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6E08CB">
            <w:pPr>
              <w:pStyle w:val="MastHeadState"/>
              <w:jc w:val="right"/>
            </w:pPr>
            <w:r>
              <w:t>State of Florida</w:t>
            </w:r>
          </w:p>
          <w:p w:rsidR="007C0528" w:rsidRDefault="00194B8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194B84">
            <w:pPr>
              <w:pStyle w:val="MemoHeading"/>
            </w:pPr>
            <w:bookmarkStart w:id="0" w:name="FilingDate"/>
            <w:r>
              <w:t>June 27, 2018</w:t>
            </w:r>
            <w:bookmarkEnd w:id="0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93658B">
              <w:t>Stauffer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194B84" w:rsidRDefault="00194B84">
            <w:pPr>
              <w:pStyle w:val="MemoHeading"/>
            </w:pPr>
            <w:bookmarkStart w:id="1" w:name="From"/>
            <w:r>
              <w:t>Division of Economics (Doherty, Draper)</w:t>
            </w:r>
          </w:p>
          <w:p w:rsidR="00194B84" w:rsidRDefault="00194B84">
            <w:pPr>
              <w:pStyle w:val="MemoHeading"/>
            </w:pPr>
            <w:r>
              <w:t>Division of Engineering (Salvador)</w:t>
            </w:r>
          </w:p>
          <w:p w:rsidR="007C0528" w:rsidRDefault="00194B84">
            <w:pPr>
              <w:pStyle w:val="MemoHeading"/>
            </w:pPr>
            <w:r>
              <w:t>Office of the General Counsel (Trierweiler)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194B84">
            <w:pPr>
              <w:pStyle w:val="MemoHeadingRe"/>
            </w:pPr>
            <w:bookmarkStart w:id="2" w:name="Re"/>
            <w:r>
              <w:t>Docket No. 20180092-EQ – Petition for approval of arrangement for totalized meter interconnection service, by Tampa Electric Company.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194B84" w:rsidP="00194B84">
            <w:pPr>
              <w:pStyle w:val="MemoHeading"/>
            </w:pPr>
            <w:bookmarkStart w:id="3" w:name="AgendaDate"/>
            <w:r>
              <w:t>07/10/18</w:t>
            </w:r>
            <w:bookmarkEnd w:id="3"/>
            <w:r>
              <w:t xml:space="preserve"> – </w:t>
            </w:r>
            <w:bookmarkStart w:id="4" w:name="PermittedStatus"/>
            <w:r>
              <w:t>Regular Agenda – Proposed Agency Action – Interested Persons May Participate</w:t>
            </w:r>
            <w:bookmarkEnd w:id="4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194B84">
            <w:pPr>
              <w:pStyle w:val="MemoHeading"/>
            </w:pPr>
            <w:bookmarkStart w:id="5" w:name="CommissionersAssigned"/>
            <w:r>
              <w:t>All Commissioners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194B84">
            <w:pPr>
              <w:pStyle w:val="MemoHeading"/>
            </w:pPr>
            <w:bookmarkStart w:id="6" w:name="PrehearingOfficer"/>
            <w:r>
              <w:t>Administrative</w:t>
            </w:r>
            <w:bookmarkEnd w:id="6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7" w:name="CriticalDatesLabel"/>
            <w:r>
              <w:t>CRITICAL DATES:</w:t>
            </w:r>
            <w:bookmarkEnd w:id="7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194B84">
            <w:pPr>
              <w:pStyle w:val="MemoHeading"/>
            </w:pPr>
            <w:bookmarkStart w:id="8" w:name="CriticalDates"/>
            <w:r>
              <w:t>None</w:t>
            </w:r>
            <w:bookmarkEnd w:id="8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194B84">
            <w:pPr>
              <w:pStyle w:val="MemoHeading"/>
            </w:pPr>
            <w:bookmarkStart w:id="9" w:name="SpecialInstructions"/>
            <w:r>
              <w:t>None</w:t>
            </w:r>
            <w:bookmarkEnd w:id="9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0" w:name="RecToC"/>
      <w:bookmarkEnd w:id="10"/>
      <w:r>
        <w:t xml:space="preserve"> </w:t>
      </w:r>
      <w:bookmarkStart w:id="11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2" w:name="_Toc94516455"/>
      <w:r>
        <w:instrText>Case Background</w:instrText>
      </w:r>
      <w:bookmarkEnd w:id="12"/>
      <w:r>
        <w:instrText xml:space="preserve">" \l 1 </w:instrText>
      </w:r>
      <w:r>
        <w:fldChar w:fldCharType="end"/>
      </w:r>
    </w:p>
    <w:p w:rsidR="007A4267" w:rsidRDefault="00194B84" w:rsidP="00DA386D">
      <w:pPr>
        <w:pStyle w:val="BodyText"/>
      </w:pPr>
      <w:r>
        <w:t>On April 9, 2018</w:t>
      </w:r>
      <w:r w:rsidR="004F11C4">
        <w:t>,</w:t>
      </w:r>
      <w:r>
        <w:t xml:space="preserve"> Tampa Electric Company (TECO or utility) filed a petition for approval of </w:t>
      </w:r>
      <w:r w:rsidR="00E10D37">
        <w:t xml:space="preserve">an </w:t>
      </w:r>
      <w:r>
        <w:t>arrangement for totalized meter interconnection service</w:t>
      </w:r>
      <w:r w:rsidR="004F11C4">
        <w:t xml:space="preserve"> (arrangement)</w:t>
      </w:r>
      <w:r>
        <w:t xml:space="preserve">. </w:t>
      </w:r>
      <w:r w:rsidR="004F11C4">
        <w:t xml:space="preserve">The proposed arrangement is a special contract between TECO and MacDill Air Force Base (MacDill). MacDill is a United States Air Force Base located in Tampa, Florida. </w:t>
      </w:r>
      <w:bookmarkEnd w:id="11"/>
      <w:r w:rsidR="005C7D6E">
        <w:t>Pursuant to Rule 25-9.034, Florida Administrative Code, special contracts must be approved by the Commission.</w:t>
      </w:r>
    </w:p>
    <w:p w:rsidR="00DA386D" w:rsidRPr="00DA386D" w:rsidRDefault="004F11C4" w:rsidP="00DA386D">
      <w:pPr>
        <w:pStyle w:val="BodyText"/>
        <w:sectPr w:rsidR="00DA386D" w:rsidRPr="00DA386D">
          <w:headerReference w:type="default" r:id="rId10"/>
          <w:footerReference w:type="default" r:id="rId11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  <w:r>
        <w:t xml:space="preserve">On May 1, 2018, staff held </w:t>
      </w:r>
      <w:r w:rsidR="00E10D37">
        <w:t>a</w:t>
      </w:r>
      <w:r>
        <w:t xml:space="preserve"> noticed</w:t>
      </w:r>
      <w:r w:rsidR="00E10D37">
        <w:t xml:space="preserve"> informal meeting between staff and TECO to discuss the </w:t>
      </w:r>
      <w:r>
        <w:t>proposed arrangement</w:t>
      </w:r>
      <w:r w:rsidR="00E10D37">
        <w:t xml:space="preserve">. </w:t>
      </w:r>
      <w:r>
        <w:t xml:space="preserve">The Office of the Public Counsel participated </w:t>
      </w:r>
      <w:r w:rsidR="000A4DCC">
        <w:t>in</w:t>
      </w:r>
      <w:r>
        <w:t xml:space="preserve"> the meeting. </w:t>
      </w:r>
      <w:r w:rsidR="00BC613E">
        <w:t>The Commission has jurisdiction over this matter pursuant to Sections 366.04, 366.05, and 366.06, Florida Statutes.</w:t>
      </w:r>
    </w:p>
    <w:p w:rsidR="007C0528" w:rsidRDefault="007C0528">
      <w:pPr>
        <w:pStyle w:val="RecommendationMajorSectionHeading"/>
      </w:pPr>
      <w:bookmarkStart w:id="15" w:name="DiscussionOfIssues"/>
      <w:r>
        <w:lastRenderedPageBreak/>
        <w:t>Discussion of Issues</w:t>
      </w:r>
    </w:p>
    <w:bookmarkEnd w:id="15"/>
    <w:p w:rsidR="00194B84" w:rsidRDefault="00194B84">
      <w:pPr>
        <w:pStyle w:val="IssueHeading"/>
        <w:rPr>
          <w:vanish/>
          <w:specVanish/>
        </w:rPr>
      </w:pPr>
      <w:r w:rsidRPr="004C3641">
        <w:t xml:space="preserve">Issue </w:t>
      </w:r>
      <w:fldSimple w:instr=" SEQ Issue \* MERGEFORMAT ">
        <w:r w:rsidR="0014116C">
          <w:rPr>
            <w:noProof/>
          </w:rPr>
          <w:t>1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14116C">
        <w:rPr>
          <w:noProof/>
        </w:rPr>
        <w:instrText>1</w:instrText>
      </w:r>
      <w:r>
        <w:fldChar w:fldCharType="end"/>
      </w:r>
      <w:r>
        <w:tab/>
        <w:instrText xml:space="preserve">(Doherty, Draper)" \l 1 </w:instrText>
      </w:r>
      <w:r>
        <w:fldChar w:fldCharType="end"/>
      </w:r>
      <w:r>
        <w:t> </w:t>
      </w:r>
    </w:p>
    <w:p w:rsidR="00194B84" w:rsidRDefault="00194B84">
      <w:pPr>
        <w:pStyle w:val="BodyText"/>
      </w:pPr>
      <w:r>
        <w:t xml:space="preserve"> Should the Commission approve the </w:t>
      </w:r>
      <w:r w:rsidR="005C7D6E">
        <w:t>proposed arrangement</w:t>
      </w:r>
      <w:r>
        <w:t xml:space="preserve"> between </w:t>
      </w:r>
      <w:r w:rsidR="005C7D6E">
        <w:t>TECO</w:t>
      </w:r>
      <w:r>
        <w:t xml:space="preserve"> and MacDill</w:t>
      </w:r>
      <w:r w:rsidR="005C7D6E">
        <w:t>, as shown in Attachment A, effective July 10, 2018</w:t>
      </w:r>
      <w:r w:rsidR="00581F1F">
        <w:t>?</w:t>
      </w:r>
    </w:p>
    <w:p w:rsidR="00194B84" w:rsidRPr="004C3641" w:rsidRDefault="00194B84">
      <w:pPr>
        <w:pStyle w:val="IssueSubsectionHeading"/>
        <w:rPr>
          <w:vanish/>
          <w:specVanish/>
        </w:rPr>
      </w:pPr>
      <w:r w:rsidRPr="004C3641">
        <w:t>Recommendation: </w:t>
      </w:r>
    </w:p>
    <w:p w:rsidR="00194B84" w:rsidRDefault="00194B84">
      <w:pPr>
        <w:pStyle w:val="BodyText"/>
      </w:pPr>
      <w:r>
        <w:t xml:space="preserve"> Yes. </w:t>
      </w:r>
      <w:r w:rsidR="005C7D6E">
        <w:t xml:space="preserve">The Commission should approve the proposed arrangement between TECO and MacDill, as shown in Attachment A, effective July 10, 2018 </w:t>
      </w:r>
      <w:r>
        <w:t>(Doherty, Draper)</w:t>
      </w:r>
    </w:p>
    <w:p w:rsidR="00194B84" w:rsidRPr="004C3641" w:rsidRDefault="00194B84">
      <w:pPr>
        <w:pStyle w:val="IssueSubsectionHeading"/>
        <w:rPr>
          <w:vanish/>
          <w:specVanish/>
        </w:rPr>
      </w:pPr>
      <w:r w:rsidRPr="004C3641">
        <w:t>Staff Analysis: </w:t>
      </w:r>
    </w:p>
    <w:p w:rsidR="008A0954" w:rsidRDefault="00DE5E28" w:rsidP="00194B84">
      <w:pPr>
        <w:pStyle w:val="BodyText"/>
      </w:pPr>
      <w:r>
        <w:t> </w:t>
      </w:r>
      <w:r w:rsidR="00156D8F">
        <w:t>The proposed arrangement between TECO and MacDill provides for the application for totalized metering, which is the summation of adjacent metering equipment readings</w:t>
      </w:r>
      <w:r w:rsidR="000715E3">
        <w:t xml:space="preserve"> serving the same property</w:t>
      </w:r>
      <w:r w:rsidR="00156D8F">
        <w:t xml:space="preserve">. Totalized metering is permissible under TECO’s current tariff; however, TECO’s tariff does not </w:t>
      </w:r>
      <w:r w:rsidR="004F11F4">
        <w:t>address</w:t>
      </w:r>
      <w:r w:rsidR="00156D8F">
        <w:t xml:space="preserve"> MacDill’s unique circumstances. Therefore, TECO filed the instant petition for an arrangement. The proposed arrangement does not contain a special rate for MacDill; MacDill will continue to pay</w:t>
      </w:r>
      <w:r w:rsidR="00C052C1">
        <w:t xml:space="preserve"> TECO’s</w:t>
      </w:r>
      <w:r w:rsidR="00156D8F">
        <w:t xml:space="preserve"> tariffed charges. </w:t>
      </w:r>
    </w:p>
    <w:p w:rsidR="008A0954" w:rsidRDefault="008A0954" w:rsidP="008A0954">
      <w:pPr>
        <w:pStyle w:val="First-LevelSubheading"/>
      </w:pPr>
      <w:r>
        <w:t>Overview of MacDill</w:t>
      </w:r>
    </w:p>
    <w:p w:rsidR="008A0954" w:rsidRDefault="00DE5E28" w:rsidP="008A0954">
      <w:pPr>
        <w:pStyle w:val="BodyText"/>
      </w:pPr>
      <w:r>
        <w:t xml:space="preserve">MacDill is located </w:t>
      </w:r>
      <w:r w:rsidR="00675E9C">
        <w:t xml:space="preserve">south of Tampa </w:t>
      </w:r>
      <w:r w:rsidR="008229A5">
        <w:t>at the end of the</w:t>
      </w:r>
      <w:r>
        <w:t xml:space="preserve"> </w:t>
      </w:r>
      <w:r w:rsidR="00675E9C">
        <w:t xml:space="preserve">Interbay </w:t>
      </w:r>
      <w:r>
        <w:t xml:space="preserve">peninsula in </w:t>
      </w:r>
      <w:r w:rsidR="00675E9C">
        <w:t xml:space="preserve">Hillsborough County </w:t>
      </w:r>
      <w:r w:rsidR="008A0954">
        <w:t>and receives electric service from TECO at the MacDill substation (shown on the map in Attachment B to</w:t>
      </w:r>
      <w:r w:rsidR="00AA0CCA">
        <w:t xml:space="preserve"> this</w:t>
      </w:r>
      <w:r w:rsidR="008A0954">
        <w:t xml:space="preserve"> recommendation</w:t>
      </w:r>
      <w:r w:rsidR="008A0954" w:rsidRPr="008A0954">
        <w:t xml:space="preserve"> </w:t>
      </w:r>
      <w:r w:rsidR="008A0954">
        <w:t xml:space="preserve">as MacDill – 23 D). </w:t>
      </w:r>
      <w:r w:rsidR="008A0954" w:rsidRPr="008229A5">
        <w:t>MacDill is a federal enclave</w:t>
      </w:r>
      <w:r w:rsidR="008A0954">
        <w:t xml:space="preserve"> and owns and operates its distribution system behind the meter at the MacDill substation. </w:t>
      </w:r>
      <w:r w:rsidR="008229A5">
        <w:t>TECO does not own any d</w:t>
      </w:r>
      <w:r w:rsidR="00531EE1">
        <w:t>istribution system on the base</w:t>
      </w:r>
      <w:r w:rsidR="00675E9C">
        <w:t xml:space="preserve"> and</w:t>
      </w:r>
      <w:r w:rsidR="008A0954">
        <w:t xml:space="preserve"> provides service to MacDill</w:t>
      </w:r>
      <w:r w:rsidR="00675E9C">
        <w:t xml:space="preserve"> at primary </w:t>
      </w:r>
      <w:r w:rsidR="00D90C9D">
        <w:t>voltage pursuant</w:t>
      </w:r>
      <w:r w:rsidR="008A0954">
        <w:t xml:space="preserve"> to rate schedule</w:t>
      </w:r>
      <w:r w:rsidR="00AA0CCA">
        <w:t xml:space="preserve">, </w:t>
      </w:r>
      <w:r w:rsidR="008A0954">
        <w:t>General Service – Demand Time-of-Day.</w:t>
      </w:r>
    </w:p>
    <w:p w:rsidR="00F53121" w:rsidRDefault="00F53121" w:rsidP="00194B84">
      <w:pPr>
        <w:pStyle w:val="BodyText"/>
      </w:pPr>
      <w:r>
        <w:t xml:space="preserve">The </w:t>
      </w:r>
      <w:r w:rsidR="008A0954">
        <w:t xml:space="preserve">MacDill </w:t>
      </w:r>
      <w:r>
        <w:t xml:space="preserve">operations center </w:t>
      </w:r>
      <w:r w:rsidR="008A0954">
        <w:t xml:space="preserve">operates </w:t>
      </w:r>
      <w:r w:rsidR="00517E2F">
        <w:t>continuously;</w:t>
      </w:r>
      <w:r>
        <w:t xml:space="preserve"> therefore</w:t>
      </w:r>
      <w:r w:rsidR="00517E2F">
        <w:t>,</w:t>
      </w:r>
      <w:r>
        <w:t xml:space="preserve"> reliability is a </w:t>
      </w:r>
      <w:r w:rsidR="00884BC3">
        <w:t>major concern</w:t>
      </w:r>
      <w:r>
        <w:t xml:space="preserve">. </w:t>
      </w:r>
      <w:r w:rsidR="00517E2F">
        <w:t>TECO explained that d</w:t>
      </w:r>
      <w:r>
        <w:t xml:space="preserve">uring hurricane season MacDill is at risk to storm surge and flooding due to being </w:t>
      </w:r>
      <w:r w:rsidR="008229A5">
        <w:t xml:space="preserve">just four feet above sea level and at the end of </w:t>
      </w:r>
      <w:r w:rsidR="00517E2F">
        <w:t>a peninsula. MacDill owns a</w:t>
      </w:r>
      <w:r>
        <w:t xml:space="preserve"> standby </w:t>
      </w:r>
      <w:r w:rsidR="00517E2F">
        <w:t>generator; however, the generator only</w:t>
      </w:r>
      <w:r>
        <w:t xml:space="preserve"> has </w:t>
      </w:r>
      <w:r w:rsidR="000715E3">
        <w:t>three</w:t>
      </w:r>
      <w:r>
        <w:t xml:space="preserve"> days worth of diesel fuel as a reserve. </w:t>
      </w:r>
    </w:p>
    <w:p w:rsidR="000B00E2" w:rsidRDefault="000475E5" w:rsidP="00194B84">
      <w:pPr>
        <w:pStyle w:val="BodyText"/>
      </w:pPr>
      <w:r>
        <w:t>MacDi</w:t>
      </w:r>
      <w:r w:rsidR="00517E2F">
        <w:t xml:space="preserve">ll is </w:t>
      </w:r>
      <w:r w:rsidR="00D81F09">
        <w:t>planning</w:t>
      </w:r>
      <w:r w:rsidR="00517E2F">
        <w:t xml:space="preserve"> to add new load </w:t>
      </w:r>
      <w:r>
        <w:t>which</w:t>
      </w:r>
      <w:r w:rsidR="00D10620">
        <w:t xml:space="preserve"> </w:t>
      </w:r>
      <w:r>
        <w:t xml:space="preserve">could exceed the existing MacDill </w:t>
      </w:r>
      <w:r w:rsidR="00517E2F">
        <w:t>substation’s capacity</w:t>
      </w:r>
      <w:r>
        <w:t>.</w:t>
      </w:r>
      <w:r w:rsidR="00517E2F">
        <w:t xml:space="preserve"> </w:t>
      </w:r>
      <w:r w:rsidR="000A4DCC">
        <w:t xml:space="preserve">To accommodate the incremental MacDill load as well as </w:t>
      </w:r>
      <w:r w:rsidR="00675E9C">
        <w:t>growth</w:t>
      </w:r>
      <w:r w:rsidR="000A4DCC">
        <w:t xml:space="preserve"> in the surrounding area</w:t>
      </w:r>
      <w:r w:rsidR="003A7139">
        <w:t xml:space="preserve">, </w:t>
      </w:r>
      <w:r w:rsidR="00194B84">
        <w:t xml:space="preserve">TECO is building a </w:t>
      </w:r>
      <w:r w:rsidR="003A7139">
        <w:t xml:space="preserve">new </w:t>
      </w:r>
      <w:r w:rsidR="00194B84">
        <w:t>substation (Interbay</w:t>
      </w:r>
      <w:r w:rsidR="003A7139">
        <w:t xml:space="preserve"> substation</w:t>
      </w:r>
      <w:r w:rsidR="00EF3A43">
        <w:t>, shown</w:t>
      </w:r>
      <w:r w:rsidR="006F46E3">
        <w:t xml:space="preserve"> </w:t>
      </w:r>
      <w:r w:rsidR="00517E2F">
        <w:t>on</w:t>
      </w:r>
      <w:r w:rsidR="006F46E3">
        <w:t xml:space="preserve"> Attachment</w:t>
      </w:r>
      <w:r w:rsidR="00517E2F">
        <w:t xml:space="preserve"> B</w:t>
      </w:r>
      <w:r w:rsidR="003A7139">
        <w:t>). The Interbay substation</w:t>
      </w:r>
      <w:r w:rsidR="00194B84">
        <w:t xml:space="preserve"> </w:t>
      </w:r>
      <w:r w:rsidR="003A7139">
        <w:t xml:space="preserve">is </w:t>
      </w:r>
      <w:r w:rsidR="00194B84">
        <w:t>directly west 1.4 miles from the current MacDill 23 – D substation</w:t>
      </w:r>
      <w:r w:rsidR="00070417">
        <w:t xml:space="preserve">. </w:t>
      </w:r>
      <w:r w:rsidR="00D23586">
        <w:t>Once the Interbay substation is constructed, MacDill will be served by both substations.</w:t>
      </w:r>
      <w:r w:rsidR="00194B84">
        <w:t xml:space="preserve"> </w:t>
      </w:r>
      <w:r w:rsidR="00C052C1">
        <w:t xml:space="preserve">TECO stated </w:t>
      </w:r>
      <w:r w:rsidR="00517734">
        <w:t>that</w:t>
      </w:r>
      <w:r w:rsidR="00D81F09">
        <w:t xml:space="preserve"> the Interbay substation will be operational in July or August 2018.</w:t>
      </w:r>
    </w:p>
    <w:p w:rsidR="000B00E2" w:rsidRDefault="000B00E2" w:rsidP="000B00E2">
      <w:pPr>
        <w:pStyle w:val="First-LevelSubheading"/>
      </w:pPr>
      <w:r>
        <w:t xml:space="preserve">Proposed Arrangement </w:t>
      </w:r>
    </w:p>
    <w:p w:rsidR="00B84B4D" w:rsidRDefault="00105006" w:rsidP="00194B84">
      <w:pPr>
        <w:pStyle w:val="BodyText"/>
      </w:pPr>
      <w:r>
        <w:t>TECO’s current tariff</w:t>
      </w:r>
      <w:r w:rsidR="004F11F4">
        <w:t xml:space="preserve"> </w:t>
      </w:r>
      <w:r>
        <w:t xml:space="preserve">sheet </w:t>
      </w:r>
      <w:r w:rsidR="00C052C1">
        <w:t>N</w:t>
      </w:r>
      <w:r>
        <w:t>o. 5.075</w:t>
      </w:r>
      <w:r w:rsidR="004F11F4">
        <w:t xml:space="preserve"> </w:t>
      </w:r>
      <w:r w:rsidR="00B84B4D">
        <w:t>addresses</w:t>
      </w:r>
      <w:r w:rsidR="004F11F4">
        <w:t xml:space="preserve"> </w:t>
      </w:r>
      <w:r w:rsidR="00597E87">
        <w:t xml:space="preserve">totalized metering. </w:t>
      </w:r>
      <w:r w:rsidR="00C052C1">
        <w:t>T</w:t>
      </w:r>
      <w:r w:rsidR="00DE1D43">
        <w:t>otalized metering</w:t>
      </w:r>
      <w:r w:rsidR="00B84B4D">
        <w:t xml:space="preserve"> can be provided by the utility when single circuit metering is impractical because the customer’s load</w:t>
      </w:r>
      <w:r w:rsidR="00B84B4D" w:rsidRPr="00B84B4D">
        <w:t xml:space="preserve"> </w:t>
      </w:r>
      <w:r w:rsidR="00B84B4D">
        <w:t>exceeds the loading criteria of one standard transformer.</w:t>
      </w:r>
      <w:r w:rsidR="00DE1D43">
        <w:t xml:space="preserve"> </w:t>
      </w:r>
      <w:r w:rsidR="00B84B4D">
        <w:t>To illustrate, a large warehouse</w:t>
      </w:r>
      <w:r w:rsidR="00651B03">
        <w:t>’s demand</w:t>
      </w:r>
      <w:r w:rsidR="00B84B4D">
        <w:t xml:space="preserve"> </w:t>
      </w:r>
      <w:r w:rsidR="00BC61C2">
        <w:t>cannot</w:t>
      </w:r>
      <w:r w:rsidR="00B84B4D">
        <w:t xml:space="preserve"> be served by on</w:t>
      </w:r>
      <w:r w:rsidR="00651B03">
        <w:t>e</w:t>
      </w:r>
      <w:r w:rsidR="00B84B4D">
        <w:t xml:space="preserve"> standard transformer. TECO, therefore, </w:t>
      </w:r>
      <w:r w:rsidR="00651B03">
        <w:t>w</w:t>
      </w:r>
      <w:r w:rsidR="00B84B4D">
        <w:t>ould install two transformers</w:t>
      </w:r>
      <w:r w:rsidR="00E04386">
        <w:t>,</w:t>
      </w:r>
      <w:r w:rsidR="00B84B4D">
        <w:t xml:space="preserve"> </w:t>
      </w:r>
      <w:r w:rsidR="001B2A09">
        <w:t>and two meter</w:t>
      </w:r>
      <w:r w:rsidR="00E1412B">
        <w:t>ing circuits</w:t>
      </w:r>
      <w:r w:rsidR="00E04386">
        <w:t>,</w:t>
      </w:r>
      <w:r w:rsidR="001B2A09">
        <w:t xml:space="preserve"> and combine t</w:t>
      </w:r>
      <w:r w:rsidR="00651B03">
        <w:t xml:space="preserve">he readings from the two meters. </w:t>
      </w:r>
    </w:p>
    <w:p w:rsidR="00B84B4D" w:rsidRDefault="00B84B4D" w:rsidP="00194B84">
      <w:pPr>
        <w:pStyle w:val="BodyText"/>
      </w:pPr>
      <w:r>
        <w:t xml:space="preserve">The tariff provides for </w:t>
      </w:r>
      <w:r w:rsidR="008C47D1">
        <w:t>certain</w:t>
      </w:r>
      <w:r>
        <w:t xml:space="preserve"> criteria the customer </w:t>
      </w:r>
      <w:r w:rsidR="00AA0CCA">
        <w:t>must</w:t>
      </w:r>
      <w:r>
        <w:t xml:space="preserve"> meet to qualify for totalized metering</w:t>
      </w:r>
      <w:r w:rsidR="00A3246C">
        <w:t>:</w:t>
      </w:r>
      <w:r>
        <w:t xml:space="preserve"> </w:t>
      </w:r>
      <w:r w:rsidR="00AA0CCA">
        <w:t xml:space="preserve">(1) </w:t>
      </w:r>
      <w:r>
        <w:t xml:space="preserve">all the services </w:t>
      </w:r>
      <w:r w:rsidR="001B2A09">
        <w:t>totalized</w:t>
      </w:r>
      <w:r>
        <w:t xml:space="preserve"> must be at the same voltage level</w:t>
      </w:r>
      <w:r w:rsidR="00AA0CCA">
        <w:t>; (2)</w:t>
      </w:r>
      <w:r>
        <w:t xml:space="preserve"> the </w:t>
      </w:r>
      <w:r w:rsidR="00025EC4">
        <w:t>facility</w:t>
      </w:r>
      <w:r>
        <w:t>’s total demand load must exceed the loading criteria for the largest standard transformer</w:t>
      </w:r>
      <w:r w:rsidR="00AA0CCA">
        <w:t>; and (3)</w:t>
      </w:r>
      <w:r>
        <w:t xml:space="preserve"> the facility must be comprised o</w:t>
      </w:r>
      <w:r w:rsidR="00025EC4">
        <w:t>f</w:t>
      </w:r>
      <w:r>
        <w:t xml:space="preserve"> one building containing a single business operated by one customer. </w:t>
      </w:r>
      <w:r w:rsidR="008C47D1">
        <w:t>In addition, the tariff states that totalized metering will normally be provided to a single geographical point.</w:t>
      </w:r>
    </w:p>
    <w:p w:rsidR="00513FB5" w:rsidRDefault="00A20DD0" w:rsidP="00194B84">
      <w:pPr>
        <w:pStyle w:val="BodyText"/>
      </w:pPr>
      <w:r>
        <w:lastRenderedPageBreak/>
        <w:t xml:space="preserve">MacDill’s </w:t>
      </w:r>
      <w:r w:rsidR="002A50C6">
        <w:t>circumstances vary from what is contemplated in TECO’s current tariff</w:t>
      </w:r>
      <w:r w:rsidR="00E04386">
        <w:t xml:space="preserve"> with respect to two criteria</w:t>
      </w:r>
      <w:r w:rsidR="002A50C6">
        <w:t xml:space="preserve">. </w:t>
      </w:r>
      <w:r w:rsidR="00E04386">
        <w:t xml:space="preserve">First, the MacDill base, while it is on one unit of property, consists of multiple buildings. Second, </w:t>
      </w:r>
      <w:r w:rsidR="002A50C6">
        <w:t xml:space="preserve">MacDill </w:t>
      </w:r>
      <w:r w:rsidR="00275FE4">
        <w:t>will be</w:t>
      </w:r>
      <w:r w:rsidR="002A50C6">
        <w:t xml:space="preserve"> served from two </w:t>
      </w:r>
      <w:r w:rsidR="00457D80">
        <w:t>points of delivery</w:t>
      </w:r>
      <w:r w:rsidR="00D67251">
        <w:t xml:space="preserve"> (</w:t>
      </w:r>
      <w:r w:rsidR="00457D80">
        <w:t xml:space="preserve">the two </w:t>
      </w:r>
      <w:r w:rsidR="00A3246C">
        <w:t>substations</w:t>
      </w:r>
      <w:r w:rsidR="00D67251">
        <w:t>)</w:t>
      </w:r>
      <w:r w:rsidR="00A3246C">
        <w:t xml:space="preserve"> which</w:t>
      </w:r>
      <w:r w:rsidR="00E04386">
        <w:t xml:space="preserve"> are</w:t>
      </w:r>
      <w:r w:rsidR="00025EC4">
        <w:t xml:space="preserve"> 1.4 miles apart</w:t>
      </w:r>
      <w:r w:rsidR="002A50C6">
        <w:t>.</w:t>
      </w:r>
      <w:r w:rsidR="00E04386">
        <w:t xml:space="preserve"> </w:t>
      </w:r>
    </w:p>
    <w:p w:rsidR="00490A6F" w:rsidRDefault="00490A6F" w:rsidP="00194B84">
      <w:pPr>
        <w:pStyle w:val="BodyText"/>
      </w:pPr>
      <w:r>
        <w:t xml:space="preserve">The application of totalized metering for the existing and </w:t>
      </w:r>
      <w:r w:rsidR="00A94D95">
        <w:t xml:space="preserve">the </w:t>
      </w:r>
      <w:r>
        <w:t>new intercon</w:t>
      </w:r>
      <w:r w:rsidR="00746BD4">
        <w:t>nection</w:t>
      </w:r>
      <w:r w:rsidR="00EF0A30">
        <w:t>, along with balancing of the MacDill load between the two substations,</w:t>
      </w:r>
      <w:r>
        <w:t xml:space="preserve"> would provide more capacity and more reliable service to MacDill</w:t>
      </w:r>
      <w:r w:rsidR="00EF0A30">
        <w:t>. In addition,</w:t>
      </w:r>
      <w:r>
        <w:t xml:space="preserve"> </w:t>
      </w:r>
      <w:r w:rsidR="00EF0A30">
        <w:t xml:space="preserve">the proposed arrangement </w:t>
      </w:r>
      <w:r>
        <w:t xml:space="preserve">would free up capacity at the MacDill </w:t>
      </w:r>
      <w:r w:rsidR="00A94D95">
        <w:t>s</w:t>
      </w:r>
      <w:r>
        <w:t xml:space="preserve">ubstation </w:t>
      </w:r>
      <w:r w:rsidR="00552ACE">
        <w:t>allowing TECO to meet</w:t>
      </w:r>
      <w:r>
        <w:t xml:space="preserve"> future </w:t>
      </w:r>
      <w:r w:rsidR="00552ACE">
        <w:t xml:space="preserve">capacity and energy </w:t>
      </w:r>
      <w:r>
        <w:t>needs</w:t>
      </w:r>
      <w:r w:rsidR="00A94D95">
        <w:t xml:space="preserve"> outside the MacDill base</w:t>
      </w:r>
      <w:r w:rsidR="00552ACE">
        <w:t xml:space="preserve">. Currently, the MacDill substation only serves MacDill. </w:t>
      </w:r>
    </w:p>
    <w:p w:rsidR="006F46E3" w:rsidRDefault="002A50C6" w:rsidP="00194B84">
      <w:pPr>
        <w:pStyle w:val="BodyText"/>
      </w:pPr>
      <w:r>
        <w:t xml:space="preserve">Under the totalized metering </w:t>
      </w:r>
      <w:r w:rsidR="00F65746">
        <w:t>arrangement</w:t>
      </w:r>
      <w:r>
        <w:t xml:space="preserve">, </w:t>
      </w:r>
      <w:r w:rsidR="006F46E3">
        <w:t>MacDi</w:t>
      </w:r>
      <w:r w:rsidR="000F3309">
        <w:t xml:space="preserve">ll will pay one customer charge and </w:t>
      </w:r>
      <w:r w:rsidR="006F46E3">
        <w:t xml:space="preserve">the </w:t>
      </w:r>
      <w:r w:rsidR="00D8675A">
        <w:t>kilowatt</w:t>
      </w:r>
      <w:r w:rsidR="00CD122E">
        <w:t xml:space="preserve"> hours</w:t>
      </w:r>
      <w:r w:rsidR="00F65746">
        <w:t xml:space="preserve"> </w:t>
      </w:r>
      <w:r w:rsidR="00D8675A">
        <w:t>metered</w:t>
      </w:r>
      <w:r w:rsidR="006F46E3">
        <w:t xml:space="preserve"> </w:t>
      </w:r>
      <w:r w:rsidR="00457D80">
        <w:t xml:space="preserve">at the two substations </w:t>
      </w:r>
      <w:r w:rsidR="000F3309">
        <w:t xml:space="preserve">will be added together. </w:t>
      </w:r>
      <w:bookmarkStart w:id="16" w:name="_GoBack"/>
      <w:bookmarkEnd w:id="16"/>
      <w:r w:rsidR="0014116C">
        <w:t>The demand billed will be the highest totalized (combined) demand registered at both substations.</w:t>
      </w:r>
    </w:p>
    <w:p w:rsidR="001E1113" w:rsidRDefault="001E1113" w:rsidP="001E1113">
      <w:pPr>
        <w:pStyle w:val="First-LevelSubheading"/>
      </w:pPr>
      <w:r>
        <w:t>Conclusion</w:t>
      </w:r>
    </w:p>
    <w:p w:rsidR="00E4160F" w:rsidRDefault="00E4160F" w:rsidP="00F65746">
      <w:pPr>
        <w:pStyle w:val="BodyText"/>
      </w:pPr>
      <w:r>
        <w:t>The Commission recently approved a special contract between Florida City Gas and U.S. Sugar</w:t>
      </w:r>
      <w:r w:rsidR="004A6791">
        <w:t>, a large industrial customer</w:t>
      </w:r>
      <w:r>
        <w:t xml:space="preserve"> who is facing unique challenges. Similar to the instant petition, the Commission approved a variance from </w:t>
      </w:r>
      <w:r w:rsidR="00271EC4">
        <w:t xml:space="preserve">Florida </w:t>
      </w:r>
      <w:r>
        <w:t>City Gas’s tariff to address the challenges faced by U.S. Sugar</w:t>
      </w:r>
      <w:r w:rsidR="007246AF">
        <w:t xml:space="preserve"> through a special contract</w:t>
      </w:r>
      <w:r>
        <w:t>.</w:t>
      </w:r>
      <w:r>
        <w:rPr>
          <w:rStyle w:val="FootnoteReference"/>
        </w:rPr>
        <w:footnoteReference w:id="1"/>
      </w:r>
    </w:p>
    <w:p w:rsidR="00194B84" w:rsidRDefault="001E1113" w:rsidP="00F65746">
      <w:pPr>
        <w:pStyle w:val="BodyText"/>
        <w:rPr>
          <w:vanish/>
          <w:specVanish/>
        </w:rPr>
      </w:pPr>
      <w:r>
        <w:t xml:space="preserve">Staff has reviewed TECO and MacDill’s proposed </w:t>
      </w:r>
      <w:r w:rsidR="00F65746">
        <w:t>a</w:t>
      </w:r>
      <w:r>
        <w:t>rrangement</w:t>
      </w:r>
      <w:r w:rsidR="007246AF">
        <w:t>, or special contract,</w:t>
      </w:r>
      <w:r>
        <w:t xml:space="preserve"> and data provided during the informal meeting on Tuesday, May 1, 2018. </w:t>
      </w:r>
      <w:r w:rsidR="00AA0CCA">
        <w:t>Staff recommends that t</w:t>
      </w:r>
      <w:r w:rsidR="00F65746">
        <w:t>he Commission approve the proposed arrangement between TECO and MacDill, as shown in Attachment A, effective July 10, 2018.</w:t>
      </w:r>
      <w:r w:rsidR="00194B84" w:rsidRPr="004C3641">
        <w:br w:type="page"/>
      </w:r>
      <w:r w:rsidR="00194B84" w:rsidRPr="004C3641">
        <w:lastRenderedPageBreak/>
        <w:t xml:space="preserve">Issue </w:t>
      </w:r>
      <w:fldSimple w:instr=" SEQ Issue \* MERGEFORMAT ">
        <w:r w:rsidR="0014116C">
          <w:rPr>
            <w:noProof/>
          </w:rPr>
          <w:t>2</w:t>
        </w:r>
      </w:fldSimple>
      <w:r w:rsidR="00194B84" w:rsidRPr="004C3641">
        <w:t>:</w:t>
      </w:r>
      <w:r w:rsidR="00194B84">
        <w:fldChar w:fldCharType="begin"/>
      </w:r>
      <w:r w:rsidR="00194B84">
        <w:instrText xml:space="preserve"> TC "</w:instrText>
      </w:r>
      <w:r w:rsidR="00194B84">
        <w:fldChar w:fldCharType="begin"/>
      </w:r>
      <w:r w:rsidR="00194B84">
        <w:instrText xml:space="preserve"> SEQ issue \c </w:instrText>
      </w:r>
      <w:r w:rsidR="00194B84">
        <w:fldChar w:fldCharType="separate"/>
      </w:r>
      <w:r w:rsidR="0014116C">
        <w:rPr>
          <w:noProof/>
        </w:rPr>
        <w:instrText>2</w:instrText>
      </w:r>
      <w:r w:rsidR="00194B84">
        <w:fldChar w:fldCharType="end"/>
      </w:r>
      <w:r w:rsidR="00194B84">
        <w:tab/>
        <w:instrText xml:space="preserve">(Treirweiler)" \l 1 </w:instrText>
      </w:r>
      <w:r w:rsidR="00194B84">
        <w:fldChar w:fldCharType="end"/>
      </w:r>
      <w:r w:rsidR="00194B84">
        <w:t> </w:t>
      </w:r>
    </w:p>
    <w:p w:rsidR="00194B84" w:rsidRDefault="00194B84">
      <w:pPr>
        <w:pStyle w:val="BodyText"/>
      </w:pPr>
      <w:r>
        <w:t> Should this docket be closed?</w:t>
      </w:r>
    </w:p>
    <w:p w:rsidR="00194B84" w:rsidRPr="004C3641" w:rsidRDefault="00194B84">
      <w:pPr>
        <w:pStyle w:val="IssueSubsectionHeading"/>
        <w:rPr>
          <w:vanish/>
          <w:specVanish/>
        </w:rPr>
      </w:pPr>
      <w:r w:rsidRPr="004C3641">
        <w:t>Recommendation: </w:t>
      </w:r>
    </w:p>
    <w:p w:rsidR="00194B84" w:rsidRDefault="00194B84">
      <w:pPr>
        <w:pStyle w:val="BodyText"/>
      </w:pPr>
      <w:r>
        <w:t> </w:t>
      </w:r>
      <w:r w:rsidR="00F23DC7">
        <w:t>Yes. If no protest is filed by a person whose substantial interests are affected within 21 days of the issuance of the Order, this docket should be closed upon the issuance of a Consummating Order.</w:t>
      </w:r>
      <w:r>
        <w:t xml:space="preserve"> (Tr</w:t>
      </w:r>
      <w:r w:rsidR="00C052C1">
        <w:t>ie</w:t>
      </w:r>
      <w:r>
        <w:t>rweiler)</w:t>
      </w:r>
    </w:p>
    <w:p w:rsidR="00194B84" w:rsidRPr="004C3641" w:rsidRDefault="00194B84">
      <w:pPr>
        <w:pStyle w:val="IssueSubsectionHeading"/>
        <w:rPr>
          <w:vanish/>
          <w:specVanish/>
        </w:rPr>
      </w:pPr>
      <w:r w:rsidRPr="004C3641">
        <w:t>Staff Analysis: </w:t>
      </w:r>
    </w:p>
    <w:p w:rsidR="00194B84" w:rsidRDefault="00194B84">
      <w:pPr>
        <w:pStyle w:val="BodyText"/>
      </w:pPr>
      <w:r>
        <w:t> </w:t>
      </w:r>
      <w:r w:rsidR="00F23DC7">
        <w:t xml:space="preserve">If no protest is filed by a person whose substantial interests are affected within 21 days of the issuance of the Order, this docket should be closed upon the issuance of a Consummating Order. </w:t>
      </w:r>
    </w:p>
    <w:p w:rsidR="00DE5E28" w:rsidRDefault="00DE5E28" w:rsidP="00E275D8">
      <w:pPr>
        <w:pStyle w:val="BodyText"/>
        <w:sectPr w:rsidR="00DE5E28" w:rsidSect="0068481F">
          <w:headerReference w:type="default" r:id="rId12"/>
          <w:headerReference w:type="first" r:id="rId13"/>
          <w:footerReference w:type="first" r:id="rId14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E06484" w:rsidRDefault="00E06484" w:rsidP="00E275D8">
      <w:pPr>
        <w:pStyle w:val="BodyText"/>
      </w:pPr>
    </w:p>
    <w:p w:rsidR="001C7573" w:rsidRDefault="001C7573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ized Arrangement_Page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73" w:rsidRDefault="001C7573" w:rsidP="00E275D8">
      <w:pPr>
        <w:pStyle w:val="BodyText"/>
      </w:pPr>
    </w:p>
    <w:p w:rsidR="001C7573" w:rsidRDefault="001C7573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ized Arrangement_Page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73" w:rsidRDefault="001C7573" w:rsidP="00E275D8">
      <w:pPr>
        <w:pStyle w:val="BodyText"/>
      </w:pPr>
    </w:p>
    <w:p w:rsidR="001C7573" w:rsidRDefault="001C7573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ized Arrangement_Page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73" w:rsidRDefault="001C7573" w:rsidP="00E275D8">
      <w:pPr>
        <w:pStyle w:val="BodyText"/>
      </w:pPr>
    </w:p>
    <w:p w:rsidR="001C7573" w:rsidRDefault="001C7573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ized Arrangement_Page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73" w:rsidRDefault="001C7573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ized Arrangement_Page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09" w:rsidRDefault="00D81F09" w:rsidP="00E275D8">
      <w:pPr>
        <w:pStyle w:val="BodyText"/>
        <w:sectPr w:rsidR="00D81F09" w:rsidSect="0068481F">
          <w:headerReference w:type="default" r:id="rId20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D81F09" w:rsidRDefault="00D81F09" w:rsidP="00D81F09">
      <w:pPr>
        <w:pStyle w:val="First-LevelSubheading"/>
        <w:jc w:val="center"/>
      </w:pPr>
      <w:r>
        <w:lastRenderedPageBreak/>
        <w:t>Map of MacDill Air Force Base</w:t>
      </w:r>
    </w:p>
    <w:p w:rsidR="00D81F09" w:rsidRDefault="00D81F09" w:rsidP="00E275D8">
      <w:pPr>
        <w:pStyle w:val="BodyText"/>
      </w:pPr>
      <w:r>
        <w:rPr>
          <w:noProof/>
        </w:rPr>
        <w:drawing>
          <wp:inline distT="0" distB="0" distL="0" distR="0">
            <wp:extent cx="7742503" cy="5910923"/>
            <wp:effectExtent l="127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0982" cy="59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F09" w:rsidSect="0068481F">
      <w:headerReference w:type="default" r:id="rId22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B84" w:rsidRDefault="00194B84">
      <w:r>
        <w:separator/>
      </w:r>
    </w:p>
  </w:endnote>
  <w:endnote w:type="continuationSeparator" w:id="0">
    <w:p w:rsidR="00194B84" w:rsidRDefault="00194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12249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B84" w:rsidRDefault="00194B84">
      <w:r>
        <w:separator/>
      </w:r>
    </w:p>
  </w:footnote>
  <w:footnote w:type="continuationSeparator" w:id="0">
    <w:p w:rsidR="00194B84" w:rsidRDefault="00194B84">
      <w:r>
        <w:continuationSeparator/>
      </w:r>
    </w:p>
  </w:footnote>
  <w:footnote w:id="1">
    <w:p w:rsidR="00E4160F" w:rsidRDefault="00E416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Order No.</w:t>
      </w:r>
      <w:proofErr w:type="gramEnd"/>
      <w:r>
        <w:t xml:space="preserve"> PSC-2018-0273-PAA-GU, issued May 31, 2018, in Docket No. 20180043-GU, </w:t>
      </w:r>
      <w:r w:rsidRPr="00E4160F">
        <w:rPr>
          <w:i/>
        </w:rPr>
        <w:t>In re: Petition for approval of area extension plan rate extension agreement with United States Sugar Corporation, by Florida City Gas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194B84" w:rsidP="00220732">
    <w:pPr>
      <w:pStyle w:val="Header"/>
      <w:tabs>
        <w:tab w:val="clear" w:pos="4320"/>
        <w:tab w:val="clear" w:pos="8640"/>
        <w:tab w:val="right" w:pos="9360"/>
      </w:tabs>
    </w:pPr>
    <w:bookmarkStart w:id="13" w:name="DocketLabel"/>
    <w:r>
      <w:t>Docket No.</w:t>
    </w:r>
    <w:bookmarkEnd w:id="13"/>
    <w:r w:rsidR="00BC402E">
      <w:t xml:space="preserve"> </w:t>
    </w:r>
    <w:bookmarkStart w:id="14" w:name="DocketList"/>
    <w:r>
      <w:t>20180092-EQ</w:t>
    </w:r>
    <w:bookmarkEnd w:id="14"/>
  </w:p>
  <w:p w:rsidR="00BC402E" w:rsidRDefault="00BC402E">
    <w:pPr>
      <w:pStyle w:val="Header"/>
    </w:pPr>
    <w:r>
      <w:t xml:space="preserve">Date: </w:t>
    </w:r>
    <w:fldSimple w:instr=" REF FilingDate ">
      <w:r w:rsidR="0014116C">
        <w:t>June 27, 2018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14116C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14116C">
      <w:t>20180092-EQ</w:t>
    </w:r>
    <w:r>
      <w:fldChar w:fldCharType="end"/>
    </w:r>
    <w:r>
      <w:tab/>
      <w:t xml:space="preserve">Issue </w:t>
    </w:r>
    <w:fldSimple w:instr=" Seq Issue \c \* Arabic ">
      <w:r w:rsidR="00112249">
        <w:rPr>
          <w:noProof/>
        </w:rPr>
        <w:t>1</w:t>
      </w:r>
    </w:fldSimple>
  </w:p>
  <w:p w:rsidR="00BC402E" w:rsidRDefault="00BC402E">
    <w:pPr>
      <w:pStyle w:val="Header"/>
    </w:pPr>
    <w:r>
      <w:t xml:space="preserve">Date: </w:t>
    </w:r>
    <w:fldSimple w:instr=" REF FilingDate ">
      <w:r w:rsidR="0014116C">
        <w:t>June 27, 2018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573" w:rsidRDefault="001C7573" w:rsidP="001C7573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14116C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14116C">
      <w:t>20180092-EQ</w:t>
    </w:r>
    <w:r>
      <w:fldChar w:fldCharType="end"/>
    </w:r>
    <w:r>
      <w:tab/>
    </w:r>
    <w:r w:rsidR="001E1113">
      <w:t>Attachment A</w:t>
    </w:r>
  </w:p>
  <w:p w:rsidR="001C7573" w:rsidRDefault="001C7573" w:rsidP="001C7573">
    <w:pPr>
      <w:pStyle w:val="Header"/>
      <w:tabs>
        <w:tab w:val="clear" w:pos="4320"/>
        <w:tab w:val="clear" w:pos="8640"/>
        <w:tab w:val="right" w:pos="9360"/>
      </w:tabs>
    </w:pPr>
    <w:r>
      <w:t xml:space="preserve">Date: </w:t>
    </w:r>
    <w:fldSimple w:instr=" REF FilingDate ">
      <w:r w:rsidR="0014116C">
        <w:t>June 27, 2018</w:t>
      </w:r>
    </w:fldSimple>
    <w:r w:rsidR="001E1113">
      <w:tab/>
    </w:r>
    <w:r w:rsidR="00D81F09">
      <w:t xml:space="preserve">Page </w:t>
    </w:r>
    <w:r w:rsidR="00D81F09">
      <w:fldChar w:fldCharType="begin"/>
    </w:r>
    <w:r w:rsidR="00D81F09">
      <w:instrText>=</w:instrText>
    </w:r>
    <w:r w:rsidR="00D81F09">
      <w:fldChar w:fldCharType="begin"/>
    </w:r>
    <w:r w:rsidR="00D81F09">
      <w:instrText xml:space="preserve">page </w:instrText>
    </w:r>
    <w:r w:rsidR="00D81F09">
      <w:fldChar w:fldCharType="separate"/>
    </w:r>
    <w:r w:rsidR="0014116C">
      <w:rPr>
        <w:noProof/>
      </w:rPr>
      <w:instrText>9</w:instrText>
    </w:r>
    <w:r w:rsidR="00D81F09">
      <w:fldChar w:fldCharType="end"/>
    </w:r>
    <w:r w:rsidR="00D81F09">
      <w:instrText xml:space="preserve">-4 </w:instrText>
    </w:r>
    <w:r w:rsidR="00D81F09">
      <w:fldChar w:fldCharType="separate"/>
    </w:r>
    <w:r w:rsidR="0014116C">
      <w:rPr>
        <w:noProof/>
      </w:rPr>
      <w:t>5</w:t>
    </w:r>
    <w:r w:rsidR="00D81F09">
      <w:fldChar w:fldCharType="end"/>
    </w:r>
    <w:r w:rsidR="00D81F09">
      <w:t xml:space="preserve"> of 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F09" w:rsidRDefault="00D81F09" w:rsidP="001C7573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14116C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14116C">
      <w:t>20180092-EQ</w:t>
    </w:r>
    <w:r>
      <w:fldChar w:fldCharType="end"/>
    </w:r>
    <w:r>
      <w:tab/>
      <w:t>Attachment B</w:t>
    </w:r>
  </w:p>
  <w:p w:rsidR="00D81F09" w:rsidRDefault="00D81F09" w:rsidP="001C7573">
    <w:pPr>
      <w:pStyle w:val="Header"/>
      <w:tabs>
        <w:tab w:val="clear" w:pos="4320"/>
        <w:tab w:val="clear" w:pos="8640"/>
        <w:tab w:val="right" w:pos="9360"/>
      </w:tabs>
    </w:pPr>
    <w:r>
      <w:t xml:space="preserve">Date: </w:t>
    </w:r>
    <w:fldSimple w:instr=" REF FilingDate ">
      <w:r w:rsidR="0014116C">
        <w:t>June 27, 2018</w:t>
      </w:r>
    </w:fldSimple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194B84"/>
    <w:rsid w:val="00001F5B"/>
    <w:rsid w:val="000043D5"/>
    <w:rsid w:val="00006170"/>
    <w:rsid w:val="00010E37"/>
    <w:rsid w:val="000172DA"/>
    <w:rsid w:val="000247C5"/>
    <w:rsid w:val="00025EC4"/>
    <w:rsid w:val="000277C2"/>
    <w:rsid w:val="00035B48"/>
    <w:rsid w:val="00036CE2"/>
    <w:rsid w:val="00041FC9"/>
    <w:rsid w:val="000437FE"/>
    <w:rsid w:val="000475E5"/>
    <w:rsid w:val="000513BE"/>
    <w:rsid w:val="00056C58"/>
    <w:rsid w:val="00065A06"/>
    <w:rsid w:val="000666F3"/>
    <w:rsid w:val="00070417"/>
    <w:rsid w:val="00070DCB"/>
    <w:rsid w:val="000715E3"/>
    <w:rsid w:val="00073120"/>
    <w:rsid w:val="00074718"/>
    <w:rsid w:val="000764D0"/>
    <w:rsid w:val="000828D3"/>
    <w:rsid w:val="00086224"/>
    <w:rsid w:val="000A2B57"/>
    <w:rsid w:val="000A418B"/>
    <w:rsid w:val="000A4DCC"/>
    <w:rsid w:val="000B00E2"/>
    <w:rsid w:val="000C4431"/>
    <w:rsid w:val="000D1C06"/>
    <w:rsid w:val="000D4319"/>
    <w:rsid w:val="000F3309"/>
    <w:rsid w:val="000F374A"/>
    <w:rsid w:val="00105006"/>
    <w:rsid w:val="001076AF"/>
    <w:rsid w:val="00112249"/>
    <w:rsid w:val="00117C8C"/>
    <w:rsid w:val="00124E2E"/>
    <w:rsid w:val="00125ED4"/>
    <w:rsid w:val="001305E9"/>
    <w:rsid w:val="001307AF"/>
    <w:rsid w:val="00135687"/>
    <w:rsid w:val="0014116C"/>
    <w:rsid w:val="0015506E"/>
    <w:rsid w:val="00156D8F"/>
    <w:rsid w:val="00163031"/>
    <w:rsid w:val="00171A90"/>
    <w:rsid w:val="00180254"/>
    <w:rsid w:val="00191E1F"/>
    <w:rsid w:val="00192943"/>
    <w:rsid w:val="00194B84"/>
    <w:rsid w:val="001A7406"/>
    <w:rsid w:val="001B2A09"/>
    <w:rsid w:val="001B3D5E"/>
    <w:rsid w:val="001B4FEE"/>
    <w:rsid w:val="001B51C5"/>
    <w:rsid w:val="001B6F3F"/>
    <w:rsid w:val="001C52B5"/>
    <w:rsid w:val="001C7573"/>
    <w:rsid w:val="001D0D3E"/>
    <w:rsid w:val="001E1113"/>
    <w:rsid w:val="001F2245"/>
    <w:rsid w:val="001F2C63"/>
    <w:rsid w:val="001F48C7"/>
    <w:rsid w:val="001F6DA1"/>
    <w:rsid w:val="001F7614"/>
    <w:rsid w:val="002044E6"/>
    <w:rsid w:val="00205C82"/>
    <w:rsid w:val="00205DC2"/>
    <w:rsid w:val="00212B17"/>
    <w:rsid w:val="002163B6"/>
    <w:rsid w:val="00220331"/>
    <w:rsid w:val="00220732"/>
    <w:rsid w:val="00221D32"/>
    <w:rsid w:val="00223FCF"/>
    <w:rsid w:val="00225C3F"/>
    <w:rsid w:val="0022755C"/>
    <w:rsid w:val="00263D44"/>
    <w:rsid w:val="002702AD"/>
    <w:rsid w:val="00271EC4"/>
    <w:rsid w:val="00275FE4"/>
    <w:rsid w:val="00292D82"/>
    <w:rsid w:val="002963CB"/>
    <w:rsid w:val="002A50C6"/>
    <w:rsid w:val="002D04A2"/>
    <w:rsid w:val="002D21FC"/>
    <w:rsid w:val="002D226D"/>
    <w:rsid w:val="002F6030"/>
    <w:rsid w:val="002F73AC"/>
    <w:rsid w:val="003037E1"/>
    <w:rsid w:val="00307E51"/>
    <w:rsid w:val="003103EC"/>
    <w:rsid w:val="003144EF"/>
    <w:rsid w:val="00322F74"/>
    <w:rsid w:val="00340073"/>
    <w:rsid w:val="003632FD"/>
    <w:rsid w:val="003664C3"/>
    <w:rsid w:val="00372805"/>
    <w:rsid w:val="00373180"/>
    <w:rsid w:val="00375AB9"/>
    <w:rsid w:val="003821A0"/>
    <w:rsid w:val="00385B04"/>
    <w:rsid w:val="003864CF"/>
    <w:rsid w:val="00393D76"/>
    <w:rsid w:val="003A22A6"/>
    <w:rsid w:val="003A5494"/>
    <w:rsid w:val="003A7139"/>
    <w:rsid w:val="003B2510"/>
    <w:rsid w:val="003B2EE7"/>
    <w:rsid w:val="003C2CC4"/>
    <w:rsid w:val="003C3710"/>
    <w:rsid w:val="003E0EFC"/>
    <w:rsid w:val="003E4A2B"/>
    <w:rsid w:val="003E76C2"/>
    <w:rsid w:val="003F1679"/>
    <w:rsid w:val="003F21EB"/>
    <w:rsid w:val="003F4A35"/>
    <w:rsid w:val="003F67B5"/>
    <w:rsid w:val="003F7FDD"/>
    <w:rsid w:val="00402481"/>
    <w:rsid w:val="004042B4"/>
    <w:rsid w:val="00410DC4"/>
    <w:rsid w:val="00412DAE"/>
    <w:rsid w:val="004242E6"/>
    <w:rsid w:val="00431598"/>
    <w:rsid w:val="004319AD"/>
    <w:rsid w:val="004426B8"/>
    <w:rsid w:val="00444432"/>
    <w:rsid w:val="00457D80"/>
    <w:rsid w:val="00471860"/>
    <w:rsid w:val="00490A6F"/>
    <w:rsid w:val="004A6791"/>
    <w:rsid w:val="004A744D"/>
    <w:rsid w:val="004B60BD"/>
    <w:rsid w:val="004C3150"/>
    <w:rsid w:val="004C3641"/>
    <w:rsid w:val="004C4390"/>
    <w:rsid w:val="004C4AF7"/>
    <w:rsid w:val="004D2881"/>
    <w:rsid w:val="004D385F"/>
    <w:rsid w:val="004D5B39"/>
    <w:rsid w:val="004E330D"/>
    <w:rsid w:val="004E5147"/>
    <w:rsid w:val="004F11C4"/>
    <w:rsid w:val="004F11F4"/>
    <w:rsid w:val="004F5C43"/>
    <w:rsid w:val="0050652D"/>
    <w:rsid w:val="00506C03"/>
    <w:rsid w:val="00511A11"/>
    <w:rsid w:val="00513FB5"/>
    <w:rsid w:val="00516496"/>
    <w:rsid w:val="00517734"/>
    <w:rsid w:val="00517E2F"/>
    <w:rsid w:val="00523B11"/>
    <w:rsid w:val="0052572A"/>
    <w:rsid w:val="00531EE1"/>
    <w:rsid w:val="00543CB3"/>
    <w:rsid w:val="005442E4"/>
    <w:rsid w:val="00552ACE"/>
    <w:rsid w:val="00560FF0"/>
    <w:rsid w:val="005614BD"/>
    <w:rsid w:val="0057154F"/>
    <w:rsid w:val="00580F69"/>
    <w:rsid w:val="00581CA3"/>
    <w:rsid w:val="00581F1F"/>
    <w:rsid w:val="00587A44"/>
    <w:rsid w:val="00594FF0"/>
    <w:rsid w:val="00597730"/>
    <w:rsid w:val="005977EC"/>
    <w:rsid w:val="00597DE7"/>
    <w:rsid w:val="00597E87"/>
    <w:rsid w:val="005A4AA2"/>
    <w:rsid w:val="005B34B6"/>
    <w:rsid w:val="005B6C8F"/>
    <w:rsid w:val="005B6EC3"/>
    <w:rsid w:val="005C7D6E"/>
    <w:rsid w:val="005D0F74"/>
    <w:rsid w:val="005D2E7D"/>
    <w:rsid w:val="005D4A8F"/>
    <w:rsid w:val="005D561B"/>
    <w:rsid w:val="005D5ECF"/>
    <w:rsid w:val="005E5787"/>
    <w:rsid w:val="005E6CFF"/>
    <w:rsid w:val="005F468D"/>
    <w:rsid w:val="005F6680"/>
    <w:rsid w:val="005F69A3"/>
    <w:rsid w:val="00604CC7"/>
    <w:rsid w:val="00615423"/>
    <w:rsid w:val="006165B2"/>
    <w:rsid w:val="00617276"/>
    <w:rsid w:val="0062527B"/>
    <w:rsid w:val="00625D97"/>
    <w:rsid w:val="00625F1C"/>
    <w:rsid w:val="006279E1"/>
    <w:rsid w:val="00630CEB"/>
    <w:rsid w:val="00632264"/>
    <w:rsid w:val="006470BC"/>
    <w:rsid w:val="00651B03"/>
    <w:rsid w:val="006554D3"/>
    <w:rsid w:val="00667036"/>
    <w:rsid w:val="00673BDB"/>
    <w:rsid w:val="00674341"/>
    <w:rsid w:val="00675E9C"/>
    <w:rsid w:val="006771B8"/>
    <w:rsid w:val="006843B6"/>
    <w:rsid w:val="0068481F"/>
    <w:rsid w:val="00696F5D"/>
    <w:rsid w:val="00697249"/>
    <w:rsid w:val="006A635E"/>
    <w:rsid w:val="006B3947"/>
    <w:rsid w:val="006B4293"/>
    <w:rsid w:val="006B624F"/>
    <w:rsid w:val="006C0C95"/>
    <w:rsid w:val="006C31E3"/>
    <w:rsid w:val="006C41F7"/>
    <w:rsid w:val="006D18D3"/>
    <w:rsid w:val="006E08CB"/>
    <w:rsid w:val="006E598D"/>
    <w:rsid w:val="006F46E3"/>
    <w:rsid w:val="0070437D"/>
    <w:rsid w:val="00704CF1"/>
    <w:rsid w:val="00705B04"/>
    <w:rsid w:val="007246AF"/>
    <w:rsid w:val="00724992"/>
    <w:rsid w:val="00734820"/>
    <w:rsid w:val="007349DC"/>
    <w:rsid w:val="0074365E"/>
    <w:rsid w:val="00744B55"/>
    <w:rsid w:val="00746BD4"/>
    <w:rsid w:val="007515FD"/>
    <w:rsid w:val="00760D80"/>
    <w:rsid w:val="00780383"/>
    <w:rsid w:val="00780C09"/>
    <w:rsid w:val="00780DDF"/>
    <w:rsid w:val="007834E9"/>
    <w:rsid w:val="00787DBC"/>
    <w:rsid w:val="0079019A"/>
    <w:rsid w:val="007907E8"/>
    <w:rsid w:val="00792935"/>
    <w:rsid w:val="007A04A1"/>
    <w:rsid w:val="007A1840"/>
    <w:rsid w:val="007A4267"/>
    <w:rsid w:val="007C0528"/>
    <w:rsid w:val="007C26AB"/>
    <w:rsid w:val="007C3D38"/>
    <w:rsid w:val="007D0F35"/>
    <w:rsid w:val="007D4FEB"/>
    <w:rsid w:val="007D6146"/>
    <w:rsid w:val="007E0CE7"/>
    <w:rsid w:val="007F1193"/>
    <w:rsid w:val="007F417F"/>
    <w:rsid w:val="007F7644"/>
    <w:rsid w:val="008042BD"/>
    <w:rsid w:val="00816624"/>
    <w:rsid w:val="00822427"/>
    <w:rsid w:val="00822562"/>
    <w:rsid w:val="008229A5"/>
    <w:rsid w:val="00823663"/>
    <w:rsid w:val="00832DDC"/>
    <w:rsid w:val="00850BAC"/>
    <w:rsid w:val="00854A3E"/>
    <w:rsid w:val="00855D08"/>
    <w:rsid w:val="00870137"/>
    <w:rsid w:val="00874344"/>
    <w:rsid w:val="00882155"/>
    <w:rsid w:val="0088233B"/>
    <w:rsid w:val="00884BC3"/>
    <w:rsid w:val="0088599E"/>
    <w:rsid w:val="00886C37"/>
    <w:rsid w:val="00892D99"/>
    <w:rsid w:val="00893315"/>
    <w:rsid w:val="008A0954"/>
    <w:rsid w:val="008B62AE"/>
    <w:rsid w:val="008C04B5"/>
    <w:rsid w:val="008C14FA"/>
    <w:rsid w:val="008C47D1"/>
    <w:rsid w:val="008C7B0B"/>
    <w:rsid w:val="008D4057"/>
    <w:rsid w:val="008E1F19"/>
    <w:rsid w:val="008F2262"/>
    <w:rsid w:val="008F4D2B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3654"/>
    <w:rsid w:val="009145D6"/>
    <w:rsid w:val="00920E64"/>
    <w:rsid w:val="00922002"/>
    <w:rsid w:val="00924020"/>
    <w:rsid w:val="009271A7"/>
    <w:rsid w:val="0093658B"/>
    <w:rsid w:val="009429FF"/>
    <w:rsid w:val="00945BD6"/>
    <w:rsid w:val="009479FB"/>
    <w:rsid w:val="00951C45"/>
    <w:rsid w:val="00954F58"/>
    <w:rsid w:val="009656F2"/>
    <w:rsid w:val="00966A08"/>
    <w:rsid w:val="00971207"/>
    <w:rsid w:val="00975CB4"/>
    <w:rsid w:val="009863B0"/>
    <w:rsid w:val="00987DE1"/>
    <w:rsid w:val="00990571"/>
    <w:rsid w:val="0099673A"/>
    <w:rsid w:val="009A3330"/>
    <w:rsid w:val="009A7C96"/>
    <w:rsid w:val="009A7E5F"/>
    <w:rsid w:val="009C18BA"/>
    <w:rsid w:val="009C3DB9"/>
    <w:rsid w:val="009C5ECA"/>
    <w:rsid w:val="009D0FDF"/>
    <w:rsid w:val="009D46E5"/>
    <w:rsid w:val="009D568A"/>
    <w:rsid w:val="009F04EC"/>
    <w:rsid w:val="009F2A7C"/>
    <w:rsid w:val="009F3B36"/>
    <w:rsid w:val="00A019B9"/>
    <w:rsid w:val="00A12508"/>
    <w:rsid w:val="00A1282B"/>
    <w:rsid w:val="00A13A27"/>
    <w:rsid w:val="00A175B6"/>
    <w:rsid w:val="00A20DD0"/>
    <w:rsid w:val="00A21835"/>
    <w:rsid w:val="00A2374B"/>
    <w:rsid w:val="00A27D6E"/>
    <w:rsid w:val="00A3246C"/>
    <w:rsid w:val="00A328EC"/>
    <w:rsid w:val="00A33655"/>
    <w:rsid w:val="00A33A51"/>
    <w:rsid w:val="00A41CA6"/>
    <w:rsid w:val="00A47927"/>
    <w:rsid w:val="00A47FFC"/>
    <w:rsid w:val="00A5442F"/>
    <w:rsid w:val="00A54FF9"/>
    <w:rsid w:val="00A56765"/>
    <w:rsid w:val="00A675AC"/>
    <w:rsid w:val="00A7581F"/>
    <w:rsid w:val="00A811BC"/>
    <w:rsid w:val="00A92FB1"/>
    <w:rsid w:val="00A94D95"/>
    <w:rsid w:val="00A95A0C"/>
    <w:rsid w:val="00AA0CCA"/>
    <w:rsid w:val="00AA2765"/>
    <w:rsid w:val="00AA77B5"/>
    <w:rsid w:val="00AB6C5D"/>
    <w:rsid w:val="00AC3401"/>
    <w:rsid w:val="00AC51A7"/>
    <w:rsid w:val="00AD444B"/>
    <w:rsid w:val="00AD6C78"/>
    <w:rsid w:val="00AE2EAB"/>
    <w:rsid w:val="00AF5F89"/>
    <w:rsid w:val="00AF73CB"/>
    <w:rsid w:val="00B002D6"/>
    <w:rsid w:val="00B017D5"/>
    <w:rsid w:val="00B03379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516ED"/>
    <w:rsid w:val="00B53212"/>
    <w:rsid w:val="00B57A6A"/>
    <w:rsid w:val="00B760F1"/>
    <w:rsid w:val="00B7669E"/>
    <w:rsid w:val="00B77DA1"/>
    <w:rsid w:val="00B822A0"/>
    <w:rsid w:val="00B84B4D"/>
    <w:rsid w:val="00B858AE"/>
    <w:rsid w:val="00B85964"/>
    <w:rsid w:val="00B96250"/>
    <w:rsid w:val="00BA0D55"/>
    <w:rsid w:val="00BA37B3"/>
    <w:rsid w:val="00BA4CC6"/>
    <w:rsid w:val="00BB3493"/>
    <w:rsid w:val="00BB7468"/>
    <w:rsid w:val="00BC188A"/>
    <w:rsid w:val="00BC402E"/>
    <w:rsid w:val="00BC613E"/>
    <w:rsid w:val="00BC61C2"/>
    <w:rsid w:val="00BD0E7A"/>
    <w:rsid w:val="00BD0F48"/>
    <w:rsid w:val="00BD24CD"/>
    <w:rsid w:val="00BE0ED2"/>
    <w:rsid w:val="00BE5C2F"/>
    <w:rsid w:val="00BF5010"/>
    <w:rsid w:val="00C03D5F"/>
    <w:rsid w:val="00C052C1"/>
    <w:rsid w:val="00C13791"/>
    <w:rsid w:val="00C31BB3"/>
    <w:rsid w:val="00C36977"/>
    <w:rsid w:val="00C467DA"/>
    <w:rsid w:val="00C477D9"/>
    <w:rsid w:val="00C60BA3"/>
    <w:rsid w:val="00C623F7"/>
    <w:rsid w:val="00C64FD5"/>
    <w:rsid w:val="00C6594A"/>
    <w:rsid w:val="00C75BC5"/>
    <w:rsid w:val="00C81670"/>
    <w:rsid w:val="00C81773"/>
    <w:rsid w:val="00C82861"/>
    <w:rsid w:val="00C86896"/>
    <w:rsid w:val="00C907A8"/>
    <w:rsid w:val="00C93211"/>
    <w:rsid w:val="00C942EC"/>
    <w:rsid w:val="00C96047"/>
    <w:rsid w:val="00C979D0"/>
    <w:rsid w:val="00CA0818"/>
    <w:rsid w:val="00CA15C8"/>
    <w:rsid w:val="00CA2C8F"/>
    <w:rsid w:val="00CA30DA"/>
    <w:rsid w:val="00CA3A24"/>
    <w:rsid w:val="00CB1777"/>
    <w:rsid w:val="00CB33E9"/>
    <w:rsid w:val="00CC10A9"/>
    <w:rsid w:val="00CD122E"/>
    <w:rsid w:val="00CE2BF8"/>
    <w:rsid w:val="00CE484E"/>
    <w:rsid w:val="00CE656F"/>
    <w:rsid w:val="00CF0DA8"/>
    <w:rsid w:val="00CF2E25"/>
    <w:rsid w:val="00CF4453"/>
    <w:rsid w:val="00CF5D94"/>
    <w:rsid w:val="00CF7E0F"/>
    <w:rsid w:val="00D034D7"/>
    <w:rsid w:val="00D04BE4"/>
    <w:rsid w:val="00D06FC7"/>
    <w:rsid w:val="00D10620"/>
    <w:rsid w:val="00D12565"/>
    <w:rsid w:val="00D14127"/>
    <w:rsid w:val="00D15063"/>
    <w:rsid w:val="00D23586"/>
    <w:rsid w:val="00D57BD6"/>
    <w:rsid w:val="00D60B16"/>
    <w:rsid w:val="00D60F02"/>
    <w:rsid w:val="00D66E49"/>
    <w:rsid w:val="00D67251"/>
    <w:rsid w:val="00D70D71"/>
    <w:rsid w:val="00D72F74"/>
    <w:rsid w:val="00D81563"/>
    <w:rsid w:val="00D81F09"/>
    <w:rsid w:val="00D85907"/>
    <w:rsid w:val="00D8675A"/>
    <w:rsid w:val="00D9073E"/>
    <w:rsid w:val="00D90C9D"/>
    <w:rsid w:val="00D9221D"/>
    <w:rsid w:val="00D958DF"/>
    <w:rsid w:val="00D96DA1"/>
    <w:rsid w:val="00DA386D"/>
    <w:rsid w:val="00DA498B"/>
    <w:rsid w:val="00DA51E7"/>
    <w:rsid w:val="00DB0260"/>
    <w:rsid w:val="00DB1C78"/>
    <w:rsid w:val="00DB7D96"/>
    <w:rsid w:val="00DC23FE"/>
    <w:rsid w:val="00DC59E6"/>
    <w:rsid w:val="00DD150B"/>
    <w:rsid w:val="00DD28D0"/>
    <w:rsid w:val="00DD5025"/>
    <w:rsid w:val="00DE1D43"/>
    <w:rsid w:val="00DE5E28"/>
    <w:rsid w:val="00DF1510"/>
    <w:rsid w:val="00E02F1F"/>
    <w:rsid w:val="00E04386"/>
    <w:rsid w:val="00E06484"/>
    <w:rsid w:val="00E10D37"/>
    <w:rsid w:val="00E1412B"/>
    <w:rsid w:val="00E20A7D"/>
    <w:rsid w:val="00E275D8"/>
    <w:rsid w:val="00E30F6A"/>
    <w:rsid w:val="00E3117C"/>
    <w:rsid w:val="00E375CA"/>
    <w:rsid w:val="00E4160F"/>
    <w:rsid w:val="00E567E8"/>
    <w:rsid w:val="00E64679"/>
    <w:rsid w:val="00E65EBC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953E1"/>
    <w:rsid w:val="00E9560D"/>
    <w:rsid w:val="00EA2273"/>
    <w:rsid w:val="00EA7C3C"/>
    <w:rsid w:val="00EB2DB3"/>
    <w:rsid w:val="00EC3FBB"/>
    <w:rsid w:val="00EC6B7A"/>
    <w:rsid w:val="00ED3A87"/>
    <w:rsid w:val="00ED5B67"/>
    <w:rsid w:val="00EF0A30"/>
    <w:rsid w:val="00EF264C"/>
    <w:rsid w:val="00EF3A43"/>
    <w:rsid w:val="00EF3FEE"/>
    <w:rsid w:val="00F04B59"/>
    <w:rsid w:val="00F06AA8"/>
    <w:rsid w:val="00F11741"/>
    <w:rsid w:val="00F12B1C"/>
    <w:rsid w:val="00F13CF8"/>
    <w:rsid w:val="00F15855"/>
    <w:rsid w:val="00F23BEC"/>
    <w:rsid w:val="00F23DC7"/>
    <w:rsid w:val="00F32978"/>
    <w:rsid w:val="00F45CB2"/>
    <w:rsid w:val="00F46E5D"/>
    <w:rsid w:val="00F53121"/>
    <w:rsid w:val="00F544C0"/>
    <w:rsid w:val="00F55332"/>
    <w:rsid w:val="00F6504A"/>
    <w:rsid w:val="00F65519"/>
    <w:rsid w:val="00F65746"/>
    <w:rsid w:val="00F713C0"/>
    <w:rsid w:val="00F75DDC"/>
    <w:rsid w:val="00F7792F"/>
    <w:rsid w:val="00F842AA"/>
    <w:rsid w:val="00F8476F"/>
    <w:rsid w:val="00F853E1"/>
    <w:rsid w:val="00F85604"/>
    <w:rsid w:val="00F94B7A"/>
    <w:rsid w:val="00FA17AC"/>
    <w:rsid w:val="00FA32DE"/>
    <w:rsid w:val="00FA3382"/>
    <w:rsid w:val="00FA54EA"/>
    <w:rsid w:val="00FA59CD"/>
    <w:rsid w:val="00FB1740"/>
    <w:rsid w:val="00FC353A"/>
    <w:rsid w:val="00FC5469"/>
    <w:rsid w:val="00FC6D7D"/>
    <w:rsid w:val="00FD16B0"/>
    <w:rsid w:val="00FD4FED"/>
    <w:rsid w:val="00FE0577"/>
    <w:rsid w:val="00FE59EC"/>
    <w:rsid w:val="00FE5B67"/>
    <w:rsid w:val="00F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rsid w:val="00E416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rsid w:val="00E416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2002\templates\PSC\Recommendation%20(Regula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EFDBB-4DB8-466B-AAF1-CB7560EE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</Template>
  <TotalTime>0</TotalTime>
  <Pages>10</Pages>
  <Words>1038</Words>
  <Characters>6099</Characters>
  <Application>Microsoft Office Word</Application>
  <DocSecurity>0</DocSecurity>
  <Lines>112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FPSC</Company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Riley Doherty</dc:creator>
  <cp:lastModifiedBy>Patricia Zellner</cp:lastModifiedBy>
  <cp:revision>2</cp:revision>
  <cp:lastPrinted>2018-06-27T14:33:00Z</cp:lastPrinted>
  <dcterms:created xsi:type="dcterms:W3CDTF">2018-06-27T14:34:00Z</dcterms:created>
  <dcterms:modified xsi:type="dcterms:W3CDTF">2018-06-27T14:34:00Z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20180092-EQ</vt:lpwstr>
  </property>
  <property fmtid="{D5CDD505-2E9C-101B-9397-08002B2CF9AE}" pid="3" name="MasterDocument">
    <vt:bool>false</vt:bool>
  </property>
</Properties>
</file>