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04606">
            <w:pPr>
              <w:pStyle w:val="MemoHeading"/>
            </w:pPr>
            <w:bookmarkStart w:id="1" w:name="FilingDate"/>
            <w:r>
              <w:t>May 28,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C0528" w:rsidRDefault="00604606">
            <w:pPr>
              <w:pStyle w:val="MemoHeading"/>
            </w:pPr>
            <w:bookmarkStart w:id="2" w:name="From"/>
            <w:r>
              <w:t>Office of the General Counsel (Cowdery)</w:t>
            </w:r>
            <w:bookmarkEnd w:id="2"/>
          </w:p>
          <w:p w:rsidR="00BE2F6C" w:rsidRPr="00BE2F6C" w:rsidRDefault="00BE2F6C" w:rsidP="00BE2F6C">
            <w:r>
              <w:t>Division of Economics (Guffey)</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04606">
            <w:pPr>
              <w:pStyle w:val="MemoHeadingRe"/>
            </w:pPr>
            <w:bookmarkStart w:id="3" w:name="Re"/>
            <w:r>
              <w:t>Docket No. 20200094-EU – Proposed amendments to Rules 25-6.0440, F.A.C., Territorial Agreements for Electric Utilities, and 25-6.0441, F.A.C., Territorial Disputes for Electric Utilities.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04606">
            <w:pPr>
              <w:pStyle w:val="MemoHeading"/>
            </w:pPr>
            <w:bookmarkStart w:id="4" w:name="AgendaDate"/>
            <w:r>
              <w:t>06/09/20</w:t>
            </w:r>
            <w:bookmarkEnd w:id="4"/>
            <w:r w:rsidR="007C0528">
              <w:t xml:space="preserve"> – </w:t>
            </w:r>
            <w:bookmarkStart w:id="5" w:name="PermittedStatus"/>
            <w:r>
              <w:t xml:space="preserve">Regular Agenda – </w:t>
            </w:r>
            <w:r w:rsidR="00950528">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04606">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04606">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604606"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604606">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04606">
            <w:pPr>
              <w:pStyle w:val="MemoHeading"/>
            </w:pPr>
            <w:bookmarkStart w:id="10" w:name="SpecialInstructions"/>
            <w:r>
              <w:t>None</w:t>
            </w:r>
            <w:bookmarkEnd w:id="10"/>
          </w:p>
        </w:tc>
      </w:tr>
    </w:tbl>
    <w:p w:rsidR="007C0528" w:rsidRDefault="007C0528">
      <w:pPr>
        <w:pStyle w:val="BodyText"/>
      </w:pPr>
    </w:p>
    <w:p w:rsidR="00686BF4" w:rsidRDefault="007C0528">
      <w:pPr>
        <w:pStyle w:val="RecommendationMajorSectionHeading"/>
      </w:pPr>
      <w:bookmarkStart w:id="11" w:name="RecToC"/>
      <w:bookmarkEnd w:id="11"/>
      <w:r>
        <w:t xml:space="preserve"> </w:t>
      </w:r>
      <w:bookmarkStart w:id="12" w:name="CaseBackground"/>
      <w:r>
        <w:t>Case Background</w:t>
      </w:r>
    </w:p>
    <w:p w:rsidR="00686BF4" w:rsidRDefault="00686BF4" w:rsidP="00686BF4">
      <w:pPr>
        <w:pStyle w:val="First-LevelSubheading"/>
      </w:pPr>
      <w:r>
        <w:t>The Rules</w:t>
      </w:r>
    </w:p>
    <w:p w:rsidR="00BD0F39" w:rsidRDefault="00B1608F" w:rsidP="00BE2F6C">
      <w:pPr>
        <w:jc w:val="both"/>
      </w:pPr>
      <w:r w:rsidRPr="00285474">
        <w:t xml:space="preserve">On August 17, 2018, </w:t>
      </w:r>
      <w:r w:rsidR="004A4562">
        <w:t xml:space="preserve">the </w:t>
      </w:r>
      <w:r w:rsidR="009D19D6">
        <w:t>Joint Administrative Procedure</w:t>
      </w:r>
      <w:r w:rsidR="00FD334A">
        <w:t>s</w:t>
      </w:r>
      <w:r w:rsidR="009D19D6">
        <w:t xml:space="preserve"> </w:t>
      </w:r>
      <w:r w:rsidR="00BD0F39">
        <w:t>Committee (</w:t>
      </w:r>
      <w:r w:rsidRPr="00285474">
        <w:t>JAPC</w:t>
      </w:r>
      <w:r w:rsidR="00BD0F39">
        <w:t>)</w:t>
      </w:r>
      <w:r w:rsidRPr="00285474">
        <w:t xml:space="preserve"> sent the Commission a letter</w:t>
      </w:r>
      <w:r>
        <w:t xml:space="preserve"> providing comments resulting from JAPC’s review of Chapter 25-6, </w:t>
      </w:r>
      <w:r w:rsidR="00BA56FC">
        <w:t>Florida Administrative Code (</w:t>
      </w:r>
      <w:r>
        <w:t>F.A.C</w:t>
      </w:r>
      <w:r w:rsidR="00BA56FC">
        <w:t>)</w:t>
      </w:r>
      <w:r>
        <w:t>.</w:t>
      </w:r>
      <w:r w:rsidR="00FD334A">
        <w:rPr>
          <w:rStyle w:val="FootnoteReference"/>
        </w:rPr>
        <w:footnoteReference w:id="1"/>
      </w:r>
      <w:r w:rsidR="001243E5">
        <w:t xml:space="preserve"> The letter</w:t>
      </w:r>
      <w:r w:rsidR="00BD0F39">
        <w:t xml:space="preserve"> included comments on Rule</w:t>
      </w:r>
      <w:r>
        <w:t xml:space="preserve"> 25-6.0440</w:t>
      </w:r>
      <w:r w:rsidR="001243E5">
        <w:t xml:space="preserve">, Territorial Agreements for Electric Utilities, </w:t>
      </w:r>
      <w:r>
        <w:t xml:space="preserve">and </w:t>
      </w:r>
      <w:r w:rsidR="00BD0F39">
        <w:t xml:space="preserve">Rule </w:t>
      </w:r>
      <w:r>
        <w:t>25-6.0441</w:t>
      </w:r>
      <w:r w:rsidR="001243E5">
        <w:t>, Territorial Disputes for Electric Utilities</w:t>
      </w:r>
      <w:r w:rsidR="00BE2FA3">
        <w:t>, F.A.C.</w:t>
      </w:r>
      <w:r w:rsidR="00BD0F39" w:rsidRPr="00BD0F39">
        <w:rPr>
          <w:rStyle w:val="FootnoteReference"/>
        </w:rPr>
        <w:t xml:space="preserve"> </w:t>
      </w:r>
      <w:r w:rsidR="00BD0F39">
        <w:rPr>
          <w:rStyle w:val="FootnoteReference"/>
        </w:rPr>
        <w:footnoteReference w:id="2"/>
      </w:r>
      <w:r>
        <w:t xml:space="preserve"> </w:t>
      </w:r>
    </w:p>
    <w:p w:rsidR="00950528" w:rsidRDefault="00FA29DD" w:rsidP="00BE2F6C">
      <w:pPr>
        <w:jc w:val="both"/>
      </w:pPr>
      <w:r>
        <w:lastRenderedPageBreak/>
        <w:t>Rule 25-6.0440</w:t>
      </w:r>
      <w:r w:rsidR="001243E5">
        <w:t xml:space="preserve">, F.A.C., </w:t>
      </w:r>
      <w:r w:rsidR="00575786">
        <w:t xml:space="preserve">requires all territorial agreements between electric utilities to be submitted to the Commission for approval. The rule </w:t>
      </w:r>
      <w:r>
        <w:t>lists</w:t>
      </w:r>
      <w:r w:rsidR="00575786">
        <w:t xml:space="preserve"> the information </w:t>
      </w:r>
      <w:r>
        <w:t>that must be provided</w:t>
      </w:r>
      <w:r w:rsidR="00575786">
        <w:t xml:space="preserve"> and sets forth the </w:t>
      </w:r>
      <w:r>
        <w:t>factors</w:t>
      </w:r>
      <w:r w:rsidR="00575786">
        <w:t xml:space="preserve"> that the Commission may consider in approving territorial agreements. Rule 25-6.0441</w:t>
      </w:r>
      <w:r>
        <w:t>,</w:t>
      </w:r>
      <w:r w:rsidR="00575786">
        <w:t xml:space="preserve"> F.A.C., states that a territorial dispute proceeding may be initiated by a petition from an electric utility requesting the Commission to resolve the dispute. The rule </w:t>
      </w:r>
      <w:r>
        <w:t>lists the</w:t>
      </w:r>
      <w:r w:rsidR="00575786">
        <w:t xml:space="preserve"> information required in the petition and </w:t>
      </w:r>
      <w:r>
        <w:t>identifies</w:t>
      </w:r>
      <w:r w:rsidR="00575786">
        <w:t xml:space="preserve"> the factors the Commission may consider in resolving territorial disputes. </w:t>
      </w:r>
      <w:r>
        <w:t>Both rules state that the Commission’s consideration is not limited to the factors that are listed.</w:t>
      </w:r>
    </w:p>
    <w:p w:rsidR="007A417E" w:rsidRDefault="007A417E" w:rsidP="00BE2F6C">
      <w:pPr>
        <w:jc w:val="both"/>
      </w:pPr>
    </w:p>
    <w:p w:rsidR="003C63D3" w:rsidRDefault="007A417E" w:rsidP="00BE2F6C">
      <w:pPr>
        <w:jc w:val="both"/>
      </w:pPr>
      <w:r>
        <w:t>The territorial agreement and territorial dispute rules impleme</w:t>
      </w:r>
      <w:r w:rsidR="00BD0F39">
        <w:t>nt Section 366.04(2), F.S.</w:t>
      </w:r>
      <w:r>
        <w:t xml:space="preserve">, </w:t>
      </w:r>
      <w:r w:rsidR="00FA29DD">
        <w:t xml:space="preserve">which </w:t>
      </w:r>
      <w:r>
        <w:t>gives the Commission the power to approve territorial agreements and to re</w:t>
      </w:r>
      <w:r w:rsidR="001243E5">
        <w:t>s</w:t>
      </w:r>
      <w:r>
        <w:t xml:space="preserve">olve territorial disputes involving rural electric cooperatives, municipal electric utilities, and other electric utilities under its jurisdiction. For territorial disputes, </w:t>
      </w:r>
      <w:r w:rsidR="00BD0F39">
        <w:t>Section 366.04(2</w:t>
      </w:r>
      <w:proofErr w:type="gramStart"/>
      <w:r w:rsidR="00BD0F39">
        <w:t>)(</w:t>
      </w:r>
      <w:proofErr w:type="gramEnd"/>
      <w:r w:rsidR="00BD0F39">
        <w:t>e), F.S.</w:t>
      </w:r>
      <w:r w:rsidR="001243E5">
        <w:t>,</w:t>
      </w:r>
      <w:r>
        <w:t xml:space="preserve"> states t</w:t>
      </w:r>
      <w:r w:rsidR="00B1608F">
        <w:t>hat:</w:t>
      </w:r>
    </w:p>
    <w:p w:rsidR="00BD0F39" w:rsidRDefault="00BD0F39" w:rsidP="00B1608F">
      <w:pPr>
        <w:ind w:left="720" w:right="720"/>
        <w:jc w:val="both"/>
      </w:pPr>
    </w:p>
    <w:p w:rsidR="00B1608F" w:rsidRDefault="00B1608F" w:rsidP="00B1608F">
      <w:pPr>
        <w:ind w:left="720" w:right="720"/>
        <w:jc w:val="both"/>
      </w:pPr>
      <w:proofErr w:type="gramStart"/>
      <w:r>
        <w:t>the</w:t>
      </w:r>
      <w:proofErr w:type="gramEnd"/>
      <w:r>
        <w:t xml:space="preserve"> Commission may consider, but not be limited to consideration of, the ability of the utilities to expand services within their own capabilities and the nature of the area involved, including population, the degree of urbanization of the area, its proximity to other urban areas, and the present and reasonably foreseeable future requirements of the area for other utility services.</w:t>
      </w:r>
    </w:p>
    <w:p w:rsidR="00B1608F" w:rsidRDefault="00B1608F" w:rsidP="00B1608F">
      <w:pPr>
        <w:ind w:left="720" w:right="720"/>
        <w:jc w:val="both"/>
      </w:pPr>
    </w:p>
    <w:p w:rsidR="00BE2FA3" w:rsidRDefault="00920EAB" w:rsidP="00BE2F6C">
      <w:pPr>
        <w:jc w:val="both"/>
      </w:pPr>
      <w:r>
        <w:t>The factors listed in</w:t>
      </w:r>
      <w:r w:rsidR="00BD0F39">
        <w:t xml:space="preserve"> Section 366.04(2</w:t>
      </w:r>
      <w:proofErr w:type="gramStart"/>
      <w:r w:rsidR="00BD0F39">
        <w:t>)(</w:t>
      </w:r>
      <w:proofErr w:type="gramEnd"/>
      <w:r w:rsidR="00BD0F39">
        <w:t>e), F.S</w:t>
      </w:r>
      <w:r>
        <w:t xml:space="preserve">., are included in the list of factors in Rule 25-6.0441, F.A.C., although </w:t>
      </w:r>
      <w:r w:rsidR="00D06D00">
        <w:t xml:space="preserve">the language is not identical. </w:t>
      </w:r>
      <w:r w:rsidR="001243E5">
        <w:t xml:space="preserve">JAPC’s interpretation of </w:t>
      </w:r>
      <w:r w:rsidR="00BD0F39">
        <w:t>Section 366.04(2</w:t>
      </w:r>
      <w:proofErr w:type="gramStart"/>
      <w:r w:rsidR="00BD0F39">
        <w:t>)(</w:t>
      </w:r>
      <w:proofErr w:type="gramEnd"/>
      <w:r w:rsidR="00BD0F39">
        <w:t>e), F.S.</w:t>
      </w:r>
      <w:r w:rsidR="001243E5">
        <w:t>, is that the Legislature gave the Commission authority to consider factors other than those listed in the statute in resolving territorial disputes, but those additional factors need to be identified in the rule.</w:t>
      </w:r>
    </w:p>
    <w:p w:rsidR="00686BF4" w:rsidRDefault="00686BF4" w:rsidP="00BE2F6C">
      <w:pPr>
        <w:jc w:val="both"/>
      </w:pPr>
    </w:p>
    <w:p w:rsidR="00BE2FA3" w:rsidRDefault="00686BF4" w:rsidP="00686BF4">
      <w:pPr>
        <w:pStyle w:val="First-LevelSubheading"/>
      </w:pPr>
      <w:r>
        <w:t>JAPC’s Comment</w:t>
      </w:r>
      <w:r w:rsidR="009E7B33">
        <w:t>s</w:t>
      </w:r>
    </w:p>
    <w:p w:rsidR="005D1744" w:rsidRDefault="003C63D3" w:rsidP="00BE2F6C">
      <w:pPr>
        <w:jc w:val="both"/>
      </w:pPr>
      <w:r>
        <w:t>JAPC’s letter noted that Rules 25-6.0440 and 25-6.0441, F.A.C., both state that the Commission “may consider, but not be limited to” certain enumerated factors</w:t>
      </w:r>
      <w:r w:rsidR="00575786">
        <w:t xml:space="preserve"> in making its determination</w:t>
      </w:r>
      <w:r>
        <w:t>.  JAPC commented that the use of the quoted phrase in the rules implies that there are additional expectations or standards that could be enforced that a</w:t>
      </w:r>
      <w:r w:rsidR="00BD0F39">
        <w:t xml:space="preserve">re not enumerated. JAPC asked the Commission </w:t>
      </w:r>
      <w:r>
        <w:t xml:space="preserve">to review </w:t>
      </w:r>
      <w:r w:rsidR="00BD0F39">
        <w:t>Section 120.52(8</w:t>
      </w:r>
      <w:proofErr w:type="gramStart"/>
      <w:r w:rsidR="00BD0F39">
        <w:t>)(</w:t>
      </w:r>
      <w:proofErr w:type="gramEnd"/>
      <w:r w:rsidR="00BD0F39">
        <w:t>d), F.S.</w:t>
      </w:r>
      <w:r>
        <w:t>, which provides that it is an invalid exercise of delegated legislative authority if a rule is vague, fails to establish adequate standards for agency decisions, or vests unbridled discretion in the agency.</w:t>
      </w:r>
    </w:p>
    <w:p w:rsidR="009E7B33" w:rsidRDefault="009E7B33" w:rsidP="00BE2F6C">
      <w:pPr>
        <w:jc w:val="both"/>
      </w:pPr>
    </w:p>
    <w:p w:rsidR="009E7B33" w:rsidRDefault="009E7B33" w:rsidP="009E7B33">
      <w:pPr>
        <w:pStyle w:val="First-LevelSubheading"/>
      </w:pPr>
      <w:r>
        <w:t>Procedural Matters</w:t>
      </w:r>
    </w:p>
    <w:p w:rsidR="00C51715" w:rsidRDefault="003C63D3" w:rsidP="00C51715">
      <w:pPr>
        <w:jc w:val="both"/>
      </w:pPr>
      <w:r>
        <w:t>T</w:t>
      </w:r>
      <w:r w:rsidRPr="00285474">
        <w:t xml:space="preserve">his rulemaking </w:t>
      </w:r>
      <w:r>
        <w:t xml:space="preserve">was initiated to address JAPC’s comments on </w:t>
      </w:r>
      <w:r w:rsidRPr="00285474">
        <w:t>Rules 25-6.</w:t>
      </w:r>
      <w:r>
        <w:t xml:space="preserve">0440 and 25-6.0441, F.A.C. </w:t>
      </w:r>
      <w:r w:rsidR="00BE2F6C">
        <w:t>The Notice of Development of Rulemaking appeared in the November 18, 2019 edition of the Florida Administrative Register (F.A.R.). Tampa Electric Company (TECO) and the Florida Electric Cooperatives Association (FECA) filed comments on December 3, 2019</w:t>
      </w:r>
      <w:r w:rsidR="00E26048">
        <w:t>, and</w:t>
      </w:r>
      <w:r w:rsidR="00BE2F6C">
        <w:t xml:space="preserve"> </w:t>
      </w:r>
      <w:r w:rsidR="00035BFF">
        <w:t>Florida Power &amp; Light</w:t>
      </w:r>
      <w:r w:rsidR="00F140C3">
        <w:t xml:space="preserve"> Company</w:t>
      </w:r>
      <w:r w:rsidR="00035BFF">
        <w:t>, Duke Energy Florida, and the Florida Municipal Electric Association joined FECA’s comments</w:t>
      </w:r>
      <w:r w:rsidR="009966DB">
        <w:t>.</w:t>
      </w:r>
      <w:r w:rsidR="00035BFF">
        <w:t xml:space="preserve"> </w:t>
      </w:r>
      <w:r w:rsidR="00BE2F6C">
        <w:t>TECO requested a workshop in its December 3</w:t>
      </w:r>
      <w:r w:rsidR="00F140C3">
        <w:t>, 2019</w:t>
      </w:r>
      <w:r w:rsidR="00BE2F6C">
        <w:t xml:space="preserve"> comments, and FECA requested a workshop on December 4, 2019. </w:t>
      </w:r>
      <w:r w:rsidR="00E26048">
        <w:t xml:space="preserve">However, </w:t>
      </w:r>
      <w:r w:rsidR="00950528">
        <w:t xml:space="preserve">TECO and FECA </w:t>
      </w:r>
      <w:r w:rsidR="00950528">
        <w:lastRenderedPageBreak/>
        <w:t>withdrew</w:t>
      </w:r>
      <w:r w:rsidR="00BE2F6C">
        <w:t xml:space="preserve"> their request</w:t>
      </w:r>
      <w:r w:rsidR="00035BFF">
        <w:t>s</w:t>
      </w:r>
      <w:r w:rsidR="00BE2F6C">
        <w:t xml:space="preserve"> for a workshop on February 3, 2020</w:t>
      </w:r>
      <w:r w:rsidR="00950528">
        <w:t>, after staff revised its draft rule based on comments contained in the requests for workshop.</w:t>
      </w:r>
      <w:r w:rsidR="001243E5">
        <w:t xml:space="preserve"> The Office of Public Counsel </w:t>
      </w:r>
      <w:r w:rsidR="00C51715">
        <w:t>was provided the opportunity to comment on the draft rule amendments.</w:t>
      </w:r>
    </w:p>
    <w:p w:rsidR="00C51715" w:rsidRDefault="00C51715" w:rsidP="00C51715">
      <w:pPr>
        <w:jc w:val="both"/>
      </w:pPr>
    </w:p>
    <w:p w:rsidR="0068481F" w:rsidRDefault="00950528" w:rsidP="00C51715">
      <w:pPr>
        <w:jc w:val="both"/>
      </w:pPr>
      <w:r>
        <w:t>This recommendation addresses wheth</w:t>
      </w:r>
      <w:r w:rsidR="006777BB">
        <w:t xml:space="preserve">er the Commission should amend Rules 25-6.0440 and 25-6.0441, F.A.C. The Commission has jurisdiction </w:t>
      </w:r>
      <w:r w:rsidR="00BE2F6C">
        <w:t>under Sections 350.127(2), 366.04(2), (4), (5), and 366.05(7), 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t>Discussion of Issues</w:t>
      </w:r>
    </w:p>
    <w:bookmarkEnd w:id="15"/>
    <w:p w:rsidR="00604606" w:rsidRDefault="00604606">
      <w:pPr>
        <w:pStyle w:val="IssueHeading"/>
        <w:rPr>
          <w:vanish/>
          <w:specVanish/>
        </w:rPr>
      </w:pPr>
      <w:r w:rsidRPr="004C3641">
        <w:t xml:space="preserve">Issue </w:t>
      </w:r>
      <w:r w:rsidR="00BD26CB">
        <w:fldChar w:fldCharType="begin"/>
      </w:r>
      <w:r w:rsidR="00BD26CB">
        <w:instrText xml:space="preserve"> SEQ Issue \* MERGEFORMAT </w:instrText>
      </w:r>
      <w:r w:rsidR="00BD26CB">
        <w:fldChar w:fldCharType="separate"/>
      </w:r>
      <w:r w:rsidR="00016BA8">
        <w:rPr>
          <w:noProof/>
        </w:rPr>
        <w:t>1</w:t>
      </w:r>
      <w:r w:rsidR="00BD26CB">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016BA8">
        <w:rPr>
          <w:noProof/>
        </w:rPr>
        <w:instrText>1</w:instrText>
      </w:r>
      <w:r>
        <w:fldChar w:fldCharType="end"/>
      </w:r>
      <w:r>
        <w:tab/>
        <w:instrText xml:space="preserve">" \l 1 </w:instrText>
      </w:r>
      <w:r>
        <w:fldChar w:fldCharType="end"/>
      </w:r>
      <w:r>
        <w:t> </w:t>
      </w:r>
    </w:p>
    <w:p w:rsidR="00604606" w:rsidRDefault="00604606">
      <w:pPr>
        <w:pStyle w:val="BodyText"/>
      </w:pPr>
      <w:r>
        <w:t> </w:t>
      </w:r>
      <w:r w:rsidR="00035BFF">
        <w:t>Should the Commissio</w:t>
      </w:r>
      <w:r w:rsidR="006777BB">
        <w:t>n propose the amendment of Rule</w:t>
      </w:r>
      <w:r w:rsidR="00035BFF">
        <w:t xml:space="preserve"> 25-6.0440</w:t>
      </w:r>
      <w:r w:rsidR="00D73733">
        <w:t>, Territorial Agreements for Electric Utilities,</w:t>
      </w:r>
      <w:r w:rsidR="00035BFF">
        <w:t xml:space="preserve"> and </w:t>
      </w:r>
      <w:r w:rsidR="006777BB">
        <w:t xml:space="preserve">Rule </w:t>
      </w:r>
      <w:r w:rsidR="00035BFF">
        <w:t>25-6.0441</w:t>
      </w:r>
      <w:r w:rsidR="00D73733">
        <w:t>, Territorial Disputes for Electric Utilities, F.A.C.</w:t>
      </w:r>
      <w:r w:rsidR="00F140C3">
        <w:t>?</w:t>
      </w:r>
    </w:p>
    <w:p w:rsidR="00604606" w:rsidRPr="004C3641" w:rsidRDefault="00604606">
      <w:pPr>
        <w:pStyle w:val="IssueSubsectionHeading"/>
        <w:rPr>
          <w:vanish/>
          <w:specVanish/>
        </w:rPr>
      </w:pPr>
      <w:r w:rsidRPr="004C3641">
        <w:t>Recommendation: </w:t>
      </w:r>
    </w:p>
    <w:p w:rsidR="00604606" w:rsidRDefault="00604606">
      <w:pPr>
        <w:pStyle w:val="BodyText"/>
      </w:pPr>
      <w:r>
        <w:t> </w:t>
      </w:r>
      <w:r w:rsidR="00035BFF">
        <w:t>Yes, the Commission should propose the amendment of Rules 25-6.0440 and 25-6.0441,</w:t>
      </w:r>
      <w:r w:rsidR="004747ED">
        <w:t xml:space="preserve"> F.A.C.,</w:t>
      </w:r>
      <w:r w:rsidR="00035BFF">
        <w:t xml:space="preserve"> as set forth in Att</w:t>
      </w:r>
      <w:r w:rsidR="006777BB">
        <w:t>achment A</w:t>
      </w:r>
      <w:r w:rsidR="00035BFF">
        <w:t>. The Commission should also certify Rules 25-6.0440 and 25-6.0441</w:t>
      </w:r>
      <w:r w:rsidR="004747ED">
        <w:t>, F.A.C.,</w:t>
      </w:r>
      <w:r w:rsidR="00035BFF">
        <w:t xml:space="preserve"> as minor violation rules. (Cowdery, Guffey)</w:t>
      </w:r>
      <w:r>
        <w:t xml:space="preserve"> </w:t>
      </w:r>
    </w:p>
    <w:p w:rsidR="00604606" w:rsidRPr="004C3641" w:rsidRDefault="00604606">
      <w:pPr>
        <w:pStyle w:val="IssueSubsectionHeading"/>
        <w:rPr>
          <w:vanish/>
          <w:specVanish/>
        </w:rPr>
      </w:pPr>
      <w:r w:rsidRPr="004C3641">
        <w:t>Staff Analysis: </w:t>
      </w:r>
    </w:p>
    <w:p w:rsidR="004747ED" w:rsidRDefault="00604606" w:rsidP="004747ED">
      <w:pPr>
        <w:jc w:val="both"/>
      </w:pPr>
      <w:r>
        <w:t> </w:t>
      </w:r>
      <w:r w:rsidR="00E26048">
        <w:t>The Commission adopted Rules 25-6.0440 and 25-6.0441, F.A.C., to implement it</w:t>
      </w:r>
      <w:r w:rsidR="00894FA3">
        <w:t>s</w:t>
      </w:r>
      <w:r w:rsidR="00E26048">
        <w:t xml:space="preserve"> authority under </w:t>
      </w:r>
      <w:r w:rsidR="00330B04">
        <w:t>S</w:t>
      </w:r>
      <w:r w:rsidR="00E26048">
        <w:t>ection 366.04(2), F.S., to approve territorial agreements and resolve t</w:t>
      </w:r>
      <w:r w:rsidR="006777BB">
        <w:t xml:space="preserve">erritorial disputes. Both </w:t>
      </w:r>
      <w:r w:rsidR="00E26048">
        <w:t>rules list factors the Commission may consider in making its determinations.  The language in both rules states that the Commission’s consideration is “not limited to” the listed factors.</w:t>
      </w:r>
      <w:r w:rsidR="004747ED" w:rsidRPr="004747ED">
        <w:t xml:space="preserve"> </w:t>
      </w:r>
      <w:r w:rsidR="004747ED">
        <w:t xml:space="preserve">In its rule review letter, JAPC conveyed its concern that the phrase “may consider, but not be limited to the consideration of,” </w:t>
      </w:r>
      <w:r w:rsidR="00D73733">
        <w:t>implied that there are additional expectations or standards that could be enforced, which could be considered</w:t>
      </w:r>
      <w:r w:rsidR="004747ED">
        <w:t xml:space="preserve"> an invalid exercise of delegated legislative authority</w:t>
      </w:r>
      <w:r w:rsidR="00D73733">
        <w:t xml:space="preserve"> under</w:t>
      </w:r>
      <w:r w:rsidR="004747ED">
        <w:t xml:space="preserve"> Section 120.52(8)(c), F.S.</w:t>
      </w:r>
    </w:p>
    <w:p w:rsidR="00E26048" w:rsidRDefault="00E26048" w:rsidP="00BE2F6C">
      <w:pPr>
        <w:jc w:val="both"/>
      </w:pPr>
    </w:p>
    <w:p w:rsidR="006777BB" w:rsidRDefault="004747ED" w:rsidP="00894FA3">
      <w:pPr>
        <w:jc w:val="both"/>
      </w:pPr>
      <w:r>
        <w:t>In order</w:t>
      </w:r>
      <w:r w:rsidR="006777BB">
        <w:t xml:space="preserve"> to address JAPC’s concern, staff is recommending that </w:t>
      </w:r>
      <w:r>
        <w:t>th</w:t>
      </w:r>
      <w:r w:rsidR="00330B04">
        <w:t>e</w:t>
      </w:r>
      <w:r>
        <w:t xml:space="preserve"> phrase “but not be limited to consideration of” </w:t>
      </w:r>
      <w:r w:rsidR="006777BB">
        <w:t xml:space="preserve">be deleted from both rules. In lieu of this phrase, staff is recommending </w:t>
      </w:r>
      <w:r w:rsidR="00894FA3">
        <w:t>that a criteri</w:t>
      </w:r>
      <w:r w:rsidR="00C51715">
        <w:t>on</w:t>
      </w:r>
      <w:r w:rsidR="00894FA3">
        <w:t xml:space="preserve"> be added </w:t>
      </w:r>
      <w:r w:rsidR="00C51715">
        <w:t xml:space="preserve">to each rule </w:t>
      </w:r>
      <w:r w:rsidR="00894FA3">
        <w:t>that allows the Commission to consider “[a]</w:t>
      </w:r>
      <w:r w:rsidR="006777BB" w:rsidRPr="00894FA3">
        <w:t>ny other factor the Commission finds relevant in reaching a determination</w:t>
      </w:r>
      <w:r w:rsidR="00894FA3">
        <w:t>”</w:t>
      </w:r>
      <w:r w:rsidR="006777BB" w:rsidRPr="00894FA3">
        <w:t xml:space="preserve"> that the territorial agreement </w:t>
      </w:r>
      <w:r w:rsidR="00894FA3" w:rsidRPr="00894FA3">
        <w:t xml:space="preserve">or resolution of the territorial dispute </w:t>
      </w:r>
      <w:r w:rsidR="00894FA3">
        <w:t>“</w:t>
      </w:r>
      <w:r w:rsidR="006777BB" w:rsidRPr="00894FA3">
        <w:t>is in the public interest.</w:t>
      </w:r>
      <w:r w:rsidR="00894FA3">
        <w:t>”</w:t>
      </w:r>
      <w:r w:rsidR="00B51208" w:rsidRPr="00B51208">
        <w:t xml:space="preserve"> </w:t>
      </w:r>
      <w:r w:rsidR="00920EAB">
        <w:t>In addition, staff recommends that the territorial dispute rule be amended for clarity to state that the Commission’s consideration of the listed factors is in addition to the factors listed in</w:t>
      </w:r>
      <w:r w:rsidR="00BD0F39">
        <w:t xml:space="preserve"> Section 366</w:t>
      </w:r>
      <w:r w:rsidR="00B66E40">
        <w:t>.</w:t>
      </w:r>
      <w:r w:rsidR="00BD0F39">
        <w:t>04(2)(e), F.S</w:t>
      </w:r>
      <w:r w:rsidR="00920EAB">
        <w:t>.</w:t>
      </w:r>
    </w:p>
    <w:p w:rsidR="00BD0F39" w:rsidRDefault="00BD0F39" w:rsidP="00894FA3">
      <w:pPr>
        <w:jc w:val="both"/>
      </w:pPr>
    </w:p>
    <w:p w:rsidR="00BD0F39" w:rsidRDefault="00BD0F39" w:rsidP="00BD0F39">
      <w:pPr>
        <w:jc w:val="both"/>
      </w:pPr>
      <w:r>
        <w:t xml:space="preserve">Florida courts have held that both the resolution of territorial disputes and the approval of territorial agreements should ultimately be guided by the public interest standard. </w:t>
      </w:r>
      <w:r>
        <w:rPr>
          <w:i/>
        </w:rPr>
        <w:t>Gulf Coast Elec. Co-op., Inc. v. Johnson</w:t>
      </w:r>
      <w:r>
        <w:t xml:space="preserve">, 727 So. </w:t>
      </w:r>
      <w:proofErr w:type="gramStart"/>
      <w:r>
        <w:t>2d 259, 264 (Fla. 1999).</w:t>
      </w:r>
      <w:proofErr w:type="gramEnd"/>
      <w:r>
        <w:t xml:space="preserve"> As a part of this public interest test, the Commission should ensure its decision prevents the uneconomic duplication of generation, transmission, and distribution assets. </w:t>
      </w:r>
      <w:r>
        <w:rPr>
          <w:i/>
        </w:rPr>
        <w:t>Id.</w:t>
      </w:r>
      <w:r>
        <w:t xml:space="preserve">; </w:t>
      </w:r>
      <w:r>
        <w:rPr>
          <w:i/>
        </w:rPr>
        <w:t>see</w:t>
      </w:r>
      <w:r>
        <w:t xml:space="preserve"> Section 366.05, F.S. Staff </w:t>
      </w:r>
      <w:r w:rsidR="00BA56FC">
        <w:t xml:space="preserve">believes that </w:t>
      </w:r>
      <w:r w:rsidR="002F70CB">
        <w:t xml:space="preserve">the </w:t>
      </w:r>
      <w:r w:rsidR="00BA56FC">
        <w:t>recommended amendments</w:t>
      </w:r>
      <w:r>
        <w:t xml:space="preserve"> of these rules will adhere to the public interest standard. </w:t>
      </w:r>
    </w:p>
    <w:p w:rsidR="006777BB" w:rsidRDefault="006777BB" w:rsidP="004747ED">
      <w:pPr>
        <w:jc w:val="both"/>
      </w:pPr>
    </w:p>
    <w:p w:rsidR="00FC4CF0" w:rsidRDefault="004747ED" w:rsidP="004747ED">
      <w:pPr>
        <w:jc w:val="both"/>
      </w:pPr>
      <w:r>
        <w:t>This draft language</w:t>
      </w:r>
      <w:r w:rsidR="00BE2F6C">
        <w:t xml:space="preserve"> ensures </w:t>
      </w:r>
      <w:r w:rsidR="00C51715">
        <w:t xml:space="preserve">that </w:t>
      </w:r>
      <w:r w:rsidR="00BE2F6C">
        <w:t xml:space="preserve">the Commission has wide latitude to consider factors that may be unique to each dispute or agreement. At the same time, </w:t>
      </w:r>
      <w:r>
        <w:t>the draft</w:t>
      </w:r>
      <w:r w:rsidR="00BE2F6C">
        <w:t xml:space="preserve"> </w:t>
      </w:r>
      <w:r>
        <w:t xml:space="preserve">language </w:t>
      </w:r>
      <w:r w:rsidR="00BE2F6C">
        <w:t>limits the Commission’s discretion</w:t>
      </w:r>
      <w:r w:rsidR="00FC4CF0">
        <w:t>,</w:t>
      </w:r>
      <w:r w:rsidR="00BE2F6C">
        <w:t xml:space="preserve"> using the judicially approved public interest test</w:t>
      </w:r>
      <w:r w:rsidR="00FC4CF0">
        <w:t>,</w:t>
      </w:r>
      <w:r w:rsidR="006777BB">
        <w:t xml:space="preserve"> and satisfies JAPC’</w:t>
      </w:r>
      <w:r w:rsidR="005D1744">
        <w:t>s concerns</w:t>
      </w:r>
      <w:r w:rsidR="00BE2F6C">
        <w:t>.</w:t>
      </w:r>
      <w:r>
        <w:t xml:space="preserve"> </w:t>
      </w:r>
    </w:p>
    <w:p w:rsidR="00FC4CF0" w:rsidRDefault="00FC4CF0" w:rsidP="004747ED">
      <w:pPr>
        <w:jc w:val="both"/>
      </w:pPr>
    </w:p>
    <w:p w:rsidR="005D1744" w:rsidRDefault="005D1744" w:rsidP="004747ED">
      <w:pPr>
        <w:jc w:val="both"/>
      </w:pPr>
      <w:r>
        <w:t>In addition, staff is also recommending some non-substantive amendments to both rules</w:t>
      </w:r>
      <w:r w:rsidR="00FC4CF0">
        <w:t xml:space="preserve">. These recommended amendments are </w:t>
      </w:r>
      <w:r>
        <w:t>to update and clarify the rules.</w:t>
      </w:r>
    </w:p>
    <w:p w:rsidR="004747ED" w:rsidRDefault="004747ED" w:rsidP="004747ED">
      <w:pPr>
        <w:jc w:val="both"/>
      </w:pPr>
    </w:p>
    <w:p w:rsidR="003E5ABB" w:rsidRDefault="003E5ABB" w:rsidP="003E5ABB">
      <w:pPr>
        <w:pStyle w:val="First-LevelSubheading"/>
        <w:keepNext/>
      </w:pPr>
      <w:r>
        <w:t>Minor Violation Rules Certification</w:t>
      </w:r>
    </w:p>
    <w:p w:rsidR="003E5ABB" w:rsidRDefault="003E5ABB" w:rsidP="003E5ABB">
      <w:pPr>
        <w:pStyle w:val="BodyText"/>
      </w:pPr>
      <w:r>
        <w:t xml:space="preserve">Pursuant to Section 120.695, F.S., the agency head must certify for each rule filed for adoption whether any part of the rule is designated as a rule the violation of which would be a minor violation. </w:t>
      </w:r>
      <w:r w:rsidRPr="00102F0A">
        <w:t>R</w:t>
      </w:r>
      <w:r>
        <w:t xml:space="preserve">ules 25-6.0440 and 25-6.0441, F.A.C., are currently listed on the Commission’s website as </w:t>
      </w:r>
      <w:r w:rsidRPr="00102F0A">
        <w:t>rule</w:t>
      </w:r>
      <w:r>
        <w:t>s</w:t>
      </w:r>
      <w:r w:rsidRPr="00102F0A">
        <w:t xml:space="preserve"> for which a violation would be minor because violation of the rule</w:t>
      </w:r>
      <w:r>
        <w:t>s</w:t>
      </w:r>
      <w:r w:rsidRPr="00102F0A">
        <w:t xml:space="preserve"> would not result in economic or physical harm to a person or </w:t>
      </w:r>
      <w:r>
        <w:t xml:space="preserve">have </w:t>
      </w:r>
      <w:r w:rsidRPr="00102F0A">
        <w:t>an adverse effect on the public health, safety, or welfare or create a significant threat of s</w:t>
      </w:r>
      <w:r>
        <w:t>uch harm. The amendments to the rules would not change their status as minor violation rules. Thus, s</w:t>
      </w:r>
      <w:r w:rsidRPr="00102F0A">
        <w:t>taff recommends that the Co</w:t>
      </w:r>
      <w:r>
        <w:t>mmission certify Rules 25-6.0440 and 25-6.0441</w:t>
      </w:r>
      <w:r w:rsidRPr="00102F0A">
        <w:t>, F.A.C., as minor violation rule</w:t>
      </w:r>
      <w:r>
        <w:t>s</w:t>
      </w:r>
      <w:r w:rsidRPr="00102F0A">
        <w:t>.</w:t>
      </w:r>
    </w:p>
    <w:p w:rsidR="003E5ABB" w:rsidRDefault="003E5ABB" w:rsidP="003E5ABB">
      <w:pPr>
        <w:pStyle w:val="First-LevelSubheading"/>
        <w:keepNext/>
      </w:pPr>
      <w:r>
        <w:t>Statement of Estimated Regulatory Costs</w:t>
      </w:r>
    </w:p>
    <w:p w:rsidR="003E5ABB" w:rsidRDefault="003E5ABB" w:rsidP="003E5ABB">
      <w:pPr>
        <w:pStyle w:val="BodyText"/>
      </w:pPr>
      <w:r>
        <w:t>Pursuant to Section 120.54(3</w:t>
      </w:r>
      <w:proofErr w:type="gramStart"/>
      <w:r>
        <w:t>)(</w:t>
      </w:r>
      <w:proofErr w:type="gramEnd"/>
      <w:r>
        <w:t xml:space="preserve">b), F.S., agencies are encouraged to prepare a statement of estimated regulatory costs (SERC) before the adoption, amendment, or repeal of any rule. The SERC is appended as Attachment B to this recommendation. </w:t>
      </w:r>
    </w:p>
    <w:p w:rsidR="003E5ABB" w:rsidRDefault="003E5ABB" w:rsidP="003E5ABB">
      <w:pPr>
        <w:pStyle w:val="BodyText"/>
      </w:pPr>
      <w:r>
        <w:t>The SERC concludes that the rules will not likely directly or indirectly increase regulatory costs in excess of $200,000 in the aggregate in Florida within one year after implementation.  Further, the SERC economic analysis concludes that the rules will not likely have an adverse impact on economic growth, private sector job creation or employment, private sector investment, business competitiveness, productivity, or innovation in excess of $1 million in the aggregate within five years of implementation. Thus, the rules do not require legislative ratification pursuant to Section 120.541(3), F.S. In addition, the SERC states that the rules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amendments to Rules 25-6.0440 and 25-6.0441, F.A.C.</w:t>
      </w:r>
      <w:r w:rsidR="009966DB">
        <w:t xml:space="preserve"> </w:t>
      </w:r>
    </w:p>
    <w:p w:rsidR="003E5ABB" w:rsidRDefault="003E5ABB" w:rsidP="003E5ABB">
      <w:pPr>
        <w:pStyle w:val="First-LevelSubheading"/>
      </w:pPr>
      <w:r>
        <w:t>Conclusion</w:t>
      </w:r>
    </w:p>
    <w:p w:rsidR="00604606" w:rsidRDefault="004747ED">
      <w:pPr>
        <w:pStyle w:val="IssueHeading"/>
        <w:rPr>
          <w:vanish/>
          <w:specVanish/>
        </w:rPr>
      </w:pPr>
      <w:r>
        <w:rPr>
          <w:rFonts w:ascii="Times New Roman" w:hAnsi="Times New Roman" w:cs="Times New Roman"/>
          <w:b w:val="0"/>
          <w:i w:val="0"/>
        </w:rPr>
        <w:t xml:space="preserve">Staff recommends that </w:t>
      </w:r>
      <w:r w:rsidRPr="004747ED">
        <w:rPr>
          <w:rFonts w:ascii="Times New Roman" w:hAnsi="Times New Roman" w:cs="Times New Roman"/>
          <w:b w:val="0"/>
          <w:i w:val="0"/>
        </w:rPr>
        <w:t xml:space="preserve">the Commission should propose the amendment of Rules 25-6.0440 and 25-6.0441, </w:t>
      </w:r>
      <w:r>
        <w:rPr>
          <w:rFonts w:ascii="Times New Roman" w:hAnsi="Times New Roman" w:cs="Times New Roman"/>
          <w:b w:val="0"/>
          <w:i w:val="0"/>
        </w:rPr>
        <w:t xml:space="preserve">F.A.C., </w:t>
      </w:r>
      <w:r w:rsidRPr="004747ED">
        <w:rPr>
          <w:rFonts w:ascii="Times New Roman" w:hAnsi="Times New Roman" w:cs="Times New Roman"/>
          <w:b w:val="0"/>
          <w:i w:val="0"/>
        </w:rPr>
        <w:t>as set forth in Att</w:t>
      </w:r>
      <w:r w:rsidR="005D1744">
        <w:rPr>
          <w:rFonts w:ascii="Times New Roman" w:hAnsi="Times New Roman" w:cs="Times New Roman"/>
          <w:b w:val="0"/>
          <w:i w:val="0"/>
        </w:rPr>
        <w:t>achment A</w:t>
      </w:r>
      <w:r w:rsidRPr="004747ED">
        <w:rPr>
          <w:rFonts w:ascii="Times New Roman" w:hAnsi="Times New Roman" w:cs="Times New Roman"/>
          <w:b w:val="0"/>
          <w:i w:val="0"/>
        </w:rPr>
        <w:t>. The Commission should also certify Rules 25-6.0440 and 25-6.0441</w:t>
      </w:r>
      <w:r>
        <w:rPr>
          <w:rFonts w:ascii="Times New Roman" w:hAnsi="Times New Roman" w:cs="Times New Roman"/>
          <w:b w:val="0"/>
          <w:i w:val="0"/>
        </w:rPr>
        <w:t xml:space="preserve">, F.A.C., </w:t>
      </w:r>
      <w:r w:rsidRPr="004747ED">
        <w:rPr>
          <w:rFonts w:ascii="Times New Roman" w:hAnsi="Times New Roman" w:cs="Times New Roman"/>
          <w:b w:val="0"/>
          <w:i w:val="0"/>
        </w:rPr>
        <w:t>as minor violation rules.</w:t>
      </w:r>
      <w:r w:rsidR="00604606" w:rsidRPr="004C3641">
        <w:rPr>
          <w:b w:val="0"/>
          <w:i w:val="0"/>
        </w:rPr>
        <w:br w:type="page"/>
      </w:r>
      <w:r w:rsidR="00604606" w:rsidRPr="004C3641">
        <w:t xml:space="preserve">Issue </w:t>
      </w:r>
      <w:r w:rsidR="00BD26CB">
        <w:fldChar w:fldCharType="begin"/>
      </w:r>
      <w:r w:rsidR="00BD26CB">
        <w:instrText xml:space="preserve"> SEQ Issue \* MERGEFORMAT </w:instrText>
      </w:r>
      <w:r w:rsidR="00BD26CB">
        <w:fldChar w:fldCharType="separate"/>
      </w:r>
      <w:r w:rsidR="00016BA8">
        <w:rPr>
          <w:noProof/>
        </w:rPr>
        <w:t>2</w:t>
      </w:r>
      <w:r w:rsidR="00BD26CB">
        <w:rPr>
          <w:noProof/>
        </w:rPr>
        <w:fldChar w:fldCharType="end"/>
      </w:r>
      <w:r w:rsidR="00604606" w:rsidRPr="004C3641">
        <w:t>:</w:t>
      </w:r>
      <w:r w:rsidR="00604606">
        <w:fldChar w:fldCharType="begin"/>
      </w:r>
      <w:r w:rsidR="00604606">
        <w:instrText xml:space="preserve"> TC "</w:instrText>
      </w:r>
      <w:r w:rsidR="00604606">
        <w:fldChar w:fldCharType="begin"/>
      </w:r>
      <w:r w:rsidR="00604606">
        <w:instrText xml:space="preserve"> SEQ issue \c </w:instrText>
      </w:r>
      <w:r w:rsidR="00604606">
        <w:fldChar w:fldCharType="separate"/>
      </w:r>
      <w:r w:rsidR="00016BA8">
        <w:rPr>
          <w:noProof/>
        </w:rPr>
        <w:instrText>2</w:instrText>
      </w:r>
      <w:r w:rsidR="00604606">
        <w:fldChar w:fldCharType="end"/>
      </w:r>
      <w:r w:rsidR="00604606">
        <w:tab/>
        <w:instrText xml:space="preserve">" \l 1 </w:instrText>
      </w:r>
      <w:r w:rsidR="00604606">
        <w:fldChar w:fldCharType="end"/>
      </w:r>
      <w:r w:rsidR="00604606">
        <w:t> </w:t>
      </w:r>
    </w:p>
    <w:p w:rsidR="00604606" w:rsidRDefault="00604606">
      <w:pPr>
        <w:pStyle w:val="BodyText"/>
      </w:pPr>
      <w:r>
        <w:t> Should this docket be closed?</w:t>
      </w:r>
    </w:p>
    <w:p w:rsidR="00604606" w:rsidRPr="004C3641" w:rsidRDefault="00604606">
      <w:pPr>
        <w:pStyle w:val="IssueSubsectionHeading"/>
        <w:rPr>
          <w:vanish/>
          <w:specVanish/>
        </w:rPr>
      </w:pPr>
      <w:r w:rsidRPr="004C3641">
        <w:t>Recommendation: </w:t>
      </w:r>
    </w:p>
    <w:p w:rsidR="00604606" w:rsidRDefault="00604606">
      <w:pPr>
        <w:pStyle w:val="BodyText"/>
      </w:pPr>
      <w:r>
        <w:t> </w:t>
      </w:r>
      <w:r w:rsidR="00C15490">
        <w:t>Yes. If no requests for hearing, information regarding the SERC, proposals for a lower cost regulatory alternative, or JAPC comments are filed, the rule should be filed with the Department of State, and the docket should be closed.</w:t>
      </w:r>
      <w:r>
        <w:t xml:space="preserve"> </w:t>
      </w:r>
      <w:r w:rsidR="003E5ABB">
        <w:t>(Cowdery)</w:t>
      </w:r>
    </w:p>
    <w:p w:rsidR="00604606" w:rsidRPr="004C3641" w:rsidRDefault="00604606">
      <w:pPr>
        <w:pStyle w:val="IssueSubsectionHeading"/>
        <w:rPr>
          <w:vanish/>
          <w:specVanish/>
        </w:rPr>
      </w:pPr>
      <w:r w:rsidRPr="004C3641">
        <w:t>Staff Analysis: </w:t>
      </w:r>
    </w:p>
    <w:p w:rsidR="00604606" w:rsidRDefault="00604606">
      <w:pPr>
        <w:pStyle w:val="BodyText"/>
      </w:pPr>
      <w:r>
        <w:t> </w:t>
      </w:r>
      <w:r w:rsidR="00C15490">
        <w:t xml:space="preserve">If no requests for hearing, information regarding the SERC, proposals for a lower cost regulatory alternative, or JAPC comments are filed, the rule may be filed with the </w:t>
      </w:r>
      <w:r w:rsidR="009966DB">
        <w:t>Department</w:t>
      </w:r>
      <w:r w:rsidR="00C15490">
        <w:t xml:space="preserve"> of State and the docket should be closed.</w:t>
      </w:r>
    </w:p>
    <w:p w:rsidR="00E06484" w:rsidRDefault="00E06484" w:rsidP="00E275D8">
      <w:pPr>
        <w:pStyle w:val="BodyText"/>
      </w:pPr>
    </w:p>
    <w:p w:rsidR="000F4C5B" w:rsidRDefault="000F4C5B" w:rsidP="000F4C5B">
      <w:pPr>
        <w:pStyle w:val="BodyText"/>
        <w:sectPr w:rsidR="000F4C5B"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F4C5B" w:rsidRPr="00B81D36" w:rsidRDefault="000F4C5B" w:rsidP="00B81D36">
      <w:pPr>
        <w:pStyle w:val="Rule"/>
        <w:tabs>
          <w:tab w:val="clear" w:pos="720"/>
          <w:tab w:val="left" w:pos="360"/>
        </w:tabs>
        <w:rPr>
          <w:b/>
        </w:rPr>
      </w:pPr>
      <w:r>
        <w:rPr>
          <w:b/>
        </w:rPr>
        <w:tab/>
      </w:r>
      <w:proofErr w:type="gramStart"/>
      <w:r w:rsidRPr="00B81D36">
        <w:rPr>
          <w:b/>
        </w:rPr>
        <w:t>25-6.0440 Territorial Agreements for Electric Utilities.</w:t>
      </w:r>
      <w:proofErr w:type="gramEnd"/>
    </w:p>
    <w:p w:rsidR="000F4C5B" w:rsidRPr="00B81D36" w:rsidRDefault="000F4C5B" w:rsidP="00B81D36">
      <w:pPr>
        <w:pStyle w:val="Rule"/>
        <w:tabs>
          <w:tab w:val="clear" w:pos="720"/>
          <w:tab w:val="left" w:pos="360"/>
        </w:tabs>
      </w:pPr>
      <w:r>
        <w:tab/>
      </w:r>
      <w:r w:rsidRPr="00B81D36">
        <w:t>(1) All territorial agreements between electric utilities</w:t>
      </w:r>
      <w:r>
        <w:t xml:space="preserve"> </w:t>
      </w:r>
      <w:proofErr w:type="gramStart"/>
      <w:r>
        <w:rPr>
          <w:u w:val="single"/>
        </w:rPr>
        <w:t>must</w:t>
      </w:r>
      <w:r w:rsidRPr="00B81D36">
        <w:t xml:space="preserve"> </w:t>
      </w:r>
      <w:r w:rsidRPr="000754C9">
        <w:rPr>
          <w:strike/>
        </w:rPr>
        <w:t>shall</w:t>
      </w:r>
      <w:proofErr w:type="gramEnd"/>
      <w:r w:rsidRPr="00B81D36">
        <w:t xml:space="preserve"> be submitted to the Commission for approval. Each territorial agreement </w:t>
      </w:r>
      <w:proofErr w:type="gramStart"/>
      <w:r w:rsidRPr="000754C9">
        <w:rPr>
          <w:u w:val="single"/>
        </w:rPr>
        <w:t>must</w:t>
      </w:r>
      <w:r>
        <w:t xml:space="preserve"> </w:t>
      </w:r>
      <w:r w:rsidRPr="000754C9">
        <w:rPr>
          <w:strike/>
        </w:rPr>
        <w:t>shall</w:t>
      </w:r>
      <w:proofErr w:type="gramEnd"/>
      <w:r w:rsidRPr="00B81D36">
        <w:t xml:space="preserve"> clearly identify the geographical area to be served by each utility. The submission</w:t>
      </w:r>
      <w:r>
        <w:t xml:space="preserve"> </w:t>
      </w:r>
      <w:proofErr w:type="gramStart"/>
      <w:r w:rsidRPr="000754C9">
        <w:rPr>
          <w:u w:val="single"/>
        </w:rPr>
        <w:t>must</w:t>
      </w:r>
      <w:r w:rsidRPr="00B81D36">
        <w:t xml:space="preserve"> </w:t>
      </w:r>
      <w:r w:rsidRPr="000754C9">
        <w:rPr>
          <w:strike/>
        </w:rPr>
        <w:t>shall</w:t>
      </w:r>
      <w:proofErr w:type="gramEnd"/>
      <w:r w:rsidRPr="00B81D36">
        <w:t xml:space="preserve"> include:</w:t>
      </w:r>
    </w:p>
    <w:p w:rsidR="000F4C5B" w:rsidRPr="00B81D36" w:rsidRDefault="000F4C5B" w:rsidP="00B81D36">
      <w:pPr>
        <w:pStyle w:val="Rule"/>
        <w:tabs>
          <w:tab w:val="clear" w:pos="720"/>
          <w:tab w:val="left" w:pos="360"/>
        </w:tabs>
      </w:pPr>
      <w:r>
        <w:tab/>
      </w:r>
      <w:r w:rsidRPr="00B81D36">
        <w:t>(a) A map and a written description of the area,</w:t>
      </w:r>
    </w:p>
    <w:p w:rsidR="000F4C5B" w:rsidRPr="00B81D36" w:rsidRDefault="000F4C5B" w:rsidP="00B81D36">
      <w:pPr>
        <w:pStyle w:val="Rule"/>
        <w:tabs>
          <w:tab w:val="clear" w:pos="720"/>
          <w:tab w:val="left" w:pos="360"/>
        </w:tabs>
      </w:pPr>
      <w:r>
        <w:tab/>
      </w:r>
      <w:r w:rsidRPr="00B81D36">
        <w:t>(b) The terms and conditions pertaining to implementation of the agreement, and any other terms and conditions pertaining to the agreement,</w:t>
      </w:r>
    </w:p>
    <w:p w:rsidR="000F4C5B" w:rsidRPr="00B81D36" w:rsidRDefault="000F4C5B" w:rsidP="00B81D36">
      <w:pPr>
        <w:pStyle w:val="Rule"/>
        <w:tabs>
          <w:tab w:val="clear" w:pos="720"/>
          <w:tab w:val="left" w:pos="360"/>
        </w:tabs>
      </w:pPr>
      <w:r>
        <w:tab/>
      </w:r>
      <w:r w:rsidRPr="00B81D36">
        <w:t>(c) The number and class of customers to be transferred,</w:t>
      </w:r>
    </w:p>
    <w:p w:rsidR="000F4C5B" w:rsidRPr="00B81D36" w:rsidRDefault="000F4C5B" w:rsidP="00B81D36">
      <w:pPr>
        <w:pStyle w:val="Rule"/>
        <w:tabs>
          <w:tab w:val="clear" w:pos="720"/>
          <w:tab w:val="left" w:pos="360"/>
        </w:tabs>
      </w:pPr>
      <w:r>
        <w:tab/>
      </w:r>
      <w:r w:rsidRPr="00B81D36">
        <w:t>(d) Assurance that the affected customers have been contacted and the difference in rates explained,</w:t>
      </w:r>
    </w:p>
    <w:p w:rsidR="000F4C5B" w:rsidRPr="00B81D36" w:rsidRDefault="000F4C5B" w:rsidP="00B81D36">
      <w:pPr>
        <w:pStyle w:val="Rule"/>
        <w:tabs>
          <w:tab w:val="clear" w:pos="720"/>
          <w:tab w:val="left" w:pos="360"/>
        </w:tabs>
      </w:pPr>
      <w:r>
        <w:tab/>
      </w:r>
      <w:r w:rsidRPr="00B81D36">
        <w:t>(e) Information with respect to the degree of acceptance by affected customers, i.e., the number in favor of and those opposed to the transfer, and</w:t>
      </w:r>
    </w:p>
    <w:p w:rsidR="000F4C5B" w:rsidRPr="00B81D36" w:rsidRDefault="000F4C5B" w:rsidP="00B81D36">
      <w:pPr>
        <w:pStyle w:val="Rule"/>
        <w:tabs>
          <w:tab w:val="clear" w:pos="720"/>
          <w:tab w:val="left" w:pos="360"/>
        </w:tabs>
      </w:pPr>
      <w:r>
        <w:tab/>
      </w:r>
      <w:r w:rsidRPr="00B81D36">
        <w:t>(f) An official Florida Department of Transportation (DOT) General Highway County map for each affected county depicting boundary lines established by the territorial agreement. Upon approval of the agreement, any modification, changes, or corrections to this agreement must be approved by this Commission.</w:t>
      </w:r>
    </w:p>
    <w:p w:rsidR="000F4C5B" w:rsidRPr="00B81D36" w:rsidRDefault="000F4C5B" w:rsidP="00B81D36">
      <w:pPr>
        <w:pStyle w:val="Rule"/>
        <w:tabs>
          <w:tab w:val="clear" w:pos="720"/>
          <w:tab w:val="left" w:pos="360"/>
        </w:tabs>
      </w:pPr>
      <w:r>
        <w:tab/>
      </w:r>
      <w:r w:rsidRPr="00B81D36">
        <w:t xml:space="preserve">(2) Standards for Approval. In approving territorial agreements, the Commission </w:t>
      </w:r>
      <w:r w:rsidRPr="00971565">
        <w:t>may</w:t>
      </w:r>
      <w:r w:rsidRPr="00B81D36">
        <w:t xml:space="preserve"> consider</w:t>
      </w:r>
      <w:r w:rsidRPr="000754C9">
        <w:rPr>
          <w:strike/>
        </w:rPr>
        <w:t>, but not be limited to consideration of</w:t>
      </w:r>
      <w:r w:rsidRPr="00B81D36">
        <w:t>:</w:t>
      </w:r>
    </w:p>
    <w:p w:rsidR="000F4C5B" w:rsidRPr="00B81D36" w:rsidRDefault="000F4C5B" w:rsidP="00B81D36">
      <w:pPr>
        <w:pStyle w:val="Rule"/>
        <w:tabs>
          <w:tab w:val="clear" w:pos="720"/>
          <w:tab w:val="left" w:pos="360"/>
        </w:tabs>
      </w:pPr>
      <w:r>
        <w:tab/>
      </w:r>
      <w:r w:rsidRPr="00B81D36">
        <w:t>(a) The reasonableness of the purchase price of any facilities being transferred;</w:t>
      </w:r>
    </w:p>
    <w:p w:rsidR="000F4C5B" w:rsidRPr="00B81D36" w:rsidRDefault="000F4C5B" w:rsidP="00B81D36">
      <w:pPr>
        <w:pStyle w:val="Rule"/>
        <w:tabs>
          <w:tab w:val="clear" w:pos="720"/>
          <w:tab w:val="left" w:pos="360"/>
        </w:tabs>
      </w:pPr>
      <w:r>
        <w:tab/>
      </w:r>
      <w:r w:rsidRPr="00B81D36">
        <w:t xml:space="preserve">(b) The reasonable likelihood that the agreement, in and of itself, will not cause a decrease in the reliability of electrical service to the existing or future ratepayers of any utility party to the agreement; </w:t>
      </w:r>
      <w:r w:rsidRPr="00971565">
        <w:rPr>
          <w:strike/>
        </w:rPr>
        <w:t>and</w:t>
      </w:r>
    </w:p>
    <w:p w:rsidR="000F4C5B" w:rsidRDefault="000F4C5B" w:rsidP="00B81D36">
      <w:pPr>
        <w:pStyle w:val="Rule"/>
        <w:tabs>
          <w:tab w:val="clear" w:pos="720"/>
          <w:tab w:val="left" w:pos="360"/>
        </w:tabs>
      </w:pPr>
      <w:r>
        <w:tab/>
      </w:r>
      <w:r w:rsidRPr="00B81D36">
        <w:t>(c) The reasonable likelihood that the agreement will eliminate existing or potential uneconomic duplication of facilities</w:t>
      </w:r>
      <w:r>
        <w:rPr>
          <w:u w:val="single"/>
        </w:rPr>
        <w:t>; and</w:t>
      </w:r>
      <w:r w:rsidRPr="00971565">
        <w:rPr>
          <w:strike/>
        </w:rPr>
        <w:t>.</w:t>
      </w:r>
    </w:p>
    <w:p w:rsidR="000F4C5B" w:rsidRPr="00971565" w:rsidRDefault="000F4C5B" w:rsidP="00B81D36">
      <w:pPr>
        <w:pStyle w:val="Rule"/>
        <w:tabs>
          <w:tab w:val="clear" w:pos="720"/>
          <w:tab w:val="left" w:pos="360"/>
        </w:tabs>
        <w:rPr>
          <w:u w:val="single"/>
        </w:rPr>
      </w:pPr>
      <w:r>
        <w:tab/>
      </w:r>
      <w:r>
        <w:rPr>
          <w:u w:val="single"/>
        </w:rPr>
        <w:t>(d) Any other factor the Commission finds relevant in reaching a determination that the territorial agreement is in the public interest.</w:t>
      </w:r>
    </w:p>
    <w:p w:rsidR="000F4C5B" w:rsidRPr="00B81D36" w:rsidRDefault="000F4C5B" w:rsidP="00B81D36">
      <w:pPr>
        <w:pStyle w:val="Rule"/>
        <w:tabs>
          <w:tab w:val="clear" w:pos="720"/>
          <w:tab w:val="left" w:pos="360"/>
        </w:tabs>
      </w:pPr>
      <w:r>
        <w:tab/>
      </w:r>
      <w:r w:rsidRPr="00B81D36">
        <w:t>(3) The Commission may require additional relevant information from the parties of the agreement, if so warranted.</w:t>
      </w:r>
    </w:p>
    <w:p w:rsidR="000F4C5B" w:rsidRPr="00B81D36" w:rsidRDefault="000F4C5B" w:rsidP="00B81D36">
      <w:pPr>
        <w:pStyle w:val="Rule"/>
        <w:tabs>
          <w:tab w:val="clear" w:pos="720"/>
          <w:tab w:val="left" w:pos="360"/>
        </w:tabs>
        <w:rPr>
          <w:i/>
        </w:rPr>
      </w:pPr>
      <w:proofErr w:type="gramStart"/>
      <w:r w:rsidRPr="00B81D36">
        <w:rPr>
          <w:i/>
        </w:rPr>
        <w:t>Rulemaking Authority</w:t>
      </w:r>
      <w:r>
        <w:rPr>
          <w:i/>
        </w:rPr>
        <w:t xml:space="preserve"> </w:t>
      </w:r>
      <w:r>
        <w:rPr>
          <w:i/>
          <w:u w:val="single"/>
        </w:rPr>
        <w:t>350.127(2),</w:t>
      </w:r>
      <w:r w:rsidRPr="00B81D36">
        <w:rPr>
          <w:i/>
        </w:rPr>
        <w:t xml:space="preserve"> 366.05(1) FS.</w:t>
      </w:r>
      <w:proofErr w:type="gramEnd"/>
      <w:r w:rsidRPr="00B81D36">
        <w:rPr>
          <w:i/>
        </w:rPr>
        <w:t xml:space="preserve"> Law Implemented 366.04(2), (4), (5), 366.05(7) FS. </w:t>
      </w:r>
      <w:proofErr w:type="gramStart"/>
      <w:r w:rsidRPr="00B81D36">
        <w:rPr>
          <w:i/>
        </w:rPr>
        <w:t>Hist</w:t>
      </w:r>
      <w:r>
        <w:rPr>
          <w:i/>
        </w:rPr>
        <w:t>ory–New 3-4-90, Amended 2-13-96</w:t>
      </w:r>
      <w:r w:rsidRPr="00B81D36">
        <w:rPr>
          <w:i/>
          <w:u w:val="single"/>
        </w:rPr>
        <w:t>, ____________</w:t>
      </w:r>
      <w:r>
        <w:rPr>
          <w:i/>
        </w:rPr>
        <w:t>.</w:t>
      </w:r>
      <w:proofErr w:type="gramEnd"/>
    </w:p>
    <w:p w:rsidR="000F4C5B" w:rsidRPr="00B81D36" w:rsidRDefault="000F4C5B" w:rsidP="00B81D36">
      <w:pPr>
        <w:pStyle w:val="Rule"/>
        <w:tabs>
          <w:tab w:val="clear" w:pos="720"/>
          <w:tab w:val="left" w:pos="360"/>
        </w:tabs>
      </w:pPr>
    </w:p>
    <w:p w:rsidR="000F4C5B" w:rsidRDefault="000F4C5B" w:rsidP="00B81D36">
      <w:pPr>
        <w:pStyle w:val="Rule"/>
        <w:tabs>
          <w:tab w:val="clear" w:pos="720"/>
          <w:tab w:val="left" w:pos="360"/>
        </w:tabs>
      </w:pPr>
    </w:p>
    <w:p w:rsidR="000F4C5B" w:rsidRDefault="000F4C5B" w:rsidP="000F4C5B">
      <w:pPr>
        <w:pStyle w:val="BodyText"/>
      </w:pPr>
    </w:p>
    <w:p w:rsidR="000F4C5B" w:rsidRDefault="000F4C5B" w:rsidP="000F4C5B">
      <w:pPr>
        <w:pStyle w:val="BodyText"/>
        <w:sectPr w:rsidR="000F4C5B" w:rsidSect="00811180">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0F4C5B" w:rsidRPr="00E45677" w:rsidRDefault="000F4C5B" w:rsidP="00E45677">
      <w:pPr>
        <w:pStyle w:val="Rule"/>
        <w:tabs>
          <w:tab w:val="clear" w:pos="720"/>
          <w:tab w:val="left" w:pos="360"/>
        </w:tabs>
        <w:rPr>
          <w:b/>
        </w:rPr>
      </w:pPr>
      <w:r>
        <w:rPr>
          <w:b/>
        </w:rPr>
        <w:tab/>
      </w:r>
      <w:proofErr w:type="gramStart"/>
      <w:r w:rsidRPr="00E45677">
        <w:rPr>
          <w:b/>
        </w:rPr>
        <w:t>25-6.0441 Territorial Disputes for Electric Utilities.</w:t>
      </w:r>
      <w:proofErr w:type="gramEnd"/>
    </w:p>
    <w:p w:rsidR="000F4C5B" w:rsidRPr="00E45677" w:rsidRDefault="000F4C5B" w:rsidP="00E45677">
      <w:pPr>
        <w:pStyle w:val="Rule"/>
        <w:tabs>
          <w:tab w:val="clear" w:pos="720"/>
          <w:tab w:val="left" w:pos="360"/>
        </w:tabs>
      </w:pPr>
      <w:r>
        <w:tab/>
      </w:r>
      <w:r w:rsidRPr="00E45677">
        <w:t>(1) A territorial dispute proceeding may be initiated by a petition from an electric utility requesting the Commission to resolve the dispute. Additionally the Commission may, on its own motion, identify the existence of a dispute and order the affected parties to participate in a proceeding to resolve it. Each utility</w:t>
      </w:r>
      <w:r>
        <w:t xml:space="preserve"> </w:t>
      </w:r>
      <w:r>
        <w:rPr>
          <w:u w:val="single"/>
        </w:rPr>
        <w:t>that</w:t>
      </w:r>
      <w:r w:rsidRPr="00E45677">
        <w:t xml:space="preserve"> </w:t>
      </w:r>
      <w:r w:rsidRPr="00393CF7">
        <w:rPr>
          <w:strike/>
        </w:rPr>
        <w:t>which</w:t>
      </w:r>
      <w:r w:rsidRPr="00E45677">
        <w:t xml:space="preserve"> is a party to a territorial dispute</w:t>
      </w:r>
      <w:r>
        <w:t xml:space="preserve"> </w:t>
      </w:r>
      <w:proofErr w:type="gramStart"/>
      <w:r>
        <w:rPr>
          <w:u w:val="single"/>
        </w:rPr>
        <w:t>must</w:t>
      </w:r>
      <w:r w:rsidRPr="00E45677">
        <w:t xml:space="preserve"> </w:t>
      </w:r>
      <w:r w:rsidRPr="00393CF7">
        <w:rPr>
          <w:strike/>
        </w:rPr>
        <w:t>shall</w:t>
      </w:r>
      <w:proofErr w:type="gramEnd"/>
      <w:r w:rsidRPr="00E45677">
        <w:t xml:space="preserve"> provide a map and a written description of the disputed area along with the conditions that caused the dispute. Each utility party</w:t>
      </w:r>
      <w:r>
        <w:t xml:space="preserve"> </w:t>
      </w:r>
      <w:proofErr w:type="gramStart"/>
      <w:r>
        <w:rPr>
          <w:u w:val="single"/>
        </w:rPr>
        <w:t>must</w:t>
      </w:r>
      <w:r w:rsidRPr="00E45677">
        <w:t xml:space="preserve"> </w:t>
      </w:r>
      <w:r w:rsidRPr="00393CF7">
        <w:rPr>
          <w:strike/>
        </w:rPr>
        <w:t>shall</w:t>
      </w:r>
      <w:proofErr w:type="gramEnd"/>
      <w:r w:rsidRPr="00E45677">
        <w:t xml:space="preserve"> also provide a description of the existing and planned load to be served in the area of dispute and a description of the type, additional cost, and reliability of electrical facilities and other utility services to be provided within the disputed area.</w:t>
      </w:r>
    </w:p>
    <w:p w:rsidR="000F4C5B" w:rsidRPr="00E45677" w:rsidRDefault="000F4C5B" w:rsidP="00E45677">
      <w:pPr>
        <w:pStyle w:val="Rule"/>
        <w:tabs>
          <w:tab w:val="clear" w:pos="720"/>
          <w:tab w:val="left" w:pos="360"/>
        </w:tabs>
      </w:pPr>
      <w:r>
        <w:tab/>
      </w:r>
      <w:r w:rsidRPr="00E45677">
        <w:t>(2) In resolving territorial disputes, the Commission</w:t>
      </w:r>
      <w:r>
        <w:t xml:space="preserve"> </w:t>
      </w:r>
      <w:r w:rsidRPr="00B855AD">
        <w:t>may</w:t>
      </w:r>
      <w:r w:rsidRPr="00E45677">
        <w:t xml:space="preserve"> consider</w:t>
      </w:r>
      <w:r w:rsidRPr="00B855AD">
        <w:t>,</w:t>
      </w:r>
      <w:r>
        <w:t xml:space="preserve"> </w:t>
      </w:r>
      <w:r>
        <w:rPr>
          <w:u w:val="single"/>
        </w:rPr>
        <w:t>in addition to the factors listed in s. 366.04(2)(e):</w:t>
      </w:r>
      <w:r w:rsidRPr="00B855AD">
        <w:t xml:space="preserve"> </w:t>
      </w:r>
      <w:r w:rsidRPr="00393CF7">
        <w:rPr>
          <w:strike/>
        </w:rPr>
        <w:t>but not be limited to consideration of</w:t>
      </w:r>
      <w:r w:rsidRPr="008A4267">
        <w:rPr>
          <w:strike/>
        </w:rPr>
        <w:t>:</w:t>
      </w:r>
    </w:p>
    <w:p w:rsidR="000F4C5B" w:rsidRPr="00E45677" w:rsidRDefault="000F4C5B" w:rsidP="00E45677">
      <w:pPr>
        <w:pStyle w:val="Rule"/>
        <w:tabs>
          <w:tab w:val="clear" w:pos="720"/>
          <w:tab w:val="left" w:pos="360"/>
        </w:tabs>
      </w:pPr>
      <w:r>
        <w:tab/>
      </w:r>
      <w:r w:rsidRPr="00E45677">
        <w:t>(a) The capability of each utility to provide reliable electric service within the disputed area with its existing facilities and the extent to which additional facilities are needed;</w:t>
      </w:r>
    </w:p>
    <w:p w:rsidR="000F4C5B" w:rsidRPr="00E45677" w:rsidRDefault="000F4C5B" w:rsidP="00E45677">
      <w:pPr>
        <w:pStyle w:val="Rule"/>
        <w:tabs>
          <w:tab w:val="clear" w:pos="720"/>
          <w:tab w:val="left" w:pos="360"/>
        </w:tabs>
      </w:pPr>
      <w:r>
        <w:tab/>
      </w:r>
      <w:r w:rsidRPr="00E45677">
        <w:t>(b) The nature of the disputed area</w:t>
      </w:r>
      <w:r>
        <w:rPr>
          <w:u w:val="single"/>
        </w:rPr>
        <w:t>,</w:t>
      </w:r>
      <w:r w:rsidRPr="00E45677">
        <w:t xml:space="preserve"> including population and the type of utilities seeking to serve it,</w:t>
      </w:r>
      <w:r>
        <w:t xml:space="preserve"> </w:t>
      </w:r>
      <w:r>
        <w:rPr>
          <w:u w:val="single"/>
        </w:rPr>
        <w:t>the</w:t>
      </w:r>
      <w:r w:rsidRPr="00E45677">
        <w:t xml:space="preserve"> </w:t>
      </w:r>
      <w:r w:rsidRPr="00393CF7">
        <w:rPr>
          <w:strike/>
        </w:rPr>
        <w:t>and</w:t>
      </w:r>
      <w:r w:rsidRPr="00E45677">
        <w:t xml:space="preserve"> degree of urbanization of the area and its proximity to other urban areas, and the present and reasonably foreseeable future requirements of the area for other utility services;</w:t>
      </w:r>
    </w:p>
    <w:p w:rsidR="000F4C5B" w:rsidRDefault="000F4C5B" w:rsidP="00E45677">
      <w:pPr>
        <w:pStyle w:val="Rule"/>
        <w:tabs>
          <w:tab w:val="clear" w:pos="720"/>
          <w:tab w:val="left" w:pos="360"/>
        </w:tabs>
        <w:rPr>
          <w:strike/>
        </w:rPr>
      </w:pPr>
      <w:r>
        <w:tab/>
      </w:r>
      <w:r w:rsidRPr="00E45677">
        <w:t xml:space="preserve">(c) The cost of each utility to provide distribution and subtransmission facilities to the disputed area presently and in the future; </w:t>
      </w:r>
      <w:r w:rsidRPr="00B855AD">
        <w:rPr>
          <w:strike/>
        </w:rPr>
        <w:t>and</w:t>
      </w:r>
    </w:p>
    <w:p w:rsidR="000F4C5B" w:rsidRDefault="000F4C5B" w:rsidP="00E45677">
      <w:pPr>
        <w:pStyle w:val="Rule"/>
        <w:tabs>
          <w:tab w:val="clear" w:pos="720"/>
          <w:tab w:val="left" w:pos="360"/>
        </w:tabs>
      </w:pPr>
      <w:r>
        <w:tab/>
      </w:r>
      <w:r>
        <w:rPr>
          <w:u w:val="single"/>
        </w:rPr>
        <w:t>(d) Any other factor the Commission finds relevant in reaching a determination that the resolution of the territorial dispute is in the public interest; and</w:t>
      </w:r>
      <w:r w:rsidRPr="00E45677">
        <w:t xml:space="preserve"> </w:t>
      </w:r>
    </w:p>
    <w:p w:rsidR="000F4C5B" w:rsidRPr="00E45677" w:rsidRDefault="000F4C5B" w:rsidP="00E45677">
      <w:pPr>
        <w:pStyle w:val="Rule"/>
        <w:tabs>
          <w:tab w:val="clear" w:pos="720"/>
          <w:tab w:val="left" w:pos="360"/>
        </w:tabs>
      </w:pPr>
      <w:r>
        <w:tab/>
      </w:r>
      <w:r w:rsidRPr="001024FC">
        <w:rPr>
          <w:u w:val="single"/>
        </w:rPr>
        <w:t>(e)</w:t>
      </w:r>
      <w:r>
        <w:t xml:space="preserve"> </w:t>
      </w:r>
      <w:r w:rsidRPr="001024FC">
        <w:rPr>
          <w:strike/>
        </w:rPr>
        <w:t>(</w:t>
      </w:r>
      <w:proofErr w:type="gramStart"/>
      <w:r w:rsidRPr="001024FC">
        <w:rPr>
          <w:strike/>
        </w:rPr>
        <w:t>d</w:t>
      </w:r>
      <w:proofErr w:type="gramEnd"/>
      <w:r w:rsidRPr="001024FC">
        <w:rPr>
          <w:strike/>
        </w:rPr>
        <w:t>)</w:t>
      </w:r>
      <w:r w:rsidRPr="00E45677">
        <w:t xml:space="preserve"> </w:t>
      </w:r>
      <w:r>
        <w:rPr>
          <w:u w:val="single"/>
        </w:rPr>
        <w:t>I</w:t>
      </w:r>
      <w:r w:rsidRPr="00077902">
        <w:rPr>
          <w:u w:val="single"/>
        </w:rPr>
        <w:t>f all other factors are substantially equal, customer</w:t>
      </w:r>
      <w:r>
        <w:t xml:space="preserve"> </w:t>
      </w:r>
      <w:r w:rsidRPr="00077902">
        <w:rPr>
          <w:strike/>
        </w:rPr>
        <w:t>Customer</w:t>
      </w:r>
      <w:r w:rsidRPr="00E45677">
        <w:t xml:space="preserve"> preference </w:t>
      </w:r>
      <w:r w:rsidRPr="00077902">
        <w:rPr>
          <w:strike/>
        </w:rPr>
        <w:t>if all other factors are substantially equal</w:t>
      </w:r>
      <w:r w:rsidRPr="00E45677">
        <w:t>.</w:t>
      </w:r>
    </w:p>
    <w:p w:rsidR="000F4C5B" w:rsidRPr="00E45677" w:rsidRDefault="000F4C5B" w:rsidP="00E45677">
      <w:pPr>
        <w:pStyle w:val="Rule"/>
        <w:tabs>
          <w:tab w:val="clear" w:pos="720"/>
          <w:tab w:val="left" w:pos="360"/>
        </w:tabs>
      </w:pPr>
      <w:r>
        <w:tab/>
      </w:r>
      <w:r w:rsidRPr="00E45677">
        <w:t>(3) The Commission may require additional relevant information from the parties of the dispute</w:t>
      </w:r>
      <w:r>
        <w:rPr>
          <w:u w:val="single"/>
        </w:rPr>
        <w:t>,</w:t>
      </w:r>
      <w:r w:rsidRPr="00E45677">
        <w:t xml:space="preserve"> if so warranted.</w:t>
      </w:r>
    </w:p>
    <w:p w:rsidR="000F4C5B" w:rsidRPr="00E45677" w:rsidRDefault="000F4C5B" w:rsidP="00E45677">
      <w:pPr>
        <w:pStyle w:val="Rule"/>
        <w:tabs>
          <w:tab w:val="clear" w:pos="720"/>
          <w:tab w:val="left" w:pos="360"/>
        </w:tabs>
      </w:pPr>
      <w:r>
        <w:tab/>
      </w:r>
      <w:r w:rsidRPr="00E45677">
        <w:t>(4) Upon resolution of each territorial dispute, the parties to the dispute</w:t>
      </w:r>
      <w:r>
        <w:t xml:space="preserve"> </w:t>
      </w:r>
      <w:proofErr w:type="gramStart"/>
      <w:r>
        <w:rPr>
          <w:u w:val="single"/>
        </w:rPr>
        <w:t>must</w:t>
      </w:r>
      <w:r w:rsidRPr="00E45677">
        <w:t xml:space="preserve"> </w:t>
      </w:r>
      <w:r w:rsidRPr="00393CF7">
        <w:rPr>
          <w:strike/>
        </w:rPr>
        <w:t>shall</w:t>
      </w:r>
      <w:proofErr w:type="gramEnd"/>
      <w:r w:rsidRPr="00E45677">
        <w:t xml:space="preserve"> submit to the Commission an official Florida Department of Transportation (DOT) General Highway County map for each affected county depicting boundary lines established by the resolution of the territorial dispute.</w:t>
      </w:r>
    </w:p>
    <w:p w:rsidR="000F4C5B" w:rsidRPr="00E45677" w:rsidRDefault="000F4C5B" w:rsidP="00E45677">
      <w:pPr>
        <w:pStyle w:val="Rule"/>
        <w:tabs>
          <w:tab w:val="clear" w:pos="720"/>
          <w:tab w:val="left" w:pos="360"/>
        </w:tabs>
        <w:rPr>
          <w:i/>
        </w:rPr>
      </w:pPr>
      <w:proofErr w:type="gramStart"/>
      <w:r w:rsidRPr="00E45677">
        <w:rPr>
          <w:i/>
        </w:rPr>
        <w:t>Rulemaking Authority</w:t>
      </w:r>
      <w:r>
        <w:rPr>
          <w:i/>
        </w:rPr>
        <w:t xml:space="preserve"> </w:t>
      </w:r>
      <w:r>
        <w:rPr>
          <w:i/>
          <w:u w:val="single"/>
        </w:rPr>
        <w:t>350.127(2),</w:t>
      </w:r>
      <w:r w:rsidRPr="00E45677">
        <w:rPr>
          <w:i/>
        </w:rPr>
        <w:t xml:space="preserve"> 366.05(1) FS.</w:t>
      </w:r>
      <w:proofErr w:type="gramEnd"/>
      <w:r w:rsidRPr="00E45677">
        <w:rPr>
          <w:i/>
        </w:rPr>
        <w:t xml:space="preserve"> Law Implemented 366.04(2), (4), (5), 366.05(7) FS. Hist</w:t>
      </w:r>
      <w:r>
        <w:rPr>
          <w:i/>
        </w:rPr>
        <w:t>ory–New 3-4-90, Amended 2-13-96</w:t>
      </w:r>
      <w:proofErr w:type="gramStart"/>
      <w:r w:rsidRPr="00E45677">
        <w:rPr>
          <w:i/>
          <w:u w:val="single"/>
        </w:rPr>
        <w:t>,_</w:t>
      </w:r>
      <w:proofErr w:type="gramEnd"/>
      <w:r w:rsidRPr="00E45677">
        <w:rPr>
          <w:i/>
          <w:u w:val="single"/>
        </w:rPr>
        <w:t>________</w:t>
      </w:r>
      <w:r>
        <w:rPr>
          <w:i/>
        </w:rPr>
        <w:t>.</w:t>
      </w:r>
    </w:p>
    <w:p w:rsidR="000F4C5B" w:rsidRDefault="000F4C5B" w:rsidP="00E45677">
      <w:pPr>
        <w:pStyle w:val="Rule"/>
        <w:tabs>
          <w:tab w:val="clear" w:pos="720"/>
          <w:tab w:val="left" w:pos="360"/>
        </w:tabs>
      </w:pPr>
    </w:p>
    <w:p w:rsidR="000F4C5B" w:rsidRDefault="000F4C5B" w:rsidP="000F4C5B">
      <w:pPr>
        <w:pStyle w:val="BodyText"/>
        <w:sectPr w:rsidR="000F4C5B" w:rsidSect="00A37309">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0F4C5B" w:rsidRDefault="000F4C5B" w:rsidP="000F4C5B">
      <w:pPr>
        <w:pStyle w:val="BodyText"/>
      </w:pPr>
      <w:r>
        <w:rPr>
          <w:noProof/>
        </w:rPr>
        <w:drawing>
          <wp:inline distT="0" distB="0" distL="0" distR="0">
            <wp:extent cx="5943600" cy="768540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85405"/>
                    </a:xfrm>
                    <a:prstGeom prst="rect">
                      <a:avLst/>
                    </a:prstGeom>
                  </pic:spPr>
                </pic:pic>
              </a:graphicData>
            </a:graphic>
          </wp:inline>
        </w:drawing>
      </w:r>
    </w:p>
    <w:p w:rsidR="000F4C5B" w:rsidRDefault="000F4C5B">
      <w:r>
        <w:br w:type="page"/>
      </w:r>
    </w:p>
    <w:p w:rsidR="000F4C5B" w:rsidRDefault="000F4C5B" w:rsidP="000F4C5B">
      <w:pPr>
        <w:pStyle w:val="BodyText"/>
      </w:pPr>
      <w:r>
        <w:rPr>
          <w:noProof/>
        </w:rPr>
        <w:drawing>
          <wp:inline distT="0" distB="0" distL="0" distR="0">
            <wp:extent cx="5943600" cy="768413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84135"/>
                    </a:xfrm>
                    <a:prstGeom prst="rect">
                      <a:avLst/>
                    </a:prstGeom>
                  </pic:spPr>
                </pic:pic>
              </a:graphicData>
            </a:graphic>
          </wp:inline>
        </w:drawing>
      </w:r>
    </w:p>
    <w:p w:rsidR="000F4C5B" w:rsidRDefault="000F4C5B">
      <w:r>
        <w:br w:type="page"/>
      </w:r>
    </w:p>
    <w:p w:rsidR="000F4C5B" w:rsidRDefault="000F4C5B" w:rsidP="000F4C5B">
      <w:pPr>
        <w:pStyle w:val="BodyText"/>
      </w:pPr>
      <w:r>
        <w:rPr>
          <w:noProof/>
        </w:rPr>
        <w:drawing>
          <wp:inline distT="0" distB="0" distL="0" distR="0">
            <wp:extent cx="5943600" cy="7687945"/>
            <wp:effectExtent l="0" t="0" r="0" b="825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87945"/>
                    </a:xfrm>
                    <a:prstGeom prst="rect">
                      <a:avLst/>
                    </a:prstGeom>
                  </pic:spPr>
                </pic:pic>
              </a:graphicData>
            </a:graphic>
          </wp:inline>
        </w:drawing>
      </w:r>
    </w:p>
    <w:p w:rsidR="000F4C5B" w:rsidRDefault="000F4C5B">
      <w:r>
        <w:br w:type="page"/>
      </w:r>
    </w:p>
    <w:p w:rsidR="000F4C5B" w:rsidRDefault="000F4C5B" w:rsidP="000F4C5B">
      <w:pPr>
        <w:pStyle w:val="BodyText"/>
      </w:pPr>
      <w:r>
        <w:rPr>
          <w:noProof/>
        </w:rPr>
        <w:drawing>
          <wp:inline distT="0" distB="0" distL="0" distR="0">
            <wp:extent cx="5943600" cy="766254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62545"/>
                    </a:xfrm>
                    <a:prstGeom prst="rect">
                      <a:avLst/>
                    </a:prstGeom>
                  </pic:spPr>
                </pic:pic>
              </a:graphicData>
            </a:graphic>
          </wp:inline>
        </w:drawing>
      </w:r>
    </w:p>
    <w:p w:rsidR="000F4C5B" w:rsidRDefault="000F4C5B">
      <w:r>
        <w:br w:type="page"/>
      </w:r>
    </w:p>
    <w:p w:rsidR="000F4C5B" w:rsidRDefault="000F4C5B" w:rsidP="000F4C5B">
      <w:pPr>
        <w:pStyle w:val="BodyText"/>
      </w:pPr>
      <w:r>
        <w:rPr>
          <w:noProof/>
        </w:rPr>
        <w:drawing>
          <wp:inline distT="0" distB="0" distL="0" distR="0">
            <wp:extent cx="5943600" cy="767969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79690"/>
                    </a:xfrm>
                    <a:prstGeom prst="rect">
                      <a:avLst/>
                    </a:prstGeom>
                  </pic:spPr>
                </pic:pic>
              </a:graphicData>
            </a:graphic>
          </wp:inline>
        </w:drawing>
      </w:r>
    </w:p>
    <w:sectPr w:rsidR="000F4C5B" w:rsidSect="000F4C5B">
      <w:headerReference w:type="default" r:id="rId32"/>
      <w:footerReference w:type="default" r:id="rId33"/>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606" w:rsidRDefault="00604606">
      <w:r>
        <w:separator/>
      </w:r>
    </w:p>
  </w:endnote>
  <w:endnote w:type="continuationSeparator" w:id="0">
    <w:p w:rsidR="00604606" w:rsidRDefault="00604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06AFD">
      <w:rPr>
        <w:rStyle w:val="PageNumber"/>
        <w:noProof/>
      </w:rPr>
      <w:t>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D26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016BA8">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016BA8">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06AFD">
      <w:rPr>
        <w:rStyle w:val="PageNumber"/>
        <w:noProof/>
      </w:rPr>
      <w:t>8</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016B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016BA8">
    <w:pPr>
      <w:pStyle w:val="Footer"/>
    </w:pPr>
    <w:r>
      <w:t xml:space="preserve">CODING: Words </w:t>
    </w:r>
    <w:r>
      <w:rPr>
        <w:u w:val="single"/>
      </w:rPr>
      <w:t>underlined</w:t>
    </w:r>
    <w:r>
      <w:t xml:space="preserve"> are additions; words in struck through type are deletions from existing law.</w:t>
    </w:r>
  </w:p>
  <w:p w:rsidR="00FF1497" w:rsidRDefault="00016BA8">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D26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016BA8">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016BA8">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06AFD">
      <w:rPr>
        <w:rStyle w:val="PageNumber"/>
        <w:noProof/>
      </w:rPr>
      <w:t>10</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016B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016BA8">
    <w:pPr>
      <w:pStyle w:val="Footer"/>
    </w:pPr>
    <w:r>
      <w:t xml:space="preserve">CODING: Words </w:t>
    </w:r>
    <w:r>
      <w:rPr>
        <w:u w:val="single"/>
      </w:rPr>
      <w:t>underlined</w:t>
    </w:r>
    <w:r>
      <w:t xml:space="preserve"> are additions; words in struck through type are deletions from existing law.</w:t>
    </w:r>
  </w:p>
  <w:p w:rsidR="00FF1497" w:rsidRDefault="00016BA8">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C5B" w:rsidRDefault="000F4C5B">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806AFD">
      <w:rPr>
        <w:rStyle w:val="PageNumber"/>
        <w:noProof/>
      </w:rPr>
      <w:t>15</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606" w:rsidRDefault="00604606">
      <w:r>
        <w:separator/>
      </w:r>
    </w:p>
  </w:footnote>
  <w:footnote w:type="continuationSeparator" w:id="0">
    <w:p w:rsidR="00604606" w:rsidRDefault="00604606">
      <w:r>
        <w:continuationSeparator/>
      </w:r>
    </w:p>
  </w:footnote>
  <w:footnote w:id="1">
    <w:p w:rsidR="00FD334A" w:rsidRDefault="00FD334A">
      <w:pPr>
        <w:pStyle w:val="FootnoteText"/>
      </w:pPr>
      <w:r>
        <w:rPr>
          <w:rStyle w:val="FootnoteReference"/>
        </w:rPr>
        <w:footnoteRef/>
      </w:r>
      <w:r>
        <w:t xml:space="preserve"> JAPC </w:t>
      </w:r>
      <w:r w:rsidR="00686BF4">
        <w:t>is required to maintain a continuous review of administrative rules and advise the agencies concerned of its findings</w:t>
      </w:r>
      <w:r>
        <w:t xml:space="preserve"> under Section 120.545, F.S., </w:t>
      </w:r>
      <w:r w:rsidR="00686BF4">
        <w:t>and Joint Rule 4.6 of the Florida Legislature.</w:t>
      </w:r>
    </w:p>
  </w:footnote>
  <w:footnote w:id="2">
    <w:p w:rsidR="00BD0F39" w:rsidRPr="00D24891" w:rsidRDefault="00BD0F39" w:rsidP="00BD0F39">
      <w:pPr>
        <w:pStyle w:val="FootnoteText"/>
      </w:pPr>
      <w:r>
        <w:rPr>
          <w:rStyle w:val="FootnoteReference"/>
        </w:rPr>
        <w:footnoteRef/>
      </w:r>
      <w:r>
        <w:t xml:space="preserve"> The Commission previously addressed JAPC’s comments from this letter regarding several other rules. </w:t>
      </w:r>
      <w:r>
        <w:rPr>
          <w:i/>
        </w:rPr>
        <w:t>See</w:t>
      </w:r>
      <w:r>
        <w:t xml:space="preserve"> Order No. PSC-2019-0518-FOF-EI, issued on December 11, 2019, in Docket No. 20190164, </w:t>
      </w:r>
      <w:r w:rsidRPr="00D24891">
        <w:rPr>
          <w:i/>
        </w:rPr>
        <w:t>In re: Proposed amendment of Rule 25-6.0141, F.A.C., Allowance for Funds Used During Construction; Rule 25-6.033, F.A.C., Tariffs; Rule 25-6.036, F.A.C., Inspection of Plant; and Rule 25-6.037, F.A.C., Extent of System Which Utility Shall Operate and Maintain.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04606"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20200094-EU</w:t>
    </w:r>
    <w:bookmarkEnd w:id="14"/>
  </w:p>
  <w:p w:rsidR="00BC402E" w:rsidRDefault="00BC402E">
    <w:pPr>
      <w:pStyle w:val="Header"/>
    </w:pPr>
    <w:r>
      <w:t xml:space="preserve">Date: </w:t>
    </w:r>
    <w:r w:rsidR="00BD26CB">
      <w:fldChar w:fldCharType="begin"/>
    </w:r>
    <w:r w:rsidR="00BD26CB">
      <w:instrText xml:space="preserve"> REF FilingDate </w:instrText>
    </w:r>
    <w:r w:rsidR="00BD26CB">
      <w:fldChar w:fldCharType="separate"/>
    </w:r>
    <w:r w:rsidR="00016BA8">
      <w:t>May 28, 2020</w:t>
    </w:r>
    <w:r w:rsidR="00BD26CB">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C5B" w:rsidRDefault="000F4C5B" w:rsidP="000F4C5B">
    <w:pPr>
      <w:pStyle w:val="Header"/>
      <w:tabs>
        <w:tab w:val="clear" w:pos="4320"/>
        <w:tab w:val="clear" w:pos="8640"/>
        <w:tab w:val="right" w:pos="9360"/>
      </w:tabs>
    </w:pPr>
    <w:r>
      <w:fldChar w:fldCharType="begin"/>
    </w:r>
    <w:r>
      <w:instrText xml:space="preserve"> REF DocketLabel</w:instrText>
    </w:r>
    <w:r>
      <w:fldChar w:fldCharType="separate"/>
    </w:r>
    <w:r w:rsidR="00016BA8">
      <w:t>Docket No.</w:t>
    </w:r>
    <w:r>
      <w:fldChar w:fldCharType="end"/>
    </w:r>
    <w:r>
      <w:t xml:space="preserve"> </w:t>
    </w:r>
    <w:r>
      <w:fldChar w:fldCharType="begin"/>
    </w:r>
    <w:r>
      <w:instrText xml:space="preserve"> REF DocketList</w:instrText>
    </w:r>
    <w:r>
      <w:fldChar w:fldCharType="separate"/>
    </w:r>
    <w:r w:rsidR="00016BA8">
      <w:t>20200094-EU</w:t>
    </w:r>
    <w:r>
      <w:fldChar w:fldCharType="end"/>
    </w:r>
    <w:r>
      <w:tab/>
      <w:t>ATTACHMENT B</w:t>
    </w:r>
  </w:p>
  <w:p w:rsidR="000F4C5B" w:rsidRDefault="000F4C5B" w:rsidP="000F4C5B">
    <w:pPr>
      <w:pStyle w:val="Header"/>
    </w:pPr>
    <w:r>
      <w:t xml:space="preserve">Date: </w:t>
    </w:r>
    <w:fldSimple w:instr=" REF FilingDate ">
      <w:r w:rsidR="00016BA8">
        <w:t>May 28, 2020</w:t>
      </w:r>
    </w:fldSimple>
  </w:p>
  <w:p w:rsidR="000F4C5B" w:rsidRDefault="000F4C5B">
    <w:pPr>
      <w:tabs>
        <w:tab w:val="left" w:pos="3770"/>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16BA8">
      <w:t>Docket No.</w:t>
    </w:r>
    <w:r>
      <w:fldChar w:fldCharType="end"/>
    </w:r>
    <w:r>
      <w:t xml:space="preserve"> </w:t>
    </w:r>
    <w:r>
      <w:fldChar w:fldCharType="begin"/>
    </w:r>
    <w:r>
      <w:instrText xml:space="preserve"> REF DocketList</w:instrText>
    </w:r>
    <w:r>
      <w:fldChar w:fldCharType="separate"/>
    </w:r>
    <w:r w:rsidR="00016BA8">
      <w:t>20200094-EU</w:t>
    </w:r>
    <w:r>
      <w:fldChar w:fldCharType="end"/>
    </w:r>
    <w:r>
      <w:tab/>
      <w:t xml:space="preserve">Issue </w:t>
    </w:r>
    <w:r w:rsidR="00BD26CB">
      <w:fldChar w:fldCharType="begin"/>
    </w:r>
    <w:r w:rsidR="00BD26CB">
      <w:instrText xml:space="preserve"> Seq Issue \c \* Arabic </w:instrText>
    </w:r>
    <w:r w:rsidR="00BD26CB">
      <w:fldChar w:fldCharType="separate"/>
    </w:r>
    <w:r w:rsidR="00806AFD">
      <w:rPr>
        <w:noProof/>
      </w:rPr>
      <w:t>2</w:t>
    </w:r>
    <w:r w:rsidR="00BD26CB">
      <w:rPr>
        <w:noProof/>
      </w:rPr>
      <w:fldChar w:fldCharType="end"/>
    </w:r>
  </w:p>
  <w:p w:rsidR="00BC402E" w:rsidRDefault="00BC402E">
    <w:pPr>
      <w:pStyle w:val="Header"/>
    </w:pPr>
    <w:r>
      <w:t xml:space="preserve">Date: </w:t>
    </w:r>
    <w:r w:rsidR="00BD26CB">
      <w:fldChar w:fldCharType="begin"/>
    </w:r>
    <w:r w:rsidR="00BD26CB">
      <w:instrText xml:space="preserve"> REF FilingDate </w:instrText>
    </w:r>
    <w:r w:rsidR="00BD26CB">
      <w:fldChar w:fldCharType="separate"/>
    </w:r>
    <w:r w:rsidR="00016BA8">
      <w:t>May 28, 2020</w:t>
    </w:r>
    <w:r w:rsidR="00BD26CB">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D26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C5B" w:rsidRDefault="000F4C5B" w:rsidP="000F4C5B">
    <w:pPr>
      <w:pStyle w:val="Header"/>
      <w:tabs>
        <w:tab w:val="clear" w:pos="4320"/>
        <w:tab w:val="clear" w:pos="8640"/>
        <w:tab w:val="right" w:pos="9360"/>
      </w:tabs>
    </w:pPr>
    <w:r>
      <w:fldChar w:fldCharType="begin"/>
    </w:r>
    <w:r>
      <w:instrText xml:space="preserve"> REF DocketLabel</w:instrText>
    </w:r>
    <w:r>
      <w:fldChar w:fldCharType="separate"/>
    </w:r>
    <w:r w:rsidR="00016BA8">
      <w:t>Docket No.</w:t>
    </w:r>
    <w:r>
      <w:fldChar w:fldCharType="end"/>
    </w:r>
    <w:r>
      <w:t xml:space="preserve"> </w:t>
    </w:r>
    <w:r>
      <w:fldChar w:fldCharType="begin"/>
    </w:r>
    <w:r>
      <w:instrText xml:space="preserve"> REF DocketList</w:instrText>
    </w:r>
    <w:r>
      <w:fldChar w:fldCharType="separate"/>
    </w:r>
    <w:r w:rsidR="00016BA8">
      <w:t>20200094-EU</w:t>
    </w:r>
    <w:r>
      <w:fldChar w:fldCharType="end"/>
    </w:r>
    <w:r>
      <w:tab/>
      <w:t>ATTACHMENT A</w:t>
    </w:r>
  </w:p>
  <w:p w:rsidR="000F4C5B" w:rsidRDefault="000F4C5B" w:rsidP="000F4C5B">
    <w:pPr>
      <w:pStyle w:val="Header"/>
    </w:pPr>
    <w:r>
      <w:t xml:space="preserve">Date: </w:t>
    </w:r>
    <w:fldSimple w:instr=" REF FilingDate ">
      <w:r w:rsidR="00016BA8">
        <w:t>May 28, 2020</w:t>
      </w:r>
    </w:fldSimple>
  </w:p>
  <w:p w:rsidR="00FF1497" w:rsidRDefault="00016BA8">
    <w:pPr>
      <w:tabs>
        <w:tab w:val="left" w:pos="3770"/>
      </w:tabs>
      <w:rPr>
        <w:b/>
      </w:rPr>
    </w:pPr>
    <w:r>
      <w:rPr>
        <w:b/>
        <w:noProof/>
      </w:rPr>
      <mc:AlternateContent>
        <mc:Choice Requires="wps">
          <w:drawing>
            <wp:anchor distT="0" distB="0" distL="114300" distR="114300" simplePos="0" relativeHeight="251659264" behindDoc="0" locked="0" layoutInCell="1" allowOverlap="1" wp14:anchorId="0E974D32" wp14:editId="5D79361A">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0E1D7377" wp14:editId="1AE364EA">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016BA8">
                          <w:pPr>
                            <w:pStyle w:val="RuleHeader"/>
                            <w:rPr>
                              <w:rStyle w:val="RuleChar"/>
                            </w:rPr>
                          </w:pPr>
                          <w:r>
                            <w:t>1</w:t>
                          </w:r>
                        </w:p>
                        <w:p w:rsidR="00FF1497" w:rsidRDefault="00016BA8">
                          <w:pPr>
                            <w:pStyle w:val="RuleHeader"/>
                          </w:pPr>
                          <w:r>
                            <w:t>2</w:t>
                          </w:r>
                        </w:p>
                        <w:p w:rsidR="00FF1497" w:rsidRDefault="00016BA8">
                          <w:pPr>
                            <w:pStyle w:val="RuleHeader"/>
                          </w:pPr>
                          <w:r>
                            <w:t>3</w:t>
                          </w:r>
                        </w:p>
                        <w:p w:rsidR="00FF1497" w:rsidRDefault="00016BA8">
                          <w:pPr>
                            <w:pStyle w:val="RuleHeader"/>
                          </w:pPr>
                          <w:r>
                            <w:t>4</w:t>
                          </w:r>
                        </w:p>
                        <w:p w:rsidR="00FF1497" w:rsidRDefault="00016BA8">
                          <w:pPr>
                            <w:pStyle w:val="RuleHeader"/>
                          </w:pPr>
                          <w:r>
                            <w:t>5</w:t>
                          </w:r>
                        </w:p>
                        <w:p w:rsidR="00FF1497" w:rsidRDefault="00016BA8">
                          <w:pPr>
                            <w:pStyle w:val="RuleHeader"/>
                          </w:pPr>
                          <w:r>
                            <w:t>6</w:t>
                          </w:r>
                        </w:p>
                        <w:p w:rsidR="00FF1497" w:rsidRDefault="00016BA8">
                          <w:pPr>
                            <w:pStyle w:val="RuleHeader"/>
                          </w:pPr>
                          <w:r>
                            <w:t>7</w:t>
                          </w:r>
                        </w:p>
                        <w:p w:rsidR="00FF1497" w:rsidRDefault="00016BA8">
                          <w:pPr>
                            <w:pStyle w:val="RuleHeader"/>
                          </w:pPr>
                          <w:r>
                            <w:t>8</w:t>
                          </w:r>
                        </w:p>
                        <w:p w:rsidR="00FF1497" w:rsidRDefault="00016BA8">
                          <w:pPr>
                            <w:pStyle w:val="RuleHeader"/>
                          </w:pPr>
                          <w:r>
                            <w:t>9</w:t>
                          </w:r>
                        </w:p>
                        <w:p w:rsidR="00FF1497" w:rsidRDefault="00016BA8">
                          <w:pPr>
                            <w:pStyle w:val="RuleHeader"/>
                          </w:pPr>
                          <w:r>
                            <w:t>10</w:t>
                          </w:r>
                        </w:p>
                        <w:p w:rsidR="00FF1497" w:rsidRDefault="00016BA8">
                          <w:pPr>
                            <w:pStyle w:val="RuleHeader"/>
                          </w:pPr>
                          <w:r>
                            <w:t>11</w:t>
                          </w:r>
                        </w:p>
                        <w:p w:rsidR="00FF1497" w:rsidRDefault="00016BA8">
                          <w:pPr>
                            <w:pStyle w:val="RuleHeader"/>
                          </w:pPr>
                          <w:r>
                            <w:t>12</w:t>
                          </w:r>
                        </w:p>
                        <w:p w:rsidR="00FF1497" w:rsidRDefault="00016BA8">
                          <w:pPr>
                            <w:pStyle w:val="RuleHeader"/>
                          </w:pPr>
                          <w:r>
                            <w:t>13</w:t>
                          </w:r>
                        </w:p>
                        <w:p w:rsidR="00FF1497" w:rsidRDefault="00016BA8">
                          <w:pPr>
                            <w:pStyle w:val="RuleHeader"/>
                          </w:pPr>
                          <w:r>
                            <w:t>14</w:t>
                          </w:r>
                        </w:p>
                        <w:p w:rsidR="00FF1497" w:rsidRDefault="00016BA8">
                          <w:pPr>
                            <w:pStyle w:val="RuleHeader"/>
                          </w:pPr>
                          <w:r>
                            <w:t>15</w:t>
                          </w:r>
                        </w:p>
                        <w:p w:rsidR="00FF1497" w:rsidRDefault="00016BA8">
                          <w:pPr>
                            <w:pStyle w:val="RuleHeader"/>
                          </w:pPr>
                          <w:r>
                            <w:t>16</w:t>
                          </w:r>
                        </w:p>
                        <w:p w:rsidR="00FF1497" w:rsidRDefault="00016BA8">
                          <w:pPr>
                            <w:pStyle w:val="RuleHeader"/>
                          </w:pPr>
                          <w:r>
                            <w:t>17</w:t>
                          </w:r>
                        </w:p>
                        <w:p w:rsidR="00FF1497" w:rsidRDefault="00016BA8">
                          <w:pPr>
                            <w:pStyle w:val="RuleHeader"/>
                          </w:pPr>
                          <w:r>
                            <w:t>18</w:t>
                          </w:r>
                        </w:p>
                        <w:p w:rsidR="00FF1497" w:rsidRDefault="00016BA8">
                          <w:pPr>
                            <w:pStyle w:val="RuleHeader"/>
                          </w:pPr>
                          <w:r>
                            <w:t>19</w:t>
                          </w:r>
                        </w:p>
                        <w:p w:rsidR="00FF1497" w:rsidRDefault="00016BA8">
                          <w:pPr>
                            <w:pStyle w:val="RuleHeader"/>
                          </w:pPr>
                          <w:r>
                            <w:t>20</w:t>
                          </w:r>
                        </w:p>
                        <w:p w:rsidR="00FF1497" w:rsidRDefault="00016BA8">
                          <w:pPr>
                            <w:pStyle w:val="RuleHeader"/>
                          </w:pPr>
                          <w:r>
                            <w:t>21</w:t>
                          </w:r>
                        </w:p>
                        <w:p w:rsidR="00FF1497" w:rsidRDefault="00016BA8">
                          <w:pPr>
                            <w:pStyle w:val="RuleHeader"/>
                          </w:pPr>
                          <w:r>
                            <w:t>22</w:t>
                          </w:r>
                        </w:p>
                        <w:p w:rsidR="00FF1497" w:rsidRDefault="00016BA8">
                          <w:pPr>
                            <w:pStyle w:val="RuleHeader"/>
                          </w:pPr>
                          <w:r>
                            <w:t>23</w:t>
                          </w:r>
                        </w:p>
                        <w:p w:rsidR="00FF1497" w:rsidRDefault="00016BA8">
                          <w:pPr>
                            <w:pStyle w:val="RuleHeader"/>
                          </w:pPr>
                          <w:r>
                            <w:t>24</w:t>
                          </w:r>
                        </w:p>
                        <w:p w:rsidR="00FF1497" w:rsidRDefault="00016BA8">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016BA8">
                    <w:pPr>
                      <w:pStyle w:val="RuleHeader"/>
                      <w:rPr>
                        <w:rStyle w:val="RuleChar"/>
                      </w:rPr>
                    </w:pPr>
                    <w:r>
                      <w:t>1</w:t>
                    </w:r>
                  </w:p>
                  <w:p w:rsidR="00FF1497" w:rsidRDefault="00016BA8">
                    <w:pPr>
                      <w:pStyle w:val="RuleHeader"/>
                    </w:pPr>
                    <w:r>
                      <w:t>2</w:t>
                    </w:r>
                  </w:p>
                  <w:p w:rsidR="00FF1497" w:rsidRDefault="00016BA8">
                    <w:pPr>
                      <w:pStyle w:val="RuleHeader"/>
                    </w:pPr>
                    <w:r>
                      <w:t>3</w:t>
                    </w:r>
                  </w:p>
                  <w:p w:rsidR="00FF1497" w:rsidRDefault="00016BA8">
                    <w:pPr>
                      <w:pStyle w:val="RuleHeader"/>
                    </w:pPr>
                    <w:r>
                      <w:t>4</w:t>
                    </w:r>
                  </w:p>
                  <w:p w:rsidR="00FF1497" w:rsidRDefault="00016BA8">
                    <w:pPr>
                      <w:pStyle w:val="RuleHeader"/>
                    </w:pPr>
                    <w:r>
                      <w:t>5</w:t>
                    </w:r>
                  </w:p>
                  <w:p w:rsidR="00FF1497" w:rsidRDefault="00016BA8">
                    <w:pPr>
                      <w:pStyle w:val="RuleHeader"/>
                    </w:pPr>
                    <w:r>
                      <w:t>6</w:t>
                    </w:r>
                  </w:p>
                  <w:p w:rsidR="00FF1497" w:rsidRDefault="00016BA8">
                    <w:pPr>
                      <w:pStyle w:val="RuleHeader"/>
                    </w:pPr>
                    <w:r>
                      <w:t>7</w:t>
                    </w:r>
                  </w:p>
                  <w:p w:rsidR="00FF1497" w:rsidRDefault="00016BA8">
                    <w:pPr>
                      <w:pStyle w:val="RuleHeader"/>
                    </w:pPr>
                    <w:r>
                      <w:t>8</w:t>
                    </w:r>
                  </w:p>
                  <w:p w:rsidR="00FF1497" w:rsidRDefault="00016BA8">
                    <w:pPr>
                      <w:pStyle w:val="RuleHeader"/>
                    </w:pPr>
                    <w:r>
                      <w:t>9</w:t>
                    </w:r>
                  </w:p>
                  <w:p w:rsidR="00FF1497" w:rsidRDefault="00016BA8">
                    <w:pPr>
                      <w:pStyle w:val="RuleHeader"/>
                    </w:pPr>
                    <w:r>
                      <w:t>10</w:t>
                    </w:r>
                  </w:p>
                  <w:p w:rsidR="00FF1497" w:rsidRDefault="00016BA8">
                    <w:pPr>
                      <w:pStyle w:val="RuleHeader"/>
                    </w:pPr>
                    <w:r>
                      <w:t>11</w:t>
                    </w:r>
                  </w:p>
                  <w:p w:rsidR="00FF1497" w:rsidRDefault="00016BA8">
                    <w:pPr>
                      <w:pStyle w:val="RuleHeader"/>
                    </w:pPr>
                    <w:r>
                      <w:t>12</w:t>
                    </w:r>
                  </w:p>
                  <w:p w:rsidR="00FF1497" w:rsidRDefault="00016BA8">
                    <w:pPr>
                      <w:pStyle w:val="RuleHeader"/>
                    </w:pPr>
                    <w:r>
                      <w:t>13</w:t>
                    </w:r>
                  </w:p>
                  <w:p w:rsidR="00FF1497" w:rsidRDefault="00016BA8">
                    <w:pPr>
                      <w:pStyle w:val="RuleHeader"/>
                    </w:pPr>
                    <w:r>
                      <w:t>14</w:t>
                    </w:r>
                  </w:p>
                  <w:p w:rsidR="00FF1497" w:rsidRDefault="00016BA8">
                    <w:pPr>
                      <w:pStyle w:val="RuleHeader"/>
                    </w:pPr>
                    <w:r>
                      <w:t>15</w:t>
                    </w:r>
                  </w:p>
                  <w:p w:rsidR="00FF1497" w:rsidRDefault="00016BA8">
                    <w:pPr>
                      <w:pStyle w:val="RuleHeader"/>
                    </w:pPr>
                    <w:r>
                      <w:t>16</w:t>
                    </w:r>
                  </w:p>
                  <w:p w:rsidR="00FF1497" w:rsidRDefault="00016BA8">
                    <w:pPr>
                      <w:pStyle w:val="RuleHeader"/>
                    </w:pPr>
                    <w:r>
                      <w:t>17</w:t>
                    </w:r>
                  </w:p>
                  <w:p w:rsidR="00FF1497" w:rsidRDefault="00016BA8">
                    <w:pPr>
                      <w:pStyle w:val="RuleHeader"/>
                    </w:pPr>
                    <w:r>
                      <w:t>18</w:t>
                    </w:r>
                  </w:p>
                  <w:p w:rsidR="00FF1497" w:rsidRDefault="00016BA8">
                    <w:pPr>
                      <w:pStyle w:val="RuleHeader"/>
                    </w:pPr>
                    <w:r>
                      <w:t>19</w:t>
                    </w:r>
                  </w:p>
                  <w:p w:rsidR="00FF1497" w:rsidRDefault="00016BA8">
                    <w:pPr>
                      <w:pStyle w:val="RuleHeader"/>
                    </w:pPr>
                    <w:r>
                      <w:t>20</w:t>
                    </w:r>
                  </w:p>
                  <w:p w:rsidR="00FF1497" w:rsidRDefault="00016BA8">
                    <w:pPr>
                      <w:pStyle w:val="RuleHeader"/>
                    </w:pPr>
                    <w:r>
                      <w:t>21</w:t>
                    </w:r>
                  </w:p>
                  <w:p w:rsidR="00FF1497" w:rsidRDefault="00016BA8">
                    <w:pPr>
                      <w:pStyle w:val="RuleHeader"/>
                    </w:pPr>
                    <w:r>
                      <w:t>22</w:t>
                    </w:r>
                  </w:p>
                  <w:p w:rsidR="00FF1497" w:rsidRDefault="00016BA8">
                    <w:pPr>
                      <w:pStyle w:val="RuleHeader"/>
                    </w:pPr>
                    <w:r>
                      <w:t>23</w:t>
                    </w:r>
                  </w:p>
                  <w:p w:rsidR="00FF1497" w:rsidRDefault="00016BA8">
                    <w:pPr>
                      <w:pStyle w:val="RuleHeader"/>
                    </w:pPr>
                    <w:r>
                      <w:t>24</w:t>
                    </w:r>
                  </w:p>
                  <w:p w:rsidR="00FF1497" w:rsidRDefault="00016BA8">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0A31FD4" wp14:editId="2D08D20C">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466EDB85" wp14:editId="25E849E5">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016BA8">
    <w:pPr>
      <w:tabs>
        <w:tab w:val="left" w:pos="3770"/>
      </w:tabs>
    </w:pPr>
    <w:r>
      <w:rPr>
        <w:noProof/>
      </w:rPr>
      <mc:AlternateContent>
        <mc:Choice Requires="wps">
          <w:drawing>
            <wp:anchor distT="0" distB="0" distL="114300" distR="114300" simplePos="0" relativeHeight="251663360" behindDoc="0" locked="0" layoutInCell="1" allowOverlap="1" wp14:anchorId="1956DD02" wp14:editId="3469533E">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7AB503C" wp14:editId="1231D80E">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016BA8">
                          <w:pPr>
                            <w:jc w:val="right"/>
                          </w:pPr>
                          <w:r>
                            <w:t>1</w:t>
                          </w:r>
                        </w:p>
                        <w:p w:rsidR="00FF1497" w:rsidRDefault="00016BA8">
                          <w:pPr>
                            <w:jc w:val="right"/>
                          </w:pPr>
                          <w:r>
                            <w:t>2</w:t>
                          </w:r>
                        </w:p>
                        <w:p w:rsidR="00FF1497" w:rsidRDefault="00016BA8">
                          <w:pPr>
                            <w:jc w:val="right"/>
                          </w:pPr>
                          <w:r>
                            <w:t>3</w:t>
                          </w:r>
                        </w:p>
                        <w:p w:rsidR="00FF1497" w:rsidRDefault="00016BA8">
                          <w:pPr>
                            <w:jc w:val="right"/>
                          </w:pPr>
                          <w:r>
                            <w:t>4</w:t>
                          </w:r>
                        </w:p>
                        <w:p w:rsidR="00FF1497" w:rsidRDefault="00016BA8">
                          <w:pPr>
                            <w:jc w:val="right"/>
                          </w:pPr>
                          <w:r>
                            <w:t>5</w:t>
                          </w:r>
                        </w:p>
                        <w:p w:rsidR="00FF1497" w:rsidRDefault="00016BA8">
                          <w:pPr>
                            <w:jc w:val="right"/>
                          </w:pPr>
                          <w:r>
                            <w:t>6</w:t>
                          </w:r>
                        </w:p>
                        <w:p w:rsidR="00FF1497" w:rsidRDefault="00016BA8">
                          <w:pPr>
                            <w:jc w:val="right"/>
                          </w:pPr>
                          <w:r>
                            <w:t>7</w:t>
                          </w:r>
                        </w:p>
                        <w:p w:rsidR="00FF1497" w:rsidRDefault="00016BA8">
                          <w:pPr>
                            <w:jc w:val="right"/>
                          </w:pPr>
                          <w:r>
                            <w:t>8</w:t>
                          </w:r>
                        </w:p>
                        <w:p w:rsidR="00FF1497" w:rsidRDefault="00016BA8">
                          <w:pPr>
                            <w:jc w:val="right"/>
                          </w:pPr>
                          <w:r>
                            <w:t>9</w:t>
                          </w:r>
                        </w:p>
                        <w:p w:rsidR="00FF1497" w:rsidRDefault="00016BA8">
                          <w:pPr>
                            <w:jc w:val="right"/>
                          </w:pPr>
                          <w:r>
                            <w:t>10</w:t>
                          </w:r>
                        </w:p>
                        <w:p w:rsidR="00FF1497" w:rsidRDefault="00016BA8">
                          <w:pPr>
                            <w:jc w:val="right"/>
                          </w:pPr>
                          <w:r>
                            <w:t>11</w:t>
                          </w:r>
                        </w:p>
                        <w:p w:rsidR="00FF1497" w:rsidRDefault="00016BA8">
                          <w:pPr>
                            <w:jc w:val="right"/>
                          </w:pPr>
                          <w:r>
                            <w:t>12</w:t>
                          </w:r>
                        </w:p>
                        <w:p w:rsidR="00FF1497" w:rsidRDefault="00016BA8">
                          <w:pPr>
                            <w:jc w:val="right"/>
                          </w:pPr>
                          <w:r>
                            <w:t>13</w:t>
                          </w:r>
                        </w:p>
                        <w:p w:rsidR="00FF1497" w:rsidRDefault="00016BA8">
                          <w:pPr>
                            <w:jc w:val="right"/>
                          </w:pPr>
                          <w:r>
                            <w:t>14</w:t>
                          </w:r>
                        </w:p>
                        <w:p w:rsidR="00FF1497" w:rsidRDefault="00016BA8">
                          <w:pPr>
                            <w:jc w:val="right"/>
                          </w:pPr>
                          <w:r>
                            <w:t>15</w:t>
                          </w:r>
                        </w:p>
                        <w:p w:rsidR="00FF1497" w:rsidRDefault="00016BA8">
                          <w:pPr>
                            <w:jc w:val="right"/>
                          </w:pPr>
                          <w:r>
                            <w:t>16</w:t>
                          </w:r>
                        </w:p>
                        <w:p w:rsidR="00FF1497" w:rsidRDefault="00016BA8">
                          <w:pPr>
                            <w:jc w:val="right"/>
                          </w:pPr>
                          <w:r>
                            <w:t>17</w:t>
                          </w:r>
                        </w:p>
                        <w:p w:rsidR="00FF1497" w:rsidRDefault="00016BA8">
                          <w:pPr>
                            <w:jc w:val="right"/>
                          </w:pPr>
                          <w:r>
                            <w:t>18</w:t>
                          </w:r>
                        </w:p>
                        <w:p w:rsidR="00FF1497" w:rsidRDefault="00016BA8">
                          <w:pPr>
                            <w:jc w:val="right"/>
                          </w:pPr>
                          <w:r>
                            <w:t>19</w:t>
                          </w:r>
                        </w:p>
                        <w:p w:rsidR="00FF1497" w:rsidRDefault="00016BA8">
                          <w:pPr>
                            <w:jc w:val="right"/>
                          </w:pPr>
                          <w:r>
                            <w:t>20</w:t>
                          </w:r>
                        </w:p>
                        <w:p w:rsidR="00FF1497" w:rsidRDefault="00016BA8">
                          <w:pPr>
                            <w:jc w:val="right"/>
                          </w:pPr>
                          <w:r>
                            <w:t>21</w:t>
                          </w:r>
                        </w:p>
                        <w:p w:rsidR="00FF1497" w:rsidRDefault="00016BA8">
                          <w:pPr>
                            <w:jc w:val="right"/>
                          </w:pPr>
                          <w:r>
                            <w:t>22</w:t>
                          </w:r>
                        </w:p>
                        <w:p w:rsidR="00FF1497" w:rsidRDefault="00016BA8">
                          <w:pPr>
                            <w:jc w:val="right"/>
                          </w:pPr>
                          <w:r>
                            <w:t>23</w:t>
                          </w:r>
                        </w:p>
                        <w:p w:rsidR="00FF1497" w:rsidRDefault="00016BA8">
                          <w:pPr>
                            <w:jc w:val="right"/>
                          </w:pPr>
                          <w:r>
                            <w:t>24</w:t>
                          </w:r>
                        </w:p>
                        <w:p w:rsidR="00FF1497" w:rsidRDefault="00016BA8">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016BA8">
                    <w:pPr>
                      <w:jc w:val="right"/>
                    </w:pPr>
                    <w:r>
                      <w:t>1</w:t>
                    </w:r>
                  </w:p>
                  <w:p w:rsidR="00FF1497" w:rsidRDefault="00016BA8">
                    <w:pPr>
                      <w:jc w:val="right"/>
                    </w:pPr>
                    <w:r>
                      <w:t>2</w:t>
                    </w:r>
                  </w:p>
                  <w:p w:rsidR="00FF1497" w:rsidRDefault="00016BA8">
                    <w:pPr>
                      <w:jc w:val="right"/>
                    </w:pPr>
                    <w:r>
                      <w:t>3</w:t>
                    </w:r>
                  </w:p>
                  <w:p w:rsidR="00FF1497" w:rsidRDefault="00016BA8">
                    <w:pPr>
                      <w:jc w:val="right"/>
                    </w:pPr>
                    <w:r>
                      <w:t>4</w:t>
                    </w:r>
                  </w:p>
                  <w:p w:rsidR="00FF1497" w:rsidRDefault="00016BA8">
                    <w:pPr>
                      <w:jc w:val="right"/>
                    </w:pPr>
                    <w:r>
                      <w:t>5</w:t>
                    </w:r>
                  </w:p>
                  <w:p w:rsidR="00FF1497" w:rsidRDefault="00016BA8">
                    <w:pPr>
                      <w:jc w:val="right"/>
                    </w:pPr>
                    <w:r>
                      <w:t>6</w:t>
                    </w:r>
                  </w:p>
                  <w:p w:rsidR="00FF1497" w:rsidRDefault="00016BA8">
                    <w:pPr>
                      <w:jc w:val="right"/>
                    </w:pPr>
                    <w:r>
                      <w:t>7</w:t>
                    </w:r>
                  </w:p>
                  <w:p w:rsidR="00FF1497" w:rsidRDefault="00016BA8">
                    <w:pPr>
                      <w:jc w:val="right"/>
                    </w:pPr>
                    <w:r>
                      <w:t>8</w:t>
                    </w:r>
                  </w:p>
                  <w:p w:rsidR="00FF1497" w:rsidRDefault="00016BA8">
                    <w:pPr>
                      <w:jc w:val="right"/>
                    </w:pPr>
                    <w:r>
                      <w:t>9</w:t>
                    </w:r>
                  </w:p>
                  <w:p w:rsidR="00FF1497" w:rsidRDefault="00016BA8">
                    <w:pPr>
                      <w:jc w:val="right"/>
                    </w:pPr>
                    <w:r>
                      <w:t>10</w:t>
                    </w:r>
                  </w:p>
                  <w:p w:rsidR="00FF1497" w:rsidRDefault="00016BA8">
                    <w:pPr>
                      <w:jc w:val="right"/>
                    </w:pPr>
                    <w:r>
                      <w:t>11</w:t>
                    </w:r>
                  </w:p>
                  <w:p w:rsidR="00FF1497" w:rsidRDefault="00016BA8">
                    <w:pPr>
                      <w:jc w:val="right"/>
                    </w:pPr>
                    <w:r>
                      <w:t>12</w:t>
                    </w:r>
                  </w:p>
                  <w:p w:rsidR="00FF1497" w:rsidRDefault="00016BA8">
                    <w:pPr>
                      <w:jc w:val="right"/>
                    </w:pPr>
                    <w:r>
                      <w:t>13</w:t>
                    </w:r>
                  </w:p>
                  <w:p w:rsidR="00FF1497" w:rsidRDefault="00016BA8">
                    <w:pPr>
                      <w:jc w:val="right"/>
                    </w:pPr>
                    <w:r>
                      <w:t>14</w:t>
                    </w:r>
                  </w:p>
                  <w:p w:rsidR="00FF1497" w:rsidRDefault="00016BA8">
                    <w:pPr>
                      <w:jc w:val="right"/>
                    </w:pPr>
                    <w:r>
                      <w:t>15</w:t>
                    </w:r>
                  </w:p>
                  <w:p w:rsidR="00FF1497" w:rsidRDefault="00016BA8">
                    <w:pPr>
                      <w:jc w:val="right"/>
                    </w:pPr>
                    <w:r>
                      <w:t>16</w:t>
                    </w:r>
                  </w:p>
                  <w:p w:rsidR="00FF1497" w:rsidRDefault="00016BA8">
                    <w:pPr>
                      <w:jc w:val="right"/>
                    </w:pPr>
                    <w:r>
                      <w:t>17</w:t>
                    </w:r>
                  </w:p>
                  <w:p w:rsidR="00FF1497" w:rsidRDefault="00016BA8">
                    <w:pPr>
                      <w:jc w:val="right"/>
                    </w:pPr>
                    <w:r>
                      <w:t>18</w:t>
                    </w:r>
                  </w:p>
                  <w:p w:rsidR="00FF1497" w:rsidRDefault="00016BA8">
                    <w:pPr>
                      <w:jc w:val="right"/>
                    </w:pPr>
                    <w:r>
                      <w:t>19</w:t>
                    </w:r>
                  </w:p>
                  <w:p w:rsidR="00FF1497" w:rsidRDefault="00016BA8">
                    <w:pPr>
                      <w:jc w:val="right"/>
                    </w:pPr>
                    <w:r>
                      <w:t>20</w:t>
                    </w:r>
                  </w:p>
                  <w:p w:rsidR="00FF1497" w:rsidRDefault="00016BA8">
                    <w:pPr>
                      <w:jc w:val="right"/>
                    </w:pPr>
                    <w:r>
                      <w:t>21</w:t>
                    </w:r>
                  </w:p>
                  <w:p w:rsidR="00FF1497" w:rsidRDefault="00016BA8">
                    <w:pPr>
                      <w:jc w:val="right"/>
                    </w:pPr>
                    <w:r>
                      <w:t>22</w:t>
                    </w:r>
                  </w:p>
                  <w:p w:rsidR="00FF1497" w:rsidRDefault="00016BA8">
                    <w:pPr>
                      <w:jc w:val="right"/>
                    </w:pPr>
                    <w:r>
                      <w:t>23</w:t>
                    </w:r>
                  </w:p>
                  <w:p w:rsidR="00FF1497" w:rsidRDefault="00016BA8">
                    <w:pPr>
                      <w:jc w:val="right"/>
                    </w:pPr>
                    <w:r>
                      <w:t>24</w:t>
                    </w:r>
                  </w:p>
                  <w:p w:rsidR="00FF1497" w:rsidRDefault="00016BA8">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D3A44CA" wp14:editId="5F6DB998">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0F75EF9D" wp14:editId="3A760306">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BD26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C5B" w:rsidRDefault="000F4C5B" w:rsidP="000F4C5B">
    <w:pPr>
      <w:pStyle w:val="Header"/>
      <w:tabs>
        <w:tab w:val="clear" w:pos="4320"/>
        <w:tab w:val="clear" w:pos="8640"/>
        <w:tab w:val="right" w:pos="9360"/>
      </w:tabs>
    </w:pPr>
    <w:r>
      <w:fldChar w:fldCharType="begin"/>
    </w:r>
    <w:r>
      <w:instrText xml:space="preserve"> REF DocketLabel</w:instrText>
    </w:r>
    <w:r>
      <w:fldChar w:fldCharType="separate"/>
    </w:r>
    <w:r w:rsidR="00016BA8">
      <w:t>Docket No.</w:t>
    </w:r>
    <w:r>
      <w:fldChar w:fldCharType="end"/>
    </w:r>
    <w:r>
      <w:t xml:space="preserve"> </w:t>
    </w:r>
    <w:r>
      <w:fldChar w:fldCharType="begin"/>
    </w:r>
    <w:r>
      <w:instrText xml:space="preserve"> REF DocketList</w:instrText>
    </w:r>
    <w:r>
      <w:fldChar w:fldCharType="separate"/>
    </w:r>
    <w:r w:rsidR="00016BA8">
      <w:t>20200094-EU</w:t>
    </w:r>
    <w:r>
      <w:fldChar w:fldCharType="end"/>
    </w:r>
    <w:r>
      <w:tab/>
      <w:t>ATTACHMENT A</w:t>
    </w:r>
  </w:p>
  <w:p w:rsidR="000F4C5B" w:rsidRDefault="000F4C5B" w:rsidP="000F4C5B">
    <w:pPr>
      <w:pStyle w:val="Header"/>
    </w:pPr>
    <w:r>
      <w:t xml:space="preserve">Date: </w:t>
    </w:r>
    <w:fldSimple w:instr=" REF FilingDate ">
      <w:r w:rsidR="00016BA8">
        <w:t>May 28, 2020</w:t>
      </w:r>
    </w:fldSimple>
  </w:p>
  <w:p w:rsidR="00FF1497" w:rsidRDefault="00016BA8">
    <w:pPr>
      <w:tabs>
        <w:tab w:val="left" w:pos="3770"/>
      </w:tabs>
      <w:rPr>
        <w:b/>
      </w:rPr>
    </w:pPr>
    <w:r>
      <w:rPr>
        <w:b/>
        <w:noProof/>
      </w:rPr>
      <mc:AlternateContent>
        <mc:Choice Requires="wps">
          <w:drawing>
            <wp:anchor distT="0" distB="0" distL="114300" distR="114300" simplePos="0" relativeHeight="251668480" behindDoc="0" locked="0" layoutInCell="1" allowOverlap="1" wp14:anchorId="1C74842B" wp14:editId="3CFF192C">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217585A0" wp14:editId="34942065">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016BA8">
                          <w:pPr>
                            <w:pStyle w:val="RuleHeader"/>
                            <w:rPr>
                              <w:rStyle w:val="RuleChar"/>
                            </w:rPr>
                          </w:pPr>
                          <w:r>
                            <w:t>1</w:t>
                          </w:r>
                        </w:p>
                        <w:p w:rsidR="00FF1497" w:rsidRDefault="00016BA8">
                          <w:pPr>
                            <w:pStyle w:val="RuleHeader"/>
                          </w:pPr>
                          <w:r>
                            <w:t>2</w:t>
                          </w:r>
                        </w:p>
                        <w:p w:rsidR="00FF1497" w:rsidRDefault="00016BA8">
                          <w:pPr>
                            <w:pStyle w:val="RuleHeader"/>
                          </w:pPr>
                          <w:r>
                            <w:t>3</w:t>
                          </w:r>
                        </w:p>
                        <w:p w:rsidR="00FF1497" w:rsidRDefault="00016BA8">
                          <w:pPr>
                            <w:pStyle w:val="RuleHeader"/>
                          </w:pPr>
                          <w:r>
                            <w:t>4</w:t>
                          </w:r>
                        </w:p>
                        <w:p w:rsidR="00FF1497" w:rsidRDefault="00016BA8">
                          <w:pPr>
                            <w:pStyle w:val="RuleHeader"/>
                          </w:pPr>
                          <w:r>
                            <w:t>5</w:t>
                          </w:r>
                        </w:p>
                        <w:p w:rsidR="00FF1497" w:rsidRDefault="00016BA8">
                          <w:pPr>
                            <w:pStyle w:val="RuleHeader"/>
                          </w:pPr>
                          <w:r>
                            <w:t>6</w:t>
                          </w:r>
                        </w:p>
                        <w:p w:rsidR="00FF1497" w:rsidRDefault="00016BA8">
                          <w:pPr>
                            <w:pStyle w:val="RuleHeader"/>
                          </w:pPr>
                          <w:r>
                            <w:t>7</w:t>
                          </w:r>
                        </w:p>
                        <w:p w:rsidR="00FF1497" w:rsidRDefault="00016BA8">
                          <w:pPr>
                            <w:pStyle w:val="RuleHeader"/>
                          </w:pPr>
                          <w:r>
                            <w:t>8</w:t>
                          </w:r>
                        </w:p>
                        <w:p w:rsidR="00FF1497" w:rsidRDefault="00016BA8">
                          <w:pPr>
                            <w:pStyle w:val="RuleHeader"/>
                          </w:pPr>
                          <w:r>
                            <w:t>9</w:t>
                          </w:r>
                        </w:p>
                        <w:p w:rsidR="00FF1497" w:rsidRDefault="00016BA8">
                          <w:pPr>
                            <w:pStyle w:val="RuleHeader"/>
                          </w:pPr>
                          <w:r>
                            <w:t>10</w:t>
                          </w:r>
                        </w:p>
                        <w:p w:rsidR="00FF1497" w:rsidRDefault="00016BA8">
                          <w:pPr>
                            <w:pStyle w:val="RuleHeader"/>
                          </w:pPr>
                          <w:r>
                            <w:t>11</w:t>
                          </w:r>
                        </w:p>
                        <w:p w:rsidR="00FF1497" w:rsidRDefault="00016BA8">
                          <w:pPr>
                            <w:pStyle w:val="RuleHeader"/>
                          </w:pPr>
                          <w:r>
                            <w:t>12</w:t>
                          </w:r>
                        </w:p>
                        <w:p w:rsidR="00FF1497" w:rsidRDefault="00016BA8">
                          <w:pPr>
                            <w:pStyle w:val="RuleHeader"/>
                          </w:pPr>
                          <w:r>
                            <w:t>13</w:t>
                          </w:r>
                        </w:p>
                        <w:p w:rsidR="00FF1497" w:rsidRDefault="00016BA8">
                          <w:pPr>
                            <w:pStyle w:val="RuleHeader"/>
                          </w:pPr>
                          <w:r>
                            <w:t>14</w:t>
                          </w:r>
                        </w:p>
                        <w:p w:rsidR="00FF1497" w:rsidRDefault="00016BA8">
                          <w:pPr>
                            <w:pStyle w:val="RuleHeader"/>
                          </w:pPr>
                          <w:r>
                            <w:t>15</w:t>
                          </w:r>
                        </w:p>
                        <w:p w:rsidR="00FF1497" w:rsidRDefault="00016BA8">
                          <w:pPr>
                            <w:pStyle w:val="RuleHeader"/>
                          </w:pPr>
                          <w:r>
                            <w:t>16</w:t>
                          </w:r>
                        </w:p>
                        <w:p w:rsidR="00FF1497" w:rsidRDefault="00016BA8">
                          <w:pPr>
                            <w:pStyle w:val="RuleHeader"/>
                          </w:pPr>
                          <w:r>
                            <w:t>17</w:t>
                          </w:r>
                        </w:p>
                        <w:p w:rsidR="00FF1497" w:rsidRDefault="00016BA8">
                          <w:pPr>
                            <w:pStyle w:val="RuleHeader"/>
                          </w:pPr>
                          <w:r>
                            <w:t>18</w:t>
                          </w:r>
                        </w:p>
                        <w:p w:rsidR="00FF1497" w:rsidRDefault="00016BA8">
                          <w:pPr>
                            <w:pStyle w:val="RuleHeader"/>
                          </w:pPr>
                          <w:r>
                            <w:t>19</w:t>
                          </w:r>
                        </w:p>
                        <w:p w:rsidR="00FF1497" w:rsidRDefault="00016BA8">
                          <w:pPr>
                            <w:pStyle w:val="RuleHeader"/>
                          </w:pPr>
                          <w:r>
                            <w:t>20</w:t>
                          </w:r>
                        </w:p>
                        <w:p w:rsidR="00FF1497" w:rsidRDefault="00016BA8">
                          <w:pPr>
                            <w:pStyle w:val="RuleHeader"/>
                          </w:pPr>
                          <w:r>
                            <w:t>21</w:t>
                          </w:r>
                        </w:p>
                        <w:p w:rsidR="00FF1497" w:rsidRDefault="00016BA8">
                          <w:pPr>
                            <w:pStyle w:val="RuleHeader"/>
                          </w:pPr>
                          <w:r>
                            <w:t>22</w:t>
                          </w:r>
                        </w:p>
                        <w:p w:rsidR="00FF1497" w:rsidRDefault="00016BA8">
                          <w:pPr>
                            <w:pStyle w:val="RuleHeader"/>
                          </w:pPr>
                          <w:r>
                            <w:t>23</w:t>
                          </w:r>
                        </w:p>
                        <w:p w:rsidR="00FF1497" w:rsidRDefault="00016BA8">
                          <w:pPr>
                            <w:pStyle w:val="RuleHeader"/>
                          </w:pPr>
                          <w:r>
                            <w:t>24</w:t>
                          </w:r>
                        </w:p>
                        <w:p w:rsidR="00FF1497" w:rsidRDefault="00016BA8">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016BA8">
                    <w:pPr>
                      <w:pStyle w:val="RuleHeader"/>
                      <w:rPr>
                        <w:rStyle w:val="RuleChar"/>
                      </w:rPr>
                    </w:pPr>
                    <w:r>
                      <w:t>1</w:t>
                    </w:r>
                  </w:p>
                  <w:p w:rsidR="00FF1497" w:rsidRDefault="00016BA8">
                    <w:pPr>
                      <w:pStyle w:val="RuleHeader"/>
                    </w:pPr>
                    <w:r>
                      <w:t>2</w:t>
                    </w:r>
                  </w:p>
                  <w:p w:rsidR="00FF1497" w:rsidRDefault="00016BA8">
                    <w:pPr>
                      <w:pStyle w:val="RuleHeader"/>
                    </w:pPr>
                    <w:r>
                      <w:t>3</w:t>
                    </w:r>
                  </w:p>
                  <w:p w:rsidR="00FF1497" w:rsidRDefault="00016BA8">
                    <w:pPr>
                      <w:pStyle w:val="RuleHeader"/>
                    </w:pPr>
                    <w:r>
                      <w:t>4</w:t>
                    </w:r>
                  </w:p>
                  <w:p w:rsidR="00FF1497" w:rsidRDefault="00016BA8">
                    <w:pPr>
                      <w:pStyle w:val="RuleHeader"/>
                    </w:pPr>
                    <w:r>
                      <w:t>5</w:t>
                    </w:r>
                  </w:p>
                  <w:p w:rsidR="00FF1497" w:rsidRDefault="00016BA8">
                    <w:pPr>
                      <w:pStyle w:val="RuleHeader"/>
                    </w:pPr>
                    <w:r>
                      <w:t>6</w:t>
                    </w:r>
                  </w:p>
                  <w:p w:rsidR="00FF1497" w:rsidRDefault="00016BA8">
                    <w:pPr>
                      <w:pStyle w:val="RuleHeader"/>
                    </w:pPr>
                    <w:r>
                      <w:t>7</w:t>
                    </w:r>
                  </w:p>
                  <w:p w:rsidR="00FF1497" w:rsidRDefault="00016BA8">
                    <w:pPr>
                      <w:pStyle w:val="RuleHeader"/>
                    </w:pPr>
                    <w:r>
                      <w:t>8</w:t>
                    </w:r>
                  </w:p>
                  <w:p w:rsidR="00FF1497" w:rsidRDefault="00016BA8">
                    <w:pPr>
                      <w:pStyle w:val="RuleHeader"/>
                    </w:pPr>
                    <w:r>
                      <w:t>9</w:t>
                    </w:r>
                  </w:p>
                  <w:p w:rsidR="00FF1497" w:rsidRDefault="00016BA8">
                    <w:pPr>
                      <w:pStyle w:val="RuleHeader"/>
                    </w:pPr>
                    <w:r>
                      <w:t>10</w:t>
                    </w:r>
                  </w:p>
                  <w:p w:rsidR="00FF1497" w:rsidRDefault="00016BA8">
                    <w:pPr>
                      <w:pStyle w:val="RuleHeader"/>
                    </w:pPr>
                    <w:r>
                      <w:t>11</w:t>
                    </w:r>
                  </w:p>
                  <w:p w:rsidR="00FF1497" w:rsidRDefault="00016BA8">
                    <w:pPr>
                      <w:pStyle w:val="RuleHeader"/>
                    </w:pPr>
                    <w:r>
                      <w:t>12</w:t>
                    </w:r>
                  </w:p>
                  <w:p w:rsidR="00FF1497" w:rsidRDefault="00016BA8">
                    <w:pPr>
                      <w:pStyle w:val="RuleHeader"/>
                    </w:pPr>
                    <w:r>
                      <w:t>13</w:t>
                    </w:r>
                  </w:p>
                  <w:p w:rsidR="00FF1497" w:rsidRDefault="00016BA8">
                    <w:pPr>
                      <w:pStyle w:val="RuleHeader"/>
                    </w:pPr>
                    <w:r>
                      <w:t>14</w:t>
                    </w:r>
                  </w:p>
                  <w:p w:rsidR="00FF1497" w:rsidRDefault="00016BA8">
                    <w:pPr>
                      <w:pStyle w:val="RuleHeader"/>
                    </w:pPr>
                    <w:r>
                      <w:t>15</w:t>
                    </w:r>
                  </w:p>
                  <w:p w:rsidR="00FF1497" w:rsidRDefault="00016BA8">
                    <w:pPr>
                      <w:pStyle w:val="RuleHeader"/>
                    </w:pPr>
                    <w:r>
                      <w:t>16</w:t>
                    </w:r>
                  </w:p>
                  <w:p w:rsidR="00FF1497" w:rsidRDefault="00016BA8">
                    <w:pPr>
                      <w:pStyle w:val="RuleHeader"/>
                    </w:pPr>
                    <w:r>
                      <w:t>17</w:t>
                    </w:r>
                  </w:p>
                  <w:p w:rsidR="00FF1497" w:rsidRDefault="00016BA8">
                    <w:pPr>
                      <w:pStyle w:val="RuleHeader"/>
                    </w:pPr>
                    <w:r>
                      <w:t>18</w:t>
                    </w:r>
                  </w:p>
                  <w:p w:rsidR="00FF1497" w:rsidRDefault="00016BA8">
                    <w:pPr>
                      <w:pStyle w:val="RuleHeader"/>
                    </w:pPr>
                    <w:r>
                      <w:t>19</w:t>
                    </w:r>
                  </w:p>
                  <w:p w:rsidR="00FF1497" w:rsidRDefault="00016BA8">
                    <w:pPr>
                      <w:pStyle w:val="RuleHeader"/>
                    </w:pPr>
                    <w:r>
                      <w:t>20</w:t>
                    </w:r>
                  </w:p>
                  <w:p w:rsidR="00FF1497" w:rsidRDefault="00016BA8">
                    <w:pPr>
                      <w:pStyle w:val="RuleHeader"/>
                    </w:pPr>
                    <w:r>
                      <w:t>21</w:t>
                    </w:r>
                  </w:p>
                  <w:p w:rsidR="00FF1497" w:rsidRDefault="00016BA8">
                    <w:pPr>
                      <w:pStyle w:val="RuleHeader"/>
                    </w:pPr>
                    <w:r>
                      <w:t>22</w:t>
                    </w:r>
                  </w:p>
                  <w:p w:rsidR="00FF1497" w:rsidRDefault="00016BA8">
                    <w:pPr>
                      <w:pStyle w:val="RuleHeader"/>
                    </w:pPr>
                    <w:r>
                      <w:t>23</w:t>
                    </w:r>
                  </w:p>
                  <w:p w:rsidR="00FF1497" w:rsidRDefault="00016BA8">
                    <w:pPr>
                      <w:pStyle w:val="RuleHeader"/>
                    </w:pPr>
                    <w:r>
                      <w:t>24</w:t>
                    </w:r>
                  </w:p>
                  <w:p w:rsidR="00FF1497" w:rsidRDefault="00016BA8">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31AB914B" wp14:editId="1DF1B27B">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5C58D00E" wp14:editId="56328BD7">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016BA8">
    <w:pPr>
      <w:tabs>
        <w:tab w:val="left" w:pos="3770"/>
      </w:tabs>
    </w:pPr>
    <w:r>
      <w:rPr>
        <w:noProof/>
      </w:rPr>
      <mc:AlternateContent>
        <mc:Choice Requires="wps">
          <w:drawing>
            <wp:anchor distT="0" distB="0" distL="114300" distR="114300" simplePos="0" relativeHeight="251672576" behindDoc="0" locked="0" layoutInCell="1" allowOverlap="1" wp14:anchorId="2AEDFEB6" wp14:editId="07516895">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5925D526" wp14:editId="1B6EF56A">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016BA8">
                          <w:pPr>
                            <w:jc w:val="right"/>
                          </w:pPr>
                          <w:r>
                            <w:t>1</w:t>
                          </w:r>
                        </w:p>
                        <w:p w:rsidR="00FF1497" w:rsidRDefault="00016BA8">
                          <w:pPr>
                            <w:jc w:val="right"/>
                          </w:pPr>
                          <w:r>
                            <w:t>2</w:t>
                          </w:r>
                        </w:p>
                        <w:p w:rsidR="00FF1497" w:rsidRDefault="00016BA8">
                          <w:pPr>
                            <w:jc w:val="right"/>
                          </w:pPr>
                          <w:r>
                            <w:t>3</w:t>
                          </w:r>
                        </w:p>
                        <w:p w:rsidR="00FF1497" w:rsidRDefault="00016BA8">
                          <w:pPr>
                            <w:jc w:val="right"/>
                          </w:pPr>
                          <w:r>
                            <w:t>4</w:t>
                          </w:r>
                        </w:p>
                        <w:p w:rsidR="00FF1497" w:rsidRDefault="00016BA8">
                          <w:pPr>
                            <w:jc w:val="right"/>
                          </w:pPr>
                          <w:r>
                            <w:t>5</w:t>
                          </w:r>
                        </w:p>
                        <w:p w:rsidR="00FF1497" w:rsidRDefault="00016BA8">
                          <w:pPr>
                            <w:jc w:val="right"/>
                          </w:pPr>
                          <w:r>
                            <w:t>6</w:t>
                          </w:r>
                        </w:p>
                        <w:p w:rsidR="00FF1497" w:rsidRDefault="00016BA8">
                          <w:pPr>
                            <w:jc w:val="right"/>
                          </w:pPr>
                          <w:r>
                            <w:t>7</w:t>
                          </w:r>
                        </w:p>
                        <w:p w:rsidR="00FF1497" w:rsidRDefault="00016BA8">
                          <w:pPr>
                            <w:jc w:val="right"/>
                          </w:pPr>
                          <w:r>
                            <w:t>8</w:t>
                          </w:r>
                        </w:p>
                        <w:p w:rsidR="00FF1497" w:rsidRDefault="00016BA8">
                          <w:pPr>
                            <w:jc w:val="right"/>
                          </w:pPr>
                          <w:r>
                            <w:t>9</w:t>
                          </w:r>
                        </w:p>
                        <w:p w:rsidR="00FF1497" w:rsidRDefault="00016BA8">
                          <w:pPr>
                            <w:jc w:val="right"/>
                          </w:pPr>
                          <w:r>
                            <w:t>10</w:t>
                          </w:r>
                        </w:p>
                        <w:p w:rsidR="00FF1497" w:rsidRDefault="00016BA8">
                          <w:pPr>
                            <w:jc w:val="right"/>
                          </w:pPr>
                          <w:r>
                            <w:t>11</w:t>
                          </w:r>
                        </w:p>
                        <w:p w:rsidR="00FF1497" w:rsidRDefault="00016BA8">
                          <w:pPr>
                            <w:jc w:val="right"/>
                          </w:pPr>
                          <w:r>
                            <w:t>12</w:t>
                          </w:r>
                        </w:p>
                        <w:p w:rsidR="00FF1497" w:rsidRDefault="00016BA8">
                          <w:pPr>
                            <w:jc w:val="right"/>
                          </w:pPr>
                          <w:r>
                            <w:t>13</w:t>
                          </w:r>
                        </w:p>
                        <w:p w:rsidR="00FF1497" w:rsidRDefault="00016BA8">
                          <w:pPr>
                            <w:jc w:val="right"/>
                          </w:pPr>
                          <w:r>
                            <w:t>14</w:t>
                          </w:r>
                        </w:p>
                        <w:p w:rsidR="00FF1497" w:rsidRDefault="00016BA8">
                          <w:pPr>
                            <w:jc w:val="right"/>
                          </w:pPr>
                          <w:r>
                            <w:t>15</w:t>
                          </w:r>
                        </w:p>
                        <w:p w:rsidR="00FF1497" w:rsidRDefault="00016BA8">
                          <w:pPr>
                            <w:jc w:val="right"/>
                          </w:pPr>
                          <w:r>
                            <w:t>16</w:t>
                          </w:r>
                        </w:p>
                        <w:p w:rsidR="00FF1497" w:rsidRDefault="00016BA8">
                          <w:pPr>
                            <w:jc w:val="right"/>
                          </w:pPr>
                          <w:r>
                            <w:t>17</w:t>
                          </w:r>
                        </w:p>
                        <w:p w:rsidR="00FF1497" w:rsidRDefault="00016BA8">
                          <w:pPr>
                            <w:jc w:val="right"/>
                          </w:pPr>
                          <w:r>
                            <w:t>18</w:t>
                          </w:r>
                        </w:p>
                        <w:p w:rsidR="00FF1497" w:rsidRDefault="00016BA8">
                          <w:pPr>
                            <w:jc w:val="right"/>
                          </w:pPr>
                          <w:r>
                            <w:t>19</w:t>
                          </w:r>
                        </w:p>
                        <w:p w:rsidR="00FF1497" w:rsidRDefault="00016BA8">
                          <w:pPr>
                            <w:jc w:val="right"/>
                          </w:pPr>
                          <w:r>
                            <w:t>20</w:t>
                          </w:r>
                        </w:p>
                        <w:p w:rsidR="00FF1497" w:rsidRDefault="00016BA8">
                          <w:pPr>
                            <w:jc w:val="right"/>
                          </w:pPr>
                          <w:r>
                            <w:t>21</w:t>
                          </w:r>
                        </w:p>
                        <w:p w:rsidR="00FF1497" w:rsidRDefault="00016BA8">
                          <w:pPr>
                            <w:jc w:val="right"/>
                          </w:pPr>
                          <w:r>
                            <w:t>22</w:t>
                          </w:r>
                        </w:p>
                        <w:p w:rsidR="00FF1497" w:rsidRDefault="00016BA8">
                          <w:pPr>
                            <w:jc w:val="right"/>
                          </w:pPr>
                          <w:r>
                            <w:t>23</w:t>
                          </w:r>
                        </w:p>
                        <w:p w:rsidR="00FF1497" w:rsidRDefault="00016BA8">
                          <w:pPr>
                            <w:jc w:val="right"/>
                          </w:pPr>
                          <w:r>
                            <w:t>24</w:t>
                          </w:r>
                        </w:p>
                        <w:p w:rsidR="00FF1497" w:rsidRDefault="00016BA8">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016BA8">
                    <w:pPr>
                      <w:jc w:val="right"/>
                    </w:pPr>
                    <w:r>
                      <w:t>1</w:t>
                    </w:r>
                  </w:p>
                  <w:p w:rsidR="00FF1497" w:rsidRDefault="00016BA8">
                    <w:pPr>
                      <w:jc w:val="right"/>
                    </w:pPr>
                    <w:r>
                      <w:t>2</w:t>
                    </w:r>
                  </w:p>
                  <w:p w:rsidR="00FF1497" w:rsidRDefault="00016BA8">
                    <w:pPr>
                      <w:jc w:val="right"/>
                    </w:pPr>
                    <w:r>
                      <w:t>3</w:t>
                    </w:r>
                  </w:p>
                  <w:p w:rsidR="00FF1497" w:rsidRDefault="00016BA8">
                    <w:pPr>
                      <w:jc w:val="right"/>
                    </w:pPr>
                    <w:r>
                      <w:t>4</w:t>
                    </w:r>
                  </w:p>
                  <w:p w:rsidR="00FF1497" w:rsidRDefault="00016BA8">
                    <w:pPr>
                      <w:jc w:val="right"/>
                    </w:pPr>
                    <w:r>
                      <w:t>5</w:t>
                    </w:r>
                  </w:p>
                  <w:p w:rsidR="00FF1497" w:rsidRDefault="00016BA8">
                    <w:pPr>
                      <w:jc w:val="right"/>
                    </w:pPr>
                    <w:r>
                      <w:t>6</w:t>
                    </w:r>
                  </w:p>
                  <w:p w:rsidR="00FF1497" w:rsidRDefault="00016BA8">
                    <w:pPr>
                      <w:jc w:val="right"/>
                    </w:pPr>
                    <w:r>
                      <w:t>7</w:t>
                    </w:r>
                  </w:p>
                  <w:p w:rsidR="00FF1497" w:rsidRDefault="00016BA8">
                    <w:pPr>
                      <w:jc w:val="right"/>
                    </w:pPr>
                    <w:r>
                      <w:t>8</w:t>
                    </w:r>
                  </w:p>
                  <w:p w:rsidR="00FF1497" w:rsidRDefault="00016BA8">
                    <w:pPr>
                      <w:jc w:val="right"/>
                    </w:pPr>
                    <w:r>
                      <w:t>9</w:t>
                    </w:r>
                  </w:p>
                  <w:p w:rsidR="00FF1497" w:rsidRDefault="00016BA8">
                    <w:pPr>
                      <w:jc w:val="right"/>
                    </w:pPr>
                    <w:r>
                      <w:t>10</w:t>
                    </w:r>
                  </w:p>
                  <w:p w:rsidR="00FF1497" w:rsidRDefault="00016BA8">
                    <w:pPr>
                      <w:jc w:val="right"/>
                    </w:pPr>
                    <w:r>
                      <w:t>11</w:t>
                    </w:r>
                  </w:p>
                  <w:p w:rsidR="00FF1497" w:rsidRDefault="00016BA8">
                    <w:pPr>
                      <w:jc w:val="right"/>
                    </w:pPr>
                    <w:r>
                      <w:t>12</w:t>
                    </w:r>
                  </w:p>
                  <w:p w:rsidR="00FF1497" w:rsidRDefault="00016BA8">
                    <w:pPr>
                      <w:jc w:val="right"/>
                    </w:pPr>
                    <w:r>
                      <w:t>13</w:t>
                    </w:r>
                  </w:p>
                  <w:p w:rsidR="00FF1497" w:rsidRDefault="00016BA8">
                    <w:pPr>
                      <w:jc w:val="right"/>
                    </w:pPr>
                    <w:r>
                      <w:t>14</w:t>
                    </w:r>
                  </w:p>
                  <w:p w:rsidR="00FF1497" w:rsidRDefault="00016BA8">
                    <w:pPr>
                      <w:jc w:val="right"/>
                    </w:pPr>
                    <w:r>
                      <w:t>15</w:t>
                    </w:r>
                  </w:p>
                  <w:p w:rsidR="00FF1497" w:rsidRDefault="00016BA8">
                    <w:pPr>
                      <w:jc w:val="right"/>
                    </w:pPr>
                    <w:r>
                      <w:t>16</w:t>
                    </w:r>
                  </w:p>
                  <w:p w:rsidR="00FF1497" w:rsidRDefault="00016BA8">
                    <w:pPr>
                      <w:jc w:val="right"/>
                    </w:pPr>
                    <w:r>
                      <w:t>17</w:t>
                    </w:r>
                  </w:p>
                  <w:p w:rsidR="00FF1497" w:rsidRDefault="00016BA8">
                    <w:pPr>
                      <w:jc w:val="right"/>
                    </w:pPr>
                    <w:r>
                      <w:t>18</w:t>
                    </w:r>
                  </w:p>
                  <w:p w:rsidR="00FF1497" w:rsidRDefault="00016BA8">
                    <w:pPr>
                      <w:jc w:val="right"/>
                    </w:pPr>
                    <w:r>
                      <w:t>19</w:t>
                    </w:r>
                  </w:p>
                  <w:p w:rsidR="00FF1497" w:rsidRDefault="00016BA8">
                    <w:pPr>
                      <w:jc w:val="right"/>
                    </w:pPr>
                    <w:r>
                      <w:t>20</w:t>
                    </w:r>
                  </w:p>
                  <w:p w:rsidR="00FF1497" w:rsidRDefault="00016BA8">
                    <w:pPr>
                      <w:jc w:val="right"/>
                    </w:pPr>
                    <w:r>
                      <w:t>21</w:t>
                    </w:r>
                  </w:p>
                  <w:p w:rsidR="00FF1497" w:rsidRDefault="00016BA8">
                    <w:pPr>
                      <w:jc w:val="right"/>
                    </w:pPr>
                    <w:r>
                      <w:t>22</w:t>
                    </w:r>
                  </w:p>
                  <w:p w:rsidR="00FF1497" w:rsidRDefault="00016BA8">
                    <w:pPr>
                      <w:jc w:val="right"/>
                    </w:pPr>
                    <w:r>
                      <w:t>23</w:t>
                    </w:r>
                  </w:p>
                  <w:p w:rsidR="00FF1497" w:rsidRDefault="00016BA8">
                    <w:pPr>
                      <w:jc w:val="right"/>
                    </w:pPr>
                    <w:r>
                      <w:t>24</w:t>
                    </w:r>
                  </w:p>
                  <w:p w:rsidR="00FF1497" w:rsidRDefault="00016BA8">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AC9987C" wp14:editId="72EB90A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52186A8C" wp14:editId="0DBC52A8">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46EE5D87"/>
    <w:multiLevelType w:val="hybridMultilevel"/>
    <w:tmpl w:val="E7983E36"/>
    <w:lvl w:ilvl="0" w:tplc="13A8708A">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04606"/>
    <w:rsid w:val="000043D5"/>
    <w:rsid w:val="00006170"/>
    <w:rsid w:val="00010E37"/>
    <w:rsid w:val="00016BA8"/>
    <w:rsid w:val="000172DA"/>
    <w:rsid w:val="000247C5"/>
    <w:rsid w:val="000277C2"/>
    <w:rsid w:val="00035B48"/>
    <w:rsid w:val="00035BFF"/>
    <w:rsid w:val="00036CE2"/>
    <w:rsid w:val="000437FE"/>
    <w:rsid w:val="00050957"/>
    <w:rsid w:val="000513BE"/>
    <w:rsid w:val="00065A06"/>
    <w:rsid w:val="000666F3"/>
    <w:rsid w:val="00070DCB"/>
    <w:rsid w:val="00072CCA"/>
    <w:rsid w:val="00073120"/>
    <w:rsid w:val="000764D0"/>
    <w:rsid w:val="000828D3"/>
    <w:rsid w:val="000A2B57"/>
    <w:rsid w:val="000A418B"/>
    <w:rsid w:val="000C4431"/>
    <w:rsid w:val="000D1C06"/>
    <w:rsid w:val="000D4319"/>
    <w:rsid w:val="000F2475"/>
    <w:rsid w:val="000F374A"/>
    <w:rsid w:val="000F4C5B"/>
    <w:rsid w:val="001076AF"/>
    <w:rsid w:val="00117C8C"/>
    <w:rsid w:val="001243E5"/>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F6030"/>
    <w:rsid w:val="002F70CB"/>
    <w:rsid w:val="003037E1"/>
    <w:rsid w:val="00307E51"/>
    <w:rsid w:val="003103EC"/>
    <w:rsid w:val="003144EF"/>
    <w:rsid w:val="00322F74"/>
    <w:rsid w:val="00330B0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C63D3"/>
    <w:rsid w:val="003E0EFC"/>
    <w:rsid w:val="003E4A2B"/>
    <w:rsid w:val="003E5ABB"/>
    <w:rsid w:val="003E76C2"/>
    <w:rsid w:val="003F1679"/>
    <w:rsid w:val="003F21EB"/>
    <w:rsid w:val="003F4A35"/>
    <w:rsid w:val="003F4CA1"/>
    <w:rsid w:val="003F7FDD"/>
    <w:rsid w:val="00402481"/>
    <w:rsid w:val="004042B4"/>
    <w:rsid w:val="00410DC4"/>
    <w:rsid w:val="00412DAE"/>
    <w:rsid w:val="004242E6"/>
    <w:rsid w:val="00431598"/>
    <w:rsid w:val="004319AD"/>
    <w:rsid w:val="004426B8"/>
    <w:rsid w:val="00444432"/>
    <w:rsid w:val="00471860"/>
    <w:rsid w:val="004747ED"/>
    <w:rsid w:val="00477026"/>
    <w:rsid w:val="004A4562"/>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75786"/>
    <w:rsid w:val="00580F69"/>
    <w:rsid w:val="00581CA3"/>
    <w:rsid w:val="00587A44"/>
    <w:rsid w:val="00597730"/>
    <w:rsid w:val="005977EC"/>
    <w:rsid w:val="00597DE7"/>
    <w:rsid w:val="005A4AA2"/>
    <w:rsid w:val="005B34B6"/>
    <w:rsid w:val="005B6C8F"/>
    <w:rsid w:val="005B6EC3"/>
    <w:rsid w:val="005D0F74"/>
    <w:rsid w:val="005D1744"/>
    <w:rsid w:val="005D2E7D"/>
    <w:rsid w:val="005D43B3"/>
    <w:rsid w:val="005D4A8F"/>
    <w:rsid w:val="005D561B"/>
    <w:rsid w:val="005D5ECF"/>
    <w:rsid w:val="005F468D"/>
    <w:rsid w:val="005F69A3"/>
    <w:rsid w:val="00604606"/>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777BB"/>
    <w:rsid w:val="006843B6"/>
    <w:rsid w:val="0068481F"/>
    <w:rsid w:val="00686BF4"/>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A417E"/>
    <w:rsid w:val="007C0528"/>
    <w:rsid w:val="007C3D38"/>
    <w:rsid w:val="007D0F35"/>
    <w:rsid w:val="007D4BB6"/>
    <w:rsid w:val="007D4FEB"/>
    <w:rsid w:val="007D6146"/>
    <w:rsid w:val="007E0CE7"/>
    <w:rsid w:val="007F1193"/>
    <w:rsid w:val="007F417F"/>
    <w:rsid w:val="007F7644"/>
    <w:rsid w:val="008042BD"/>
    <w:rsid w:val="00806AFD"/>
    <w:rsid w:val="0081495F"/>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94FA3"/>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0EAB"/>
    <w:rsid w:val="00922002"/>
    <w:rsid w:val="00924020"/>
    <w:rsid w:val="009271A7"/>
    <w:rsid w:val="0093658B"/>
    <w:rsid w:val="009429FF"/>
    <w:rsid w:val="00945BD6"/>
    <w:rsid w:val="009479FB"/>
    <w:rsid w:val="00950528"/>
    <w:rsid w:val="00951C45"/>
    <w:rsid w:val="009656F2"/>
    <w:rsid w:val="00966A08"/>
    <w:rsid w:val="00971207"/>
    <w:rsid w:val="00975CB4"/>
    <w:rsid w:val="009863B0"/>
    <w:rsid w:val="00987DE1"/>
    <w:rsid w:val="00990571"/>
    <w:rsid w:val="009966DB"/>
    <w:rsid w:val="0099673A"/>
    <w:rsid w:val="009A3330"/>
    <w:rsid w:val="009A7C96"/>
    <w:rsid w:val="009C3DB9"/>
    <w:rsid w:val="009D19D6"/>
    <w:rsid w:val="009D458B"/>
    <w:rsid w:val="009D46E5"/>
    <w:rsid w:val="009D568A"/>
    <w:rsid w:val="009E7B33"/>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08F"/>
    <w:rsid w:val="00B16DA4"/>
    <w:rsid w:val="00B17BEB"/>
    <w:rsid w:val="00B21A3C"/>
    <w:rsid w:val="00B223C0"/>
    <w:rsid w:val="00B234ED"/>
    <w:rsid w:val="00B249B2"/>
    <w:rsid w:val="00B25CA3"/>
    <w:rsid w:val="00B2765A"/>
    <w:rsid w:val="00B3109A"/>
    <w:rsid w:val="00B51208"/>
    <w:rsid w:val="00B516ED"/>
    <w:rsid w:val="00B54F87"/>
    <w:rsid w:val="00B57A6A"/>
    <w:rsid w:val="00B66E40"/>
    <w:rsid w:val="00B760F1"/>
    <w:rsid w:val="00B7669E"/>
    <w:rsid w:val="00B77DA1"/>
    <w:rsid w:val="00B822A0"/>
    <w:rsid w:val="00B858AE"/>
    <w:rsid w:val="00B85964"/>
    <w:rsid w:val="00B96250"/>
    <w:rsid w:val="00BA0D55"/>
    <w:rsid w:val="00BA37B3"/>
    <w:rsid w:val="00BA4CC6"/>
    <w:rsid w:val="00BA56FC"/>
    <w:rsid w:val="00BB3493"/>
    <w:rsid w:val="00BB7468"/>
    <w:rsid w:val="00BC188A"/>
    <w:rsid w:val="00BC402E"/>
    <w:rsid w:val="00BD0E3F"/>
    <w:rsid w:val="00BD0F39"/>
    <w:rsid w:val="00BD0F48"/>
    <w:rsid w:val="00BE2F6C"/>
    <w:rsid w:val="00BE2FA3"/>
    <w:rsid w:val="00BE6DDB"/>
    <w:rsid w:val="00BF5010"/>
    <w:rsid w:val="00C03D5F"/>
    <w:rsid w:val="00C13791"/>
    <w:rsid w:val="00C15490"/>
    <w:rsid w:val="00C31BB3"/>
    <w:rsid w:val="00C36977"/>
    <w:rsid w:val="00C467DA"/>
    <w:rsid w:val="00C477D9"/>
    <w:rsid w:val="00C51715"/>
    <w:rsid w:val="00C60BA3"/>
    <w:rsid w:val="00C623F7"/>
    <w:rsid w:val="00C62A81"/>
    <w:rsid w:val="00C75BC5"/>
    <w:rsid w:val="00C81670"/>
    <w:rsid w:val="00C81773"/>
    <w:rsid w:val="00C82861"/>
    <w:rsid w:val="00C84F4C"/>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50CE"/>
    <w:rsid w:val="00CE656F"/>
    <w:rsid w:val="00CF0DA8"/>
    <w:rsid w:val="00CF2E25"/>
    <w:rsid w:val="00CF4453"/>
    <w:rsid w:val="00CF5D94"/>
    <w:rsid w:val="00CF7E0F"/>
    <w:rsid w:val="00D034D7"/>
    <w:rsid w:val="00D04BE4"/>
    <w:rsid w:val="00D06D00"/>
    <w:rsid w:val="00D06FC7"/>
    <w:rsid w:val="00D12565"/>
    <w:rsid w:val="00D14127"/>
    <w:rsid w:val="00D60B16"/>
    <w:rsid w:val="00D60F02"/>
    <w:rsid w:val="00D66E49"/>
    <w:rsid w:val="00D70D71"/>
    <w:rsid w:val="00D72F74"/>
    <w:rsid w:val="00D73733"/>
    <w:rsid w:val="00D81563"/>
    <w:rsid w:val="00D84E07"/>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6048"/>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3F47"/>
    <w:rsid w:val="00ED5B67"/>
    <w:rsid w:val="00EF264C"/>
    <w:rsid w:val="00EF3FEE"/>
    <w:rsid w:val="00F04B59"/>
    <w:rsid w:val="00F11741"/>
    <w:rsid w:val="00F12B1C"/>
    <w:rsid w:val="00F13CF8"/>
    <w:rsid w:val="00F140C3"/>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29DD"/>
    <w:rsid w:val="00FA32DE"/>
    <w:rsid w:val="00FA3382"/>
    <w:rsid w:val="00FA59CD"/>
    <w:rsid w:val="00FB1740"/>
    <w:rsid w:val="00FC4CF0"/>
    <w:rsid w:val="00FC5469"/>
    <w:rsid w:val="00FC6D7D"/>
    <w:rsid w:val="00FD16B0"/>
    <w:rsid w:val="00FD334A"/>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BE2F6C"/>
    <w:pPr>
      <w:numPr>
        <w:numId w:val="11"/>
      </w:numPr>
    </w:pPr>
  </w:style>
  <w:style w:type="character" w:styleId="FootnoteReference">
    <w:name w:val="footnote reference"/>
    <w:basedOn w:val="DefaultParagraphFont"/>
    <w:uiPriority w:val="99"/>
    <w:semiHidden/>
    <w:unhideWhenUsed/>
    <w:rsid w:val="00BE2F6C"/>
    <w:rPr>
      <w:vertAlign w:val="superscript"/>
    </w:rPr>
  </w:style>
  <w:style w:type="paragraph" w:styleId="ListParagraph">
    <w:name w:val="List Paragraph"/>
    <w:basedOn w:val="Normal"/>
    <w:uiPriority w:val="34"/>
    <w:qFormat/>
    <w:rsid w:val="00C15490"/>
    <w:pPr>
      <w:ind w:left="720"/>
      <w:contextualSpacing/>
    </w:pPr>
  </w:style>
  <w:style w:type="paragraph" w:customStyle="1" w:styleId="Rule">
    <w:name w:val="Rule"/>
    <w:link w:val="RuleChar"/>
    <w:qFormat/>
    <w:rsid w:val="000F4C5B"/>
    <w:pPr>
      <w:widowControl w:val="0"/>
      <w:tabs>
        <w:tab w:val="left" w:pos="720"/>
      </w:tabs>
      <w:spacing w:line="536" w:lineRule="exact"/>
    </w:pPr>
    <w:rPr>
      <w:sz w:val="24"/>
      <w:szCs w:val="24"/>
    </w:rPr>
  </w:style>
  <w:style w:type="character" w:customStyle="1" w:styleId="RuleChar">
    <w:name w:val="Rule Char"/>
    <w:link w:val="Rule"/>
    <w:rsid w:val="000F4C5B"/>
    <w:rPr>
      <w:sz w:val="24"/>
      <w:szCs w:val="24"/>
    </w:rPr>
  </w:style>
  <w:style w:type="paragraph" w:customStyle="1" w:styleId="RuleHeader">
    <w:name w:val="Rule Header"/>
    <w:basedOn w:val="Rule"/>
    <w:rsid w:val="000F4C5B"/>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BE2F6C"/>
    <w:pPr>
      <w:numPr>
        <w:numId w:val="11"/>
      </w:numPr>
    </w:pPr>
  </w:style>
  <w:style w:type="character" w:styleId="FootnoteReference">
    <w:name w:val="footnote reference"/>
    <w:basedOn w:val="DefaultParagraphFont"/>
    <w:uiPriority w:val="99"/>
    <w:semiHidden/>
    <w:unhideWhenUsed/>
    <w:rsid w:val="00BE2F6C"/>
    <w:rPr>
      <w:vertAlign w:val="superscript"/>
    </w:rPr>
  </w:style>
  <w:style w:type="paragraph" w:styleId="ListParagraph">
    <w:name w:val="List Paragraph"/>
    <w:basedOn w:val="Normal"/>
    <w:uiPriority w:val="34"/>
    <w:qFormat/>
    <w:rsid w:val="00C15490"/>
    <w:pPr>
      <w:ind w:left="720"/>
      <w:contextualSpacing/>
    </w:pPr>
  </w:style>
  <w:style w:type="paragraph" w:customStyle="1" w:styleId="Rule">
    <w:name w:val="Rule"/>
    <w:link w:val="RuleChar"/>
    <w:qFormat/>
    <w:rsid w:val="000F4C5B"/>
    <w:pPr>
      <w:widowControl w:val="0"/>
      <w:tabs>
        <w:tab w:val="left" w:pos="720"/>
      </w:tabs>
      <w:spacing w:line="536" w:lineRule="exact"/>
    </w:pPr>
    <w:rPr>
      <w:sz w:val="24"/>
      <w:szCs w:val="24"/>
    </w:rPr>
  </w:style>
  <w:style w:type="character" w:customStyle="1" w:styleId="RuleChar">
    <w:name w:val="Rule Char"/>
    <w:link w:val="Rule"/>
    <w:rsid w:val="000F4C5B"/>
    <w:rPr>
      <w:sz w:val="24"/>
      <w:szCs w:val="24"/>
    </w:rPr>
  </w:style>
  <w:style w:type="paragraph" w:customStyle="1" w:styleId="RuleHeader">
    <w:name w:val="Rule Header"/>
    <w:basedOn w:val="Rule"/>
    <w:rsid w:val="000F4C5B"/>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3.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F31B5-9761-4BAF-91BD-E29F4487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15</Pages>
  <Words>2228</Words>
  <Characters>12972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2020-03-23T15:02:00Z</cp:lastPrinted>
  <dcterms:created xsi:type="dcterms:W3CDTF">2020-05-28T14:10:00Z</dcterms:created>
  <dcterms:modified xsi:type="dcterms:W3CDTF">2020-05-28T14:10:00Z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20200094-EU</vt:lpwstr>
  </property>
  <property fmtid="{D5CDD505-2E9C-101B-9397-08002B2CF9AE}" pid="3" name="MasterDocument">
    <vt:bool>false</vt:bool>
  </property>
</Properties>
</file>