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32" w:rsidRPr="003A0DBB" w:rsidRDefault="003F0732">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3A0DBB">
        <w:rPr>
          <w:rFonts w:ascii="Courier New" w:hAnsi="Courier New" w:cs="Courier New"/>
          <w:spacing w:val="-3"/>
          <w:sz w:val="24"/>
          <w:szCs w:val="24"/>
        </w:rPr>
        <w:t>BEFORE THE FLORIDA PUBLIC SERVICE COMMISSION</w:t>
      </w:r>
      <w:r w:rsidRPr="003A0DBB">
        <w:rPr>
          <w:rFonts w:ascii="Courier New" w:hAnsi="Courier New" w:cs="Courier New"/>
          <w:spacing w:val="-3"/>
          <w:sz w:val="24"/>
          <w:szCs w:val="24"/>
        </w:rPr>
        <w:fldChar w:fldCharType="begin"/>
      </w:r>
      <w:r w:rsidRPr="003A0DBB">
        <w:rPr>
          <w:rFonts w:ascii="Courier New" w:hAnsi="Courier New" w:cs="Courier New"/>
          <w:spacing w:val="-3"/>
          <w:sz w:val="24"/>
          <w:szCs w:val="24"/>
        </w:rPr>
        <w:instrText xml:space="preserve">PRIVATE </w:instrText>
      </w:r>
      <w:r w:rsidRPr="003A0DBB">
        <w:rPr>
          <w:rFonts w:ascii="Courier New" w:hAnsi="Courier New" w:cs="Courier New"/>
          <w:spacing w:val="-3"/>
          <w:sz w:val="24"/>
          <w:szCs w:val="24"/>
        </w:rPr>
      </w:r>
      <w:r w:rsidRPr="003A0DBB">
        <w:rPr>
          <w:rFonts w:ascii="Courier New" w:hAnsi="Courier New" w:cs="Courier New"/>
          <w:spacing w:val="-3"/>
          <w:sz w:val="24"/>
          <w:szCs w:val="24"/>
        </w:rPr>
        <w:fldChar w:fldCharType="end"/>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F0732" w:rsidRPr="003A0DBB">
        <w:tblPrEx>
          <w:tblCellMar>
            <w:top w:w="0" w:type="dxa"/>
            <w:left w:w="0" w:type="dxa"/>
            <w:bottom w:w="0" w:type="dxa"/>
            <w:right w:w="0" w:type="dxa"/>
          </w:tblCellMar>
        </w:tblPrEx>
        <w:tc>
          <w:tcPr>
            <w:tcW w:w="4608" w:type="dxa"/>
            <w:tcBorders>
              <w:top w:val="nil"/>
              <w:left w:val="nil"/>
              <w:bottom w:val="nil"/>
              <w:right w:val="nil"/>
            </w:tcBorders>
          </w:tcPr>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A0DBB">
              <w:rPr>
                <w:rFonts w:ascii="Courier New" w:hAnsi="Courier New" w:cs="Courier New"/>
                <w:sz w:val="24"/>
                <w:szCs w:val="24"/>
              </w:rPr>
              <w:t>In Re:  Petition by Vanguard Cellular Systems, Inc., and its affiliate Western Florida Cellular Telephone Corp. for arbitration with BellSouth Telecommunications, Inc., concerning interconnection agreement, pursuant to Section 252(b) of the Communications Act of 1934, as amended by the Telecommunications Act of 1996.</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A0DBB">
              <w:rPr>
                <w:rFonts w:ascii="Courier New" w:hAnsi="Courier New" w:cs="Courier New"/>
                <w:sz w:val="24"/>
                <w:szCs w:val="24"/>
                <w:u w:val="single"/>
              </w:rPr>
              <w:t xml:space="preserve">                                </w:t>
            </w:r>
          </w:p>
        </w:tc>
        <w:tc>
          <w:tcPr>
            <w:tcW w:w="144" w:type="dxa"/>
            <w:tcBorders>
              <w:top w:val="nil"/>
              <w:left w:val="nil"/>
              <w:bottom w:val="nil"/>
              <w:right w:val="nil"/>
            </w:tcBorders>
          </w:tcPr>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F0732" w:rsidRPr="003A0DBB" w:rsidRDefault="003F073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3A0DBB">
              <w:rPr>
                <w:rFonts w:ascii="Courier New" w:hAnsi="Courier New" w:cs="Courier New"/>
                <w:sz w:val="24"/>
                <w:szCs w:val="24"/>
                <w:u w:val="single"/>
              </w:rPr>
              <w:t xml:space="preserve"> </w:t>
            </w:r>
          </w:p>
        </w:tc>
        <w:tc>
          <w:tcPr>
            <w:tcW w:w="216" w:type="dxa"/>
            <w:tcBorders>
              <w:top w:val="nil"/>
              <w:left w:val="nil"/>
              <w:bottom w:val="nil"/>
              <w:right w:val="nil"/>
            </w:tcBorders>
          </w:tcPr>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p w:rsidR="003F0732" w:rsidRPr="003A0DBB" w:rsidRDefault="003F073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A0DBB">
              <w:rPr>
                <w:rFonts w:ascii="Courier New" w:hAnsi="Courier New" w:cs="Courier New"/>
                <w:sz w:val="24"/>
                <w:szCs w:val="24"/>
              </w:rPr>
              <w:t>)</w:t>
            </w:r>
          </w:p>
        </w:tc>
        <w:tc>
          <w:tcPr>
            <w:tcW w:w="4392" w:type="dxa"/>
            <w:tcBorders>
              <w:top w:val="nil"/>
              <w:left w:val="nil"/>
              <w:bottom w:val="nil"/>
              <w:right w:val="nil"/>
            </w:tcBorders>
          </w:tcPr>
          <w:p w:rsidR="003F0732" w:rsidRPr="003A0DBB" w:rsidRDefault="003F073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A0DBB">
              <w:rPr>
                <w:rFonts w:ascii="Courier New" w:hAnsi="Courier New" w:cs="Courier New"/>
                <w:sz w:val="24"/>
                <w:szCs w:val="24"/>
              </w:rPr>
              <w:t>DOCKET NO. 970077-TP</w:t>
            </w:r>
          </w:p>
          <w:p w:rsidR="003F0732" w:rsidRPr="003A0DBB" w:rsidRDefault="003F073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A0DBB">
              <w:rPr>
                <w:rFonts w:ascii="Courier New" w:hAnsi="Courier New" w:cs="Courier New"/>
                <w:sz w:val="24"/>
                <w:szCs w:val="24"/>
              </w:rPr>
              <w:t>ORDER NO. PSC-97-0119-PCO-TP</w:t>
            </w:r>
          </w:p>
          <w:p w:rsidR="003F0732" w:rsidRPr="003A0DBB" w:rsidRDefault="003F073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A0DBB">
              <w:rPr>
                <w:rFonts w:ascii="Courier New" w:hAnsi="Courier New" w:cs="Courier New"/>
                <w:sz w:val="24"/>
                <w:szCs w:val="24"/>
              </w:rPr>
              <w:t>ISSUED: January 31, 1997</w:t>
            </w:r>
          </w:p>
          <w:p w:rsidR="003F0732" w:rsidRPr="003A0DBB" w:rsidRDefault="003F073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3F0732" w:rsidRPr="003A0DBB" w:rsidRDefault="003F0732">
      <w:pPr>
        <w:widowControl/>
        <w:tabs>
          <w:tab w:val="left" w:pos="0"/>
        </w:tabs>
        <w:suppressAutoHyphens/>
        <w:spacing w:line="240" w:lineRule="atLeast"/>
        <w:rPr>
          <w:rFonts w:ascii="Courier New" w:hAnsi="Courier New" w:cs="Courier New"/>
          <w:sz w:val="24"/>
          <w:szCs w:val="24"/>
        </w:rPr>
        <w:sectPr w:rsidR="003F0732" w:rsidRPr="003A0DBB">
          <w:headerReference w:type="default" r:id="rId8"/>
          <w:pgSz w:w="12240" w:h="15840"/>
          <w:pgMar w:top="1440" w:right="1440" w:bottom="2160" w:left="1440" w:header="1440" w:footer="2160" w:gutter="0"/>
          <w:pgNumType w:start="1"/>
          <w:cols w:space="720"/>
          <w:noEndnote/>
          <w:titlePg/>
        </w:sect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center" w:pos="468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u w:val="single"/>
        </w:rPr>
        <w:t>ORDER ESTABLISHING PROCEDURE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Part II of the Federal Telecommunications Act of 1996 (Act) sets forth provisions regarding the development of competitive markets in the telecommunications industry.  Section 251 of the Act addresses interconnection with the incumbent local exchange carrier, and Section 252 sets forth the procedures for negotiation, arbitration, and approval of agreements.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Section 252(b) addresses agreements arrived at through compulsory arbitration.  Specifically, Section 252(b)(1) states: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(1)  Arbitration. - During the period from the 135th day to the 160th day (inclusive) after the date on which an incumbent local exchange carrier receives a request for negotiation under this section, the carrier or any other party to the negotiation may petition a State commission to arbitrate any open issues.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Section 252(b)(4)(c) states that the State commission shall resolve each issue set forth in the petition and response, if any, by imposing the appropriate conditions as required.  This section requires this Commission to conclude the resolution of any unresolved issues not later than nine months after the date on which the local exchange carrier received the request under this section.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 xml:space="preserve">On August 8, 1996, Vanguard Cellular Systems, Inc. and its affiliate Western Florida Cellular Telephone Corp. (collectively, Vanguard)  formally requested negotiations with BellSouth Telecommunications, Inc. (BST), under Section 251 of the Act.  On January 15, 1997, Vanguard filed with the Commission a Petition for Arbitration to Establish Interconnection Agreement.  To enable the Commission to make the required determinations within the Congressionally-mandated time frame, this docket shall be conducted </w:t>
      </w:r>
      <w:r w:rsidRPr="003A0DBB">
        <w:rPr>
          <w:rFonts w:ascii="Courier New" w:hAnsi="Courier New" w:cs="Courier New"/>
          <w:spacing w:val="-3"/>
          <w:sz w:val="24"/>
          <w:szCs w:val="24"/>
        </w:rPr>
        <w:lastRenderedPageBreak/>
        <w:t>as an expedited proceeding pursuant to Section 364.058, Florida Statutes.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Section 252(b)(4)(A) provides that this Commission shall limit its consideration of any petition to the issues set forth in the petition and in the response, if any.  The hearing will be conducted according to the provisions of the Telecommunications Act of 1996, Chapter 120, Florida Statutes, and the rules of this Commission.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Discovery</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  Due to the expedited time schedule for this proceeding, all discovery requests and responses shall be served either by next-day express or hand delivery.  All discovery responses shall be served within twenty (20) days of receipt of the discovery request.  There shall be no extra time for mailing.</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b.</w:t>
      </w:r>
      <w:r w:rsidRPr="003A0DBB">
        <w:rPr>
          <w:rFonts w:ascii="Courier New" w:hAnsi="Courier New" w:cs="Courier New"/>
          <w:spacing w:val="-3"/>
          <w:sz w:val="24"/>
          <w:szCs w:val="24"/>
        </w:rPr>
        <w:tab/>
        <w:t>When discovery requests are served and the respondent intends to object to or ask for clarification of the discovery request, the objection or request for clarification shall be made within ten days of service of the discovery request.  This procedure is intended to reduce delay in resolving discovery disputes.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c.</w:t>
      </w:r>
      <w:r w:rsidRPr="003A0DBB">
        <w:rPr>
          <w:rFonts w:ascii="Courier New" w:hAnsi="Courier New" w:cs="Courier New"/>
          <w:spacing w:val="-3"/>
          <w:sz w:val="24"/>
          <w:szCs w:val="24"/>
        </w:rPr>
        <w:tab/>
        <w:t>The hearing in this docket is set for March 17, 1997.  Unless authorized by the Prehearing Officer for good cause shown, all discovery shall be completed by March 10, 1997.  All interrogatories, requests for admissions, and requests for production of documents shall be numbered sequentially in order to facilitate their identification.  The discovery requests will be numbered sequentially within a set and any subsequent discovery requests will continue the sequential numbering system.  Unless subsequently modified by the Prehearing Officer, the following shall apply: interrogatories, including all subparts, shall be limited to 100, and requests for production of documents, including all subparts, shall be limited to 100.</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d.</w:t>
      </w:r>
      <w:r w:rsidRPr="003A0DBB">
        <w:rPr>
          <w:rFonts w:ascii="Courier New" w:hAnsi="Courier New" w:cs="Courier New"/>
          <w:spacing w:val="-3"/>
          <w:sz w:val="24"/>
          <w:szCs w:val="24"/>
        </w:rPr>
        <w:tab/>
        <w:t xml:space="preserve">Any information provided pursuant to a discovery request for which proprietary confidential business information status is requested shall be treated by the Commission and the parties as confidential.  The information shall be exempt from Section 119.07(1), Florida Statutes, pending a formal ruling on such request by the Commission, or upon the return of the information to the person providing the information.  If no determination of confidentiality has been made and the information has not been made a part of the evidentiary record in the proceeding, it shall be returned expeditiously to the person providing the information.  If a determination of confidentiality has been made and the informa-tion was not entered into the record of the proceeding, it shall be returned </w:t>
      </w:r>
      <w:r w:rsidRPr="003A0DBB">
        <w:rPr>
          <w:rFonts w:ascii="Courier New" w:hAnsi="Courier New" w:cs="Courier New"/>
          <w:spacing w:val="-3"/>
          <w:sz w:val="24"/>
          <w:szCs w:val="24"/>
        </w:rPr>
        <w:lastRenderedPageBreak/>
        <w:t>to the person providing the information within the time period set forth in Section 364.183(2), Florida Statutes.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Diskette Filings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See Rule 25-22.028(1), Florida Administrative Code, for the requirements of filing on diskette for certain utilities.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Prefiled Testimony and Exhibits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Pursuant to Rule 25-22.048, Florida Administrative Code, each party shall prefile, in writing, all testimony that it intends to sponsor.  Such testimony shall be typed on 8 1/2 inch x 11 inch transcript-quality paper, double spaced, with 25 numbered lines, on consecutively numbered pages, with left margins sufficient to allow for binding (1.25 inches).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Each exhibit intended to support a witness' prefiled testimony shall be attached to that witness' testimony when filed, identified by his or her initials, and consecutively numbered beginning with 1.  All other known exhibits shall be marked for identification at the prehearing conference.  After an opportunity for opposing parties to object to introduction of the exhibits and to cross-examine the witness sponsoring them, exhibits may be offered into evidence at the hearing.  Exhibits accepted into evidence at the hearing shall be numbered sequentially.  The pages of each exhibit shall also be numbered sequentially prior to filing with the Commission.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An original and fifteen copies of all testimony and exhibits shall be prefiled with the Director, Division of Records and Reporting by the close of business, which is 5:00 p.m., on the date due.  A copy of all prefiled testimony and exhibits shall be served by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Prehearing Statement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 xml:space="preserve">Pursuant to Rule 25-22.038(3), Florida Administrative Code, a prehearing statement shall be required of all parties in this docket.  Staff will also file a prehearing statement.  The original and fifteen copies of each prehearing statement shall be prefiled with the Director of the Division of Records and Reporting by the close of business, which is 5:00 p.m., on the date due.  A copy of the prehearing statement shall be served on all other parties and staff no later than the date it is filed with the Commission.  Failure of a party to timely file a prehearing statement shall be a waiver of </w:t>
      </w:r>
      <w:r w:rsidRPr="003A0DBB">
        <w:rPr>
          <w:rFonts w:ascii="Courier New" w:hAnsi="Courier New" w:cs="Courier New"/>
          <w:spacing w:val="-3"/>
          <w:sz w:val="24"/>
          <w:szCs w:val="24"/>
        </w:rPr>
        <w:lastRenderedPageBreak/>
        <w:t>any issue not raised by other parties or by the Commission.  In addition, such failure shall preclude the party from presenting testimony in support of its position.  Such prehearing statements shall set forth the following information in the sequence listed below.</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(a)</w:t>
      </w:r>
      <w:r w:rsidRPr="003A0DBB">
        <w:rPr>
          <w:rFonts w:ascii="Courier New" w:hAnsi="Courier New" w:cs="Courier New"/>
          <w:spacing w:val="-3"/>
          <w:sz w:val="24"/>
          <w:szCs w:val="24"/>
        </w:rPr>
        <w:tab/>
        <w:t>the name of all known witnesses that may be called by the party, and the subject matter of their testimony;</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(b)</w:t>
      </w:r>
      <w:r w:rsidRPr="003A0DBB">
        <w:rPr>
          <w:rFonts w:ascii="Courier New" w:hAnsi="Courier New" w:cs="Courier New"/>
          <w:spacing w:val="-3"/>
          <w:sz w:val="24"/>
          <w:szCs w:val="24"/>
        </w:rPr>
        <w:tab/>
        <w:t>a description of all known exhibits that may be used by the party, whether they may be identified on a composite basis, and the witness sponsoring each;</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(c)</w:t>
      </w:r>
      <w:r w:rsidRPr="003A0DBB">
        <w:rPr>
          <w:rFonts w:ascii="Courier New" w:hAnsi="Courier New" w:cs="Courier New"/>
          <w:spacing w:val="-3"/>
          <w:sz w:val="24"/>
          <w:szCs w:val="24"/>
        </w:rPr>
        <w:tab/>
        <w:t>a statement of basic position in the proceeding;</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(d)</w:t>
      </w:r>
      <w:r w:rsidRPr="003A0DBB">
        <w:rPr>
          <w:rFonts w:ascii="Courier New" w:hAnsi="Courier New" w:cs="Courier New"/>
          <w:spacing w:val="-3"/>
          <w:sz w:val="24"/>
          <w:szCs w:val="24"/>
        </w:rPr>
        <w:tab/>
        <w:t>a statement of each question of fact the party considers at issue, the party's position on each such issue, and which of the party's witnesses will address the issue;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(e)</w:t>
      </w:r>
      <w:r w:rsidRPr="003A0DBB">
        <w:rPr>
          <w:rFonts w:ascii="Courier New" w:hAnsi="Courier New" w:cs="Courier New"/>
          <w:spacing w:val="-3"/>
          <w:sz w:val="24"/>
          <w:szCs w:val="24"/>
        </w:rPr>
        <w:tab/>
        <w:t>a statement of each question of law the party considers at issue and the party's position on each such issue;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(f)</w:t>
      </w:r>
      <w:r w:rsidRPr="003A0DBB">
        <w:rPr>
          <w:rFonts w:ascii="Courier New" w:hAnsi="Courier New" w:cs="Courier New"/>
          <w:spacing w:val="-3"/>
          <w:sz w:val="24"/>
          <w:szCs w:val="24"/>
        </w:rPr>
        <w:tab/>
        <w:t>a statement of each policy question the party considers at issue, the party's position on each such issue, and which of the party's witnesses will address the issue;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(g)</w:t>
      </w:r>
      <w:r w:rsidRPr="003A0DBB">
        <w:rPr>
          <w:rFonts w:ascii="Courier New" w:hAnsi="Courier New" w:cs="Courier New"/>
          <w:spacing w:val="-3"/>
          <w:sz w:val="24"/>
          <w:szCs w:val="24"/>
        </w:rPr>
        <w:tab/>
        <w:t>a statement of issues that have been stipulated to by the parties;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(h)</w:t>
      </w:r>
      <w:r w:rsidRPr="003A0DBB">
        <w:rPr>
          <w:rFonts w:ascii="Courier New" w:hAnsi="Courier New" w:cs="Courier New"/>
          <w:spacing w:val="-3"/>
          <w:sz w:val="24"/>
          <w:szCs w:val="24"/>
        </w:rPr>
        <w:tab/>
        <w:t>a statement of all pending motions or other matters the party seeks action upon; and</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3A0DBB">
        <w:rPr>
          <w:rFonts w:ascii="Courier New" w:hAnsi="Courier New" w:cs="Courier New"/>
          <w:spacing w:val="-3"/>
          <w:sz w:val="24"/>
          <w:szCs w:val="24"/>
        </w:rPr>
        <w:t>(i)</w:t>
      </w:r>
      <w:r w:rsidRPr="003A0DBB">
        <w:rPr>
          <w:rFonts w:ascii="Courier New" w:hAnsi="Courier New" w:cs="Courier New"/>
          <w:spacing w:val="-3"/>
          <w:sz w:val="24"/>
          <w:szCs w:val="24"/>
        </w:rPr>
        <w:tab/>
        <w:t>a statement as to any requirement set forth in this order that cannot be complied with, and the reasons therefore.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Prehearing Conference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 prehearing conference will be held in this docket at the Florida Public Service Commission, 2540 Shumard Oak Boulevard</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Tallahassee, Florida 32399-0850.  The conditions of Rule 25-22.038(5)(b), Florida Administrative Code, shall be observed.  Any party who fails to attend the prehearing conference, unless excused by the Prehearing Officer, will have waived all issues and positions raised in that party's prehearing statement.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Prehearing Procedure: Waiver of Issues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Any issue not raised by a party prior to the issuance of the prehearing order shall be waived by that party, except for good cause shown.  A party seeking to raise a new issue after the issuance of the prehearing order shall demonstrate that: it was unable to identify the issue because of the complexity of the matter; discovery or other prehearing procedures were not adequate to fully develop the issue; due diligence was exercised to obtain facts touching on the issue; information obtained subsequent to the issuance of the prehearing order was not previously available to enable the party to identify the issue; and introduction of the issue could not be to the prejudice or surprise of any party.  Specific reference shall be made to the information received, and how it enabled the party to identify the issue.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Unless a matter is not at issue for that party, each party shall diligently endeavor in good faith to take a position on each issue prior to issuance of the prehearing order.  When a party is unable to take a position on an issue, it shall bring that fact to the attention of the Prehearing Officer.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When an issue and position have been properly identified, any party may adopt that issue and position in its post-hearing statement.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Document Identification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To facilitate the management of documents in this docket, exhibits will be numbered at the Prehearing Conference.  Each exhibit submitted shall have the following in the upper right-hand corner: the docket number, the witness's name, the word "Exhibit" followed by a blank line for the exhibit number and the title of the exhibit.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An example of the typical exhibit identification format is as follows: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t>Docket No. 12345-TL</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t>J. Doe Exhibit No. _____________</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t>Cost Studies for Minutes of Use by Time of Day</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Controlling Dates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The following dates have been established to govern the key activities of this case.</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60"/>
        <w:gridCol w:w="5712"/>
        <w:gridCol w:w="2688"/>
      </w:tblGrid>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fldChar w:fldCharType="begin"/>
            </w:r>
            <w:r w:rsidRPr="003A0DBB">
              <w:rPr>
                <w:rFonts w:ascii="Courier New" w:hAnsi="Courier New" w:cs="Courier New"/>
                <w:spacing w:val="-3"/>
                <w:sz w:val="24"/>
                <w:szCs w:val="24"/>
              </w:rPr>
              <w:instrText xml:space="preserve">PRIVATE </w:instrText>
            </w:r>
            <w:r w:rsidRPr="003A0DBB">
              <w:rPr>
                <w:rFonts w:ascii="Courier New" w:hAnsi="Courier New" w:cs="Courier New"/>
                <w:spacing w:val="-3"/>
                <w:sz w:val="24"/>
                <w:szCs w:val="24"/>
              </w:rPr>
            </w:r>
            <w:r w:rsidRPr="003A0DBB">
              <w:rPr>
                <w:rFonts w:ascii="Courier New" w:hAnsi="Courier New" w:cs="Courier New"/>
                <w:spacing w:val="-3"/>
                <w:sz w:val="24"/>
                <w:szCs w:val="24"/>
              </w:rPr>
              <w:fldChar w:fldCharType="end"/>
            </w:r>
            <w:r w:rsidRPr="003A0DBB">
              <w:rPr>
                <w:rFonts w:ascii="Courier New" w:hAnsi="Courier New" w:cs="Courier New"/>
                <w:spacing w:val="-3"/>
                <w:sz w:val="24"/>
                <w:szCs w:val="24"/>
              </w:rPr>
              <w:t>1)</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Petitioner's direct testimony and exhibits</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February 7,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2)</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 xml:space="preserve">Response to Petition </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February 7,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3)</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Respondent's direct testimony and exhibits, if any</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February 21,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4)</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Rebuttal testimony and exhibits</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March 7,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5)</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Prehearing Statements</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March 7,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6)</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Prehearing Conference</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March 12,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7)</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Hearing</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March 17, 1997</w:t>
            </w:r>
          </w:p>
        </w:tc>
      </w:tr>
      <w:tr w:rsidR="003F0732" w:rsidRPr="003A0DBB">
        <w:tblPrEx>
          <w:tblCellMar>
            <w:top w:w="0" w:type="dxa"/>
            <w:bottom w:w="0" w:type="dxa"/>
          </w:tblCellMar>
        </w:tblPrEx>
        <w:tc>
          <w:tcPr>
            <w:tcW w:w="960" w:type="dxa"/>
            <w:tcBorders>
              <w:top w:val="nil"/>
              <w:left w:val="nil"/>
              <w:bottom w:val="nil"/>
              <w:right w:val="nil"/>
            </w:tcBorders>
          </w:tcPr>
          <w:p w:rsidR="003F0732" w:rsidRPr="003A0DBB" w:rsidRDefault="003F0732">
            <w:pPr>
              <w:widowControl/>
              <w:tabs>
                <w:tab w:val="left" w:pos="-1560"/>
                <w:tab w:val="left" w:pos="-840"/>
                <w:tab w:val="left" w:pos="-120"/>
                <w:tab w:val="left" w:pos="600"/>
                <w:tab w:val="left" w:pos="1320"/>
                <w:tab w:val="left" w:pos="204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8)</w:t>
            </w:r>
          </w:p>
        </w:tc>
        <w:tc>
          <w:tcPr>
            <w:tcW w:w="5712"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Briefs</w:t>
            </w:r>
          </w:p>
        </w:tc>
        <w:tc>
          <w:tcPr>
            <w:tcW w:w="2688" w:type="dxa"/>
            <w:tcBorders>
              <w:top w:val="nil"/>
              <w:left w:val="nil"/>
              <w:bottom w:val="nil"/>
              <w:right w:val="nil"/>
            </w:tcBorders>
          </w:tcPr>
          <w:p w:rsidR="003F0732" w:rsidRPr="003A0DBB" w:rsidRDefault="003F0732">
            <w:pPr>
              <w:widowControl/>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90" w:after="54" w:line="240" w:lineRule="atLeast"/>
              <w:rPr>
                <w:rFonts w:ascii="Courier New" w:hAnsi="Courier New" w:cs="Courier New"/>
                <w:spacing w:val="-3"/>
                <w:sz w:val="24"/>
                <w:szCs w:val="24"/>
              </w:rPr>
            </w:pPr>
            <w:r w:rsidRPr="003A0DBB">
              <w:rPr>
                <w:rFonts w:ascii="Courier New" w:hAnsi="Courier New" w:cs="Courier New"/>
                <w:spacing w:val="-3"/>
                <w:sz w:val="24"/>
                <w:szCs w:val="24"/>
              </w:rPr>
              <w:t>March 31, 1997</w:t>
            </w:r>
          </w:p>
        </w:tc>
      </w:tr>
    </w:tbl>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u w:val="single"/>
        </w:rPr>
        <w:t>Use of Confidential Information At Hearing</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It is the policy of this Commission that all Commission hearings be open to the public at all times.  The Commission also recognizes its obligation pursuant to Section 364.183, Florida Statutes, to protect proprietary confidential business information from disclosure outside the proceeding.  Any party wishing to use any proprietary confidential business information, as that term is defined in Section 364.183(4), Florida Statutes, shall notify the Prehearing Officer and all parties of record by the time of the Prehearing Conference, or if not known at that time, no later than seven (7) days prior to the beginning of the hearing.  The notice shall include a procedure to assure that the confidential nature of the information is preserved as required by statute.  Failure of any party to comply with the seven day requirement described above shall be grounds to deny the party the opportunity to present evidence which is proprietary confidential business information.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 xml:space="preserve">When confidential information is used in the hearing, parties must have copies for the Commissioners, necessary staff, and the Court Reporter, in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  Counsel and witnesses are cautioned to avoid verbalizing confidential information in such a way that would compromise the confidential information.  Therefore, confidential information should be presented by written exhibit when reasonably possible to do so.  At the conclusion of that portion of the hearing that involves confidential information, all copies of confidential </w:t>
      </w:r>
      <w:r w:rsidRPr="003A0DBB">
        <w:rPr>
          <w:rFonts w:ascii="Courier New" w:hAnsi="Courier New" w:cs="Courier New"/>
          <w:spacing w:val="-3"/>
          <w:sz w:val="24"/>
          <w:szCs w:val="24"/>
        </w:rPr>
        <w:lastRenderedPageBreak/>
        <w:t>exhibits shall be returned to the proffering party.  If a confidential exhibit has been admitted into evidence, the copy provided to the Court Reporter shall be retained in the Division of Records and Reporting's confidential files.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Based upon the foregoing, it is</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ORDERED by Commissioner Diane K. Kiesling, as Prehearing Officer, that the provisions of this Order shall govern this proceeding unless modified by the Commission.</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 xml:space="preserve">By ORDER of Commissioner Diane K. Kiesling, as Prehearing Officer, this </w:t>
      </w:r>
      <w:r w:rsidRPr="003A0DBB">
        <w:rPr>
          <w:rFonts w:ascii="Courier New" w:hAnsi="Courier New" w:cs="Courier New"/>
          <w:spacing w:val="-3"/>
          <w:sz w:val="24"/>
          <w:szCs w:val="24"/>
          <w:u w:val="single"/>
        </w:rPr>
        <w:t>31st</w:t>
      </w:r>
      <w:r w:rsidRPr="003A0DBB">
        <w:rPr>
          <w:rFonts w:ascii="Courier New" w:hAnsi="Courier New" w:cs="Courier New"/>
          <w:spacing w:val="-3"/>
          <w:sz w:val="24"/>
          <w:szCs w:val="24"/>
        </w:rPr>
        <w:t xml:space="preserve"> day of </w:t>
      </w:r>
      <w:r w:rsidRPr="003A0DBB">
        <w:rPr>
          <w:rFonts w:ascii="Courier New" w:hAnsi="Courier New" w:cs="Courier New"/>
          <w:spacing w:val="-3"/>
          <w:sz w:val="24"/>
          <w:szCs w:val="24"/>
          <w:u w:val="single"/>
        </w:rPr>
        <w:t>January</w:t>
      </w:r>
      <w:r w:rsidRPr="003A0DBB">
        <w:rPr>
          <w:rFonts w:ascii="Courier New" w:hAnsi="Courier New" w:cs="Courier New"/>
          <w:spacing w:val="-3"/>
          <w:sz w:val="24"/>
          <w:szCs w:val="24"/>
        </w:rPr>
        <w:t xml:space="preserve">, </w:t>
      </w:r>
      <w:r w:rsidRPr="003A0DBB">
        <w:rPr>
          <w:rFonts w:ascii="Courier New" w:hAnsi="Courier New" w:cs="Courier New"/>
          <w:spacing w:val="-3"/>
          <w:sz w:val="24"/>
          <w:szCs w:val="24"/>
          <w:u w:val="single"/>
        </w:rPr>
        <w:t>1997</w:t>
      </w:r>
      <w:r w:rsidRPr="003A0DBB">
        <w:rPr>
          <w:rFonts w:ascii="Courier New" w:hAnsi="Courier New" w:cs="Courier New"/>
          <w:spacing w:val="-3"/>
          <w:sz w:val="24"/>
          <w:szCs w:val="24"/>
        </w:rPr>
        <w: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u w:val="single"/>
        </w:rPr>
        <w:t xml:space="preserve">/s/ Diane K. Kiesling              </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t>DIANE K. KIESLING, Commissioner and</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r>
      <w:r w:rsidRPr="003A0DBB">
        <w:rPr>
          <w:rFonts w:ascii="Courier New" w:hAnsi="Courier New" w:cs="Courier New"/>
          <w:spacing w:val="-3"/>
          <w:sz w:val="24"/>
          <w:szCs w:val="24"/>
        </w:rPr>
        <w:tab/>
        <w:t>Prehearing Officer</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A0D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3F0732" w:rsidRPr="003A0DBB">
        <w:rPr>
          <w:rFonts w:ascii="Courier New" w:hAnsi="Courier New" w:cs="Courier New"/>
          <w:spacing w:val="-3"/>
          <w:sz w:val="24"/>
          <w:szCs w:val="24"/>
        </w:rPr>
        <w:t>This is a facsimile copy.  A signed copy of the order may be obtained by calling 1-904-413-6770.</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 S E A L )</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WPC</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center" w:pos="4680"/>
        </w:tabs>
        <w:suppressAutoHyphens/>
        <w:spacing w:line="240" w:lineRule="atLeast"/>
        <w:jc w:val="both"/>
        <w:rPr>
          <w:rFonts w:ascii="Courier New" w:hAnsi="Courier New" w:cs="Courier New"/>
          <w:spacing w:val="-3"/>
          <w:sz w:val="24"/>
          <w:szCs w:val="24"/>
          <w:u w:val="single"/>
        </w:rPr>
      </w:pPr>
      <w:r w:rsidRPr="003A0DBB">
        <w:rPr>
          <w:rFonts w:ascii="Courier New" w:hAnsi="Courier New" w:cs="Courier New"/>
          <w:spacing w:val="-3"/>
          <w:sz w:val="24"/>
          <w:szCs w:val="24"/>
        </w:rPr>
        <w:br w:type="page"/>
      </w:r>
      <w:r w:rsidRPr="003A0DBB">
        <w:rPr>
          <w:rFonts w:ascii="Courier New" w:hAnsi="Courier New" w:cs="Courier New"/>
          <w:spacing w:val="-3"/>
          <w:sz w:val="24"/>
          <w:szCs w:val="24"/>
        </w:rPr>
        <w:lastRenderedPageBreak/>
        <w:tab/>
      </w:r>
      <w:r w:rsidRPr="003A0DBB">
        <w:rPr>
          <w:rFonts w:ascii="Courier New" w:hAnsi="Courier New" w:cs="Courier New"/>
          <w:spacing w:val="-3"/>
          <w:sz w:val="24"/>
          <w:szCs w:val="24"/>
          <w:u w:val="single"/>
        </w:rPr>
        <w:t>NOTICE OF FURTHER PROCEEDINGS OR JUDICIAL REVIEW</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F0732" w:rsidRPr="003A0DBB" w:rsidRDefault="003F07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25-22.038(2),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0DBB" w:rsidRPr="003A0DBB" w:rsidRDefault="003A0D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3A0DBB" w:rsidRPr="003A0DBB" w:rsidSect="003F073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32" w:rsidRDefault="003F0732">
      <w:pPr>
        <w:widowControl/>
        <w:spacing w:line="20" w:lineRule="exact"/>
        <w:rPr>
          <w:rFonts w:cstheme="minorBidi"/>
          <w:sz w:val="24"/>
          <w:szCs w:val="24"/>
        </w:rPr>
      </w:pPr>
    </w:p>
  </w:endnote>
  <w:endnote w:type="continuationSeparator" w:id="0">
    <w:p w:rsidR="003F0732" w:rsidRDefault="003F0732" w:rsidP="003F0732">
      <w:r>
        <w:rPr>
          <w:rFonts w:cstheme="minorBidi"/>
          <w:sz w:val="24"/>
          <w:szCs w:val="24"/>
        </w:rPr>
        <w:t xml:space="preserve"> </w:t>
      </w:r>
    </w:p>
  </w:endnote>
  <w:endnote w:type="continuationNotice" w:id="1">
    <w:p w:rsidR="003F0732" w:rsidRDefault="003F0732" w:rsidP="003F073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32" w:rsidRDefault="003F0732" w:rsidP="003F0732">
      <w:r>
        <w:rPr>
          <w:rFonts w:cstheme="minorBidi"/>
          <w:sz w:val="24"/>
          <w:szCs w:val="24"/>
        </w:rPr>
        <w:separator/>
      </w:r>
    </w:p>
  </w:footnote>
  <w:footnote w:type="continuationSeparator" w:id="0">
    <w:p w:rsidR="003F0732" w:rsidRDefault="003F0732" w:rsidP="003F0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32" w:rsidRPr="003A0DBB" w:rsidRDefault="003F073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ORDER NO. PSC-97-0119-PCO-TP</w:t>
    </w:r>
  </w:p>
  <w:p w:rsidR="003F0732" w:rsidRPr="003A0DBB" w:rsidRDefault="003F073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DOCKET NO. 970077-TP</w:t>
    </w:r>
  </w:p>
  <w:p w:rsidR="003F0732" w:rsidRPr="003A0DBB" w:rsidRDefault="003F073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A0DBB">
      <w:rPr>
        <w:rFonts w:ascii="Courier New" w:hAnsi="Courier New" w:cs="Courier New"/>
        <w:spacing w:val="-3"/>
        <w:sz w:val="24"/>
        <w:szCs w:val="24"/>
      </w:rPr>
      <w:t xml:space="preserve">PAGE </w:t>
    </w:r>
    <w:r w:rsidRPr="003A0DBB">
      <w:rPr>
        <w:rFonts w:ascii="Courier New" w:hAnsi="Courier New" w:cs="Courier New"/>
        <w:spacing w:val="-3"/>
        <w:sz w:val="24"/>
        <w:szCs w:val="24"/>
      </w:rPr>
      <w:fldChar w:fldCharType="begin"/>
    </w:r>
    <w:r w:rsidRPr="003A0DBB">
      <w:rPr>
        <w:rFonts w:ascii="Courier New" w:hAnsi="Courier New" w:cs="Courier New"/>
        <w:spacing w:val="-3"/>
        <w:sz w:val="24"/>
        <w:szCs w:val="24"/>
      </w:rPr>
      <w:instrText>page \* arabic</w:instrText>
    </w:r>
    <w:r w:rsidRPr="003A0DBB">
      <w:rPr>
        <w:rFonts w:ascii="Courier New" w:hAnsi="Courier New" w:cs="Courier New"/>
        <w:spacing w:val="-3"/>
        <w:sz w:val="24"/>
        <w:szCs w:val="24"/>
      </w:rPr>
      <w:fldChar w:fldCharType="separate"/>
    </w:r>
    <w:r w:rsidR="003A0DBB">
      <w:rPr>
        <w:rFonts w:ascii="Courier New" w:hAnsi="Courier New" w:cs="Courier New"/>
        <w:noProof/>
        <w:spacing w:val="-3"/>
        <w:sz w:val="24"/>
        <w:szCs w:val="24"/>
      </w:rPr>
      <w:t>8</w:t>
    </w:r>
    <w:r w:rsidRPr="003A0DBB">
      <w:rPr>
        <w:rFonts w:ascii="Courier New" w:hAnsi="Courier New" w:cs="Courier New"/>
        <w:spacing w:val="-3"/>
        <w:sz w:val="24"/>
        <w:szCs w:val="24"/>
      </w:rPr>
      <w:fldChar w:fldCharType="end"/>
    </w:r>
  </w:p>
  <w:p w:rsidR="003F0732" w:rsidRPr="003A0DBB" w:rsidRDefault="003F073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F0732" w:rsidRDefault="003F073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32"/>
    <w:rsid w:val="003A0DBB"/>
    <w:rsid w:val="003F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F073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F073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A0DBB"/>
    <w:pPr>
      <w:tabs>
        <w:tab w:val="center" w:pos="4680"/>
        <w:tab w:val="right" w:pos="9360"/>
      </w:tabs>
    </w:pPr>
  </w:style>
  <w:style w:type="character" w:customStyle="1" w:styleId="HeaderChar">
    <w:name w:val="Header Char"/>
    <w:basedOn w:val="DefaultParagraphFont"/>
    <w:link w:val="Header"/>
    <w:uiPriority w:val="99"/>
    <w:rsid w:val="003A0DBB"/>
    <w:rPr>
      <w:rFonts w:ascii="Courier" w:hAnsi="Courier" w:cs="Courier"/>
      <w:sz w:val="20"/>
      <w:szCs w:val="20"/>
    </w:rPr>
  </w:style>
  <w:style w:type="paragraph" w:styleId="Footer">
    <w:name w:val="footer"/>
    <w:basedOn w:val="Normal"/>
    <w:link w:val="FooterChar"/>
    <w:uiPriority w:val="99"/>
    <w:unhideWhenUsed/>
    <w:rsid w:val="003A0DBB"/>
    <w:pPr>
      <w:tabs>
        <w:tab w:val="center" w:pos="4680"/>
        <w:tab w:val="right" w:pos="9360"/>
      </w:tabs>
    </w:pPr>
  </w:style>
  <w:style w:type="character" w:customStyle="1" w:styleId="FooterChar">
    <w:name w:val="Footer Char"/>
    <w:basedOn w:val="DefaultParagraphFont"/>
    <w:link w:val="Footer"/>
    <w:uiPriority w:val="99"/>
    <w:rsid w:val="003A0DB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F073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F073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0"/>
      <w:szCs w:val="20"/>
      <w:lang w:val="en-US"/>
    </w:rPr>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A0DBB"/>
    <w:pPr>
      <w:tabs>
        <w:tab w:val="center" w:pos="4680"/>
        <w:tab w:val="right" w:pos="9360"/>
      </w:tabs>
    </w:pPr>
  </w:style>
  <w:style w:type="character" w:customStyle="1" w:styleId="HeaderChar">
    <w:name w:val="Header Char"/>
    <w:basedOn w:val="DefaultParagraphFont"/>
    <w:link w:val="Header"/>
    <w:uiPriority w:val="99"/>
    <w:rsid w:val="003A0DBB"/>
    <w:rPr>
      <w:rFonts w:ascii="Courier" w:hAnsi="Courier" w:cs="Courier"/>
      <w:sz w:val="20"/>
      <w:szCs w:val="20"/>
    </w:rPr>
  </w:style>
  <w:style w:type="paragraph" w:styleId="Footer">
    <w:name w:val="footer"/>
    <w:basedOn w:val="Normal"/>
    <w:link w:val="FooterChar"/>
    <w:uiPriority w:val="99"/>
    <w:unhideWhenUsed/>
    <w:rsid w:val="003A0DBB"/>
    <w:pPr>
      <w:tabs>
        <w:tab w:val="center" w:pos="4680"/>
        <w:tab w:val="right" w:pos="9360"/>
      </w:tabs>
    </w:pPr>
  </w:style>
  <w:style w:type="character" w:customStyle="1" w:styleId="FooterChar">
    <w:name w:val="Footer Char"/>
    <w:basedOn w:val="DefaultParagraphFont"/>
    <w:link w:val="Footer"/>
    <w:uiPriority w:val="99"/>
    <w:rsid w:val="003A0DB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2015-05-19T18:32:00Z</dcterms:created>
  <dcterms:modified xsi:type="dcterms:W3CDTF">2015-05-19T18:32:00Z</dcterms:modified>
</cp:coreProperties>
</file>