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09" w:rsidRPr="00777BE5" w:rsidRDefault="00202A09">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777BE5">
        <w:rPr>
          <w:rFonts w:ascii="Courier New" w:hAnsi="Courier New" w:cs="Courier New"/>
          <w:b/>
          <w:bCs/>
          <w:spacing w:val="-3"/>
          <w:sz w:val="24"/>
          <w:szCs w:val="24"/>
        </w:rPr>
        <w:t>FLORIDA PUBLIC SERVICE COMMISSION</w:t>
      </w:r>
      <w:r w:rsidRPr="00777BE5">
        <w:rPr>
          <w:rFonts w:ascii="Courier New" w:hAnsi="Courier New" w:cs="Courier New"/>
          <w:b/>
          <w:bCs/>
          <w:spacing w:val="-3"/>
          <w:sz w:val="24"/>
          <w:szCs w:val="24"/>
        </w:rPr>
        <w:fldChar w:fldCharType="begin"/>
      </w:r>
      <w:r w:rsidRPr="00777BE5">
        <w:rPr>
          <w:rFonts w:ascii="Courier New" w:hAnsi="Courier New" w:cs="Courier New"/>
          <w:b/>
          <w:bCs/>
          <w:spacing w:val="-3"/>
          <w:sz w:val="24"/>
          <w:szCs w:val="24"/>
        </w:rPr>
        <w:instrText xml:space="preserve">PRIVATE </w:instrText>
      </w:r>
      <w:r w:rsidRPr="00777BE5">
        <w:rPr>
          <w:rFonts w:ascii="Courier New" w:hAnsi="Courier New" w:cs="Courier New"/>
          <w:b/>
          <w:bCs/>
          <w:spacing w:val="-3"/>
          <w:sz w:val="24"/>
          <w:szCs w:val="24"/>
        </w:rPr>
        <w:fldChar w:fldCharType="end"/>
      </w:r>
    </w:p>
    <w:p w:rsidR="00202A09" w:rsidRPr="00777BE5" w:rsidRDefault="00202A09">
      <w:pPr>
        <w:widowControl/>
        <w:tabs>
          <w:tab w:val="center" w:pos="4680"/>
        </w:tabs>
        <w:suppressAutoHyphens/>
        <w:spacing w:line="240" w:lineRule="atLeast"/>
        <w:jc w:val="both"/>
        <w:rPr>
          <w:rFonts w:ascii="Courier New" w:hAnsi="Courier New" w:cs="Courier New"/>
          <w:b/>
          <w:bCs/>
          <w:spacing w:val="-3"/>
          <w:sz w:val="24"/>
          <w:szCs w:val="24"/>
        </w:rPr>
      </w:pPr>
      <w:r w:rsidRPr="00777BE5">
        <w:rPr>
          <w:rFonts w:ascii="Courier New" w:hAnsi="Courier New" w:cs="Courier New"/>
          <w:b/>
          <w:bCs/>
          <w:spacing w:val="-3"/>
          <w:sz w:val="24"/>
          <w:szCs w:val="24"/>
        </w:rPr>
        <w:tab/>
        <w:t xml:space="preserve">Capital Circle Office Center </w:t>
      </w:r>
      <w:r w:rsidRPr="00777BE5">
        <w:rPr>
          <w:rFonts w:ascii="Courier New" w:hAnsi="Courier New" w:cs="Courier New"/>
          <w:b/>
          <w:bCs/>
          <w:spacing w:val="-3"/>
          <w:sz w:val="24"/>
          <w:szCs w:val="24"/>
        </w:rPr>
        <w:sym w:font="WP TypographicSymbols" w:char="0021"/>
      </w:r>
      <w:r w:rsidRPr="00777BE5">
        <w:rPr>
          <w:rFonts w:ascii="Courier New" w:hAnsi="Courier New" w:cs="Courier New"/>
          <w:b/>
          <w:bCs/>
          <w:spacing w:val="-3"/>
          <w:sz w:val="24"/>
          <w:szCs w:val="24"/>
        </w:rPr>
        <w:t xml:space="preserve"> 2540 Shumard Oak Boulevard</w:t>
      </w:r>
    </w:p>
    <w:p w:rsidR="00202A09" w:rsidRPr="00777BE5" w:rsidRDefault="00202A09">
      <w:pPr>
        <w:widowControl/>
        <w:tabs>
          <w:tab w:val="center" w:pos="4680"/>
        </w:tabs>
        <w:suppressAutoHyphens/>
        <w:spacing w:line="240" w:lineRule="atLeast"/>
        <w:jc w:val="both"/>
        <w:rPr>
          <w:rFonts w:ascii="Courier New" w:hAnsi="Courier New" w:cs="Courier New"/>
          <w:b/>
          <w:bCs/>
          <w:spacing w:val="-3"/>
          <w:sz w:val="24"/>
          <w:szCs w:val="24"/>
        </w:rPr>
      </w:pPr>
      <w:r w:rsidRPr="00777BE5">
        <w:rPr>
          <w:rFonts w:ascii="Courier New" w:hAnsi="Courier New" w:cs="Courier New"/>
          <w:b/>
          <w:bCs/>
          <w:spacing w:val="-3"/>
          <w:sz w:val="24"/>
          <w:szCs w:val="24"/>
        </w:rPr>
        <w:tab/>
        <w:t>Tallahassee, Florida  32399-0850</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center" w:pos="4680"/>
        </w:tabs>
        <w:suppressAutoHyphens/>
        <w:spacing w:line="240" w:lineRule="atLeast"/>
        <w:jc w:val="both"/>
        <w:rPr>
          <w:rFonts w:ascii="Courier New" w:hAnsi="Courier New" w:cs="Courier New"/>
          <w:b/>
          <w:bCs/>
          <w:spacing w:val="-3"/>
          <w:sz w:val="24"/>
          <w:szCs w:val="24"/>
        </w:rPr>
      </w:pPr>
      <w:r w:rsidRPr="00777BE5">
        <w:rPr>
          <w:rFonts w:ascii="Courier New" w:hAnsi="Courier New" w:cs="Courier New"/>
          <w:b/>
          <w:bCs/>
          <w:spacing w:val="-3"/>
          <w:sz w:val="24"/>
          <w:szCs w:val="24"/>
        </w:rPr>
        <w:tab/>
      </w:r>
      <w:r w:rsidRPr="00777BE5">
        <w:rPr>
          <w:rFonts w:ascii="Courier New" w:hAnsi="Courier New" w:cs="Courier New"/>
          <w:b/>
          <w:bCs/>
          <w:spacing w:val="-3"/>
          <w:sz w:val="24"/>
          <w:szCs w:val="24"/>
          <w:u w:val="single"/>
        </w:rPr>
        <w:t>M</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E</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M</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O</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R</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A</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N</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D</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U</w:t>
      </w:r>
      <w:r w:rsidRPr="00777BE5">
        <w:rPr>
          <w:rFonts w:ascii="Courier New" w:hAnsi="Courier New" w:cs="Courier New"/>
          <w:b/>
          <w:bCs/>
          <w:spacing w:val="-3"/>
          <w:sz w:val="24"/>
          <w:szCs w:val="24"/>
        </w:rPr>
        <w:t xml:space="preserve"> </w:t>
      </w:r>
      <w:r w:rsidRPr="00777BE5">
        <w:rPr>
          <w:rFonts w:ascii="Courier New" w:hAnsi="Courier New" w:cs="Courier New"/>
          <w:b/>
          <w:bCs/>
          <w:spacing w:val="-3"/>
          <w:sz w:val="24"/>
          <w:szCs w:val="24"/>
          <w:u w:val="single"/>
        </w:rPr>
        <w:t>M</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rsidP="00794A2D">
      <w:pPr>
        <w:widowControl/>
        <w:tabs>
          <w:tab w:val="center" w:pos="4680"/>
        </w:tabs>
        <w:suppressAutoHyphens/>
        <w:spacing w:line="240" w:lineRule="atLeast"/>
        <w:jc w:val="both"/>
        <w:rPr>
          <w:rFonts w:ascii="Courier New" w:hAnsi="Courier New" w:cs="Courier New"/>
          <w:b/>
          <w:bCs/>
          <w:spacing w:val="-3"/>
          <w:sz w:val="24"/>
          <w:szCs w:val="24"/>
        </w:rPr>
      </w:pPr>
      <w:r w:rsidRPr="00777BE5">
        <w:rPr>
          <w:rFonts w:ascii="Courier New" w:hAnsi="Courier New" w:cs="Courier New"/>
          <w:b/>
          <w:bCs/>
          <w:spacing w:val="-3"/>
          <w:sz w:val="24"/>
          <w:szCs w:val="24"/>
        </w:rPr>
        <w:tab/>
        <w:t>FEBRUARY 6, 1997</w:t>
      </w:r>
      <w:bookmarkStart w:id="0" w:name="_GoBack"/>
      <w:bookmarkEnd w:id="0"/>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77BE5">
        <w:rPr>
          <w:rFonts w:ascii="Courier New" w:hAnsi="Courier New" w:cs="Courier New"/>
          <w:b/>
          <w:bCs/>
          <w:spacing w:val="-3"/>
          <w:sz w:val="24"/>
          <w:szCs w:val="24"/>
        </w:rPr>
        <w:t>TO:</w:t>
      </w:r>
      <w:r w:rsidRPr="00777BE5">
        <w:rPr>
          <w:rFonts w:ascii="Courier New" w:hAnsi="Courier New" w:cs="Courier New"/>
          <w:b/>
          <w:bCs/>
          <w:spacing w:val="-3"/>
          <w:sz w:val="24"/>
          <w:szCs w:val="24"/>
        </w:rPr>
        <w:tab/>
      </w:r>
      <w:r w:rsidR="00777BE5">
        <w:rPr>
          <w:rFonts w:ascii="Courier New" w:hAnsi="Courier New" w:cs="Courier New"/>
          <w:b/>
          <w:bCs/>
          <w:spacing w:val="-3"/>
          <w:sz w:val="24"/>
          <w:szCs w:val="24"/>
        </w:rPr>
        <w:tab/>
      </w:r>
      <w:r w:rsidRPr="00777BE5">
        <w:rPr>
          <w:rFonts w:ascii="Courier New" w:hAnsi="Courier New" w:cs="Courier New"/>
          <w:b/>
          <w:bCs/>
          <w:spacing w:val="-3"/>
          <w:sz w:val="24"/>
          <w:szCs w:val="24"/>
        </w:rPr>
        <w:t>DIRECTOR, DIVISION OF RECORDS AND REPORTING (BAYO)</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77BE5">
        <w:rPr>
          <w:rFonts w:ascii="Courier New" w:hAnsi="Courier New" w:cs="Courier New"/>
          <w:b/>
          <w:bCs/>
          <w:spacing w:val="-3"/>
          <w:sz w:val="24"/>
          <w:szCs w:val="24"/>
        </w:rPr>
        <w:t>FROM:</w:t>
      </w:r>
      <w:r w:rsidR="00777BE5">
        <w:rPr>
          <w:rFonts w:ascii="Courier New" w:hAnsi="Courier New" w:cs="Courier New"/>
          <w:b/>
          <w:bCs/>
          <w:spacing w:val="-3"/>
          <w:sz w:val="24"/>
          <w:szCs w:val="24"/>
        </w:rPr>
        <w:tab/>
      </w:r>
      <w:r w:rsidR="00777BE5">
        <w:rPr>
          <w:rFonts w:ascii="Courier New" w:hAnsi="Courier New" w:cs="Courier New"/>
          <w:b/>
          <w:bCs/>
          <w:spacing w:val="-3"/>
          <w:sz w:val="24"/>
          <w:szCs w:val="24"/>
        </w:rPr>
        <w:tab/>
      </w:r>
      <w:r w:rsidRPr="00777BE5">
        <w:rPr>
          <w:rFonts w:ascii="Courier New" w:hAnsi="Courier New" w:cs="Courier New"/>
          <w:b/>
          <w:bCs/>
          <w:spacing w:val="-3"/>
          <w:sz w:val="24"/>
          <w:szCs w:val="24"/>
        </w:rPr>
        <w:t>DIVISION OF AUDITING &amp; FINANCIAL ANALYSIS (JOHNSON, CAUSSEAUX, LEE, REVELL)</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777BE5">
        <w:rPr>
          <w:rFonts w:ascii="Courier New" w:hAnsi="Courier New" w:cs="Courier New"/>
          <w:b/>
          <w:bCs/>
          <w:spacing w:val="-3"/>
          <w:sz w:val="24"/>
          <w:szCs w:val="24"/>
        </w:rPr>
        <w:tab/>
      </w:r>
      <w:r w:rsidRPr="00777BE5">
        <w:rPr>
          <w:rFonts w:ascii="Courier New" w:hAnsi="Courier New" w:cs="Courier New"/>
          <w:b/>
          <w:bCs/>
          <w:spacing w:val="-3"/>
          <w:sz w:val="24"/>
          <w:szCs w:val="24"/>
        </w:rPr>
        <w:tab/>
        <w:t>DIVISION OF ELECTRIC &amp; GAS (MILLS)</w:t>
      </w:r>
    </w:p>
    <w:p w:rsidR="00202A09" w:rsidRPr="00777BE5" w:rsidRDefault="00202A0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77BE5">
        <w:rPr>
          <w:rFonts w:ascii="Courier New" w:hAnsi="Courier New" w:cs="Courier New"/>
          <w:b/>
          <w:bCs/>
          <w:spacing w:val="-3"/>
          <w:sz w:val="24"/>
          <w:szCs w:val="24"/>
        </w:rPr>
        <w:tab/>
      </w:r>
      <w:r w:rsidR="00777BE5">
        <w:rPr>
          <w:rFonts w:ascii="Courier New" w:hAnsi="Courier New" w:cs="Courier New"/>
          <w:b/>
          <w:bCs/>
          <w:spacing w:val="-3"/>
          <w:sz w:val="24"/>
          <w:szCs w:val="24"/>
        </w:rPr>
        <w:tab/>
      </w:r>
      <w:r w:rsidRPr="00777BE5">
        <w:rPr>
          <w:rFonts w:ascii="Courier New" w:hAnsi="Courier New" w:cs="Courier New"/>
          <w:b/>
          <w:bCs/>
          <w:spacing w:val="-3"/>
          <w:sz w:val="24"/>
          <w:szCs w:val="24"/>
        </w:rPr>
        <w:t>DIVISION OF LEGAL SERVICES (WAGNER)</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77BE5">
        <w:rPr>
          <w:rFonts w:ascii="Courier New" w:hAnsi="Courier New" w:cs="Courier New"/>
          <w:b/>
          <w:bCs/>
          <w:spacing w:val="-3"/>
          <w:sz w:val="24"/>
          <w:szCs w:val="24"/>
        </w:rPr>
        <w:t>RE:</w:t>
      </w:r>
      <w:r w:rsidRPr="00777BE5">
        <w:rPr>
          <w:rFonts w:ascii="Courier New" w:hAnsi="Courier New" w:cs="Courier New"/>
          <w:b/>
          <w:bCs/>
          <w:spacing w:val="-3"/>
          <w:sz w:val="24"/>
          <w:szCs w:val="24"/>
        </w:rPr>
        <w:tab/>
      </w:r>
      <w:r w:rsidR="00777BE5">
        <w:rPr>
          <w:rFonts w:ascii="Courier New" w:hAnsi="Courier New" w:cs="Courier New"/>
          <w:b/>
          <w:bCs/>
          <w:spacing w:val="-3"/>
          <w:sz w:val="24"/>
          <w:szCs w:val="24"/>
        </w:rPr>
        <w:tab/>
      </w:r>
      <w:r w:rsidRPr="00777BE5">
        <w:rPr>
          <w:rFonts w:ascii="Courier New" w:hAnsi="Courier New" w:cs="Courier New"/>
          <w:b/>
          <w:bCs/>
          <w:spacing w:val="-3"/>
          <w:sz w:val="24"/>
          <w:szCs w:val="24"/>
        </w:rPr>
        <w:t>DOCKET NO. 960775-GU - SEBRING GAS SYSTEMS, INC. -  1996 DEPRECIATION FILING BY SEBRING GAS SYSTEMS, INC.</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77BE5">
        <w:rPr>
          <w:rFonts w:ascii="Courier New" w:hAnsi="Courier New" w:cs="Courier New"/>
          <w:b/>
          <w:bCs/>
          <w:spacing w:val="-3"/>
          <w:sz w:val="24"/>
          <w:szCs w:val="24"/>
        </w:rPr>
        <w:t>AGENDA:</w:t>
      </w:r>
      <w:r w:rsidR="00777BE5">
        <w:rPr>
          <w:rFonts w:ascii="Courier New" w:hAnsi="Courier New" w:cs="Courier New"/>
          <w:b/>
          <w:bCs/>
          <w:spacing w:val="-3"/>
          <w:sz w:val="24"/>
          <w:szCs w:val="24"/>
        </w:rPr>
        <w:tab/>
      </w:r>
      <w:r w:rsidRPr="00777BE5">
        <w:rPr>
          <w:rFonts w:ascii="Courier New" w:hAnsi="Courier New" w:cs="Courier New"/>
          <w:b/>
          <w:bCs/>
          <w:spacing w:val="-3"/>
          <w:sz w:val="24"/>
          <w:szCs w:val="24"/>
        </w:rPr>
        <w:t>02/18/97 - REGULAR AGENDA - PROPOSED AGENCY ACTION - INTERESTED PERSONS MAY PARTICIPATE</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77BE5">
        <w:rPr>
          <w:rFonts w:ascii="Courier New" w:hAnsi="Courier New" w:cs="Courier New"/>
          <w:b/>
          <w:bCs/>
          <w:spacing w:val="-3"/>
          <w:sz w:val="24"/>
          <w:szCs w:val="24"/>
        </w:rPr>
        <w:t>CRITICAL DATES:</w:t>
      </w:r>
      <w:r w:rsidR="00777BE5">
        <w:rPr>
          <w:rFonts w:ascii="Courier New" w:hAnsi="Courier New" w:cs="Courier New"/>
          <w:b/>
          <w:bCs/>
          <w:spacing w:val="-3"/>
          <w:sz w:val="24"/>
          <w:szCs w:val="24"/>
        </w:rPr>
        <w:tab/>
      </w:r>
      <w:r w:rsidR="00777BE5">
        <w:rPr>
          <w:rFonts w:ascii="Courier New" w:hAnsi="Courier New" w:cs="Courier New"/>
          <w:b/>
          <w:bCs/>
          <w:spacing w:val="-3"/>
          <w:sz w:val="24"/>
          <w:szCs w:val="24"/>
        </w:rPr>
        <w:tab/>
      </w:r>
      <w:r w:rsidRPr="00777BE5">
        <w:rPr>
          <w:rFonts w:ascii="Courier New" w:hAnsi="Courier New" w:cs="Courier New"/>
          <w:b/>
          <w:bCs/>
          <w:spacing w:val="-3"/>
          <w:sz w:val="24"/>
          <w:szCs w:val="24"/>
        </w:rPr>
        <w:t>NONE</w:t>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777BE5">
        <w:rPr>
          <w:rFonts w:ascii="Courier New" w:hAnsi="Courier New" w:cs="Courier New"/>
          <w:b/>
          <w:bCs/>
          <w:spacing w:val="-3"/>
          <w:sz w:val="24"/>
          <w:szCs w:val="24"/>
        </w:rPr>
        <w:t>SPECIAL INSTRUCTIONS:   S:\.PSC\AFA\WP\960775.RCM</w:t>
      </w:r>
    </w:p>
    <w:p w:rsidR="00202A09" w:rsidRPr="00777BE5" w:rsidRDefault="00202A09">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77BE5">
        <w:rPr>
          <w:rFonts w:ascii="Courier New" w:hAnsi="Courier New" w:cs="Courier New"/>
          <w:b/>
          <w:bCs/>
          <w:spacing w:val="-3"/>
          <w:sz w:val="24"/>
          <w:szCs w:val="24"/>
        </w:rPr>
        <w:t xml:space="preserve">      </w:t>
      </w:r>
      <w:r w:rsidR="00777BE5">
        <w:rPr>
          <w:rFonts w:ascii="Courier New" w:hAnsi="Courier New" w:cs="Courier New"/>
          <w:b/>
          <w:bCs/>
          <w:spacing w:val="-3"/>
          <w:sz w:val="24"/>
          <w:szCs w:val="24"/>
        </w:rPr>
        <w:tab/>
      </w:r>
      <w:r w:rsidR="00777BE5">
        <w:rPr>
          <w:rFonts w:ascii="Courier New" w:hAnsi="Courier New" w:cs="Courier New"/>
          <w:b/>
          <w:bCs/>
          <w:spacing w:val="-3"/>
          <w:sz w:val="24"/>
          <w:szCs w:val="24"/>
        </w:rPr>
        <w:tab/>
      </w:r>
      <w:r w:rsidR="00777BE5">
        <w:rPr>
          <w:rFonts w:ascii="Courier New" w:hAnsi="Courier New" w:cs="Courier New"/>
          <w:b/>
          <w:bCs/>
          <w:spacing w:val="-3"/>
          <w:sz w:val="24"/>
          <w:szCs w:val="24"/>
        </w:rPr>
        <w:tab/>
        <w:t xml:space="preserve">    </w:t>
      </w:r>
      <w:r w:rsidRPr="00777BE5">
        <w:rPr>
          <w:rFonts w:ascii="Courier New" w:hAnsi="Courier New" w:cs="Courier New"/>
          <w:b/>
          <w:bCs/>
          <w:spacing w:val="-3"/>
          <w:sz w:val="24"/>
          <w:szCs w:val="24"/>
        </w:rPr>
        <w:t>R:\960775.WK3</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u w:val="single"/>
        </w:rPr>
        <w:t xml:space="preserve">                                                                 </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center" w:pos="468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rPr>
        <w:tab/>
      </w:r>
      <w:r w:rsidRPr="00777BE5">
        <w:rPr>
          <w:rFonts w:ascii="Courier New" w:hAnsi="Courier New" w:cs="Courier New"/>
          <w:b/>
          <w:bCs/>
          <w:spacing w:val="-3"/>
          <w:sz w:val="24"/>
          <w:szCs w:val="24"/>
          <w:u w:val="single"/>
        </w:rPr>
        <w:t>DISCUSSION OF ISSUES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 xml:space="preserve">ISSUE </w:t>
      </w:r>
      <w:r w:rsidRPr="00777BE5">
        <w:rPr>
          <w:rFonts w:ascii="Courier New" w:hAnsi="Courier New" w:cs="Courier New"/>
          <w:b/>
          <w:bCs/>
          <w:spacing w:val="-3"/>
          <w:sz w:val="24"/>
          <w:szCs w:val="24"/>
          <w:u w:val="single"/>
        </w:rPr>
        <w:fldChar w:fldCharType="begin"/>
      </w:r>
      <w:r w:rsidRPr="00777BE5">
        <w:rPr>
          <w:rFonts w:ascii="Courier New" w:hAnsi="Courier New" w:cs="Courier New"/>
          <w:b/>
          <w:bCs/>
          <w:spacing w:val="-3"/>
          <w:sz w:val="24"/>
          <w:szCs w:val="24"/>
          <w:u w:val="single"/>
        </w:rPr>
        <w:instrText>listnum "WP List 4" \l 1</w:instrText>
      </w:r>
      <w:r w:rsidRPr="00777BE5">
        <w:rPr>
          <w:rFonts w:ascii="Courier New" w:hAnsi="Courier New" w:cs="Courier New"/>
          <w:b/>
          <w:bCs/>
          <w:spacing w:val="-3"/>
          <w:sz w:val="24"/>
          <w:szCs w:val="24"/>
          <w:u w:val="single"/>
        </w:rPr>
        <w:fldChar w:fldCharType="end"/>
      </w:r>
      <w:r w:rsidRPr="00777BE5">
        <w:rPr>
          <w:rFonts w:ascii="Courier New" w:hAnsi="Courier New" w:cs="Courier New"/>
          <w:b/>
          <w:bCs/>
          <w:spacing w:val="-3"/>
          <w:sz w:val="24"/>
          <w:szCs w:val="24"/>
        </w:rPr>
        <w:t>:</w:t>
      </w:r>
      <w:r w:rsidRPr="00777BE5">
        <w:rPr>
          <w:rFonts w:ascii="Courier New" w:hAnsi="Courier New" w:cs="Courier New"/>
          <w:spacing w:val="-3"/>
          <w:sz w:val="24"/>
          <w:szCs w:val="24"/>
        </w:rPr>
        <w:tab/>
        <w:t xml:space="preserve">Should the current depreciation rates for Sebring Gas Systems, Inc. be changed? </w:t>
      </w:r>
    </w:p>
    <w:p w:rsidR="00202A09" w:rsidRPr="00777BE5" w:rsidRDefault="00202A0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RECOMMENDATION</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Yes.  A review of the Company's activity since its prior depreciation filing indicates a need for a revision in the currently prescribed depreciation rates. (JOHNSON, LEE)</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STAFF ANALYSIS</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Rule 25-7.045, Florida Administrative Code, requires natural gas companies to file a comprehensive depreciation study once every five years.  Sebring filed its 1996 study in compliance with this rule. </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 xml:space="preserve">Initial rates for Sebring Gas Systems, Inc. (Sebring or the Company) were established in Order No. 25454, issued December 9, 1991, with an effective date of April 20, 1992.  On June 6, 1996, Sebring </w:t>
      </w:r>
      <w:r w:rsidRPr="00777BE5">
        <w:rPr>
          <w:rFonts w:ascii="Courier New" w:hAnsi="Courier New" w:cs="Courier New"/>
          <w:spacing w:val="-3"/>
          <w:sz w:val="24"/>
          <w:szCs w:val="24"/>
        </w:rPr>
        <w:lastRenderedPageBreak/>
        <w:t xml:space="preserve">filed a depreciation study in accordance with Rule 25-7.045, Florida Administrative Code. </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Staff has completed its review of Sebring's depreciation study and our recommendations for Commission action are provided herein.</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 xml:space="preserve">ISSUE </w:t>
      </w:r>
      <w:r w:rsidRPr="00777BE5">
        <w:rPr>
          <w:rFonts w:ascii="Courier New" w:hAnsi="Courier New" w:cs="Courier New"/>
          <w:b/>
          <w:bCs/>
          <w:spacing w:val="-3"/>
          <w:sz w:val="24"/>
          <w:szCs w:val="24"/>
          <w:u w:val="single"/>
        </w:rPr>
        <w:fldChar w:fldCharType="begin"/>
      </w:r>
      <w:r w:rsidRPr="00777BE5">
        <w:rPr>
          <w:rFonts w:ascii="Courier New" w:hAnsi="Courier New" w:cs="Courier New"/>
          <w:b/>
          <w:bCs/>
          <w:spacing w:val="-3"/>
          <w:sz w:val="24"/>
          <w:szCs w:val="24"/>
          <w:u w:val="single"/>
        </w:rPr>
        <w:instrText>listnum "WP List 4" \l 1</w:instrText>
      </w:r>
      <w:r w:rsidRPr="00777BE5">
        <w:rPr>
          <w:rFonts w:ascii="Courier New" w:hAnsi="Courier New" w:cs="Courier New"/>
          <w:b/>
          <w:bCs/>
          <w:spacing w:val="-3"/>
          <w:sz w:val="24"/>
          <w:szCs w:val="24"/>
          <w:u w:val="single"/>
        </w:rPr>
        <w:fldChar w:fldCharType="end"/>
      </w:r>
      <w:r w:rsidRPr="00777BE5">
        <w:rPr>
          <w:rFonts w:ascii="Courier New" w:hAnsi="Courier New" w:cs="Courier New"/>
          <w:b/>
          <w:bCs/>
          <w:spacing w:val="-3"/>
          <w:sz w:val="24"/>
          <w:szCs w:val="24"/>
        </w:rPr>
        <w:t>:</w:t>
      </w:r>
      <w:r w:rsidRPr="00777BE5">
        <w:rPr>
          <w:rFonts w:ascii="Courier New" w:hAnsi="Courier New" w:cs="Courier New"/>
          <w:spacing w:val="-3"/>
          <w:sz w:val="24"/>
          <w:szCs w:val="24"/>
        </w:rPr>
        <w:tab/>
        <w:t>Should the Company proposed implementation date be approved?</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RECOMMENDATION</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Staff recommends approval of the Company's proposed January 1, 1997 date of implementation for the new rates and schedules. (JOHNSON)</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STAFF ANALYSIS</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Company data and related calculations abut the January 1, 1997 date.  This is the recommended date of implementation, being the earliest practicable date for utilizing the revised rates and schedules.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br w:type="page"/>
      </w: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ISSUE 3</w:t>
      </w:r>
      <w:r w:rsidRPr="00777BE5">
        <w:rPr>
          <w:rFonts w:ascii="Courier New" w:hAnsi="Courier New" w:cs="Courier New"/>
          <w:spacing w:val="-3"/>
          <w:sz w:val="24"/>
          <w:szCs w:val="24"/>
        </w:rPr>
        <w:t>:  What should the appropriate depreciation rates be?</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RECOMMENDATION</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The staff's recommended lives, net salvages, reserves and resultant depreciation rates are shown on Attachment A, page 7. The result is a decrease in depreciation expense of approximately  $1,800 for the year 1997 based on estimated January 1, 1997 investments shown on Attachment B, page 8. The effect on the depreciation expense is a result of bringing the average age of the account forward to January 1, 1997.(JOHNSON)</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STAFF ANALYSIS</w:t>
      </w:r>
      <w:r w:rsidRPr="00777BE5">
        <w:rPr>
          <w:rFonts w:ascii="Courier New" w:hAnsi="Courier New" w:cs="Courier New"/>
          <w:spacing w:val="-3"/>
          <w:sz w:val="24"/>
          <w:szCs w:val="24"/>
        </w:rPr>
        <w:t xml:space="preserve">:  Staff's recommendations are the result of a comprehensive review of Sebring's depreciation study.  Attachment A shows a comparison of the currently approved and Company and Staff recommended rate parameters.  Attachment B shows a comparison of resultant expenses based on estimated January 1, 1997 investments. </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This filing was essentially a staff-assisted study.  The Company provided the raw data with regard to additions and retirements, both actual and forecasted. Staff determined the appropriate service life, remaining life, net salvage, average age, reserve position, and curve shape parameters based on the data provided and discussions with the Company.  As a result of the review and analytical process, staff and the Company agree on lives, net salvages, and resultant depreciation rates for all accounts.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The accounts with a substantial change in depreciation expense are outlined below.  In summary these changes can be attributed to two factors - staff recalculated ages, and/or changes in the reserve.</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u w:val="single"/>
        </w:rPr>
        <w:t>Account 376 - Mains (Steel and Plastic)</w:t>
      </w:r>
      <w:r w:rsidRPr="00777BE5">
        <w:rPr>
          <w:rFonts w:ascii="Courier New" w:hAnsi="Courier New" w:cs="Courier New"/>
          <w:spacing w:val="-3"/>
          <w:sz w:val="24"/>
          <w:szCs w:val="24"/>
        </w:rPr>
        <w:t xml:space="preserve"> -  Because of the size of the investments for these accounts, any changes in the  prescribed parameters affect the depreciation expense.  The effect on the depreciation expense is a result of bringing the average age of the account forward to January 1, 1997. Staff and the Company are in agreement to maintain the current service life and net salvage parameters for these accounts. </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u w:val="single"/>
        </w:rPr>
        <w:t>Account 380 - Services (Steel and Plastic)</w:t>
      </w:r>
      <w:r w:rsidRPr="00777BE5">
        <w:rPr>
          <w:rFonts w:ascii="Courier New" w:hAnsi="Courier New" w:cs="Courier New"/>
          <w:spacing w:val="-3"/>
          <w:sz w:val="24"/>
          <w:szCs w:val="24"/>
        </w:rPr>
        <w:t xml:space="preserve"> - As in the case of Mains, any changes to the currently prescribed factors will have an impact on the depreciation expense due to the size of the investments.  </w:t>
      </w:r>
      <w:r w:rsidRPr="00777BE5">
        <w:rPr>
          <w:rFonts w:ascii="Courier New" w:hAnsi="Courier New" w:cs="Courier New"/>
          <w:spacing w:val="-3"/>
          <w:sz w:val="24"/>
          <w:szCs w:val="24"/>
        </w:rPr>
        <w:lastRenderedPageBreak/>
        <w:t>Therefore, the effect on the depreciation expense is merely due to an average age recalculation and the resultant remaining life based on the updated age.  Staff and the Company have agreed to maintain the existing service life and net salvage parameters for these accounts.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u w:val="single"/>
        </w:rPr>
        <w:t>Account 392.2 - Transportation - Trucks</w:t>
      </w:r>
      <w:r w:rsidRPr="00777BE5">
        <w:rPr>
          <w:rFonts w:ascii="Courier New" w:hAnsi="Courier New" w:cs="Courier New"/>
          <w:spacing w:val="-3"/>
          <w:sz w:val="24"/>
          <w:szCs w:val="24"/>
        </w:rPr>
        <w:t xml:space="preserve"> - This account represents the largest general plant investment for Sebring accounting for 62% of the total investment for general plant assets.  The impact on the depreciation expense is due to the average age recalculation.</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br w:type="page"/>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lastRenderedPageBreak/>
        <w:t>ISSUE 4</w:t>
      </w:r>
      <w:r w:rsidRPr="00777BE5">
        <w:rPr>
          <w:rFonts w:ascii="Courier New" w:hAnsi="Courier New" w:cs="Courier New"/>
          <w:spacing w:val="-3"/>
          <w:sz w:val="24"/>
          <w:szCs w:val="24"/>
        </w:rPr>
        <w:t>: Should the current amortization of investment tax credits (ITCs) and the flowback of excess deferred income taxes be revised to reflect the approved depreciation rates and recovery schedules?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RECOMMENDATION</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December 1997 surveillance report.  (CAUSSEAUX)</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STAFF ANALYSIS</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In issues previously addressed, Staff recommends revisions to Sebring's depreciation rates and capital recovery schedules, to be effective January 1, 1997.  Revising a utility's depreciation rates usually results in a change in its rate of ITC amortization and flowback of excess deferred income taxes.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Section 46(f)(6) of the Internal Revenue Code (IRC) states that the amortization of ITCs should be determined by the period of time used in computing depreciation expense for purposes of reflecting regulated operating results of the utility.  Since Staff is recommending a change in depreciation rates, it is also appropriate to change the amortization of ITCs.</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Section 203(e) of the Tax Reform Act of 1986 (TRA) prohibits rapid write-back of protected (depreciation related) deferred taxes.  In addition, Rule 25-14.013, Accounting for Deferred Income Taxes under SFAS 109, Florida Administrative Code, prohibits, without good cause shown, excess deferred income taxes associated with temporary differences from being reversed any faster than allowed under Section 203(e).  Therefore, both the TRA and Rule 25-14.013, Florida Administrative Code, prohibit faster write-off of protected excess deferred taxes.  Consequently, Staff believes that the flowback of excess deferred taxes should be altered to comply with the TRA and Rule 25-14.013, Florida Administrative Code.</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ab/>
        <w:t xml:space="preserve">Staff recommends that the current amortization of ITCs and the flowback of excess deferred income taxes be revised to reflect the approved depreciation rates and recovery schedules.  Also, the utility should be required to file detailed calculations of the revised </w:t>
      </w:r>
      <w:r w:rsidRPr="00777BE5">
        <w:rPr>
          <w:rFonts w:ascii="Courier New" w:hAnsi="Courier New" w:cs="Courier New"/>
          <w:spacing w:val="-3"/>
          <w:sz w:val="24"/>
          <w:szCs w:val="24"/>
        </w:rPr>
        <w:lastRenderedPageBreak/>
        <w:t>ITC amortization and flowback of excess deferred taxes at the time it files its December 1997 surveillance report.</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777BE5" w:rsidRPr="00777BE5" w:rsidRDefault="00777BE5">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ISSUE 5</w:t>
      </w:r>
      <w:r w:rsidRPr="00777BE5">
        <w:rPr>
          <w:rFonts w:ascii="Courier New" w:hAnsi="Courier New" w:cs="Courier New"/>
          <w:spacing w:val="-3"/>
          <w:sz w:val="24"/>
          <w:szCs w:val="24"/>
        </w:rPr>
        <w:t>:  Should this docket be closed?</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RECOMMENDATION</w:t>
      </w:r>
      <w:r w:rsidRPr="00777BE5">
        <w:rPr>
          <w:rFonts w:ascii="Courier New" w:hAnsi="Courier New" w:cs="Courier New"/>
          <w:spacing w:val="-3"/>
          <w:sz w:val="24"/>
          <w:szCs w:val="24"/>
        </w:rPr>
        <w:t>: Yes. If no person whose substantial interests are affected by the Commission's proposed agency action, timely files a protest within twenty-one days of the issuance of this Order, this docket should be closed.    (JOHNSON, WAGNER)</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b/>
          <w:bCs/>
          <w:spacing w:val="-3"/>
          <w:sz w:val="24"/>
          <w:szCs w:val="24"/>
          <w:u w:val="single"/>
        </w:rPr>
        <w:t>STAFF ANALYSIS</w:t>
      </w:r>
      <w:r w:rsidRPr="00777BE5">
        <w:rPr>
          <w:rFonts w:ascii="Courier New" w:hAnsi="Courier New" w:cs="Courier New"/>
          <w:b/>
          <w:bCs/>
          <w:spacing w:val="-3"/>
          <w:sz w:val="24"/>
          <w:szCs w:val="24"/>
        </w:rPr>
        <w:t>:</w:t>
      </w:r>
      <w:r w:rsidRPr="00777BE5">
        <w:rPr>
          <w:rFonts w:ascii="Courier New" w:hAnsi="Courier New" w:cs="Courier New"/>
          <w:spacing w:val="-3"/>
          <w:sz w:val="24"/>
          <w:szCs w:val="24"/>
        </w:rPr>
        <w:t xml:space="preserve">  If no person whose substantial interests are affected, files a timely request for a Section 120.57, Florida Statutes, hearing within twenty-one days of the issuance of this Order, no further action will be required and this docket should be closed.</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sectPr w:rsidR="00202A09" w:rsidRPr="00777BE5">
          <w:headerReference w:type="default" r:id="rId8"/>
          <w:footerReference w:type="default" r:id="rId9"/>
          <w:pgSz w:w="12240" w:h="15840"/>
          <w:pgMar w:top="1440" w:right="1440" w:bottom="1440" w:left="1440" w:header="1440" w:footer="1440" w:gutter="0"/>
          <w:pgNumType w:start="1"/>
          <w:cols w:space="720"/>
          <w:noEndnote/>
          <w:titlePg/>
        </w:sect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tbl>
      <w:tblPr>
        <w:tblW w:w="0" w:type="auto"/>
        <w:tblInd w:w="21" w:type="dxa"/>
        <w:tblLayout w:type="fixed"/>
        <w:tblCellMar>
          <w:left w:w="21" w:type="dxa"/>
          <w:right w:w="21" w:type="dxa"/>
        </w:tblCellMar>
        <w:tblLook w:val="0000" w:firstRow="0" w:lastRow="0" w:firstColumn="0" w:lastColumn="0" w:noHBand="0" w:noVBand="0"/>
      </w:tblPr>
      <w:tblGrid>
        <w:gridCol w:w="780"/>
        <w:gridCol w:w="2880"/>
        <w:gridCol w:w="190"/>
        <w:gridCol w:w="766"/>
        <w:gridCol w:w="62"/>
        <w:gridCol w:w="1087"/>
        <w:gridCol w:w="62"/>
        <w:gridCol w:w="703"/>
        <w:gridCol w:w="126"/>
        <w:gridCol w:w="766"/>
        <w:gridCol w:w="255"/>
        <w:gridCol w:w="766"/>
        <w:gridCol w:w="126"/>
        <w:gridCol w:w="1087"/>
        <w:gridCol w:w="126"/>
        <w:gridCol w:w="703"/>
        <w:gridCol w:w="126"/>
        <w:gridCol w:w="800"/>
      </w:tblGrid>
      <w:tr w:rsidR="00777BE5" w:rsidRPr="00777BE5" w:rsidTr="00777BE5">
        <w:trPr>
          <w:trHeight w:hRule="exact" w:val="153"/>
        </w:trPr>
        <w:tc>
          <w:tcPr>
            <w:tcW w:w="11409" w:type="dxa"/>
            <w:gridSpan w:val="18"/>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spacing w:val="-3"/>
                <w:sz w:val="24"/>
                <w:szCs w:val="24"/>
              </w:rPr>
              <w:fldChar w:fldCharType="begin"/>
            </w:r>
            <w:r w:rsidRPr="00777BE5">
              <w:rPr>
                <w:rFonts w:ascii="Courier New" w:hAnsi="Courier New" w:cs="Courier New"/>
                <w:spacing w:val="-3"/>
                <w:sz w:val="24"/>
                <w:szCs w:val="24"/>
              </w:rPr>
              <w:instrText xml:space="preserve">PRIVATE </w:instrText>
            </w:r>
            <w:r w:rsidRPr="00777BE5">
              <w:rPr>
                <w:rFonts w:ascii="Courier New" w:hAnsi="Courier New" w:cs="Courier New"/>
                <w:spacing w:val="-3"/>
                <w:sz w:val="24"/>
                <w:szCs w:val="24"/>
              </w:rPr>
              <w:fldChar w:fldCharType="end"/>
            </w:r>
            <w:r w:rsidRPr="00777BE5">
              <w:rPr>
                <w:rFonts w:ascii="Courier New" w:hAnsi="Courier New" w:cs="Courier New"/>
                <w:b/>
                <w:bCs/>
                <w:spacing w:val="-1"/>
                <w:sz w:val="12"/>
                <w:szCs w:val="12"/>
              </w:rPr>
              <w:t xml:space="preserve">SEBRING GAS SYSTEMS, INC.                                                                                                                                                                                                                                                                </w:t>
            </w:r>
            <w:r w:rsidRPr="00777BE5">
              <w:rPr>
                <w:rFonts w:ascii="Courier New" w:hAnsi="Courier New" w:cs="Courier New"/>
                <w:spacing w:val="-1"/>
                <w:sz w:val="12"/>
                <w:szCs w:val="12"/>
              </w:rPr>
              <w:t xml:space="preserve">Attachment A   </w:t>
            </w:r>
          </w:p>
        </w:tc>
      </w:tr>
      <w:tr w:rsidR="00777BE5" w:rsidRPr="00777BE5" w:rsidTr="00777BE5">
        <w:trPr>
          <w:trHeight w:hRule="exact" w:val="153"/>
        </w:trPr>
        <w:tc>
          <w:tcPr>
            <w:tcW w:w="11409" w:type="dxa"/>
            <w:gridSpan w:val="18"/>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1996 STUDY</w:t>
            </w:r>
            <w:r w:rsidRPr="00777BE5">
              <w:rPr>
                <w:rFonts w:ascii="Courier New" w:hAnsi="Courier New" w:cs="Courier New"/>
                <w:spacing w:val="-1"/>
                <w:sz w:val="12"/>
                <w:szCs w:val="12"/>
              </w:rPr>
              <w:t xml:space="preserve">                                                                                                                                                                                                                                                                                               </w:t>
            </w:r>
          </w:p>
        </w:tc>
      </w:tr>
      <w:tr w:rsidR="00777BE5" w:rsidRPr="00777BE5" w:rsidTr="00777BE5">
        <w:trPr>
          <w:trHeight w:hRule="exact" w:val="153"/>
        </w:trPr>
        <w:tc>
          <w:tcPr>
            <w:tcW w:w="11409" w:type="dxa"/>
            <w:gridSpan w:val="18"/>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RATES AND COMPONENTS</w:t>
            </w:r>
            <w:r w:rsidRPr="00777BE5">
              <w:rPr>
                <w:rFonts w:ascii="Courier New" w:hAnsi="Courier New" w:cs="Courier New"/>
                <w:spacing w:val="-1"/>
                <w:sz w:val="12"/>
                <w:szCs w:val="12"/>
              </w:rPr>
              <w:t xml:space="preserve">                                                                                                                                                                                                                                                                                                           </w:t>
            </w:r>
          </w:p>
        </w:tc>
      </w:tr>
      <w:tr w:rsidR="00777BE5" w:rsidRPr="00777BE5" w:rsidTr="00777BE5">
        <w:trPr>
          <w:trHeight w:hRule="exact" w:val="153"/>
        </w:trPr>
        <w:tc>
          <w:tcPr>
            <w:tcW w:w="11409" w:type="dxa"/>
            <w:gridSpan w:val="18"/>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777BE5" w:rsidRPr="00777BE5" w:rsidTr="00777BE5">
        <w:trPr>
          <w:trHeight w:hRule="exact" w:val="153"/>
        </w:trPr>
        <w:tc>
          <w:tcPr>
            <w:tcW w:w="11409" w:type="dxa"/>
            <w:gridSpan w:val="18"/>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777BE5" w:rsidRPr="00777BE5" w:rsidTr="00777BE5">
        <w:trPr>
          <w:trHeight w:hRule="exact" w:val="139"/>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3570" w:type="dxa"/>
            <w:gridSpan w:val="7"/>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CURRENT</w:t>
            </w:r>
          </w:p>
        </w:tc>
        <w:tc>
          <w:tcPr>
            <w:tcW w:w="255"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3734" w:type="dxa"/>
            <w:gridSpan w:val="7"/>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COMPANY  &amp;  STAFF  RECOMMENDED</w:t>
            </w:r>
          </w:p>
        </w:tc>
      </w:tr>
      <w:tr w:rsidR="00777BE5" w:rsidRPr="00777BE5" w:rsidTr="00777BE5">
        <w:trPr>
          <w:trHeight w:hRule="exact" w:val="153"/>
        </w:trPr>
        <w:tc>
          <w:tcPr>
            <w:tcW w:w="780"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single" w:sz="14" w:space="0" w:color="auto"/>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AVERAGE</w:t>
            </w:r>
          </w:p>
        </w:tc>
        <w:tc>
          <w:tcPr>
            <w:tcW w:w="61"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single" w:sz="14" w:space="0" w:color="auto"/>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REMAINING </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single" w:sz="14" w:space="0" w:color="auto"/>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AVERAGE</w:t>
            </w:r>
          </w:p>
        </w:tc>
        <w:tc>
          <w:tcPr>
            <w:tcW w:w="126"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29" w:type="dxa"/>
            <w:gridSpan w:val="2"/>
            <w:tcBorders>
              <w:top w:val="single" w:sz="14" w:space="0" w:color="auto"/>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ESTIMATED</w:t>
            </w:r>
          </w:p>
        </w:tc>
        <w:tc>
          <w:tcPr>
            <w:tcW w:w="800" w:type="dxa"/>
            <w:tcBorders>
              <w:top w:val="single" w:sz="14" w:space="0" w:color="auto"/>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REMAINING </w:t>
            </w:r>
          </w:p>
        </w:tc>
      </w:tr>
      <w:tr w:rsidR="00777BE5" w:rsidRPr="00777BE5" w:rsidT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27" w:type="dxa"/>
            <w:gridSpan w:val="2"/>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 xml:space="preserve">REMAINING </w:t>
            </w: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NET</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LIFE</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92" w:type="dxa"/>
            <w:gridSpan w:val="2"/>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 xml:space="preserve">REMAINING </w:t>
            </w: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NET</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01/01/97</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LIFE</w:t>
            </w:r>
          </w:p>
        </w:tc>
      </w:tr>
      <w:tr w:rsidR="00202A09" w:rsidRPr="00777BE5">
        <w:trPr>
          <w:trHeight w:hRule="exact" w:val="145"/>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LIFE</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SALVAGE</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RESERVE</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RATE</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LIFE</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SALVAGE</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RESERVE</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RATE</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(YRS.)</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(YRS.)</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spacing w:val="-1"/>
                <w:sz w:val="12"/>
                <w:szCs w:val="12"/>
              </w:rPr>
              <w:t>(%)</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777BE5" w:rsidRPr="00777BE5" w:rsidTr="00777BE5">
        <w:trPr>
          <w:trHeight w:hRule="exact" w:val="151"/>
        </w:trPr>
        <w:tc>
          <w:tcPr>
            <w:tcW w:w="3660" w:type="dxa"/>
            <w:gridSpan w:val="2"/>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DISTRIBUTION PLANT</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376.1 - Mains - Steel</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15.7</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98.45</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17.5</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79.40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376.2 - Mains - Plastic</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38.0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9.69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3.2</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35.0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26.53</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r>
      <w:tr w:rsidR="00777BE5" w:rsidRPr="00777BE5" w:rsidT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3070" w:type="dxa"/>
            <w:gridSpan w:val="2"/>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378 - Measuring and Regulating Equipment - General</w:t>
            </w: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28.0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31.00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74.99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w:t>
            </w:r>
          </w:p>
        </w:tc>
      </w:tr>
      <w:tr w:rsidR="00777BE5" w:rsidRPr="00777BE5" w:rsidT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3070" w:type="dxa"/>
            <w:gridSpan w:val="2"/>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379 - Measuring and Regulating Equipment - City Gate</w:t>
            </w: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28.0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15.99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3.1</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26.0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33.88</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2.6</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380.1 - Services - Steel</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12.1</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99.81</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97.08</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380.2 - Services - Plastic</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32.0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7.69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3.8</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47.10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381 - Meters</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18.6</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31.62</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3.7</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15.6</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49.25</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382 - Meter Installations</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47.14</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2.3</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22.0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57.80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383 - House Regulators</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27.34</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22.0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39.77</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2.7</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384 - House Regulator Installation</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47.14</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2.2</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63.52</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1.9</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386 - Property on Customers'   Premises</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5.0</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w:t>
            </w: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17.5</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387 - Other Equipment</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22.0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10.71</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4.1</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18.4</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39.02</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777BE5" w:rsidRPr="00777BE5" w:rsidTr="00777BE5">
        <w:trPr>
          <w:trHeight w:hRule="exact" w:val="153"/>
        </w:trPr>
        <w:tc>
          <w:tcPr>
            <w:tcW w:w="3660" w:type="dxa"/>
            <w:gridSpan w:val="2"/>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GENERAL PLANT</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 xml:space="preserve">391.1 - Office Furniture </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5.6</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w:t>
            </w: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13.9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20.89</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5.7</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 xml:space="preserve">391.2 - Office Equipment </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16.7</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w:t>
            </w: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25.56</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15.8</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392.2 -  Transportation -  Trucks</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2.3</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54.83</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13.1</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55.88</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9.7</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394 - Tools, Shop &amp; Garage Equipment</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6.7</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w:t>
            </w: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10.3</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29.67</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6.8</w:t>
            </w: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396 - Power Operated Equipment</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8.5</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48.34</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6.1</w:t>
            </w: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5.6</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0.0</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88.02</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w:t>
            </w:r>
          </w:p>
        </w:tc>
      </w:tr>
      <w:tr w:rsidR="00202A09" w:rsidRPr="00777BE5">
        <w:trPr>
          <w:trHeight w:hRule="exact" w:val="139"/>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rPr>
                <w:rFonts w:ascii="Courier New" w:hAnsi="Courier New" w:cs="Courier New"/>
                <w:spacing w:val="-1"/>
                <w:sz w:val="12"/>
                <w:szCs w:val="12"/>
              </w:rPr>
            </w:pPr>
            <w:r w:rsidRPr="00777BE5">
              <w:rPr>
                <w:rFonts w:ascii="Courier New" w:hAnsi="Courier New" w:cs="Courier New"/>
                <w:spacing w:val="-1"/>
                <w:sz w:val="12"/>
                <w:szCs w:val="12"/>
              </w:rPr>
              <w:t xml:space="preserve"> </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61"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both"/>
              <w:rPr>
                <w:rFonts w:ascii="Courier New" w:hAnsi="Courier New" w:cs="Courier New"/>
                <w:spacing w:val="-1"/>
                <w:sz w:val="12"/>
                <w:szCs w:val="12"/>
              </w:rPr>
            </w:pPr>
            <w:r w:rsidRPr="00777BE5">
              <w:rPr>
                <w:rFonts w:ascii="Courier New" w:hAnsi="Courier New" w:cs="Courier New"/>
                <w:spacing w:val="-1"/>
                <w:sz w:val="12"/>
                <w:szCs w:val="12"/>
              </w:rPr>
              <w:t xml:space="preserve"> </w:t>
            </w: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777BE5" w:rsidRPr="00777BE5" w:rsidT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851" w:type="dxa"/>
            <w:gridSpan w:val="3"/>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  Denotes whole life rate</w:t>
            </w: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r w:rsidR="00202A09" w:rsidRPr="00777BE5">
        <w:trPr>
          <w:trHeight w:hRule="exact" w:val="153"/>
        </w:trPr>
        <w:tc>
          <w:tcPr>
            <w:tcW w:w="7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88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9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61"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255"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087"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703"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126"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c>
          <w:tcPr>
            <w:tcW w:w="800" w:type="dxa"/>
            <w:tcBorders>
              <w:top w:val="nil"/>
              <w:left w:val="nil"/>
              <w:bottom w:val="nil"/>
              <w:right w:val="nil"/>
            </w:tcBorders>
          </w:tcPr>
          <w:p w:rsidR="00202A09" w:rsidRPr="00777BE5" w:rsidRDefault="00202A09">
            <w:pPr>
              <w:widowControl/>
              <w:tabs>
                <w:tab w:val="left" w:pos="-1440"/>
                <w:tab w:val="left" w:pos="-720"/>
              </w:tabs>
              <w:suppressAutoHyphens/>
              <w:spacing w:before="13052" w:after="54" w:line="240" w:lineRule="atLeast"/>
              <w:jc w:val="right"/>
              <w:rPr>
                <w:rFonts w:ascii="Courier New" w:hAnsi="Courier New" w:cs="Courier New"/>
                <w:spacing w:val="-1"/>
                <w:sz w:val="12"/>
                <w:szCs w:val="12"/>
              </w:rPr>
            </w:pPr>
          </w:p>
        </w:tc>
      </w:tr>
    </w:tbl>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sectPr w:rsidR="00202A09" w:rsidRPr="00777BE5">
          <w:pgSz w:w="12240" w:h="15840"/>
          <w:pgMar w:top="1440" w:right="460" w:bottom="1440" w:left="364" w:header="1440" w:footer="1440" w:gutter="0"/>
          <w:cols w:space="720"/>
          <w:noEndnote/>
        </w:sectPr>
      </w:pP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p>
    <w:tbl>
      <w:tblPr>
        <w:tblW w:w="0" w:type="auto"/>
        <w:tblInd w:w="21" w:type="dxa"/>
        <w:tblLayout w:type="fixed"/>
        <w:tblCellMar>
          <w:left w:w="21" w:type="dxa"/>
          <w:right w:w="21" w:type="dxa"/>
        </w:tblCellMar>
        <w:tblLook w:val="0000" w:firstRow="0" w:lastRow="0" w:firstColumn="0" w:lastColumn="0" w:noHBand="0" w:noVBand="0"/>
      </w:tblPr>
      <w:tblGrid>
        <w:gridCol w:w="843"/>
        <w:gridCol w:w="3092"/>
        <w:gridCol w:w="259"/>
        <w:gridCol w:w="902"/>
        <w:gridCol w:w="117"/>
        <w:gridCol w:w="830"/>
        <w:gridCol w:w="237"/>
        <w:gridCol w:w="852"/>
        <w:gridCol w:w="120"/>
        <w:gridCol w:w="762"/>
        <w:gridCol w:w="266"/>
        <w:gridCol w:w="766"/>
        <w:gridCol w:w="129"/>
        <w:gridCol w:w="986"/>
        <w:gridCol w:w="134"/>
        <w:gridCol w:w="776"/>
        <w:gridCol w:w="337"/>
      </w:tblGrid>
      <w:tr w:rsidR="00777BE5" w:rsidRPr="00777BE5" w:rsidTr="00777BE5">
        <w:trPr>
          <w:trHeight w:hRule="exact" w:val="153"/>
        </w:trPr>
        <w:tc>
          <w:tcPr>
            <w:tcW w:w="11408" w:type="dxa"/>
            <w:gridSpan w:val="17"/>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spacing w:val="-3"/>
                <w:sz w:val="24"/>
                <w:szCs w:val="24"/>
              </w:rPr>
              <w:fldChar w:fldCharType="begin"/>
            </w:r>
            <w:r w:rsidRPr="00777BE5">
              <w:rPr>
                <w:rFonts w:ascii="Courier New" w:hAnsi="Courier New" w:cs="Courier New"/>
                <w:spacing w:val="-3"/>
                <w:sz w:val="24"/>
                <w:szCs w:val="24"/>
              </w:rPr>
              <w:instrText xml:space="preserve">PRIVATE </w:instrText>
            </w:r>
            <w:r w:rsidRPr="00777BE5">
              <w:rPr>
                <w:rFonts w:ascii="Courier New" w:hAnsi="Courier New" w:cs="Courier New"/>
                <w:spacing w:val="-3"/>
                <w:sz w:val="24"/>
                <w:szCs w:val="24"/>
              </w:rPr>
              <w:fldChar w:fldCharType="end"/>
            </w:r>
            <w:r w:rsidRPr="00777BE5">
              <w:rPr>
                <w:rFonts w:ascii="Courier New" w:hAnsi="Courier New" w:cs="Courier New"/>
                <w:b/>
                <w:bCs/>
                <w:spacing w:val="-1"/>
                <w:sz w:val="12"/>
                <w:szCs w:val="12"/>
              </w:rPr>
              <w:t xml:space="preserve">SEBRING GAS SYSTEMS, INC.                                                                                                                                                                                                                                    </w:t>
            </w:r>
            <w:r w:rsidRPr="00777BE5">
              <w:rPr>
                <w:rFonts w:ascii="Courier New" w:hAnsi="Courier New" w:cs="Courier New"/>
                <w:spacing w:val="-1"/>
                <w:sz w:val="12"/>
                <w:szCs w:val="12"/>
              </w:rPr>
              <w:t>Attachment B</w:t>
            </w:r>
          </w:p>
        </w:tc>
      </w:tr>
      <w:tr w:rsidR="00777BE5" w:rsidRPr="00777BE5" w:rsidTr="00777BE5">
        <w:trPr>
          <w:trHeight w:hRule="exact" w:val="153"/>
        </w:trPr>
        <w:tc>
          <w:tcPr>
            <w:tcW w:w="11408" w:type="dxa"/>
            <w:gridSpan w:val="17"/>
            <w:tcBorders>
              <w:top w:val="nil"/>
              <w:left w:val="nil"/>
              <w:bottom w:val="nil"/>
              <w:right w:val="nil"/>
            </w:tcBorders>
          </w:tcPr>
          <w:p w:rsidR="00202A09" w:rsidRPr="00777BE5" w:rsidRDefault="00202A09">
            <w:pPr>
              <w:widowControl/>
              <w:tabs>
                <w:tab w:val="left" w:pos="-1440"/>
                <w:tab w:val="left" w:pos="-720"/>
              </w:tabs>
              <w:suppressAutoHyphens/>
              <w:spacing w:before="13052"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1996 STUDY                                                                                                                                                                                                                                                           </w:t>
            </w:r>
          </w:p>
          <w:p w:rsidR="00202A09" w:rsidRPr="00777BE5" w:rsidRDefault="00202A09">
            <w:pPr>
              <w:widowControl/>
              <w:tabs>
                <w:tab w:val="left" w:pos="-1440"/>
                <w:tab w:val="left" w:pos="-720"/>
              </w:tabs>
              <w:suppressAutoHyphens/>
              <w:spacing w:after="13160" w:line="240" w:lineRule="atLeast"/>
              <w:jc w:val="both"/>
              <w:rPr>
                <w:rFonts w:ascii="Courier New" w:hAnsi="Courier New" w:cs="Courier New"/>
                <w:spacing w:val="-1"/>
                <w:sz w:val="12"/>
                <w:szCs w:val="12"/>
              </w:rPr>
            </w:pPr>
          </w:p>
        </w:tc>
      </w:tr>
      <w:tr w:rsidR="00777BE5" w:rsidRPr="00777BE5" w:rsidTr="00777BE5">
        <w:trPr>
          <w:trHeight w:hRule="exact" w:val="153"/>
        </w:trPr>
        <w:tc>
          <w:tcPr>
            <w:tcW w:w="11408" w:type="dxa"/>
            <w:gridSpan w:val="17"/>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COMPARISON OF EXPENSES                                                                                                                                                                                                                                                              </w:t>
            </w:r>
          </w:p>
        </w:tc>
      </w:tr>
      <w:tr w:rsidR="00777BE5" w:rsidRPr="00777BE5" w:rsidTr="00777BE5">
        <w:trPr>
          <w:trHeight w:hRule="exact" w:val="153"/>
        </w:trPr>
        <w:tc>
          <w:tcPr>
            <w:tcW w:w="11408" w:type="dxa"/>
            <w:gridSpan w:val="17"/>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p>
        </w:tc>
      </w:tr>
      <w:tr w:rsidR="00777BE5" w:rsidRPr="00777BE5" w:rsidTr="00777BE5">
        <w:trPr>
          <w:trHeight w:hRule="exact" w:val="153"/>
        </w:trPr>
        <w:tc>
          <w:tcPr>
            <w:tcW w:w="11408" w:type="dxa"/>
            <w:gridSpan w:val="17"/>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777BE5" w:rsidRPr="00777BE5" w:rsidTr="00777BE5">
        <w:trPr>
          <w:trHeight w:hRule="exact" w:val="145"/>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734" w:type="dxa"/>
            <w:gridSpan w:val="3"/>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CURRENT</w:t>
            </w:r>
          </w:p>
        </w:tc>
        <w:tc>
          <w:tcPr>
            <w:tcW w:w="266"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791" w:type="dxa"/>
            <w:gridSpan w:val="5"/>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COMPANY  &amp; STAFF RECOMMENDED</w:t>
            </w:r>
          </w:p>
        </w:tc>
        <w:tc>
          <w:tcPr>
            <w:tcW w:w="337"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single" w:sz="15" w:space="0" w:color="auto"/>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single" w:sz="15" w:space="0" w:color="auto"/>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single" w:sz="15" w:space="0" w:color="auto"/>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single" w:sz="15" w:space="0" w:color="auto"/>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single" w:sz="15" w:space="0" w:color="auto"/>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single" w:sz="15" w:space="0" w:color="auto"/>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single" w:sz="15" w:space="0" w:color="auto"/>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2"/>
        </w:trPr>
        <w:tc>
          <w:tcPr>
            <w:tcW w:w="843"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ACCOUNT</w:t>
            </w: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01/01/97</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01/01/97</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CHANGE</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ESTIMATED</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ESTIMATED</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ESTIMATED</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IN</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46"/>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INVESTMENT</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RESERVE</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RATE</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EXPENSES</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RATE</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EXPENSES</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center"/>
              <w:rPr>
                <w:rFonts w:ascii="Courier New" w:hAnsi="Courier New" w:cs="Courier New"/>
                <w:spacing w:val="-1"/>
                <w:sz w:val="12"/>
                <w:szCs w:val="12"/>
              </w:rPr>
            </w:pPr>
            <w:r w:rsidRPr="00777BE5">
              <w:rPr>
                <w:rFonts w:ascii="Courier New" w:hAnsi="Courier New" w:cs="Courier New"/>
                <w:b/>
                <w:bCs/>
                <w:spacing w:val="-1"/>
                <w:sz w:val="12"/>
                <w:szCs w:val="12"/>
              </w:rPr>
              <w:t>EXPENSES</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777BE5" w:rsidRPr="00777BE5" w:rsidTr="00777BE5">
        <w:trPr>
          <w:trHeight w:hRule="exact" w:val="151"/>
        </w:trPr>
        <w:tc>
          <w:tcPr>
            <w:tcW w:w="3935" w:type="dxa"/>
            <w:gridSpan w:val="2"/>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DISTRIBUTION PLANT</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376.1 - Mains - Steel</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172,022</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136,592</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3,440</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4,989</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1,549</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376.2 - Mains - Plastic</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647,610</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171,812</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3.2</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20,724</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19,428</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(1,296)</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378 - Measuring and Regulating Equipment - General</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10,627</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7,970</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266</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117</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(149)</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777BE5" w:rsidRPr="00777BE5" w:rsidT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51" w:type="dxa"/>
            <w:gridSpan w:val="2"/>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379 - Measuring and Regulating Equipment - City Gate</w:t>
            </w: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63,702</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21,584</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3.1</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1,975</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2.6</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1,656</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(319)</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380.1 - Services - Steel</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369,921</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359,130</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2.5</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9,248</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11,098</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1,850</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380.2 - Services - Plastic</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112,143</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52,816</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3.8</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4,261</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3,252</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(1,009)</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381 - Meters</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118,796</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58,509</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3.7</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4,395</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3,920</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(475)</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382 - Meter Installations</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41,724</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24,116</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2.3</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960</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876</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(84)</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383 - House Regulators</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27,204</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10,818</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789</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2.7</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735</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(54)</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384 - House Regulator Installation</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37,425</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23,771</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2.2</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823</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1.9</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711</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(112)</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386 - Property on Customers'   Premises</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68,154</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12,268</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5.0</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3,408</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3,203</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(205)</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48"/>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387 - Other Equipment</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3,736</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1,458</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4.1</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153</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123</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Total Distribution Plant</w:t>
            </w:r>
          </w:p>
        </w:tc>
        <w:tc>
          <w:tcPr>
            <w:tcW w:w="259"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1,673,063</w:t>
            </w:r>
          </w:p>
        </w:tc>
        <w:tc>
          <w:tcPr>
            <w:tcW w:w="117"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880,844</w:t>
            </w:r>
          </w:p>
        </w:tc>
        <w:tc>
          <w:tcPr>
            <w:tcW w:w="237"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852" w:type="dxa"/>
            <w:tcBorders>
              <w:top w:val="nil"/>
              <w:left w:val="single" w:sz="7" w:space="0" w:color="auto"/>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50,442</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50,108</w:t>
            </w:r>
          </w:p>
        </w:tc>
        <w:tc>
          <w:tcPr>
            <w:tcW w:w="134"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(334)</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777BE5" w:rsidRPr="00777BE5" w:rsidTr="00777BE5">
        <w:trPr>
          <w:trHeight w:hRule="exact" w:val="151"/>
        </w:trPr>
        <w:tc>
          <w:tcPr>
            <w:tcW w:w="3935" w:type="dxa"/>
            <w:gridSpan w:val="2"/>
            <w:tcBorders>
              <w:top w:val="single" w:sz="7" w:space="0" w:color="auto"/>
              <w:left w:val="single" w:sz="7" w:space="0" w:color="auto"/>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GENERAL PLANT</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 xml:space="preserve">391.1 - Office Furniture </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1,896</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396</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5.6</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106</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5.7</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108</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 xml:space="preserve">391.2 - Office Equipment </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13,024</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3,328</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16.7</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2,175</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15.8</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2,058</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(117)</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392.2 -  Transportation -  Trucks</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39,219</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21,917</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13.1</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5,138</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9.7</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3,804</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(1,334)</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394 - Tools, Shop &amp; Garage Equipment</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7,128</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2,115</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6.7</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478</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6.8</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485</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48"/>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396 - Power Operated Equipment</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1,444</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1,271</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6.1</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88</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2.1</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30</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(58)</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Total General Plant</w:t>
            </w: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62,712</w:t>
            </w: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29,027</w:t>
            </w: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7,985</w:t>
            </w: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6,485</w:t>
            </w: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(1,500)</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41"/>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both"/>
              <w:rPr>
                <w:rFonts w:ascii="Courier New" w:hAnsi="Courier New" w:cs="Courier New"/>
                <w:spacing w:val="-1"/>
                <w:sz w:val="12"/>
                <w:szCs w:val="12"/>
              </w:rPr>
            </w:pPr>
            <w:r w:rsidRPr="00777BE5">
              <w:rPr>
                <w:rFonts w:ascii="Courier New" w:hAnsi="Courier New" w:cs="Courier New"/>
                <w:b/>
                <w:bCs/>
                <w:spacing w:val="-1"/>
                <w:sz w:val="12"/>
                <w:szCs w:val="12"/>
              </w:rPr>
              <w:t xml:space="preserve"> </w:t>
            </w:r>
          </w:p>
        </w:tc>
        <w:tc>
          <w:tcPr>
            <w:tcW w:w="3092"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rPr>
                <w:rFonts w:ascii="Courier New" w:hAnsi="Courier New" w:cs="Courier New"/>
                <w:spacing w:val="-1"/>
                <w:sz w:val="12"/>
                <w:szCs w:val="12"/>
              </w:rPr>
            </w:pPr>
            <w:r w:rsidRPr="00777BE5">
              <w:rPr>
                <w:rFonts w:ascii="Courier New" w:hAnsi="Courier New" w:cs="Courier New"/>
                <w:spacing w:val="-1"/>
                <w:sz w:val="12"/>
                <w:szCs w:val="12"/>
              </w:rPr>
              <w:t>TOTAL PLANT</w:t>
            </w:r>
          </w:p>
        </w:tc>
        <w:tc>
          <w:tcPr>
            <w:tcW w:w="259"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double" w:sz="4"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1,735,774</w:t>
            </w:r>
          </w:p>
        </w:tc>
        <w:tc>
          <w:tcPr>
            <w:tcW w:w="117"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double" w:sz="4"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909,871</w:t>
            </w:r>
          </w:p>
        </w:tc>
        <w:tc>
          <w:tcPr>
            <w:tcW w:w="237"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single" w:sz="7"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single" w:sz="7"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58,427</w:t>
            </w:r>
          </w:p>
        </w:tc>
        <w:tc>
          <w:tcPr>
            <w:tcW w:w="266" w:type="dxa"/>
            <w:tcBorders>
              <w:top w:val="nil"/>
              <w:left w:val="nil"/>
              <w:bottom w:val="nil"/>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single" w:sz="7"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single" w:sz="7"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56,593</w:t>
            </w:r>
          </w:p>
        </w:tc>
        <w:tc>
          <w:tcPr>
            <w:tcW w:w="134" w:type="dxa"/>
            <w:tcBorders>
              <w:top w:val="nil"/>
              <w:left w:val="nil"/>
              <w:bottom w:val="single" w:sz="7" w:space="0" w:color="auto"/>
              <w:right w:val="nil"/>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single" w:sz="7" w:space="0" w:color="auto"/>
              <w:right w:val="single" w:sz="7" w:space="0" w:color="auto"/>
            </w:tcBorders>
            <w:shd w:val="pct10" w:color="auto" w:fill="auto"/>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r w:rsidRPr="00777BE5">
              <w:rPr>
                <w:rFonts w:ascii="Courier New" w:hAnsi="Courier New" w:cs="Courier New"/>
                <w:b/>
                <w:bCs/>
                <w:spacing w:val="-1"/>
                <w:sz w:val="12"/>
                <w:szCs w:val="12"/>
              </w:rPr>
              <w:t>(1,834)</w:t>
            </w: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48"/>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single" w:sz="7" w:space="0" w:color="auto"/>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single" w:sz="7" w:space="0" w:color="auto"/>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r w:rsidR="00202A09" w:rsidRPr="00777BE5">
        <w:trPr>
          <w:trHeight w:hRule="exact" w:val="153"/>
        </w:trPr>
        <w:tc>
          <w:tcPr>
            <w:tcW w:w="843"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09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5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02"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1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3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852"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0"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2"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26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66" w:type="dxa"/>
            <w:tcBorders>
              <w:top w:val="nil"/>
              <w:left w:val="single" w:sz="7" w:space="0" w:color="auto"/>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29"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986"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134"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776" w:type="dxa"/>
            <w:tcBorders>
              <w:top w:val="nil"/>
              <w:left w:val="nil"/>
              <w:bottom w:val="nil"/>
              <w:right w:val="single" w:sz="7" w:space="0" w:color="auto"/>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c>
          <w:tcPr>
            <w:tcW w:w="337" w:type="dxa"/>
            <w:tcBorders>
              <w:top w:val="nil"/>
              <w:left w:val="nil"/>
              <w:bottom w:val="nil"/>
              <w:right w:val="nil"/>
            </w:tcBorders>
          </w:tcPr>
          <w:p w:rsidR="00202A09" w:rsidRPr="00777BE5" w:rsidRDefault="00202A09">
            <w:pPr>
              <w:widowControl/>
              <w:tabs>
                <w:tab w:val="left" w:pos="-1440"/>
                <w:tab w:val="left" w:pos="-720"/>
              </w:tabs>
              <w:suppressAutoHyphens/>
              <w:spacing w:before="13052" w:after="13160" w:line="240" w:lineRule="atLeast"/>
              <w:jc w:val="right"/>
              <w:rPr>
                <w:rFonts w:ascii="Courier New" w:hAnsi="Courier New" w:cs="Courier New"/>
                <w:spacing w:val="-1"/>
                <w:sz w:val="12"/>
                <w:szCs w:val="12"/>
              </w:rPr>
            </w:pPr>
          </w:p>
        </w:tc>
      </w:tr>
    </w:tbl>
    <w:p w:rsidR="000A79CC" w:rsidRDefault="00202A09" w:rsidP="00202A09">
      <w:pPr>
        <w:widowControl/>
        <w:tabs>
          <w:tab w:val="left" w:pos="-1440"/>
          <w:tab w:val="left" w:pos="-720"/>
        </w:tabs>
        <w:suppressAutoHyphens/>
        <w:spacing w:line="240" w:lineRule="atLeast"/>
        <w:jc w:val="both"/>
      </w:pPr>
      <w:r w:rsidRPr="00777BE5">
        <w:rPr>
          <w:rFonts w:ascii="Courier New" w:hAnsi="Courier New" w:cs="Courier New"/>
          <w:spacing w:val="-3"/>
          <w:sz w:val="24"/>
          <w:szCs w:val="24"/>
        </w:rPr>
        <w:br w:type="page"/>
      </w:r>
      <w:r>
        <w:rPr>
          <w:spacing w:val="-3"/>
          <w:sz w:val="24"/>
          <w:szCs w:val="24"/>
        </w:rPr>
        <w:lastRenderedPageBreak/>
        <w:br w:type="page"/>
      </w:r>
      <w:r>
        <w:rPr>
          <w:spacing w:val="-3"/>
          <w:sz w:val="24"/>
          <w:szCs w:val="24"/>
        </w:rPr>
        <w:lastRenderedPageBreak/>
        <w:br w:type="page"/>
      </w:r>
    </w:p>
    <w:sectPr w:rsidR="000A79CC" w:rsidSect="00202A09">
      <w:pgSz w:w="12240" w:h="15840"/>
      <w:pgMar w:top="1440" w:right="460" w:bottom="1440" w:left="36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09" w:rsidRDefault="00202A09">
      <w:pPr>
        <w:widowControl/>
        <w:spacing w:line="20" w:lineRule="exact"/>
        <w:rPr>
          <w:rFonts w:cstheme="minorBidi"/>
          <w:sz w:val="24"/>
          <w:szCs w:val="24"/>
        </w:rPr>
      </w:pPr>
    </w:p>
  </w:endnote>
  <w:endnote w:type="continuationSeparator" w:id="0">
    <w:p w:rsidR="00202A09" w:rsidRDefault="00202A09" w:rsidP="00202A09">
      <w:r>
        <w:rPr>
          <w:rFonts w:cstheme="minorBidi"/>
          <w:sz w:val="24"/>
          <w:szCs w:val="24"/>
        </w:rPr>
        <w:t xml:space="preserve"> </w:t>
      </w:r>
    </w:p>
  </w:endnote>
  <w:endnote w:type="continuationNotice" w:id="1">
    <w:p w:rsidR="00202A09" w:rsidRDefault="00202A09" w:rsidP="00202A0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09" w:rsidRDefault="00202A09">
    <w:pPr>
      <w:spacing w:before="140" w:line="100" w:lineRule="exact"/>
      <w:rPr>
        <w:rFonts w:cstheme="minorBidi"/>
        <w:sz w:val="10"/>
        <w:szCs w:val="10"/>
      </w:rPr>
    </w:pPr>
  </w:p>
  <w:p w:rsidR="00202A09" w:rsidRDefault="00202A09">
    <w:pPr>
      <w:widowControl/>
      <w:tabs>
        <w:tab w:val="left" w:pos="-1440"/>
        <w:tab w:val="left" w:pos="-720"/>
      </w:tabs>
      <w:suppressAutoHyphens/>
      <w:spacing w:line="240" w:lineRule="atLeast"/>
      <w:jc w:val="both"/>
      <w:rPr>
        <w:rFonts w:cstheme="minorBidi"/>
        <w:sz w:val="24"/>
        <w:szCs w:val="24"/>
      </w:rPr>
    </w:pPr>
  </w:p>
  <w:p w:rsidR="00202A09" w:rsidRDefault="00777BE5" w:rsidP="00202A0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2A09" w:rsidRPr="00777BE5" w:rsidRDefault="00202A09">
                          <w:pPr>
                            <w:tabs>
                              <w:tab w:val="center" w:pos="4680"/>
                              <w:tab w:val="right" w:pos="9360"/>
                            </w:tabs>
                            <w:rPr>
                              <w:rFonts w:ascii="Courier New" w:hAnsi="Courier New" w:cs="Courier New"/>
                              <w:spacing w:val="-3"/>
                              <w:sz w:val="24"/>
                              <w:szCs w:val="24"/>
                            </w:rPr>
                          </w:pPr>
                          <w:r>
                            <w:rPr>
                              <w:rFonts w:cstheme="minorBidi"/>
                              <w:sz w:val="24"/>
                              <w:szCs w:val="24"/>
                            </w:rPr>
                            <w:tab/>
                          </w:r>
                          <w:r w:rsidRPr="00777BE5">
                            <w:rPr>
                              <w:rFonts w:ascii="Courier New" w:hAnsi="Courier New" w:cs="Courier New"/>
                              <w:spacing w:val="-3"/>
                              <w:sz w:val="24"/>
                              <w:szCs w:val="24"/>
                            </w:rPr>
                            <w:noBreakHyphen/>
                            <w:t xml:space="preserve"> </w:t>
                          </w:r>
                          <w:r w:rsidRPr="00777BE5">
                            <w:rPr>
                              <w:rFonts w:ascii="Courier New" w:hAnsi="Courier New" w:cs="Courier New"/>
                              <w:spacing w:val="-3"/>
                              <w:sz w:val="24"/>
                              <w:szCs w:val="24"/>
                            </w:rPr>
                            <w:fldChar w:fldCharType="begin"/>
                          </w:r>
                          <w:r w:rsidRPr="00777BE5">
                            <w:rPr>
                              <w:rFonts w:ascii="Courier New" w:hAnsi="Courier New" w:cs="Courier New"/>
                              <w:spacing w:val="-3"/>
                              <w:sz w:val="24"/>
                              <w:szCs w:val="24"/>
                            </w:rPr>
                            <w:instrText>page \* arabic</w:instrText>
                          </w:r>
                          <w:r w:rsidRPr="00777BE5">
                            <w:rPr>
                              <w:rFonts w:ascii="Courier New" w:hAnsi="Courier New" w:cs="Courier New"/>
                              <w:spacing w:val="-3"/>
                              <w:sz w:val="24"/>
                              <w:szCs w:val="24"/>
                            </w:rPr>
                            <w:fldChar w:fldCharType="separate"/>
                          </w:r>
                          <w:r w:rsidR="00794A2D">
                            <w:rPr>
                              <w:rFonts w:ascii="Courier New" w:hAnsi="Courier New" w:cs="Courier New"/>
                              <w:noProof/>
                              <w:spacing w:val="-3"/>
                              <w:sz w:val="24"/>
                              <w:szCs w:val="24"/>
                            </w:rPr>
                            <w:t>2</w:t>
                          </w:r>
                          <w:r w:rsidRPr="00777BE5">
                            <w:rPr>
                              <w:rFonts w:ascii="Courier New" w:hAnsi="Courier New" w:cs="Courier New"/>
                              <w:spacing w:val="-3"/>
                              <w:sz w:val="24"/>
                              <w:szCs w:val="24"/>
                            </w:rPr>
                            <w:fldChar w:fldCharType="end"/>
                          </w:r>
                          <w:r w:rsidRPr="00777BE5">
                            <w:rPr>
                              <w:rFonts w:ascii="Courier New" w:hAnsi="Courier New" w:cs="Courier New"/>
                              <w:spacing w:val="-3"/>
                              <w:sz w:val="24"/>
                              <w:szCs w:val="24"/>
                            </w:rPr>
                            <w:t xml:space="preserve"> </w:t>
                          </w:r>
                          <w:r w:rsidRPr="00777BE5">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02A09" w:rsidRPr="00777BE5" w:rsidRDefault="00202A09">
                    <w:pPr>
                      <w:tabs>
                        <w:tab w:val="center" w:pos="4680"/>
                        <w:tab w:val="right" w:pos="9360"/>
                      </w:tabs>
                      <w:rPr>
                        <w:rFonts w:ascii="Courier New" w:hAnsi="Courier New" w:cs="Courier New"/>
                        <w:spacing w:val="-3"/>
                        <w:sz w:val="24"/>
                        <w:szCs w:val="24"/>
                      </w:rPr>
                    </w:pPr>
                    <w:r>
                      <w:rPr>
                        <w:rFonts w:cstheme="minorBidi"/>
                        <w:sz w:val="24"/>
                        <w:szCs w:val="24"/>
                      </w:rPr>
                      <w:tab/>
                    </w:r>
                    <w:r w:rsidRPr="00777BE5">
                      <w:rPr>
                        <w:rFonts w:ascii="Courier New" w:hAnsi="Courier New" w:cs="Courier New"/>
                        <w:spacing w:val="-3"/>
                        <w:sz w:val="24"/>
                        <w:szCs w:val="24"/>
                      </w:rPr>
                      <w:noBreakHyphen/>
                      <w:t xml:space="preserve"> </w:t>
                    </w:r>
                    <w:r w:rsidRPr="00777BE5">
                      <w:rPr>
                        <w:rFonts w:ascii="Courier New" w:hAnsi="Courier New" w:cs="Courier New"/>
                        <w:spacing w:val="-3"/>
                        <w:sz w:val="24"/>
                        <w:szCs w:val="24"/>
                      </w:rPr>
                      <w:fldChar w:fldCharType="begin"/>
                    </w:r>
                    <w:r w:rsidRPr="00777BE5">
                      <w:rPr>
                        <w:rFonts w:ascii="Courier New" w:hAnsi="Courier New" w:cs="Courier New"/>
                        <w:spacing w:val="-3"/>
                        <w:sz w:val="24"/>
                        <w:szCs w:val="24"/>
                      </w:rPr>
                      <w:instrText>page \* arabic</w:instrText>
                    </w:r>
                    <w:r w:rsidRPr="00777BE5">
                      <w:rPr>
                        <w:rFonts w:ascii="Courier New" w:hAnsi="Courier New" w:cs="Courier New"/>
                        <w:spacing w:val="-3"/>
                        <w:sz w:val="24"/>
                        <w:szCs w:val="24"/>
                      </w:rPr>
                      <w:fldChar w:fldCharType="separate"/>
                    </w:r>
                    <w:r w:rsidR="00794A2D">
                      <w:rPr>
                        <w:rFonts w:ascii="Courier New" w:hAnsi="Courier New" w:cs="Courier New"/>
                        <w:noProof/>
                        <w:spacing w:val="-3"/>
                        <w:sz w:val="24"/>
                        <w:szCs w:val="24"/>
                      </w:rPr>
                      <w:t>2</w:t>
                    </w:r>
                    <w:r w:rsidRPr="00777BE5">
                      <w:rPr>
                        <w:rFonts w:ascii="Courier New" w:hAnsi="Courier New" w:cs="Courier New"/>
                        <w:spacing w:val="-3"/>
                        <w:sz w:val="24"/>
                        <w:szCs w:val="24"/>
                      </w:rPr>
                      <w:fldChar w:fldCharType="end"/>
                    </w:r>
                    <w:r w:rsidRPr="00777BE5">
                      <w:rPr>
                        <w:rFonts w:ascii="Courier New" w:hAnsi="Courier New" w:cs="Courier New"/>
                        <w:spacing w:val="-3"/>
                        <w:sz w:val="24"/>
                        <w:szCs w:val="24"/>
                      </w:rPr>
                      <w:t xml:space="preserve"> </w:t>
                    </w:r>
                    <w:r w:rsidRPr="00777BE5">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09" w:rsidRDefault="00202A09" w:rsidP="00202A09">
      <w:r>
        <w:rPr>
          <w:rFonts w:cstheme="minorBidi"/>
          <w:sz w:val="24"/>
          <w:szCs w:val="24"/>
        </w:rPr>
        <w:separator/>
      </w:r>
    </w:p>
  </w:footnote>
  <w:footnote w:type="continuationSeparator" w:id="0">
    <w:p w:rsidR="00202A09" w:rsidRDefault="00202A09" w:rsidP="00202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DOCKET NO. 960775-GU</w:t>
    </w:r>
  </w:p>
  <w:p w:rsidR="00202A09" w:rsidRPr="00777BE5" w:rsidRDefault="00202A09">
    <w:pPr>
      <w:widowControl/>
      <w:tabs>
        <w:tab w:val="left" w:pos="-1440"/>
        <w:tab w:val="left" w:pos="-720"/>
      </w:tabs>
      <w:suppressAutoHyphens/>
      <w:spacing w:line="240" w:lineRule="atLeast"/>
      <w:jc w:val="both"/>
      <w:rPr>
        <w:rFonts w:ascii="Courier New" w:hAnsi="Courier New" w:cs="Courier New"/>
        <w:spacing w:val="-3"/>
        <w:sz w:val="24"/>
        <w:szCs w:val="24"/>
      </w:rPr>
    </w:pPr>
    <w:r w:rsidRPr="00777BE5">
      <w:rPr>
        <w:rFonts w:ascii="Courier New" w:hAnsi="Courier New" w:cs="Courier New"/>
        <w:spacing w:val="-3"/>
        <w:sz w:val="24"/>
        <w:szCs w:val="24"/>
      </w:rPr>
      <w:t>DATE: FEBRUARY 6, 1997</w:t>
    </w:r>
  </w:p>
  <w:p w:rsidR="00202A09" w:rsidRDefault="00202A0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09"/>
    <w:rsid w:val="000A79CC"/>
    <w:rsid w:val="00202A09"/>
    <w:rsid w:val="00777BE5"/>
    <w:rsid w:val="0079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02A0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02A09"/>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77BE5"/>
    <w:pPr>
      <w:tabs>
        <w:tab w:val="center" w:pos="4680"/>
        <w:tab w:val="right" w:pos="9360"/>
      </w:tabs>
    </w:pPr>
  </w:style>
  <w:style w:type="character" w:customStyle="1" w:styleId="HeaderChar">
    <w:name w:val="Header Char"/>
    <w:basedOn w:val="DefaultParagraphFont"/>
    <w:link w:val="Header"/>
    <w:uiPriority w:val="99"/>
    <w:rsid w:val="00777BE5"/>
    <w:rPr>
      <w:rFonts w:ascii="Courier" w:hAnsi="Courier" w:cs="Courier"/>
      <w:sz w:val="20"/>
      <w:szCs w:val="20"/>
    </w:rPr>
  </w:style>
  <w:style w:type="paragraph" w:styleId="Footer">
    <w:name w:val="footer"/>
    <w:basedOn w:val="Normal"/>
    <w:link w:val="FooterChar"/>
    <w:uiPriority w:val="99"/>
    <w:unhideWhenUsed/>
    <w:rsid w:val="00777BE5"/>
    <w:pPr>
      <w:tabs>
        <w:tab w:val="center" w:pos="4680"/>
        <w:tab w:val="right" w:pos="9360"/>
      </w:tabs>
    </w:pPr>
  </w:style>
  <w:style w:type="character" w:customStyle="1" w:styleId="FooterChar">
    <w:name w:val="Footer Char"/>
    <w:basedOn w:val="DefaultParagraphFont"/>
    <w:link w:val="Footer"/>
    <w:uiPriority w:val="99"/>
    <w:rsid w:val="00777BE5"/>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02A0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02A09"/>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77BE5"/>
    <w:pPr>
      <w:tabs>
        <w:tab w:val="center" w:pos="4680"/>
        <w:tab w:val="right" w:pos="9360"/>
      </w:tabs>
    </w:pPr>
  </w:style>
  <w:style w:type="character" w:customStyle="1" w:styleId="HeaderChar">
    <w:name w:val="Header Char"/>
    <w:basedOn w:val="DefaultParagraphFont"/>
    <w:link w:val="Header"/>
    <w:uiPriority w:val="99"/>
    <w:rsid w:val="00777BE5"/>
    <w:rPr>
      <w:rFonts w:ascii="Courier" w:hAnsi="Courier" w:cs="Courier"/>
      <w:sz w:val="20"/>
      <w:szCs w:val="20"/>
    </w:rPr>
  </w:style>
  <w:style w:type="paragraph" w:styleId="Footer">
    <w:name w:val="footer"/>
    <w:basedOn w:val="Normal"/>
    <w:link w:val="FooterChar"/>
    <w:uiPriority w:val="99"/>
    <w:unhideWhenUsed/>
    <w:rsid w:val="00777BE5"/>
    <w:pPr>
      <w:tabs>
        <w:tab w:val="center" w:pos="4680"/>
        <w:tab w:val="right" w:pos="9360"/>
      </w:tabs>
    </w:pPr>
  </w:style>
  <w:style w:type="character" w:customStyle="1" w:styleId="FooterChar">
    <w:name w:val="Footer Char"/>
    <w:basedOn w:val="DefaultParagraphFont"/>
    <w:link w:val="Footer"/>
    <w:uiPriority w:val="99"/>
    <w:rsid w:val="00777BE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2015-09-17T15:09:00Z</dcterms:created>
  <dcterms:modified xsi:type="dcterms:W3CDTF">2015-09-17T17:37:00Z</dcterms:modified>
</cp:coreProperties>
</file>