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C94" w:rsidRPr="00AC6AB6" w:rsidRDefault="00622C94">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tab/>
      </w:r>
      <w:r w:rsidRPr="00AC6AB6">
        <w:rPr>
          <w:rFonts w:ascii="Courier New" w:hAnsi="Courier New" w:cs="Courier New"/>
          <w:b/>
          <w:bCs/>
        </w:rPr>
        <w:t>FLORIDA PUBLIC SERVICE COMMISSION</w:t>
      </w:r>
    </w:p>
    <w:p w:rsidR="00622C94" w:rsidRPr="00AC6AB6" w:rsidRDefault="00622C94">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AC6AB6">
        <w:rPr>
          <w:rFonts w:ascii="Courier New" w:hAnsi="Courier New" w:cs="Courier New"/>
          <w:b/>
          <w:bCs/>
        </w:rPr>
        <w:tab/>
        <w:t xml:space="preserve">Capital Circle Office Center </w:t>
      </w:r>
      <w:r w:rsidRPr="00AC6AB6">
        <w:rPr>
          <w:rFonts w:ascii="Courier New" w:hAnsi="Courier New" w:cs="Courier New"/>
          <w:b/>
          <w:bCs/>
        </w:rPr>
        <w:sym w:font="WP TypographicSymbols" w:char="0021"/>
      </w:r>
      <w:r w:rsidRPr="00AC6AB6">
        <w:rPr>
          <w:rFonts w:ascii="Courier New" w:hAnsi="Courier New" w:cs="Courier New"/>
          <w:b/>
          <w:bCs/>
        </w:rPr>
        <w:t xml:space="preserve"> 2540 Shumard Oak Boulevard</w:t>
      </w:r>
    </w:p>
    <w:p w:rsidR="00622C94" w:rsidRPr="00AC6AB6" w:rsidRDefault="00622C94">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AC6AB6">
        <w:rPr>
          <w:rFonts w:ascii="Courier New" w:hAnsi="Courier New" w:cs="Courier New"/>
          <w:b/>
          <w:bCs/>
        </w:rPr>
        <w:tab/>
        <w:t>Tallahassee, Florida  32399-0850</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622C94" w:rsidRPr="00AC6AB6" w:rsidRDefault="00622C94">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AC6AB6">
        <w:rPr>
          <w:rFonts w:ascii="Courier New" w:hAnsi="Courier New" w:cs="Courier New"/>
          <w:b/>
          <w:bCs/>
        </w:rPr>
        <w:tab/>
      </w:r>
      <w:r w:rsidRPr="00AC6AB6">
        <w:rPr>
          <w:rFonts w:ascii="Courier New" w:hAnsi="Courier New" w:cs="Courier New"/>
          <w:b/>
          <w:bCs/>
          <w:u w:val="single"/>
        </w:rPr>
        <w:t>M</w:t>
      </w:r>
      <w:r w:rsidRPr="00AC6AB6">
        <w:rPr>
          <w:rFonts w:ascii="Courier New" w:hAnsi="Courier New" w:cs="Courier New"/>
          <w:b/>
          <w:bCs/>
        </w:rPr>
        <w:t xml:space="preserve"> </w:t>
      </w:r>
      <w:r w:rsidRPr="00AC6AB6">
        <w:rPr>
          <w:rFonts w:ascii="Courier New" w:hAnsi="Courier New" w:cs="Courier New"/>
          <w:b/>
          <w:bCs/>
          <w:u w:val="single"/>
        </w:rPr>
        <w:t>E</w:t>
      </w:r>
      <w:r w:rsidRPr="00AC6AB6">
        <w:rPr>
          <w:rFonts w:ascii="Courier New" w:hAnsi="Courier New" w:cs="Courier New"/>
          <w:b/>
          <w:bCs/>
        </w:rPr>
        <w:t xml:space="preserve"> </w:t>
      </w:r>
      <w:r w:rsidRPr="00AC6AB6">
        <w:rPr>
          <w:rFonts w:ascii="Courier New" w:hAnsi="Courier New" w:cs="Courier New"/>
          <w:b/>
          <w:bCs/>
          <w:u w:val="single"/>
        </w:rPr>
        <w:t>M</w:t>
      </w:r>
      <w:r w:rsidRPr="00AC6AB6">
        <w:rPr>
          <w:rFonts w:ascii="Courier New" w:hAnsi="Courier New" w:cs="Courier New"/>
          <w:b/>
          <w:bCs/>
        </w:rPr>
        <w:t xml:space="preserve"> </w:t>
      </w:r>
      <w:r w:rsidRPr="00AC6AB6">
        <w:rPr>
          <w:rFonts w:ascii="Courier New" w:hAnsi="Courier New" w:cs="Courier New"/>
          <w:b/>
          <w:bCs/>
          <w:u w:val="single"/>
        </w:rPr>
        <w:t>O</w:t>
      </w:r>
      <w:r w:rsidRPr="00AC6AB6">
        <w:rPr>
          <w:rFonts w:ascii="Courier New" w:hAnsi="Courier New" w:cs="Courier New"/>
          <w:b/>
          <w:bCs/>
        </w:rPr>
        <w:t xml:space="preserve"> </w:t>
      </w:r>
      <w:r w:rsidRPr="00AC6AB6">
        <w:rPr>
          <w:rFonts w:ascii="Courier New" w:hAnsi="Courier New" w:cs="Courier New"/>
          <w:b/>
          <w:bCs/>
          <w:u w:val="single"/>
        </w:rPr>
        <w:t>R</w:t>
      </w:r>
      <w:r w:rsidRPr="00AC6AB6">
        <w:rPr>
          <w:rFonts w:ascii="Courier New" w:hAnsi="Courier New" w:cs="Courier New"/>
          <w:b/>
          <w:bCs/>
        </w:rPr>
        <w:t xml:space="preserve"> </w:t>
      </w:r>
      <w:r w:rsidRPr="00AC6AB6">
        <w:rPr>
          <w:rFonts w:ascii="Courier New" w:hAnsi="Courier New" w:cs="Courier New"/>
          <w:b/>
          <w:bCs/>
          <w:u w:val="single"/>
        </w:rPr>
        <w:t>A</w:t>
      </w:r>
      <w:r w:rsidRPr="00AC6AB6">
        <w:rPr>
          <w:rFonts w:ascii="Courier New" w:hAnsi="Courier New" w:cs="Courier New"/>
          <w:b/>
          <w:bCs/>
        </w:rPr>
        <w:t xml:space="preserve"> </w:t>
      </w:r>
      <w:r w:rsidRPr="00AC6AB6">
        <w:rPr>
          <w:rFonts w:ascii="Courier New" w:hAnsi="Courier New" w:cs="Courier New"/>
          <w:b/>
          <w:bCs/>
          <w:u w:val="single"/>
        </w:rPr>
        <w:t>N</w:t>
      </w:r>
      <w:r w:rsidRPr="00AC6AB6">
        <w:rPr>
          <w:rFonts w:ascii="Courier New" w:hAnsi="Courier New" w:cs="Courier New"/>
          <w:b/>
          <w:bCs/>
        </w:rPr>
        <w:t xml:space="preserve"> </w:t>
      </w:r>
      <w:r w:rsidRPr="00AC6AB6">
        <w:rPr>
          <w:rFonts w:ascii="Courier New" w:hAnsi="Courier New" w:cs="Courier New"/>
          <w:b/>
          <w:bCs/>
          <w:u w:val="single"/>
        </w:rPr>
        <w:t>D</w:t>
      </w:r>
      <w:r w:rsidRPr="00AC6AB6">
        <w:rPr>
          <w:rFonts w:ascii="Courier New" w:hAnsi="Courier New" w:cs="Courier New"/>
          <w:b/>
          <w:bCs/>
        </w:rPr>
        <w:t xml:space="preserve"> </w:t>
      </w:r>
      <w:r w:rsidRPr="00AC6AB6">
        <w:rPr>
          <w:rFonts w:ascii="Courier New" w:hAnsi="Courier New" w:cs="Courier New"/>
          <w:b/>
          <w:bCs/>
          <w:u w:val="single"/>
        </w:rPr>
        <w:t>U</w:t>
      </w:r>
      <w:r w:rsidRPr="00AC6AB6">
        <w:rPr>
          <w:rFonts w:ascii="Courier New" w:hAnsi="Courier New" w:cs="Courier New"/>
          <w:b/>
          <w:bCs/>
        </w:rPr>
        <w:t xml:space="preserve"> </w:t>
      </w:r>
      <w:r w:rsidRPr="00AC6AB6">
        <w:rPr>
          <w:rFonts w:ascii="Courier New" w:hAnsi="Courier New" w:cs="Courier New"/>
          <w:b/>
          <w:bCs/>
          <w:u w:val="single"/>
        </w:rPr>
        <w:t>M</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622C94" w:rsidRPr="00AC6AB6" w:rsidRDefault="00622C94">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AC6AB6">
        <w:rPr>
          <w:rFonts w:ascii="Courier New" w:hAnsi="Courier New" w:cs="Courier New"/>
          <w:b/>
          <w:bCs/>
        </w:rPr>
        <w:tab/>
        <w:t>July 2, 1997</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AC6AB6">
        <w:rPr>
          <w:rFonts w:ascii="Courier New" w:hAnsi="Courier New" w:cs="Courier New"/>
          <w:b/>
          <w:bCs/>
        </w:rPr>
        <w:t>TO:</w:t>
      </w:r>
      <w:r w:rsidRPr="00AC6AB6">
        <w:rPr>
          <w:rFonts w:ascii="Courier New" w:hAnsi="Courier New" w:cs="Courier New"/>
          <w:b/>
          <w:bCs/>
        </w:rPr>
        <w:tab/>
      </w:r>
      <w:r w:rsidRPr="00AC6AB6">
        <w:rPr>
          <w:rFonts w:ascii="Courier New" w:hAnsi="Courier New" w:cs="Courier New"/>
          <w:b/>
          <w:bCs/>
        </w:rPr>
        <w:tab/>
        <w:t>DIRECTOR, DIVISION OF RECORDS AND REPORTING (BAYO)</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AC6AB6">
        <w:rPr>
          <w:rFonts w:ascii="Courier New" w:hAnsi="Courier New" w:cs="Courier New"/>
          <w:b/>
          <w:bCs/>
        </w:rPr>
        <w:t>FROM:</w:t>
      </w:r>
      <w:r w:rsidRPr="00AC6AB6">
        <w:rPr>
          <w:rFonts w:ascii="Courier New" w:hAnsi="Courier New" w:cs="Courier New"/>
          <w:b/>
          <w:bCs/>
        </w:rPr>
        <w:tab/>
        <w:t>DIVISION OF ELECTRIC &amp; GAS (FUTRELL, HARLOW, GING)</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ourier New" w:hAnsi="Courier New" w:cs="Courier New"/>
          <w:b/>
          <w:bCs/>
        </w:rPr>
      </w:pPr>
      <w:r w:rsidRPr="00AC6AB6">
        <w:rPr>
          <w:rFonts w:ascii="Courier New" w:hAnsi="Courier New" w:cs="Courier New"/>
          <w:b/>
          <w:bCs/>
        </w:rPr>
        <w:t>DIVISION OF LEGAL SERVICES (PAUGH)</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AC6AB6">
        <w:rPr>
          <w:rFonts w:ascii="Courier New" w:hAnsi="Courier New" w:cs="Courier New"/>
          <w:b/>
          <w:bCs/>
        </w:rPr>
        <w:t>RE:</w:t>
      </w:r>
      <w:r w:rsidRPr="00AC6AB6">
        <w:rPr>
          <w:rFonts w:ascii="Courier New" w:hAnsi="Courier New" w:cs="Courier New"/>
          <w:b/>
          <w:bCs/>
        </w:rPr>
        <w:tab/>
      </w:r>
      <w:r w:rsidRPr="00AC6AB6">
        <w:rPr>
          <w:rFonts w:ascii="Courier New" w:hAnsi="Courier New" w:cs="Courier New"/>
          <w:b/>
          <w:bCs/>
        </w:rPr>
        <w:tab/>
        <w:t>DOCKET NO. 970046-EI - ELECTRIC INVESTOR-OWNED UTILITIES - INVESTIGATION INTO THE APPROPRIATE COST RECOVERY OF MARGINALLY COST-EFFECTIVE ELECTRIC UTILITY SPONSORED DEMAND-SIDE MANAGEMENT PROGRAMS</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AC6AB6">
        <w:rPr>
          <w:rFonts w:ascii="Courier New" w:hAnsi="Courier New" w:cs="Courier New"/>
          <w:b/>
          <w:bCs/>
        </w:rPr>
        <w:t>AGENDA:</w:t>
      </w:r>
      <w:r w:rsidRPr="00AC6AB6">
        <w:rPr>
          <w:rFonts w:ascii="Courier New" w:hAnsi="Courier New" w:cs="Courier New"/>
          <w:b/>
          <w:bCs/>
        </w:rPr>
        <w:tab/>
        <w:t>07/15/97 - REGULAR AGENDA - FINAL ORDER - INTERESTED PERSONS MAY PARTICIPATE</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rPr>
          <w:rFonts w:ascii="Courier New" w:hAnsi="Courier New" w:cs="Courier New"/>
          <w:b/>
          <w:bCs/>
        </w:rPr>
      </w:pPr>
      <w:r w:rsidRPr="00AC6AB6">
        <w:rPr>
          <w:rFonts w:ascii="Courier New" w:hAnsi="Courier New" w:cs="Courier New"/>
          <w:b/>
          <w:bCs/>
        </w:rPr>
        <w:t>CRITICAL DATES:</w:t>
      </w:r>
      <w:r w:rsidRPr="00AC6AB6">
        <w:rPr>
          <w:rFonts w:ascii="Courier New" w:hAnsi="Courier New" w:cs="Courier New"/>
          <w:b/>
          <w:bCs/>
        </w:rPr>
        <w:tab/>
        <w:t>NONE</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AC6AB6">
        <w:rPr>
          <w:rFonts w:ascii="Courier New" w:hAnsi="Courier New" w:cs="Courier New"/>
          <w:b/>
          <w:bCs/>
        </w:rPr>
        <w:t>SPECIAL INSTRUCTIONS:</w:t>
      </w:r>
      <w:r w:rsidRPr="00AC6AB6">
        <w:rPr>
          <w:rFonts w:ascii="Courier New" w:hAnsi="Courier New" w:cs="Courier New"/>
          <w:b/>
          <w:bCs/>
        </w:rPr>
        <w:tab/>
        <w:t>S:\PSC\EAG\WP\970046EI.RCM</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b/>
          <w:bCs/>
        </w:rPr>
      </w:pPr>
      <w:r w:rsidRPr="00AC6AB6">
        <w:rPr>
          <w:rFonts w:ascii="Courier New" w:hAnsi="Courier New" w:cs="Courier New"/>
          <w:b/>
          <w:bCs/>
        </w:rPr>
        <w:t>ATTACHMENT NOT PART OF THE ELECTRONICALLY TRANSMITTED VERSION.</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AC6AB6">
        <w:rPr>
          <w:rFonts w:ascii="Courier New" w:hAnsi="Courier New" w:cs="Courier New"/>
          <w:b/>
          <w:bCs/>
          <w:u w:val="single"/>
        </w:rPr>
        <w:t xml:space="preserve">                                                                 </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622C94" w:rsidRPr="00AC6AB6" w:rsidRDefault="00622C94">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rPr>
      </w:pPr>
      <w:r w:rsidRPr="00AC6AB6">
        <w:rPr>
          <w:rFonts w:ascii="Courier New" w:hAnsi="Courier New" w:cs="Courier New"/>
        </w:rPr>
        <w:tab/>
      </w:r>
      <w:r w:rsidRPr="00AC6AB6">
        <w:rPr>
          <w:rFonts w:ascii="Courier New" w:hAnsi="Courier New" w:cs="Courier New"/>
          <w:b/>
          <w:bCs/>
          <w:u w:val="single"/>
        </w:rPr>
        <w:t>CASE BACKGROUND</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AC6AB6">
        <w:rPr>
          <w:rFonts w:ascii="Courier New" w:hAnsi="Courier New" w:cs="Courier New"/>
        </w:rPr>
        <w:t>On November 1, 1995, in Order No. PSC-95-1343-S-EG, the Commission voted to initiate a management review to address the following questions, among others:</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rFonts w:ascii="Courier New" w:hAnsi="Courier New" w:cs="Courier New"/>
        </w:rPr>
      </w:pPr>
      <w:r w:rsidRPr="00AC6AB6">
        <w:rPr>
          <w:rFonts w:ascii="Courier New" w:hAnsi="Courier New" w:cs="Courier New"/>
        </w:rPr>
        <w:t>1.  Whether the implementation of conservation programs by the electric and gas utilities, particularly for commercial/industrial (C/I) customers, has complied with the Commission's policy of fuel neutrality.</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rFonts w:ascii="Courier New" w:hAnsi="Courier New" w:cs="Courier New"/>
        </w:rPr>
      </w:pPr>
      <w:r w:rsidRPr="00AC6AB6">
        <w:rPr>
          <w:rFonts w:ascii="Courier New" w:hAnsi="Courier New" w:cs="Courier New"/>
        </w:rPr>
        <w:t>2.  Whether the conservation programs of the electric and gas utilities, particularly for C/I customers, have resulted in the increased usage of electricity and natural gas.</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622C94" w:rsidRPr="00AC6AB6">
          <w:headerReference w:type="default" r:id="rId8"/>
          <w:pgSz w:w="12240" w:h="15840"/>
          <w:pgMar w:top="1440" w:right="1440" w:bottom="1440" w:left="1440" w:header="1440" w:footer="1440" w:gutter="0"/>
          <w:cols w:space="720"/>
          <w:noEndnote/>
        </w:sect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AC6AB6">
        <w:rPr>
          <w:rFonts w:ascii="Courier New" w:hAnsi="Courier New" w:cs="Courier New"/>
        </w:rPr>
        <w:lastRenderedPageBreak/>
        <w:t xml:space="preserve">In September 1996, the Division of Research and Regulatory Review (RRR) published its </w:t>
      </w:r>
      <w:r w:rsidRPr="00AC6AB6">
        <w:rPr>
          <w:rFonts w:ascii="Courier New" w:hAnsi="Courier New" w:cs="Courier New"/>
        </w:rPr>
        <w:sym w:font="WP TypographicSymbols" w:char="0041"/>
      </w:r>
      <w:r w:rsidRPr="00AC6AB6">
        <w:rPr>
          <w:rFonts w:ascii="Courier New" w:hAnsi="Courier New" w:cs="Courier New"/>
        </w:rPr>
        <w:t>Review of Commercial/Industrial Demand-Side Management Programs of Six Florida Utilities.</w:t>
      </w:r>
      <w:r w:rsidRPr="00AC6AB6">
        <w:rPr>
          <w:rFonts w:ascii="Courier New" w:hAnsi="Courier New" w:cs="Courier New"/>
        </w:rPr>
        <w:sym w:font="WP TypographicSymbols" w:char="0040"/>
      </w:r>
      <w:r w:rsidRPr="00AC6AB6">
        <w:rPr>
          <w:rFonts w:ascii="Courier New" w:hAnsi="Courier New" w:cs="Courier New"/>
        </w:rPr>
        <w:t xml:space="preserve">  This report in part analyzed the C/I Demand-Side Management (DSM) programs of the four largest investor-owned electric utilities (IOUs), and the two largest gas distribution utilities.  The report also examined the effect of C/I DSM programs on the competitive relationship between the electric and gas industries.  One of the conclusions from the study is that the promotion, advertising, and operation of C/I DSM programs play significant roles in the competition between the electric and natural gas utilities examined.  It was concluded that Florida Power and Light Company (FPL) takes an aggressive stance that counters the gas industry's marketing of newly developed natural gas appliances.  Some of FPL's advertising was determined not to be fuel neutral.  Examples are included in Attachment A.  The costs for these two advertisements were paid by customers through FPL</w:t>
      </w:r>
      <w:r w:rsidRPr="00AC6AB6">
        <w:rPr>
          <w:rFonts w:ascii="Courier New" w:hAnsi="Courier New" w:cs="Courier New"/>
        </w:rPr>
        <w:sym w:font="WP TypographicSymbols" w:char="003D"/>
      </w:r>
      <w:r w:rsidRPr="00AC6AB6">
        <w:rPr>
          <w:rFonts w:ascii="Courier New" w:hAnsi="Courier New" w:cs="Courier New"/>
        </w:rPr>
        <w:t>s conservation cost recovery clause.  The RRR report does not show similarly aggressive use of DSM against natural gas by other utilities.  The fact that electricity and natural gas compete for certain customer end-uses is apparent.</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rFonts w:ascii="Courier New" w:hAnsi="Courier New" w:cs="Courier New"/>
        </w:rPr>
      </w:pPr>
      <w:r w:rsidRPr="00AC6AB6">
        <w:rPr>
          <w:rFonts w:ascii="Courier New" w:hAnsi="Courier New" w:cs="Courier New"/>
        </w:rPr>
        <w:t>In staff's opinion, it is unrealistic to expect DSM programs to have no effect on the competitive balance, or to expect such programs would not be used as marketing tools....However, the customers targeted by commercial/industrial DSM programs are frequently well-informed energy consumers who are capable of evaluating the claims made by competing energy providers.  Many of these customers rely upon the expertise of an on-staff facilities engineer or outside energy services company to control energy-related costs, and are less likely to be confused or misled by an energy providers proposal.</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rFonts w:ascii="Courier New" w:hAnsi="Courier New" w:cs="Courier New"/>
        </w:rPr>
      </w:pPr>
      <w:r w:rsidRPr="00AC6AB6">
        <w:rPr>
          <w:rFonts w:ascii="Courier New" w:hAnsi="Courier New" w:cs="Courier New"/>
        </w:rPr>
        <w:sym w:font="WP TypographicSymbols" w:char="0041"/>
      </w:r>
      <w:r w:rsidRPr="00AC6AB6">
        <w:rPr>
          <w:rFonts w:ascii="Courier New" w:hAnsi="Courier New" w:cs="Courier New"/>
        </w:rPr>
        <w:t>Review of Commercial/Industrial Demand-Side Management Programs of Six Florida Utilities</w:t>
      </w:r>
      <w:r w:rsidRPr="00AC6AB6">
        <w:rPr>
          <w:rFonts w:ascii="Courier New" w:hAnsi="Courier New" w:cs="Courier New"/>
        </w:rPr>
        <w:sym w:font="WP TypographicSymbols" w:char="0040"/>
      </w:r>
      <w:r w:rsidRPr="00AC6AB6">
        <w:rPr>
          <w:rFonts w:ascii="Courier New" w:hAnsi="Courier New" w:cs="Courier New"/>
        </w:rPr>
        <w:t>, page 79.</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AC6AB6">
        <w:rPr>
          <w:rFonts w:ascii="Courier New" w:hAnsi="Courier New" w:cs="Courier New"/>
        </w:rPr>
        <w:t>In November 1996, in Docket No. 960002-EG, the Energy Conservation Cost Recovery (ECCR) docket, discovery responses were received from the four largest electric IOUs with the then current estimates of DSM program cost effectiveness.  The responses showed that at that time, the cost effectiveness of many programs, particularly those of FPL and Gulf Power had fallen below 1.0 for the Rate Impact Measure (RIM) test.  FPL has subsequently filed for modification of seven programs with marginally cost-effective RIM ratios, and termination of two programs that were less than 1.0 RIM.</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622C94" w:rsidRPr="00AC6AB6">
          <w:headerReference w:type="default" r:id="rId9"/>
          <w:footerReference w:type="default" r:id="rId10"/>
          <w:type w:val="continuous"/>
          <w:pgSz w:w="12240" w:h="15840"/>
          <w:pgMar w:top="1440" w:right="1440" w:bottom="1440" w:left="1440" w:header="1440" w:footer="1440" w:gutter="0"/>
          <w:cols w:space="720"/>
          <w:noEndnote/>
        </w:sect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AC6AB6">
        <w:rPr>
          <w:rFonts w:ascii="Courier New" w:hAnsi="Courier New" w:cs="Courier New"/>
        </w:rPr>
        <w:lastRenderedPageBreak/>
        <w:t>In January 1997, the Commission considered approval of two FPL research projects and FPL</w:t>
      </w:r>
      <w:r w:rsidRPr="00AC6AB6">
        <w:rPr>
          <w:rFonts w:ascii="Courier New" w:hAnsi="Courier New" w:cs="Courier New"/>
        </w:rPr>
        <w:sym w:font="WP TypographicSymbols" w:char="003D"/>
      </w:r>
      <w:r w:rsidRPr="00AC6AB6">
        <w:rPr>
          <w:rFonts w:ascii="Courier New" w:hAnsi="Courier New" w:cs="Courier New"/>
        </w:rPr>
        <w:t>s Buildsmart program.  Staff recommended that if the Commission approved the petitions, FPL should allocate the costs to the rate class(es) to which the research projects and program were targeted.  This position was taken as a result of the findings of the RRR report and the declining RIM cost-effectiveness of many DSM programs, particularly those of FPL and Gulf.  Program costs that are recovered through the ECCR should not be used as marketing tools or to position a utility for competition in a retail access environment.  The incentive to use DSM and the associated cost recovery for these purposes is lessened by allocating program costs to the customer class that is eligible to participate in the program.  Allocating cost recovery of programs to rate classes with "at-risk" customers reduces the incentive for utilities to use DSM for competitive purposes because doing so raises the rates of the "at-risk" customers.  The Commission did not approve staff</w:t>
      </w:r>
      <w:r w:rsidRPr="00AC6AB6">
        <w:rPr>
          <w:rFonts w:ascii="Courier New" w:hAnsi="Courier New" w:cs="Courier New"/>
        </w:rPr>
        <w:sym w:font="WP TypographicSymbols" w:char="003D"/>
      </w:r>
      <w:r w:rsidRPr="00AC6AB6">
        <w:rPr>
          <w:rFonts w:ascii="Courier New" w:hAnsi="Courier New" w:cs="Courier New"/>
        </w:rPr>
        <w:t>s recommendation, but directed staff to open a docket to further investigate these issues.</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622C94" w:rsidRPr="00AC6AB6" w:rsidRDefault="00622C94">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rPr>
      </w:pPr>
      <w:r w:rsidRPr="00AC6AB6">
        <w:rPr>
          <w:rFonts w:ascii="Courier New" w:hAnsi="Courier New" w:cs="Courier New"/>
        </w:rPr>
        <w:tab/>
      </w:r>
      <w:r w:rsidRPr="00AC6AB6">
        <w:rPr>
          <w:rFonts w:ascii="Courier New" w:hAnsi="Courier New" w:cs="Courier New"/>
          <w:b/>
          <w:bCs/>
          <w:u w:val="single"/>
        </w:rPr>
        <w:t>DISCUSSION OF ISSUES</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AC6AB6">
        <w:rPr>
          <w:rFonts w:ascii="Courier New" w:hAnsi="Courier New" w:cs="Courier New"/>
          <w:b/>
          <w:bCs/>
          <w:u w:val="single"/>
        </w:rPr>
        <w:t xml:space="preserve">ISSUE </w:t>
      </w:r>
      <w:r w:rsidRPr="00AC6AB6">
        <w:rPr>
          <w:rFonts w:ascii="Courier New" w:hAnsi="Courier New" w:cs="Courier New"/>
          <w:b/>
          <w:bCs/>
          <w:u w:val="single"/>
        </w:rPr>
        <w:fldChar w:fldCharType="begin"/>
      </w:r>
      <w:r w:rsidRPr="00AC6AB6">
        <w:rPr>
          <w:rFonts w:ascii="Courier New" w:hAnsi="Courier New" w:cs="Courier New"/>
          <w:b/>
          <w:bCs/>
          <w:u w:val="single"/>
        </w:rPr>
        <w:instrText>LISTNUM 1 \l 1</w:instrText>
      </w:r>
      <w:r w:rsidRPr="00AC6AB6">
        <w:rPr>
          <w:rFonts w:ascii="Courier New" w:hAnsi="Courier New" w:cs="Courier New"/>
          <w:b/>
          <w:bCs/>
          <w:u w:val="single"/>
        </w:rPr>
        <w:fldChar w:fldCharType="end"/>
      </w:r>
      <w:r w:rsidRPr="00AC6AB6">
        <w:rPr>
          <w:rFonts w:ascii="Courier New" w:hAnsi="Courier New" w:cs="Courier New"/>
          <w:b/>
          <w:bCs/>
        </w:rPr>
        <w:t>:</w:t>
      </w:r>
      <w:r w:rsidRPr="00AC6AB6">
        <w:rPr>
          <w:rFonts w:ascii="Courier New" w:hAnsi="Courier New" w:cs="Courier New"/>
        </w:rPr>
        <w:t xml:space="preserve">  Should this docket be closed?</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AC6AB6">
        <w:rPr>
          <w:rFonts w:ascii="Courier New" w:hAnsi="Courier New" w:cs="Courier New"/>
          <w:b/>
          <w:bCs/>
          <w:u w:val="single"/>
        </w:rPr>
        <w:t>RECOMMENDATION</w:t>
      </w:r>
      <w:r w:rsidRPr="00AC6AB6">
        <w:rPr>
          <w:rFonts w:ascii="Courier New" w:hAnsi="Courier New" w:cs="Courier New"/>
          <w:b/>
          <w:bCs/>
        </w:rPr>
        <w:t>:</w:t>
      </w:r>
      <w:r w:rsidRPr="00AC6AB6">
        <w:rPr>
          <w:rFonts w:ascii="Courier New" w:hAnsi="Courier New" w:cs="Courier New"/>
        </w:rPr>
        <w:t xml:space="preserve">  Yes.  Greater monitoring of utility DSM program claimed kW and kWh savings and various avoided cost assumptions, and greater monitoring by staff of DSM program cost-effectiveness ratios should be more effective than allocating DSM costs to rate classes. [FUTRELL]</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AC6AB6">
        <w:rPr>
          <w:rFonts w:ascii="Courier New" w:hAnsi="Courier New" w:cs="Courier New"/>
          <w:b/>
          <w:bCs/>
          <w:u w:val="single"/>
        </w:rPr>
        <w:t>STAFF ANALYSIS</w:t>
      </w:r>
      <w:r w:rsidRPr="00AC6AB6">
        <w:rPr>
          <w:rFonts w:ascii="Courier New" w:hAnsi="Courier New" w:cs="Courier New"/>
          <w:b/>
          <w:bCs/>
        </w:rPr>
        <w:t>:</w:t>
      </w:r>
      <w:r w:rsidRPr="00AC6AB6">
        <w:rPr>
          <w:rFonts w:ascii="Courier New" w:hAnsi="Courier New" w:cs="Courier New"/>
        </w:rPr>
        <w:t xml:space="preserve"> On May 7, 1997 a workshop was held to develop and discuss issues, and possible solutions of the competitive uses of DSM programs.  At the workshop, staff reiterated the findings of the RRR report, and the cost-effectiveness ratios of DSM programs as filed in November 1996.  Staff also presented its idea of allocating DSM program cost to those rate classes eligible to participate for programs with a RIM ratio of greater than 1.0 but less than 1.2.  The parties questioned whether what was perceived by staff to be a problem, that is the competitive use of DSM programs funded through the ECCR clause, was in fact a problem.  Concern was </w:t>
      </w:r>
      <w:r w:rsidRPr="00AC6AB6">
        <w:rPr>
          <w:rFonts w:ascii="Courier New" w:hAnsi="Courier New" w:cs="Courier New"/>
        </w:rPr>
        <w:lastRenderedPageBreak/>
        <w:t>also expressed that establishing a threshold for general cost recovery through the ECCR (greater than 1.2) would  become the de facto threshold for all programs proposed by the utilities.  Participants were requested to file comments on their positions and to respond to questions posed by staff.</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AC6AB6">
        <w:rPr>
          <w:rFonts w:ascii="Courier New" w:hAnsi="Courier New" w:cs="Courier New"/>
        </w:rPr>
        <w:t>The responses were generally in opposition to staff</w:t>
      </w:r>
      <w:r w:rsidRPr="00AC6AB6">
        <w:rPr>
          <w:rFonts w:ascii="Courier New" w:hAnsi="Courier New" w:cs="Courier New"/>
        </w:rPr>
        <w:sym w:font="WP TypographicSymbols" w:char="003D"/>
      </w:r>
      <w:r w:rsidRPr="00AC6AB6">
        <w:rPr>
          <w:rFonts w:ascii="Courier New" w:hAnsi="Courier New" w:cs="Courier New"/>
        </w:rPr>
        <w:t>s proposal.  Specifically, parties questioned the linkage of the unavoidable competitive effect of DSM programs and changing cost allocation as a means of addressing the effect.  Parties did acknowledge that DSM program cost-effectiveness can be better assured through greater monitoring.</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622C94" w:rsidRPr="00AC6AB6">
          <w:headerReference w:type="default" r:id="rId11"/>
          <w:type w:val="continuous"/>
          <w:pgSz w:w="12240" w:h="15840"/>
          <w:pgMar w:top="1440" w:right="1440" w:bottom="1440" w:left="1440" w:header="1440" w:footer="1440" w:gutter="0"/>
          <w:cols w:space="720"/>
          <w:noEndnote/>
        </w:sectPr>
      </w:pP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AC6AB6">
        <w:rPr>
          <w:rFonts w:ascii="Courier New" w:hAnsi="Courier New" w:cs="Courier New"/>
        </w:rPr>
        <w:lastRenderedPageBreak/>
        <w:t xml:space="preserve">A rule has been proposed by staff which would limit the ability of a utility to mention a competing energy source in DSM program advertising.  This has been one of the concerns of staff, as evidenced by Attachment A.  Staff intends to monitor DSM programs more frequently, particularly with respect kW and kWh claimed savings, various avoided cost assumptions and resulting cost-effectiveness ratios.  As part of the review of new programs and program modifications, additional emphasis will be placed </w:t>
      </w:r>
      <w:bookmarkStart w:id="0" w:name="_GoBack"/>
      <w:bookmarkEnd w:id="0"/>
      <w:r w:rsidRPr="00AC6AB6">
        <w:rPr>
          <w:rFonts w:ascii="Courier New" w:hAnsi="Courier New" w:cs="Courier New"/>
        </w:rPr>
        <w:t>on the utility</w:t>
      </w:r>
      <w:r w:rsidRPr="00AC6AB6">
        <w:rPr>
          <w:rFonts w:ascii="Courier New" w:hAnsi="Courier New" w:cs="Courier New"/>
        </w:rPr>
        <w:sym w:font="WP TypographicSymbols" w:char="003D"/>
      </w:r>
      <w:r w:rsidRPr="00AC6AB6">
        <w:rPr>
          <w:rFonts w:ascii="Courier New" w:hAnsi="Courier New" w:cs="Courier New"/>
        </w:rPr>
        <w:t>s efforts to quantify the projected kilowatt and kilowatt-hour savings from the program.  These efforts will help to insure that  all the ratepayers who pay for cost-effective DSM programs receive the benefit they pay for.  DSM programs must meet or exceed the projected savings of each program.  Given these activities, and based on the parties</w:t>
      </w:r>
      <w:r w:rsidRPr="00AC6AB6">
        <w:rPr>
          <w:rFonts w:ascii="Courier New" w:hAnsi="Courier New" w:cs="Courier New"/>
        </w:rPr>
        <w:sym w:font="WP TypographicSymbols" w:char="003D"/>
      </w:r>
      <w:r w:rsidRPr="00AC6AB6">
        <w:rPr>
          <w:rFonts w:ascii="Courier New" w:hAnsi="Courier New" w:cs="Courier New"/>
        </w:rPr>
        <w:t xml:space="preserve"> comments at workshop as well as the written comments, further action in this docket is not advisable and it is recommended the Commission close this docket.</w:t>
      </w:r>
    </w:p>
    <w:p w:rsidR="00622C94" w:rsidRPr="00AC6AB6"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622C94" w:rsidRDefault="00622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cs="Courier"/>
        </w:rPr>
      </w:pPr>
      <w:r w:rsidRPr="00AC6AB6">
        <w:rPr>
          <w:rFonts w:ascii="Courier New" w:hAnsi="Courier New" w:cs="Courier New"/>
        </w:rPr>
        <w:t>Rule 25-17.0021, Florida Administrative Code, requires the Commission to set numeric DSM goals at least once every five years for each utility subject to Chapter 366.82(1), Florida Statutes (the Florida Energy Efficiency and Conservation Act).  The Commission last established goals for the four largest electric IOUs in October 1994 by Order No. PSC-94-1313-FOF-EG.  Staff intends to open goal setting dockets before the end of 1997 to insure goals can be set by the October 1999 deadline.  Many issues relating to the use of DSM for competitive purposes could be considered in goal setting proceedings</w:t>
      </w:r>
      <w:r>
        <w:rPr>
          <w:rFonts w:cs="Courier"/>
        </w:rPr>
        <w:t>.</w:t>
      </w:r>
    </w:p>
    <w:sectPr w:rsidR="00622C94" w:rsidSect="00622C94">
      <w:headerReference w:type="default" r:id="rId1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C94" w:rsidRDefault="00622C94" w:rsidP="00622C94">
      <w:r>
        <w:separator/>
      </w:r>
    </w:p>
  </w:endnote>
  <w:endnote w:type="continuationSeparator" w:id="0">
    <w:p w:rsidR="00622C94" w:rsidRDefault="00622C94" w:rsidP="0062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94" w:rsidRDefault="00622C94">
    <w:pPr>
      <w:spacing w:line="240" w:lineRule="exact"/>
    </w:pPr>
  </w:p>
  <w:p w:rsidR="00622C94" w:rsidRPr="00AC6AB6" w:rsidRDefault="00622C94">
    <w:pPr>
      <w:framePr w:w="9361" w:wrap="notBeside" w:vAnchor="text" w:hAnchor="text" w:x="1" w:y="1"/>
      <w:jc w:val="center"/>
      <w:rPr>
        <w:rFonts w:ascii="Courier New" w:hAnsi="Courier New" w:cs="Courier New"/>
      </w:rPr>
    </w:pPr>
    <w:r w:rsidRPr="00AC6AB6">
      <w:rPr>
        <w:rFonts w:ascii="Courier New" w:hAnsi="Courier New" w:cs="Courier New"/>
      </w:rPr>
      <w:sym w:font="WP Phonetic" w:char="F02D"/>
    </w:r>
    <w:r w:rsidRPr="00AC6AB6">
      <w:rPr>
        <w:rFonts w:ascii="Courier New" w:hAnsi="Courier New" w:cs="Courier New"/>
      </w:rPr>
      <w:sym w:font="WP Phonetic" w:char="F020"/>
    </w:r>
    <w:r w:rsidRPr="00AC6AB6">
      <w:rPr>
        <w:rFonts w:ascii="Courier New" w:hAnsi="Courier New" w:cs="Courier New"/>
      </w:rPr>
      <w:fldChar w:fldCharType="begin"/>
    </w:r>
    <w:r w:rsidRPr="00AC6AB6">
      <w:rPr>
        <w:rFonts w:ascii="Courier New" w:hAnsi="Courier New" w:cs="Courier New"/>
      </w:rPr>
      <w:instrText xml:space="preserve">PAGE </w:instrText>
    </w:r>
    <w:r w:rsidR="00AC6AB6" w:rsidRPr="00AC6AB6">
      <w:rPr>
        <w:rFonts w:ascii="Courier New" w:hAnsi="Courier New" w:cs="Courier New"/>
      </w:rPr>
      <w:fldChar w:fldCharType="separate"/>
    </w:r>
    <w:r w:rsidR="00AC6AB6">
      <w:rPr>
        <w:rFonts w:ascii="Courier New" w:hAnsi="Courier New" w:cs="Courier New"/>
        <w:noProof/>
      </w:rPr>
      <w:t>4</w:t>
    </w:r>
    <w:r w:rsidRPr="00AC6AB6">
      <w:rPr>
        <w:rFonts w:ascii="Courier New" w:hAnsi="Courier New" w:cs="Courier New"/>
      </w:rPr>
      <w:fldChar w:fldCharType="end"/>
    </w:r>
    <w:r w:rsidRPr="00AC6AB6">
      <w:rPr>
        <w:rFonts w:ascii="Courier New" w:hAnsi="Courier New" w:cs="Courier New"/>
      </w:rPr>
      <w:sym w:font="WP Phonetic" w:char="F020"/>
    </w:r>
    <w:r w:rsidRPr="00AC6AB6">
      <w:rPr>
        <w:rFonts w:ascii="Courier New" w:hAnsi="Courier New" w:cs="Courier New"/>
      </w:rPr>
      <w:sym w:font="WP Phonetic" w:char="F02D"/>
    </w:r>
  </w:p>
  <w:p w:rsidR="00622C94" w:rsidRDefault="00622C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C94" w:rsidRDefault="00622C94" w:rsidP="00622C94">
      <w:r>
        <w:separator/>
      </w:r>
    </w:p>
  </w:footnote>
  <w:footnote w:type="continuationSeparator" w:id="0">
    <w:p w:rsidR="00622C94" w:rsidRDefault="00622C94" w:rsidP="00622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94" w:rsidRDefault="00AC6AB6">
    <w:r>
      <w:rPr>
        <w:noProof/>
      </w:rPr>
      <mc:AlternateContent>
        <mc:Choice Requires="wps">
          <w:drawing>
            <wp:anchor distT="0" distB="0" distL="114300" distR="114300" simplePos="0" relativeHeight="251656192" behindDoc="1" locked="0" layoutInCell="0" allowOverlap="1">
              <wp:simplePos x="0" y="0"/>
              <wp:positionH relativeFrom="margin">
                <wp:posOffset>0</wp:posOffset>
              </wp:positionH>
              <wp:positionV relativeFrom="margin">
                <wp:posOffset>0</wp:posOffset>
              </wp:positionV>
              <wp:extent cx="5943600" cy="82296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22C94" w:rsidRDefault="00622C94">
                          <w:pPr>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68pt;height:9in;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" o:allowincell="f" filled="f" stroked="f" strokeweight="0">
              <v:textbox inset="0,0,0,0">
                <w:txbxContent>
                  <w:p w:rsidR="00622C94" w:rsidRDefault="00622C94">
                    <w:pPr>
                      <w:jc w:val="both"/>
                    </w:pPr>
                  </w:p>
                </w:txbxContent>
              </v:textbox>
              <w10:wrap anchorx="margin" anchory="margin"/>
            </v:rect>
          </w:pict>
        </mc:Fallback>
      </mc:AlternateContent>
    </w:r>
  </w:p>
  <w:p w:rsidR="00622C94" w:rsidRDefault="00622C94">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94" w:rsidRDefault="00AC6A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noProof/>
      </w:rPr>
      <mc:AlternateContent>
        <mc:Choice Requires="wps">
          <w:drawing>
            <wp:anchor distT="0" distB="0" distL="114300" distR="114300" simplePos="0" relativeHeight="251657216" behindDoc="1" locked="0" layoutInCell="0" allowOverlap="1">
              <wp:simplePos x="0" y="0"/>
              <wp:positionH relativeFrom="margin">
                <wp:posOffset>0</wp:posOffset>
              </wp:positionH>
              <wp:positionV relativeFrom="margin">
                <wp:posOffset>0</wp:posOffset>
              </wp:positionV>
              <wp:extent cx="5943600" cy="82296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22C94" w:rsidRDefault="00622C94">
                          <w:pPr>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0;margin-top:0;width:468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" o:allowincell="f" filled="f" stroked="f" strokeweight="0">
              <v:textbox inset="0,0,0,0">
                <w:txbxContent>
                  <w:p w:rsidR="00622C94" w:rsidRDefault="00622C94">
                    <w:pPr>
                      <w:jc w:val="both"/>
                    </w:pPr>
                  </w:p>
                </w:txbxContent>
              </v:textbox>
              <w10:wrap anchorx="margin" anchory="margin"/>
            </v:rect>
          </w:pict>
        </mc:Fallback>
      </mc:AlternateContent>
    </w:r>
    <w:r w:rsidR="00622C94">
      <w:t>DOCKET NO. 970046-EI</w:t>
    </w:r>
    <w:r w:rsidR="00622C94">
      <w:tab/>
    </w:r>
    <w:r w:rsidR="00622C94">
      <w:tab/>
    </w:r>
    <w:r w:rsidR="00622C94">
      <w:tab/>
    </w:r>
    <w:r w:rsidR="00622C94">
      <w:tab/>
    </w:r>
    <w:r w:rsidR="00622C94">
      <w:tab/>
    </w:r>
  </w:p>
  <w:p w:rsidR="00622C94" w:rsidRDefault="00622C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July 2, 1997</w:t>
    </w:r>
  </w:p>
  <w:p w:rsidR="00622C94" w:rsidRDefault="00622C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22C94" w:rsidRDefault="00622C94">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94" w:rsidRPr="00AC6AB6" w:rsidRDefault="00AC6A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margin">
                <wp:posOffset>0</wp:posOffset>
              </wp:positionV>
              <wp:extent cx="5943600" cy="82296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22C94" w:rsidRDefault="00622C94">
                          <w:pPr>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0;margin-top:0;width:468pt;height:9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" o:allowincell="f" filled="f" stroked="f" strokeweight="0">
              <v:textbox inset="0,0,0,0">
                <w:txbxContent>
                  <w:p w:rsidR="00622C94" w:rsidRDefault="00622C94">
                    <w:pPr>
                      <w:jc w:val="both"/>
                    </w:pPr>
                  </w:p>
                </w:txbxContent>
              </v:textbox>
              <w10:wrap anchorx="margin" anchory="margin"/>
            </v:rect>
          </w:pict>
        </mc:Fallback>
      </mc:AlternateContent>
    </w:r>
    <w:r w:rsidR="00622C94">
      <w:t>D</w:t>
    </w:r>
    <w:r w:rsidR="00622C94" w:rsidRPr="00AC6AB6">
      <w:rPr>
        <w:rFonts w:ascii="Courier New" w:hAnsi="Courier New" w:cs="Courier New"/>
      </w:rPr>
      <w:t>OCKET NO. 970046-EI</w:t>
    </w:r>
    <w:r w:rsidR="00622C94" w:rsidRPr="00AC6AB6">
      <w:rPr>
        <w:rFonts w:ascii="Courier New" w:hAnsi="Courier New" w:cs="Courier New"/>
      </w:rPr>
      <w:tab/>
    </w:r>
    <w:r w:rsidR="00622C94" w:rsidRPr="00AC6AB6">
      <w:rPr>
        <w:rFonts w:ascii="Courier New" w:hAnsi="Courier New" w:cs="Courier New"/>
      </w:rPr>
      <w:tab/>
    </w:r>
    <w:r w:rsidR="00622C94" w:rsidRPr="00AC6AB6">
      <w:rPr>
        <w:rFonts w:ascii="Courier New" w:hAnsi="Courier New" w:cs="Courier New"/>
      </w:rPr>
      <w:tab/>
    </w:r>
    <w:r w:rsidR="00622C94" w:rsidRPr="00AC6AB6">
      <w:rPr>
        <w:rFonts w:ascii="Courier New" w:hAnsi="Courier New" w:cs="Courier New"/>
      </w:rPr>
      <w:tab/>
    </w:r>
    <w:r w:rsidR="00622C94" w:rsidRPr="00AC6AB6">
      <w:rPr>
        <w:rFonts w:ascii="Courier New" w:hAnsi="Courier New" w:cs="Courier New"/>
      </w:rPr>
      <w:tab/>
    </w:r>
  </w:p>
  <w:p w:rsidR="00622C94" w:rsidRPr="00AC6AB6" w:rsidRDefault="00622C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AC6AB6">
      <w:rPr>
        <w:rFonts w:ascii="Courier New" w:hAnsi="Courier New" w:cs="Courier New"/>
      </w:rPr>
      <w:t>July 2, 1997</w:t>
    </w:r>
  </w:p>
  <w:p w:rsidR="00622C94" w:rsidRDefault="00622C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22C94" w:rsidRDefault="00622C94">
    <w:pPr>
      <w:spacing w:line="24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94" w:rsidRDefault="00AC6A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noProof/>
      </w:rPr>
      <mc:AlternateContent>
        <mc:Choice Requires="wps">
          <w:drawing>
            <wp:anchor distT="0" distB="0" distL="114300" distR="114300" simplePos="0" relativeHeight="251659264" behindDoc="1" locked="0" layoutInCell="0" allowOverlap="1">
              <wp:simplePos x="0" y="0"/>
              <wp:positionH relativeFrom="margin">
                <wp:posOffset>0</wp:posOffset>
              </wp:positionH>
              <wp:positionV relativeFrom="margin">
                <wp:posOffset>0</wp:posOffset>
              </wp:positionV>
              <wp:extent cx="5943600" cy="82296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22C94" w:rsidRDefault="00622C94">
                          <w:pPr>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0;margin-top:0;width:468pt;height:9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rf6AIAAHE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" o:allowincell="f" filled="f" stroked="f" strokeweight="0">
              <v:textbox inset="0,0,0,0">
                <w:txbxContent>
                  <w:p w:rsidR="00622C94" w:rsidRDefault="00622C94">
                    <w:pPr>
                      <w:jc w:val="both"/>
                    </w:pPr>
                  </w:p>
                </w:txbxContent>
              </v:textbox>
              <w10:wrap anchorx="margin" anchory="margin"/>
            </v:rect>
          </w:pict>
        </mc:Fallback>
      </mc:AlternateContent>
    </w:r>
    <w:r w:rsidR="00622C94">
      <w:t>DOCKET NO. 970046-EI</w:t>
    </w:r>
    <w:r w:rsidR="00622C94">
      <w:tab/>
    </w:r>
    <w:r w:rsidR="00622C94">
      <w:tab/>
    </w:r>
    <w:r w:rsidR="00622C94">
      <w:tab/>
    </w:r>
    <w:r w:rsidR="00622C94">
      <w:tab/>
    </w:r>
    <w:r w:rsidR="00622C94">
      <w:tab/>
    </w:r>
  </w:p>
  <w:p w:rsidR="00622C94" w:rsidRDefault="00622C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July 2, 1997</w:t>
    </w:r>
  </w:p>
  <w:p w:rsidR="00622C94" w:rsidRDefault="00622C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22C94" w:rsidRDefault="00622C9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C94"/>
    <w:rsid w:val="00622C94"/>
    <w:rsid w:val="00AC6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AC6AB6"/>
    <w:pPr>
      <w:tabs>
        <w:tab w:val="center" w:pos="4680"/>
        <w:tab w:val="right" w:pos="9360"/>
      </w:tabs>
    </w:pPr>
  </w:style>
  <w:style w:type="character" w:customStyle="1" w:styleId="HeaderChar">
    <w:name w:val="Header Char"/>
    <w:basedOn w:val="DefaultParagraphFont"/>
    <w:link w:val="Header"/>
    <w:uiPriority w:val="99"/>
    <w:rsid w:val="00AC6AB6"/>
    <w:rPr>
      <w:rFonts w:ascii="Courier" w:hAnsi="Courier"/>
      <w:sz w:val="24"/>
      <w:szCs w:val="24"/>
    </w:rPr>
  </w:style>
  <w:style w:type="paragraph" w:styleId="Footer">
    <w:name w:val="footer"/>
    <w:basedOn w:val="Normal"/>
    <w:link w:val="FooterChar"/>
    <w:uiPriority w:val="99"/>
    <w:unhideWhenUsed/>
    <w:rsid w:val="00AC6AB6"/>
    <w:pPr>
      <w:tabs>
        <w:tab w:val="center" w:pos="4680"/>
        <w:tab w:val="right" w:pos="9360"/>
      </w:tabs>
    </w:pPr>
  </w:style>
  <w:style w:type="character" w:customStyle="1" w:styleId="FooterChar">
    <w:name w:val="Footer Char"/>
    <w:basedOn w:val="DefaultParagraphFont"/>
    <w:link w:val="Footer"/>
    <w:uiPriority w:val="99"/>
    <w:rsid w:val="00AC6AB6"/>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AC6AB6"/>
    <w:pPr>
      <w:tabs>
        <w:tab w:val="center" w:pos="4680"/>
        <w:tab w:val="right" w:pos="9360"/>
      </w:tabs>
    </w:pPr>
  </w:style>
  <w:style w:type="character" w:customStyle="1" w:styleId="HeaderChar">
    <w:name w:val="Header Char"/>
    <w:basedOn w:val="DefaultParagraphFont"/>
    <w:link w:val="Header"/>
    <w:uiPriority w:val="99"/>
    <w:rsid w:val="00AC6AB6"/>
    <w:rPr>
      <w:rFonts w:ascii="Courier" w:hAnsi="Courier"/>
      <w:sz w:val="24"/>
      <w:szCs w:val="24"/>
    </w:rPr>
  </w:style>
  <w:style w:type="paragraph" w:styleId="Footer">
    <w:name w:val="footer"/>
    <w:basedOn w:val="Normal"/>
    <w:link w:val="FooterChar"/>
    <w:uiPriority w:val="99"/>
    <w:unhideWhenUsed/>
    <w:rsid w:val="00AC6AB6"/>
    <w:pPr>
      <w:tabs>
        <w:tab w:val="center" w:pos="4680"/>
        <w:tab w:val="right" w:pos="9360"/>
      </w:tabs>
    </w:pPr>
  </w:style>
  <w:style w:type="character" w:customStyle="1" w:styleId="FooterChar">
    <w:name w:val="Footer Char"/>
    <w:basedOn w:val="DefaultParagraphFont"/>
    <w:link w:val="Footer"/>
    <w:uiPriority w:val="99"/>
    <w:rsid w:val="00AC6AB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2015-09-18T17:12:00Z</dcterms:created>
  <dcterms:modified xsi:type="dcterms:W3CDTF">2015-09-18T17:12:00Z</dcterms:modified>
</cp:coreProperties>
</file>