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tab/>
      </w:r>
      <w:r w:rsidRPr="00A91335">
        <w:rPr>
          <w:rFonts w:ascii="Courier New" w:hAnsi="Courier New" w:cs="Courier New"/>
          <w:b/>
          <w:bCs/>
        </w:rPr>
        <w:t>FLORIDA PUBLIC SERVICE COMMISSION</w:t>
      </w:r>
    </w:p>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rPr>
        <w:tab/>
        <w:t xml:space="preserve">Capital Circle Office Center </w:t>
      </w:r>
      <w:r w:rsidRPr="00A91335">
        <w:rPr>
          <w:rFonts w:ascii="Courier New" w:hAnsi="Courier New" w:cs="Courier New"/>
          <w:b/>
          <w:bCs/>
        </w:rPr>
        <w:sym w:font="WP TypographicSymbols" w:char="0021"/>
      </w:r>
      <w:r w:rsidRPr="00A91335">
        <w:rPr>
          <w:rFonts w:ascii="Courier New" w:hAnsi="Courier New" w:cs="Courier New"/>
          <w:b/>
          <w:bCs/>
        </w:rPr>
        <w:t xml:space="preserve"> 2540 Shumard Oak Boulevard</w:t>
      </w:r>
    </w:p>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rPr>
        <w:tab/>
        <w:t>Tallahassee, Florida  32399-0850</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rPr>
        <w:tab/>
      </w:r>
      <w:r w:rsidRPr="00A91335">
        <w:rPr>
          <w:rFonts w:ascii="Courier New" w:hAnsi="Courier New" w:cs="Courier New"/>
          <w:b/>
          <w:bCs/>
          <w:u w:val="single"/>
        </w:rPr>
        <w:t>M</w:t>
      </w:r>
      <w:r w:rsidRPr="00A91335">
        <w:rPr>
          <w:rFonts w:ascii="Courier New" w:hAnsi="Courier New" w:cs="Courier New"/>
          <w:b/>
          <w:bCs/>
        </w:rPr>
        <w:t xml:space="preserve"> </w:t>
      </w:r>
      <w:r w:rsidRPr="00A91335">
        <w:rPr>
          <w:rFonts w:ascii="Courier New" w:hAnsi="Courier New" w:cs="Courier New"/>
          <w:b/>
          <w:bCs/>
          <w:u w:val="single"/>
        </w:rPr>
        <w:t>E</w:t>
      </w:r>
      <w:r w:rsidRPr="00A91335">
        <w:rPr>
          <w:rFonts w:ascii="Courier New" w:hAnsi="Courier New" w:cs="Courier New"/>
          <w:b/>
          <w:bCs/>
        </w:rPr>
        <w:t xml:space="preserve"> </w:t>
      </w:r>
      <w:r w:rsidRPr="00A91335">
        <w:rPr>
          <w:rFonts w:ascii="Courier New" w:hAnsi="Courier New" w:cs="Courier New"/>
          <w:b/>
          <w:bCs/>
          <w:u w:val="single"/>
        </w:rPr>
        <w:t>M</w:t>
      </w:r>
      <w:r w:rsidRPr="00A91335">
        <w:rPr>
          <w:rFonts w:ascii="Courier New" w:hAnsi="Courier New" w:cs="Courier New"/>
          <w:b/>
          <w:bCs/>
        </w:rPr>
        <w:t xml:space="preserve"> </w:t>
      </w:r>
      <w:r w:rsidRPr="00A91335">
        <w:rPr>
          <w:rFonts w:ascii="Courier New" w:hAnsi="Courier New" w:cs="Courier New"/>
          <w:b/>
          <w:bCs/>
          <w:u w:val="single"/>
        </w:rPr>
        <w:t>O</w:t>
      </w:r>
      <w:r w:rsidRPr="00A91335">
        <w:rPr>
          <w:rFonts w:ascii="Courier New" w:hAnsi="Courier New" w:cs="Courier New"/>
          <w:b/>
          <w:bCs/>
        </w:rPr>
        <w:t xml:space="preserve"> </w:t>
      </w:r>
      <w:r w:rsidRPr="00A91335">
        <w:rPr>
          <w:rFonts w:ascii="Courier New" w:hAnsi="Courier New" w:cs="Courier New"/>
          <w:b/>
          <w:bCs/>
          <w:u w:val="single"/>
        </w:rPr>
        <w:t>R</w:t>
      </w:r>
      <w:r w:rsidRPr="00A91335">
        <w:rPr>
          <w:rFonts w:ascii="Courier New" w:hAnsi="Courier New" w:cs="Courier New"/>
          <w:b/>
          <w:bCs/>
        </w:rPr>
        <w:t xml:space="preserve"> </w:t>
      </w:r>
      <w:r w:rsidRPr="00A91335">
        <w:rPr>
          <w:rFonts w:ascii="Courier New" w:hAnsi="Courier New" w:cs="Courier New"/>
          <w:b/>
          <w:bCs/>
          <w:u w:val="single"/>
        </w:rPr>
        <w:t>A</w:t>
      </w:r>
      <w:r w:rsidRPr="00A91335">
        <w:rPr>
          <w:rFonts w:ascii="Courier New" w:hAnsi="Courier New" w:cs="Courier New"/>
          <w:b/>
          <w:bCs/>
        </w:rPr>
        <w:t xml:space="preserve"> </w:t>
      </w:r>
      <w:r w:rsidRPr="00A91335">
        <w:rPr>
          <w:rFonts w:ascii="Courier New" w:hAnsi="Courier New" w:cs="Courier New"/>
          <w:b/>
          <w:bCs/>
          <w:u w:val="single"/>
        </w:rPr>
        <w:t>N</w:t>
      </w:r>
      <w:r w:rsidRPr="00A91335">
        <w:rPr>
          <w:rFonts w:ascii="Courier New" w:hAnsi="Courier New" w:cs="Courier New"/>
          <w:b/>
          <w:bCs/>
        </w:rPr>
        <w:t xml:space="preserve"> </w:t>
      </w:r>
      <w:r w:rsidRPr="00A91335">
        <w:rPr>
          <w:rFonts w:ascii="Courier New" w:hAnsi="Courier New" w:cs="Courier New"/>
          <w:b/>
          <w:bCs/>
          <w:u w:val="single"/>
        </w:rPr>
        <w:t>D</w:t>
      </w:r>
      <w:r w:rsidRPr="00A91335">
        <w:rPr>
          <w:rFonts w:ascii="Courier New" w:hAnsi="Courier New" w:cs="Courier New"/>
          <w:b/>
          <w:bCs/>
        </w:rPr>
        <w:t xml:space="preserve"> </w:t>
      </w:r>
      <w:r w:rsidRPr="00A91335">
        <w:rPr>
          <w:rFonts w:ascii="Courier New" w:hAnsi="Courier New" w:cs="Courier New"/>
          <w:b/>
          <w:bCs/>
          <w:u w:val="single"/>
        </w:rPr>
        <w:t>U</w:t>
      </w:r>
      <w:r w:rsidRPr="00A91335">
        <w:rPr>
          <w:rFonts w:ascii="Courier New" w:hAnsi="Courier New" w:cs="Courier New"/>
          <w:b/>
          <w:bCs/>
        </w:rPr>
        <w:t xml:space="preserve"> </w:t>
      </w:r>
      <w:r w:rsidRPr="00A91335">
        <w:rPr>
          <w:rFonts w:ascii="Courier New" w:hAnsi="Courier New" w:cs="Courier New"/>
          <w:b/>
          <w:bCs/>
          <w:u w:val="single"/>
        </w:rPr>
        <w:t>M</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rPr>
        <w:tab/>
        <w:t>November 20, 1997</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91335">
        <w:rPr>
          <w:rFonts w:ascii="Courier New" w:hAnsi="Courier New" w:cs="Courier New"/>
          <w:b/>
          <w:bCs/>
        </w:rPr>
        <w:t>TO:</w:t>
      </w:r>
      <w:r w:rsidRPr="00A91335">
        <w:rPr>
          <w:rFonts w:ascii="Courier New" w:hAnsi="Courier New" w:cs="Courier New"/>
          <w:b/>
          <w:bCs/>
        </w:rPr>
        <w:tab/>
      </w:r>
      <w:r w:rsidRPr="00A91335">
        <w:rPr>
          <w:rFonts w:ascii="Courier New" w:hAnsi="Courier New" w:cs="Courier New"/>
          <w:b/>
          <w:bCs/>
        </w:rPr>
        <w:tab/>
        <w:t>DIRECTOR, DIVISION OF RECORDS AND REPORTING (BAYO)</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91335">
        <w:rPr>
          <w:rFonts w:ascii="Courier New" w:hAnsi="Courier New" w:cs="Courier New"/>
          <w:b/>
          <w:bCs/>
        </w:rPr>
        <w:t>FROM:</w:t>
      </w:r>
      <w:r w:rsidRPr="00A91335">
        <w:rPr>
          <w:rFonts w:ascii="Courier New" w:hAnsi="Courier New" w:cs="Courier New"/>
          <w:b/>
          <w:bCs/>
        </w:rPr>
        <w:tab/>
        <w:t>DIVISION OF AUDITING &amp; FINANCIAL ANALYSIS (HACKNEY, LEE, WRIGHT)</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A91335">
        <w:rPr>
          <w:rFonts w:ascii="Courier New" w:hAnsi="Courier New" w:cs="Courier New"/>
          <w:b/>
          <w:bCs/>
        </w:rPr>
        <w:t>DIVISION OF COMMUNICATIONS (GREER)</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A91335">
        <w:rPr>
          <w:rFonts w:ascii="Courier New" w:hAnsi="Courier New" w:cs="Courier New"/>
          <w:b/>
          <w:bCs/>
        </w:rPr>
        <w:t>DIVISION OF LEGAL SERVICES (PELLEGRINI)</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91335">
        <w:rPr>
          <w:rFonts w:ascii="Courier New" w:hAnsi="Courier New" w:cs="Courier New"/>
          <w:b/>
          <w:bCs/>
        </w:rPr>
        <w:t>RE:</w:t>
      </w:r>
      <w:r w:rsidRPr="00A91335">
        <w:rPr>
          <w:rFonts w:ascii="Courier New" w:hAnsi="Courier New" w:cs="Courier New"/>
          <w:b/>
          <w:bCs/>
        </w:rPr>
        <w:tab/>
      </w:r>
      <w:r w:rsidRPr="00A91335">
        <w:rPr>
          <w:rFonts w:ascii="Courier New" w:hAnsi="Courier New" w:cs="Courier New"/>
          <w:b/>
          <w:bCs/>
        </w:rPr>
        <w:tab/>
        <w:t xml:space="preserve">DOCKET NO. 971495-TL - NORTHEAST FLORIDA TELEPHONE COMPANY, INC. - REQUEST FOR APPROVAL OF CAPITAL RECOVERY SCHEDULES BY NORTHEAST FLORIDA TELEPHONE COMPANY, INC.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A91335">
        <w:rPr>
          <w:rFonts w:ascii="Courier New" w:hAnsi="Courier New" w:cs="Courier New"/>
          <w:b/>
          <w:bCs/>
        </w:rPr>
        <w:t>AGENDA:</w:t>
      </w:r>
      <w:r w:rsidRPr="00A91335">
        <w:rPr>
          <w:rFonts w:ascii="Courier New" w:hAnsi="Courier New" w:cs="Courier New"/>
          <w:b/>
          <w:bCs/>
        </w:rPr>
        <w:tab/>
        <w:t>12/02/97 - REGULAR AGENDA - PROPOSED AGENCY ACTION - INTERESTED PERSONS MAY PARTICIPATE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A91335">
        <w:rPr>
          <w:rFonts w:ascii="Courier New" w:hAnsi="Courier New" w:cs="Courier New"/>
          <w:b/>
          <w:bCs/>
        </w:rPr>
        <w:t>CRITICAL DATES:</w:t>
      </w:r>
      <w:r w:rsidRPr="00A91335">
        <w:rPr>
          <w:rFonts w:ascii="Courier New" w:hAnsi="Courier New" w:cs="Courier New"/>
          <w:b/>
          <w:bCs/>
        </w:rPr>
        <w:tab/>
        <w:t>NONE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rPr>
        <w:t>SPECIAL INSTRUCTIONS:  S:\PSC\AFA\WP\971495.RCM</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rPr>
          <w:rFonts w:ascii="Courier New" w:hAnsi="Courier New" w:cs="Courier New"/>
          <w:b/>
          <w:bCs/>
        </w:rPr>
      </w:pPr>
      <w:r w:rsidRPr="00A91335">
        <w:rPr>
          <w:rFonts w:ascii="Courier New" w:hAnsi="Courier New" w:cs="Courier New"/>
          <w:b/>
          <w:bCs/>
        </w:rPr>
        <w:t xml:space="preserve">   NO ATTACHMENTS AVAILABLE.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A91335">
        <w:rPr>
          <w:rFonts w:ascii="Courier New" w:hAnsi="Courier New" w:cs="Courier New"/>
          <w:b/>
          <w:bCs/>
          <w:u w:val="single"/>
        </w:rPr>
        <w:t xml:space="preserve">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8542B" w:rsidRPr="00A91335" w:rsidRDefault="0028542B">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rPr>
        <w:tab/>
      </w:r>
      <w:r w:rsidRPr="00A91335">
        <w:rPr>
          <w:rFonts w:ascii="Courier New" w:hAnsi="Courier New" w:cs="Courier New"/>
          <w:b/>
          <w:bCs/>
          <w:u w:val="single"/>
        </w:rPr>
        <w:t>DISCUSSION OF ISSUES</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t xml:space="preserve">ISSUE </w:t>
      </w:r>
      <w:r w:rsidRPr="00A91335">
        <w:rPr>
          <w:rFonts w:ascii="Courier New" w:hAnsi="Courier New" w:cs="Courier New"/>
          <w:b/>
          <w:bCs/>
          <w:u w:val="single"/>
        </w:rPr>
        <w:fldChar w:fldCharType="begin"/>
      </w:r>
      <w:r w:rsidRPr="00A91335">
        <w:rPr>
          <w:rFonts w:ascii="Courier New" w:hAnsi="Courier New" w:cs="Courier New"/>
          <w:b/>
          <w:bCs/>
          <w:u w:val="single"/>
        </w:rPr>
        <w:instrText>LISTNUM 1 \l 1</w:instrText>
      </w:r>
      <w:r w:rsidRPr="00A91335">
        <w:rPr>
          <w:rFonts w:ascii="Courier New" w:hAnsi="Courier New" w:cs="Courier New"/>
          <w:b/>
          <w:bCs/>
          <w:u w:val="single"/>
        </w:rPr>
        <w:fldChar w:fldCharType="end"/>
      </w:r>
      <w:r w:rsidRPr="00A91335">
        <w:rPr>
          <w:rFonts w:ascii="Courier New" w:hAnsi="Courier New" w:cs="Courier New"/>
          <w:b/>
          <w:bCs/>
        </w:rPr>
        <w:t xml:space="preserve">:  </w:t>
      </w:r>
      <w:r w:rsidRPr="00A91335">
        <w:rPr>
          <w:rFonts w:ascii="Courier New" w:hAnsi="Courier New" w:cs="Courier New"/>
        </w:rPr>
        <w:t>Should the Commission approve Northeast</w:t>
      </w:r>
      <w:r w:rsidRPr="00A91335">
        <w:rPr>
          <w:rFonts w:ascii="Courier New" w:hAnsi="Courier New" w:cs="Courier New"/>
        </w:rPr>
        <w:sym w:font="WP TypographicSymbols" w:char="003D"/>
      </w:r>
      <w:r w:rsidRPr="00A91335">
        <w:rPr>
          <w:rFonts w:ascii="Courier New" w:hAnsi="Courier New" w:cs="Courier New"/>
        </w:rPr>
        <w:t>s proposed capital recovery schedule for the retiring Mudlake and Conner RLS-1000 remote switches?</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t>RECOMMENDATION</w:t>
      </w:r>
      <w:r w:rsidRPr="00A91335">
        <w:rPr>
          <w:rFonts w:ascii="Courier New" w:hAnsi="Courier New" w:cs="Courier New"/>
          <w:b/>
          <w:bCs/>
        </w:rPr>
        <w:t xml:space="preserve">: </w:t>
      </w:r>
      <w:r w:rsidRPr="00A91335">
        <w:rPr>
          <w:rFonts w:ascii="Courier New" w:hAnsi="Courier New" w:cs="Courier New"/>
        </w:rPr>
        <w:t xml:space="preserve"> Yes.  A capital recovery schedule designed to recover, in 1997, the remaining unrecovered costs of $99,076 associated with the retiring Mudlake and Conner remote switches should be approved.  (LEE)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28542B" w:rsidRPr="00A91335">
          <w:pgSz w:w="12240" w:h="15840"/>
          <w:pgMar w:top="1440" w:right="1440" w:bottom="1440" w:left="1440" w:header="1440" w:footer="1440" w:gutter="0"/>
          <w:cols w:space="720"/>
          <w:noEndnote/>
        </w:sect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lastRenderedPageBreak/>
        <w:t>STAFF ANALYSIS</w:t>
      </w:r>
      <w:r w:rsidRPr="00A91335">
        <w:rPr>
          <w:rFonts w:ascii="Courier New" w:hAnsi="Courier New" w:cs="Courier New"/>
          <w:b/>
          <w:bCs/>
        </w:rPr>
        <w:t xml:space="preserve">: </w:t>
      </w:r>
      <w:r w:rsidRPr="00A91335">
        <w:rPr>
          <w:rFonts w:ascii="Courier New" w:hAnsi="Courier New" w:cs="Courier New"/>
        </w:rPr>
        <w:t xml:space="preserve">In 1994, the switching network plan of Northeast  was to move from the existing Stromberg-Carlson DCO switching platform to the new Electronic Switching System-Digital (EWSD) Vision ONE-UP Platform (Vision ONE) in Macclenny in 1995.  The Vision ONE upgrade required the retirement of the DCO processor and associated circuit equipment and the installation of the EWSD.  The DCO lines would then be incorporated into the EWSD.  Additionally, Siemens </w:t>
      </w:r>
      <w:r w:rsidRPr="00A91335">
        <w:rPr>
          <w:rFonts w:ascii="Courier New" w:hAnsi="Courier New" w:cs="Courier New"/>
        </w:rPr>
        <w:lastRenderedPageBreak/>
        <w:t>Stromberg-Carlson told Northeast that the existing Remote Line Switching (RLS-4000 and 1000) equipment located in Blackwell, Sanderson, Mudlake, and Conner would also interface with the EWSD.  The Vision ONE upgrade would allow Northeast the ability to offer services such as ISDN and to add Advanced Intelligent Network (AIN) and Personal Communications Services (PCS) for an additional price.  By Order No. PSC-95-0426-FOF-TL, issued March 29, 1995 in Docket No. 910731-TL, the Commission found that the Vision ONE platform would introduce potential revenue sources that did not currently have a market demand and provide an advance infrastructure which could potentially provide an economic boost for the Northeast service area.  Further, the upgrade was a logical progression of Northeast</w:t>
      </w:r>
      <w:r w:rsidRPr="00A91335">
        <w:rPr>
          <w:rFonts w:ascii="Courier New" w:hAnsi="Courier New" w:cs="Courier New"/>
        </w:rPr>
        <w:sym w:font="WP TypographicSymbols" w:char="003D"/>
      </w:r>
      <w:r w:rsidRPr="00A91335">
        <w:rPr>
          <w:rFonts w:ascii="Courier New" w:hAnsi="Courier New" w:cs="Courier New"/>
        </w:rPr>
        <w:t xml:space="preserve">s switching hierarchy, and therefore a reasonable investment.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91335">
        <w:rPr>
          <w:rFonts w:ascii="Courier New" w:hAnsi="Courier New" w:cs="Courier New"/>
        </w:rPr>
        <w:t>During 1996, Northeast installed an RLS-4000 switch at Glen St. Mary and the EWSD switch in the Macclenny host office.  At the time the installation of the Glen St. Mary RLS-4000 was nearing completion, Northeast learned that this new switch, as well as the existing RLS-4000 equipment at Blackwell and Sanderson, would not integrate with the new software as it had originally been informed by Siemens Stromberg-Carlson.  Further, Northeast learned that Siemens would no longer offer support for the RLS-4000s due to the protocol problems.  The only remote switching equipment that was compatible with the Vision ONE upgrade was Remote Control Unit (RCU) equipment and RLS-1000 equipment.  Consequently, in order for service to continue to be provided to the Blackwell and Sanderson areas, Northeast had to replace the existing RLS-4000 equipment with RCU equipment.  Recovery of this associated unrecovered cost was provided in Docket No. 971396-TL at the November 4, 1997 Agenda.  Siemens replaced the Glen St. Mary RLS-4000 with an RCU at no additional charge.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91335">
        <w:rPr>
          <w:rFonts w:ascii="Courier New" w:hAnsi="Courier New" w:cs="Courier New"/>
        </w:rPr>
        <w:t xml:space="preserve">The Mudlake and Conner remote offices are RLS-1000s and can interface with the new software.  However, the new services provided by the EWSD cannot be provided through these remotes unless they are replaced.  Current planning is that this replacement will take place by year end 1997.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28542B" w:rsidRPr="00A91335">
          <w:headerReference w:type="default" r:id="rId8"/>
          <w:footerReference w:type="default" r:id="rId9"/>
          <w:type w:val="continuous"/>
          <w:pgSz w:w="12240" w:h="15840"/>
          <w:pgMar w:top="1440" w:right="1440" w:bottom="1440" w:left="1440" w:header="1440" w:footer="1440" w:gutter="0"/>
          <w:cols w:space="720"/>
          <w:noEndnote/>
        </w:sect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A91335">
        <w:rPr>
          <w:rFonts w:ascii="Courier New" w:hAnsi="Courier New" w:cs="Courier New"/>
        </w:rPr>
        <w:lastRenderedPageBreak/>
        <w:t xml:space="preserve">Under the present provision for depreciation, the net investment associated with the Mudlake and Conner remote switches as of December 31, 1997 will be $20,370 and $78,706 (total company), respectively.  By letter (see Attachment A) Northeast has proposed that these remaining unrecovered costs be recovered in 1997 to match the recovery of the invested capital with the retirement of the related equipment. </w:t>
      </w:r>
      <w:r w:rsidRPr="00A91335">
        <w:rPr>
          <w:rFonts w:ascii="Courier New" w:hAnsi="Courier New" w:cs="Courier New"/>
        </w:rPr>
        <w:lastRenderedPageBreak/>
        <w:t xml:space="preserve"> Staff supports this requested action and recommends its acceptance.  This action corrects the inherent reserve deficiency  which, upon retirement of the equipment, will relate to plant no longer serving the public.  Staff believes that deficiencies such as this should be recovered as soon as possible, unless that recovery prevents the company from earning a fair and reasonable return on its investments.  Northeast is projected to have sufficient earnings in 1997 to absorb this recovery and still earn within its authorized range.  Staff therefore recommends that the Company be allowed to recover the remaining unrecovered costs associated with the 1997 retirement of the Mudlake and Conner remote switches in 1997.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28542B" w:rsidRPr="00A91335">
          <w:type w:val="continuous"/>
          <w:pgSz w:w="12240" w:h="15840"/>
          <w:pgMar w:top="1440" w:right="1440" w:bottom="1440" w:left="1440" w:header="1440" w:footer="1440" w:gutter="0"/>
          <w:cols w:space="720"/>
          <w:noEndnote/>
        </w:sect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lastRenderedPageBreak/>
        <w:t xml:space="preserve">ISSUE </w:t>
      </w:r>
      <w:r w:rsidRPr="00A91335">
        <w:rPr>
          <w:rFonts w:ascii="Courier New" w:hAnsi="Courier New" w:cs="Courier New"/>
          <w:b/>
          <w:bCs/>
          <w:u w:val="single"/>
        </w:rPr>
        <w:fldChar w:fldCharType="begin"/>
      </w:r>
      <w:r w:rsidRPr="00A91335">
        <w:rPr>
          <w:rFonts w:ascii="Courier New" w:hAnsi="Courier New" w:cs="Courier New"/>
          <w:b/>
          <w:bCs/>
          <w:u w:val="single"/>
        </w:rPr>
        <w:instrText>LISTNUM 1 \l 1</w:instrText>
      </w:r>
      <w:r w:rsidRPr="00A91335">
        <w:rPr>
          <w:rFonts w:ascii="Courier New" w:hAnsi="Courier New" w:cs="Courier New"/>
          <w:b/>
          <w:bCs/>
          <w:u w:val="single"/>
        </w:rPr>
        <w:fldChar w:fldCharType="end"/>
      </w:r>
      <w:r w:rsidRPr="00A91335">
        <w:rPr>
          <w:rFonts w:ascii="Courier New" w:hAnsi="Courier New" w:cs="Courier New"/>
          <w:b/>
          <w:bCs/>
        </w:rPr>
        <w:t xml:space="preserve">:  </w:t>
      </w:r>
      <w:r w:rsidRPr="00A91335">
        <w:rPr>
          <w:rFonts w:ascii="Courier New" w:hAnsi="Courier New" w:cs="Courier New"/>
        </w:rPr>
        <w:t>Should the Commission approve Northeast</w:t>
      </w:r>
      <w:r w:rsidRPr="00A91335">
        <w:rPr>
          <w:rFonts w:ascii="Courier New" w:hAnsi="Courier New" w:cs="Courier New"/>
        </w:rPr>
        <w:sym w:font="WP TypographicSymbols" w:char="003D"/>
      </w:r>
      <w:r w:rsidRPr="00A91335">
        <w:rPr>
          <w:rFonts w:ascii="Courier New" w:hAnsi="Courier New" w:cs="Courier New"/>
        </w:rPr>
        <w:t xml:space="preserve">s proposed recovery schedule for the 1998 planned retirement of the Macclenny DCO switch? </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t>RECOMMENDATION</w:t>
      </w:r>
      <w:r w:rsidRPr="00A91335">
        <w:rPr>
          <w:rFonts w:ascii="Courier New" w:hAnsi="Courier New" w:cs="Courier New"/>
          <w:b/>
          <w:bCs/>
        </w:rPr>
        <w:t>:</w:t>
      </w:r>
      <w:r w:rsidRPr="00A91335">
        <w:rPr>
          <w:rFonts w:ascii="Courier New" w:hAnsi="Courier New" w:cs="Courier New"/>
        </w:rPr>
        <w:t xml:space="preserve"> Yes. Staff recommends that the Commission approve Northeast</w:t>
      </w:r>
      <w:r w:rsidRPr="00A91335">
        <w:rPr>
          <w:rFonts w:ascii="Courier New" w:hAnsi="Courier New" w:cs="Courier New"/>
        </w:rPr>
        <w:sym w:font="WP TypographicSymbols" w:char="003D"/>
      </w:r>
      <w:r w:rsidRPr="00A91335">
        <w:rPr>
          <w:rFonts w:ascii="Courier New" w:hAnsi="Courier New" w:cs="Courier New"/>
        </w:rPr>
        <w:t>s request to recover, during 1997 and 1998, the remaining net investment of $244,968 associated with the Macclenny digital switch and circuit equipment by year end 1998.  (LEE)</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t>STAFF ANALYSIS:</w:t>
      </w:r>
      <w:r w:rsidRPr="00A91335">
        <w:rPr>
          <w:rFonts w:ascii="Courier New" w:hAnsi="Courier New" w:cs="Courier New"/>
        </w:rPr>
        <w:t xml:space="preserve">  With the replacement of the RLS-1000 remote switches at Mudlake and Conner with Remote</w:t>
      </w:r>
      <w:r w:rsidRPr="00A91335">
        <w:rPr>
          <w:rFonts w:ascii="Courier New" w:hAnsi="Courier New" w:cs="Courier New"/>
          <w:b/>
          <w:bCs/>
        </w:rPr>
        <w:t xml:space="preserve"> </w:t>
      </w:r>
      <w:r w:rsidRPr="00A91335">
        <w:rPr>
          <w:rFonts w:ascii="Courier New" w:hAnsi="Courier New" w:cs="Courier New"/>
        </w:rPr>
        <w:t>Control Units (RCUs), there will no longer be any need for Northeast to continue maintaining the Macclenny DCO switch.  Current company plans are to retire this switch in 1998.  Under the present provision for depreciation, the net unrecovered investment associated with the DCO switch and related circuit equipment is estimated to be $244,968, total company, as of December 31, 1997.  By letter, Northeast has proposed that this amount be recovered by year end 1998.  Staff supports this request as it matches the recovery of the investment with the remaining service period of the related equipment.  This proposal also allows flexibility as to the amount booked in 1997 and 1998.</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28542B" w:rsidRPr="00A91335">
          <w:pgSz w:w="12240" w:h="15840"/>
          <w:pgMar w:top="1440" w:right="1440" w:bottom="1440" w:left="1440" w:header="1440" w:footer="1440" w:gutter="0"/>
          <w:cols w:space="720"/>
          <w:noEndnote/>
        </w:sect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lastRenderedPageBreak/>
        <w:t>ISSUE 3:</w:t>
      </w:r>
      <w:r w:rsidRPr="00A91335">
        <w:rPr>
          <w:rFonts w:ascii="Courier New" w:hAnsi="Courier New" w:cs="Courier New"/>
        </w:rPr>
        <w:t xml:space="preserve"> Should Docket 971495-TL be closed?</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b/>
          <w:bCs/>
          <w:u w:val="single"/>
        </w:rPr>
        <w:t>RECOMMENDATION:</w:t>
      </w:r>
      <w:r w:rsidRPr="00A91335">
        <w:rPr>
          <w:rFonts w:ascii="Courier New" w:hAnsi="Courier New" w:cs="Courier New"/>
        </w:rPr>
        <w:t xml:space="preserve"> Yes.  If no person whose substantial interests are affected by the Commission</w:t>
      </w:r>
      <w:r w:rsidRPr="00A91335">
        <w:rPr>
          <w:rFonts w:ascii="Courier New" w:hAnsi="Courier New" w:cs="Courier New"/>
        </w:rPr>
        <w:sym w:font="WP TypographicSymbols" w:char="003D"/>
      </w:r>
      <w:r w:rsidRPr="00A91335">
        <w:rPr>
          <w:rFonts w:ascii="Courier New" w:hAnsi="Courier New" w:cs="Courier New"/>
        </w:rPr>
        <w:t>s proposed agency action, timely files a protest within twenty-one days of the issuance of this Order, this docket should be closed.  (PELLEGRINI)</w:t>
      </w:r>
    </w:p>
    <w:p w:rsidR="0028542B" w:rsidRPr="00A91335"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8542B"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r w:rsidRPr="00A91335">
        <w:rPr>
          <w:rFonts w:ascii="Courier New" w:hAnsi="Courier New" w:cs="Courier New"/>
          <w:b/>
          <w:bCs/>
          <w:u w:val="single"/>
        </w:rPr>
        <w:t>STAFF ANALYSIS:</w:t>
      </w:r>
      <w:r w:rsidRPr="00A91335">
        <w:rPr>
          <w:rFonts w:ascii="Courier New" w:hAnsi="Courier New" w:cs="Courier New"/>
        </w:rPr>
        <w:t xml:space="preserve"> If no person whose substantial interests are affected, files a timely request for a Section 120.57, Florida Statutes, hearing within twenty-one days of the issuance of this Order, no further action will be required and this docket should be closed.  </w:t>
      </w:r>
      <w:r>
        <w:rPr>
          <w:rFonts w:cs="Courier"/>
        </w:rPr>
        <w:t xml:space="preserve">   </w:t>
      </w:r>
    </w:p>
    <w:p w:rsidR="0028542B" w:rsidRDefault="002854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p>
    <w:p w:rsidR="0028542B" w:rsidRDefault="0028542B">
      <w:pPr>
        <w:widowControl/>
        <w:tabs>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 w:val="right" w:pos="7560"/>
          <w:tab w:val="right" w:pos="9000"/>
        </w:tabs>
        <w:ind w:left="-360" w:right="-360"/>
        <w:jc w:val="both"/>
        <w:rPr>
          <w:rFonts w:cs="Courier"/>
        </w:rPr>
      </w:pPr>
      <w:bookmarkStart w:id="0" w:name="_GoBack"/>
      <w:bookmarkEnd w:id="0"/>
    </w:p>
    <w:sectPr w:rsidR="0028542B" w:rsidSect="0028542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2B" w:rsidRDefault="0028542B" w:rsidP="0028542B">
      <w:r>
        <w:separator/>
      </w:r>
    </w:p>
  </w:endnote>
  <w:endnote w:type="continuationSeparator" w:id="0">
    <w:p w:rsidR="0028542B" w:rsidRDefault="0028542B" w:rsidP="0028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2B" w:rsidRDefault="0028542B">
    <w:pPr>
      <w:spacing w:line="240" w:lineRule="exact"/>
    </w:pPr>
  </w:p>
  <w:p w:rsidR="0028542B" w:rsidRPr="00A91335" w:rsidRDefault="0028542B">
    <w:pPr>
      <w:framePr w:w="9361" w:wrap="notBeside" w:vAnchor="text" w:hAnchor="text" w:x="1" w:y="1"/>
      <w:jc w:val="center"/>
      <w:rPr>
        <w:rFonts w:ascii="Courier New" w:hAnsi="Courier New" w:cs="Courier New"/>
      </w:rPr>
    </w:pPr>
    <w:r w:rsidRPr="00A91335">
      <w:rPr>
        <w:rFonts w:ascii="Courier New" w:hAnsi="Courier New" w:cs="Courier New"/>
      </w:rPr>
      <w:sym w:font="WP Phonetic" w:char="F02D"/>
    </w:r>
    <w:r w:rsidRPr="00A91335">
      <w:rPr>
        <w:rFonts w:ascii="Courier New" w:hAnsi="Courier New" w:cs="Courier New"/>
      </w:rPr>
      <w:sym w:font="WP Phonetic" w:char="F020"/>
    </w:r>
    <w:r w:rsidRPr="00A91335">
      <w:rPr>
        <w:rFonts w:ascii="Courier New" w:hAnsi="Courier New" w:cs="Courier New"/>
      </w:rPr>
      <w:fldChar w:fldCharType="begin"/>
    </w:r>
    <w:r w:rsidRPr="00A91335">
      <w:rPr>
        <w:rFonts w:ascii="Courier New" w:hAnsi="Courier New" w:cs="Courier New"/>
      </w:rPr>
      <w:instrText xml:space="preserve">PAGE </w:instrText>
    </w:r>
    <w:r w:rsidR="00A91335" w:rsidRPr="00A91335">
      <w:rPr>
        <w:rFonts w:ascii="Courier New" w:hAnsi="Courier New" w:cs="Courier New"/>
      </w:rPr>
      <w:fldChar w:fldCharType="separate"/>
    </w:r>
    <w:r w:rsidR="00A91335">
      <w:rPr>
        <w:rFonts w:ascii="Courier New" w:hAnsi="Courier New" w:cs="Courier New"/>
        <w:noProof/>
      </w:rPr>
      <w:t>5</w:t>
    </w:r>
    <w:r w:rsidRPr="00A91335">
      <w:rPr>
        <w:rFonts w:ascii="Courier New" w:hAnsi="Courier New" w:cs="Courier New"/>
      </w:rPr>
      <w:fldChar w:fldCharType="end"/>
    </w:r>
    <w:r w:rsidRPr="00A91335">
      <w:rPr>
        <w:rFonts w:ascii="Courier New" w:hAnsi="Courier New" w:cs="Courier New"/>
      </w:rPr>
      <w:sym w:font="WP Phonetic" w:char="F020"/>
    </w:r>
    <w:r w:rsidRPr="00A91335">
      <w:rPr>
        <w:rFonts w:ascii="Courier New" w:hAnsi="Courier New" w:cs="Courier New"/>
      </w:rPr>
      <w:sym w:font="WP Phonetic" w:char="F02D"/>
    </w:r>
  </w:p>
  <w:p w:rsidR="0028542B" w:rsidRDefault="002854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2B" w:rsidRDefault="0028542B" w:rsidP="0028542B">
      <w:r>
        <w:separator/>
      </w:r>
    </w:p>
  </w:footnote>
  <w:footnote w:type="continuationSeparator" w:id="0">
    <w:p w:rsidR="0028542B" w:rsidRDefault="0028542B" w:rsidP="0028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2B" w:rsidRPr="00A91335" w:rsidRDefault="002854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rPr>
      <w:t>DOCKET NO. 971495-TL</w:t>
    </w:r>
  </w:p>
  <w:p w:rsidR="0028542B" w:rsidRPr="00A91335" w:rsidRDefault="002854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A91335">
      <w:rPr>
        <w:rFonts w:ascii="Courier New" w:hAnsi="Courier New" w:cs="Courier New"/>
      </w:rPr>
      <w:t>DATE: November 20, 1997</w:t>
    </w:r>
  </w:p>
  <w:p w:rsidR="0028542B" w:rsidRDefault="002854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8542B" w:rsidRDefault="0028542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2B"/>
    <w:rsid w:val="0028542B"/>
    <w:rsid w:val="00A9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91335"/>
    <w:pPr>
      <w:tabs>
        <w:tab w:val="center" w:pos="4680"/>
        <w:tab w:val="right" w:pos="9360"/>
      </w:tabs>
    </w:pPr>
  </w:style>
  <w:style w:type="character" w:customStyle="1" w:styleId="HeaderChar">
    <w:name w:val="Header Char"/>
    <w:basedOn w:val="DefaultParagraphFont"/>
    <w:link w:val="Header"/>
    <w:uiPriority w:val="99"/>
    <w:rsid w:val="00A91335"/>
    <w:rPr>
      <w:rFonts w:ascii="Courier" w:hAnsi="Courier"/>
      <w:sz w:val="24"/>
      <w:szCs w:val="24"/>
    </w:rPr>
  </w:style>
  <w:style w:type="paragraph" w:styleId="Footer">
    <w:name w:val="footer"/>
    <w:basedOn w:val="Normal"/>
    <w:link w:val="FooterChar"/>
    <w:uiPriority w:val="99"/>
    <w:unhideWhenUsed/>
    <w:rsid w:val="00A91335"/>
    <w:pPr>
      <w:tabs>
        <w:tab w:val="center" w:pos="4680"/>
        <w:tab w:val="right" w:pos="9360"/>
      </w:tabs>
    </w:pPr>
  </w:style>
  <w:style w:type="character" w:customStyle="1" w:styleId="FooterChar">
    <w:name w:val="Footer Char"/>
    <w:basedOn w:val="DefaultParagraphFont"/>
    <w:link w:val="Footer"/>
    <w:uiPriority w:val="99"/>
    <w:rsid w:val="00A9133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91335"/>
    <w:pPr>
      <w:tabs>
        <w:tab w:val="center" w:pos="4680"/>
        <w:tab w:val="right" w:pos="9360"/>
      </w:tabs>
    </w:pPr>
  </w:style>
  <w:style w:type="character" w:customStyle="1" w:styleId="HeaderChar">
    <w:name w:val="Header Char"/>
    <w:basedOn w:val="DefaultParagraphFont"/>
    <w:link w:val="Header"/>
    <w:uiPriority w:val="99"/>
    <w:rsid w:val="00A91335"/>
    <w:rPr>
      <w:rFonts w:ascii="Courier" w:hAnsi="Courier"/>
      <w:sz w:val="24"/>
      <w:szCs w:val="24"/>
    </w:rPr>
  </w:style>
  <w:style w:type="paragraph" w:styleId="Footer">
    <w:name w:val="footer"/>
    <w:basedOn w:val="Normal"/>
    <w:link w:val="FooterChar"/>
    <w:uiPriority w:val="99"/>
    <w:unhideWhenUsed/>
    <w:rsid w:val="00A91335"/>
    <w:pPr>
      <w:tabs>
        <w:tab w:val="center" w:pos="4680"/>
        <w:tab w:val="right" w:pos="9360"/>
      </w:tabs>
    </w:pPr>
  </w:style>
  <w:style w:type="character" w:customStyle="1" w:styleId="FooterChar">
    <w:name w:val="Footer Char"/>
    <w:basedOn w:val="DefaultParagraphFont"/>
    <w:link w:val="Footer"/>
    <w:uiPriority w:val="99"/>
    <w:rsid w:val="00A9133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2015-09-17T17:57:00Z</dcterms:created>
  <dcterms:modified xsi:type="dcterms:W3CDTF">2015-09-17T17:57:00Z</dcterms:modified>
</cp:coreProperties>
</file>