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217" w:rsidRPr="008020F9" w:rsidRDefault="00221217" w:rsidP="00221217">
      <w:pPr>
        <w:tabs>
          <w:tab w:val="center" w:pos="4680"/>
        </w:tabs>
        <w:spacing w:after="120" w:line="240" w:lineRule="auto"/>
        <w:ind w:left="180"/>
        <w:jc w:val="center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bCs/>
          <w:sz w:val="24"/>
          <w:szCs w:val="24"/>
        </w:rPr>
        <w:t>BEFORE THE FLORIDA PUBLIC SERVICE COMMISSION</w:t>
      </w:r>
    </w:p>
    <w:p w:rsidR="00221217" w:rsidRDefault="00221217" w:rsidP="00221217">
      <w:pPr>
        <w:spacing w:after="0" w:line="20" w:lineRule="atLeast"/>
        <w:rPr>
          <w:rFonts w:ascii="Calibri" w:eastAsia="Calibri" w:hAnsi="Calibri" w:cs="Times New Roman"/>
          <w:sz w:val="24"/>
          <w:szCs w:val="24"/>
        </w:rPr>
      </w:pPr>
    </w:p>
    <w:p w:rsidR="00221217" w:rsidRPr="008020F9" w:rsidRDefault="00221217" w:rsidP="00221217">
      <w:pPr>
        <w:spacing w:after="0" w:line="20" w:lineRule="atLeast"/>
        <w:rPr>
          <w:rFonts w:ascii="Calibri" w:eastAsia="Calibri" w:hAnsi="Calibri" w:cs="Times New Roman"/>
          <w:sz w:val="24"/>
          <w:szCs w:val="24"/>
        </w:rPr>
      </w:pPr>
    </w:p>
    <w:p w:rsidR="00221217" w:rsidRDefault="00221217" w:rsidP="00221217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21217" w:rsidRPr="008020F9" w:rsidRDefault="00221217" w:rsidP="00221217">
      <w:pPr>
        <w:tabs>
          <w:tab w:val="left" w:pos="54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COVER SHEET</w:t>
      </w:r>
    </w:p>
    <w:p w:rsidR="00221217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8020F9">
        <w:rPr>
          <w:rFonts w:ascii="Calibri" w:eastAsia="Calibri" w:hAnsi="Calibri" w:cs="Times New Roman"/>
          <w:sz w:val="24"/>
          <w:szCs w:val="24"/>
          <w:u w:val="single"/>
        </w:rPr>
        <w:tab/>
      </w:r>
    </w:p>
    <w:p w:rsidR="00221217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221217" w:rsidRPr="000B635A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B635A">
        <w:rPr>
          <w:rFonts w:ascii="Calibri" w:eastAsia="Calibri" w:hAnsi="Calibri" w:cs="Times New Roman"/>
          <w:sz w:val="24"/>
          <w:szCs w:val="24"/>
        </w:rPr>
        <w:t>DATE:</w:t>
      </w:r>
      <w:r w:rsidRPr="000B635A">
        <w:rPr>
          <w:rFonts w:ascii="Calibri" w:eastAsia="Calibri" w:hAnsi="Calibri" w:cs="Times New Roman"/>
          <w:sz w:val="24"/>
          <w:szCs w:val="24"/>
        </w:rPr>
        <w:tab/>
      </w:r>
      <w:r>
        <w:rPr>
          <w:sz w:val="24"/>
          <w:szCs w:val="24"/>
        </w:rPr>
        <w:t>February 22</w:t>
      </w:r>
      <w:r w:rsidRPr="000B635A">
        <w:rPr>
          <w:rFonts w:ascii="Calibri" w:eastAsia="Calibri" w:hAnsi="Calibri" w:cs="Times New Roman"/>
          <w:sz w:val="24"/>
          <w:szCs w:val="24"/>
        </w:rPr>
        <w:t>, 201</w:t>
      </w:r>
      <w:r>
        <w:rPr>
          <w:sz w:val="24"/>
          <w:szCs w:val="24"/>
        </w:rPr>
        <w:t>1</w:t>
      </w:r>
    </w:p>
    <w:p w:rsidR="00221217" w:rsidRPr="000B635A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21217" w:rsidRPr="000B635A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B635A">
        <w:rPr>
          <w:rFonts w:ascii="Calibri" w:eastAsia="Calibri" w:hAnsi="Calibri" w:cs="Times New Roman"/>
          <w:sz w:val="24"/>
          <w:szCs w:val="24"/>
        </w:rPr>
        <w:t>TO:</w:t>
      </w:r>
      <w:r w:rsidRPr="000B635A">
        <w:rPr>
          <w:rFonts w:ascii="Calibri" w:eastAsia="Calibri" w:hAnsi="Calibri" w:cs="Times New Roman"/>
          <w:sz w:val="24"/>
          <w:szCs w:val="24"/>
        </w:rPr>
        <w:tab/>
        <w:t>Ann Cole, Clerk</w:t>
      </w:r>
    </w:p>
    <w:p w:rsidR="00221217" w:rsidRPr="000B635A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B635A">
        <w:rPr>
          <w:rFonts w:ascii="Calibri" w:eastAsia="Calibri" w:hAnsi="Calibri" w:cs="Times New Roman"/>
          <w:sz w:val="24"/>
          <w:szCs w:val="24"/>
        </w:rPr>
        <w:tab/>
        <w:t xml:space="preserve">Office of Commission Clerk </w:t>
      </w:r>
    </w:p>
    <w:p w:rsidR="00221217" w:rsidRPr="000B635A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21217" w:rsidRPr="000B635A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B635A">
        <w:rPr>
          <w:rFonts w:ascii="Calibri" w:eastAsia="Calibri" w:hAnsi="Calibri" w:cs="Times New Roman"/>
          <w:sz w:val="24"/>
          <w:szCs w:val="24"/>
        </w:rPr>
        <w:t>FROM:</w:t>
      </w:r>
      <w:r w:rsidRPr="000B635A">
        <w:rPr>
          <w:rFonts w:ascii="Calibri" w:eastAsia="Calibri" w:hAnsi="Calibri" w:cs="Times New Roman"/>
          <w:sz w:val="24"/>
          <w:szCs w:val="24"/>
        </w:rPr>
        <w:tab/>
      </w:r>
      <w:r w:rsidRPr="000B635A">
        <w:rPr>
          <w:rFonts w:ascii="Calibri" w:eastAsia="Calibri" w:hAnsi="Calibri" w:cs="Times New Roman"/>
          <w:sz w:val="24"/>
          <w:szCs w:val="24"/>
          <w:highlight w:val="black"/>
        </w:rPr>
        <w:t>Russell and Shirley Ferrell</w:t>
      </w:r>
      <w:r w:rsidRPr="000B635A">
        <w:rPr>
          <w:rFonts w:ascii="Calibri" w:eastAsia="Calibri" w:hAnsi="Calibri" w:cs="Times New Roman"/>
          <w:sz w:val="24"/>
          <w:szCs w:val="24"/>
        </w:rPr>
        <w:t xml:space="preserve"> </w:t>
      </w:r>
      <w:r w:rsidRPr="00EF2618">
        <w:rPr>
          <w:rFonts w:ascii="Calibri" w:eastAsia="Calibri" w:hAnsi="Calibri" w:cs="Times New Roman"/>
          <w:i/>
          <w:sz w:val="24"/>
          <w:szCs w:val="24"/>
        </w:rPr>
        <w:t>Petitioners</w:t>
      </w:r>
    </w:p>
    <w:p w:rsidR="00221217" w:rsidRPr="000B635A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21217" w:rsidRPr="000B635A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0B635A">
        <w:rPr>
          <w:rFonts w:ascii="Calibri" w:eastAsia="Calibri" w:hAnsi="Calibri" w:cs="Times New Roman"/>
          <w:sz w:val="24"/>
          <w:szCs w:val="24"/>
        </w:rPr>
        <w:t>RE:</w:t>
      </w:r>
      <w:r w:rsidRPr="000B635A">
        <w:rPr>
          <w:rFonts w:ascii="Calibri" w:eastAsia="Calibri" w:hAnsi="Calibri" w:cs="Times New Roman"/>
          <w:sz w:val="24"/>
          <w:szCs w:val="24"/>
        </w:rPr>
        <w:tab/>
      </w:r>
      <w:r>
        <w:rPr>
          <w:sz w:val="24"/>
          <w:szCs w:val="24"/>
        </w:rPr>
        <w:t>Response</w:t>
      </w:r>
      <w:r w:rsidRPr="000B635A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Pr="000B635A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sz w:val="24"/>
          <w:szCs w:val="24"/>
        </w:rPr>
        <w:t>02/22</w:t>
      </w:r>
      <w:r w:rsidRPr="000B635A">
        <w:rPr>
          <w:rFonts w:ascii="Calibri" w:eastAsia="Calibri" w:hAnsi="Calibri" w:cs="Times New Roman"/>
          <w:sz w:val="24"/>
          <w:szCs w:val="24"/>
        </w:rPr>
        <w:t>/201</w:t>
      </w:r>
      <w:r>
        <w:rPr>
          <w:sz w:val="24"/>
          <w:szCs w:val="24"/>
        </w:rPr>
        <w:t xml:space="preserve">1 </w:t>
      </w:r>
      <w:r w:rsidRPr="000B635A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221217" w:rsidRPr="000B635A" w:rsidRDefault="00221217" w:rsidP="00221217">
      <w:pPr>
        <w:tabs>
          <w:tab w:val="left" w:pos="1710"/>
        </w:tabs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p w:rsidR="00221217" w:rsidRPr="000B635A" w:rsidRDefault="00221217" w:rsidP="00221217">
      <w:pPr>
        <w:tabs>
          <w:tab w:val="left" w:pos="864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  <w:r w:rsidRPr="000B635A">
        <w:rPr>
          <w:rFonts w:ascii="Calibri" w:eastAsia="Calibri" w:hAnsi="Calibri" w:cs="Times New Roman"/>
          <w:sz w:val="24"/>
          <w:szCs w:val="24"/>
          <w:u w:val="single"/>
        </w:rPr>
        <w:tab/>
      </w:r>
    </w:p>
    <w:p w:rsidR="00221217" w:rsidRPr="000B635A" w:rsidRDefault="00221217" w:rsidP="00221217">
      <w:pPr>
        <w:tabs>
          <w:tab w:val="left" w:pos="8640"/>
        </w:tabs>
        <w:spacing w:after="0" w:line="240" w:lineRule="auto"/>
        <w:rPr>
          <w:rFonts w:ascii="Calibri" w:eastAsia="Calibri" w:hAnsi="Calibri" w:cs="Times New Roman"/>
          <w:sz w:val="24"/>
          <w:szCs w:val="24"/>
          <w:u w:val="single"/>
        </w:rPr>
      </w:pPr>
    </w:p>
    <w:p w:rsidR="00221217" w:rsidRPr="000B635A" w:rsidRDefault="00221217" w:rsidP="00221217">
      <w:pPr>
        <w:tabs>
          <w:tab w:val="left" w:pos="1710"/>
        </w:tabs>
        <w:spacing w:after="0" w:line="240" w:lineRule="auto"/>
        <w:ind w:left="1710" w:hanging="1260"/>
        <w:rPr>
          <w:rFonts w:ascii="Calibri" w:eastAsia="Calibri" w:hAnsi="Calibri" w:cs="Times New Roman"/>
          <w:sz w:val="24"/>
          <w:szCs w:val="24"/>
        </w:rPr>
      </w:pPr>
      <w:r w:rsidRPr="000B635A">
        <w:rPr>
          <w:rFonts w:ascii="Calibri" w:eastAsia="Calibri" w:hAnsi="Calibri" w:cs="Times New Roman"/>
          <w:sz w:val="24"/>
          <w:szCs w:val="24"/>
        </w:rPr>
        <w:t xml:space="preserve">SPECIAL </w:t>
      </w:r>
    </w:p>
    <w:p w:rsidR="00221217" w:rsidRPr="000B635A" w:rsidRDefault="00221217" w:rsidP="00221217">
      <w:pPr>
        <w:tabs>
          <w:tab w:val="left" w:pos="1620"/>
        </w:tabs>
        <w:spacing w:after="0" w:line="240" w:lineRule="auto"/>
        <w:ind w:left="1620" w:hanging="1170"/>
        <w:rPr>
          <w:rFonts w:ascii="Calibri" w:eastAsia="Calibri" w:hAnsi="Calibri" w:cs="Times New Roman"/>
          <w:sz w:val="24"/>
          <w:szCs w:val="24"/>
        </w:rPr>
      </w:pPr>
      <w:r w:rsidRPr="000B635A">
        <w:rPr>
          <w:rFonts w:ascii="Calibri" w:eastAsia="Calibri" w:hAnsi="Calibri" w:cs="Times New Roman"/>
          <w:sz w:val="24"/>
          <w:szCs w:val="24"/>
        </w:rPr>
        <w:t xml:space="preserve">REQUEST:   </w:t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  <w:r w:rsidRPr="000B635A">
        <w:rPr>
          <w:rFonts w:ascii="Calibri" w:eastAsia="Calibri" w:hAnsi="Calibri" w:cs="Times New Roman"/>
          <w:sz w:val="24"/>
          <w:szCs w:val="24"/>
        </w:rPr>
        <w:t xml:space="preserve">May Office of Commission Clerk distribute the attached </w:t>
      </w:r>
      <w:r>
        <w:rPr>
          <w:sz w:val="24"/>
          <w:szCs w:val="24"/>
        </w:rPr>
        <w:t>Response to</w:t>
      </w:r>
      <w:r w:rsidRPr="000B635A">
        <w:rPr>
          <w:rFonts w:ascii="Calibri" w:eastAsia="Calibri" w:hAnsi="Calibri" w:cs="Times New Roman"/>
          <w:sz w:val="24"/>
          <w:szCs w:val="24"/>
        </w:rPr>
        <w:t xml:space="preserve"> Commissioners</w:t>
      </w:r>
      <w:r>
        <w:rPr>
          <w:rFonts w:ascii="Calibri" w:eastAsia="Calibri" w:hAnsi="Calibri" w:cs="Times New Roman"/>
          <w:sz w:val="24"/>
          <w:szCs w:val="24"/>
        </w:rPr>
        <w:t xml:space="preserve">, Staff </w:t>
      </w:r>
      <w:r w:rsidRPr="000B635A">
        <w:rPr>
          <w:rFonts w:ascii="Calibri" w:eastAsia="Calibri" w:hAnsi="Calibri" w:cs="Times New Roman"/>
          <w:sz w:val="24"/>
          <w:szCs w:val="24"/>
        </w:rPr>
        <w:t>and Part</w:t>
      </w:r>
      <w:r>
        <w:rPr>
          <w:rFonts w:ascii="Calibri" w:eastAsia="Calibri" w:hAnsi="Calibri" w:cs="Times New Roman"/>
          <w:sz w:val="24"/>
          <w:szCs w:val="24"/>
        </w:rPr>
        <w:t>ies in</w:t>
      </w:r>
      <w:r w:rsidRPr="000B635A">
        <w:rPr>
          <w:rFonts w:ascii="Calibri" w:eastAsia="Calibri" w:hAnsi="Calibri" w:cs="Times New Roman"/>
          <w:sz w:val="24"/>
          <w:szCs w:val="24"/>
        </w:rPr>
        <w:t xml:space="preserve"> Dockets100175-TL and 100312-EI.</w:t>
      </w:r>
    </w:p>
    <w:p w:rsidR="00221217" w:rsidRPr="000B635A" w:rsidRDefault="00221217" w:rsidP="00221217">
      <w:pPr>
        <w:tabs>
          <w:tab w:val="left" w:pos="1710"/>
          <w:tab w:val="left" w:pos="8640"/>
        </w:tabs>
        <w:spacing w:after="0" w:line="240" w:lineRule="auto"/>
        <w:ind w:hanging="1260"/>
        <w:rPr>
          <w:rFonts w:ascii="Calibri" w:eastAsia="Calibri" w:hAnsi="Calibri" w:cs="Times New Roman"/>
          <w:sz w:val="24"/>
          <w:szCs w:val="24"/>
        </w:rPr>
      </w:pPr>
    </w:p>
    <w:p w:rsidR="00221217" w:rsidRPr="0037462A" w:rsidRDefault="00221217" w:rsidP="00221217">
      <w:pPr>
        <w:spacing w:after="60"/>
        <w:ind w:left="180" w:firstLine="27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br w:type="page"/>
      </w:r>
      <w:r w:rsidRPr="0037462A">
        <w:rPr>
          <w:rFonts w:ascii="Arial" w:hAnsi="Arial" w:cs="Arial"/>
          <w:b/>
          <w:sz w:val="24"/>
          <w:szCs w:val="24"/>
        </w:rPr>
        <w:lastRenderedPageBreak/>
        <w:t>BEFORE THE FLORIDA PUBLIC SERVICE COMMISSION</w:t>
      </w:r>
    </w:p>
    <w:p w:rsidR="00221217" w:rsidRPr="0037462A" w:rsidRDefault="00221217" w:rsidP="00221217">
      <w:pPr>
        <w:spacing w:after="6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21217" w:rsidRPr="0037462A" w:rsidRDefault="00221217" w:rsidP="00221217">
      <w:pPr>
        <w:tabs>
          <w:tab w:val="left" w:pos="6840"/>
        </w:tabs>
        <w:spacing w:after="0" w:line="240" w:lineRule="auto"/>
        <w:ind w:left="-187" w:firstLine="274"/>
        <w:rPr>
          <w:rFonts w:ascii="Arial" w:hAnsi="Arial" w:cs="Arial"/>
          <w:sz w:val="24"/>
          <w:szCs w:val="24"/>
        </w:rPr>
      </w:pPr>
      <w:r w:rsidRPr="0037462A">
        <w:rPr>
          <w:rFonts w:ascii="Arial" w:hAnsi="Arial" w:cs="Arial"/>
          <w:sz w:val="24"/>
          <w:szCs w:val="24"/>
        </w:rPr>
        <w:t>Complaint against</w:t>
      </w:r>
      <w:r>
        <w:rPr>
          <w:rFonts w:ascii="Arial" w:hAnsi="Arial" w:cs="Arial"/>
          <w:sz w:val="24"/>
          <w:szCs w:val="24"/>
        </w:rPr>
        <w:t xml:space="preserve"> </w:t>
      </w:r>
      <w:r w:rsidRPr="0037462A">
        <w:rPr>
          <w:rFonts w:ascii="Arial" w:hAnsi="Arial" w:cs="Arial"/>
          <w:sz w:val="24"/>
          <w:szCs w:val="24"/>
        </w:rPr>
        <w:t>AT&amp;T</w:t>
      </w:r>
      <w:r>
        <w:rPr>
          <w:rFonts w:ascii="Arial" w:hAnsi="Arial" w:cs="Arial"/>
          <w:sz w:val="24"/>
          <w:szCs w:val="24"/>
        </w:rPr>
        <w:t xml:space="preserve"> d/b/a </w:t>
      </w:r>
      <w:r w:rsidRPr="0037462A">
        <w:rPr>
          <w:rFonts w:ascii="Arial" w:hAnsi="Arial" w:cs="Arial"/>
          <w:sz w:val="24"/>
          <w:szCs w:val="24"/>
        </w:rPr>
        <w:t>BellSouth</w:t>
      </w:r>
      <w:r w:rsidRPr="0037462A">
        <w:rPr>
          <w:rFonts w:ascii="Arial" w:hAnsi="Arial" w:cs="Arial"/>
          <w:sz w:val="24"/>
          <w:szCs w:val="24"/>
        </w:rPr>
        <w:tab/>
        <w:t>Docket No. 100175-TL</w:t>
      </w:r>
    </w:p>
    <w:p w:rsidR="00221217" w:rsidRDefault="00221217" w:rsidP="00221217">
      <w:pPr>
        <w:tabs>
          <w:tab w:val="left" w:pos="5040"/>
          <w:tab w:val="left" w:pos="6840"/>
        </w:tabs>
        <w:spacing w:after="0" w:line="240" w:lineRule="auto"/>
        <w:ind w:left="-187" w:firstLine="27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Alleged violation of various sections of Florida</w:t>
      </w:r>
    </w:p>
    <w:p w:rsidR="00221217" w:rsidRDefault="00221217" w:rsidP="00221217">
      <w:pPr>
        <w:tabs>
          <w:tab w:val="left" w:pos="5040"/>
          <w:tab w:val="left" w:pos="6840"/>
        </w:tabs>
        <w:spacing w:after="0" w:line="240" w:lineRule="auto"/>
        <w:ind w:left="-187" w:firstLine="2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Administrative Code, Florida Statutes, and AT&amp;T </w:t>
      </w:r>
    </w:p>
    <w:p w:rsidR="00221217" w:rsidRDefault="00221217" w:rsidP="00221217">
      <w:pPr>
        <w:tabs>
          <w:tab w:val="left" w:pos="5040"/>
          <w:tab w:val="left" w:pos="6840"/>
        </w:tabs>
        <w:spacing w:after="0" w:line="240" w:lineRule="auto"/>
        <w:ind w:left="-187" w:firstLine="2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Regulations pertaining to billing of charges and Collection of</w:t>
      </w:r>
    </w:p>
    <w:p w:rsidR="00221217" w:rsidRPr="0037462A" w:rsidRDefault="00221217" w:rsidP="00221217">
      <w:pPr>
        <w:tabs>
          <w:tab w:val="left" w:pos="5040"/>
          <w:tab w:val="left" w:pos="6840"/>
        </w:tabs>
        <w:spacing w:after="0" w:line="240" w:lineRule="auto"/>
        <w:ind w:left="-187" w:firstLine="27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charges</w:t>
      </w:r>
      <w:proofErr w:type="gramEnd"/>
      <w:r>
        <w:rPr>
          <w:rFonts w:ascii="Arial" w:hAnsi="Arial" w:cs="Arial"/>
          <w:sz w:val="24"/>
          <w:szCs w:val="24"/>
        </w:rPr>
        <w:t>, fees and taxes</w:t>
      </w:r>
    </w:p>
    <w:p w:rsidR="00221217" w:rsidRPr="0037462A" w:rsidRDefault="00221217" w:rsidP="00221217">
      <w:pPr>
        <w:tabs>
          <w:tab w:val="left" w:pos="5040"/>
          <w:tab w:val="left" w:pos="6840"/>
        </w:tabs>
        <w:spacing w:after="60"/>
        <w:ind w:left="-180" w:firstLine="270"/>
        <w:rPr>
          <w:rFonts w:ascii="Arial" w:hAnsi="Arial" w:cs="Arial"/>
          <w:sz w:val="24"/>
          <w:szCs w:val="24"/>
        </w:rPr>
      </w:pPr>
    </w:p>
    <w:p w:rsidR="00221217" w:rsidRPr="0037462A" w:rsidRDefault="00221217" w:rsidP="00221217">
      <w:pPr>
        <w:tabs>
          <w:tab w:val="left" w:pos="5040"/>
          <w:tab w:val="left" w:pos="6840"/>
        </w:tabs>
        <w:spacing w:after="0" w:line="240" w:lineRule="auto"/>
        <w:ind w:left="-187" w:firstLine="274"/>
        <w:rPr>
          <w:rFonts w:ascii="Arial" w:hAnsi="Arial" w:cs="Arial"/>
          <w:sz w:val="24"/>
          <w:szCs w:val="24"/>
        </w:rPr>
      </w:pPr>
      <w:r w:rsidRPr="0037462A">
        <w:rPr>
          <w:rFonts w:ascii="Arial" w:hAnsi="Arial" w:cs="Arial"/>
          <w:sz w:val="24"/>
          <w:szCs w:val="24"/>
        </w:rPr>
        <w:t>Complaint against</w:t>
      </w:r>
      <w:r>
        <w:rPr>
          <w:rFonts w:ascii="Arial" w:hAnsi="Arial" w:cs="Arial"/>
          <w:sz w:val="24"/>
          <w:szCs w:val="24"/>
        </w:rPr>
        <w:t xml:space="preserve"> </w:t>
      </w:r>
      <w:r w:rsidRPr="0037462A">
        <w:rPr>
          <w:rFonts w:ascii="Arial" w:hAnsi="Arial" w:cs="Arial"/>
          <w:sz w:val="24"/>
          <w:szCs w:val="24"/>
        </w:rPr>
        <w:t>Florida Power and Light Company</w:t>
      </w:r>
      <w:r w:rsidRPr="0037462A">
        <w:rPr>
          <w:rFonts w:ascii="Arial" w:hAnsi="Arial" w:cs="Arial"/>
          <w:sz w:val="24"/>
          <w:szCs w:val="24"/>
        </w:rPr>
        <w:tab/>
        <w:t>Docket No. 100312-EI</w:t>
      </w:r>
    </w:p>
    <w:p w:rsidR="00221217" w:rsidRDefault="00221217" w:rsidP="00221217">
      <w:pPr>
        <w:tabs>
          <w:tab w:val="left" w:pos="5040"/>
          <w:tab w:val="left" w:pos="6840"/>
        </w:tabs>
        <w:spacing w:after="0" w:line="240" w:lineRule="auto"/>
        <w:ind w:left="-187" w:firstLine="27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for</w:t>
      </w:r>
      <w:proofErr w:type="gramEnd"/>
      <w:r>
        <w:rPr>
          <w:rFonts w:ascii="Arial" w:hAnsi="Arial" w:cs="Arial"/>
          <w:sz w:val="24"/>
          <w:szCs w:val="24"/>
        </w:rPr>
        <w:t xml:space="preserve"> Alleged violation of various sections of Florida</w:t>
      </w:r>
    </w:p>
    <w:p w:rsidR="00221217" w:rsidRDefault="00221217" w:rsidP="00221217">
      <w:pPr>
        <w:tabs>
          <w:tab w:val="left" w:pos="5040"/>
          <w:tab w:val="left" w:pos="6840"/>
        </w:tabs>
        <w:spacing w:after="0" w:line="240" w:lineRule="auto"/>
        <w:ind w:left="-187" w:firstLine="2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Administrative Code, Florida Statutes, and AT&amp;T </w:t>
      </w:r>
    </w:p>
    <w:p w:rsidR="00221217" w:rsidRDefault="00221217" w:rsidP="00221217">
      <w:pPr>
        <w:tabs>
          <w:tab w:val="left" w:pos="5040"/>
          <w:tab w:val="left" w:pos="6840"/>
        </w:tabs>
        <w:spacing w:after="0" w:line="240" w:lineRule="auto"/>
        <w:ind w:left="-187" w:firstLine="27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Regulations pertaining to billing of charges and Collection of</w:t>
      </w:r>
    </w:p>
    <w:p w:rsidR="00221217" w:rsidRDefault="00221217" w:rsidP="00221217">
      <w:pPr>
        <w:tabs>
          <w:tab w:val="left" w:pos="6840"/>
        </w:tabs>
        <w:spacing w:after="240" w:line="240" w:lineRule="auto"/>
        <w:ind w:left="-187" w:firstLine="274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charges</w:t>
      </w:r>
      <w:proofErr w:type="gramEnd"/>
      <w:r>
        <w:rPr>
          <w:rFonts w:ascii="Arial" w:hAnsi="Arial" w:cs="Arial"/>
          <w:sz w:val="24"/>
          <w:szCs w:val="24"/>
        </w:rPr>
        <w:t>, fees and taxes</w:t>
      </w:r>
    </w:p>
    <w:p w:rsidR="00221217" w:rsidRPr="0037462A" w:rsidRDefault="00221217" w:rsidP="00221217">
      <w:pPr>
        <w:tabs>
          <w:tab w:val="left" w:pos="6840"/>
        </w:tabs>
        <w:spacing w:after="240" w:line="240" w:lineRule="auto"/>
        <w:ind w:left="-187" w:firstLine="274"/>
        <w:rPr>
          <w:rFonts w:ascii="Arial" w:hAnsi="Arial" w:cs="Arial"/>
          <w:sz w:val="24"/>
          <w:szCs w:val="24"/>
        </w:rPr>
      </w:pPr>
    </w:p>
    <w:p w:rsidR="00221217" w:rsidRPr="0037462A" w:rsidRDefault="00221217" w:rsidP="00221217">
      <w:pPr>
        <w:spacing w:after="60"/>
        <w:ind w:left="-180" w:firstLine="27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PETITIONERS’ RESPONSE TO RESPONDENTS’ OPPOSITIONS TO RECONSIDERATION</w:t>
      </w:r>
    </w:p>
    <w:p w:rsidR="00221217" w:rsidRPr="0037462A" w:rsidRDefault="00221217" w:rsidP="00221217">
      <w:pPr>
        <w:spacing w:after="60"/>
        <w:ind w:left="-180" w:firstLine="27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21217" w:rsidRDefault="00221217" w:rsidP="00221217">
      <w:pPr>
        <w:spacing w:line="360" w:lineRule="auto"/>
        <w:ind w:left="-180" w:firstLine="1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Petitioners hereby reiterate as</w:t>
      </w:r>
      <w:r w:rsidRPr="00BA34A5">
        <w:rPr>
          <w:rFonts w:ascii="Arial" w:hAnsi="Arial" w:cs="Arial"/>
          <w:sz w:val="24"/>
          <w:szCs w:val="24"/>
        </w:rPr>
        <w:t xml:space="preserve"> a matter of fact overlooked at February 8, 2011 Hearing</w:t>
      </w:r>
      <w:r>
        <w:rPr>
          <w:rFonts w:ascii="Arial" w:hAnsi="Arial" w:cs="Arial"/>
          <w:sz w:val="24"/>
          <w:szCs w:val="24"/>
        </w:rPr>
        <w:t>,</w:t>
      </w:r>
      <w:r w:rsidRPr="00BA34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this matter was</w:t>
      </w:r>
      <w:r w:rsidRPr="00BA34A5">
        <w:rPr>
          <w:rFonts w:ascii="Arial" w:hAnsi="Arial" w:cs="Arial"/>
          <w:sz w:val="24"/>
          <w:szCs w:val="24"/>
        </w:rPr>
        <w:t xml:space="preserve"> not fully heard according to law</w:t>
      </w:r>
      <w:r>
        <w:rPr>
          <w:rFonts w:ascii="Arial" w:hAnsi="Arial" w:cs="Arial"/>
          <w:sz w:val="24"/>
          <w:szCs w:val="24"/>
        </w:rPr>
        <w:t>.  D</w:t>
      </w:r>
      <w:r w:rsidRPr="00BA34A5">
        <w:rPr>
          <w:rFonts w:ascii="Arial" w:hAnsi="Arial" w:cs="Arial"/>
          <w:sz w:val="24"/>
          <w:szCs w:val="24"/>
        </w:rPr>
        <w:t xml:space="preserve">espite at that time the request to </w:t>
      </w:r>
      <w:r w:rsidRPr="009F7AAB">
        <w:rPr>
          <w:rFonts w:ascii="Arial" w:hAnsi="Arial" w:cs="Arial"/>
          <w:i/>
          <w:sz w:val="24"/>
          <w:szCs w:val="24"/>
        </w:rPr>
        <w:t>rebut</w:t>
      </w:r>
      <w:r w:rsidRPr="00BA34A5">
        <w:rPr>
          <w:rFonts w:ascii="Arial" w:hAnsi="Arial" w:cs="Arial"/>
          <w:sz w:val="24"/>
          <w:szCs w:val="24"/>
        </w:rPr>
        <w:t xml:space="preserve"> Respondents’ inaccurate </w:t>
      </w:r>
      <w:r>
        <w:rPr>
          <w:rFonts w:ascii="Arial" w:hAnsi="Arial" w:cs="Arial"/>
          <w:sz w:val="24"/>
          <w:szCs w:val="24"/>
        </w:rPr>
        <w:t xml:space="preserve">statements, the incorrect assumption exists that Petitioner seeks to </w:t>
      </w:r>
      <w:r w:rsidRPr="009F7AAB">
        <w:rPr>
          <w:rFonts w:ascii="Arial" w:hAnsi="Arial" w:cs="Arial"/>
          <w:i/>
          <w:sz w:val="24"/>
          <w:szCs w:val="24"/>
        </w:rPr>
        <w:t>re-argue</w:t>
      </w:r>
      <w:r>
        <w:rPr>
          <w:rFonts w:ascii="Arial" w:hAnsi="Arial" w:cs="Arial"/>
          <w:sz w:val="24"/>
          <w:szCs w:val="24"/>
        </w:rPr>
        <w:t xml:space="preserve"> the stated position on record</w:t>
      </w:r>
      <w:r w:rsidRPr="00BA34A5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Further, as a matter of fact overlooked, Commission reached its</w:t>
      </w:r>
      <w:r w:rsidRPr="00BA34A5">
        <w:rPr>
          <w:rFonts w:ascii="Arial" w:hAnsi="Arial" w:cs="Arial"/>
          <w:sz w:val="24"/>
          <w:szCs w:val="24"/>
        </w:rPr>
        <w:t xml:space="preserve"> decision based on a flawed Staff Memorandum that fails to meet Standard of Review</w:t>
      </w:r>
      <w:r>
        <w:rPr>
          <w:rFonts w:ascii="Arial" w:hAnsi="Arial" w:cs="Arial"/>
          <w:sz w:val="24"/>
          <w:szCs w:val="24"/>
        </w:rPr>
        <w:t>.</w:t>
      </w:r>
      <w:r w:rsidRPr="00BA34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A</w:t>
      </w:r>
      <w:r w:rsidRPr="00BA34A5">
        <w:rPr>
          <w:rFonts w:ascii="Arial" w:hAnsi="Arial" w:cs="Arial"/>
          <w:sz w:val="24"/>
          <w:szCs w:val="24"/>
        </w:rPr>
        <w:t>s a matter of law failed to be considered</w:t>
      </w:r>
      <w:r>
        <w:rPr>
          <w:rFonts w:ascii="Arial" w:hAnsi="Arial" w:cs="Arial"/>
          <w:sz w:val="24"/>
          <w:szCs w:val="24"/>
        </w:rPr>
        <w:t xml:space="preserve"> by Commission</w:t>
      </w:r>
      <w:r w:rsidRPr="00BA34A5">
        <w:rPr>
          <w:rFonts w:ascii="Arial" w:hAnsi="Arial" w:cs="Arial"/>
          <w:sz w:val="24"/>
          <w:szCs w:val="24"/>
        </w:rPr>
        <w:t xml:space="preserve">, Commissioners are yet to act according to </w:t>
      </w:r>
      <w:r>
        <w:rPr>
          <w:rFonts w:ascii="Arial" w:hAnsi="Arial" w:cs="Arial"/>
          <w:sz w:val="24"/>
          <w:szCs w:val="24"/>
        </w:rPr>
        <w:t>law, including Florida S</w:t>
      </w:r>
      <w:r w:rsidRPr="00BA34A5">
        <w:rPr>
          <w:rFonts w:ascii="Arial" w:hAnsi="Arial" w:cs="Arial"/>
          <w:sz w:val="24"/>
          <w:szCs w:val="24"/>
        </w:rPr>
        <w:t>tatutes 202</w:t>
      </w:r>
      <w:r>
        <w:rPr>
          <w:rFonts w:ascii="Arial" w:hAnsi="Arial" w:cs="Arial"/>
          <w:sz w:val="24"/>
          <w:szCs w:val="24"/>
        </w:rPr>
        <w:t>.16, 202.125 and</w:t>
      </w:r>
      <w:r w:rsidRPr="00BA34A5">
        <w:rPr>
          <w:rFonts w:ascii="Arial" w:hAnsi="Arial" w:cs="Arial"/>
          <w:sz w:val="24"/>
          <w:szCs w:val="24"/>
        </w:rPr>
        <w:t xml:space="preserve"> 203</w:t>
      </w:r>
      <w:r>
        <w:rPr>
          <w:rFonts w:ascii="Arial" w:hAnsi="Arial" w:cs="Arial"/>
          <w:sz w:val="24"/>
          <w:szCs w:val="24"/>
        </w:rPr>
        <w:t>.013(5) referenced in prior pleadings</w:t>
      </w:r>
      <w:r w:rsidRPr="00BA34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Subsequent to </w:t>
      </w:r>
      <w:r w:rsidR="00C47E68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same day issued “Commission Vote Sheet” referencing Commissioners’ non impartial judgment, the procedurally and substantively sufficient Notice and Motion for Reconsideration was filed, that </w:t>
      </w:r>
      <w:r w:rsidRPr="00BA34A5">
        <w:rPr>
          <w:rFonts w:ascii="Arial" w:hAnsi="Arial" w:cs="Arial"/>
          <w:sz w:val="24"/>
          <w:szCs w:val="24"/>
        </w:rPr>
        <w:t>reconsideration of this matter</w:t>
      </w:r>
      <w:r>
        <w:rPr>
          <w:rFonts w:ascii="Arial" w:hAnsi="Arial" w:cs="Arial"/>
          <w:sz w:val="24"/>
          <w:szCs w:val="24"/>
        </w:rPr>
        <w:t xml:space="preserve"> is</w:t>
      </w:r>
      <w:r w:rsidRPr="00BA34A5">
        <w:rPr>
          <w:rFonts w:ascii="Arial" w:hAnsi="Arial" w:cs="Arial"/>
          <w:sz w:val="24"/>
          <w:szCs w:val="24"/>
        </w:rPr>
        <w:t xml:space="preserve"> appropriate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21217" w:rsidRPr="0037462A" w:rsidRDefault="00221217" w:rsidP="00221217">
      <w:pPr>
        <w:spacing w:line="360" w:lineRule="auto"/>
        <w:ind w:left="-180" w:firstLine="180"/>
        <w:rPr>
          <w:rFonts w:ascii="Arial" w:hAnsi="Arial" w:cs="Arial"/>
          <w:sz w:val="24"/>
          <w:szCs w:val="24"/>
        </w:rPr>
      </w:pPr>
    </w:p>
    <w:p w:rsidR="00221217" w:rsidRDefault="00221217" w:rsidP="00221217">
      <w:pPr>
        <w:tabs>
          <w:tab w:val="left" w:pos="3960"/>
        </w:tabs>
        <w:spacing w:after="0" w:line="240" w:lineRule="auto"/>
        <w:rPr>
          <w:rFonts w:ascii="Arial" w:hAnsi="Arial" w:cs="Arial"/>
          <w:b/>
          <w:i/>
          <w:sz w:val="24"/>
          <w:szCs w:val="24"/>
          <w:u w:val="single"/>
        </w:rPr>
      </w:pPr>
      <w:r w:rsidRPr="0037462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February 22</w:t>
      </w:r>
      <w:r w:rsidRPr="0037462A">
        <w:rPr>
          <w:rFonts w:ascii="Arial" w:hAnsi="Arial" w:cs="Arial"/>
          <w:sz w:val="24"/>
          <w:szCs w:val="24"/>
        </w:rPr>
        <w:t>, 201</w:t>
      </w:r>
      <w:r>
        <w:rPr>
          <w:rFonts w:ascii="Arial" w:hAnsi="Arial" w:cs="Arial"/>
          <w:sz w:val="24"/>
          <w:szCs w:val="24"/>
        </w:rPr>
        <w:t>1</w:t>
      </w:r>
      <w:r w:rsidRPr="0037462A">
        <w:rPr>
          <w:rFonts w:ascii="Arial" w:hAnsi="Arial" w:cs="Arial"/>
          <w:sz w:val="24"/>
          <w:szCs w:val="24"/>
        </w:rPr>
        <w:t xml:space="preserve"> By:</w:t>
      </w:r>
      <w:r>
        <w:rPr>
          <w:rFonts w:ascii="Arial" w:hAnsi="Arial" w:cs="Arial"/>
          <w:sz w:val="24"/>
          <w:szCs w:val="24"/>
        </w:rPr>
        <w:t xml:space="preserve"> </w:t>
      </w:r>
      <w:r w:rsidRPr="0037462A">
        <w:rPr>
          <w:rFonts w:ascii="Arial" w:hAnsi="Arial" w:cs="Arial"/>
          <w:sz w:val="24"/>
          <w:szCs w:val="24"/>
          <w:u w:val="single"/>
        </w:rPr>
        <w:t xml:space="preserve">   </w:t>
      </w:r>
      <w:r w:rsidRPr="0037462A">
        <w:rPr>
          <w:rFonts w:ascii="Arial" w:hAnsi="Arial" w:cs="Arial"/>
          <w:i/>
          <w:sz w:val="24"/>
          <w:szCs w:val="24"/>
          <w:u w:val="single"/>
        </w:rPr>
        <w:t>/s</w:t>
      </w:r>
      <w:proofErr w:type="gramStart"/>
      <w:r w:rsidRPr="0037462A">
        <w:rPr>
          <w:rFonts w:ascii="Arial" w:hAnsi="Arial" w:cs="Arial"/>
          <w:i/>
          <w:sz w:val="24"/>
          <w:szCs w:val="24"/>
          <w:u w:val="single"/>
        </w:rPr>
        <w:t xml:space="preserve">/  </w:t>
      </w:r>
      <w:r w:rsidRPr="0037462A">
        <w:rPr>
          <w:rFonts w:ascii="Arial" w:hAnsi="Arial" w:cs="Arial"/>
          <w:sz w:val="24"/>
          <w:szCs w:val="24"/>
          <w:highlight w:val="black"/>
        </w:rPr>
        <w:t>Russell</w:t>
      </w:r>
      <w:proofErr w:type="gramEnd"/>
      <w:r w:rsidRPr="0037462A">
        <w:rPr>
          <w:rFonts w:ascii="Arial" w:hAnsi="Arial" w:cs="Arial"/>
          <w:sz w:val="24"/>
          <w:szCs w:val="24"/>
          <w:highlight w:val="black"/>
        </w:rPr>
        <w:t xml:space="preserve"> and </w:t>
      </w:r>
      <w:proofErr w:type="spellStart"/>
      <w:r w:rsidRPr="0037462A">
        <w:rPr>
          <w:rFonts w:ascii="Arial" w:hAnsi="Arial" w:cs="Arial"/>
          <w:sz w:val="24"/>
          <w:szCs w:val="24"/>
          <w:highlight w:val="black"/>
        </w:rPr>
        <w:t>Shirle</w:t>
      </w:r>
      <w:proofErr w:type="spellEnd"/>
      <w:r w:rsidRPr="0037462A">
        <w:rPr>
          <w:rFonts w:ascii="Arial" w:hAnsi="Arial" w:cs="Arial"/>
          <w:b/>
          <w:i/>
          <w:sz w:val="24"/>
          <w:szCs w:val="24"/>
          <w:u w:val="single"/>
        </w:rPr>
        <w:t xml:space="preserve">  </w:t>
      </w:r>
    </w:p>
    <w:p w:rsidR="00221217" w:rsidRPr="0037462A" w:rsidRDefault="00221217" w:rsidP="00221217">
      <w:pPr>
        <w:tabs>
          <w:tab w:val="left" w:pos="6570"/>
        </w:tabs>
        <w:spacing w:after="0" w:line="240" w:lineRule="auto"/>
        <w:rPr>
          <w:rFonts w:ascii="Arial" w:hAnsi="Arial" w:cs="Arial"/>
          <w:b/>
          <w:i/>
          <w:color w:val="FFFFFF"/>
          <w:sz w:val="24"/>
          <w:szCs w:val="24"/>
          <w:u w:val="single"/>
        </w:rPr>
      </w:pPr>
      <w:r w:rsidRPr="0037462A">
        <w:rPr>
          <w:rFonts w:ascii="Arial" w:hAnsi="Arial" w:cs="Arial"/>
          <w:b/>
          <w:i/>
          <w:color w:val="FFFFFF"/>
          <w:sz w:val="24"/>
          <w:szCs w:val="24"/>
          <w:u w:val="single"/>
        </w:rPr>
        <w:t>.</w:t>
      </w:r>
      <w:r w:rsidRPr="0037462A">
        <w:rPr>
          <w:rFonts w:ascii="Arial" w:hAnsi="Arial" w:cs="Arial"/>
          <w:i/>
          <w:sz w:val="24"/>
          <w:szCs w:val="24"/>
        </w:rPr>
        <w:tab/>
      </w:r>
      <w:r w:rsidRPr="0037462A">
        <w:rPr>
          <w:rFonts w:ascii="Arial" w:hAnsi="Arial" w:cs="Arial"/>
          <w:i/>
          <w:sz w:val="24"/>
          <w:szCs w:val="24"/>
        </w:rPr>
        <w:tab/>
        <w:t xml:space="preserve"> Petitioner</w:t>
      </w:r>
    </w:p>
    <w:p w:rsidR="00221217" w:rsidRDefault="00221217" w:rsidP="00221217"/>
    <w:p w:rsidR="00221217" w:rsidRDefault="00221217" w:rsidP="00221217"/>
    <w:p w:rsidR="00F51599" w:rsidRPr="00221217" w:rsidRDefault="00F51599" w:rsidP="00221217"/>
    <w:sectPr w:rsidR="00F51599" w:rsidRPr="00221217" w:rsidSect="00F515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 w:grammar="clean"/>
  <w:defaultTabStop w:val="720"/>
  <w:characterSpacingControl w:val="doNotCompress"/>
  <w:compat/>
  <w:rsids>
    <w:rsidRoot w:val="00221217"/>
    <w:rsid w:val="000F12E9"/>
    <w:rsid w:val="00221217"/>
    <w:rsid w:val="00644F94"/>
    <w:rsid w:val="00C47E68"/>
    <w:rsid w:val="00D52A07"/>
    <w:rsid w:val="00F51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2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/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Ferrell Family</dc:creator>
  <cp:lastModifiedBy>Ferrell Family</cp:lastModifiedBy>
  <cp:revision>2</cp:revision>
  <dcterms:created xsi:type="dcterms:W3CDTF">2011-02-22T20:22:00Z</dcterms:created>
  <dcterms:modified xsi:type="dcterms:W3CDTF">2011-02-22T20:22:00Z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