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8B" w:rsidRDefault="00CA548B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BEFORE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FLORIDA</w:t>
          </w:r>
        </w:smartTag>
      </w:smartTag>
      <w:r>
        <w:rPr>
          <w:rFonts w:ascii="Times New Roman" w:hAnsi="Times New Roman"/>
        </w:rPr>
        <w:t xml:space="preserve"> PUBLIC SERVICE COMMISSION</w:t>
      </w:r>
    </w:p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RE:  Conservation Cost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Docket No. 1</w:t>
      </w:r>
      <w:r w:rsidR="00774690">
        <w:rPr>
          <w:rFonts w:ascii="Times New Roman" w:hAnsi="Times New Roman"/>
        </w:rPr>
        <w:t>1</w:t>
      </w:r>
      <w:r>
        <w:rPr>
          <w:rFonts w:ascii="Times New Roman" w:hAnsi="Times New Roman"/>
        </w:rPr>
        <w:t>0002-EG</w:t>
      </w:r>
    </w:p>
    <w:p w:rsidR="00CA548B" w:rsidRDefault="00CA54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Recovery Clause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)       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Filed:  October </w:t>
      </w:r>
      <w:r w:rsidR="00774690">
        <w:rPr>
          <w:rFonts w:ascii="Times New Roman" w:hAnsi="Times New Roman"/>
        </w:rPr>
        <w:t>3</w:t>
      </w:r>
      <w:r>
        <w:rPr>
          <w:rFonts w:ascii="Times New Roman" w:hAnsi="Times New Roman"/>
        </w:rPr>
        <w:t>, 201</w:t>
      </w:r>
      <w:r w:rsidR="00774690">
        <w:rPr>
          <w:rFonts w:ascii="Times New Roman" w:hAnsi="Times New Roman"/>
        </w:rPr>
        <w:t>1</w:t>
      </w:r>
    </w:p>
    <w:p w:rsidR="00CA548B" w:rsidRDefault="00CA548B" w:rsidP="00F401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ab/>
      </w:r>
    </w:p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>
      <w:pPr>
        <w:tabs>
          <w:tab w:val="center" w:pos="4680"/>
        </w:tabs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 xml:space="preserve">GULF POWER COMPANY’S </w:t>
      </w:r>
    </w:p>
    <w:p w:rsidR="00CA548B" w:rsidRDefault="00CA548B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PRELIMINARY LIST OF ISSUES AND POSITIONS</w:t>
      </w:r>
    </w:p>
    <w:p w:rsidR="00CA548B" w:rsidRDefault="00CA548B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</w:p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 w:rsidP="00DD127F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Gulf Power Company, ("Gulf Power</w:t>
      </w:r>
      <w:r w:rsidR="00E9670D">
        <w:rPr>
          <w:rFonts w:ascii="Times New Roman" w:hAnsi="Times New Roman"/>
        </w:rPr>
        <w:t>,</w:t>
      </w:r>
      <w:r>
        <w:rPr>
          <w:rFonts w:ascii="Times New Roman" w:hAnsi="Times New Roman"/>
        </w:rPr>
        <w:t>" "Gulf</w:t>
      </w:r>
      <w:r w:rsidR="00E9670D">
        <w:rPr>
          <w:rFonts w:ascii="Times New Roman" w:hAnsi="Times New Roman"/>
        </w:rPr>
        <w:t>,</w:t>
      </w:r>
      <w:r>
        <w:rPr>
          <w:rFonts w:ascii="Times New Roman" w:hAnsi="Times New Roman"/>
        </w:rPr>
        <w:t>" or the "Company"), by and through its undersigned attorneys, files its Preliminary List of Issues and Positions, saying:</w:t>
      </w:r>
    </w:p>
    <w:p w:rsidR="000F617C" w:rsidRDefault="00CA548B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A548B" w:rsidRDefault="00CA548B" w:rsidP="000F617C">
      <w:pPr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Generic Energy Conservation Cost Recovery Issues</w:t>
      </w:r>
    </w:p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 w:rsidP="00DD127F">
      <w:pPr>
        <w:pStyle w:val="OrderBody"/>
        <w:ind w:left="1440" w:hanging="1440"/>
        <w:jc w:val="left"/>
      </w:pPr>
      <w:r>
        <w:rPr>
          <w:b/>
          <w:bCs/>
          <w:u w:val="single"/>
        </w:rPr>
        <w:t>ISSUE 1:</w:t>
      </w:r>
      <w:r>
        <w:tab/>
        <w:t>What are the final conservation cost recovery true-up amounts for the period January 20</w:t>
      </w:r>
      <w:r w:rsidR="00270C57">
        <w:t>1</w:t>
      </w:r>
      <w:r>
        <w:t>0 through December 20</w:t>
      </w:r>
      <w:r w:rsidR="00270C57">
        <w:t>1</w:t>
      </w:r>
      <w:r>
        <w:t>0?</w:t>
      </w:r>
    </w:p>
    <w:p w:rsidR="00CA548B" w:rsidRDefault="00CA548B" w:rsidP="00BE725B">
      <w:pPr>
        <w:tabs>
          <w:tab w:val="left" w:pos="-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A548B" w:rsidRDefault="00CA548B">
      <w:pPr>
        <w:tabs>
          <w:tab w:val="left" w:pos="-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GULF:</w:t>
      </w:r>
      <w:r>
        <w:rPr>
          <w:rFonts w:ascii="Times New Roman" w:hAnsi="Times New Roman"/>
        </w:rPr>
        <w:tab/>
      </w:r>
      <w:r w:rsidR="008F3107">
        <w:rPr>
          <w:rFonts w:ascii="Times New Roman" w:hAnsi="Times New Roman"/>
        </w:rPr>
        <w:t>Under</w:t>
      </w:r>
      <w:r>
        <w:rPr>
          <w:rFonts w:ascii="Times New Roman" w:hAnsi="Times New Roman"/>
        </w:rPr>
        <w:t xml:space="preserve"> recovery of $</w:t>
      </w:r>
      <w:r w:rsidR="00270C57">
        <w:rPr>
          <w:rFonts w:ascii="Times New Roman" w:hAnsi="Times New Roman"/>
        </w:rPr>
        <w:t>287</w:t>
      </w:r>
      <w:r>
        <w:rPr>
          <w:rFonts w:ascii="Times New Roman" w:hAnsi="Times New Roman"/>
        </w:rPr>
        <w:t>,</w:t>
      </w:r>
      <w:r w:rsidR="00270C57">
        <w:rPr>
          <w:rFonts w:ascii="Times New Roman" w:hAnsi="Times New Roman"/>
        </w:rPr>
        <w:t>164</w:t>
      </w:r>
      <w:r>
        <w:rPr>
          <w:rFonts w:ascii="Times New Roman" w:hAnsi="Times New Roman"/>
        </w:rPr>
        <w:t>.</w:t>
      </w:r>
      <w:r w:rsidR="00DC6020" w:rsidRPr="0058390A">
        <w:rPr>
          <w:rStyle w:val="FootnoteReference"/>
          <w:rFonts w:ascii="Times New Roman" w:hAnsi="Times New Roman"/>
          <w:vertAlign w:val="superscript"/>
        </w:rPr>
        <w:footnoteReference w:id="1"/>
      </w:r>
      <w:r>
        <w:rPr>
          <w:rFonts w:ascii="Times New Roman" w:hAnsi="Times New Roman"/>
        </w:rPr>
        <w:t xml:space="preserve">  (Todd)</w:t>
      </w:r>
    </w:p>
    <w:p w:rsidR="000F617C" w:rsidRDefault="000F617C">
      <w:pPr>
        <w:tabs>
          <w:tab w:val="left" w:pos="-1440"/>
        </w:tabs>
        <w:ind w:left="1440" w:hanging="1440"/>
        <w:jc w:val="both"/>
        <w:rPr>
          <w:rFonts w:ascii="Times New Roman" w:hAnsi="Times New Roman"/>
        </w:rPr>
      </w:pPr>
    </w:p>
    <w:p w:rsidR="00CA548B" w:rsidRDefault="00CA548B" w:rsidP="00DD127F">
      <w:pPr>
        <w:pStyle w:val="OrderBody"/>
        <w:ind w:left="1440" w:hanging="1440"/>
        <w:jc w:val="left"/>
      </w:pPr>
      <w:r>
        <w:rPr>
          <w:b/>
          <w:bCs/>
          <w:u w:val="single"/>
        </w:rPr>
        <w:t>ISSUE 2:</w:t>
      </w:r>
      <w:r>
        <w:rPr>
          <w:b/>
          <w:bCs/>
        </w:rPr>
        <w:tab/>
      </w:r>
      <w:r>
        <w:t>What are the total conservation cost recovery amounts to be collected during the period January 201</w:t>
      </w:r>
      <w:r w:rsidR="00270C57">
        <w:t>2</w:t>
      </w:r>
      <w:r>
        <w:t xml:space="preserve"> </w:t>
      </w:r>
      <w:r w:rsidR="00270C57">
        <w:t>through December 2012</w:t>
      </w:r>
      <w:r>
        <w:t>?</w:t>
      </w:r>
    </w:p>
    <w:p w:rsidR="00CA548B" w:rsidRPr="003F5A16" w:rsidRDefault="00CA548B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bCs/>
        </w:rPr>
      </w:pPr>
    </w:p>
    <w:p w:rsidR="00CA548B" w:rsidRDefault="00CA548B">
      <w:pPr>
        <w:tabs>
          <w:tab w:val="left" w:pos="-1440"/>
        </w:tabs>
        <w:ind w:left="1440" w:hanging="14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GULF: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Recovery of $</w:t>
      </w:r>
      <w:r w:rsidRPr="001F68FC">
        <w:rPr>
          <w:rFonts w:ascii="Times New Roman" w:hAnsi="Times New Roman"/>
          <w:bCs/>
        </w:rPr>
        <w:t>2</w:t>
      </w:r>
      <w:r w:rsidR="00270C57" w:rsidRPr="001F68FC">
        <w:rPr>
          <w:rFonts w:ascii="Times New Roman" w:hAnsi="Times New Roman"/>
          <w:bCs/>
        </w:rPr>
        <w:t>9</w:t>
      </w:r>
      <w:r w:rsidRPr="001F68FC">
        <w:rPr>
          <w:rFonts w:ascii="Times New Roman" w:hAnsi="Times New Roman"/>
          <w:bCs/>
        </w:rPr>
        <w:t>,2</w:t>
      </w:r>
      <w:r w:rsidR="00270C57" w:rsidRPr="001F68FC">
        <w:rPr>
          <w:rFonts w:ascii="Times New Roman" w:hAnsi="Times New Roman"/>
          <w:bCs/>
        </w:rPr>
        <w:t>88</w:t>
      </w:r>
      <w:r w:rsidRPr="001F68FC">
        <w:rPr>
          <w:rFonts w:ascii="Times New Roman" w:hAnsi="Times New Roman"/>
          <w:bCs/>
        </w:rPr>
        <w:t>,</w:t>
      </w:r>
      <w:r w:rsidR="00270C57" w:rsidRPr="001F68FC">
        <w:rPr>
          <w:rFonts w:ascii="Times New Roman" w:hAnsi="Times New Roman"/>
          <w:bCs/>
        </w:rPr>
        <w:t>627</w:t>
      </w:r>
      <w:r>
        <w:rPr>
          <w:rFonts w:ascii="Times New Roman" w:hAnsi="Times New Roman"/>
          <w:bCs/>
        </w:rPr>
        <w:t xml:space="preserve"> (excluding revenue taxes).  (Todd)</w:t>
      </w:r>
    </w:p>
    <w:p w:rsidR="00113DA4" w:rsidRDefault="00113DA4">
      <w:pPr>
        <w:tabs>
          <w:tab w:val="left" w:pos="-1440"/>
        </w:tabs>
        <w:ind w:left="1440" w:hanging="1440"/>
        <w:jc w:val="both"/>
        <w:rPr>
          <w:rFonts w:ascii="Times New Roman" w:hAnsi="Times New Roman"/>
          <w:bCs/>
        </w:rPr>
      </w:pPr>
    </w:p>
    <w:p w:rsidR="00113DA4" w:rsidRPr="00DA4062" w:rsidRDefault="00113DA4">
      <w:pPr>
        <w:tabs>
          <w:tab w:val="left" w:pos="-1440"/>
        </w:tabs>
        <w:ind w:left="1440" w:hanging="1440"/>
        <w:jc w:val="both"/>
        <w:rPr>
          <w:rFonts w:ascii="Times New Roman" w:hAnsi="Times New Roman"/>
          <w:bCs/>
        </w:rPr>
      </w:pPr>
    </w:p>
    <w:p w:rsidR="00CA548B" w:rsidRDefault="00CA548B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bCs/>
          <w:u w:val="single"/>
        </w:rPr>
      </w:pPr>
    </w:p>
    <w:p w:rsidR="000F617C" w:rsidRDefault="000F617C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bCs/>
          <w:u w:val="single"/>
        </w:rPr>
        <w:sectPr w:rsidR="000F617C" w:rsidSect="00325C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A548B" w:rsidRDefault="00CA548B" w:rsidP="008F3107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lastRenderedPageBreak/>
        <w:t>ISSUE 3:</w:t>
      </w:r>
      <w:r>
        <w:rPr>
          <w:rFonts w:ascii="Times New Roman" w:hAnsi="Times New Roman"/>
        </w:rPr>
        <w:tab/>
      </w:r>
      <w:r w:rsidRPr="003F5A16">
        <w:rPr>
          <w:rFonts w:ascii="Times New Roman" w:hAnsi="Times New Roman"/>
        </w:rPr>
        <w:t>What are the conservation cost recovery factors for the period January 20</w:t>
      </w:r>
      <w:r>
        <w:rPr>
          <w:rFonts w:ascii="Times New Roman" w:hAnsi="Times New Roman"/>
        </w:rPr>
        <w:t>1</w:t>
      </w:r>
      <w:r w:rsidR="00270C57">
        <w:rPr>
          <w:rFonts w:ascii="Times New Roman" w:hAnsi="Times New Roman"/>
        </w:rPr>
        <w:t>2</w:t>
      </w:r>
      <w:r w:rsidRPr="003F5A16">
        <w:rPr>
          <w:rFonts w:ascii="Times New Roman" w:hAnsi="Times New Roman"/>
        </w:rPr>
        <w:t xml:space="preserve"> through December 20</w:t>
      </w:r>
      <w:r>
        <w:rPr>
          <w:rFonts w:ascii="Times New Roman" w:hAnsi="Times New Roman"/>
        </w:rPr>
        <w:t>1</w:t>
      </w:r>
      <w:r w:rsidR="00270C57">
        <w:rPr>
          <w:rFonts w:ascii="Times New Roman" w:hAnsi="Times New Roman"/>
        </w:rPr>
        <w:t>2</w:t>
      </w:r>
      <w:r w:rsidRPr="003F5A16">
        <w:rPr>
          <w:rFonts w:ascii="Times New Roman" w:hAnsi="Times New Roman"/>
        </w:rPr>
        <w:t>?</w:t>
      </w:r>
    </w:p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>
      <w:pPr>
        <w:tabs>
          <w:tab w:val="left" w:pos="-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GULF:</w:t>
      </w:r>
      <w:r>
        <w:rPr>
          <w:rFonts w:ascii="Times New Roman" w:hAnsi="Times New Roman"/>
        </w:rPr>
        <w:tab/>
        <w:t>The Company's proposed conservation cost recovery factors by customer class for the period January 201</w:t>
      </w:r>
      <w:r w:rsidR="00270C5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through December 201</w:t>
      </w:r>
      <w:r w:rsidR="00270C5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are as follows:  (Todd)</w:t>
      </w:r>
    </w:p>
    <w:p w:rsidR="00CA548B" w:rsidRDefault="00CA548B" w:rsidP="00BE725B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82" w:type="dxa"/>
          <w:right w:w="182" w:type="dxa"/>
        </w:tblCellMar>
        <w:tblLook w:val="0000"/>
      </w:tblPr>
      <w:tblGrid>
        <w:gridCol w:w="3059"/>
        <w:gridCol w:w="2518"/>
      </w:tblGrid>
      <w:tr w:rsidR="00CA548B" w:rsidTr="00113DA4">
        <w:trPr>
          <w:trHeight w:val="849"/>
          <w:jc w:val="center"/>
        </w:trPr>
        <w:tc>
          <w:tcPr>
            <w:tcW w:w="3059" w:type="dxa"/>
          </w:tcPr>
          <w:p w:rsidR="00CA548B" w:rsidRDefault="00CA548B">
            <w:pPr>
              <w:spacing w:line="220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RATE</w:t>
            </w:r>
          </w:p>
          <w:p w:rsidR="00CA548B" w:rsidRDefault="00CA548B">
            <w:pPr>
              <w:spacing w:after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CLASS</w:t>
            </w:r>
          </w:p>
        </w:tc>
        <w:tc>
          <w:tcPr>
            <w:tcW w:w="2518" w:type="dxa"/>
          </w:tcPr>
          <w:p w:rsidR="00CA548B" w:rsidRDefault="00CA548B">
            <w:pPr>
              <w:spacing w:line="220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CONSERVATION COST RECOVERY FACTORS</w:t>
            </w:r>
          </w:p>
          <w:p w:rsidR="00CA548B" w:rsidRDefault="00CA548B">
            <w:pPr>
              <w:spacing w:after="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¢/kWh</w:t>
            </w:r>
          </w:p>
        </w:tc>
      </w:tr>
      <w:tr w:rsidR="00CA548B" w:rsidTr="00113DA4">
        <w:trPr>
          <w:trHeight w:val="277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RS, RSVP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270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270C57">
              <w:rPr>
                <w:rFonts w:ascii="Times New Roman" w:hAnsi="Times New Roman"/>
              </w:rPr>
              <w:t>342</w:t>
            </w:r>
          </w:p>
        </w:tc>
      </w:tr>
      <w:tr w:rsidR="00CA548B" w:rsidTr="00113DA4">
        <w:trPr>
          <w:trHeight w:val="270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270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270C57">
              <w:rPr>
                <w:rFonts w:ascii="Times New Roman" w:hAnsi="Times New Roman"/>
              </w:rPr>
              <w:t>122</w:t>
            </w:r>
          </w:p>
        </w:tc>
      </w:tr>
      <w:tr w:rsidR="00CA548B" w:rsidTr="00113DA4">
        <w:trPr>
          <w:trHeight w:val="270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GSD, GSDT, GSTOU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270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  <w:r w:rsidR="00270C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CA548B" w:rsidTr="00113DA4">
        <w:trPr>
          <w:trHeight w:val="270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LP, LPT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270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0.</w:t>
            </w:r>
            <w:r w:rsidR="00270C5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17</w:t>
            </w:r>
          </w:p>
        </w:tc>
      </w:tr>
      <w:tr w:rsidR="00CA548B" w:rsidTr="00113DA4">
        <w:trPr>
          <w:trHeight w:val="277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PX, PXT, RTP, SBS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270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  <w:r w:rsidR="00270C57">
              <w:rPr>
                <w:rFonts w:ascii="Times New Roman" w:hAnsi="Times New Roman"/>
              </w:rPr>
              <w:t>15</w:t>
            </w:r>
          </w:p>
        </w:tc>
      </w:tr>
      <w:tr w:rsidR="00CA548B" w:rsidTr="00113DA4">
        <w:trPr>
          <w:trHeight w:val="270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OSI, OSII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270C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270C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270C57">
              <w:rPr>
                <w:rFonts w:ascii="Times New Roman" w:hAnsi="Times New Roman"/>
              </w:rPr>
              <w:t>7</w:t>
            </w:r>
          </w:p>
        </w:tc>
      </w:tr>
      <w:tr w:rsidR="00CA548B" w:rsidTr="00113DA4">
        <w:trPr>
          <w:trHeight w:val="408"/>
          <w:jc w:val="center"/>
        </w:trPr>
        <w:tc>
          <w:tcPr>
            <w:tcW w:w="3059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OSIII</w:t>
            </w:r>
          </w:p>
        </w:tc>
        <w:tc>
          <w:tcPr>
            <w:tcW w:w="2518" w:type="dxa"/>
          </w:tcPr>
          <w:p w:rsidR="00CA548B" w:rsidRDefault="00CA548B" w:rsidP="00B3041F">
            <w:pPr>
              <w:spacing w:line="163" w:lineRule="exact"/>
              <w:rPr>
                <w:rFonts w:ascii="Times New Roman" w:hAnsi="Times New Roman"/>
              </w:rPr>
            </w:pPr>
          </w:p>
          <w:p w:rsidR="00CA548B" w:rsidRDefault="00CA548B" w:rsidP="00DD12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270C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270C57">
              <w:rPr>
                <w:rFonts w:ascii="Times New Roman" w:hAnsi="Times New Roman"/>
              </w:rPr>
              <w:t>0</w:t>
            </w:r>
          </w:p>
        </w:tc>
      </w:tr>
    </w:tbl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 w:rsidP="00DD127F">
      <w:pPr>
        <w:pStyle w:val="OrderBody"/>
        <w:ind w:left="1440" w:hanging="1440"/>
        <w:jc w:val="left"/>
      </w:pPr>
      <w:r w:rsidRPr="00510769">
        <w:rPr>
          <w:b/>
          <w:u w:val="single"/>
        </w:rPr>
        <w:t xml:space="preserve">ISSUE </w:t>
      </w:r>
      <w:r>
        <w:rPr>
          <w:b/>
          <w:u w:val="single"/>
        </w:rPr>
        <w:t>4</w:t>
      </w:r>
      <w:r>
        <w:t>:</w:t>
      </w:r>
      <w:r>
        <w:tab/>
        <w:t>What should be the effective date of the new conservation cost recovery factors for billing purposes?</w:t>
      </w:r>
    </w:p>
    <w:p w:rsidR="00CA548B" w:rsidRDefault="00CA548B" w:rsidP="003F5A16">
      <w:pPr>
        <w:pStyle w:val="OrderBody"/>
        <w:ind w:left="1440" w:hanging="1440"/>
      </w:pPr>
    </w:p>
    <w:p w:rsidR="00CA548B" w:rsidRDefault="00CA548B" w:rsidP="008D7CC7">
      <w:pPr>
        <w:pStyle w:val="OrderBody"/>
        <w:ind w:left="1440" w:hanging="1440"/>
        <w:jc w:val="left"/>
      </w:pPr>
      <w:r>
        <w:rPr>
          <w:b/>
          <w:bCs/>
          <w:u w:val="single"/>
        </w:rPr>
        <w:t>GULF:</w:t>
      </w:r>
      <w:r>
        <w:rPr>
          <w:bCs/>
        </w:rPr>
        <w:tab/>
      </w:r>
      <w:r>
        <w:t>The new conservation cost recovery factors should be effective beginning with the first billing cycle for January 201</w:t>
      </w:r>
      <w:r w:rsidR="008D7CC7">
        <w:t>2</w:t>
      </w:r>
      <w:r>
        <w:t xml:space="preserve"> and thereafter through the last billing cycle for December 201</w:t>
      </w:r>
      <w:r w:rsidR="008D7CC7">
        <w:t>2</w:t>
      </w:r>
      <w:r>
        <w:t>.  The first billing cycle may start before January 1, 201</w:t>
      </w:r>
      <w:r w:rsidR="008D7CC7">
        <w:t>2</w:t>
      </w:r>
      <w:r>
        <w:t>, and the last cycle may be read after December 31, 201</w:t>
      </w:r>
      <w:r w:rsidR="008D7CC7">
        <w:t>2</w:t>
      </w:r>
      <w:r>
        <w:t>, so that each customer is billed for twelve months regardless of when the adjustment factor became effective.  (Todd)</w:t>
      </w:r>
    </w:p>
    <w:p w:rsidR="00CA548B" w:rsidRDefault="00CA548B">
      <w:pPr>
        <w:tabs>
          <w:tab w:val="center" w:pos="4680"/>
        </w:tabs>
        <w:jc w:val="both"/>
        <w:rPr>
          <w:rFonts w:ascii="Times New Roman" w:hAnsi="Times New Roman"/>
        </w:rPr>
      </w:pPr>
    </w:p>
    <w:p w:rsidR="00113DA4" w:rsidRDefault="00113DA4">
      <w:pPr>
        <w:tabs>
          <w:tab w:val="center" w:pos="4680"/>
        </w:tabs>
        <w:jc w:val="both"/>
        <w:rPr>
          <w:rFonts w:ascii="Times New Roman" w:hAnsi="Times New Roman"/>
        </w:rPr>
      </w:pPr>
    </w:p>
    <w:p w:rsidR="00CA548B" w:rsidRDefault="00CA548B" w:rsidP="00BE725B">
      <w:pPr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Gulf Power </w:t>
      </w:r>
      <w:r w:rsidR="00113DA4">
        <w:rPr>
          <w:rFonts w:ascii="Times New Roman" w:hAnsi="Times New Roman"/>
          <w:b/>
          <w:bCs/>
          <w:u w:val="single"/>
        </w:rPr>
        <w:t>Company Specific</w:t>
      </w:r>
      <w:r>
        <w:rPr>
          <w:rFonts w:ascii="Times New Roman" w:hAnsi="Times New Roman"/>
          <w:b/>
          <w:bCs/>
          <w:u w:val="single"/>
        </w:rPr>
        <w:t xml:space="preserve"> Conservation Cost Recovery Issues</w:t>
      </w:r>
    </w:p>
    <w:p w:rsidR="008D7CC7" w:rsidRPr="00E4058D" w:rsidRDefault="008D7CC7">
      <w:pPr>
        <w:jc w:val="both"/>
        <w:rPr>
          <w:rFonts w:ascii="Times New Roman" w:hAnsi="Times New Roman"/>
        </w:rPr>
      </w:pPr>
    </w:p>
    <w:p w:rsidR="00E4058D" w:rsidRPr="00E4058D" w:rsidRDefault="00E4058D" w:rsidP="00DD127F">
      <w:pPr>
        <w:pStyle w:val="OrderBody"/>
        <w:ind w:left="1440" w:hanging="1440"/>
        <w:jc w:val="left"/>
      </w:pPr>
      <w:r w:rsidRPr="008D7CC7">
        <w:rPr>
          <w:b/>
          <w:u w:val="single"/>
        </w:rPr>
        <w:t xml:space="preserve">ISSUE </w:t>
      </w:r>
      <w:r w:rsidR="00113DA4">
        <w:rPr>
          <w:b/>
          <w:u w:val="single"/>
        </w:rPr>
        <w:t>A</w:t>
      </w:r>
      <w:r w:rsidRPr="008D7CC7">
        <w:t>:</w:t>
      </w:r>
      <w:r w:rsidRPr="008D7CC7">
        <w:tab/>
      </w:r>
      <w:r w:rsidR="008D7CC7" w:rsidRPr="008D7CC7">
        <w:t>Should Gulf’s proposal to change the method used to apportion recoverable conservation costs among the Company’s customer classes be approved?</w:t>
      </w:r>
    </w:p>
    <w:p w:rsidR="00E4058D" w:rsidRPr="00E4058D" w:rsidRDefault="00E4058D" w:rsidP="00DD127F">
      <w:pPr>
        <w:pStyle w:val="OrderBody"/>
        <w:ind w:left="1440" w:hanging="1440"/>
        <w:jc w:val="left"/>
      </w:pPr>
    </w:p>
    <w:p w:rsidR="00CA548B" w:rsidRDefault="00E4058D" w:rsidP="008D7CC7">
      <w:pPr>
        <w:pStyle w:val="OrderBody"/>
        <w:ind w:left="1440" w:hanging="1440"/>
        <w:jc w:val="left"/>
      </w:pPr>
      <w:r w:rsidRPr="008D7CC7">
        <w:rPr>
          <w:b/>
          <w:u w:val="single"/>
        </w:rPr>
        <w:t>GULF:</w:t>
      </w:r>
      <w:r w:rsidRPr="008D7CC7">
        <w:tab/>
      </w:r>
      <w:r w:rsidR="008D7CC7">
        <w:t>Yes.  (Todd)</w:t>
      </w:r>
    </w:p>
    <w:p w:rsidR="00CD1A32" w:rsidRDefault="00CD1A32" w:rsidP="008D7CC7">
      <w:pPr>
        <w:pStyle w:val="OrderBody"/>
        <w:ind w:left="1440" w:hanging="1440"/>
        <w:jc w:val="left"/>
        <w:rPr>
          <w:b/>
          <w:u w:val="single"/>
        </w:rPr>
      </w:pPr>
    </w:p>
    <w:p w:rsidR="00113DA4" w:rsidRDefault="00113DA4" w:rsidP="008D7CC7">
      <w:pPr>
        <w:pStyle w:val="OrderBody"/>
        <w:ind w:left="1440" w:hanging="1440"/>
        <w:jc w:val="left"/>
        <w:rPr>
          <w:b/>
          <w:u w:val="single"/>
        </w:rPr>
      </w:pPr>
    </w:p>
    <w:p w:rsidR="00113DA4" w:rsidRDefault="00113DA4" w:rsidP="008D7CC7">
      <w:pPr>
        <w:pStyle w:val="OrderBody"/>
        <w:ind w:left="1440" w:hanging="1440"/>
        <w:jc w:val="left"/>
        <w:rPr>
          <w:b/>
          <w:u w:val="single"/>
        </w:rPr>
      </w:pPr>
    </w:p>
    <w:p w:rsidR="00113DA4" w:rsidRDefault="00113DA4" w:rsidP="008D7CC7">
      <w:pPr>
        <w:pStyle w:val="OrderBody"/>
        <w:ind w:left="1440" w:hanging="1440"/>
        <w:jc w:val="left"/>
        <w:rPr>
          <w:b/>
          <w:u w:val="single"/>
        </w:rPr>
      </w:pPr>
    </w:p>
    <w:p w:rsidR="008D7CC7" w:rsidRPr="00E4058D" w:rsidRDefault="008D7CC7" w:rsidP="008D7CC7">
      <w:pPr>
        <w:pStyle w:val="OrderBody"/>
        <w:ind w:left="1440" w:hanging="1440"/>
        <w:jc w:val="left"/>
      </w:pPr>
      <w:r w:rsidRPr="008D7CC7">
        <w:rPr>
          <w:b/>
          <w:u w:val="single"/>
        </w:rPr>
        <w:lastRenderedPageBreak/>
        <w:t xml:space="preserve">ISSUE </w:t>
      </w:r>
      <w:r w:rsidR="00113DA4">
        <w:rPr>
          <w:b/>
          <w:u w:val="single"/>
        </w:rPr>
        <w:t>B</w:t>
      </w:r>
      <w:r w:rsidRPr="008D7CC7">
        <w:t>:</w:t>
      </w:r>
      <w:r w:rsidRPr="008D7CC7">
        <w:tab/>
        <w:t xml:space="preserve">Should </w:t>
      </w:r>
      <w:r>
        <w:t xml:space="preserve">the Commission </w:t>
      </w:r>
      <w:r w:rsidR="005E2285">
        <w:t>grant</w:t>
      </w:r>
      <w:r>
        <w:t xml:space="preserve"> </w:t>
      </w:r>
      <w:r w:rsidRPr="008D7CC7">
        <w:t xml:space="preserve">Gulf’s </w:t>
      </w:r>
      <w:r>
        <w:t xml:space="preserve">request </w:t>
      </w:r>
      <w:r w:rsidR="00E9670D">
        <w:t xml:space="preserve">for approval of </w:t>
      </w:r>
      <w:r>
        <w:t xml:space="preserve">the four tier </w:t>
      </w:r>
      <w:r w:rsidR="00E01090">
        <w:t>Residential Service Variable Pricing (</w:t>
      </w:r>
      <w:r>
        <w:t>RSVP</w:t>
      </w:r>
      <w:r w:rsidR="00E01090">
        <w:t>)</w:t>
      </w:r>
      <w:r>
        <w:t xml:space="preserve"> </w:t>
      </w:r>
      <w:r w:rsidR="005E2285">
        <w:t xml:space="preserve">conservation cost recovery </w:t>
      </w:r>
      <w:r>
        <w:t>factors included on Schedule C-6 filed on page 61 of witness Todd’s exhibit J</w:t>
      </w:r>
      <w:r w:rsidR="00E01090">
        <w:t>LT-2 in this docket?</w:t>
      </w:r>
    </w:p>
    <w:p w:rsidR="008D7CC7" w:rsidRDefault="008D7CC7" w:rsidP="008D7CC7">
      <w:pPr>
        <w:pStyle w:val="OrderBody"/>
        <w:ind w:left="1440" w:hanging="1440"/>
        <w:jc w:val="left"/>
      </w:pPr>
      <w:r w:rsidRPr="008D7CC7">
        <w:rPr>
          <w:b/>
          <w:u w:val="single"/>
        </w:rPr>
        <w:t>GULF:</w:t>
      </w:r>
      <w:r w:rsidRPr="008D7CC7">
        <w:tab/>
      </w:r>
      <w:r>
        <w:t>Yes</w:t>
      </w:r>
      <w:r w:rsidR="00E9670D">
        <w:t>, the factors should be approved contingent upon the approval of the associated rate design change filed in Docket No. 110138-EI</w:t>
      </w:r>
      <w:r>
        <w:t>.  (Todd)</w:t>
      </w:r>
    </w:p>
    <w:p w:rsidR="00E01090" w:rsidRDefault="00E01090" w:rsidP="008D7CC7">
      <w:pPr>
        <w:pStyle w:val="OrderBody"/>
        <w:ind w:left="1440" w:hanging="1440"/>
        <w:jc w:val="left"/>
      </w:pPr>
    </w:p>
    <w:p w:rsidR="00E01090" w:rsidRPr="00E4058D" w:rsidRDefault="00E01090" w:rsidP="00E01090">
      <w:pPr>
        <w:pStyle w:val="OrderBody"/>
        <w:ind w:left="1440" w:hanging="1440"/>
        <w:jc w:val="left"/>
      </w:pPr>
      <w:r w:rsidRPr="008D7CC7">
        <w:rPr>
          <w:b/>
          <w:u w:val="single"/>
        </w:rPr>
        <w:t xml:space="preserve">ISSUE </w:t>
      </w:r>
      <w:r w:rsidR="00113DA4">
        <w:rPr>
          <w:b/>
          <w:u w:val="single"/>
        </w:rPr>
        <w:t>C</w:t>
      </w:r>
      <w:r w:rsidRPr="008D7CC7">
        <w:t>:</w:t>
      </w:r>
      <w:r w:rsidRPr="008D7CC7">
        <w:tab/>
      </w:r>
      <w:r>
        <w:t xml:space="preserve">What are the </w:t>
      </w:r>
      <w:r w:rsidR="00E9670D">
        <w:t xml:space="preserve">appropriate </w:t>
      </w:r>
      <w:r>
        <w:t xml:space="preserve">four tier RSVP </w:t>
      </w:r>
      <w:r w:rsidR="00DD127F">
        <w:t xml:space="preserve">conservation cost recovery </w:t>
      </w:r>
      <w:r>
        <w:t xml:space="preserve">factors </w:t>
      </w:r>
      <w:r w:rsidR="005E2285">
        <w:t>for rate RSVP for 2012</w:t>
      </w:r>
      <w:r>
        <w:t>?</w:t>
      </w:r>
    </w:p>
    <w:p w:rsidR="00E01090" w:rsidRPr="00E4058D" w:rsidRDefault="00E01090" w:rsidP="00E01090">
      <w:pPr>
        <w:pStyle w:val="OrderBody"/>
        <w:ind w:left="1440" w:hanging="1440"/>
      </w:pPr>
    </w:p>
    <w:p w:rsidR="00E01090" w:rsidRDefault="00E01090" w:rsidP="00E01090">
      <w:pPr>
        <w:pStyle w:val="OrderBody"/>
        <w:ind w:left="1440" w:hanging="1440"/>
        <w:jc w:val="left"/>
      </w:pPr>
      <w:r w:rsidRPr="008D7CC7">
        <w:rPr>
          <w:b/>
          <w:u w:val="single"/>
        </w:rPr>
        <w:t>GULF:</w:t>
      </w:r>
      <w:r w:rsidRPr="008D7CC7">
        <w:tab/>
      </w:r>
      <w:r>
        <w:t xml:space="preserve">The </w:t>
      </w:r>
      <w:r w:rsidR="005E2285">
        <w:t xml:space="preserve">appropriate </w:t>
      </w:r>
      <w:r>
        <w:t>four tier conservation cost recovery factors for rate RSVP for 2012 are as follows:  (Todd)</w:t>
      </w:r>
    </w:p>
    <w:p w:rsidR="00E01090" w:rsidRDefault="00E01090" w:rsidP="008D7CC7">
      <w:pPr>
        <w:pStyle w:val="OrderBody"/>
        <w:ind w:left="1440" w:hanging="1440"/>
        <w:jc w:val="left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710"/>
      </w:tblGrid>
      <w:tr w:rsidR="00DD127F" w:rsidRPr="00E01090" w:rsidTr="00DD127F">
        <w:trPr>
          <w:trHeight w:val="469"/>
          <w:jc w:val="center"/>
        </w:trPr>
        <w:tc>
          <w:tcPr>
            <w:tcW w:w="1560" w:type="dxa"/>
          </w:tcPr>
          <w:p w:rsidR="00DD127F" w:rsidRDefault="00DD127F" w:rsidP="00DD127F">
            <w:pPr>
              <w:rPr>
                <w:rFonts w:ascii="Times New Roman" w:hAnsi="Times New Roman"/>
                <w:b/>
                <w:bCs/>
              </w:rPr>
            </w:pPr>
          </w:p>
          <w:p w:rsidR="00DD127F" w:rsidRDefault="00DD127F" w:rsidP="00DD127F">
            <w:pPr>
              <w:rPr>
                <w:rFonts w:ascii="Times New Roman" w:hAnsi="Times New Roman"/>
                <w:b/>
                <w:bCs/>
              </w:rPr>
            </w:pPr>
          </w:p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127F">
              <w:rPr>
                <w:rFonts w:ascii="Times New Roman" w:hAnsi="Times New Roman"/>
                <w:b/>
                <w:bCs/>
              </w:rPr>
              <w:t>Rate Tier</w:t>
            </w:r>
          </w:p>
        </w:tc>
        <w:tc>
          <w:tcPr>
            <w:tcW w:w="1710" w:type="dxa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D127F">
              <w:rPr>
                <w:rFonts w:ascii="Times New Roman" w:hAnsi="Times New Roman"/>
                <w:b/>
                <w:bCs/>
              </w:rPr>
              <w:t>RSVP ECCR Factor</w:t>
            </w:r>
            <w:r w:rsidRPr="00DD127F">
              <w:rPr>
                <w:rFonts w:ascii="Times New Roman" w:hAnsi="Times New Roman"/>
                <w:b/>
                <w:bCs/>
              </w:rPr>
              <w:br/>
              <w:t>¢/kWh</w:t>
            </w:r>
          </w:p>
        </w:tc>
      </w:tr>
      <w:tr w:rsidR="00DD127F" w:rsidRPr="00E01090" w:rsidTr="005D173E">
        <w:trPr>
          <w:trHeight w:val="350"/>
          <w:jc w:val="center"/>
        </w:trPr>
        <w:tc>
          <w:tcPr>
            <w:tcW w:w="1560" w:type="dxa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P4</w:t>
            </w:r>
          </w:p>
        </w:tc>
        <w:tc>
          <w:tcPr>
            <w:tcW w:w="1710" w:type="dxa"/>
            <w:shd w:val="clear" w:color="auto" w:fill="auto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48.337</w:t>
            </w:r>
          </w:p>
        </w:tc>
      </w:tr>
      <w:tr w:rsidR="00DD127F" w:rsidRPr="00E01090" w:rsidTr="005D173E">
        <w:trPr>
          <w:trHeight w:val="350"/>
          <w:jc w:val="center"/>
        </w:trPr>
        <w:tc>
          <w:tcPr>
            <w:tcW w:w="1560" w:type="dxa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P3</w:t>
            </w:r>
          </w:p>
        </w:tc>
        <w:tc>
          <w:tcPr>
            <w:tcW w:w="1710" w:type="dxa"/>
            <w:shd w:val="clear" w:color="auto" w:fill="auto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5.509</w:t>
            </w:r>
          </w:p>
        </w:tc>
      </w:tr>
      <w:tr w:rsidR="00DD127F" w:rsidRPr="00E01090" w:rsidTr="005D173E">
        <w:trPr>
          <w:trHeight w:val="350"/>
          <w:jc w:val="center"/>
        </w:trPr>
        <w:tc>
          <w:tcPr>
            <w:tcW w:w="1560" w:type="dxa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P2</w:t>
            </w:r>
          </w:p>
        </w:tc>
        <w:tc>
          <w:tcPr>
            <w:tcW w:w="1710" w:type="dxa"/>
            <w:shd w:val="clear" w:color="auto" w:fill="auto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(1.197)</w:t>
            </w:r>
          </w:p>
        </w:tc>
      </w:tr>
      <w:tr w:rsidR="00DD127F" w:rsidRPr="00E01090" w:rsidTr="005D173E">
        <w:trPr>
          <w:trHeight w:val="350"/>
          <w:jc w:val="center"/>
        </w:trPr>
        <w:tc>
          <w:tcPr>
            <w:tcW w:w="1560" w:type="dxa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P1</w:t>
            </w:r>
          </w:p>
        </w:tc>
        <w:tc>
          <w:tcPr>
            <w:tcW w:w="1710" w:type="dxa"/>
            <w:shd w:val="clear" w:color="auto" w:fill="auto"/>
          </w:tcPr>
          <w:p w:rsidR="00DD127F" w:rsidRPr="00DD127F" w:rsidRDefault="00DD127F" w:rsidP="00DD127F">
            <w:pPr>
              <w:jc w:val="center"/>
              <w:rPr>
                <w:rFonts w:ascii="Times New Roman" w:hAnsi="Times New Roman"/>
                <w:bCs/>
              </w:rPr>
            </w:pPr>
            <w:r w:rsidRPr="00DD127F">
              <w:rPr>
                <w:rFonts w:ascii="Times New Roman" w:hAnsi="Times New Roman"/>
                <w:bCs/>
              </w:rPr>
              <w:t>(2.370)</w:t>
            </w:r>
          </w:p>
        </w:tc>
      </w:tr>
    </w:tbl>
    <w:p w:rsidR="00DD127F" w:rsidRDefault="00DD127F" w:rsidP="00DD127F">
      <w:pPr>
        <w:tabs>
          <w:tab w:val="center" w:pos="4680"/>
        </w:tabs>
        <w:jc w:val="center"/>
        <w:rPr>
          <w:rFonts w:ascii="Times New Roman" w:hAnsi="Times New Roman"/>
        </w:rPr>
      </w:pPr>
    </w:p>
    <w:p w:rsidR="00DD127F" w:rsidRDefault="00DD127F" w:rsidP="00DD127F">
      <w:pPr>
        <w:pStyle w:val="OrderBody"/>
        <w:ind w:left="1440" w:hanging="1440"/>
        <w:jc w:val="left"/>
      </w:pPr>
      <w:r w:rsidRPr="00DD127F">
        <w:rPr>
          <w:b/>
          <w:u w:val="single"/>
        </w:rPr>
        <w:t xml:space="preserve">ISSUE </w:t>
      </w:r>
      <w:r w:rsidR="00113DA4">
        <w:rPr>
          <w:b/>
          <w:u w:val="single"/>
        </w:rPr>
        <w:t>D</w:t>
      </w:r>
      <w:r w:rsidRPr="00DD127F">
        <w:t>:</w:t>
      </w:r>
      <w:r w:rsidRPr="00DD127F">
        <w:tab/>
      </w:r>
      <w:r>
        <w:t>What should be the effective date of the proposed four tier RSVP conservation cost recovery factors for billing purposes?</w:t>
      </w:r>
    </w:p>
    <w:p w:rsidR="00DD127F" w:rsidRDefault="00DD127F" w:rsidP="00DD127F">
      <w:pPr>
        <w:pStyle w:val="OrderBody"/>
        <w:ind w:left="1440" w:hanging="1440"/>
      </w:pPr>
    </w:p>
    <w:p w:rsidR="00DD127F" w:rsidRDefault="00DD127F" w:rsidP="00DD127F">
      <w:pPr>
        <w:pStyle w:val="OrderBody"/>
        <w:ind w:left="1440" w:hanging="1440"/>
        <w:jc w:val="left"/>
      </w:pPr>
      <w:r>
        <w:rPr>
          <w:b/>
          <w:bCs/>
          <w:u w:val="single"/>
        </w:rPr>
        <w:t>GULF:</w:t>
      </w:r>
      <w:r>
        <w:rPr>
          <w:bCs/>
        </w:rPr>
        <w:tab/>
      </w:r>
      <w:r>
        <w:t>The new conservation cost recovery factors should be effective in the month following the approval of the rate design change in Docket No. 110138-EI.  (Todd)</w:t>
      </w:r>
    </w:p>
    <w:p w:rsidR="00DD127F" w:rsidRDefault="00DD127F" w:rsidP="00DD127F">
      <w:pPr>
        <w:pStyle w:val="OrderBody"/>
        <w:ind w:left="1440" w:hanging="1440"/>
        <w:jc w:val="left"/>
      </w:pPr>
    </w:p>
    <w:p w:rsidR="00CA548B" w:rsidRDefault="00CD1A32" w:rsidP="000F617C">
      <w:pPr>
        <w:tabs>
          <w:tab w:val="center" w:pos="4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D127F">
        <w:rPr>
          <w:rFonts w:ascii="Times New Roman" w:hAnsi="Times New Roman"/>
        </w:rPr>
        <w:t>D</w:t>
      </w:r>
      <w:r w:rsidR="00CA548B">
        <w:rPr>
          <w:rFonts w:ascii="Times New Roman" w:hAnsi="Times New Roman"/>
        </w:rPr>
        <w:t xml:space="preserve">ated this </w:t>
      </w:r>
      <w:r w:rsidR="005D173E">
        <w:rPr>
          <w:rFonts w:ascii="Times New Roman" w:hAnsi="Times New Roman"/>
        </w:rPr>
        <w:t>3</w:t>
      </w:r>
      <w:r w:rsidR="005D173E" w:rsidRPr="005D173E">
        <w:rPr>
          <w:rFonts w:ascii="Times New Roman" w:hAnsi="Times New Roman"/>
          <w:vertAlign w:val="superscript"/>
        </w:rPr>
        <w:t>rd</w:t>
      </w:r>
      <w:r w:rsidR="005D173E">
        <w:rPr>
          <w:rFonts w:ascii="Times New Roman" w:hAnsi="Times New Roman"/>
        </w:rPr>
        <w:t xml:space="preserve"> </w:t>
      </w:r>
      <w:r w:rsidR="00CA548B">
        <w:rPr>
          <w:rFonts w:ascii="Times New Roman" w:hAnsi="Times New Roman"/>
        </w:rPr>
        <w:t>day of October, 201</w:t>
      </w:r>
      <w:r w:rsidR="005D173E">
        <w:rPr>
          <w:rFonts w:ascii="Times New Roman" w:hAnsi="Times New Roman"/>
        </w:rPr>
        <w:t>1</w:t>
      </w:r>
      <w:r w:rsidR="00CA548B">
        <w:rPr>
          <w:rFonts w:ascii="Times New Roman" w:hAnsi="Times New Roman"/>
        </w:rPr>
        <w:t>.</w:t>
      </w:r>
    </w:p>
    <w:p w:rsidR="00CA548B" w:rsidRDefault="00CA548B">
      <w:pPr>
        <w:jc w:val="both"/>
        <w:rPr>
          <w:rFonts w:ascii="Times New Roman" w:hAnsi="Times New Roman"/>
        </w:rPr>
      </w:pPr>
    </w:p>
    <w:p w:rsidR="00CA548B" w:rsidRDefault="00CA548B">
      <w:pPr>
        <w:ind w:firstLine="360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</w:t>
      </w:r>
    </w:p>
    <w:p w:rsidR="00CA548B" w:rsidRDefault="00CD1A32" w:rsidP="00CD1A32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320"/>
        <w:rPr>
          <w:rFonts w:ascii="Times New Roman" w:hAnsi="Times New Roman"/>
          <w:b/>
          <w:bCs/>
        </w:rPr>
      </w:pPr>
      <w:r>
        <w:rPr>
          <w:rFonts w:ascii="Times New Roman" w:hAnsi="Times New Roman"/>
          <w:u w:val="single"/>
        </w:rPr>
        <w:tab/>
      </w:r>
      <w:r w:rsidR="00CA548B">
        <w:rPr>
          <w:rFonts w:ascii="Times New Roman" w:hAnsi="Times New Roman"/>
          <w:u w:val="single"/>
        </w:rPr>
        <w:t>__________________________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A548B">
        <w:rPr>
          <w:rFonts w:ascii="Times New Roman" w:hAnsi="Times New Roman"/>
          <w:b/>
          <w:bCs/>
        </w:rPr>
        <w:t>JEFFREY A. STONE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A548B">
        <w:rPr>
          <w:rFonts w:ascii="Times New Roman" w:hAnsi="Times New Roman"/>
        </w:rPr>
        <w:t>Florida Bar No. 0325953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A548B">
        <w:rPr>
          <w:rFonts w:ascii="Times New Roman" w:hAnsi="Times New Roman"/>
          <w:b/>
          <w:bCs/>
        </w:rPr>
        <w:t>RUSSELL A. BADDERS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A548B">
        <w:rPr>
          <w:rFonts w:ascii="Times New Roman" w:hAnsi="Times New Roman"/>
        </w:rPr>
        <w:t>Florida Bar No. 0007455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CA548B">
        <w:rPr>
          <w:rFonts w:ascii="Times New Roman" w:hAnsi="Times New Roman"/>
          <w:b/>
        </w:rPr>
        <w:t>STEVEN R. GRIFFIN</w:t>
      </w:r>
    </w:p>
    <w:p w:rsidR="00CA548B" w:rsidRPr="009A7E65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CA548B">
        <w:rPr>
          <w:rFonts w:ascii="Times New Roman" w:hAnsi="Times New Roman"/>
        </w:rPr>
        <w:t>Florida Bar No. 0627569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A548B">
        <w:rPr>
          <w:rFonts w:ascii="Times New Roman" w:hAnsi="Times New Roman"/>
          <w:b/>
          <w:bCs/>
        </w:rPr>
        <w:t>Beggs &amp; Lane</w:t>
      </w:r>
    </w:p>
    <w:p w:rsidR="00CA548B" w:rsidRPr="00FF3EE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</w:r>
      <w:r w:rsidR="00CA548B" w:rsidRPr="00FF3EEB">
        <w:rPr>
          <w:rFonts w:ascii="Times New Roman" w:hAnsi="Times New Roman"/>
          <w:lang w:val="es-ES"/>
        </w:rPr>
        <w:t>P. O. Box 12950</w:t>
      </w:r>
    </w:p>
    <w:p w:rsidR="00CA548B" w:rsidRPr="00FF3EE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</w:r>
      <w:r w:rsidR="00CA548B" w:rsidRPr="00FF3EEB">
        <w:rPr>
          <w:rFonts w:ascii="Times New Roman" w:hAnsi="Times New Roman"/>
          <w:lang w:val="es-ES"/>
        </w:rPr>
        <w:t>Pensacola, FL  32591</w:t>
      </w:r>
    </w:p>
    <w:p w:rsidR="00CA548B" w:rsidRDefault="00CD1A32" w:rsidP="002120C7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A548B">
        <w:rPr>
          <w:rFonts w:ascii="Times New Roman" w:hAnsi="Times New Roman"/>
        </w:rPr>
        <w:t>(850) 432</w:t>
      </w:r>
      <w:r w:rsidR="00CA548B">
        <w:rPr>
          <w:rFonts w:ascii="Times New Roman" w:hAnsi="Times New Roman"/>
        </w:rPr>
        <w:noBreakHyphen/>
        <w:t>2451</w:t>
      </w:r>
    </w:p>
    <w:p w:rsidR="00CA548B" w:rsidRPr="005D173E" w:rsidRDefault="00CD1A32" w:rsidP="005D173E">
      <w:pPr>
        <w:tabs>
          <w:tab w:val="left" w:pos="-1440"/>
          <w:tab w:val="left" w:pos="-720"/>
          <w:tab w:val="left" w:pos="0"/>
          <w:tab w:val="left" w:pos="720"/>
          <w:tab w:val="left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A548B">
        <w:rPr>
          <w:rFonts w:ascii="Times New Roman" w:hAnsi="Times New Roman"/>
          <w:b/>
          <w:bCs/>
        </w:rPr>
        <w:t>Attorneys for Gulf Power Company</w:t>
      </w:r>
    </w:p>
    <w:sectPr w:rsidR="00CA548B" w:rsidRPr="005D173E" w:rsidSect="005D173E">
      <w:type w:val="continuous"/>
      <w:pgSz w:w="12240" w:h="15840" w:code="1"/>
      <w:pgMar w:top="1440" w:right="1440" w:bottom="1008" w:left="1440" w:header="1440" w:footer="10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07" w:rsidRDefault="008F3107">
      <w:r>
        <w:separator/>
      </w:r>
    </w:p>
  </w:endnote>
  <w:endnote w:type="continuationSeparator" w:id="0">
    <w:p w:rsidR="008F3107" w:rsidRDefault="008F3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2" w:rsidRDefault="009D06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07" w:rsidRDefault="008F3107">
    <w:pPr>
      <w:spacing w:line="240" w:lineRule="exact"/>
    </w:pPr>
  </w:p>
  <w:p w:rsidR="008F3107" w:rsidRDefault="00586D7D">
    <w:pPr>
      <w:framePr w:w="9361" w:wrap="notBeside" w:vAnchor="text" w:hAnchor="text" w:x="1" w:y="1"/>
      <w:jc w:val="center"/>
      <w:rPr>
        <w:rFonts w:cs="Courier"/>
      </w:rPr>
    </w:pPr>
    <w:r>
      <w:rPr>
        <w:rFonts w:cs="Courier"/>
      </w:rPr>
      <w:fldChar w:fldCharType="begin"/>
    </w:r>
    <w:r w:rsidR="008F3107">
      <w:rPr>
        <w:rFonts w:cs="Courier"/>
      </w:rPr>
      <w:instrText xml:space="preserve">PAGE </w:instrText>
    </w:r>
    <w:r>
      <w:rPr>
        <w:rFonts w:cs="Courier"/>
      </w:rPr>
      <w:fldChar w:fldCharType="separate"/>
    </w:r>
    <w:r w:rsidR="009D06B2">
      <w:rPr>
        <w:rFonts w:cs="Courier"/>
        <w:noProof/>
      </w:rPr>
      <w:t>2</w:t>
    </w:r>
    <w:r>
      <w:rPr>
        <w:rFonts w:cs="Courier"/>
      </w:rPr>
      <w:fldChar w:fldCharType="end"/>
    </w:r>
  </w:p>
  <w:p w:rsidR="008F3107" w:rsidRDefault="008F310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2" w:rsidRDefault="009D06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07" w:rsidRDefault="008F3107">
      <w:r>
        <w:separator/>
      </w:r>
    </w:p>
  </w:footnote>
  <w:footnote w:type="continuationSeparator" w:id="0">
    <w:p w:rsidR="008F3107" w:rsidRDefault="008F3107">
      <w:r>
        <w:continuationSeparator/>
      </w:r>
    </w:p>
  </w:footnote>
  <w:footnote w:id="1">
    <w:p w:rsidR="008F3107" w:rsidRPr="008F3107" w:rsidRDefault="008F3107">
      <w:pPr>
        <w:pStyle w:val="FootnoteText"/>
        <w:rPr>
          <w:rFonts w:ascii="Times New Roman" w:hAnsi="Times New Roman"/>
          <w:sz w:val="24"/>
          <w:szCs w:val="24"/>
        </w:rPr>
      </w:pPr>
      <w:r w:rsidRPr="0058390A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8F3107">
        <w:rPr>
          <w:rFonts w:ascii="Times New Roman" w:hAnsi="Times New Roman"/>
          <w:sz w:val="24"/>
          <w:szCs w:val="24"/>
        </w:rPr>
        <w:t xml:space="preserve"> Gulf’s petition incorrectly included the actual over recovery balance at 12/31/10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8F3107">
        <w:rPr>
          <w:rFonts w:ascii="Times New Roman" w:hAnsi="Times New Roman"/>
          <w:sz w:val="24"/>
          <w:szCs w:val="24"/>
        </w:rPr>
        <w:t xml:space="preserve"> $2,922,947 instead of the Adjusted Net True-up for 2010 </w:t>
      </w:r>
      <w:r>
        <w:rPr>
          <w:rFonts w:ascii="Times New Roman" w:hAnsi="Times New Roman"/>
          <w:sz w:val="24"/>
          <w:szCs w:val="24"/>
        </w:rPr>
        <w:t>presented here.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2" w:rsidRDefault="009D06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2" w:rsidRDefault="009D06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B2" w:rsidRDefault="009D06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25C71"/>
    <w:rsid w:val="000200FF"/>
    <w:rsid w:val="00025118"/>
    <w:rsid w:val="00040B0D"/>
    <w:rsid w:val="00053986"/>
    <w:rsid w:val="00055B78"/>
    <w:rsid w:val="00085847"/>
    <w:rsid w:val="000A16D1"/>
    <w:rsid w:val="000B5781"/>
    <w:rsid w:val="000D7E18"/>
    <w:rsid w:val="000E2269"/>
    <w:rsid w:val="000F617C"/>
    <w:rsid w:val="00113DA4"/>
    <w:rsid w:val="00164837"/>
    <w:rsid w:val="0019388C"/>
    <w:rsid w:val="001F68FC"/>
    <w:rsid w:val="002120C7"/>
    <w:rsid w:val="00215203"/>
    <w:rsid w:val="00216337"/>
    <w:rsid w:val="00220D91"/>
    <w:rsid w:val="00252754"/>
    <w:rsid w:val="0026377A"/>
    <w:rsid w:val="00270C57"/>
    <w:rsid w:val="002760AB"/>
    <w:rsid w:val="0028058F"/>
    <w:rsid w:val="002818B0"/>
    <w:rsid w:val="002C4DDD"/>
    <w:rsid w:val="002F0A52"/>
    <w:rsid w:val="002F116A"/>
    <w:rsid w:val="00306126"/>
    <w:rsid w:val="00325C71"/>
    <w:rsid w:val="00340B22"/>
    <w:rsid w:val="00342B0B"/>
    <w:rsid w:val="00357621"/>
    <w:rsid w:val="003674EF"/>
    <w:rsid w:val="003B20E4"/>
    <w:rsid w:val="003C0423"/>
    <w:rsid w:val="003F5A16"/>
    <w:rsid w:val="0042277C"/>
    <w:rsid w:val="00437CD3"/>
    <w:rsid w:val="00441DE7"/>
    <w:rsid w:val="00475D36"/>
    <w:rsid w:val="00480F38"/>
    <w:rsid w:val="00494815"/>
    <w:rsid w:val="004A591C"/>
    <w:rsid w:val="004A70FF"/>
    <w:rsid w:val="004B3CF6"/>
    <w:rsid w:val="004B3E0D"/>
    <w:rsid w:val="004D2A16"/>
    <w:rsid w:val="004D705A"/>
    <w:rsid w:val="004E4E39"/>
    <w:rsid w:val="00500B73"/>
    <w:rsid w:val="00510769"/>
    <w:rsid w:val="0052649F"/>
    <w:rsid w:val="00530F24"/>
    <w:rsid w:val="00560801"/>
    <w:rsid w:val="0058390A"/>
    <w:rsid w:val="00586D7D"/>
    <w:rsid w:val="005B550A"/>
    <w:rsid w:val="005D173E"/>
    <w:rsid w:val="005E0B9C"/>
    <w:rsid w:val="005E2285"/>
    <w:rsid w:val="006165EC"/>
    <w:rsid w:val="006215FE"/>
    <w:rsid w:val="00621D58"/>
    <w:rsid w:val="006368F5"/>
    <w:rsid w:val="006A038A"/>
    <w:rsid w:val="006E024A"/>
    <w:rsid w:val="006E28B4"/>
    <w:rsid w:val="00774690"/>
    <w:rsid w:val="007B4988"/>
    <w:rsid w:val="007D773C"/>
    <w:rsid w:val="00814043"/>
    <w:rsid w:val="00830785"/>
    <w:rsid w:val="008346F6"/>
    <w:rsid w:val="00882B1E"/>
    <w:rsid w:val="0089502B"/>
    <w:rsid w:val="008B3B8B"/>
    <w:rsid w:val="008D7CC7"/>
    <w:rsid w:val="008F3107"/>
    <w:rsid w:val="00927C60"/>
    <w:rsid w:val="009355B7"/>
    <w:rsid w:val="0093792B"/>
    <w:rsid w:val="00937FCD"/>
    <w:rsid w:val="00942F00"/>
    <w:rsid w:val="009527FF"/>
    <w:rsid w:val="00965F83"/>
    <w:rsid w:val="00967112"/>
    <w:rsid w:val="009754C6"/>
    <w:rsid w:val="009A7E65"/>
    <w:rsid w:val="009D06B2"/>
    <w:rsid w:val="009E2E0E"/>
    <w:rsid w:val="00A11E55"/>
    <w:rsid w:val="00A24A50"/>
    <w:rsid w:val="00A366AF"/>
    <w:rsid w:val="00A504EB"/>
    <w:rsid w:val="00A74285"/>
    <w:rsid w:val="00AA5F48"/>
    <w:rsid w:val="00AD70E2"/>
    <w:rsid w:val="00AF1697"/>
    <w:rsid w:val="00B3041F"/>
    <w:rsid w:val="00B54293"/>
    <w:rsid w:val="00B715A9"/>
    <w:rsid w:val="00B971CB"/>
    <w:rsid w:val="00BA037A"/>
    <w:rsid w:val="00BC070A"/>
    <w:rsid w:val="00BE725B"/>
    <w:rsid w:val="00BF43BF"/>
    <w:rsid w:val="00C01B5D"/>
    <w:rsid w:val="00C32C07"/>
    <w:rsid w:val="00C70947"/>
    <w:rsid w:val="00C747BC"/>
    <w:rsid w:val="00C831AD"/>
    <w:rsid w:val="00C86ADA"/>
    <w:rsid w:val="00CA548B"/>
    <w:rsid w:val="00CA7732"/>
    <w:rsid w:val="00CD1A32"/>
    <w:rsid w:val="00CF17D0"/>
    <w:rsid w:val="00D00CEA"/>
    <w:rsid w:val="00D0754E"/>
    <w:rsid w:val="00D1231C"/>
    <w:rsid w:val="00D833F3"/>
    <w:rsid w:val="00DA4062"/>
    <w:rsid w:val="00DB2F6D"/>
    <w:rsid w:val="00DC2286"/>
    <w:rsid w:val="00DC6020"/>
    <w:rsid w:val="00DD127F"/>
    <w:rsid w:val="00DF651C"/>
    <w:rsid w:val="00DF69C9"/>
    <w:rsid w:val="00E01090"/>
    <w:rsid w:val="00E07AC2"/>
    <w:rsid w:val="00E11C4D"/>
    <w:rsid w:val="00E23CC8"/>
    <w:rsid w:val="00E40533"/>
    <w:rsid w:val="00E4058D"/>
    <w:rsid w:val="00E44CA2"/>
    <w:rsid w:val="00E5056A"/>
    <w:rsid w:val="00E9670D"/>
    <w:rsid w:val="00EB2D1F"/>
    <w:rsid w:val="00EF3B18"/>
    <w:rsid w:val="00F4010E"/>
    <w:rsid w:val="00F641B2"/>
    <w:rsid w:val="00F8717C"/>
    <w:rsid w:val="00F879DE"/>
    <w:rsid w:val="00FC3EB7"/>
    <w:rsid w:val="00FE1930"/>
    <w:rsid w:val="00FE51E7"/>
    <w:rsid w:val="00FF3EEB"/>
    <w:rsid w:val="00F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4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C70947"/>
    <w:rPr>
      <w:rFonts w:cs="Times New Roman"/>
    </w:rPr>
  </w:style>
  <w:style w:type="paragraph" w:customStyle="1" w:styleId="OrderBody">
    <w:name w:val="Order Body"/>
    <w:basedOn w:val="Normal"/>
    <w:link w:val="OrderBodyChar"/>
    <w:uiPriority w:val="99"/>
    <w:rsid w:val="000E2269"/>
    <w:pPr>
      <w:widowControl/>
      <w:autoSpaceDE/>
      <w:autoSpaceDN/>
      <w:adjustRightInd/>
      <w:jc w:val="both"/>
    </w:pPr>
    <w:rPr>
      <w:rFonts w:ascii="Times New Roman" w:hAnsi="Times New Roman"/>
    </w:rPr>
  </w:style>
  <w:style w:type="character" w:customStyle="1" w:styleId="OrderBodyChar">
    <w:name w:val="Order Body Char"/>
    <w:basedOn w:val="DefaultParagraphFont"/>
    <w:link w:val="OrderBody"/>
    <w:uiPriority w:val="99"/>
    <w:locked/>
    <w:rsid w:val="000E2269"/>
    <w:rPr>
      <w:rFonts w:cs="Times New Roman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F3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AA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366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6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9AA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6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9A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4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B22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0B22"/>
    <w:rPr>
      <w:rFonts w:ascii="Courier" w:hAnsi="Courier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0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020"/>
    <w:rPr>
      <w:rFonts w:ascii="Courier" w:hAnsi="Courie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2011-10-03T16:08:00Z</dcterms:created>
  <dcterms:modified xsi:type="dcterms:W3CDTF">2011-10-03T16:08:00Z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-2115042488</vt:i4>
  </property>
  <property fmtid="{D5CDD505-2E9C-101B-9397-08002B2CF9AE}" pid="3" name="_NewReviewCycle">
    <vt:lpwstr/>
  </property>
</Properties>
</file>