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36" w:rsidRPr="00697FF7" w:rsidRDefault="00AF6136" w:rsidP="00AF6136">
      <w:pPr>
        <w:tabs>
          <w:tab w:val="center" w:pos="4680"/>
        </w:tabs>
        <w:jc w:val="center"/>
        <w:rPr>
          <w:rFonts w:ascii="Times New Roman" w:hAnsi="Times New Roman"/>
          <w:b/>
          <w:sz w:val="24"/>
        </w:rPr>
      </w:pPr>
      <w:r w:rsidRPr="00697FF7">
        <w:rPr>
          <w:rFonts w:ascii="Times New Roman" w:hAnsi="Times New Roman"/>
          <w:b/>
          <w:sz w:val="24"/>
        </w:rPr>
        <w:t>BEFORE THE FLORIDA PUBLIC SERVICE COMMISSION</w:t>
      </w:r>
    </w:p>
    <w:p w:rsidR="00AF6136" w:rsidRPr="00697FF7" w:rsidRDefault="00AF6136" w:rsidP="00AF6136">
      <w:pPr>
        <w:tabs>
          <w:tab w:val="center" w:pos="4680"/>
        </w:tabs>
        <w:jc w:val="center"/>
        <w:rPr>
          <w:rFonts w:ascii="Times New Roman" w:hAnsi="Times New Roman"/>
          <w:sz w:val="24"/>
        </w:rPr>
      </w:pPr>
    </w:p>
    <w:p w:rsidR="00AF6136" w:rsidRPr="00697FF7" w:rsidRDefault="00AF6136" w:rsidP="00AF6136">
      <w:pPr>
        <w:tabs>
          <w:tab w:val="center" w:pos="4680"/>
        </w:tabs>
        <w:jc w:val="center"/>
        <w:rPr>
          <w:rFonts w:ascii="Times New Roman" w:hAnsi="Times New Roman"/>
          <w:sz w:val="24"/>
        </w:rPr>
      </w:pPr>
    </w:p>
    <w:tbl>
      <w:tblPr>
        <w:tblW w:w="0" w:type="auto"/>
        <w:tblBorders>
          <w:insideV w:val="double" w:sz="4" w:space="0" w:color="auto"/>
        </w:tblBorders>
        <w:tblLook w:val="01E0"/>
      </w:tblPr>
      <w:tblGrid>
        <w:gridCol w:w="4788"/>
        <w:gridCol w:w="4788"/>
      </w:tblGrid>
      <w:tr w:rsidR="00AF6136" w:rsidRPr="00697FF7" w:rsidTr="00BD11E8">
        <w:trPr>
          <w:trHeight w:val="828"/>
        </w:trPr>
        <w:tc>
          <w:tcPr>
            <w:tcW w:w="4788" w:type="dxa"/>
            <w:tcBorders>
              <w:bottom w:val="single" w:sz="8" w:space="0" w:color="auto"/>
              <w:right w:val="double" w:sz="6" w:space="0" w:color="auto"/>
            </w:tcBorders>
          </w:tcPr>
          <w:p w:rsidR="00D80701" w:rsidRDefault="00D80701" w:rsidP="00D80701">
            <w:pPr>
              <w:pStyle w:val="OrderBody"/>
              <w:rPr>
                <w:sz w:val="23"/>
                <w:szCs w:val="23"/>
              </w:rPr>
            </w:pPr>
            <w:r>
              <w:rPr>
                <w:sz w:val="23"/>
                <w:szCs w:val="23"/>
              </w:rPr>
              <w:t xml:space="preserve">In re: Petition for increase in rates by Gulf </w:t>
            </w:r>
          </w:p>
          <w:p w:rsidR="00AF6136" w:rsidRPr="00697FF7" w:rsidRDefault="00D80701" w:rsidP="00D80701">
            <w:pPr>
              <w:pStyle w:val="OrderBody"/>
            </w:pPr>
            <w:r>
              <w:rPr>
                <w:sz w:val="23"/>
                <w:szCs w:val="23"/>
              </w:rPr>
              <w:t>Power Company.</w:t>
            </w:r>
          </w:p>
        </w:tc>
        <w:tc>
          <w:tcPr>
            <w:tcW w:w="4788" w:type="dxa"/>
            <w:tcBorders>
              <w:left w:val="double" w:sz="6" w:space="0" w:color="auto"/>
            </w:tcBorders>
          </w:tcPr>
          <w:p w:rsidR="00AF6136" w:rsidRPr="00697FF7" w:rsidRDefault="00AF6136" w:rsidP="0065565D">
            <w:pPr>
              <w:pStyle w:val="OrderBody"/>
              <w:ind w:left="612"/>
            </w:pPr>
            <w:r w:rsidRPr="00697FF7">
              <w:t>DOCKET NO.</w:t>
            </w:r>
            <w:bookmarkStart w:id="0" w:name="SSDocketNo"/>
            <w:bookmarkEnd w:id="0"/>
            <w:r w:rsidR="004B0BAD">
              <w:t>: 11</w:t>
            </w:r>
            <w:r w:rsidR="00F60916" w:rsidRPr="00697FF7">
              <w:t>0</w:t>
            </w:r>
            <w:r w:rsidR="00D80701">
              <w:t>138</w:t>
            </w:r>
            <w:r w:rsidRPr="00697FF7">
              <w:t>-EI</w:t>
            </w:r>
          </w:p>
          <w:p w:rsidR="00B958F1" w:rsidRDefault="00B958F1" w:rsidP="0065565D">
            <w:pPr>
              <w:pStyle w:val="OrderBody"/>
              <w:ind w:left="612"/>
            </w:pPr>
            <w:bookmarkStart w:id="1" w:name="SSIssued"/>
            <w:bookmarkEnd w:id="1"/>
          </w:p>
          <w:p w:rsidR="00AF6136" w:rsidRPr="00697FF7" w:rsidRDefault="00F60916" w:rsidP="0065565D">
            <w:pPr>
              <w:pStyle w:val="OrderBody"/>
              <w:ind w:left="612"/>
            </w:pPr>
            <w:r w:rsidRPr="00697FF7">
              <w:t>FILED:</w:t>
            </w:r>
            <w:r w:rsidR="007B41B9" w:rsidRPr="00697FF7">
              <w:t xml:space="preserve"> </w:t>
            </w:r>
            <w:r w:rsidR="00203F61">
              <w:t>November</w:t>
            </w:r>
            <w:r w:rsidR="007B41B9" w:rsidRPr="00697FF7">
              <w:t xml:space="preserve"> </w:t>
            </w:r>
            <w:r w:rsidR="00203F61">
              <w:t>14</w:t>
            </w:r>
            <w:r w:rsidR="004B0BAD">
              <w:t>, 2011</w:t>
            </w:r>
          </w:p>
          <w:p w:rsidR="00AF6136" w:rsidRPr="00697FF7" w:rsidRDefault="00AF6136" w:rsidP="00BD11E8">
            <w:pPr>
              <w:pStyle w:val="OrderBody"/>
            </w:pPr>
          </w:p>
        </w:tc>
      </w:tr>
    </w:tbl>
    <w:p w:rsidR="0007519B" w:rsidRPr="00697FF7" w:rsidRDefault="0007519B" w:rsidP="00755D39">
      <w:pPr>
        <w:spacing w:line="480" w:lineRule="auto"/>
        <w:jc w:val="center"/>
        <w:rPr>
          <w:rFonts w:ascii="Times New Roman" w:hAnsi="Times New Roman"/>
          <w:b/>
          <w:bCs/>
          <w:sz w:val="24"/>
          <w:u w:val="single"/>
        </w:rPr>
      </w:pPr>
    </w:p>
    <w:p w:rsidR="003D6AC7" w:rsidRPr="008330BC" w:rsidRDefault="00755D39" w:rsidP="008330BC">
      <w:pPr>
        <w:spacing w:after="240" w:line="360" w:lineRule="auto"/>
        <w:jc w:val="center"/>
        <w:rPr>
          <w:rFonts w:ascii="Times New Roman" w:hAnsi="Times New Roman"/>
          <w:b/>
          <w:bCs/>
          <w:sz w:val="24"/>
          <w:u w:val="single"/>
        </w:rPr>
      </w:pPr>
      <w:r w:rsidRPr="00697FF7">
        <w:rPr>
          <w:rFonts w:ascii="Times New Roman" w:hAnsi="Times New Roman"/>
          <w:b/>
          <w:bCs/>
          <w:sz w:val="24"/>
          <w:u w:val="single"/>
        </w:rPr>
        <w:t>PREHEARING STATEMENT OF THE OFFICE OF PUBLIC COUNSEL</w:t>
      </w:r>
    </w:p>
    <w:p w:rsidR="003D6AC7" w:rsidRPr="00697FF7" w:rsidRDefault="00755D39" w:rsidP="008330BC">
      <w:pPr>
        <w:tabs>
          <w:tab w:val="left" w:pos="720"/>
        </w:tabs>
        <w:spacing w:line="360" w:lineRule="auto"/>
        <w:jc w:val="both"/>
        <w:rPr>
          <w:rFonts w:ascii="Times New Roman" w:hAnsi="Times New Roman"/>
          <w:bCs/>
          <w:sz w:val="24"/>
        </w:rPr>
      </w:pPr>
      <w:r w:rsidRPr="00697FF7">
        <w:rPr>
          <w:rFonts w:ascii="Times New Roman" w:hAnsi="Times New Roman"/>
          <w:bCs/>
          <w:sz w:val="24"/>
        </w:rPr>
        <w:tab/>
        <w:t xml:space="preserve">The Citizens of the State of Florida, through the Office of Public Counsel, pursuant to the Order Establishing Procedure </w:t>
      </w:r>
      <w:r w:rsidR="004B0BAD">
        <w:rPr>
          <w:rFonts w:ascii="Times New Roman" w:hAnsi="Times New Roman"/>
          <w:bCs/>
          <w:sz w:val="24"/>
        </w:rPr>
        <w:t>in this docket, Order No. PSC-11-0</w:t>
      </w:r>
      <w:r w:rsidR="00D80701">
        <w:rPr>
          <w:rFonts w:ascii="Times New Roman" w:hAnsi="Times New Roman"/>
          <w:bCs/>
          <w:sz w:val="24"/>
        </w:rPr>
        <w:t>307</w:t>
      </w:r>
      <w:r w:rsidR="002F2B13" w:rsidRPr="00697FF7">
        <w:rPr>
          <w:rFonts w:ascii="Times New Roman" w:hAnsi="Times New Roman"/>
          <w:bCs/>
          <w:sz w:val="24"/>
        </w:rPr>
        <w:t xml:space="preserve">-PCO-EI, issued </w:t>
      </w:r>
      <w:r w:rsidR="004B0BAD">
        <w:rPr>
          <w:rFonts w:ascii="Times New Roman" w:hAnsi="Times New Roman"/>
          <w:bCs/>
          <w:sz w:val="24"/>
        </w:rPr>
        <w:t>March 29, 2011</w:t>
      </w:r>
      <w:r w:rsidRPr="00697FF7">
        <w:rPr>
          <w:rFonts w:ascii="Times New Roman" w:hAnsi="Times New Roman"/>
          <w:bCs/>
          <w:sz w:val="24"/>
        </w:rPr>
        <w:t>, hereby submit this Prehearing Statement.</w:t>
      </w:r>
    </w:p>
    <w:p w:rsidR="00331BD4" w:rsidRDefault="00331BD4" w:rsidP="00331BD4">
      <w:pPr>
        <w:tabs>
          <w:tab w:val="left" w:pos="720"/>
        </w:tabs>
        <w:jc w:val="both"/>
        <w:rPr>
          <w:rFonts w:ascii="Times New Roman" w:hAnsi="Times New Roman"/>
          <w:bCs/>
          <w:sz w:val="24"/>
          <w:u w:val="single"/>
        </w:rPr>
      </w:pPr>
    </w:p>
    <w:p w:rsidR="00755D39" w:rsidRDefault="00755D39" w:rsidP="00331BD4">
      <w:pPr>
        <w:tabs>
          <w:tab w:val="left" w:pos="720"/>
        </w:tabs>
        <w:jc w:val="both"/>
        <w:rPr>
          <w:rFonts w:ascii="Times New Roman" w:hAnsi="Times New Roman"/>
          <w:bCs/>
          <w:sz w:val="24"/>
          <w:u w:val="single"/>
        </w:rPr>
      </w:pPr>
      <w:r w:rsidRPr="00697FF7">
        <w:rPr>
          <w:rFonts w:ascii="Times New Roman" w:hAnsi="Times New Roman"/>
          <w:bCs/>
          <w:sz w:val="24"/>
          <w:u w:val="single"/>
        </w:rPr>
        <w:t>APPEARANCES:</w:t>
      </w:r>
    </w:p>
    <w:p w:rsidR="00331BD4" w:rsidRDefault="00331BD4" w:rsidP="002F2B13">
      <w:pPr>
        <w:tabs>
          <w:tab w:val="left" w:pos="720"/>
        </w:tabs>
        <w:jc w:val="both"/>
        <w:rPr>
          <w:rFonts w:ascii="Times New Roman" w:hAnsi="Times New Roman"/>
          <w:bCs/>
          <w:sz w:val="24"/>
        </w:rPr>
      </w:pPr>
    </w:p>
    <w:p w:rsidR="00732FCC" w:rsidRDefault="00732FCC" w:rsidP="002F2B13">
      <w:pPr>
        <w:tabs>
          <w:tab w:val="left" w:pos="720"/>
        </w:tabs>
        <w:jc w:val="both"/>
        <w:rPr>
          <w:rFonts w:ascii="Times New Roman" w:hAnsi="Times New Roman"/>
          <w:bCs/>
          <w:sz w:val="24"/>
        </w:rPr>
      </w:pPr>
      <w:r>
        <w:rPr>
          <w:rFonts w:ascii="Times New Roman" w:hAnsi="Times New Roman"/>
          <w:bCs/>
          <w:sz w:val="24"/>
        </w:rPr>
        <w:tab/>
        <w:t>Joseph A. McGlothlin</w:t>
      </w:r>
    </w:p>
    <w:p w:rsidR="00732FCC" w:rsidRPr="00697FF7" w:rsidRDefault="00344D31" w:rsidP="002F2B13">
      <w:pPr>
        <w:tabs>
          <w:tab w:val="left" w:pos="720"/>
        </w:tabs>
        <w:jc w:val="both"/>
        <w:rPr>
          <w:rFonts w:ascii="Times New Roman" w:hAnsi="Times New Roman"/>
          <w:bCs/>
          <w:sz w:val="24"/>
        </w:rPr>
      </w:pPr>
      <w:r>
        <w:rPr>
          <w:rFonts w:ascii="Times New Roman" w:hAnsi="Times New Roman"/>
          <w:bCs/>
          <w:sz w:val="24"/>
        </w:rPr>
        <w:tab/>
        <w:t>Associate Public Counsel</w:t>
      </w:r>
    </w:p>
    <w:p w:rsidR="00FC39E0" w:rsidRPr="00697FF7" w:rsidRDefault="00FC39E0" w:rsidP="002F2B13">
      <w:pPr>
        <w:tabs>
          <w:tab w:val="left" w:pos="720"/>
        </w:tabs>
        <w:jc w:val="both"/>
        <w:rPr>
          <w:rFonts w:ascii="Times New Roman" w:hAnsi="Times New Roman"/>
          <w:bCs/>
          <w:sz w:val="24"/>
        </w:rPr>
      </w:pPr>
      <w:r w:rsidRPr="00697FF7">
        <w:rPr>
          <w:rFonts w:ascii="Times New Roman" w:hAnsi="Times New Roman"/>
          <w:bCs/>
          <w:sz w:val="24"/>
        </w:rPr>
        <w:tab/>
        <w:t>Office of Public Counsel</w:t>
      </w:r>
    </w:p>
    <w:p w:rsidR="00FC39E0" w:rsidRPr="00697FF7" w:rsidRDefault="00FC39E0" w:rsidP="002F2B13">
      <w:pPr>
        <w:tabs>
          <w:tab w:val="left" w:pos="720"/>
        </w:tabs>
        <w:jc w:val="both"/>
        <w:rPr>
          <w:rFonts w:ascii="Times New Roman" w:hAnsi="Times New Roman"/>
          <w:bCs/>
          <w:sz w:val="24"/>
        </w:rPr>
      </w:pPr>
      <w:r w:rsidRPr="00697FF7">
        <w:rPr>
          <w:rFonts w:ascii="Times New Roman" w:hAnsi="Times New Roman"/>
          <w:bCs/>
          <w:sz w:val="24"/>
        </w:rPr>
        <w:tab/>
        <w:t>c/o The Florida Legislature</w:t>
      </w:r>
    </w:p>
    <w:p w:rsidR="00FC39E0" w:rsidRPr="00697FF7" w:rsidRDefault="00FC39E0" w:rsidP="002F2B13">
      <w:pPr>
        <w:tabs>
          <w:tab w:val="left" w:pos="720"/>
        </w:tabs>
        <w:jc w:val="both"/>
        <w:rPr>
          <w:rFonts w:ascii="Times New Roman" w:hAnsi="Times New Roman"/>
          <w:bCs/>
          <w:sz w:val="24"/>
        </w:rPr>
      </w:pPr>
      <w:r w:rsidRPr="00697FF7">
        <w:rPr>
          <w:rFonts w:ascii="Times New Roman" w:hAnsi="Times New Roman"/>
          <w:bCs/>
          <w:sz w:val="24"/>
        </w:rPr>
        <w:tab/>
        <w:t>111 West Madison Street, Room 812</w:t>
      </w:r>
    </w:p>
    <w:p w:rsidR="00FC39E0" w:rsidRPr="00697FF7" w:rsidRDefault="00FC39E0" w:rsidP="002F2B13">
      <w:pPr>
        <w:tabs>
          <w:tab w:val="left" w:pos="720"/>
        </w:tabs>
        <w:jc w:val="both"/>
        <w:rPr>
          <w:rFonts w:ascii="Times New Roman" w:hAnsi="Times New Roman"/>
          <w:bCs/>
          <w:sz w:val="24"/>
        </w:rPr>
      </w:pPr>
      <w:r w:rsidRPr="00697FF7">
        <w:rPr>
          <w:rFonts w:ascii="Times New Roman" w:hAnsi="Times New Roman"/>
          <w:bCs/>
          <w:sz w:val="24"/>
        </w:rPr>
        <w:tab/>
        <w:t>Tallahassee, Florida 32399-1400</w:t>
      </w:r>
    </w:p>
    <w:p w:rsidR="00344D31" w:rsidRPr="00697FF7" w:rsidRDefault="00344D31" w:rsidP="00344D31">
      <w:pPr>
        <w:tabs>
          <w:tab w:val="left" w:pos="720"/>
        </w:tabs>
        <w:jc w:val="both"/>
        <w:rPr>
          <w:rFonts w:ascii="Times New Roman" w:hAnsi="Times New Roman"/>
          <w:bCs/>
          <w:sz w:val="24"/>
          <w:u w:val="single"/>
        </w:rPr>
      </w:pPr>
      <w:r w:rsidRPr="00344D31">
        <w:rPr>
          <w:rFonts w:ascii="Times New Roman" w:hAnsi="Times New Roman"/>
          <w:bCs/>
          <w:sz w:val="24"/>
        </w:rPr>
        <w:tab/>
      </w:r>
      <w:r w:rsidRPr="00697FF7">
        <w:rPr>
          <w:rFonts w:ascii="Times New Roman" w:hAnsi="Times New Roman"/>
          <w:bCs/>
          <w:sz w:val="24"/>
          <w:u w:val="single"/>
        </w:rPr>
        <w:t>On behalf of the Citizens of the State of Florida</w:t>
      </w:r>
    </w:p>
    <w:p w:rsidR="00344D31" w:rsidRDefault="00344D31" w:rsidP="002F2B13">
      <w:pPr>
        <w:tabs>
          <w:tab w:val="left" w:pos="720"/>
        </w:tabs>
        <w:jc w:val="both"/>
        <w:rPr>
          <w:rFonts w:ascii="Times New Roman" w:hAnsi="Times New Roman"/>
          <w:bCs/>
          <w:sz w:val="24"/>
        </w:rPr>
      </w:pPr>
    </w:p>
    <w:p w:rsidR="00344D31" w:rsidRDefault="00344D31" w:rsidP="002F2B13">
      <w:pPr>
        <w:tabs>
          <w:tab w:val="left" w:pos="720"/>
        </w:tabs>
        <w:jc w:val="both"/>
        <w:rPr>
          <w:rFonts w:ascii="Times New Roman" w:hAnsi="Times New Roman"/>
          <w:bCs/>
          <w:sz w:val="24"/>
        </w:rPr>
      </w:pPr>
      <w:r>
        <w:rPr>
          <w:rFonts w:ascii="Times New Roman" w:hAnsi="Times New Roman"/>
          <w:bCs/>
          <w:sz w:val="24"/>
        </w:rPr>
        <w:tab/>
        <w:t>Erik L. Sayler</w:t>
      </w:r>
    </w:p>
    <w:p w:rsidR="00344D31" w:rsidRPr="00697FF7" w:rsidRDefault="00344D31" w:rsidP="00344D31">
      <w:pPr>
        <w:tabs>
          <w:tab w:val="left" w:pos="720"/>
        </w:tabs>
        <w:jc w:val="both"/>
        <w:rPr>
          <w:rFonts w:ascii="Times New Roman" w:hAnsi="Times New Roman"/>
          <w:bCs/>
          <w:sz w:val="24"/>
        </w:rPr>
      </w:pPr>
      <w:r>
        <w:rPr>
          <w:rFonts w:ascii="Times New Roman" w:hAnsi="Times New Roman"/>
          <w:bCs/>
          <w:sz w:val="24"/>
        </w:rPr>
        <w:tab/>
        <w:t>Associate Public Counsel</w:t>
      </w:r>
    </w:p>
    <w:p w:rsidR="00344D31" w:rsidRPr="00697FF7" w:rsidRDefault="00344D31" w:rsidP="00344D31">
      <w:pPr>
        <w:tabs>
          <w:tab w:val="left" w:pos="720"/>
        </w:tabs>
        <w:jc w:val="both"/>
        <w:rPr>
          <w:rFonts w:ascii="Times New Roman" w:hAnsi="Times New Roman"/>
          <w:bCs/>
          <w:sz w:val="24"/>
        </w:rPr>
      </w:pPr>
      <w:r w:rsidRPr="00697FF7">
        <w:rPr>
          <w:rFonts w:ascii="Times New Roman" w:hAnsi="Times New Roman"/>
          <w:bCs/>
          <w:sz w:val="24"/>
        </w:rPr>
        <w:tab/>
        <w:t>Office of Public Counsel</w:t>
      </w:r>
    </w:p>
    <w:p w:rsidR="00344D31" w:rsidRPr="00697FF7" w:rsidRDefault="00344D31" w:rsidP="00344D31">
      <w:pPr>
        <w:tabs>
          <w:tab w:val="left" w:pos="720"/>
        </w:tabs>
        <w:jc w:val="both"/>
        <w:rPr>
          <w:rFonts w:ascii="Times New Roman" w:hAnsi="Times New Roman"/>
          <w:bCs/>
          <w:sz w:val="24"/>
        </w:rPr>
      </w:pPr>
      <w:r w:rsidRPr="00697FF7">
        <w:rPr>
          <w:rFonts w:ascii="Times New Roman" w:hAnsi="Times New Roman"/>
          <w:bCs/>
          <w:sz w:val="24"/>
        </w:rPr>
        <w:tab/>
        <w:t>c/o The Florida Legislature</w:t>
      </w:r>
    </w:p>
    <w:p w:rsidR="00344D31" w:rsidRPr="00697FF7" w:rsidRDefault="00344D31" w:rsidP="00344D31">
      <w:pPr>
        <w:tabs>
          <w:tab w:val="left" w:pos="720"/>
        </w:tabs>
        <w:jc w:val="both"/>
        <w:rPr>
          <w:rFonts w:ascii="Times New Roman" w:hAnsi="Times New Roman"/>
          <w:bCs/>
          <w:sz w:val="24"/>
        </w:rPr>
      </w:pPr>
      <w:r w:rsidRPr="00697FF7">
        <w:rPr>
          <w:rFonts w:ascii="Times New Roman" w:hAnsi="Times New Roman"/>
          <w:bCs/>
          <w:sz w:val="24"/>
        </w:rPr>
        <w:tab/>
        <w:t>111 West Madison Street, Room 812</w:t>
      </w:r>
    </w:p>
    <w:p w:rsidR="00344D31" w:rsidRPr="00697FF7" w:rsidRDefault="00344D31" w:rsidP="00344D31">
      <w:pPr>
        <w:tabs>
          <w:tab w:val="left" w:pos="720"/>
        </w:tabs>
        <w:jc w:val="both"/>
        <w:rPr>
          <w:rFonts w:ascii="Times New Roman" w:hAnsi="Times New Roman"/>
          <w:bCs/>
          <w:sz w:val="24"/>
        </w:rPr>
      </w:pPr>
      <w:r w:rsidRPr="00697FF7">
        <w:rPr>
          <w:rFonts w:ascii="Times New Roman" w:hAnsi="Times New Roman"/>
          <w:bCs/>
          <w:sz w:val="24"/>
        </w:rPr>
        <w:tab/>
        <w:t>Tallahassee, Florida 32399-1400</w:t>
      </w:r>
    </w:p>
    <w:p w:rsidR="00344D31" w:rsidRPr="00697FF7" w:rsidRDefault="00344D31" w:rsidP="00344D31">
      <w:pPr>
        <w:tabs>
          <w:tab w:val="left" w:pos="720"/>
        </w:tabs>
        <w:jc w:val="both"/>
        <w:rPr>
          <w:rFonts w:ascii="Times New Roman" w:hAnsi="Times New Roman"/>
          <w:bCs/>
          <w:sz w:val="24"/>
          <w:u w:val="single"/>
        </w:rPr>
      </w:pPr>
      <w:r w:rsidRPr="00344D31">
        <w:rPr>
          <w:rFonts w:ascii="Times New Roman" w:hAnsi="Times New Roman"/>
          <w:bCs/>
          <w:sz w:val="24"/>
        </w:rPr>
        <w:tab/>
      </w:r>
      <w:r w:rsidRPr="00697FF7">
        <w:rPr>
          <w:rFonts w:ascii="Times New Roman" w:hAnsi="Times New Roman"/>
          <w:bCs/>
          <w:sz w:val="24"/>
          <w:u w:val="single"/>
        </w:rPr>
        <w:t>On behalf of the Citizens of the State of Florida</w:t>
      </w:r>
    </w:p>
    <w:p w:rsidR="002F2B13" w:rsidRDefault="002F2B13" w:rsidP="00FC39E0">
      <w:pPr>
        <w:tabs>
          <w:tab w:val="left" w:pos="720"/>
        </w:tabs>
        <w:rPr>
          <w:rFonts w:ascii="Times New Roman" w:hAnsi="Times New Roman"/>
          <w:bCs/>
          <w:sz w:val="24"/>
          <w:u w:val="single"/>
        </w:rPr>
      </w:pPr>
    </w:p>
    <w:p w:rsidR="00331BD4" w:rsidRPr="00697FF7" w:rsidRDefault="00331BD4" w:rsidP="00FC39E0">
      <w:pPr>
        <w:tabs>
          <w:tab w:val="left" w:pos="720"/>
        </w:tabs>
        <w:rPr>
          <w:rFonts w:ascii="Times New Roman" w:hAnsi="Times New Roman"/>
          <w:bCs/>
          <w:sz w:val="24"/>
          <w:u w:val="single"/>
        </w:rPr>
      </w:pPr>
    </w:p>
    <w:p w:rsidR="00FC39E0" w:rsidRPr="00344D31" w:rsidRDefault="00FC39E0" w:rsidP="00FC39E0">
      <w:pPr>
        <w:tabs>
          <w:tab w:val="left" w:pos="720"/>
        </w:tabs>
        <w:rPr>
          <w:rFonts w:ascii="Times New Roman" w:hAnsi="Times New Roman"/>
          <w:b/>
          <w:bCs/>
          <w:sz w:val="24"/>
          <w:u w:val="single"/>
        </w:rPr>
      </w:pPr>
      <w:r w:rsidRPr="00344D31">
        <w:rPr>
          <w:rFonts w:ascii="Times New Roman" w:hAnsi="Times New Roman"/>
          <w:b/>
          <w:bCs/>
          <w:sz w:val="24"/>
        </w:rPr>
        <w:t xml:space="preserve">1.  </w:t>
      </w:r>
      <w:r w:rsidR="00344D31" w:rsidRPr="00344D31">
        <w:rPr>
          <w:rFonts w:ascii="Times New Roman" w:hAnsi="Times New Roman"/>
          <w:b/>
          <w:bCs/>
          <w:sz w:val="24"/>
        </w:rPr>
        <w:tab/>
      </w:r>
      <w:r w:rsidRPr="00344D31">
        <w:rPr>
          <w:rFonts w:ascii="Times New Roman" w:hAnsi="Times New Roman"/>
          <w:b/>
          <w:bCs/>
          <w:sz w:val="24"/>
          <w:u w:val="single"/>
        </w:rPr>
        <w:t>WITNESSES</w:t>
      </w:r>
      <w:r w:rsidRPr="00344D31">
        <w:rPr>
          <w:rFonts w:ascii="Times New Roman" w:hAnsi="Times New Roman"/>
          <w:b/>
          <w:bCs/>
          <w:sz w:val="24"/>
        </w:rPr>
        <w:t>:</w:t>
      </w:r>
    </w:p>
    <w:p w:rsidR="00FC39E0" w:rsidRPr="00697FF7" w:rsidRDefault="00FC39E0" w:rsidP="00FC39E0">
      <w:pPr>
        <w:tabs>
          <w:tab w:val="left" w:pos="720"/>
        </w:tabs>
        <w:rPr>
          <w:rFonts w:ascii="Times New Roman" w:hAnsi="Times New Roman"/>
          <w:bCs/>
          <w:sz w:val="24"/>
          <w:u w:val="single"/>
        </w:rPr>
      </w:pPr>
    </w:p>
    <w:p w:rsidR="00FC39E0" w:rsidRPr="00697FF7" w:rsidRDefault="00FC39E0" w:rsidP="00FC39E0">
      <w:pPr>
        <w:tabs>
          <w:tab w:val="left" w:pos="720"/>
        </w:tabs>
        <w:rPr>
          <w:rFonts w:ascii="Times New Roman" w:hAnsi="Times New Roman"/>
          <w:bCs/>
          <w:sz w:val="24"/>
        </w:rPr>
      </w:pPr>
      <w:r w:rsidRPr="00697FF7">
        <w:rPr>
          <w:rFonts w:ascii="Times New Roman" w:hAnsi="Times New Roman"/>
          <w:bCs/>
          <w:sz w:val="24"/>
        </w:rPr>
        <w:tab/>
        <w:t>The Citizens intend to call the following witnesses, who will address the issues indicated:</w:t>
      </w:r>
    </w:p>
    <w:p w:rsidR="00FC39E0" w:rsidRPr="00697FF7" w:rsidRDefault="00FC39E0" w:rsidP="00FC39E0">
      <w:pPr>
        <w:tabs>
          <w:tab w:val="left" w:pos="720"/>
        </w:tabs>
        <w:rPr>
          <w:rFonts w:ascii="Times New Roman" w:hAnsi="Times New Roman"/>
          <w:bCs/>
          <w:sz w:val="24"/>
        </w:rPr>
      </w:pPr>
    </w:p>
    <w:p w:rsidR="00FC39E0" w:rsidRPr="00697FF7" w:rsidRDefault="00FC39E0" w:rsidP="00FC39E0">
      <w:pPr>
        <w:tabs>
          <w:tab w:val="left" w:pos="720"/>
        </w:tabs>
        <w:rPr>
          <w:rFonts w:ascii="Times New Roman" w:hAnsi="Times New Roman"/>
          <w:bCs/>
          <w:sz w:val="24"/>
        </w:rPr>
      </w:pPr>
      <w:r w:rsidRPr="00697FF7">
        <w:rPr>
          <w:rFonts w:ascii="Times New Roman" w:hAnsi="Times New Roman"/>
          <w:bCs/>
          <w:sz w:val="24"/>
        </w:rPr>
        <w:tab/>
      </w:r>
      <w:r w:rsidRPr="00697FF7">
        <w:rPr>
          <w:rFonts w:ascii="Times New Roman" w:hAnsi="Times New Roman"/>
          <w:bCs/>
          <w:sz w:val="24"/>
          <w:u w:val="single"/>
        </w:rPr>
        <w:t>NAME</w:t>
      </w:r>
      <w:r w:rsidRPr="00697FF7">
        <w:rPr>
          <w:rFonts w:ascii="Times New Roman" w:hAnsi="Times New Roman"/>
          <w:bCs/>
          <w:sz w:val="24"/>
          <w:u w:val="single"/>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rPr>
        <w:tab/>
      </w:r>
      <w:r w:rsidRPr="00697FF7">
        <w:rPr>
          <w:rFonts w:ascii="Times New Roman" w:hAnsi="Times New Roman"/>
          <w:bCs/>
          <w:sz w:val="24"/>
          <w:u w:val="single"/>
        </w:rPr>
        <w:t>ISSUES</w:t>
      </w:r>
    </w:p>
    <w:p w:rsidR="00FC39E0" w:rsidRDefault="00EC6159" w:rsidP="00FC39E0">
      <w:pPr>
        <w:tabs>
          <w:tab w:val="left" w:pos="720"/>
        </w:tabs>
        <w:rPr>
          <w:rFonts w:ascii="Times New Roman" w:hAnsi="Times New Roman"/>
          <w:bCs/>
          <w:sz w:val="24"/>
        </w:rPr>
      </w:pPr>
      <w:r>
        <w:rPr>
          <w:rFonts w:ascii="Times New Roman" w:hAnsi="Times New Roman"/>
          <w:bCs/>
          <w:sz w:val="24"/>
        </w:rPr>
        <w:tab/>
      </w:r>
    </w:p>
    <w:p w:rsidR="00EC6159" w:rsidRPr="00285E69" w:rsidRDefault="00EC6159" w:rsidP="0001182D">
      <w:pPr>
        <w:tabs>
          <w:tab w:val="left" w:pos="720"/>
        </w:tabs>
        <w:rPr>
          <w:rFonts w:ascii="Times New Roman" w:hAnsi="Times New Roman"/>
          <w:bCs/>
          <w:sz w:val="24"/>
        </w:rPr>
      </w:pPr>
      <w:r>
        <w:rPr>
          <w:rFonts w:ascii="Times New Roman" w:hAnsi="Times New Roman"/>
          <w:bCs/>
          <w:sz w:val="24"/>
        </w:rPr>
        <w:tab/>
      </w:r>
      <w:r w:rsidR="00275B80" w:rsidRPr="00285E69">
        <w:rPr>
          <w:rFonts w:ascii="Times New Roman" w:hAnsi="Times New Roman"/>
          <w:bCs/>
          <w:sz w:val="24"/>
        </w:rPr>
        <w:t>Donna Ramas</w:t>
      </w:r>
      <w:r w:rsidR="00275B80" w:rsidRPr="00285E69">
        <w:rPr>
          <w:rFonts w:ascii="Times New Roman" w:hAnsi="Times New Roman"/>
          <w:bCs/>
          <w:sz w:val="24"/>
        </w:rPr>
        <w:tab/>
      </w:r>
      <w:r w:rsidR="00275B80" w:rsidRPr="00285E69">
        <w:rPr>
          <w:rFonts w:ascii="Times New Roman" w:hAnsi="Times New Roman"/>
          <w:bCs/>
          <w:sz w:val="24"/>
        </w:rPr>
        <w:tab/>
      </w:r>
      <w:r w:rsidR="00275B80" w:rsidRPr="00285E69">
        <w:rPr>
          <w:rFonts w:ascii="Times New Roman" w:hAnsi="Times New Roman"/>
          <w:bCs/>
          <w:sz w:val="24"/>
        </w:rPr>
        <w:tab/>
      </w:r>
      <w:r w:rsidR="00275B80" w:rsidRPr="00285E69">
        <w:rPr>
          <w:rFonts w:ascii="Times New Roman" w:hAnsi="Times New Roman"/>
          <w:bCs/>
          <w:sz w:val="24"/>
        </w:rPr>
        <w:tab/>
      </w:r>
      <w:r w:rsidR="00275B80" w:rsidRPr="00285E69">
        <w:rPr>
          <w:rFonts w:ascii="Times New Roman" w:hAnsi="Times New Roman"/>
          <w:bCs/>
          <w:sz w:val="24"/>
        </w:rPr>
        <w:tab/>
      </w:r>
      <w:r w:rsidR="00275B80" w:rsidRPr="00285E69">
        <w:rPr>
          <w:rFonts w:ascii="Times New Roman" w:hAnsi="Times New Roman"/>
          <w:bCs/>
          <w:sz w:val="24"/>
        </w:rPr>
        <w:tab/>
      </w:r>
      <w:r w:rsidR="00275B80" w:rsidRPr="00285E69">
        <w:rPr>
          <w:rFonts w:ascii="Times New Roman" w:hAnsi="Times New Roman"/>
          <w:bCs/>
          <w:sz w:val="24"/>
        </w:rPr>
        <w:tab/>
      </w:r>
      <w:r w:rsidR="0001182D">
        <w:rPr>
          <w:rFonts w:ascii="Times New Roman" w:hAnsi="Times New Roman"/>
          <w:bCs/>
          <w:sz w:val="24"/>
        </w:rPr>
        <w:t xml:space="preserve">8, 9, 12-15, 18, 21, 22, 28, </w:t>
      </w:r>
      <w:r w:rsidR="0001182D">
        <w:rPr>
          <w:rFonts w:ascii="Times New Roman" w:hAnsi="Times New Roman"/>
          <w:bCs/>
          <w:sz w:val="24"/>
        </w:rPr>
        <w:tab/>
      </w:r>
      <w:r w:rsidR="0001182D">
        <w:rPr>
          <w:rFonts w:ascii="Times New Roman" w:hAnsi="Times New Roman"/>
          <w:bCs/>
          <w:sz w:val="24"/>
        </w:rPr>
        <w:tab/>
      </w:r>
      <w:r w:rsidR="0001182D">
        <w:rPr>
          <w:rFonts w:ascii="Times New Roman" w:hAnsi="Times New Roman"/>
          <w:bCs/>
          <w:sz w:val="24"/>
        </w:rPr>
        <w:tab/>
      </w:r>
      <w:r w:rsidR="0001182D">
        <w:rPr>
          <w:rFonts w:ascii="Times New Roman" w:hAnsi="Times New Roman"/>
          <w:bCs/>
          <w:sz w:val="24"/>
        </w:rPr>
        <w:tab/>
      </w:r>
      <w:r w:rsidR="0001182D">
        <w:rPr>
          <w:rFonts w:ascii="Times New Roman" w:hAnsi="Times New Roman"/>
          <w:bCs/>
          <w:sz w:val="24"/>
        </w:rPr>
        <w:tab/>
      </w:r>
      <w:r w:rsidR="0001182D">
        <w:rPr>
          <w:rFonts w:ascii="Times New Roman" w:hAnsi="Times New Roman"/>
          <w:bCs/>
          <w:sz w:val="24"/>
        </w:rPr>
        <w:tab/>
      </w:r>
      <w:r w:rsidR="0001182D">
        <w:rPr>
          <w:rFonts w:ascii="Times New Roman" w:hAnsi="Times New Roman"/>
          <w:bCs/>
          <w:sz w:val="24"/>
        </w:rPr>
        <w:tab/>
      </w:r>
      <w:r w:rsidR="0001182D">
        <w:rPr>
          <w:rFonts w:ascii="Times New Roman" w:hAnsi="Times New Roman"/>
          <w:bCs/>
          <w:sz w:val="24"/>
        </w:rPr>
        <w:tab/>
      </w:r>
      <w:r w:rsidR="0001182D">
        <w:rPr>
          <w:rFonts w:ascii="Times New Roman" w:hAnsi="Times New Roman"/>
          <w:bCs/>
          <w:sz w:val="24"/>
        </w:rPr>
        <w:tab/>
      </w:r>
      <w:r w:rsidR="0001182D">
        <w:rPr>
          <w:rFonts w:ascii="Times New Roman" w:hAnsi="Times New Roman"/>
          <w:bCs/>
          <w:sz w:val="24"/>
        </w:rPr>
        <w:tab/>
        <w:t>30-33,</w:t>
      </w:r>
      <w:r w:rsidR="00837337">
        <w:rPr>
          <w:rFonts w:ascii="Times New Roman" w:hAnsi="Times New Roman"/>
          <w:bCs/>
          <w:sz w:val="24"/>
        </w:rPr>
        <w:t xml:space="preserve"> </w:t>
      </w:r>
      <w:r w:rsidR="0001182D">
        <w:rPr>
          <w:rFonts w:ascii="Times New Roman" w:hAnsi="Times New Roman"/>
          <w:bCs/>
          <w:sz w:val="24"/>
        </w:rPr>
        <w:t>42, 66-75,</w:t>
      </w:r>
      <w:r w:rsidR="00837337">
        <w:rPr>
          <w:rFonts w:ascii="Times New Roman" w:hAnsi="Times New Roman"/>
          <w:bCs/>
          <w:sz w:val="24"/>
        </w:rPr>
        <w:t xml:space="preserve"> </w:t>
      </w:r>
      <w:r w:rsidR="0001182D">
        <w:rPr>
          <w:rFonts w:ascii="Times New Roman" w:hAnsi="Times New Roman"/>
          <w:bCs/>
          <w:sz w:val="24"/>
        </w:rPr>
        <w:t>88-99</w:t>
      </w:r>
    </w:p>
    <w:p w:rsidR="00EC6159" w:rsidRPr="00285E69" w:rsidRDefault="00B26582" w:rsidP="00FC39E0">
      <w:pPr>
        <w:tabs>
          <w:tab w:val="left" w:pos="720"/>
        </w:tabs>
        <w:rPr>
          <w:rFonts w:ascii="Times New Roman" w:hAnsi="Times New Roman"/>
          <w:bCs/>
          <w:sz w:val="24"/>
        </w:rPr>
      </w:pPr>
      <w:r w:rsidRPr="00285E69">
        <w:rPr>
          <w:rFonts w:ascii="Times New Roman" w:hAnsi="Times New Roman"/>
          <w:bCs/>
          <w:sz w:val="24"/>
        </w:rPr>
        <w:tab/>
      </w:r>
    </w:p>
    <w:p w:rsidR="00275B80" w:rsidRDefault="0068343A" w:rsidP="00D80701">
      <w:pPr>
        <w:tabs>
          <w:tab w:val="left" w:pos="720"/>
        </w:tabs>
        <w:rPr>
          <w:rFonts w:ascii="Times New Roman" w:hAnsi="Times New Roman"/>
          <w:bCs/>
          <w:sz w:val="24"/>
        </w:rPr>
      </w:pPr>
      <w:r w:rsidRPr="00285E69">
        <w:rPr>
          <w:rFonts w:ascii="Times New Roman" w:hAnsi="Times New Roman"/>
          <w:bCs/>
          <w:sz w:val="24"/>
        </w:rPr>
        <w:tab/>
      </w:r>
      <w:r w:rsidR="00275B80">
        <w:rPr>
          <w:rFonts w:ascii="Times New Roman" w:hAnsi="Times New Roman"/>
          <w:bCs/>
          <w:sz w:val="24"/>
        </w:rPr>
        <w:t>Helmuth W. Schultz, III,</w:t>
      </w:r>
      <w:r w:rsidR="00275B80">
        <w:rPr>
          <w:rFonts w:ascii="Times New Roman" w:hAnsi="Times New Roman"/>
          <w:bCs/>
          <w:sz w:val="24"/>
        </w:rPr>
        <w:tab/>
      </w:r>
      <w:r w:rsidR="00275B80">
        <w:rPr>
          <w:rFonts w:ascii="Times New Roman" w:hAnsi="Times New Roman"/>
          <w:bCs/>
          <w:sz w:val="24"/>
        </w:rPr>
        <w:tab/>
      </w:r>
      <w:r w:rsidR="00275B80">
        <w:rPr>
          <w:rFonts w:ascii="Times New Roman" w:hAnsi="Times New Roman"/>
          <w:bCs/>
          <w:sz w:val="24"/>
        </w:rPr>
        <w:tab/>
      </w:r>
      <w:r w:rsidR="00275B80">
        <w:rPr>
          <w:rFonts w:ascii="Times New Roman" w:hAnsi="Times New Roman"/>
          <w:bCs/>
          <w:sz w:val="24"/>
        </w:rPr>
        <w:tab/>
      </w:r>
      <w:r w:rsidR="00275B80">
        <w:rPr>
          <w:rFonts w:ascii="Times New Roman" w:hAnsi="Times New Roman"/>
          <w:bCs/>
          <w:sz w:val="24"/>
        </w:rPr>
        <w:tab/>
      </w:r>
      <w:r w:rsidR="00D5389A">
        <w:rPr>
          <w:rFonts w:ascii="Times New Roman" w:hAnsi="Times New Roman"/>
          <w:bCs/>
          <w:sz w:val="24"/>
        </w:rPr>
        <w:t>24, 25, 27, 76-80</w:t>
      </w:r>
      <w:r w:rsidR="0001182D">
        <w:rPr>
          <w:rFonts w:ascii="Times New Roman" w:hAnsi="Times New Roman"/>
          <w:bCs/>
          <w:sz w:val="24"/>
        </w:rPr>
        <w:t>, 84</w:t>
      </w:r>
      <w:r w:rsidR="00D5389A">
        <w:rPr>
          <w:rFonts w:ascii="Times New Roman" w:hAnsi="Times New Roman"/>
          <w:bCs/>
          <w:sz w:val="24"/>
        </w:rPr>
        <w:t xml:space="preserve">, </w:t>
      </w:r>
      <w:r w:rsidR="0001182D">
        <w:rPr>
          <w:rFonts w:ascii="Times New Roman" w:hAnsi="Times New Roman"/>
          <w:bCs/>
          <w:sz w:val="24"/>
        </w:rPr>
        <w:t xml:space="preserve">86 </w:t>
      </w:r>
    </w:p>
    <w:p w:rsidR="00837337" w:rsidRDefault="00837337" w:rsidP="00D80701">
      <w:pPr>
        <w:tabs>
          <w:tab w:val="left" w:pos="720"/>
        </w:tabs>
        <w:rPr>
          <w:rFonts w:ascii="Times New Roman" w:hAnsi="Times New Roman"/>
          <w:bCs/>
          <w:sz w:val="24"/>
        </w:rPr>
      </w:pPr>
    </w:p>
    <w:p w:rsidR="0001182D" w:rsidRDefault="00275B80" w:rsidP="00D80701">
      <w:pPr>
        <w:tabs>
          <w:tab w:val="left" w:pos="720"/>
        </w:tabs>
        <w:rPr>
          <w:rFonts w:ascii="Times New Roman" w:hAnsi="Times New Roman"/>
          <w:bCs/>
          <w:sz w:val="24"/>
        </w:rPr>
      </w:pPr>
      <w:r>
        <w:rPr>
          <w:rFonts w:ascii="Times New Roman" w:hAnsi="Times New Roman"/>
          <w:bCs/>
          <w:sz w:val="24"/>
        </w:rPr>
        <w:tab/>
        <w:t>Kimberly H. Dismukes</w:t>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sidR="0001182D">
        <w:rPr>
          <w:rFonts w:ascii="Times New Roman" w:hAnsi="Times New Roman"/>
          <w:bCs/>
          <w:sz w:val="24"/>
        </w:rPr>
        <w:t xml:space="preserve">10, 16, 17, 39-41, 47-49, </w:t>
      </w:r>
    </w:p>
    <w:p w:rsidR="00275B80" w:rsidRDefault="0001182D" w:rsidP="00D80701">
      <w:pPr>
        <w:tabs>
          <w:tab w:val="left" w:pos="720"/>
        </w:tabs>
        <w:rPr>
          <w:rFonts w:ascii="Times New Roman" w:hAnsi="Times New Roman"/>
          <w:bCs/>
          <w:sz w:val="24"/>
        </w:rPr>
      </w:pPr>
      <w:r>
        <w:rPr>
          <w:rFonts w:ascii="Times New Roman" w:hAnsi="Times New Roman"/>
          <w:bCs/>
          <w:sz w:val="24"/>
        </w:rPr>
        <w:lastRenderedPageBreak/>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r>
      <w:r>
        <w:rPr>
          <w:rFonts w:ascii="Times New Roman" w:hAnsi="Times New Roman"/>
          <w:bCs/>
          <w:sz w:val="24"/>
        </w:rPr>
        <w:tab/>
        <w:t>51-53, 55-65</w:t>
      </w:r>
    </w:p>
    <w:p w:rsidR="00275B80" w:rsidRDefault="00275B80" w:rsidP="00D80701">
      <w:pPr>
        <w:tabs>
          <w:tab w:val="left" w:pos="720"/>
        </w:tabs>
        <w:rPr>
          <w:rFonts w:ascii="Times New Roman" w:hAnsi="Times New Roman"/>
          <w:bCs/>
          <w:sz w:val="24"/>
        </w:rPr>
      </w:pPr>
    </w:p>
    <w:p w:rsidR="0068343A" w:rsidRDefault="00275B80" w:rsidP="00D80701">
      <w:pPr>
        <w:tabs>
          <w:tab w:val="left" w:pos="720"/>
        </w:tabs>
        <w:rPr>
          <w:rFonts w:ascii="Times New Roman" w:hAnsi="Times New Roman"/>
          <w:bCs/>
          <w:sz w:val="24"/>
        </w:rPr>
      </w:pPr>
      <w:r>
        <w:rPr>
          <w:rFonts w:ascii="Times New Roman" w:hAnsi="Times New Roman"/>
          <w:bCs/>
          <w:sz w:val="24"/>
        </w:rPr>
        <w:tab/>
        <w:t>J. Randall Woolridge</w:t>
      </w:r>
      <w:r w:rsidR="00844ED3">
        <w:rPr>
          <w:rFonts w:ascii="Times New Roman" w:hAnsi="Times New Roman"/>
          <w:bCs/>
          <w:sz w:val="24"/>
        </w:rPr>
        <w:t xml:space="preserve">                                      </w:t>
      </w:r>
      <w:r>
        <w:rPr>
          <w:rFonts w:ascii="Times New Roman" w:hAnsi="Times New Roman"/>
          <w:bCs/>
          <w:sz w:val="24"/>
        </w:rPr>
        <w:tab/>
      </w:r>
      <w:r>
        <w:rPr>
          <w:rFonts w:ascii="Times New Roman" w:hAnsi="Times New Roman"/>
          <w:bCs/>
          <w:sz w:val="24"/>
        </w:rPr>
        <w:tab/>
      </w:r>
      <w:r w:rsidR="0001182D">
        <w:rPr>
          <w:rFonts w:ascii="Times New Roman" w:hAnsi="Times New Roman"/>
          <w:bCs/>
          <w:sz w:val="24"/>
        </w:rPr>
        <w:t>34-38, 94</w:t>
      </w:r>
    </w:p>
    <w:p w:rsidR="00275B80" w:rsidRDefault="00275B80" w:rsidP="00D80701">
      <w:pPr>
        <w:tabs>
          <w:tab w:val="left" w:pos="720"/>
        </w:tabs>
        <w:rPr>
          <w:rFonts w:ascii="Times New Roman" w:hAnsi="Times New Roman"/>
          <w:bCs/>
          <w:sz w:val="24"/>
        </w:rPr>
      </w:pPr>
    </w:p>
    <w:p w:rsidR="00EC6159" w:rsidRDefault="00EC6159" w:rsidP="00FC39E0">
      <w:pPr>
        <w:tabs>
          <w:tab w:val="left" w:pos="720"/>
        </w:tabs>
        <w:rPr>
          <w:rFonts w:ascii="Times New Roman" w:hAnsi="Times New Roman"/>
          <w:bCs/>
          <w:sz w:val="24"/>
        </w:rPr>
      </w:pPr>
      <w:r>
        <w:rPr>
          <w:rFonts w:ascii="Times New Roman" w:hAnsi="Times New Roman"/>
          <w:bCs/>
          <w:sz w:val="24"/>
        </w:rPr>
        <w:tab/>
      </w:r>
    </w:p>
    <w:p w:rsidR="00B26582" w:rsidRPr="00344D31" w:rsidRDefault="00B26582" w:rsidP="00275B80">
      <w:pPr>
        <w:tabs>
          <w:tab w:val="left" w:pos="720"/>
        </w:tabs>
        <w:rPr>
          <w:rFonts w:ascii="Times New Roman" w:hAnsi="Times New Roman"/>
          <w:b/>
          <w:bCs/>
          <w:sz w:val="24"/>
        </w:rPr>
      </w:pPr>
      <w:r w:rsidRPr="00344D31">
        <w:rPr>
          <w:rFonts w:ascii="Times New Roman" w:hAnsi="Times New Roman"/>
          <w:b/>
          <w:bCs/>
          <w:sz w:val="24"/>
        </w:rPr>
        <w:t xml:space="preserve">2. </w:t>
      </w:r>
      <w:r w:rsidR="00344D31" w:rsidRPr="00344D31">
        <w:rPr>
          <w:rFonts w:ascii="Times New Roman" w:hAnsi="Times New Roman"/>
          <w:b/>
          <w:bCs/>
          <w:sz w:val="24"/>
        </w:rPr>
        <w:tab/>
      </w:r>
      <w:r w:rsidRPr="00344D31">
        <w:rPr>
          <w:rFonts w:ascii="Times New Roman" w:hAnsi="Times New Roman"/>
          <w:b/>
          <w:bCs/>
          <w:sz w:val="24"/>
          <w:u w:val="single"/>
        </w:rPr>
        <w:t>EXHIBITS:</w:t>
      </w:r>
    </w:p>
    <w:p w:rsidR="00B26582" w:rsidRPr="00697FF7" w:rsidRDefault="00B26582" w:rsidP="002F2B13">
      <w:pPr>
        <w:tabs>
          <w:tab w:val="left" w:pos="720"/>
        </w:tabs>
        <w:jc w:val="both"/>
        <w:rPr>
          <w:rFonts w:ascii="Times New Roman" w:hAnsi="Times New Roman"/>
          <w:bCs/>
          <w:sz w:val="24"/>
        </w:rPr>
      </w:pPr>
    </w:p>
    <w:p w:rsidR="00B26582" w:rsidRDefault="00B26582" w:rsidP="00344D31">
      <w:pPr>
        <w:tabs>
          <w:tab w:val="left" w:pos="720"/>
        </w:tabs>
        <w:ind w:left="720"/>
        <w:jc w:val="both"/>
        <w:rPr>
          <w:rFonts w:ascii="Times New Roman" w:hAnsi="Times New Roman"/>
          <w:bCs/>
          <w:sz w:val="24"/>
        </w:rPr>
      </w:pPr>
      <w:r w:rsidRPr="00697FF7">
        <w:rPr>
          <w:rFonts w:ascii="Times New Roman" w:hAnsi="Times New Roman"/>
          <w:bCs/>
          <w:sz w:val="24"/>
        </w:rPr>
        <w:t>Through</w:t>
      </w:r>
      <w:r w:rsidR="00D80701">
        <w:rPr>
          <w:rFonts w:ascii="Times New Roman" w:hAnsi="Times New Roman"/>
          <w:bCs/>
          <w:sz w:val="24"/>
        </w:rPr>
        <w:t xml:space="preserve"> </w:t>
      </w:r>
      <w:r w:rsidR="00275B80">
        <w:rPr>
          <w:rFonts w:ascii="Times New Roman" w:hAnsi="Times New Roman"/>
          <w:bCs/>
          <w:sz w:val="24"/>
        </w:rPr>
        <w:t>Donna Ramas, Helmuth</w:t>
      </w:r>
      <w:r w:rsidR="00331BD4">
        <w:rPr>
          <w:rFonts w:ascii="Times New Roman" w:hAnsi="Times New Roman"/>
          <w:bCs/>
          <w:sz w:val="24"/>
        </w:rPr>
        <w:t xml:space="preserve"> </w:t>
      </w:r>
      <w:r w:rsidR="00275B80">
        <w:rPr>
          <w:rFonts w:ascii="Times New Roman" w:hAnsi="Times New Roman"/>
          <w:bCs/>
          <w:sz w:val="24"/>
        </w:rPr>
        <w:t>W. Schultz, III, Kimberly H. Dismukes and J. Randall Woolridge</w:t>
      </w:r>
      <w:r w:rsidRPr="00697FF7">
        <w:rPr>
          <w:rFonts w:ascii="Times New Roman" w:hAnsi="Times New Roman"/>
          <w:bCs/>
          <w:sz w:val="24"/>
        </w:rPr>
        <w:t>, the Citizens intend to introduce the following exhibits, which can be identified on a composite basis</w:t>
      </w:r>
      <w:r w:rsidR="00275B80">
        <w:rPr>
          <w:rFonts w:ascii="Times New Roman" w:hAnsi="Times New Roman"/>
          <w:bCs/>
          <w:sz w:val="24"/>
        </w:rPr>
        <w:t xml:space="preserve"> for each witness</w:t>
      </w:r>
      <w:r w:rsidRPr="00697FF7">
        <w:rPr>
          <w:rFonts w:ascii="Times New Roman" w:hAnsi="Times New Roman"/>
          <w:bCs/>
          <w:sz w:val="24"/>
        </w:rPr>
        <w:t>:</w:t>
      </w:r>
    </w:p>
    <w:p w:rsidR="00275B80" w:rsidRDefault="00275B80" w:rsidP="002F2B13">
      <w:pPr>
        <w:tabs>
          <w:tab w:val="left" w:pos="720"/>
        </w:tabs>
        <w:jc w:val="both"/>
        <w:rPr>
          <w:rFonts w:ascii="Times New Roman" w:hAnsi="Times New Roman"/>
          <w:bCs/>
          <w:sz w:val="24"/>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1080"/>
        <w:gridCol w:w="3870"/>
        <w:gridCol w:w="1188"/>
      </w:tblGrid>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Witness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Exhibits</w:t>
            </w:r>
          </w:p>
        </w:tc>
        <w:tc>
          <w:tcPr>
            <w:tcW w:w="3870" w:type="dxa"/>
          </w:tcPr>
          <w:p w:rsidR="00275B80" w:rsidRPr="00275B80" w:rsidRDefault="00275B80" w:rsidP="00275B80">
            <w:pPr>
              <w:jc w:val="center"/>
              <w:rPr>
                <w:rFonts w:ascii="Times New Roman" w:hAnsi="Times New Roman"/>
                <w:sz w:val="24"/>
              </w:rPr>
            </w:pPr>
            <w:r w:rsidRPr="00275B80">
              <w:rPr>
                <w:rFonts w:ascii="Times New Roman" w:hAnsi="Times New Roman"/>
                <w:sz w:val="24"/>
              </w:rPr>
              <w:t>Title</w:t>
            </w:r>
          </w:p>
        </w:tc>
        <w:tc>
          <w:tcPr>
            <w:tcW w:w="1188" w:type="dxa"/>
          </w:tcPr>
          <w:p w:rsidR="00275B80" w:rsidRPr="00275B80" w:rsidRDefault="00275B80" w:rsidP="00522382">
            <w:pPr>
              <w:rPr>
                <w:rFonts w:ascii="Times New Roman" w:hAnsi="Times New Roman"/>
                <w:sz w:val="24"/>
              </w:rPr>
            </w:pPr>
            <w:r w:rsidRPr="00275B80">
              <w:rPr>
                <w:rFonts w:ascii="Times New Roman" w:hAnsi="Times New Roman"/>
                <w:sz w:val="24"/>
              </w:rPr>
              <w:t>Schedule</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DR-1</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bCs/>
                <w:sz w:val="24"/>
              </w:rPr>
              <w:t>Donna Ramas Schedules</w:t>
            </w:r>
          </w:p>
        </w:tc>
        <w:tc>
          <w:tcPr>
            <w:tcW w:w="1188" w:type="dxa"/>
          </w:tcPr>
          <w:p w:rsidR="00275B80" w:rsidRPr="00275B80" w:rsidRDefault="00275B80" w:rsidP="00522382">
            <w:pPr>
              <w:rPr>
                <w:rFonts w:ascii="Times New Roman" w:hAnsi="Times New Roman"/>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bCs/>
                <w:sz w:val="24"/>
              </w:rPr>
              <w:t>Revenue Requirement</w:t>
            </w:r>
            <w:r w:rsidRPr="00275B80">
              <w:rPr>
                <w:rFonts w:ascii="Times New Roman" w:hAnsi="Times New Roman"/>
                <w:bCs/>
                <w:sz w:val="24"/>
              </w:rPr>
              <w:tab/>
            </w:r>
          </w:p>
        </w:tc>
        <w:tc>
          <w:tcPr>
            <w:tcW w:w="1188" w:type="dxa"/>
          </w:tcPr>
          <w:p w:rsidR="00275B80" w:rsidRPr="00275B80" w:rsidRDefault="00275B80" w:rsidP="00275B80">
            <w:pPr>
              <w:ind w:left="288"/>
              <w:rPr>
                <w:rFonts w:ascii="Times New Roman" w:hAnsi="Times New Roman"/>
                <w:sz w:val="24"/>
              </w:rPr>
            </w:pPr>
            <w:r w:rsidRPr="00275B80">
              <w:rPr>
                <w:rFonts w:ascii="Times New Roman" w:hAnsi="Times New Roman"/>
                <w:bCs/>
                <w:sz w:val="24"/>
              </w:rPr>
              <w:t>A</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bCs/>
                <w:sz w:val="24"/>
              </w:rPr>
              <w:t>Net Operating Income Multiplier</w:t>
            </w:r>
          </w:p>
        </w:tc>
        <w:tc>
          <w:tcPr>
            <w:tcW w:w="1188" w:type="dxa"/>
          </w:tcPr>
          <w:p w:rsidR="00275B80" w:rsidRPr="00275B80" w:rsidRDefault="00275B80" w:rsidP="00275B80">
            <w:pPr>
              <w:ind w:left="288"/>
              <w:rPr>
                <w:rFonts w:ascii="Times New Roman" w:hAnsi="Times New Roman"/>
                <w:sz w:val="24"/>
              </w:rPr>
            </w:pPr>
            <w:r w:rsidRPr="00275B80">
              <w:rPr>
                <w:rFonts w:ascii="Times New Roman" w:hAnsi="Times New Roman"/>
                <w:bCs/>
                <w:sz w:val="24"/>
              </w:rPr>
              <w:t>A-1</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bCs/>
                <w:sz w:val="24"/>
              </w:rPr>
              <w:t>Adjusted Rate Base</w:t>
            </w:r>
          </w:p>
        </w:tc>
        <w:tc>
          <w:tcPr>
            <w:tcW w:w="1188" w:type="dxa"/>
          </w:tcPr>
          <w:p w:rsidR="00275B80" w:rsidRPr="00275B80" w:rsidRDefault="00275B80" w:rsidP="00275B80">
            <w:pPr>
              <w:ind w:left="288"/>
              <w:rPr>
                <w:rFonts w:ascii="Times New Roman" w:hAnsi="Times New Roman"/>
                <w:sz w:val="24"/>
              </w:rPr>
            </w:pPr>
            <w:r w:rsidRPr="00275B80">
              <w:rPr>
                <w:rFonts w:ascii="Times New Roman" w:hAnsi="Times New Roman"/>
                <w:bCs/>
                <w:sz w:val="24"/>
              </w:rPr>
              <w:t>B-1</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bCs/>
                <w:sz w:val="24"/>
              </w:rPr>
              <w:t>Transmission Capital Expenditures</w:t>
            </w:r>
          </w:p>
        </w:tc>
        <w:tc>
          <w:tcPr>
            <w:tcW w:w="1188" w:type="dxa"/>
          </w:tcPr>
          <w:p w:rsidR="00275B80" w:rsidRPr="00275B80" w:rsidRDefault="00275B80" w:rsidP="00275B80">
            <w:pPr>
              <w:ind w:left="288"/>
              <w:rPr>
                <w:rFonts w:ascii="Times New Roman" w:hAnsi="Times New Roman"/>
                <w:sz w:val="24"/>
              </w:rPr>
            </w:pPr>
            <w:r w:rsidRPr="00275B80">
              <w:rPr>
                <w:rFonts w:ascii="Times New Roman" w:hAnsi="Times New Roman"/>
                <w:bCs/>
                <w:sz w:val="24"/>
              </w:rPr>
              <w:t>B-2</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bCs/>
                <w:sz w:val="24"/>
              </w:rPr>
              <w:t>Distribution Capital Expenditures - SGIG Projects</w:t>
            </w:r>
          </w:p>
        </w:tc>
        <w:tc>
          <w:tcPr>
            <w:tcW w:w="1188" w:type="dxa"/>
          </w:tcPr>
          <w:p w:rsidR="00275B80" w:rsidRPr="00275B80" w:rsidRDefault="00275B80" w:rsidP="00275B80">
            <w:pPr>
              <w:ind w:left="288"/>
              <w:rPr>
                <w:rFonts w:ascii="Times New Roman" w:hAnsi="Times New Roman"/>
                <w:sz w:val="24"/>
              </w:rPr>
            </w:pPr>
            <w:r w:rsidRPr="00275B80">
              <w:rPr>
                <w:rFonts w:ascii="Times New Roman" w:hAnsi="Times New Roman"/>
                <w:bCs/>
                <w:sz w:val="24"/>
              </w:rPr>
              <w:t>B-3</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bCs/>
                <w:sz w:val="24"/>
              </w:rPr>
              <w:t>Adjusted Net Operating Income</w:t>
            </w:r>
          </w:p>
        </w:tc>
        <w:tc>
          <w:tcPr>
            <w:tcW w:w="1188" w:type="dxa"/>
          </w:tcPr>
          <w:p w:rsidR="00275B80" w:rsidRPr="00275B80" w:rsidRDefault="00275B80" w:rsidP="00275B80">
            <w:pPr>
              <w:ind w:left="288"/>
              <w:rPr>
                <w:rFonts w:ascii="Times New Roman" w:hAnsi="Times New Roman"/>
                <w:sz w:val="24"/>
              </w:rPr>
            </w:pPr>
            <w:r w:rsidRPr="00275B80">
              <w:rPr>
                <w:rFonts w:ascii="Times New Roman" w:hAnsi="Times New Roman"/>
                <w:bCs/>
                <w:sz w:val="24"/>
              </w:rPr>
              <w:t>C-1</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bCs/>
                <w:sz w:val="24"/>
              </w:rPr>
              <w:t>Uncollectible Expense</w:t>
            </w:r>
          </w:p>
        </w:tc>
        <w:tc>
          <w:tcPr>
            <w:tcW w:w="1188" w:type="dxa"/>
          </w:tcPr>
          <w:p w:rsidR="00275B80" w:rsidRPr="00275B80" w:rsidRDefault="00275B80" w:rsidP="00275B80">
            <w:pPr>
              <w:ind w:left="288"/>
              <w:rPr>
                <w:rFonts w:ascii="Times New Roman" w:hAnsi="Times New Roman"/>
                <w:sz w:val="24"/>
              </w:rPr>
            </w:pPr>
            <w:r w:rsidRPr="00275B80">
              <w:rPr>
                <w:rFonts w:ascii="Times New Roman" w:hAnsi="Times New Roman"/>
                <w:bCs/>
                <w:sz w:val="24"/>
              </w:rPr>
              <w:t>C-2</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Payroll Expense</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C-3</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Incentive Compensation Expense</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C-4</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Payroll Tax Expense</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C-5</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Rate Case Expense</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C-6</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Income Tax Expense</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C-7</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Interest Synchronization Adjustment</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C-8</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Cost of Capital</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D</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D. Ramas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DR-2</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Qualifications of Donna Ramas</w:t>
            </w:r>
          </w:p>
        </w:tc>
        <w:tc>
          <w:tcPr>
            <w:tcW w:w="1188" w:type="dxa"/>
          </w:tcPr>
          <w:p w:rsidR="00275B80" w:rsidRPr="00275B80" w:rsidRDefault="00275B80" w:rsidP="00275B80">
            <w:pPr>
              <w:ind w:left="288"/>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Helmuth W. Schultz, III</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HWS-1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H.W. Schultz, III Schedules</w:t>
            </w:r>
          </w:p>
        </w:tc>
        <w:tc>
          <w:tcPr>
            <w:tcW w:w="1188" w:type="dxa"/>
          </w:tcPr>
          <w:p w:rsidR="00275B80" w:rsidRPr="00275B80" w:rsidRDefault="00275B80" w:rsidP="00275B80">
            <w:pPr>
              <w:ind w:left="288"/>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Helmuth W. Schultz, III</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HWS-1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Storm Reserve Analysis</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C-1</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Helmuth W. Schultz, III</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HWS-1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Distribution Vegetative management - Tree Trimming</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C-2</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Helmuth W. Schultz, III</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HWS-1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Pole Line Inspection Expense</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C-3</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Helmuth W. Schultz, III</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HWS-1</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Fossil Plant Maintenance</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C-4</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Helmuth W. Schultz, III</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bCs/>
                <w:sz w:val="24"/>
              </w:rPr>
              <w:t>HWS-2</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Qualifications of Helmuth W. Schultz, III</w:t>
            </w:r>
          </w:p>
        </w:tc>
        <w:tc>
          <w:tcPr>
            <w:tcW w:w="1188" w:type="dxa"/>
          </w:tcPr>
          <w:p w:rsidR="00275B80" w:rsidRPr="00275B80" w:rsidRDefault="00275B80" w:rsidP="00275B80">
            <w:pPr>
              <w:ind w:left="288"/>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KHD-1</w:t>
            </w:r>
            <w:r w:rsidRPr="00275B80">
              <w:rPr>
                <w:rFonts w:ascii="Times New Roman" w:hAnsi="Times New Roman"/>
                <w:sz w:val="24"/>
              </w:rPr>
              <w:tab/>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Kimberly H. Dismukes Qualifications Appendix</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1</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KHD-2</w:t>
            </w:r>
            <w:r w:rsidRPr="00275B80">
              <w:rPr>
                <w:rFonts w:ascii="Times New Roman" w:hAnsi="Times New Roman"/>
                <w:sz w:val="24"/>
              </w:rPr>
              <w:tab/>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bCs/>
                <w:sz w:val="24"/>
              </w:rPr>
              <w:t>Southern Company Organizational Chart</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2</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KHD-3</w:t>
            </w:r>
            <w:r w:rsidRPr="00275B80">
              <w:rPr>
                <w:rFonts w:ascii="Times New Roman" w:hAnsi="Times New Roman"/>
                <w:sz w:val="24"/>
              </w:rPr>
              <w:tab/>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sz w:val="24"/>
              </w:rPr>
              <w:t>Test Year Transactions with Affiliated Companies</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3</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KHD-4</w:t>
            </w:r>
            <w:r w:rsidRPr="00275B80">
              <w:rPr>
                <w:rFonts w:ascii="Times New Roman" w:hAnsi="Times New Roman"/>
                <w:sz w:val="24"/>
              </w:rPr>
              <w:tab/>
            </w:r>
          </w:p>
        </w:tc>
        <w:tc>
          <w:tcPr>
            <w:tcW w:w="3870" w:type="dxa"/>
          </w:tcPr>
          <w:p w:rsidR="00275B80" w:rsidRDefault="00275B80" w:rsidP="00522382">
            <w:pPr>
              <w:rPr>
                <w:rFonts w:ascii="Times New Roman" w:hAnsi="Times New Roman"/>
                <w:sz w:val="24"/>
              </w:rPr>
            </w:pPr>
            <w:r w:rsidRPr="00275B80">
              <w:rPr>
                <w:rFonts w:ascii="Times New Roman" w:hAnsi="Times New Roman"/>
                <w:sz w:val="24"/>
              </w:rPr>
              <w:t xml:space="preserve">Charges from SCS to Affiliates 2005 </w:t>
            </w:r>
            <w:r w:rsidR="00837337">
              <w:rPr>
                <w:rFonts w:ascii="Times New Roman" w:hAnsi="Times New Roman"/>
                <w:sz w:val="24"/>
              </w:rPr>
              <w:t>–</w:t>
            </w:r>
            <w:r w:rsidRPr="00275B80">
              <w:rPr>
                <w:rFonts w:ascii="Times New Roman" w:hAnsi="Times New Roman"/>
                <w:sz w:val="24"/>
              </w:rPr>
              <w:t xml:space="preserve"> 2010</w:t>
            </w:r>
          </w:p>
          <w:p w:rsidR="00837337" w:rsidRPr="00275B80" w:rsidRDefault="00837337" w:rsidP="00522382">
            <w:pPr>
              <w:rPr>
                <w:rFonts w:ascii="Times New Roman" w:hAnsi="Times New Roman"/>
                <w:bCs/>
                <w:sz w:val="24"/>
              </w:rPr>
            </w:pP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4</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KHD-5</w:t>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sz w:val="24"/>
              </w:rPr>
              <w:t>Company Fixed Percentage Allocation Factors</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5</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lastRenderedPageBreak/>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KHD-6</w:t>
            </w:r>
            <w:r w:rsidRPr="00275B80">
              <w:rPr>
                <w:rFonts w:ascii="Times New Roman" w:hAnsi="Times New Roman"/>
                <w:sz w:val="24"/>
              </w:rPr>
              <w:tab/>
            </w:r>
          </w:p>
        </w:tc>
        <w:tc>
          <w:tcPr>
            <w:tcW w:w="3870" w:type="dxa"/>
          </w:tcPr>
          <w:p w:rsidR="00275B80" w:rsidRPr="00275B80" w:rsidRDefault="00275B80" w:rsidP="00275B80">
            <w:pPr>
              <w:rPr>
                <w:rFonts w:ascii="Times New Roman" w:hAnsi="Times New Roman"/>
                <w:bCs/>
                <w:sz w:val="24"/>
              </w:rPr>
            </w:pPr>
            <w:r w:rsidRPr="00275B80">
              <w:rPr>
                <w:rFonts w:ascii="Times New Roman" w:hAnsi="Times New Roman"/>
                <w:sz w:val="24"/>
              </w:rPr>
              <w:t>Company Statistics for Developing Fixed Percentage Allocations</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6</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KHD-7</w:t>
            </w:r>
            <w:r w:rsidRPr="00275B80">
              <w:rPr>
                <w:rFonts w:ascii="Times New Roman" w:hAnsi="Times New Roman"/>
                <w:sz w:val="24"/>
              </w:rPr>
              <w:tab/>
            </w:r>
          </w:p>
        </w:tc>
        <w:tc>
          <w:tcPr>
            <w:tcW w:w="3870" w:type="dxa"/>
          </w:tcPr>
          <w:p w:rsidR="00275B80" w:rsidRPr="00275B80" w:rsidRDefault="00275B80" w:rsidP="00522382">
            <w:pPr>
              <w:rPr>
                <w:rFonts w:ascii="Times New Roman" w:hAnsi="Times New Roman"/>
                <w:bCs/>
                <w:sz w:val="24"/>
              </w:rPr>
            </w:pPr>
            <w:r w:rsidRPr="00275B80">
              <w:rPr>
                <w:rFonts w:ascii="Times New Roman" w:hAnsi="Times New Roman"/>
                <w:sz w:val="24"/>
              </w:rPr>
              <w:t>Recommended Financial Allocation Factor</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7</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KHD-8</w:t>
            </w:r>
            <w:r w:rsidRPr="00275B80">
              <w:rPr>
                <w:rFonts w:ascii="Times New Roman" w:hAnsi="Times New Roman"/>
                <w:sz w:val="24"/>
              </w:rPr>
              <w:tab/>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sz w:val="24"/>
              </w:rPr>
              <w:t>Recommended Fixed Percentage Allocation Factors</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8</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KHD-9</w:t>
            </w:r>
            <w:r w:rsidRPr="00275B80">
              <w:rPr>
                <w:rFonts w:ascii="Times New Roman" w:hAnsi="Times New Roman"/>
                <w:sz w:val="24"/>
              </w:rPr>
              <w:tab/>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sz w:val="24"/>
              </w:rPr>
              <w:t>Adjustment for Recommended Allocation Factors</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9</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KHD-10</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sz w:val="24"/>
              </w:rPr>
              <w:t>AllConnect Script</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10</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KHD-11</w:t>
            </w:r>
          </w:p>
        </w:tc>
        <w:tc>
          <w:tcPr>
            <w:tcW w:w="3870" w:type="dxa"/>
          </w:tcPr>
          <w:p w:rsidR="00275B80" w:rsidRPr="00275B80" w:rsidRDefault="00275B80" w:rsidP="00522382">
            <w:pPr>
              <w:rPr>
                <w:rFonts w:ascii="Times New Roman" w:hAnsi="Times New Roman"/>
                <w:sz w:val="24"/>
              </w:rPr>
            </w:pPr>
            <w:r w:rsidRPr="00275B80">
              <w:rPr>
                <w:rFonts w:ascii="Times New Roman" w:hAnsi="Times New Roman"/>
                <w:sz w:val="24"/>
              </w:rPr>
              <w:t>Gulf Power Nonregulated Services</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11</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KHD-12</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Recommended Revenue Adjustment for Nonregulated Services Provided by Gulf Power</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12</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bCs/>
                <w:sz w:val="24"/>
              </w:rPr>
              <w:t>Kimberly H. Dismukes</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KHD-13</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Recommended Disallowances for SCS Work Orders</w:t>
            </w:r>
          </w:p>
        </w:tc>
        <w:tc>
          <w:tcPr>
            <w:tcW w:w="1188" w:type="dxa"/>
          </w:tcPr>
          <w:p w:rsidR="00275B80" w:rsidRPr="00275B80" w:rsidRDefault="00275B80" w:rsidP="00275B80">
            <w:pPr>
              <w:ind w:left="288"/>
              <w:rPr>
                <w:rFonts w:ascii="Times New Roman" w:hAnsi="Times New Roman"/>
                <w:bCs/>
                <w:sz w:val="24"/>
              </w:rPr>
            </w:pPr>
            <w:r w:rsidRPr="00275B80">
              <w:rPr>
                <w:rFonts w:ascii="Times New Roman" w:hAnsi="Times New Roman"/>
                <w:bCs/>
                <w:sz w:val="24"/>
              </w:rPr>
              <w:t>13</w:t>
            </w: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JRW-1</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Resume of J. Randall Woolridge</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JRW-2</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Weighted Average Cost of Capital</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JRW-3</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Interest Rates and Spreads</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JRW-4</w:t>
            </w:r>
            <w:r w:rsidRPr="00275B80">
              <w:rPr>
                <w:rFonts w:ascii="Times New Roman" w:hAnsi="Times New Roman"/>
                <w:sz w:val="24"/>
              </w:rPr>
              <w:tab/>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Summary Financial Statistics for Proxy Group</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JRW-5</w:t>
            </w:r>
            <w:r w:rsidRPr="00275B80">
              <w:rPr>
                <w:rFonts w:ascii="Times New Roman" w:hAnsi="Times New Roman"/>
                <w:sz w:val="24"/>
              </w:rPr>
              <w:tab/>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Capital Structure Ratios and Debt Cost Rate</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JRW-6</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Roe V. Market-To-Book Ratio</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JRW-7</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Utility Bonds and Proxy Group Averages</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JRW-8</w:t>
            </w:r>
            <w:r w:rsidRPr="00275B80">
              <w:rPr>
                <w:rFonts w:ascii="Times New Roman" w:hAnsi="Times New Roman"/>
                <w:sz w:val="24"/>
              </w:rPr>
              <w:tab/>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Industry Average Betas</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JRW-9</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Three-Stage DCF Model</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JRW-11</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CAPM Study</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JRW-12</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Summary of Gulf Power's Proposed Cost of Capital</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JRW-13</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Summary of Dr. Vander Weide’s Results</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275B80">
            <w:pPr>
              <w:rPr>
                <w:rFonts w:ascii="Times New Roman" w:hAnsi="Times New Roman"/>
                <w:sz w:val="24"/>
              </w:rPr>
            </w:pPr>
            <w:r w:rsidRPr="00275B80">
              <w:rPr>
                <w:rFonts w:ascii="Times New Roman" w:hAnsi="Times New Roman"/>
                <w:sz w:val="24"/>
              </w:rPr>
              <w:t xml:space="preserve">J. Randall Woolridge </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JRW-14</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DCF Growth Rate Analysis</w:t>
            </w:r>
          </w:p>
        </w:tc>
        <w:tc>
          <w:tcPr>
            <w:tcW w:w="1188" w:type="dxa"/>
          </w:tcPr>
          <w:p w:rsidR="00275B80" w:rsidRPr="00275B80" w:rsidRDefault="00275B80" w:rsidP="00522382">
            <w:pPr>
              <w:rPr>
                <w:rFonts w:ascii="Times New Roman" w:hAnsi="Times New Roman"/>
                <w:bCs/>
                <w:sz w:val="24"/>
              </w:rPr>
            </w:pPr>
          </w:p>
        </w:tc>
      </w:tr>
      <w:tr w:rsidR="00275B80" w:rsidRPr="00275B80" w:rsidTr="00344D31">
        <w:tc>
          <w:tcPr>
            <w:tcW w:w="2610" w:type="dxa"/>
          </w:tcPr>
          <w:p w:rsidR="00275B80" w:rsidRPr="00275B80" w:rsidRDefault="00275B80" w:rsidP="00522382">
            <w:pPr>
              <w:rPr>
                <w:rFonts w:ascii="Times New Roman" w:hAnsi="Times New Roman"/>
                <w:sz w:val="24"/>
              </w:rPr>
            </w:pPr>
            <w:r w:rsidRPr="00275B80">
              <w:rPr>
                <w:rFonts w:ascii="Times New Roman" w:hAnsi="Times New Roman"/>
                <w:sz w:val="24"/>
              </w:rPr>
              <w:t>J. Randall Woolridge</w:t>
            </w:r>
          </w:p>
        </w:tc>
        <w:tc>
          <w:tcPr>
            <w:tcW w:w="1080" w:type="dxa"/>
          </w:tcPr>
          <w:p w:rsidR="00275B80" w:rsidRPr="00275B80" w:rsidRDefault="00275B80" w:rsidP="00522382">
            <w:pPr>
              <w:rPr>
                <w:rFonts w:ascii="Times New Roman" w:hAnsi="Times New Roman"/>
                <w:sz w:val="24"/>
              </w:rPr>
            </w:pPr>
            <w:r w:rsidRPr="00275B80">
              <w:rPr>
                <w:rFonts w:ascii="Times New Roman" w:hAnsi="Times New Roman"/>
                <w:sz w:val="24"/>
              </w:rPr>
              <w:t>JRW-15</w:t>
            </w:r>
          </w:p>
        </w:tc>
        <w:tc>
          <w:tcPr>
            <w:tcW w:w="3870" w:type="dxa"/>
          </w:tcPr>
          <w:p w:rsidR="00275B80" w:rsidRPr="00275B80" w:rsidRDefault="00275B80" w:rsidP="00275B80">
            <w:pPr>
              <w:rPr>
                <w:rFonts w:ascii="Times New Roman" w:hAnsi="Times New Roman"/>
                <w:sz w:val="24"/>
              </w:rPr>
            </w:pPr>
            <w:r w:rsidRPr="00275B80">
              <w:rPr>
                <w:rFonts w:ascii="Times New Roman" w:hAnsi="Times New Roman"/>
                <w:sz w:val="24"/>
              </w:rPr>
              <w:t>GDP and S&amp;P 500 Growth Rates</w:t>
            </w:r>
          </w:p>
        </w:tc>
        <w:tc>
          <w:tcPr>
            <w:tcW w:w="1188" w:type="dxa"/>
          </w:tcPr>
          <w:p w:rsidR="00275B80" w:rsidRPr="00275B80" w:rsidRDefault="00275B80" w:rsidP="00522382">
            <w:pPr>
              <w:rPr>
                <w:rFonts w:ascii="Times New Roman" w:hAnsi="Times New Roman"/>
                <w:bCs/>
                <w:sz w:val="24"/>
              </w:rPr>
            </w:pPr>
          </w:p>
        </w:tc>
      </w:tr>
    </w:tbl>
    <w:p w:rsidR="00331BD4" w:rsidRDefault="00331BD4" w:rsidP="00331BD4">
      <w:pPr>
        <w:pStyle w:val="Title1"/>
        <w:spacing w:after="0"/>
        <w:jc w:val="both"/>
      </w:pPr>
    </w:p>
    <w:p w:rsidR="00331BD4" w:rsidRDefault="00331BD4" w:rsidP="00331BD4">
      <w:pPr>
        <w:tabs>
          <w:tab w:val="left" w:pos="720"/>
        </w:tabs>
        <w:ind w:left="4320" w:hanging="4320"/>
        <w:rPr>
          <w:rFonts w:ascii="Times New Roman" w:hAnsi="Times New Roman"/>
          <w:b/>
          <w:bCs/>
          <w:sz w:val="24"/>
        </w:rPr>
      </w:pPr>
    </w:p>
    <w:p w:rsidR="00AE2FBF" w:rsidRDefault="00AE2FBF" w:rsidP="00331BD4">
      <w:pPr>
        <w:tabs>
          <w:tab w:val="left" w:pos="720"/>
        </w:tabs>
        <w:ind w:left="4320" w:hanging="4320"/>
        <w:rPr>
          <w:rFonts w:ascii="Times New Roman" w:hAnsi="Times New Roman"/>
          <w:b/>
          <w:bCs/>
          <w:sz w:val="24"/>
          <w:u w:val="single"/>
        </w:rPr>
      </w:pPr>
      <w:r w:rsidRPr="00331BD4">
        <w:rPr>
          <w:rFonts w:ascii="Times New Roman" w:hAnsi="Times New Roman"/>
          <w:b/>
          <w:bCs/>
          <w:sz w:val="24"/>
        </w:rPr>
        <w:t xml:space="preserve">3. </w:t>
      </w:r>
      <w:r w:rsidR="00344D31" w:rsidRPr="00331BD4">
        <w:rPr>
          <w:rFonts w:ascii="Times New Roman" w:hAnsi="Times New Roman"/>
          <w:b/>
          <w:bCs/>
          <w:sz w:val="24"/>
        </w:rPr>
        <w:tab/>
      </w:r>
      <w:r w:rsidRPr="00331BD4">
        <w:rPr>
          <w:rFonts w:ascii="Times New Roman" w:hAnsi="Times New Roman"/>
          <w:b/>
          <w:bCs/>
          <w:sz w:val="24"/>
          <w:u w:val="single"/>
        </w:rPr>
        <w:t>STATEMENT OF BASIC POSITION</w:t>
      </w:r>
    </w:p>
    <w:p w:rsidR="00331BD4" w:rsidRPr="00344D31" w:rsidRDefault="00331BD4" w:rsidP="00331BD4">
      <w:pPr>
        <w:tabs>
          <w:tab w:val="left" w:pos="720"/>
        </w:tabs>
        <w:ind w:left="4320" w:hanging="4320"/>
        <w:rPr>
          <w:rFonts w:ascii="Times New Roman" w:hAnsi="Times New Roman"/>
          <w:b/>
          <w:bCs/>
          <w:sz w:val="24"/>
        </w:rPr>
      </w:pPr>
    </w:p>
    <w:p w:rsidR="00331BD4" w:rsidRPr="00331BD4" w:rsidRDefault="00331BD4" w:rsidP="00331BD4">
      <w:pPr>
        <w:tabs>
          <w:tab w:val="left" w:pos="720"/>
        </w:tabs>
        <w:jc w:val="both"/>
        <w:rPr>
          <w:rFonts w:ascii="Times New Roman" w:hAnsi="Times New Roman"/>
          <w:bCs/>
          <w:sz w:val="24"/>
        </w:rPr>
      </w:pPr>
      <w:r w:rsidRPr="00331BD4">
        <w:rPr>
          <w:rFonts w:ascii="Times New Roman" w:hAnsi="Times New Roman"/>
          <w:bCs/>
          <w:sz w:val="24"/>
        </w:rPr>
        <w:tab/>
        <w:t>As modified by the stipulation to move certain Plant Crist turbine upgrades from the environmental cost recovery clause to base rates, in this proceeding Gulf Power is requesting to increase its base rates by $101,608,000 annually.  (Under Gulf Power’s proposal, it would credit $3,512,000 back to customers during 2012 by adjusting the ECRC factor downward.  The credit would discontinue January 1, 2013.)  Under Florida’s regulatory framework, the Commission should develop base rates that will generate revenues sufficient to provide Gulf Power an opportunity to recover its reasonable operating expenses and a fair return on its investment in plant.  The application of this standard to Gulf Power’s petition and testimony establishes that Gulf Power overreaches in its request.  For example, the 11.7% return on equity capital that Gulf seeks is plainly excessive. A return on equity of 9.25% is appropriate and fair under prevailing conditions in the capital markets.  The cost rates that Gulf assumes for debt and preferred stock are also unrealistically high.   Needed adjustments to Gulf’s proposed costs of capital alone have the effect of reducing Gulf’s requested annual increase by approximately $33 million.</w:t>
      </w:r>
    </w:p>
    <w:p w:rsidR="00331BD4" w:rsidRPr="00331BD4" w:rsidRDefault="00331BD4" w:rsidP="00331BD4">
      <w:pPr>
        <w:tabs>
          <w:tab w:val="left" w:pos="720"/>
        </w:tabs>
        <w:jc w:val="both"/>
        <w:rPr>
          <w:rFonts w:ascii="Times New Roman" w:hAnsi="Times New Roman"/>
          <w:bCs/>
          <w:sz w:val="24"/>
        </w:rPr>
      </w:pPr>
      <w:r w:rsidRPr="00331BD4">
        <w:rPr>
          <w:rFonts w:ascii="Times New Roman" w:hAnsi="Times New Roman"/>
          <w:bCs/>
          <w:sz w:val="24"/>
        </w:rPr>
        <w:t xml:space="preserve">  </w:t>
      </w:r>
    </w:p>
    <w:p w:rsidR="00331BD4" w:rsidRPr="00331BD4" w:rsidRDefault="00331BD4" w:rsidP="00331BD4">
      <w:pPr>
        <w:tabs>
          <w:tab w:val="left" w:pos="720"/>
        </w:tabs>
        <w:jc w:val="both"/>
        <w:rPr>
          <w:rFonts w:ascii="Times New Roman" w:hAnsi="Times New Roman"/>
          <w:bCs/>
          <w:sz w:val="24"/>
        </w:rPr>
      </w:pPr>
      <w:r w:rsidRPr="00331BD4">
        <w:rPr>
          <w:rFonts w:ascii="Times New Roman" w:hAnsi="Times New Roman"/>
          <w:bCs/>
          <w:sz w:val="24"/>
        </w:rPr>
        <w:tab/>
        <w:t>Further, close scrutiny reveals that Gulf Power included levels of plant and expenses in its proposed test year that are unjustified.  For example, Gulf asks the Commission to increase rate base by some $27 million now on the grounds a 4,000 acre  parcel of property it is acquiring will “preserve a nuclear option” for Gulf.  Because it has not sought, much less received, a “determination of need” for a nuclear unit, Gulf’s attempt to invoke Section 366.93, F.S. (the statute that authorizes recovery of certain costs of nuclear units in advance of the in-service date) is entire</w:t>
      </w:r>
      <w:r w:rsidR="006566A0">
        <w:rPr>
          <w:rFonts w:ascii="Times New Roman" w:hAnsi="Times New Roman"/>
          <w:bCs/>
          <w:sz w:val="24"/>
        </w:rPr>
        <w:t>ly misplaced. Gulf’s request that</w:t>
      </w:r>
      <w:r w:rsidRPr="00331BD4">
        <w:rPr>
          <w:rFonts w:ascii="Times New Roman" w:hAnsi="Times New Roman"/>
          <w:bCs/>
          <w:sz w:val="24"/>
        </w:rPr>
        <w:t xml:space="preserve"> Gulf’s retail customers shoulder now the </w:t>
      </w:r>
      <w:r w:rsidR="006566A0">
        <w:rPr>
          <w:rFonts w:ascii="Times New Roman" w:hAnsi="Times New Roman"/>
          <w:bCs/>
          <w:sz w:val="24"/>
        </w:rPr>
        <w:t xml:space="preserve">full </w:t>
      </w:r>
      <w:r w:rsidRPr="00331BD4">
        <w:rPr>
          <w:rFonts w:ascii="Times New Roman" w:hAnsi="Times New Roman"/>
          <w:bCs/>
          <w:sz w:val="24"/>
        </w:rPr>
        <w:t xml:space="preserve">cost of </w:t>
      </w:r>
      <w:r w:rsidR="006566A0">
        <w:rPr>
          <w:rFonts w:ascii="Times New Roman" w:hAnsi="Times New Roman"/>
          <w:bCs/>
          <w:sz w:val="24"/>
        </w:rPr>
        <w:t xml:space="preserve">property designated for </w:t>
      </w:r>
      <w:r w:rsidRPr="00331BD4">
        <w:rPr>
          <w:rFonts w:ascii="Times New Roman" w:hAnsi="Times New Roman"/>
          <w:bCs/>
          <w:sz w:val="24"/>
        </w:rPr>
        <w:t>what is at best a highly speculative future undertaking should be denied.</w:t>
      </w:r>
    </w:p>
    <w:p w:rsidR="00331BD4" w:rsidRPr="00331BD4" w:rsidRDefault="00331BD4" w:rsidP="00331BD4">
      <w:pPr>
        <w:tabs>
          <w:tab w:val="left" w:pos="720"/>
        </w:tabs>
        <w:jc w:val="both"/>
        <w:rPr>
          <w:rFonts w:ascii="Times New Roman" w:hAnsi="Times New Roman"/>
          <w:bCs/>
          <w:sz w:val="24"/>
        </w:rPr>
      </w:pPr>
    </w:p>
    <w:p w:rsidR="00331BD4" w:rsidRPr="00331BD4" w:rsidRDefault="00331BD4" w:rsidP="00331BD4">
      <w:pPr>
        <w:tabs>
          <w:tab w:val="left" w:pos="720"/>
        </w:tabs>
        <w:jc w:val="both"/>
        <w:rPr>
          <w:rFonts w:ascii="Times New Roman" w:hAnsi="Times New Roman"/>
          <w:bCs/>
          <w:sz w:val="24"/>
        </w:rPr>
      </w:pPr>
      <w:r w:rsidRPr="00331BD4">
        <w:rPr>
          <w:rFonts w:ascii="Times New Roman" w:hAnsi="Times New Roman"/>
          <w:bCs/>
          <w:sz w:val="24"/>
        </w:rPr>
        <w:tab/>
        <w:t>Gulf’s request to have retail customers bear the cost of approximately $12.4 million of incentive compensation should be denied, because the incentives are based primarily on criteria that benefit shareholders, not customers.  Gulf’s request to increase the annual accrual for the storm damage reserve from $3.5 million to $6.8 million is also overstated.  As OPC’s witnesses will develop, certain other plant balances and expense levels in Gulf’s projected test year are skewed in the direction of excessive costs.</w:t>
      </w:r>
    </w:p>
    <w:p w:rsidR="00331BD4" w:rsidRPr="00331BD4" w:rsidRDefault="00331BD4" w:rsidP="00331BD4">
      <w:pPr>
        <w:tabs>
          <w:tab w:val="left" w:pos="720"/>
        </w:tabs>
        <w:jc w:val="both"/>
        <w:rPr>
          <w:rFonts w:ascii="Times New Roman" w:hAnsi="Times New Roman"/>
          <w:bCs/>
          <w:sz w:val="24"/>
        </w:rPr>
      </w:pPr>
    </w:p>
    <w:p w:rsidR="00331BD4" w:rsidRPr="00331BD4" w:rsidRDefault="00331BD4" w:rsidP="00331BD4">
      <w:pPr>
        <w:tabs>
          <w:tab w:val="left" w:pos="720"/>
        </w:tabs>
        <w:jc w:val="both"/>
        <w:rPr>
          <w:rFonts w:ascii="Times New Roman" w:hAnsi="Times New Roman"/>
          <w:bCs/>
          <w:sz w:val="24"/>
        </w:rPr>
      </w:pPr>
      <w:r w:rsidRPr="00331BD4">
        <w:rPr>
          <w:rFonts w:ascii="Times New Roman" w:hAnsi="Times New Roman"/>
          <w:bCs/>
          <w:sz w:val="24"/>
        </w:rPr>
        <w:tab/>
        <w:t xml:space="preserve">An examination of Gulf’s transactions with affiliated companies, as well as a review of Gulf’s own non-regulated activities, indicates that some $2 million of additional revenues should be imputed to avoid having Gulf’s retail customers subsidize activities that do not relate to the electric service they receive.  </w:t>
      </w:r>
    </w:p>
    <w:p w:rsidR="00331BD4" w:rsidRPr="00331BD4" w:rsidRDefault="00331BD4" w:rsidP="00331BD4">
      <w:pPr>
        <w:tabs>
          <w:tab w:val="left" w:pos="720"/>
        </w:tabs>
        <w:jc w:val="both"/>
        <w:rPr>
          <w:rFonts w:ascii="Times New Roman" w:hAnsi="Times New Roman"/>
          <w:bCs/>
          <w:sz w:val="24"/>
        </w:rPr>
      </w:pPr>
    </w:p>
    <w:p w:rsidR="008A03B1" w:rsidRDefault="00331BD4" w:rsidP="00331BD4">
      <w:pPr>
        <w:tabs>
          <w:tab w:val="left" w:pos="720"/>
        </w:tabs>
        <w:jc w:val="both"/>
        <w:rPr>
          <w:rFonts w:ascii="Times New Roman" w:hAnsi="Times New Roman"/>
          <w:bCs/>
          <w:sz w:val="24"/>
        </w:rPr>
      </w:pPr>
      <w:r w:rsidRPr="00331BD4">
        <w:rPr>
          <w:rFonts w:ascii="Times New Roman" w:hAnsi="Times New Roman"/>
          <w:bCs/>
          <w:sz w:val="24"/>
        </w:rPr>
        <w:tab/>
        <w:t xml:space="preserve">OPC is sponsoring the testimony of four expert witnesses who support these and other adjustments to Gulf’s submission.  The precise individual adjustments are identified in response to specific issues within this Prehearing Statement. Accepting all of OPC’s adjustments would have the effect of reducing Gulf’s $101,608,000 request by $85,387,000 to $16,221,000.  </w:t>
      </w:r>
    </w:p>
    <w:p w:rsidR="00331BD4" w:rsidRDefault="00331BD4" w:rsidP="00331BD4">
      <w:pPr>
        <w:tabs>
          <w:tab w:val="left" w:pos="720"/>
        </w:tabs>
        <w:spacing w:line="480" w:lineRule="auto"/>
        <w:jc w:val="both"/>
        <w:rPr>
          <w:rFonts w:ascii="Times New Roman" w:hAnsi="Times New Roman"/>
          <w:bCs/>
          <w:sz w:val="24"/>
        </w:rPr>
      </w:pPr>
    </w:p>
    <w:p w:rsidR="00AE2FBF" w:rsidRPr="00344D31" w:rsidRDefault="00AE2FBF" w:rsidP="00331BD4">
      <w:pPr>
        <w:tabs>
          <w:tab w:val="left" w:pos="720"/>
        </w:tabs>
        <w:ind w:left="4320" w:hanging="4320"/>
        <w:rPr>
          <w:rFonts w:ascii="Times New Roman" w:hAnsi="Times New Roman"/>
          <w:b/>
          <w:bCs/>
          <w:sz w:val="24"/>
        </w:rPr>
      </w:pPr>
      <w:r w:rsidRPr="00344D31">
        <w:rPr>
          <w:rFonts w:ascii="Times New Roman" w:hAnsi="Times New Roman"/>
          <w:b/>
          <w:bCs/>
          <w:sz w:val="24"/>
        </w:rPr>
        <w:t xml:space="preserve">4.  </w:t>
      </w:r>
      <w:r w:rsidR="00344D31" w:rsidRPr="00344D31">
        <w:rPr>
          <w:rFonts w:ascii="Times New Roman" w:hAnsi="Times New Roman"/>
          <w:b/>
          <w:bCs/>
          <w:sz w:val="24"/>
        </w:rPr>
        <w:tab/>
      </w:r>
      <w:r w:rsidRPr="00344D31">
        <w:rPr>
          <w:rFonts w:ascii="Times New Roman" w:hAnsi="Times New Roman"/>
          <w:b/>
          <w:bCs/>
          <w:sz w:val="24"/>
          <w:u w:val="single"/>
        </w:rPr>
        <w:t>STATEMENT OF FACTUAL ISSUES AND POSITIONS</w:t>
      </w:r>
    </w:p>
    <w:p w:rsidR="00D80701" w:rsidRPr="0094464D" w:rsidRDefault="00D80701" w:rsidP="00D80701">
      <w:pPr>
        <w:pStyle w:val="ListParagraph"/>
        <w:ind w:left="180"/>
        <w:jc w:val="both"/>
        <w:rPr>
          <w:b/>
          <w:bCs/>
          <w:u w:val="single"/>
        </w:rPr>
      </w:pPr>
    </w:p>
    <w:p w:rsidR="00D80701" w:rsidRPr="00D80701" w:rsidRDefault="00D80701" w:rsidP="00D80701">
      <w:pPr>
        <w:pStyle w:val="ListParagraph"/>
        <w:ind w:left="180"/>
        <w:jc w:val="center"/>
        <w:rPr>
          <w:b/>
          <w:bCs/>
          <w:u w:val="single"/>
        </w:rPr>
      </w:pPr>
      <w:r w:rsidRPr="00D80701">
        <w:rPr>
          <w:b/>
          <w:bCs/>
          <w:u w:val="single"/>
        </w:rPr>
        <w:t>Legal</w:t>
      </w:r>
    </w:p>
    <w:p w:rsidR="00D80701" w:rsidRPr="00D80701" w:rsidRDefault="00D80701" w:rsidP="00D80701">
      <w:pPr>
        <w:pStyle w:val="ListParagraph"/>
        <w:ind w:left="180"/>
        <w:jc w:val="both"/>
      </w:pPr>
    </w:p>
    <w:p w:rsid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1</w:t>
        </w:r>
      </w:fldSimple>
      <w:r w:rsidRPr="00D80701">
        <w:t xml:space="preserve">:  </w:t>
      </w:r>
      <w:r>
        <w:tab/>
      </w:r>
      <w:r w:rsidRPr="00D80701">
        <w:t>Does Section 366.93, Florida Statutes, support Gulf’s proposal to include the 4,000 acre Escambia Site and the costs of associated evaluations in Plant Held for Future Use as</w:t>
      </w:r>
      <w:r>
        <w:t xml:space="preserve"> nuclear site selection costs? </w:t>
      </w:r>
    </w:p>
    <w:p w:rsidR="00D80701" w:rsidRDefault="00D80701" w:rsidP="00D80701">
      <w:pPr>
        <w:pStyle w:val="ListParagraph"/>
        <w:ind w:left="1440" w:hanging="1440"/>
        <w:jc w:val="both"/>
      </w:pPr>
    </w:p>
    <w:p w:rsidR="00D80701" w:rsidRPr="00344D31" w:rsidRDefault="00D80701"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285E69" w:rsidRPr="00344D31">
        <w:rPr>
          <w:rFonts w:ascii="Times New Roman" w:hAnsi="Times New Roman"/>
          <w:b/>
          <w:bCs/>
          <w:sz w:val="24"/>
        </w:rPr>
        <w:t>No.</w:t>
      </w:r>
      <w:r w:rsidRPr="00344D31">
        <w:rPr>
          <w:rFonts w:ascii="Times New Roman" w:hAnsi="Times New Roman"/>
          <w:b/>
          <w:bCs/>
          <w:sz w:val="24"/>
        </w:rPr>
        <w:t xml:space="preserve"> </w:t>
      </w:r>
      <w:r w:rsidR="00D3575D" w:rsidRPr="00344D31">
        <w:rPr>
          <w:rFonts w:ascii="Times New Roman" w:hAnsi="Times New Roman"/>
          <w:b/>
          <w:bCs/>
          <w:sz w:val="24"/>
        </w:rPr>
        <w:t>Section 366.93 explicitly provides that the extraordinary, advance cost recovery for eligible nuclear projects applies to a utility that has received a determination of need for its nuclear project.  Gulf has no determination of need, and has not submitted a petition seeking one.</w:t>
      </w:r>
    </w:p>
    <w:p w:rsidR="00D80701" w:rsidRDefault="00D80701" w:rsidP="00D80701">
      <w:pPr>
        <w:pStyle w:val="ListParagraph"/>
        <w:ind w:left="1440" w:hanging="1440"/>
        <w:jc w:val="both"/>
      </w:pPr>
    </w:p>
    <w:p w:rsidR="0082225B" w:rsidRDefault="0082225B">
      <w:pPr>
        <w:widowControl/>
        <w:autoSpaceDE/>
        <w:autoSpaceDN/>
        <w:adjustRightInd/>
        <w:rPr>
          <w:rFonts w:ascii="Times New Roman" w:hAnsi="Times New Roman"/>
          <w:b/>
          <w:bCs/>
          <w:sz w:val="24"/>
          <w:u w:val="single"/>
        </w:rPr>
      </w:pPr>
      <w:r>
        <w:rPr>
          <w:rFonts w:ascii="Times New Roman" w:hAnsi="Times New Roman"/>
          <w:b/>
          <w:bCs/>
          <w:sz w:val="24"/>
          <w:u w:val="single"/>
        </w:rPr>
        <w:br w:type="page"/>
      </w:r>
    </w:p>
    <w:p w:rsidR="00D80701" w:rsidRPr="00D80701" w:rsidRDefault="00D80701" w:rsidP="00D80701">
      <w:pPr>
        <w:widowControl/>
        <w:spacing w:line="480" w:lineRule="auto"/>
        <w:jc w:val="center"/>
        <w:rPr>
          <w:rFonts w:ascii="Times New Roman" w:hAnsi="Times New Roman"/>
          <w:sz w:val="24"/>
        </w:rPr>
      </w:pPr>
      <w:r w:rsidRPr="00D80701">
        <w:rPr>
          <w:rFonts w:ascii="Times New Roman" w:hAnsi="Times New Roman"/>
          <w:b/>
          <w:bCs/>
          <w:sz w:val="24"/>
          <w:u w:val="single"/>
        </w:rPr>
        <w:t>Test Period and Forecasting</w:t>
      </w:r>
    </w:p>
    <w:p w:rsidR="00D80701" w:rsidRPr="00D80701" w:rsidRDefault="00D80701" w:rsidP="00D80701">
      <w:pPr>
        <w:pStyle w:val="ListParagraph"/>
        <w:ind w:left="1440" w:hanging="1440"/>
        <w:jc w:val="both"/>
        <w:rPr>
          <w:b/>
          <w:u w:val="single"/>
        </w:rPr>
      </w:pPr>
      <w:r w:rsidRPr="00D80701">
        <w:rPr>
          <w:b/>
          <w:u w:val="single"/>
        </w:rPr>
        <w:t xml:space="preserve">Issue </w:t>
      </w:r>
      <w:fldSimple w:instr=" SEQ Issue \* MERGEFORMAT ">
        <w:r w:rsidR="00F45FCE" w:rsidRPr="00F45FCE">
          <w:rPr>
            <w:b/>
            <w:noProof/>
            <w:u w:val="single"/>
          </w:rPr>
          <w:t>2</w:t>
        </w:r>
      </w:fldSimple>
      <w:r w:rsidRPr="00D80701">
        <w:rPr>
          <w:b/>
          <w:u w:val="single"/>
        </w:rPr>
        <w:t>:</w:t>
      </w:r>
      <w:r w:rsidRPr="00D80701">
        <w:t xml:space="preserve">  </w:t>
      </w:r>
      <w:r w:rsidRPr="00D80701">
        <w:tab/>
        <w:t>Is Gulf</w:t>
      </w:r>
      <w:r w:rsidR="00522382">
        <w:t>’</w:t>
      </w:r>
      <w:r w:rsidRPr="00D80701">
        <w:t xml:space="preserve">s projected test period of the 12 months ending December 31, 2012 appropriate?  </w:t>
      </w:r>
    </w:p>
    <w:p w:rsidR="00275B80" w:rsidRDefault="00275B80" w:rsidP="00275B80">
      <w:pPr>
        <w:tabs>
          <w:tab w:val="left" w:pos="720"/>
        </w:tabs>
        <w:spacing w:line="360" w:lineRule="auto"/>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D3575D" w:rsidRPr="00344D31">
        <w:rPr>
          <w:rFonts w:ascii="Times New Roman" w:hAnsi="Times New Roman"/>
          <w:b/>
          <w:bCs/>
          <w:sz w:val="24"/>
        </w:rPr>
        <w:t>No position</w:t>
      </w:r>
      <w:r w:rsidR="000C334E" w:rsidRPr="00344D31">
        <w:rPr>
          <w:rFonts w:ascii="Times New Roman" w:hAnsi="Times New Roman"/>
          <w:b/>
          <w:bCs/>
          <w:sz w:val="24"/>
        </w:rPr>
        <w:t>.</w:t>
      </w:r>
    </w:p>
    <w:p w:rsidR="00D80701" w:rsidRPr="00D80701" w:rsidRDefault="00D80701" w:rsidP="00D80701">
      <w:pPr>
        <w:tabs>
          <w:tab w:val="left" w:pos="720"/>
          <w:tab w:val="left" w:pos="1440"/>
          <w:tab w:val="left" w:pos="2160"/>
          <w:tab w:val="left" w:pos="2880"/>
          <w:tab w:val="left" w:pos="3600"/>
          <w:tab w:val="left" w:pos="4320"/>
          <w:tab w:val="left" w:pos="5040"/>
          <w:tab w:val="left" w:pos="6192"/>
          <w:tab w:val="left" w:pos="7200"/>
        </w:tabs>
        <w:jc w:val="both"/>
        <w:rPr>
          <w:rFonts w:ascii="Times New Roman" w:hAnsi="Times New Roman"/>
          <w:strike/>
          <w:sz w:val="24"/>
          <w:u w:val="single"/>
        </w:rPr>
      </w:pPr>
    </w:p>
    <w:p w:rsidR="00D80701" w:rsidRPr="00D80701" w:rsidRDefault="00D80701" w:rsidP="00D80701">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Are Gulf's forecasts of Customers, KWH, and KW by</w:t>
      </w:r>
      <w:r w:rsidRPr="00D80701">
        <w:rPr>
          <w:rFonts w:ascii="Times New Roman" w:hAnsi="Times New Roman"/>
          <w:color w:val="FF0000"/>
          <w:sz w:val="24"/>
        </w:rPr>
        <w:t xml:space="preserve"> </w:t>
      </w:r>
      <w:r w:rsidRPr="00D80701">
        <w:rPr>
          <w:rFonts w:ascii="Times New Roman" w:hAnsi="Times New Roman"/>
          <w:sz w:val="24"/>
        </w:rPr>
        <w:t xml:space="preserve">Rate Class and Revenue Class, for the 2012 projected test year appropriate? </w:t>
      </w:r>
    </w:p>
    <w:p w:rsidR="00D80701" w:rsidRDefault="00D80701" w:rsidP="00D80701">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0C334E" w:rsidRPr="00344D31">
        <w:rPr>
          <w:rFonts w:ascii="Times New Roman" w:hAnsi="Times New Roman"/>
          <w:b/>
          <w:bCs/>
          <w:sz w:val="24"/>
        </w:rPr>
        <w:t>No position.</w:t>
      </w:r>
      <w:r w:rsidRPr="00344D31">
        <w:rPr>
          <w:rFonts w:ascii="Times New Roman" w:hAnsi="Times New Roman"/>
          <w:b/>
          <w:bCs/>
          <w:sz w:val="24"/>
        </w:rPr>
        <w:t xml:space="preserve"> </w:t>
      </w:r>
    </w:p>
    <w:p w:rsidR="00275B80" w:rsidRDefault="00275B80" w:rsidP="00D80701">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p>
    <w:p w:rsidR="00275B80" w:rsidRPr="00D80701" w:rsidRDefault="00275B80" w:rsidP="00D80701">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p>
    <w:p w:rsidR="00D80701" w:rsidRP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Are Gulf's estimated revenues from sales of electricity by rate class at present rates for the projected 2012 test year appropriate? </w:t>
      </w:r>
    </w:p>
    <w:p w:rsidR="000C334E" w:rsidRDefault="000C334E"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0C334E" w:rsidRPr="00344D31">
        <w:rPr>
          <w:rFonts w:ascii="Times New Roman" w:hAnsi="Times New Roman"/>
          <w:b/>
          <w:bCs/>
          <w:sz w:val="24"/>
        </w:rPr>
        <w:t>No position.</w:t>
      </w:r>
    </w:p>
    <w:p w:rsidR="00D80701" w:rsidRPr="00D80701" w:rsidRDefault="00D80701" w:rsidP="00D80701">
      <w:pPr>
        <w:tabs>
          <w:tab w:val="left" w:pos="720"/>
          <w:tab w:val="left" w:pos="1440"/>
          <w:tab w:val="left" w:pos="2160"/>
          <w:tab w:val="left" w:pos="2880"/>
          <w:tab w:val="left" w:pos="3600"/>
          <w:tab w:val="left" w:pos="4320"/>
          <w:tab w:val="left" w:pos="5040"/>
          <w:tab w:val="left" w:pos="6192"/>
          <w:tab w:val="left" w:pos="7200"/>
        </w:tabs>
        <w:ind w:left="1440" w:hanging="1440"/>
        <w:jc w:val="both"/>
        <w:rPr>
          <w:rFonts w:ascii="Times New Roman" w:hAnsi="Times New Roman"/>
          <w:sz w:val="24"/>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inflation, customer growth, and other trend factors for use in forecasting the test year budget?  </w:t>
      </w:r>
    </w:p>
    <w:p w:rsidR="000C334E" w:rsidRDefault="000C334E"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0C334E" w:rsidRPr="00344D31">
        <w:rPr>
          <w:rFonts w:ascii="Times New Roman" w:hAnsi="Times New Roman"/>
          <w:b/>
          <w:bCs/>
          <w:sz w:val="24"/>
        </w:rPr>
        <w:t xml:space="preserve">No position. </w:t>
      </w:r>
      <w:r w:rsidRPr="00344D31">
        <w:rPr>
          <w:rFonts w:ascii="Times New Roman" w:hAnsi="Times New Roman"/>
          <w:b/>
          <w:bCs/>
          <w:sz w:val="24"/>
        </w:rPr>
        <w:t xml:space="preserve"> </w:t>
      </w:r>
    </w:p>
    <w:p w:rsidR="00D80701" w:rsidRPr="00D80701" w:rsidRDefault="00D80701" w:rsidP="00D80701">
      <w:pPr>
        <w:widowControl/>
        <w:ind w:left="1440" w:hanging="1440"/>
        <w:jc w:val="both"/>
        <w:rPr>
          <w:rFonts w:ascii="Times New Roman" w:hAnsi="Times New Roman"/>
          <w:sz w:val="24"/>
          <w:u w:val="single"/>
        </w:rPr>
      </w:pPr>
    </w:p>
    <w:p w:rsid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Cs/>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Is Gulf</w:t>
      </w:r>
      <w:r w:rsidRPr="00D80701">
        <w:rPr>
          <w:rFonts w:ascii="Times New Roman" w:hAnsi="Times New Roman"/>
          <w:sz w:val="24"/>
        </w:rPr>
        <w:sym w:font="WP TypographicSymbols" w:char="003D"/>
      </w:r>
      <w:r w:rsidRPr="00D80701">
        <w:rPr>
          <w:rFonts w:ascii="Times New Roman" w:hAnsi="Times New Roman"/>
          <w:sz w:val="24"/>
        </w:rPr>
        <w:t xml:space="preserve">s proposed separation of costs and revenues between the wholesale and </w:t>
      </w:r>
      <w:r w:rsidRPr="00275B80">
        <w:rPr>
          <w:rFonts w:ascii="Times New Roman" w:hAnsi="Times New Roman"/>
          <w:bCs/>
          <w:sz w:val="24"/>
        </w:rPr>
        <w:t xml:space="preserve">retail jurisdictions appropriate?  </w:t>
      </w:r>
    </w:p>
    <w:p w:rsidR="000C334E" w:rsidRPr="00275B80" w:rsidRDefault="000C334E"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Cs/>
          <w:sz w:val="24"/>
        </w:rPr>
      </w:pPr>
    </w:p>
    <w:p w:rsidR="00275B80"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0C334E" w:rsidRPr="00344D31">
        <w:rPr>
          <w:rFonts w:ascii="Times New Roman" w:hAnsi="Times New Roman"/>
          <w:b/>
          <w:bCs/>
          <w:sz w:val="24"/>
        </w:rPr>
        <w:t xml:space="preserve">No position. </w:t>
      </w:r>
    </w:p>
    <w:p w:rsidR="0082225B" w:rsidRPr="00344D31" w:rsidRDefault="0082225B" w:rsidP="00275B80">
      <w:pPr>
        <w:tabs>
          <w:tab w:val="left" w:pos="720"/>
        </w:tabs>
        <w:ind w:left="1440" w:hanging="1440"/>
        <w:jc w:val="both"/>
        <w:rPr>
          <w:rFonts w:ascii="Times New Roman" w:hAnsi="Times New Roman"/>
          <w:b/>
          <w:bCs/>
          <w:sz w:val="24"/>
        </w:rPr>
      </w:pPr>
    </w:p>
    <w:p w:rsidR="00D80701" w:rsidRPr="00D80701" w:rsidRDefault="00D80701" w:rsidP="00D80701">
      <w:pPr>
        <w:widowControl/>
        <w:jc w:val="both"/>
        <w:rPr>
          <w:rFonts w:ascii="Times New Roman" w:hAnsi="Times New Roman"/>
          <w:bCs/>
          <w:sz w:val="24"/>
          <w:u w:val="single"/>
        </w:rPr>
      </w:pPr>
    </w:p>
    <w:p w:rsidR="00D80701" w:rsidRPr="00D80701" w:rsidRDefault="00D80701" w:rsidP="00D80701">
      <w:pPr>
        <w:widowControl/>
        <w:jc w:val="center"/>
        <w:rPr>
          <w:rFonts w:ascii="Times New Roman" w:hAnsi="Times New Roman"/>
          <w:sz w:val="24"/>
        </w:rPr>
      </w:pPr>
      <w:r w:rsidRPr="00D80701">
        <w:rPr>
          <w:rFonts w:ascii="Times New Roman" w:hAnsi="Times New Roman"/>
          <w:b/>
          <w:bCs/>
          <w:sz w:val="24"/>
          <w:u w:val="single"/>
        </w:rPr>
        <w:t>Quality of Service</w:t>
      </w:r>
    </w:p>
    <w:p w:rsidR="00D80701" w:rsidRPr="00D80701" w:rsidRDefault="00D80701" w:rsidP="00D80701">
      <w:pPr>
        <w:widowControl/>
        <w:jc w:val="both"/>
        <w:rPr>
          <w:rFonts w:ascii="Times New Roman" w:hAnsi="Times New Roman"/>
          <w:sz w:val="24"/>
          <w:u w:val="single"/>
        </w:rPr>
      </w:pPr>
    </w:p>
    <w:p w:rsidR="00D80701" w:rsidRPr="00D80701" w:rsidRDefault="00D80701" w:rsidP="00D80701">
      <w:pPr>
        <w:widowControl/>
        <w:jc w:val="both"/>
        <w:rPr>
          <w:rFonts w:ascii="Times New Roman" w:hAnsi="Times New Roman"/>
          <w:b/>
          <w:bCs/>
          <w:sz w:val="24"/>
          <w:u w:val="single"/>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the quality and reliability of electric service provided by Gulf adequate? </w:t>
      </w:r>
    </w:p>
    <w:p w:rsidR="00275B80" w:rsidRDefault="00275B80" w:rsidP="00275B80">
      <w:pPr>
        <w:tabs>
          <w:tab w:val="left" w:pos="720"/>
        </w:tabs>
        <w:spacing w:line="360" w:lineRule="auto"/>
        <w:ind w:left="1440" w:hanging="1440"/>
        <w:jc w:val="both"/>
        <w:rPr>
          <w:rFonts w:ascii="Times New Roman" w:hAnsi="Times New Roman"/>
          <w:bCs/>
          <w:sz w:val="24"/>
        </w:rPr>
      </w:pPr>
    </w:p>
    <w:p w:rsidR="00285E69" w:rsidRDefault="00275B80" w:rsidP="00285E69">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0C334E" w:rsidRPr="00344D31">
        <w:rPr>
          <w:rFonts w:ascii="Times New Roman" w:hAnsi="Times New Roman"/>
          <w:b/>
          <w:bCs/>
          <w:sz w:val="24"/>
        </w:rPr>
        <w:t>No position.</w:t>
      </w:r>
    </w:p>
    <w:p w:rsidR="0082225B" w:rsidRPr="00344D31" w:rsidRDefault="0082225B" w:rsidP="00285E69">
      <w:pPr>
        <w:tabs>
          <w:tab w:val="left" w:pos="720"/>
        </w:tabs>
        <w:ind w:left="1440" w:hanging="1440"/>
        <w:jc w:val="both"/>
        <w:rPr>
          <w:rFonts w:ascii="Times New Roman" w:hAnsi="Times New Roman"/>
          <w:b/>
          <w:bCs/>
          <w:sz w:val="24"/>
        </w:rPr>
      </w:pPr>
    </w:p>
    <w:p w:rsidR="00285E69" w:rsidRDefault="00285E69" w:rsidP="00285E69">
      <w:pPr>
        <w:tabs>
          <w:tab w:val="left" w:pos="720"/>
        </w:tabs>
        <w:ind w:left="1440" w:hanging="1440"/>
        <w:jc w:val="both"/>
        <w:rPr>
          <w:rFonts w:ascii="Times New Roman" w:hAnsi="Times New Roman"/>
          <w:bCs/>
          <w:sz w:val="24"/>
        </w:rPr>
      </w:pPr>
    </w:p>
    <w:p w:rsidR="00285E69" w:rsidRDefault="00285E69" w:rsidP="00285E69">
      <w:pPr>
        <w:tabs>
          <w:tab w:val="left" w:pos="720"/>
        </w:tabs>
        <w:ind w:left="1440" w:hanging="1440"/>
        <w:jc w:val="both"/>
        <w:rPr>
          <w:rFonts w:ascii="Times New Roman" w:hAnsi="Times New Roman"/>
          <w:bCs/>
          <w:sz w:val="24"/>
        </w:rPr>
      </w:pPr>
    </w:p>
    <w:p w:rsidR="00D80701" w:rsidRPr="00D80701" w:rsidRDefault="00D80701" w:rsidP="00285E69">
      <w:pPr>
        <w:tabs>
          <w:tab w:val="left" w:pos="720"/>
        </w:tabs>
        <w:ind w:left="1440" w:hanging="1440"/>
        <w:jc w:val="center"/>
        <w:rPr>
          <w:rFonts w:ascii="Times New Roman" w:hAnsi="Times New Roman"/>
          <w:sz w:val="24"/>
        </w:rPr>
      </w:pPr>
      <w:r w:rsidRPr="00D80701">
        <w:rPr>
          <w:rFonts w:ascii="Times New Roman" w:hAnsi="Times New Roman"/>
          <w:b/>
          <w:bCs/>
          <w:sz w:val="24"/>
          <w:u w:val="single"/>
        </w:rPr>
        <w:t>Rate Base</w:t>
      </w:r>
    </w:p>
    <w:p w:rsidR="00285E69" w:rsidRDefault="00285E69" w:rsidP="00D80701">
      <w:pPr>
        <w:widowControl/>
        <w:tabs>
          <w:tab w:val="left" w:pos="-1440"/>
        </w:tabs>
        <w:ind w:left="1440" w:hanging="1440"/>
        <w:jc w:val="both"/>
        <w:rPr>
          <w:rFonts w:ascii="Times New Roman" w:hAnsi="Times New Roman"/>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the capitalized items currently approved for recovery through the Environmental Cost Recovery Clause be included in rate base for Gulf?  </w:t>
      </w:r>
    </w:p>
    <w:p w:rsidR="000C334E" w:rsidRDefault="000C334E"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0C334E" w:rsidRPr="00344D31">
        <w:rPr>
          <w:rFonts w:ascii="Times New Roman" w:hAnsi="Times New Roman"/>
          <w:b/>
          <w:bCs/>
          <w:sz w:val="24"/>
        </w:rPr>
        <w:t>Yes.</w:t>
      </w:r>
      <w:r w:rsidR="00D3575D" w:rsidRPr="00344D31">
        <w:rPr>
          <w:rFonts w:ascii="Times New Roman" w:hAnsi="Times New Roman"/>
          <w:b/>
          <w:bCs/>
          <w:sz w:val="24"/>
        </w:rPr>
        <w:t xml:space="preserve"> OPC generally favors placing capitalized items in rate base as opposed to allowing the utility to continue to recover associated costs through a cost recovery clause.</w:t>
      </w:r>
      <w:r w:rsidR="00287685">
        <w:rPr>
          <w:rFonts w:ascii="Times New Roman" w:hAnsi="Times New Roman"/>
          <w:b/>
          <w:bCs/>
          <w:sz w:val="24"/>
        </w:rPr>
        <w:t xml:space="preserve"> (Ramas)</w:t>
      </w:r>
    </w:p>
    <w:p w:rsidR="00D80701" w:rsidRDefault="00D80701" w:rsidP="00D80701">
      <w:pPr>
        <w:widowControl/>
        <w:tabs>
          <w:tab w:val="left" w:pos="-1440"/>
        </w:tabs>
        <w:ind w:left="1440" w:hanging="1440"/>
        <w:jc w:val="both"/>
        <w:rPr>
          <w:rFonts w:ascii="Times New Roman" w:hAnsi="Times New Roman"/>
          <w:sz w:val="24"/>
        </w:rPr>
      </w:pPr>
    </w:p>
    <w:p w:rsidR="00331BD4" w:rsidRDefault="00331BD4" w:rsidP="00D80701">
      <w:pPr>
        <w:widowControl/>
        <w:tabs>
          <w:tab w:val="left" w:pos="-1440"/>
        </w:tabs>
        <w:ind w:left="1440" w:hanging="1440"/>
        <w:jc w:val="both"/>
        <w:rPr>
          <w:rFonts w:ascii="Times New Roman" w:hAnsi="Times New Roman"/>
          <w:sz w:val="24"/>
        </w:rPr>
      </w:pPr>
    </w:p>
    <w:p w:rsidR="00331BD4" w:rsidRPr="00D80701" w:rsidRDefault="00331BD4" w:rsidP="00D80701">
      <w:pPr>
        <w:widowControl/>
        <w:tabs>
          <w:tab w:val="left" w:pos="-1440"/>
        </w:tabs>
        <w:ind w:left="1440" w:hanging="1440"/>
        <w:jc w:val="both"/>
        <w:rPr>
          <w:rFonts w:ascii="Times New Roman" w:hAnsi="Times New Roman"/>
          <w:sz w:val="24"/>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the Plant Crist Units 6 and 7 Turbine Upgrade Project be included in rate base and recovered through base rates, rather than through the Environmental Cost Recovery Clause? </w:t>
      </w:r>
      <w:r w:rsidRPr="00D80701">
        <w:rPr>
          <w:rFonts w:ascii="Times New Roman" w:hAnsi="Times New Roman"/>
          <w:color w:val="FF0000"/>
          <w:sz w:val="24"/>
        </w:rPr>
        <w:t xml:space="preserve"> </w:t>
      </w:r>
      <w:r w:rsidRPr="00D80701">
        <w:rPr>
          <w:rFonts w:ascii="Times New Roman" w:hAnsi="Times New Roman"/>
          <w:sz w:val="24"/>
        </w:rPr>
        <w:t xml:space="preserve">If so, what is the appropriate amount, if any, be included in rate base and recovered through base rates?  </w:t>
      </w:r>
    </w:p>
    <w:p w:rsidR="00D80701" w:rsidRDefault="00D80701"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D3575D" w:rsidRPr="00344D31">
        <w:rPr>
          <w:rFonts w:ascii="Times New Roman" w:hAnsi="Times New Roman"/>
          <w:b/>
          <w:bCs/>
          <w:sz w:val="24"/>
        </w:rPr>
        <w:t>Yes, the investment and costs associated with the turbine upgrade project should be considered in this base rate proceeding.  To quantify the revenue requirements associated with the turbine upgrades, the investment and expenses should be reflected in the construction of the representative test year in the standard and conventional manner.  Once Gulf Power’s overall revenue requirements have been determined, base rates should be developed that prospectively provide Gulf Power the opportunity to earn a fair ret</w:t>
      </w:r>
      <w:r w:rsidR="00DF2C8B" w:rsidRPr="00344D31">
        <w:rPr>
          <w:rFonts w:ascii="Times New Roman" w:hAnsi="Times New Roman"/>
          <w:b/>
          <w:bCs/>
          <w:sz w:val="24"/>
        </w:rPr>
        <w:t xml:space="preserve">urn on </w:t>
      </w:r>
      <w:r w:rsidR="00D3575D" w:rsidRPr="00344D31">
        <w:rPr>
          <w:rFonts w:ascii="Times New Roman" w:hAnsi="Times New Roman"/>
          <w:b/>
          <w:bCs/>
          <w:sz w:val="24"/>
        </w:rPr>
        <w:t xml:space="preserve">its rate base.  Pursuant to the stipulation approved by the Commission on November 1, 2011, OPC witness Donna Ramas will sponsor testimony quantifying the impact of moving the turbine upgrade to base rates on overall revenue requirements. </w:t>
      </w:r>
      <w:r w:rsidR="000C334E" w:rsidRPr="00344D31">
        <w:rPr>
          <w:rFonts w:ascii="Times New Roman" w:hAnsi="Times New Roman"/>
          <w:b/>
          <w:bCs/>
          <w:sz w:val="24"/>
        </w:rPr>
        <w:t xml:space="preserve"> </w:t>
      </w:r>
      <w:r w:rsidRPr="00344D31">
        <w:rPr>
          <w:rFonts w:ascii="Times New Roman" w:hAnsi="Times New Roman"/>
          <w:b/>
          <w:bCs/>
          <w:sz w:val="24"/>
        </w:rPr>
        <w:t xml:space="preserve"> </w:t>
      </w:r>
      <w:r w:rsidR="00F24FC7" w:rsidRPr="00344D31">
        <w:rPr>
          <w:rFonts w:ascii="Times New Roman" w:hAnsi="Times New Roman"/>
          <w:b/>
          <w:bCs/>
          <w:sz w:val="24"/>
        </w:rPr>
        <w:t>(Ramas)</w:t>
      </w:r>
    </w:p>
    <w:p w:rsidR="00275B80" w:rsidRPr="00D80701" w:rsidRDefault="00275B80" w:rsidP="00D80701">
      <w:pPr>
        <w:widowControl/>
        <w:tabs>
          <w:tab w:val="left" w:pos="-1440"/>
        </w:tabs>
        <w:ind w:left="1440" w:hanging="1440"/>
        <w:jc w:val="both"/>
        <w:rPr>
          <w:rFonts w:ascii="Times New Roman" w:hAnsi="Times New Roman"/>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adjustments to remove all non-utility activities from plant in service, accumulated depreciation and working capital?  </w:t>
      </w:r>
    </w:p>
    <w:p w:rsidR="00285E69" w:rsidRDefault="00285E69"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285E69" w:rsidRPr="00344D31">
        <w:rPr>
          <w:rFonts w:ascii="Times New Roman" w:hAnsi="Times New Roman"/>
          <w:b/>
          <w:bCs/>
          <w:sz w:val="24"/>
        </w:rPr>
        <w:t>No</w:t>
      </w:r>
      <w:r w:rsidR="00287685">
        <w:rPr>
          <w:rFonts w:ascii="Times New Roman" w:hAnsi="Times New Roman"/>
          <w:b/>
          <w:bCs/>
          <w:sz w:val="24"/>
        </w:rPr>
        <w:t>. See OPC’s</w:t>
      </w:r>
      <w:r w:rsidR="00F74AAF" w:rsidRPr="00344D31">
        <w:rPr>
          <w:rFonts w:ascii="Times New Roman" w:hAnsi="Times New Roman"/>
          <w:b/>
          <w:bCs/>
          <w:sz w:val="24"/>
        </w:rPr>
        <w:t xml:space="preserve"> position</w:t>
      </w:r>
      <w:r w:rsidR="006566A0">
        <w:rPr>
          <w:rFonts w:ascii="Times New Roman" w:hAnsi="Times New Roman"/>
          <w:b/>
          <w:bCs/>
          <w:sz w:val="24"/>
        </w:rPr>
        <w:t>s</w:t>
      </w:r>
      <w:r w:rsidR="00287685">
        <w:rPr>
          <w:rFonts w:ascii="Times New Roman" w:hAnsi="Times New Roman"/>
          <w:b/>
          <w:bCs/>
          <w:sz w:val="24"/>
        </w:rPr>
        <w:t xml:space="preserve"> on Issues 16 and 17 (Dismukes)</w:t>
      </w:r>
    </w:p>
    <w:p w:rsidR="00D80701" w:rsidRPr="00D80701" w:rsidRDefault="00D80701" w:rsidP="00D80701">
      <w:pPr>
        <w:widowControl/>
        <w:ind w:left="1440" w:hanging="1440"/>
        <w:jc w:val="both"/>
        <w:rPr>
          <w:rFonts w:ascii="Times New Roman" w:hAnsi="Times New Roman"/>
          <w:sz w:val="24"/>
        </w:rPr>
      </w:pPr>
    </w:p>
    <w:p w:rsidR="00331BD4" w:rsidRDefault="00331BD4" w:rsidP="00D80701">
      <w:pPr>
        <w:widowControl/>
        <w:autoSpaceDE/>
        <w:autoSpaceDN/>
        <w:adjustRightInd/>
        <w:ind w:left="1440" w:hanging="1440"/>
        <w:jc w:val="both"/>
        <w:rPr>
          <w:rFonts w:ascii="Times New Roman" w:hAnsi="Times New Roman"/>
          <w:b/>
          <w:sz w:val="24"/>
          <w:u w:val="single"/>
        </w:rPr>
      </w:pPr>
    </w:p>
    <w:p w:rsidR="00D80701" w:rsidRPr="00D80701" w:rsidRDefault="00D80701" w:rsidP="00D80701">
      <w:pPr>
        <w:widowControl/>
        <w:autoSpaceDE/>
        <w:autoSpaceDN/>
        <w:adjustRightInd/>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the capital cost of the Perdido renewable landfill gas facility 1 and 2 be permitted in Gulf’s rate base?</w:t>
      </w:r>
    </w:p>
    <w:p w:rsidR="00D80701" w:rsidRDefault="00D80701" w:rsidP="00D80701">
      <w:pPr>
        <w:widowControl/>
        <w:autoSpaceDE/>
        <w:autoSpaceDN/>
        <w:adjustRightInd/>
        <w:ind w:left="1440" w:hanging="1440"/>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285E69" w:rsidRPr="00344D31">
        <w:rPr>
          <w:rFonts w:ascii="Times New Roman" w:hAnsi="Times New Roman"/>
          <w:b/>
          <w:bCs/>
          <w:sz w:val="24"/>
        </w:rPr>
        <w:t>No position.</w:t>
      </w:r>
    </w:p>
    <w:p w:rsidR="00275B80" w:rsidRPr="00D80701" w:rsidRDefault="00275B80" w:rsidP="00D80701">
      <w:pPr>
        <w:widowControl/>
        <w:autoSpaceDE/>
        <w:autoSpaceDN/>
        <w:adjustRightInd/>
        <w:ind w:left="1440" w:hanging="1440"/>
        <w:rPr>
          <w:rFonts w:ascii="Times New Roman" w:hAnsi="Times New Roman"/>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How much, if any, of Gulf’s Incentive Compensation expenses should be included as a capitalized item in rate base? </w:t>
      </w:r>
    </w:p>
    <w:p w:rsidR="000C334E" w:rsidRDefault="000C334E"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DF2C8B" w:rsidRPr="00344D31">
        <w:rPr>
          <w:rFonts w:ascii="Times New Roman" w:hAnsi="Times New Roman"/>
          <w:b/>
          <w:bCs/>
          <w:sz w:val="24"/>
        </w:rPr>
        <w:t xml:space="preserve">The projected test year incentive </w:t>
      </w:r>
      <w:r w:rsidR="00285E69" w:rsidRPr="00344D31">
        <w:rPr>
          <w:rFonts w:ascii="Times New Roman" w:hAnsi="Times New Roman"/>
          <w:b/>
          <w:bCs/>
          <w:sz w:val="24"/>
        </w:rPr>
        <w:t xml:space="preserve">compensation should </w:t>
      </w:r>
      <w:r w:rsidR="00785351" w:rsidRPr="00344D31">
        <w:rPr>
          <w:rFonts w:ascii="Times New Roman" w:hAnsi="Times New Roman"/>
          <w:b/>
          <w:bCs/>
          <w:sz w:val="24"/>
        </w:rPr>
        <w:t xml:space="preserve">not </w:t>
      </w:r>
      <w:r w:rsidR="00285E69" w:rsidRPr="00344D31">
        <w:rPr>
          <w:rFonts w:ascii="Times New Roman" w:hAnsi="Times New Roman"/>
          <w:b/>
          <w:bCs/>
          <w:sz w:val="24"/>
        </w:rPr>
        <w:t xml:space="preserve">be </w:t>
      </w:r>
      <w:r w:rsidR="00F74AAF" w:rsidRPr="00344D31">
        <w:rPr>
          <w:rFonts w:ascii="Times New Roman" w:hAnsi="Times New Roman"/>
          <w:b/>
          <w:bCs/>
          <w:sz w:val="24"/>
        </w:rPr>
        <w:t>capitalized to rate base</w:t>
      </w:r>
      <w:r w:rsidR="00785351" w:rsidRPr="00344D31">
        <w:rPr>
          <w:rFonts w:ascii="Times New Roman" w:hAnsi="Times New Roman"/>
          <w:b/>
          <w:bCs/>
          <w:sz w:val="24"/>
        </w:rPr>
        <w:t xml:space="preserve"> and should instead be funded by shareholders</w:t>
      </w:r>
      <w:r w:rsidR="00285E69" w:rsidRPr="00344D31">
        <w:rPr>
          <w:rFonts w:ascii="Times New Roman" w:hAnsi="Times New Roman"/>
          <w:b/>
          <w:bCs/>
          <w:sz w:val="24"/>
        </w:rPr>
        <w:t>.</w:t>
      </w:r>
      <w:r w:rsidR="00DF2C8B" w:rsidRPr="00344D31">
        <w:rPr>
          <w:rFonts w:ascii="Times New Roman" w:hAnsi="Times New Roman"/>
          <w:b/>
          <w:bCs/>
          <w:sz w:val="24"/>
        </w:rPr>
        <w:t xml:space="preserve"> </w:t>
      </w:r>
      <w:r w:rsidR="00522382">
        <w:rPr>
          <w:rFonts w:ascii="Times New Roman" w:hAnsi="Times New Roman"/>
          <w:b/>
          <w:bCs/>
          <w:sz w:val="24"/>
        </w:rPr>
        <w:t>The structure of Gulf’s i</w:t>
      </w:r>
      <w:r w:rsidR="00785351" w:rsidRPr="00344D31">
        <w:rPr>
          <w:rFonts w:ascii="Times New Roman" w:hAnsi="Times New Roman"/>
          <w:b/>
          <w:bCs/>
          <w:sz w:val="24"/>
        </w:rPr>
        <w:t>ncentive compensation</w:t>
      </w:r>
      <w:r w:rsidR="00522382">
        <w:rPr>
          <w:rFonts w:ascii="Times New Roman" w:hAnsi="Times New Roman"/>
          <w:b/>
          <w:bCs/>
          <w:sz w:val="24"/>
        </w:rPr>
        <w:t xml:space="preserve"> plans focus</w:t>
      </w:r>
      <w:r w:rsidR="006566A0">
        <w:rPr>
          <w:rFonts w:ascii="Times New Roman" w:hAnsi="Times New Roman"/>
          <w:b/>
          <w:bCs/>
          <w:sz w:val="24"/>
        </w:rPr>
        <w:t>es</w:t>
      </w:r>
      <w:r w:rsidR="00522382">
        <w:rPr>
          <w:rFonts w:ascii="Times New Roman" w:hAnsi="Times New Roman"/>
          <w:b/>
          <w:bCs/>
          <w:sz w:val="24"/>
        </w:rPr>
        <w:t xml:space="preserve"> on shareholder benefits and should be funded by the shareholders, who are the beneficiaries when the plan goals are achieved.</w:t>
      </w:r>
      <w:r w:rsidR="00331BD4">
        <w:rPr>
          <w:rFonts w:ascii="Times New Roman" w:hAnsi="Times New Roman"/>
          <w:b/>
          <w:bCs/>
          <w:sz w:val="24"/>
        </w:rPr>
        <w:t xml:space="preserve"> </w:t>
      </w:r>
      <w:r w:rsidR="00522382">
        <w:rPr>
          <w:rFonts w:ascii="Times New Roman" w:hAnsi="Times New Roman"/>
          <w:b/>
          <w:bCs/>
          <w:sz w:val="24"/>
        </w:rPr>
        <w:t>The costs should not be funded by the ratepayers,</w:t>
      </w:r>
      <w:r w:rsidR="00837337">
        <w:rPr>
          <w:rFonts w:ascii="Times New Roman" w:hAnsi="Times New Roman"/>
          <w:b/>
          <w:bCs/>
          <w:sz w:val="24"/>
        </w:rPr>
        <w:t xml:space="preserve"> </w:t>
      </w:r>
      <w:r w:rsidR="00785351" w:rsidRPr="00344D31">
        <w:rPr>
          <w:rFonts w:ascii="Times New Roman" w:hAnsi="Times New Roman"/>
          <w:b/>
          <w:bCs/>
          <w:sz w:val="24"/>
        </w:rPr>
        <w:t>especially in light of today’s economic climate. P</w:t>
      </w:r>
      <w:r w:rsidR="00DF2C8B" w:rsidRPr="00344D31">
        <w:rPr>
          <w:rFonts w:ascii="Times New Roman" w:hAnsi="Times New Roman"/>
          <w:b/>
          <w:bCs/>
          <w:sz w:val="24"/>
        </w:rPr>
        <w:t xml:space="preserve">lant in service should be reduced by $1,217,206.  </w:t>
      </w:r>
      <w:r w:rsidR="00F24FC7" w:rsidRPr="00344D31">
        <w:rPr>
          <w:rFonts w:ascii="Times New Roman" w:hAnsi="Times New Roman"/>
          <w:b/>
          <w:bCs/>
          <w:sz w:val="24"/>
        </w:rPr>
        <w:t xml:space="preserve"> (Ramas)</w:t>
      </w:r>
    </w:p>
    <w:p w:rsidR="00D80701" w:rsidRPr="00D80701" w:rsidRDefault="00D80701" w:rsidP="00D80701">
      <w:pPr>
        <w:widowControl/>
        <w:tabs>
          <w:tab w:val="left" w:pos="-1440"/>
        </w:tabs>
        <w:ind w:left="1440" w:hanging="1440"/>
        <w:jc w:val="both"/>
        <w:rPr>
          <w:rFonts w:ascii="Times New Roman" w:hAnsi="Times New Roman"/>
          <w:sz w:val="24"/>
        </w:rPr>
      </w:pPr>
    </w:p>
    <w:p w:rsidR="00331BD4" w:rsidRDefault="00331BD4" w:rsidP="00D80701">
      <w:pPr>
        <w:pStyle w:val="ListParagraph"/>
        <w:ind w:left="1440" w:hanging="1440"/>
        <w:jc w:val="both"/>
        <w:rPr>
          <w:b/>
          <w:u w:val="single"/>
        </w:rPr>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13</w:t>
        </w:r>
      </w:fldSimple>
      <w:r w:rsidRPr="00D80701">
        <w:t xml:space="preserve">:  </w:t>
      </w:r>
      <w:r>
        <w:tab/>
      </w:r>
      <w:r w:rsidRPr="00D80701">
        <w:t xml:space="preserve">Should Smart Grid Investment Grant Program Projects be included in Plant in Service?  </w:t>
      </w:r>
    </w:p>
    <w:p w:rsidR="000C334E" w:rsidRDefault="000C334E"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F74AAF" w:rsidRPr="00344D31">
        <w:rPr>
          <w:rFonts w:ascii="Times New Roman" w:hAnsi="Times New Roman"/>
          <w:b/>
          <w:bCs/>
          <w:sz w:val="24"/>
        </w:rPr>
        <w:t>No</w:t>
      </w:r>
      <w:r w:rsidR="009F71CA" w:rsidRPr="00344D31">
        <w:rPr>
          <w:rFonts w:ascii="Times New Roman" w:hAnsi="Times New Roman"/>
          <w:b/>
          <w:bCs/>
          <w:sz w:val="24"/>
        </w:rPr>
        <w:t>, it is not be appropriate to charge the full cost of the project and incorporate those costs in rate base charged to customers.</w:t>
      </w:r>
      <w:r w:rsidR="00F74AAF" w:rsidRPr="00344D31">
        <w:rPr>
          <w:rFonts w:ascii="Times New Roman" w:hAnsi="Times New Roman"/>
          <w:b/>
          <w:bCs/>
          <w:sz w:val="24"/>
        </w:rPr>
        <w:t xml:space="preserve"> </w:t>
      </w:r>
      <w:r w:rsidR="00B143A1" w:rsidRPr="00344D31">
        <w:rPr>
          <w:rFonts w:ascii="Times New Roman" w:hAnsi="Times New Roman"/>
          <w:b/>
          <w:bCs/>
          <w:sz w:val="24"/>
        </w:rPr>
        <w:t>Like CIAC, a</w:t>
      </w:r>
      <w:r w:rsidR="00F74AAF" w:rsidRPr="00344D31">
        <w:rPr>
          <w:rFonts w:ascii="Times New Roman" w:hAnsi="Times New Roman"/>
          <w:b/>
          <w:bCs/>
          <w:sz w:val="24"/>
        </w:rPr>
        <w:t>ny monies that were received through a grant should be excluded from Plant in Service.</w:t>
      </w:r>
      <w:r w:rsidR="009F71CA" w:rsidRPr="00344D31">
        <w:rPr>
          <w:rFonts w:ascii="Times New Roman" w:hAnsi="Times New Roman"/>
          <w:b/>
          <w:bCs/>
          <w:sz w:val="24"/>
        </w:rPr>
        <w:t xml:space="preserve">  </w:t>
      </w:r>
      <w:r w:rsidR="00B143A1" w:rsidRPr="00344D31">
        <w:rPr>
          <w:rFonts w:ascii="Times New Roman" w:hAnsi="Times New Roman"/>
          <w:b/>
          <w:bCs/>
          <w:sz w:val="24"/>
        </w:rPr>
        <w:t xml:space="preserve">If any </w:t>
      </w:r>
      <w:r w:rsidR="00522382">
        <w:rPr>
          <w:rFonts w:ascii="Times New Roman" w:hAnsi="Times New Roman"/>
          <w:b/>
          <w:bCs/>
          <w:sz w:val="24"/>
        </w:rPr>
        <w:t xml:space="preserve">of the projects included in plant in service in Gulf’s filing are being funded through the SGIG grant, the portion funded through the grant should be removed from rate base.  </w:t>
      </w:r>
      <w:r w:rsidR="00B143A1" w:rsidRPr="00344D31">
        <w:rPr>
          <w:rFonts w:ascii="Times New Roman" w:hAnsi="Times New Roman"/>
          <w:b/>
          <w:bCs/>
          <w:sz w:val="24"/>
        </w:rPr>
        <w:t xml:space="preserve">The benefit of the SGIG grant funding should be flowed to the ratepayers, and ratepayers should not be paying a return on investments that are being reimbursed in part to Gulf Power by the Department of Energy.  </w:t>
      </w:r>
      <w:r w:rsidR="00F24FC7" w:rsidRPr="00344D31">
        <w:rPr>
          <w:rFonts w:ascii="Times New Roman" w:hAnsi="Times New Roman"/>
          <w:b/>
          <w:bCs/>
          <w:sz w:val="24"/>
        </w:rPr>
        <w:t>(Ramas)</w:t>
      </w:r>
    </w:p>
    <w:p w:rsidR="00D80701" w:rsidRPr="00D80701" w:rsidRDefault="00D80701" w:rsidP="00D80701">
      <w:pPr>
        <w:pStyle w:val="ListParagraph"/>
        <w:ind w:left="1440" w:hanging="1440"/>
        <w:jc w:val="both"/>
      </w:pPr>
    </w:p>
    <w:p w:rsidR="00331BD4" w:rsidRDefault="00331BD4" w:rsidP="00D80701">
      <w:pPr>
        <w:pStyle w:val="ListParagraph"/>
        <w:ind w:left="1440" w:hanging="1440"/>
        <w:jc w:val="both"/>
        <w:rPr>
          <w:b/>
          <w:u w:val="single"/>
        </w:rPr>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14</w:t>
        </w:r>
      </w:fldSimple>
      <w:r w:rsidRPr="00D80701">
        <w:t xml:space="preserve">:  </w:t>
      </w:r>
      <w:r>
        <w:tab/>
      </w:r>
      <w:r w:rsidRPr="00D80701">
        <w:t xml:space="preserve">What amount of Transmission Infrastructure </w:t>
      </w:r>
      <w:r w:rsidR="000C334E">
        <w:t xml:space="preserve">Replacement Projects should be </w:t>
      </w:r>
      <w:r w:rsidRPr="00D80701">
        <w:t xml:space="preserve">included in Transmission Plant in Service?  </w:t>
      </w:r>
    </w:p>
    <w:p w:rsidR="00D80701" w:rsidRDefault="00D80701" w:rsidP="00D80701">
      <w:pPr>
        <w:pStyle w:val="ListParagraph"/>
        <w:ind w:left="1440" w:hanging="1440"/>
        <w:jc w:val="both"/>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00331BD4">
        <w:rPr>
          <w:rFonts w:ascii="Times New Roman" w:hAnsi="Times New Roman"/>
          <w:b/>
          <w:bCs/>
          <w:sz w:val="24"/>
        </w:rPr>
        <w:tab/>
      </w:r>
      <w:r w:rsidR="00331BD4">
        <w:rPr>
          <w:rFonts w:ascii="Times New Roman" w:hAnsi="Times New Roman"/>
          <w:b/>
          <w:bCs/>
          <w:sz w:val="24"/>
        </w:rPr>
        <w:tab/>
        <w:t>T</w:t>
      </w:r>
      <w:r w:rsidR="006F1DCB" w:rsidRPr="00344D31">
        <w:rPr>
          <w:rFonts w:ascii="Times New Roman" w:hAnsi="Times New Roman"/>
          <w:b/>
          <w:bCs/>
          <w:sz w:val="24"/>
        </w:rPr>
        <w:t>he amount of transmission capital additions incorporated in its filing, excluding SGIG projects, are substantially higher than historic expenditure levels.  Gulf budgeted for 2011 that the infrastructure replacement projects in the transmission area will be $15,948,000, which is more than double the average historic level from 2003 through 2010 of $7.3 million. This average is higher than normal operating conditions</w:t>
      </w:r>
      <w:r w:rsidR="006566A0">
        <w:rPr>
          <w:rFonts w:ascii="Times New Roman" w:hAnsi="Times New Roman"/>
          <w:b/>
          <w:bCs/>
          <w:sz w:val="24"/>
        </w:rPr>
        <w:t>,</w:t>
      </w:r>
      <w:r w:rsidR="006F1DCB" w:rsidRPr="00344D31">
        <w:rPr>
          <w:rFonts w:ascii="Times New Roman" w:hAnsi="Times New Roman"/>
          <w:b/>
          <w:bCs/>
          <w:sz w:val="24"/>
        </w:rPr>
        <w:t xml:space="preserve"> given </w:t>
      </w:r>
      <w:r w:rsidR="000515A1">
        <w:rPr>
          <w:rFonts w:ascii="Times New Roman" w:hAnsi="Times New Roman"/>
          <w:b/>
          <w:bCs/>
          <w:sz w:val="24"/>
        </w:rPr>
        <w:t>the fact that</w:t>
      </w:r>
      <w:r w:rsidR="006F1DCB" w:rsidRPr="00344D31">
        <w:rPr>
          <w:rFonts w:ascii="Times New Roman" w:hAnsi="Times New Roman"/>
          <w:b/>
          <w:bCs/>
          <w:sz w:val="24"/>
        </w:rPr>
        <w:t xml:space="preserve"> several hurricanes impacted Gulf’s service territory</w:t>
      </w:r>
      <w:r w:rsidR="000515A1">
        <w:rPr>
          <w:rFonts w:ascii="Times New Roman" w:hAnsi="Times New Roman"/>
          <w:b/>
          <w:bCs/>
          <w:sz w:val="24"/>
        </w:rPr>
        <w:t>,</w:t>
      </w:r>
      <w:r w:rsidR="006F1DCB" w:rsidRPr="00344D31">
        <w:rPr>
          <w:rFonts w:ascii="Times New Roman" w:hAnsi="Times New Roman"/>
          <w:b/>
          <w:bCs/>
          <w:sz w:val="24"/>
        </w:rPr>
        <w:t xml:space="preserve"> resulting </w:t>
      </w:r>
      <w:r w:rsidR="000515A1">
        <w:rPr>
          <w:rFonts w:ascii="Times New Roman" w:hAnsi="Times New Roman"/>
          <w:b/>
          <w:bCs/>
          <w:sz w:val="24"/>
        </w:rPr>
        <w:t xml:space="preserve">in a </w:t>
      </w:r>
      <w:r w:rsidR="006F1DCB" w:rsidRPr="00344D31">
        <w:rPr>
          <w:rFonts w:ascii="Times New Roman" w:hAnsi="Times New Roman"/>
          <w:b/>
          <w:bCs/>
          <w:sz w:val="24"/>
        </w:rPr>
        <w:t xml:space="preserve">higher level of transmission replacement projects during that period.  The budgeted 2011 and 2012 transmission infrastructure replacement projects </w:t>
      </w:r>
      <w:r w:rsidR="000515A1">
        <w:rPr>
          <w:rFonts w:ascii="Times New Roman" w:hAnsi="Times New Roman"/>
          <w:b/>
          <w:bCs/>
          <w:sz w:val="24"/>
        </w:rPr>
        <w:t xml:space="preserve">should </w:t>
      </w:r>
      <w:r w:rsidR="006F1DCB" w:rsidRPr="00344D31">
        <w:rPr>
          <w:rFonts w:ascii="Times New Roman" w:hAnsi="Times New Roman"/>
          <w:b/>
          <w:bCs/>
          <w:sz w:val="24"/>
        </w:rPr>
        <w:t>be replaced with the average historical actual</w:t>
      </w:r>
      <w:r w:rsidR="00331BD4">
        <w:rPr>
          <w:rFonts w:ascii="Times New Roman" w:hAnsi="Times New Roman"/>
          <w:b/>
          <w:bCs/>
          <w:sz w:val="24"/>
        </w:rPr>
        <w:t xml:space="preserve"> amount</w:t>
      </w:r>
      <w:r w:rsidR="006F1DCB" w:rsidRPr="00344D31">
        <w:rPr>
          <w:rFonts w:ascii="Times New Roman" w:hAnsi="Times New Roman"/>
          <w:b/>
          <w:bCs/>
          <w:sz w:val="24"/>
        </w:rPr>
        <w:t>. This</w:t>
      </w:r>
      <w:r w:rsidR="00F24FC7" w:rsidRPr="00344D31">
        <w:rPr>
          <w:rFonts w:ascii="Times New Roman" w:hAnsi="Times New Roman"/>
          <w:b/>
          <w:bCs/>
          <w:sz w:val="24"/>
        </w:rPr>
        <w:t xml:space="preserve"> re</w:t>
      </w:r>
      <w:r w:rsidR="00331BD4">
        <w:rPr>
          <w:rFonts w:ascii="Times New Roman" w:hAnsi="Times New Roman"/>
          <w:b/>
          <w:bCs/>
          <w:sz w:val="24"/>
        </w:rPr>
        <w:t xml:space="preserve">sults in </w:t>
      </w:r>
      <w:r w:rsidR="006F1DCB" w:rsidRPr="00344D31">
        <w:rPr>
          <w:rFonts w:ascii="Times New Roman" w:hAnsi="Times New Roman"/>
          <w:b/>
          <w:bCs/>
          <w:sz w:val="24"/>
        </w:rPr>
        <w:t>an $8,695,699 reduction to budgeted 2011 transmission capital additions and a $2.4 million increase in the 2012 level, for a net decrease to plant of $7,502,049.</w:t>
      </w:r>
      <w:r w:rsidR="00F24FC7" w:rsidRPr="00344D31">
        <w:rPr>
          <w:rFonts w:ascii="Times New Roman" w:hAnsi="Times New Roman"/>
          <w:b/>
          <w:bCs/>
          <w:sz w:val="24"/>
        </w:rPr>
        <w:t xml:space="preserve"> (Ramas)</w:t>
      </w:r>
    </w:p>
    <w:p w:rsidR="00275B80" w:rsidRPr="00344D31" w:rsidRDefault="00275B80" w:rsidP="00344D31">
      <w:pPr>
        <w:tabs>
          <w:tab w:val="left" w:pos="720"/>
        </w:tabs>
        <w:ind w:left="1440" w:hanging="1440"/>
        <w:jc w:val="both"/>
        <w:rPr>
          <w:rFonts w:ascii="Times New Roman" w:hAnsi="Times New Roman"/>
          <w:b/>
          <w:bCs/>
          <w:sz w:val="24"/>
        </w:rPr>
      </w:pPr>
    </w:p>
    <w:p w:rsidR="00331BD4" w:rsidRDefault="00331BD4" w:rsidP="00D80701">
      <w:pPr>
        <w:pStyle w:val="ListParagraph"/>
        <w:ind w:left="1440" w:hanging="1440"/>
        <w:jc w:val="both"/>
        <w:rPr>
          <w:b/>
          <w:u w:val="single"/>
        </w:rPr>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15</w:t>
        </w:r>
      </w:fldSimple>
      <w:r w:rsidRPr="00D80701">
        <w:t xml:space="preserve">:  </w:t>
      </w:r>
      <w:r>
        <w:tab/>
      </w:r>
      <w:r w:rsidRPr="00D80701">
        <w:t xml:space="preserve">What amount of Distribution Plant in Service should be included in rate base?  </w:t>
      </w:r>
    </w:p>
    <w:p w:rsidR="00D80701" w:rsidRDefault="00D80701" w:rsidP="00D80701">
      <w:pPr>
        <w:pStyle w:val="ListParagraph"/>
        <w:ind w:left="1440" w:hanging="1440"/>
        <w:jc w:val="both"/>
      </w:pPr>
    </w:p>
    <w:p w:rsidR="002A3A21"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2A3A21" w:rsidRPr="00344D31">
        <w:rPr>
          <w:rFonts w:ascii="Times New Roman" w:hAnsi="Times New Roman"/>
          <w:b/>
          <w:bCs/>
          <w:sz w:val="24"/>
        </w:rPr>
        <w:t xml:space="preserve">Gulf’s budgeted capital additions include $1,980,000 in both 2011 and 2012 for distribution plant additions associated with the Smart Grid Investment Grant program projects.  </w:t>
      </w:r>
      <w:r w:rsidR="000515A1">
        <w:rPr>
          <w:rFonts w:ascii="Times New Roman" w:hAnsi="Times New Roman"/>
          <w:b/>
          <w:bCs/>
          <w:sz w:val="24"/>
        </w:rPr>
        <w:t>If any of the a</w:t>
      </w:r>
      <w:r w:rsidR="002A3A21" w:rsidRPr="00344D31">
        <w:rPr>
          <w:rFonts w:ascii="Times New Roman" w:hAnsi="Times New Roman"/>
          <w:b/>
          <w:bCs/>
          <w:sz w:val="24"/>
        </w:rPr>
        <w:t xml:space="preserve">verage test year plant </w:t>
      </w:r>
      <w:r w:rsidR="000515A1">
        <w:rPr>
          <w:rFonts w:ascii="Times New Roman" w:hAnsi="Times New Roman"/>
          <w:b/>
          <w:bCs/>
          <w:sz w:val="24"/>
        </w:rPr>
        <w:t xml:space="preserve">balances include amounts that are being funded by the DOE grant program, the portion funded by the DOE should be removed and not be </w:t>
      </w:r>
      <w:r w:rsidR="002A3A21" w:rsidRPr="00344D31">
        <w:rPr>
          <w:rFonts w:ascii="Times New Roman" w:hAnsi="Times New Roman"/>
          <w:b/>
          <w:bCs/>
          <w:sz w:val="24"/>
        </w:rPr>
        <w:t>included in Gulf’s rate base.</w:t>
      </w:r>
      <w:r w:rsidR="00F24FC7" w:rsidRPr="00344D31">
        <w:rPr>
          <w:rFonts w:ascii="Times New Roman" w:hAnsi="Times New Roman"/>
          <w:b/>
          <w:bCs/>
          <w:sz w:val="24"/>
        </w:rPr>
        <w:t xml:space="preserve"> (Ramas)</w:t>
      </w:r>
    </w:p>
    <w:p w:rsidR="00275B80" w:rsidRPr="00D80701" w:rsidRDefault="00275B80" w:rsidP="00D80701">
      <w:pPr>
        <w:pStyle w:val="ListParagraph"/>
        <w:ind w:left="1440" w:hanging="1440"/>
        <w:jc w:val="both"/>
      </w:pPr>
    </w:p>
    <w:p w:rsidR="0082225B" w:rsidRDefault="0082225B" w:rsidP="00D80701">
      <w:pPr>
        <w:pStyle w:val="ListParagraph"/>
        <w:ind w:left="1440" w:hanging="1440"/>
        <w:jc w:val="both"/>
        <w:rPr>
          <w:b/>
          <w:u w:val="single"/>
        </w:rPr>
      </w:pPr>
    </w:p>
    <w:p w:rsidR="00D80701" w:rsidRPr="004A4594" w:rsidRDefault="00D80701" w:rsidP="00D80701">
      <w:pPr>
        <w:pStyle w:val="ListParagraph"/>
        <w:ind w:left="1440" w:hanging="1440"/>
        <w:jc w:val="both"/>
      </w:pPr>
      <w:r w:rsidRPr="004A4594">
        <w:rPr>
          <w:b/>
          <w:u w:val="single"/>
        </w:rPr>
        <w:t xml:space="preserve">Issue </w:t>
      </w:r>
      <w:fldSimple w:instr=" SEQ Issue \* MERGEFORMAT ">
        <w:r w:rsidR="00F45FCE" w:rsidRPr="00F45FCE">
          <w:rPr>
            <w:b/>
            <w:noProof/>
            <w:u w:val="single"/>
          </w:rPr>
          <w:t>16</w:t>
        </w:r>
      </w:fldSimple>
      <w:r w:rsidRPr="004A4594">
        <w:t xml:space="preserve">:  </w:t>
      </w:r>
      <w:r w:rsidRPr="004A4594">
        <w:tab/>
        <w:t>Should the wireless systems that are the subject of Southern Company Services (</w:t>
      </w:r>
      <w:smartTag w:uri="urn:schemas-microsoft-com:office:smarttags" w:element="stockticker">
        <w:r w:rsidRPr="004A4594">
          <w:t>SCS</w:t>
        </w:r>
      </w:smartTag>
      <w:r w:rsidRPr="004A4594">
        <w:t xml:space="preserve">) work orders be included in rate base? </w:t>
      </w:r>
    </w:p>
    <w:p w:rsidR="00D80701" w:rsidRPr="004A4594" w:rsidRDefault="00D80701" w:rsidP="00D80701">
      <w:pPr>
        <w:pStyle w:val="ListParagraph"/>
        <w:ind w:left="1440" w:hanging="1440"/>
        <w:jc w:val="both"/>
        <w:rPr>
          <w:highlight w:val="yellow"/>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573476" w:rsidRPr="00344D31">
        <w:rPr>
          <w:rFonts w:ascii="Times New Roman" w:hAnsi="Times New Roman"/>
          <w:b/>
          <w:bCs/>
          <w:sz w:val="24"/>
        </w:rPr>
        <w:t xml:space="preserve">No.  </w:t>
      </w:r>
      <w:r w:rsidR="004A4594" w:rsidRPr="00344D31">
        <w:rPr>
          <w:rFonts w:ascii="Times New Roman" w:hAnsi="Times New Roman"/>
          <w:b/>
          <w:bCs/>
          <w:sz w:val="24"/>
        </w:rPr>
        <w:t>Work Order 46C805 for Wireless Systems related to capital equipment purchases that were incurred after the conversion to Enterprise Solutions. Subsequent to the conversion, it became necessary for billing from the Georgia Power (“GPC”) to flow through the SCS Work Order system and then get billed to the individual operating companies.  This Work Order amounted to $2.2 million charged to Gulf, and was for capital equipment which should be offset with a reduction of direct bill materials from GPC.   The Company has provided no documentation or other evidence that the savings that will offset these capital dollars have been reflected in the test year.  In the absence of such a showing, $401,146 ($387,596 jurisdictional) should be removed from the test year.</w:t>
      </w:r>
      <w:r w:rsidR="00F24FC7" w:rsidRPr="00344D31">
        <w:rPr>
          <w:rFonts w:ascii="Times New Roman" w:hAnsi="Times New Roman"/>
          <w:b/>
          <w:bCs/>
          <w:sz w:val="24"/>
        </w:rPr>
        <w:t xml:space="preserve"> (Dismukes)</w:t>
      </w:r>
    </w:p>
    <w:p w:rsidR="00275B80" w:rsidRPr="00D80701" w:rsidRDefault="00275B80" w:rsidP="00D80701">
      <w:pPr>
        <w:pStyle w:val="ListParagraph"/>
        <w:ind w:left="1440" w:hanging="1440"/>
        <w:jc w:val="both"/>
      </w:pPr>
    </w:p>
    <w:p w:rsidR="0082225B" w:rsidRDefault="0082225B" w:rsidP="00D80701">
      <w:pPr>
        <w:pStyle w:val="ListParagraph"/>
        <w:ind w:left="1440" w:hanging="1440"/>
        <w:jc w:val="both"/>
        <w:rPr>
          <w:b/>
          <w:u w:val="single"/>
        </w:rPr>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17</w:t>
        </w:r>
      </w:fldSimple>
      <w:r w:rsidRPr="00D80701">
        <w:t xml:space="preserve">:  </w:t>
      </w:r>
      <w:r>
        <w:tab/>
      </w:r>
      <w:r w:rsidRPr="00D80701">
        <w:t xml:space="preserve">Should the </w:t>
      </w:r>
      <w:r w:rsidR="009A29D3" w:rsidRPr="00344D31">
        <w:t>Southern</w:t>
      </w:r>
      <w:r w:rsidRPr="00344D31">
        <w:t>LINC</w:t>
      </w:r>
      <w:r w:rsidRPr="00D80701">
        <w:t xml:space="preserve"> Charges that are the subjects of </w:t>
      </w:r>
      <w:smartTag w:uri="urn:schemas-microsoft-com:office:smarttags" w:element="stockticker">
        <w:r w:rsidRPr="00D80701">
          <w:t>SCS</w:t>
        </w:r>
      </w:smartTag>
      <w:r w:rsidRPr="00D80701">
        <w:t xml:space="preserve"> work orders be included in rate base?  </w:t>
      </w:r>
    </w:p>
    <w:p w:rsidR="00D80701" w:rsidRDefault="00D80701" w:rsidP="00D80701">
      <w:pPr>
        <w:widowControl/>
        <w:tabs>
          <w:tab w:val="left" w:pos="-1440"/>
        </w:tabs>
        <w:ind w:left="1440" w:hanging="1440"/>
        <w:jc w:val="both"/>
        <w:rPr>
          <w:rFonts w:ascii="Times New Roman" w:hAnsi="Times New Roman"/>
          <w:b/>
          <w:sz w:val="24"/>
          <w:u w:val="single"/>
        </w:rPr>
      </w:pPr>
    </w:p>
    <w:p w:rsidR="00275B80" w:rsidRPr="00344D31" w:rsidRDefault="00275B80" w:rsidP="005D67AE">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573476" w:rsidRPr="00344D31">
        <w:rPr>
          <w:rFonts w:ascii="Times New Roman" w:hAnsi="Times New Roman"/>
          <w:b/>
          <w:bCs/>
          <w:sz w:val="24"/>
        </w:rPr>
        <w:t xml:space="preserve">No.  </w:t>
      </w:r>
      <w:r w:rsidR="005D67AE" w:rsidRPr="00344D31">
        <w:rPr>
          <w:rFonts w:ascii="Times New Roman" w:hAnsi="Times New Roman"/>
          <w:b/>
          <w:bCs/>
          <w:sz w:val="24"/>
        </w:rPr>
        <w:t>Southern charges all affiliates for the total SouthernLINC charges that are not able to be recovered through commercial revenues and in 2012, the charges to Gulf Power are projected to increase because of the “larger than anticipated drop in commercial customer revenue.</w:t>
      </w:r>
      <w:r w:rsidR="00331BD4">
        <w:rPr>
          <w:rFonts w:ascii="Times New Roman" w:hAnsi="Times New Roman"/>
          <w:b/>
          <w:bCs/>
          <w:sz w:val="24"/>
        </w:rPr>
        <w:t>”</w:t>
      </w:r>
      <w:r w:rsidR="005D67AE" w:rsidRPr="00344D31">
        <w:rPr>
          <w:rFonts w:ascii="Times New Roman" w:hAnsi="Times New Roman"/>
          <w:b/>
          <w:bCs/>
          <w:sz w:val="24"/>
        </w:rPr>
        <w:t xml:space="preserve"> SouthernLINC is an unregulated affiliate, and its losses should not be subsidized by Gulf Power’s ratepayers. The Commission should remove $79,141 from the test year capital additions related to the expense reduction recommended in Issue 52.</w:t>
      </w:r>
      <w:r w:rsidR="00F24FC7" w:rsidRPr="00344D31">
        <w:rPr>
          <w:rFonts w:ascii="Times New Roman" w:hAnsi="Times New Roman"/>
          <w:b/>
          <w:bCs/>
          <w:sz w:val="24"/>
        </w:rPr>
        <w:t xml:space="preserve"> (Dismukes)</w:t>
      </w:r>
    </w:p>
    <w:p w:rsidR="005D67AE" w:rsidRDefault="005D67AE" w:rsidP="005D67AE">
      <w:pPr>
        <w:tabs>
          <w:tab w:val="left" w:pos="720"/>
        </w:tabs>
        <w:ind w:left="1440" w:hanging="1440"/>
        <w:jc w:val="both"/>
        <w:rPr>
          <w:rFonts w:ascii="Times New Roman" w:hAnsi="Times New Roman"/>
          <w:bCs/>
          <w:sz w:val="24"/>
        </w:rPr>
      </w:pPr>
    </w:p>
    <w:p w:rsidR="005D67AE" w:rsidRPr="00D80701" w:rsidRDefault="005D67AE" w:rsidP="005D67AE">
      <w:pPr>
        <w:tabs>
          <w:tab w:val="left" w:pos="72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Is Gulf</w:t>
      </w:r>
      <w:r w:rsidRPr="00D80701">
        <w:rPr>
          <w:rFonts w:ascii="Times New Roman" w:hAnsi="Times New Roman"/>
          <w:sz w:val="24"/>
        </w:rPr>
        <w:sym w:font="WP TypographicSymbols" w:char="003D"/>
      </w:r>
      <w:r w:rsidRPr="00D80701">
        <w:rPr>
          <w:rFonts w:ascii="Times New Roman" w:hAnsi="Times New Roman"/>
          <w:sz w:val="24"/>
        </w:rPr>
        <w:t xml:space="preserve">s requested level of Plant in Service in the amount of $2,612,073,000 ($2,668,525,000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D80701" w:rsidRDefault="00D80701" w:rsidP="00D80701">
      <w:pPr>
        <w:widowControl/>
        <w:ind w:left="1440" w:hanging="1440"/>
        <w:jc w:val="both"/>
        <w:rPr>
          <w:rFonts w:ascii="Times New Roman" w:hAnsi="Times New Roman"/>
          <w:sz w:val="24"/>
          <w:u w:val="single"/>
        </w:rPr>
      </w:pPr>
    </w:p>
    <w:p w:rsidR="00275B80" w:rsidRPr="00344D31" w:rsidRDefault="00285E69"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w:t>
      </w:r>
      <w:r w:rsidR="00F74AAF" w:rsidRPr="00344D31">
        <w:rPr>
          <w:rFonts w:ascii="Times New Roman" w:hAnsi="Times New Roman"/>
          <w:b/>
          <w:bCs/>
          <w:sz w:val="24"/>
        </w:rPr>
        <w:t xml:space="preserve"> </w:t>
      </w:r>
      <w:r w:rsidR="003A20B5">
        <w:rPr>
          <w:rFonts w:ascii="Times New Roman" w:hAnsi="Times New Roman"/>
          <w:b/>
          <w:bCs/>
          <w:sz w:val="24"/>
        </w:rPr>
        <w:t xml:space="preserve">Gulf Power’s supplemental testimony to include the Crist turbine upgrades in base rates effectively increases is requested plant in service to $2,673,816,000.   </w:t>
      </w:r>
      <w:r w:rsidR="00F74AAF" w:rsidRPr="00344D31">
        <w:rPr>
          <w:rFonts w:ascii="Times New Roman" w:hAnsi="Times New Roman"/>
          <w:b/>
          <w:bCs/>
          <w:sz w:val="24"/>
        </w:rPr>
        <w:t xml:space="preserve">Plant in service should be reduced by </w:t>
      </w:r>
      <w:r w:rsidR="009273C5">
        <w:rPr>
          <w:rFonts w:ascii="Times New Roman" w:hAnsi="Times New Roman"/>
          <w:b/>
          <w:bCs/>
          <w:sz w:val="24"/>
        </w:rPr>
        <w:t>$41,033</w:t>
      </w:r>
      <w:r w:rsidR="00F74AAF" w:rsidRPr="00344D31">
        <w:rPr>
          <w:rFonts w:ascii="Times New Roman" w:hAnsi="Times New Roman"/>
          <w:b/>
          <w:bCs/>
          <w:sz w:val="24"/>
        </w:rPr>
        <w:t>,000 to reflect a jurisdictional balance of $</w:t>
      </w:r>
      <w:r w:rsidR="003A20B5">
        <w:rPr>
          <w:rFonts w:ascii="Times New Roman" w:hAnsi="Times New Roman"/>
          <w:b/>
          <w:bCs/>
          <w:sz w:val="24"/>
        </w:rPr>
        <w:t>2,6</w:t>
      </w:r>
      <w:r w:rsidR="009273C5">
        <w:rPr>
          <w:rFonts w:ascii="Times New Roman" w:hAnsi="Times New Roman"/>
          <w:b/>
          <w:bCs/>
          <w:sz w:val="24"/>
        </w:rPr>
        <w:t>3</w:t>
      </w:r>
      <w:r w:rsidR="003A20B5">
        <w:rPr>
          <w:rFonts w:ascii="Times New Roman" w:hAnsi="Times New Roman"/>
          <w:b/>
          <w:bCs/>
          <w:sz w:val="24"/>
        </w:rPr>
        <w:t>2,</w:t>
      </w:r>
      <w:r w:rsidR="009273C5">
        <w:rPr>
          <w:rFonts w:ascii="Times New Roman" w:hAnsi="Times New Roman"/>
          <w:b/>
          <w:bCs/>
          <w:sz w:val="24"/>
        </w:rPr>
        <w:t>783</w:t>
      </w:r>
      <w:r w:rsidR="003A20B5">
        <w:rPr>
          <w:rFonts w:ascii="Times New Roman" w:hAnsi="Times New Roman"/>
          <w:b/>
          <w:bCs/>
          <w:sz w:val="24"/>
        </w:rPr>
        <w:t>,000</w:t>
      </w:r>
      <w:r w:rsidR="00F74AAF" w:rsidRPr="00344D31">
        <w:rPr>
          <w:rFonts w:ascii="Times New Roman" w:hAnsi="Times New Roman"/>
          <w:b/>
          <w:bCs/>
          <w:sz w:val="24"/>
        </w:rPr>
        <w:t>.</w:t>
      </w:r>
      <w:r w:rsidR="00F24FC7" w:rsidRPr="00344D31">
        <w:rPr>
          <w:rFonts w:ascii="Times New Roman" w:hAnsi="Times New Roman"/>
          <w:b/>
          <w:bCs/>
          <w:sz w:val="24"/>
        </w:rPr>
        <w:t xml:space="preserve"> (Ramas)</w:t>
      </w:r>
    </w:p>
    <w:p w:rsidR="00285E69" w:rsidRPr="00344D31" w:rsidRDefault="00285E69" w:rsidP="00275B80">
      <w:pPr>
        <w:tabs>
          <w:tab w:val="left" w:pos="720"/>
        </w:tabs>
        <w:ind w:left="1440" w:hanging="1440"/>
        <w:jc w:val="both"/>
        <w:rPr>
          <w:rFonts w:ascii="Times New Roman" w:hAnsi="Times New Roman"/>
          <w:b/>
          <w:bCs/>
          <w:sz w:val="24"/>
        </w:rPr>
      </w:pPr>
    </w:p>
    <w:p w:rsidR="0082225B" w:rsidRDefault="0082225B" w:rsidP="00D80701">
      <w:pPr>
        <w:widowControl/>
        <w:autoSpaceDE/>
        <w:autoSpaceDN/>
        <w:adjustRightInd/>
        <w:ind w:left="1440" w:hanging="1440"/>
        <w:rPr>
          <w:rFonts w:ascii="Times New Roman" w:hAnsi="Times New Roman"/>
          <w:b/>
          <w:sz w:val="24"/>
          <w:u w:val="single"/>
        </w:rPr>
      </w:pPr>
    </w:p>
    <w:p w:rsidR="00D80701" w:rsidRPr="00D80701" w:rsidRDefault="00D80701" w:rsidP="00D80701">
      <w:pPr>
        <w:widowControl/>
        <w:autoSpaceDE/>
        <w:autoSpaceDN/>
        <w:adjustRightInd/>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depreciation parameters and resulting depreciation rate for </w:t>
      </w:r>
      <w:smartTag w:uri="urn:schemas-microsoft-com:office:smarttags" w:element="stockticker">
        <w:r w:rsidRPr="00D80701">
          <w:rPr>
            <w:rFonts w:ascii="Times New Roman" w:hAnsi="Times New Roman"/>
            <w:sz w:val="24"/>
          </w:rPr>
          <w:t>AMI</w:t>
        </w:r>
      </w:smartTag>
      <w:r w:rsidRPr="00D80701">
        <w:rPr>
          <w:rFonts w:ascii="Times New Roman" w:hAnsi="Times New Roman"/>
          <w:sz w:val="24"/>
        </w:rPr>
        <w:t xml:space="preserve"> Meters (Account 370)?  </w:t>
      </w:r>
    </w:p>
    <w:p w:rsidR="00D80701" w:rsidRDefault="00D80701" w:rsidP="00D80701">
      <w:pPr>
        <w:widowControl/>
        <w:autoSpaceDE/>
        <w:autoSpaceDN/>
        <w:adjustRightInd/>
        <w:ind w:left="1440" w:hanging="1440"/>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285E69" w:rsidRPr="00344D31">
        <w:rPr>
          <w:rFonts w:ascii="Times New Roman" w:hAnsi="Times New Roman"/>
          <w:b/>
          <w:bCs/>
          <w:sz w:val="24"/>
        </w:rPr>
        <w:t>No position at this time.</w:t>
      </w:r>
      <w:r w:rsidRPr="00344D31">
        <w:rPr>
          <w:rFonts w:ascii="Times New Roman" w:hAnsi="Times New Roman"/>
          <w:b/>
          <w:bCs/>
          <w:sz w:val="24"/>
        </w:rPr>
        <w:t xml:space="preserve"> </w:t>
      </w:r>
    </w:p>
    <w:p w:rsidR="00275B80" w:rsidRPr="00D80701" w:rsidRDefault="00275B80" w:rsidP="00D80701">
      <w:pPr>
        <w:widowControl/>
        <w:autoSpaceDE/>
        <w:autoSpaceDN/>
        <w:adjustRightInd/>
        <w:ind w:left="1440" w:hanging="1440"/>
        <w:rPr>
          <w:rFonts w:ascii="Times New Roman" w:hAnsi="Times New Roman"/>
          <w:sz w:val="24"/>
        </w:rPr>
      </w:pPr>
    </w:p>
    <w:p w:rsidR="00331BD4" w:rsidRDefault="00331BD4" w:rsidP="00D80701">
      <w:pPr>
        <w:widowControl/>
        <w:autoSpaceDE/>
        <w:autoSpaceDN/>
        <w:adjustRightInd/>
        <w:ind w:left="1440" w:hanging="1440"/>
        <w:rPr>
          <w:rFonts w:ascii="Times New Roman" w:hAnsi="Times New Roman"/>
          <w:b/>
          <w:sz w:val="24"/>
          <w:u w:val="single"/>
        </w:rPr>
      </w:pPr>
    </w:p>
    <w:p w:rsidR="00D80701" w:rsidRPr="00D80701" w:rsidRDefault="00D80701" w:rsidP="00D80701">
      <w:pPr>
        <w:widowControl/>
        <w:autoSpaceDE/>
        <w:autoSpaceDN/>
        <w:adjustRightInd/>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a capital recovery schedule be established for non-</w:t>
      </w:r>
      <w:smartTag w:uri="urn:schemas-microsoft-com:office:smarttags" w:element="stockticker">
        <w:r w:rsidRPr="00D80701">
          <w:rPr>
            <w:rFonts w:ascii="Times New Roman" w:hAnsi="Times New Roman"/>
            <w:sz w:val="24"/>
          </w:rPr>
          <w:t>AMI</w:t>
        </w:r>
      </w:smartTag>
      <w:r w:rsidRPr="00D80701">
        <w:rPr>
          <w:rFonts w:ascii="Times New Roman" w:hAnsi="Times New Roman"/>
          <w:sz w:val="24"/>
        </w:rPr>
        <w:t xml:space="preserve"> meters (Account 370)?  If yes, what is the appropriate capital recovery schedule?  </w:t>
      </w:r>
    </w:p>
    <w:p w:rsidR="00D80701" w:rsidRDefault="00D80701" w:rsidP="00D80701">
      <w:pPr>
        <w:widowControl/>
        <w:ind w:left="1440" w:hanging="1440"/>
        <w:jc w:val="both"/>
        <w:rPr>
          <w:rFonts w:ascii="Times New Roman" w:hAnsi="Times New Roman"/>
          <w:sz w:val="24"/>
          <w:u w:val="single"/>
        </w:rPr>
      </w:pPr>
    </w:p>
    <w:p w:rsidR="00D80701" w:rsidRPr="00344D31" w:rsidRDefault="00275B80" w:rsidP="00AB5B5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t xml:space="preserve"> </w:t>
      </w:r>
      <w:r w:rsidR="00285E69" w:rsidRPr="00344D31">
        <w:rPr>
          <w:rFonts w:ascii="Times New Roman" w:hAnsi="Times New Roman"/>
          <w:b/>
          <w:bCs/>
          <w:sz w:val="24"/>
        </w:rPr>
        <w:tab/>
        <w:t xml:space="preserve">No position at this time. </w:t>
      </w:r>
    </w:p>
    <w:p w:rsidR="00AB5B50" w:rsidRDefault="00AB5B50" w:rsidP="00AB5B50">
      <w:pPr>
        <w:tabs>
          <w:tab w:val="left" w:pos="720"/>
        </w:tabs>
        <w:ind w:left="1440" w:hanging="1440"/>
        <w:jc w:val="both"/>
        <w:rPr>
          <w:rFonts w:ascii="Times New Roman" w:hAnsi="Times New Roman"/>
          <w:bCs/>
          <w:sz w:val="24"/>
        </w:rPr>
      </w:pPr>
    </w:p>
    <w:p w:rsidR="00AB5B50" w:rsidRDefault="00AB5B50" w:rsidP="00AB5B50">
      <w:pPr>
        <w:tabs>
          <w:tab w:val="left" w:pos="720"/>
        </w:tabs>
        <w:ind w:left="1440" w:hanging="1440"/>
        <w:jc w:val="both"/>
        <w:rPr>
          <w:rFonts w:ascii="Times New Roman" w:hAnsi="Times New Roman"/>
          <w:bCs/>
          <w:sz w:val="24"/>
        </w:rPr>
      </w:pPr>
    </w:p>
    <w:p w:rsidR="00D80701" w:rsidRDefault="00D80701" w:rsidP="00D80701">
      <w:pPr>
        <w:widowControl/>
        <w:tabs>
          <w:tab w:val="left" w:pos="-1440"/>
        </w:tabs>
        <w:ind w:left="1440" w:hanging="1440"/>
        <w:jc w:val="both"/>
        <w:rPr>
          <w:rFonts w:ascii="Times New Roman" w:hAnsi="Times New Roman"/>
          <w:sz w:val="24"/>
          <w:shd w:val="clear" w:color="auto" w:fill="E6E6E6"/>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Is Gulf</w:t>
      </w:r>
      <w:r w:rsidR="00B421CD">
        <w:rPr>
          <w:rFonts w:ascii="Times New Roman" w:hAnsi="Times New Roman"/>
          <w:sz w:val="24"/>
        </w:rPr>
        <w:t>’</w:t>
      </w:r>
      <w:r w:rsidRPr="00D80701">
        <w:rPr>
          <w:rFonts w:ascii="Times New Roman" w:hAnsi="Times New Roman"/>
          <w:sz w:val="24"/>
        </w:rPr>
        <w:t xml:space="preserve">s requested level of Accumulated Depreciation in the amount of $1,179,823,000 ($1,207,513,000 system) for the 2012 projected test year appropriate?  </w:t>
      </w:r>
      <w:r w:rsidRPr="00D80701">
        <w:rPr>
          <w:rFonts w:ascii="Times New Roman" w:hAnsi="Times New Roman"/>
          <w:sz w:val="24"/>
          <w:shd w:val="clear" w:color="auto" w:fill="E6E6E6"/>
        </w:rPr>
        <w:t>(Fallout Issue)</w:t>
      </w:r>
    </w:p>
    <w:p w:rsidR="00285E69" w:rsidRPr="00D80701" w:rsidRDefault="00285E69" w:rsidP="00D80701">
      <w:pPr>
        <w:widowControl/>
        <w:tabs>
          <w:tab w:val="left" w:pos="-1440"/>
        </w:tabs>
        <w:ind w:left="1440" w:hanging="1440"/>
        <w:jc w:val="both"/>
        <w:rPr>
          <w:rFonts w:ascii="Times New Roman" w:hAnsi="Times New Roman"/>
          <w:sz w:val="24"/>
        </w:rPr>
      </w:pPr>
    </w:p>
    <w:p w:rsidR="00275B80" w:rsidRDefault="00275B80" w:rsidP="00216CE7">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F74AAF" w:rsidRPr="00344D31">
        <w:rPr>
          <w:rFonts w:ascii="Times New Roman" w:hAnsi="Times New Roman"/>
          <w:b/>
          <w:bCs/>
          <w:sz w:val="24"/>
        </w:rPr>
        <w:t xml:space="preserve">No. </w:t>
      </w:r>
      <w:r w:rsidR="009273C5">
        <w:rPr>
          <w:rFonts w:ascii="Times New Roman" w:hAnsi="Times New Roman"/>
          <w:b/>
          <w:bCs/>
          <w:sz w:val="24"/>
        </w:rPr>
        <w:t xml:space="preserve">Gulf’s supplemental filing to include the Crist turbine upgrades in this case increases jurisdictional accumulated depreciation from $1,179,823,000 to $1,182,934,000.  </w:t>
      </w:r>
      <w:r w:rsidR="00F74AAF" w:rsidRPr="00344D31">
        <w:rPr>
          <w:rFonts w:ascii="Times New Roman" w:hAnsi="Times New Roman"/>
          <w:b/>
          <w:bCs/>
          <w:sz w:val="24"/>
        </w:rPr>
        <w:t xml:space="preserve">Adjustments are appropriate to reduce </w:t>
      </w:r>
      <w:r w:rsidR="009273C5">
        <w:rPr>
          <w:rFonts w:ascii="Times New Roman" w:hAnsi="Times New Roman"/>
          <w:b/>
          <w:bCs/>
          <w:sz w:val="24"/>
        </w:rPr>
        <w:t xml:space="preserve">the updated </w:t>
      </w:r>
      <w:r w:rsidR="00F74AAF" w:rsidRPr="00344D31">
        <w:rPr>
          <w:rFonts w:ascii="Times New Roman" w:hAnsi="Times New Roman"/>
          <w:b/>
          <w:bCs/>
          <w:sz w:val="24"/>
        </w:rPr>
        <w:t xml:space="preserve">accumulated depreciation </w:t>
      </w:r>
      <w:r w:rsidR="009273C5">
        <w:rPr>
          <w:rFonts w:ascii="Times New Roman" w:hAnsi="Times New Roman"/>
          <w:b/>
          <w:bCs/>
          <w:sz w:val="24"/>
        </w:rPr>
        <w:t xml:space="preserve">amount </w:t>
      </w:r>
      <w:r w:rsidR="00F74AAF" w:rsidRPr="00344D31">
        <w:rPr>
          <w:rFonts w:ascii="Times New Roman" w:hAnsi="Times New Roman"/>
          <w:b/>
          <w:bCs/>
          <w:sz w:val="24"/>
        </w:rPr>
        <w:t xml:space="preserve">by </w:t>
      </w:r>
      <w:r w:rsidR="009273C5">
        <w:rPr>
          <w:rFonts w:ascii="Times New Roman" w:hAnsi="Times New Roman"/>
          <w:b/>
          <w:bCs/>
          <w:sz w:val="24"/>
        </w:rPr>
        <w:t>$1,964,000</w:t>
      </w:r>
      <w:r w:rsidR="00F74AAF" w:rsidRPr="00344D31">
        <w:rPr>
          <w:rFonts w:ascii="Times New Roman" w:hAnsi="Times New Roman"/>
          <w:b/>
          <w:bCs/>
          <w:sz w:val="24"/>
        </w:rPr>
        <w:t xml:space="preserve"> to reflect a jurisdictional balance of $</w:t>
      </w:r>
      <w:r w:rsidR="009273C5">
        <w:rPr>
          <w:rFonts w:ascii="Times New Roman" w:hAnsi="Times New Roman"/>
          <w:b/>
          <w:bCs/>
          <w:sz w:val="24"/>
        </w:rPr>
        <w:t>1,180,970,000</w:t>
      </w:r>
      <w:r w:rsidR="00F74AAF" w:rsidRPr="00344D31">
        <w:rPr>
          <w:rFonts w:ascii="Times New Roman" w:hAnsi="Times New Roman"/>
          <w:b/>
          <w:bCs/>
          <w:sz w:val="24"/>
        </w:rPr>
        <w:t xml:space="preserve">. </w:t>
      </w:r>
      <w:r w:rsidR="009273C5">
        <w:rPr>
          <w:rFonts w:ascii="Times New Roman" w:hAnsi="Times New Roman"/>
          <w:b/>
          <w:bCs/>
          <w:sz w:val="24"/>
        </w:rPr>
        <w:t xml:space="preserve">On a total company basis, </w:t>
      </w:r>
      <w:r w:rsidR="00D13402" w:rsidRPr="00344D31">
        <w:rPr>
          <w:rFonts w:ascii="Times New Roman" w:hAnsi="Times New Roman"/>
          <w:b/>
          <w:bCs/>
          <w:sz w:val="24"/>
        </w:rPr>
        <w:t>A</w:t>
      </w:r>
      <w:r w:rsidR="00216CE7" w:rsidRPr="00344D31">
        <w:rPr>
          <w:rFonts w:ascii="Times New Roman" w:hAnsi="Times New Roman"/>
          <w:b/>
          <w:bCs/>
          <w:sz w:val="24"/>
        </w:rPr>
        <w:t xml:space="preserve">ccumulated depreciation should be reduced by </w:t>
      </w:r>
      <w:r w:rsidR="00D13402" w:rsidRPr="00344D31">
        <w:rPr>
          <w:rFonts w:ascii="Times New Roman" w:hAnsi="Times New Roman"/>
          <w:b/>
          <w:bCs/>
          <w:sz w:val="24"/>
        </w:rPr>
        <w:t>$</w:t>
      </w:r>
      <w:r w:rsidR="009273C5">
        <w:rPr>
          <w:rFonts w:ascii="Times New Roman" w:hAnsi="Times New Roman"/>
          <w:b/>
          <w:bCs/>
          <w:sz w:val="24"/>
        </w:rPr>
        <w:t>193,220</w:t>
      </w:r>
      <w:r w:rsidR="00D13402" w:rsidRPr="00344D31">
        <w:rPr>
          <w:rFonts w:ascii="Times New Roman" w:hAnsi="Times New Roman"/>
          <w:b/>
          <w:bCs/>
          <w:sz w:val="24"/>
        </w:rPr>
        <w:t xml:space="preserve"> for transmission</w:t>
      </w:r>
      <w:r w:rsidR="00331BD4">
        <w:rPr>
          <w:rFonts w:ascii="Times New Roman" w:hAnsi="Times New Roman"/>
          <w:b/>
          <w:bCs/>
          <w:sz w:val="24"/>
        </w:rPr>
        <w:t xml:space="preserve"> </w:t>
      </w:r>
      <w:r w:rsidR="00D13402" w:rsidRPr="00344D31">
        <w:rPr>
          <w:rFonts w:ascii="Times New Roman" w:hAnsi="Times New Roman"/>
          <w:b/>
          <w:bCs/>
          <w:sz w:val="24"/>
        </w:rPr>
        <w:t xml:space="preserve">and $42,967 for incentive compensation plant related adjustments. </w:t>
      </w:r>
      <w:r w:rsidR="00620F76">
        <w:rPr>
          <w:rFonts w:ascii="Times New Roman" w:hAnsi="Times New Roman"/>
          <w:b/>
          <w:bCs/>
          <w:sz w:val="24"/>
        </w:rPr>
        <w:t xml:space="preserve">The $3,111,000 increase to accumulated depreciation in Gulf’s supplemental filing should be reduced by $1,687,000 to $1,424,000.  </w:t>
      </w:r>
      <w:r w:rsidR="00F24FC7" w:rsidRPr="00344D31">
        <w:rPr>
          <w:rFonts w:ascii="Times New Roman" w:hAnsi="Times New Roman"/>
          <w:b/>
          <w:bCs/>
          <w:sz w:val="24"/>
        </w:rPr>
        <w:t>(Ramas)</w:t>
      </w:r>
    </w:p>
    <w:p w:rsidR="0065565D" w:rsidRDefault="0065565D" w:rsidP="00216CE7">
      <w:pPr>
        <w:tabs>
          <w:tab w:val="left" w:pos="720"/>
        </w:tabs>
        <w:ind w:left="1440" w:hanging="1440"/>
        <w:jc w:val="both"/>
        <w:rPr>
          <w:rFonts w:ascii="Times New Roman" w:hAnsi="Times New Roman"/>
          <w:b/>
          <w:bCs/>
          <w:sz w:val="24"/>
        </w:rPr>
      </w:pPr>
    </w:p>
    <w:p w:rsidR="0065565D" w:rsidRPr="00344D31" w:rsidRDefault="0065565D" w:rsidP="00216CE7">
      <w:pPr>
        <w:tabs>
          <w:tab w:val="left" w:pos="720"/>
        </w:tabs>
        <w:ind w:left="1440" w:hanging="1440"/>
        <w:jc w:val="both"/>
        <w:rPr>
          <w:rFonts w:ascii="Times New Roman" w:hAnsi="Times New Roman"/>
          <w:b/>
          <w:bCs/>
          <w:sz w:val="24"/>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Is Gulf</w:t>
      </w:r>
      <w:r w:rsidR="00B421CD">
        <w:rPr>
          <w:rFonts w:ascii="Times New Roman" w:hAnsi="Times New Roman"/>
          <w:sz w:val="24"/>
        </w:rPr>
        <w:t>’</w:t>
      </w:r>
      <w:r w:rsidRPr="00D80701">
        <w:rPr>
          <w:rFonts w:ascii="Times New Roman" w:hAnsi="Times New Roman"/>
          <w:sz w:val="24"/>
        </w:rPr>
        <w:t xml:space="preserve">s requested Construction Work in Progress in the amount of $60,912,000 ($62,617,000 system) for the 2012 projected test year appropriate?  </w:t>
      </w:r>
    </w:p>
    <w:p w:rsidR="00D80701" w:rsidRDefault="00D80701" w:rsidP="00D80701">
      <w:pPr>
        <w:widowControl/>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285E69" w:rsidRPr="00344D31">
        <w:rPr>
          <w:rFonts w:ascii="Times New Roman" w:hAnsi="Times New Roman"/>
          <w:b/>
          <w:bCs/>
          <w:sz w:val="24"/>
        </w:rPr>
        <w:t>No.</w:t>
      </w:r>
      <w:r w:rsidR="00F74AAF" w:rsidRPr="00344D31">
        <w:rPr>
          <w:rFonts w:ascii="Times New Roman" w:hAnsi="Times New Roman"/>
          <w:b/>
          <w:bCs/>
          <w:sz w:val="24"/>
        </w:rPr>
        <w:t xml:space="preserve"> Gulf has made no showing that the CWIP is needed to maintain its financial integrity.  The requested balance of CWIP should be removed </w:t>
      </w:r>
      <w:r w:rsidR="00F47601" w:rsidRPr="00344D31">
        <w:rPr>
          <w:rFonts w:ascii="Times New Roman" w:hAnsi="Times New Roman"/>
          <w:b/>
          <w:bCs/>
          <w:sz w:val="24"/>
        </w:rPr>
        <w:t xml:space="preserve">completely </w:t>
      </w:r>
      <w:r w:rsidR="00F74AAF" w:rsidRPr="00344D31">
        <w:rPr>
          <w:rFonts w:ascii="Times New Roman" w:hAnsi="Times New Roman"/>
          <w:b/>
          <w:bCs/>
          <w:sz w:val="24"/>
        </w:rPr>
        <w:t xml:space="preserve">from rate base.  </w:t>
      </w:r>
      <w:r w:rsidR="00F24FC7" w:rsidRPr="00344D31">
        <w:rPr>
          <w:rFonts w:ascii="Times New Roman" w:hAnsi="Times New Roman"/>
          <w:b/>
          <w:bCs/>
          <w:sz w:val="24"/>
        </w:rPr>
        <w:t>(Ramas)</w:t>
      </w:r>
    </w:p>
    <w:p w:rsidR="00275B80" w:rsidRPr="00D80701" w:rsidRDefault="00275B80" w:rsidP="00D80701">
      <w:pPr>
        <w:widowControl/>
        <w:ind w:left="1440" w:hanging="1440"/>
        <w:jc w:val="both"/>
        <w:rPr>
          <w:rFonts w:ascii="Times New Roman" w:hAnsi="Times New Roman"/>
          <w:sz w:val="24"/>
        </w:rPr>
      </w:pPr>
    </w:p>
    <w:p w:rsidR="00331BD4" w:rsidRDefault="00331BD4" w:rsidP="00D80701">
      <w:pPr>
        <w:widowControl/>
        <w:ind w:left="1440" w:hanging="1440"/>
        <w:jc w:val="both"/>
        <w:rPr>
          <w:rFonts w:ascii="Times New Roman" w:hAnsi="Times New Roman"/>
          <w:b/>
          <w:sz w:val="24"/>
          <w:u w:val="single"/>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Plant Held for Future Use for the Caryville plant site?  </w:t>
      </w:r>
    </w:p>
    <w:p w:rsidR="00D80701" w:rsidRDefault="00D80701" w:rsidP="00D80701">
      <w:pPr>
        <w:widowControl/>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285E69" w:rsidRPr="00344D31">
        <w:rPr>
          <w:rFonts w:ascii="Times New Roman" w:hAnsi="Times New Roman"/>
          <w:b/>
          <w:bCs/>
          <w:sz w:val="24"/>
        </w:rPr>
        <w:t>No position.</w:t>
      </w:r>
    </w:p>
    <w:p w:rsidR="00285E69" w:rsidRPr="00DC2D8E" w:rsidRDefault="00285E69" w:rsidP="00275B80">
      <w:pPr>
        <w:tabs>
          <w:tab w:val="left" w:pos="720"/>
        </w:tabs>
        <w:ind w:left="1440" w:hanging="1440"/>
        <w:jc w:val="both"/>
        <w:rPr>
          <w:rFonts w:ascii="Times New Roman" w:hAnsi="Times New Roman"/>
          <w:bCs/>
          <w:sz w:val="24"/>
        </w:rPr>
      </w:pPr>
    </w:p>
    <w:p w:rsidR="00275B80" w:rsidRPr="00D80701" w:rsidRDefault="00275B80" w:rsidP="00D80701">
      <w:pPr>
        <w:widowControl/>
        <w:ind w:left="1440" w:hanging="1440"/>
        <w:jc w:val="both"/>
        <w:rPr>
          <w:rFonts w:ascii="Times New Roman" w:hAnsi="Times New Roman"/>
          <w:sz w:val="24"/>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the North Escambia Nuclear County plant site and associated costs identified by Gulf be included in Plant Held for Future Use?  If not, should Gulf be permitted to continue to accrue AFUDC on the site?  </w:t>
      </w:r>
    </w:p>
    <w:p w:rsidR="00D80701" w:rsidRDefault="00D80701" w:rsidP="00D80701">
      <w:pPr>
        <w:widowControl/>
        <w:ind w:left="1440" w:hanging="1440"/>
        <w:jc w:val="both"/>
        <w:rPr>
          <w:rFonts w:ascii="Times New Roman" w:hAnsi="Times New Roman"/>
          <w:sz w:val="24"/>
          <w:u w:val="single"/>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285E69" w:rsidRPr="00344D31">
        <w:rPr>
          <w:rFonts w:ascii="Times New Roman" w:hAnsi="Times New Roman"/>
          <w:b/>
          <w:bCs/>
          <w:sz w:val="24"/>
        </w:rPr>
        <w:t>No</w:t>
      </w:r>
      <w:r w:rsidR="00F74AAF" w:rsidRPr="00344D31">
        <w:rPr>
          <w:rFonts w:ascii="Times New Roman" w:hAnsi="Times New Roman"/>
          <w:b/>
          <w:bCs/>
          <w:sz w:val="24"/>
        </w:rPr>
        <w:t>,</w:t>
      </w:r>
      <w:r w:rsidR="00285E69" w:rsidRPr="00344D31">
        <w:rPr>
          <w:rFonts w:ascii="Times New Roman" w:hAnsi="Times New Roman"/>
          <w:b/>
          <w:bCs/>
          <w:sz w:val="24"/>
        </w:rPr>
        <w:t xml:space="preserve"> </w:t>
      </w:r>
      <w:r w:rsidR="00F74AAF" w:rsidRPr="00344D31">
        <w:rPr>
          <w:rFonts w:ascii="Times New Roman" w:hAnsi="Times New Roman"/>
          <w:b/>
          <w:bCs/>
          <w:sz w:val="24"/>
        </w:rPr>
        <w:t xml:space="preserve">Gulf’s request is not supported by any studies or other information which would justify the cost-effectiveness for the inclusion of such a significant increase in PHFU in rate base and recovered from ratepayers. Additionally, Gulf has not shown that the purchase of the site is reasonable and prudent investment that will be used for utility purposes in the reasonably near future and should not be allowed to accrue any AFUDC carrying costs on the Escambia site.  </w:t>
      </w:r>
      <w:r w:rsidR="00F24FC7" w:rsidRPr="00344D31">
        <w:rPr>
          <w:rFonts w:ascii="Times New Roman" w:hAnsi="Times New Roman"/>
          <w:b/>
          <w:bCs/>
          <w:sz w:val="24"/>
        </w:rPr>
        <w:t>(Schultz)</w:t>
      </w:r>
    </w:p>
    <w:p w:rsidR="00275B80" w:rsidRPr="00D80701" w:rsidRDefault="00275B80" w:rsidP="00D80701">
      <w:pPr>
        <w:widowControl/>
        <w:ind w:left="1440" w:hanging="1440"/>
        <w:jc w:val="both"/>
        <w:rPr>
          <w:rFonts w:ascii="Times New Roman" w:hAnsi="Times New Roman"/>
          <w:sz w:val="24"/>
          <w:u w:val="single"/>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Property Held for Future Use in the amount of $32,233,000 ($33,352,000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r w:rsidR="00F24FC7">
        <w:rPr>
          <w:rFonts w:ascii="Times New Roman" w:hAnsi="Times New Roman"/>
          <w:sz w:val="24"/>
        </w:rPr>
        <w:t xml:space="preserve"> </w:t>
      </w:r>
    </w:p>
    <w:p w:rsidR="00D80701" w:rsidRDefault="00D80701" w:rsidP="00D80701">
      <w:pPr>
        <w:widowControl/>
        <w:ind w:left="1440" w:hanging="1440"/>
        <w:jc w:val="both"/>
        <w:rPr>
          <w:rFonts w:ascii="Times New Roman" w:hAnsi="Times New Roman"/>
          <w:sz w:val="24"/>
          <w:u w:val="single"/>
        </w:rPr>
      </w:pPr>
    </w:p>
    <w:p w:rsidR="00275B80"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285E69" w:rsidRPr="00344D31">
        <w:rPr>
          <w:rFonts w:ascii="Times New Roman" w:hAnsi="Times New Roman"/>
          <w:b/>
          <w:bCs/>
          <w:sz w:val="24"/>
        </w:rPr>
        <w:t>No. PHFU should be reduced by $</w:t>
      </w:r>
      <w:r w:rsidR="00B166A8" w:rsidRPr="00344D31">
        <w:rPr>
          <w:rFonts w:ascii="Times New Roman" w:hAnsi="Times New Roman"/>
          <w:b/>
          <w:bCs/>
          <w:sz w:val="24"/>
        </w:rPr>
        <w:t>26,751,000 to reflect a jurisdictional balance of $5,482,000.</w:t>
      </w:r>
      <w:r w:rsidR="00344D31" w:rsidRPr="00344D31">
        <w:rPr>
          <w:rFonts w:ascii="Times New Roman" w:hAnsi="Times New Roman"/>
          <w:b/>
          <w:bCs/>
          <w:sz w:val="24"/>
        </w:rPr>
        <w:t xml:space="preserve"> (Schultz)</w:t>
      </w:r>
    </w:p>
    <w:p w:rsidR="0065565D" w:rsidRPr="00344D31" w:rsidRDefault="0065565D" w:rsidP="00275B80">
      <w:pPr>
        <w:tabs>
          <w:tab w:val="left" w:pos="720"/>
        </w:tabs>
        <w:ind w:left="1440" w:hanging="1440"/>
        <w:jc w:val="both"/>
        <w:rPr>
          <w:rFonts w:ascii="Times New Roman" w:hAnsi="Times New Roman"/>
          <w:b/>
          <w:bCs/>
          <w:sz w:val="24"/>
        </w:rPr>
      </w:pPr>
    </w:p>
    <w:p w:rsidR="00275B80" w:rsidRPr="00D80701" w:rsidRDefault="00275B80" w:rsidP="00D80701">
      <w:pPr>
        <w:widowControl/>
        <w:ind w:left="1440" w:hanging="1440"/>
        <w:jc w:val="both"/>
        <w:rPr>
          <w:rFonts w:ascii="Times New Roman" w:hAnsi="Times New Roman"/>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any adjustments be made to Gulf's fuel inventories?  </w:t>
      </w:r>
    </w:p>
    <w:p w:rsidR="00275B80" w:rsidRDefault="00275B80" w:rsidP="00275B80">
      <w:pPr>
        <w:tabs>
          <w:tab w:val="left" w:pos="720"/>
        </w:tabs>
        <w:spacing w:line="360" w:lineRule="auto"/>
        <w:ind w:left="1440" w:hanging="1440"/>
        <w:jc w:val="both"/>
        <w:rPr>
          <w:rFonts w:ascii="Times New Roman" w:hAnsi="Times New Roman"/>
          <w:bCs/>
          <w:sz w:val="24"/>
        </w:rPr>
      </w:pPr>
    </w:p>
    <w:p w:rsidR="00275B80" w:rsidRPr="00344D31" w:rsidRDefault="00285E69"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No position. </w:t>
      </w:r>
    </w:p>
    <w:p w:rsidR="00D80701" w:rsidRPr="00D80701" w:rsidRDefault="00D80701" w:rsidP="00D80701">
      <w:pPr>
        <w:widowControl/>
        <w:ind w:left="1440" w:hanging="1440"/>
        <w:jc w:val="both"/>
        <w:rPr>
          <w:rFonts w:ascii="Times New Roman" w:hAnsi="Times New Roman"/>
          <w:sz w:val="24"/>
          <w:u w:val="single"/>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any adjustment be made to Gulf’s requested storm damage reserve, annual accrual of $6,539,091 ($6,800,000 system), and target level range of $52,000,000 to $98,000,000?  </w:t>
      </w:r>
    </w:p>
    <w:p w:rsidR="00D80701" w:rsidRDefault="00D80701" w:rsidP="00D80701">
      <w:pPr>
        <w:widowControl/>
        <w:ind w:left="1440" w:hanging="1440"/>
        <w:jc w:val="both"/>
        <w:rPr>
          <w:rFonts w:ascii="Times New Roman" w:hAnsi="Times New Roman"/>
          <w:sz w:val="24"/>
          <w:u w:val="single"/>
        </w:rPr>
      </w:pPr>
    </w:p>
    <w:p w:rsidR="00275B80" w:rsidRPr="00344D31" w:rsidRDefault="00275B80" w:rsidP="000C334E">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0C334E" w:rsidRPr="00344D31">
        <w:rPr>
          <w:rFonts w:ascii="Times New Roman" w:hAnsi="Times New Roman"/>
          <w:b/>
          <w:bCs/>
          <w:sz w:val="24"/>
        </w:rPr>
        <w:t xml:space="preserve">Yes. Gulf’s requested increase in the annual accrual is excessive and not justified based on the historical charges to the reserve and the storm standards established for Florida electric utilities, and the storm hardening measures implemented after 2005.  The storm study reflects the storm accrual the Company wanted to collect in rates and also included extraordinary storm repair costs which historically have been recovered by surcharge mechanisms and were not intended to be covered by the storm reserve. The annual storm accrual should be reduced to $600,000, which reflects a decrease to O&amp;M expense of $6.2 million ($5,962,113 jurisdictional), which will allow an eight-year historical average annual storm costs, excluding the extraordinary storm costs recovered through a surcharge. That level of a reserve is sufficient to cover storm costs that are likely to occur based on recent history, and is a level that was previously determined by the Commission to be within a specific target range. </w:t>
      </w:r>
      <w:r w:rsidR="00F24FC7" w:rsidRPr="00344D31">
        <w:rPr>
          <w:rFonts w:ascii="Times New Roman" w:hAnsi="Times New Roman"/>
          <w:b/>
          <w:bCs/>
          <w:sz w:val="24"/>
        </w:rPr>
        <w:t>(Schultz)</w:t>
      </w:r>
    </w:p>
    <w:p w:rsidR="000C334E" w:rsidRPr="00D80701" w:rsidRDefault="000C334E" w:rsidP="000C334E">
      <w:pPr>
        <w:tabs>
          <w:tab w:val="left" w:pos="720"/>
        </w:tabs>
        <w:ind w:left="1440" w:hanging="1440"/>
        <w:jc w:val="both"/>
        <w:rPr>
          <w:rFonts w:ascii="Times New Roman" w:hAnsi="Times New Roman"/>
          <w:sz w:val="24"/>
          <w:u w:val="single"/>
        </w:rPr>
      </w:pPr>
    </w:p>
    <w:p w:rsidR="00331BD4" w:rsidRDefault="00331BD4" w:rsidP="00D80701">
      <w:pPr>
        <w:widowControl/>
        <w:autoSpaceDE/>
        <w:autoSpaceDN/>
        <w:adjustRightInd/>
        <w:ind w:left="1440" w:hanging="1440"/>
        <w:rPr>
          <w:rFonts w:ascii="Times New Roman" w:hAnsi="Times New Roman"/>
          <w:b/>
          <w:sz w:val="24"/>
          <w:u w:val="single"/>
        </w:rPr>
      </w:pPr>
    </w:p>
    <w:p w:rsidR="00D80701" w:rsidRPr="00D80701" w:rsidRDefault="00D80701" w:rsidP="00D80701">
      <w:pPr>
        <w:widowControl/>
        <w:autoSpaceDE/>
        <w:autoSpaceDN/>
        <w:adjustRightInd/>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unamortized rate case expense be included in Working Capital? </w:t>
      </w:r>
    </w:p>
    <w:p w:rsidR="00D80701" w:rsidRDefault="00D80701" w:rsidP="00D80701">
      <w:pPr>
        <w:widowControl/>
        <w:ind w:left="1440" w:hanging="1440"/>
        <w:jc w:val="both"/>
        <w:rPr>
          <w:rFonts w:ascii="Times New Roman" w:hAnsi="Times New Roman"/>
          <w:sz w:val="24"/>
          <w:u w:val="single"/>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285E69" w:rsidRPr="00344D31">
        <w:rPr>
          <w:rFonts w:ascii="Times New Roman" w:hAnsi="Times New Roman"/>
          <w:b/>
          <w:bCs/>
          <w:sz w:val="24"/>
        </w:rPr>
        <w:t>No.</w:t>
      </w:r>
      <w:r w:rsidR="00BC2D9E" w:rsidRPr="00344D31">
        <w:rPr>
          <w:rFonts w:ascii="Times New Roman" w:hAnsi="Times New Roman"/>
          <w:b/>
          <w:bCs/>
          <w:sz w:val="24"/>
        </w:rPr>
        <w:t xml:space="preserve">  The Commission has consistently disallowed the inclusion of unamortized rate case expense in working capital.  This long standing Commission policy was recently reaffirmed in Commission Order No. PSC-10-0131-FOF-EI</w:t>
      </w:r>
      <w:r w:rsidR="000B149F" w:rsidRPr="00344D31">
        <w:rPr>
          <w:rFonts w:ascii="Times New Roman" w:hAnsi="Times New Roman"/>
          <w:b/>
          <w:bCs/>
          <w:sz w:val="24"/>
        </w:rPr>
        <w:t>,</w:t>
      </w:r>
      <w:r w:rsidR="00BC2D9E" w:rsidRPr="00344D31">
        <w:rPr>
          <w:rFonts w:ascii="Times New Roman" w:hAnsi="Times New Roman"/>
          <w:b/>
          <w:bCs/>
          <w:sz w:val="24"/>
        </w:rPr>
        <w:t xml:space="preserve"> involving Progress Energy Florida.  Working capital should be reduced by $2,450,000.   </w:t>
      </w:r>
      <w:r w:rsidR="00F24FC7" w:rsidRPr="00344D31">
        <w:rPr>
          <w:rFonts w:ascii="Times New Roman" w:hAnsi="Times New Roman"/>
          <w:b/>
          <w:bCs/>
          <w:sz w:val="24"/>
        </w:rPr>
        <w:t>(Ramas)</w:t>
      </w:r>
    </w:p>
    <w:p w:rsidR="00275B80" w:rsidRPr="00D80701" w:rsidRDefault="00275B80" w:rsidP="00D80701">
      <w:pPr>
        <w:widowControl/>
        <w:ind w:left="1440" w:hanging="1440"/>
        <w:jc w:val="both"/>
        <w:rPr>
          <w:rFonts w:ascii="Times New Roman" w:hAnsi="Times New Roman"/>
          <w:sz w:val="24"/>
          <w:u w:val="single"/>
        </w:rPr>
      </w:pPr>
    </w:p>
    <w:p w:rsidR="00331BD4" w:rsidRDefault="00331BD4" w:rsidP="00D80701">
      <w:pPr>
        <w:widowControl/>
        <w:ind w:left="1440" w:hanging="1440"/>
        <w:jc w:val="both"/>
        <w:rPr>
          <w:rFonts w:ascii="Times New Roman" w:hAnsi="Times New Roman"/>
          <w:b/>
          <w:sz w:val="24"/>
          <w:u w:val="single"/>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29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the net over-recovery/under-recovery of fuel, capacity, conservation, and environmental cost recovery clause expenses be included in the calculation of the working capital allowance? </w:t>
      </w:r>
    </w:p>
    <w:p w:rsidR="00D80701" w:rsidRDefault="00D80701" w:rsidP="00D80701">
      <w:pPr>
        <w:widowControl/>
        <w:ind w:left="1440" w:hanging="1440"/>
        <w:jc w:val="both"/>
        <w:rPr>
          <w:rFonts w:ascii="Times New Roman" w:hAnsi="Times New Roman"/>
          <w:sz w:val="24"/>
          <w:u w:val="single"/>
        </w:rPr>
      </w:pPr>
    </w:p>
    <w:p w:rsidR="00275B80" w:rsidRPr="00344D31" w:rsidRDefault="00275B80" w:rsidP="00344D31">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00287685">
        <w:rPr>
          <w:rFonts w:ascii="Times New Roman" w:hAnsi="Times New Roman"/>
          <w:b/>
          <w:bCs/>
          <w:sz w:val="24"/>
        </w:rPr>
        <w:tab/>
      </w:r>
      <w:r w:rsidR="00285E69" w:rsidRPr="00344D31">
        <w:rPr>
          <w:rFonts w:ascii="Times New Roman" w:hAnsi="Times New Roman"/>
          <w:b/>
          <w:bCs/>
          <w:sz w:val="24"/>
        </w:rPr>
        <w:t>Consistent with Commission practice, clause over-recoveries are included (as a reduction) and under-recoveries are excluded from working capital. Over-recoveries represent funds the Company owes customers that if excluded from working capital, customers would be providing interest the Company returned in the clause. In the clause, under-recoveries are collected from customers at the commercial paper rate. If clause under-recoveries are included in base rates, the company would receive a double return on the under-recovery.</w:t>
      </w:r>
    </w:p>
    <w:p w:rsidR="00285E69" w:rsidRPr="00DC2D8E" w:rsidRDefault="00285E69" w:rsidP="00275B80">
      <w:pPr>
        <w:tabs>
          <w:tab w:val="left" w:pos="720"/>
        </w:tabs>
        <w:ind w:left="1440" w:hanging="1440"/>
        <w:jc w:val="both"/>
        <w:rPr>
          <w:rFonts w:ascii="Times New Roman" w:hAnsi="Times New Roman"/>
          <w:bCs/>
          <w:sz w:val="24"/>
        </w:rPr>
      </w:pPr>
    </w:p>
    <w:p w:rsidR="00275B80" w:rsidRPr="00D80701" w:rsidRDefault="00275B80" w:rsidP="00D80701">
      <w:pPr>
        <w:widowControl/>
        <w:ind w:left="1440" w:hanging="1440"/>
        <w:jc w:val="both"/>
        <w:rPr>
          <w:rFonts w:ascii="Times New Roman" w:hAnsi="Times New Roman"/>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Working Capital in the amount of $150,609,000 ($155,044,000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D80701" w:rsidRDefault="00D80701" w:rsidP="00D80701">
      <w:pPr>
        <w:widowControl/>
        <w:tabs>
          <w:tab w:val="left" w:pos="-1440"/>
        </w:tabs>
        <w:ind w:left="1440" w:hanging="1440"/>
        <w:jc w:val="both"/>
        <w:rPr>
          <w:rFonts w:ascii="Times New Roman" w:hAnsi="Times New Roman"/>
          <w:sz w:val="24"/>
        </w:rPr>
      </w:pPr>
    </w:p>
    <w:p w:rsidR="0082225B" w:rsidRDefault="0082225B"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285E69" w:rsidRPr="00344D31">
        <w:rPr>
          <w:rFonts w:ascii="Times New Roman" w:hAnsi="Times New Roman"/>
          <w:b/>
          <w:bCs/>
          <w:sz w:val="24"/>
        </w:rPr>
        <w:t>No.</w:t>
      </w:r>
      <w:r w:rsidR="00BC2D9E" w:rsidRPr="00344D31">
        <w:rPr>
          <w:rFonts w:ascii="Times New Roman" w:hAnsi="Times New Roman"/>
          <w:b/>
          <w:bCs/>
          <w:sz w:val="24"/>
        </w:rPr>
        <w:t xml:space="preserve"> Working capital should be reduced by $2,450,000 to reflect a balance of $148,159,000.</w:t>
      </w:r>
      <w:r w:rsidR="00F24FC7" w:rsidRPr="00344D31">
        <w:rPr>
          <w:rFonts w:ascii="Times New Roman" w:hAnsi="Times New Roman"/>
          <w:b/>
          <w:bCs/>
          <w:sz w:val="24"/>
        </w:rPr>
        <w:t xml:space="preserve"> (Ramas)</w:t>
      </w:r>
    </w:p>
    <w:p w:rsidR="00275B80" w:rsidRPr="00D80701" w:rsidRDefault="00275B80" w:rsidP="00D80701">
      <w:pPr>
        <w:widowControl/>
        <w:tabs>
          <w:tab w:val="left" w:pos="-1440"/>
        </w:tabs>
        <w:ind w:left="1440" w:hanging="1440"/>
        <w:jc w:val="both"/>
        <w:rPr>
          <w:rFonts w:ascii="Times New Roman" w:hAnsi="Times New Roman"/>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rate base in the amount of $1,676,004,000 ($1,712,025,000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D80701" w:rsidRDefault="00D80701" w:rsidP="00D80701">
      <w:pPr>
        <w:widowControl/>
        <w:tabs>
          <w:tab w:val="left" w:pos="-1440"/>
        </w:tabs>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285E69" w:rsidRPr="00344D31">
        <w:rPr>
          <w:rFonts w:ascii="Times New Roman" w:hAnsi="Times New Roman"/>
          <w:b/>
          <w:bCs/>
          <w:sz w:val="24"/>
        </w:rPr>
        <w:t xml:space="preserve">No. </w:t>
      </w:r>
      <w:r w:rsidR="00620F76">
        <w:rPr>
          <w:rFonts w:ascii="Times New Roman" w:hAnsi="Times New Roman"/>
          <w:b/>
          <w:bCs/>
          <w:sz w:val="24"/>
        </w:rPr>
        <w:t xml:space="preserve">Gulf’s supplemental filing to include the Crist turbine upgrades increases rate base by $58,757,000 to $1,734,761,000.  </w:t>
      </w:r>
      <w:r w:rsidR="00285E69" w:rsidRPr="00344D31">
        <w:rPr>
          <w:rFonts w:ascii="Times New Roman" w:hAnsi="Times New Roman"/>
          <w:b/>
          <w:bCs/>
          <w:sz w:val="24"/>
        </w:rPr>
        <w:t>The appropriate rate base should be $</w:t>
      </w:r>
      <w:r w:rsidR="00620F76">
        <w:rPr>
          <w:rFonts w:ascii="Times New Roman" w:hAnsi="Times New Roman"/>
          <w:b/>
          <w:bCs/>
          <w:sz w:val="24"/>
        </w:rPr>
        <w:t>1,605,454,000</w:t>
      </w:r>
      <w:r w:rsidR="00285E69" w:rsidRPr="00344D31">
        <w:rPr>
          <w:rFonts w:ascii="Times New Roman" w:hAnsi="Times New Roman"/>
          <w:b/>
          <w:bCs/>
          <w:sz w:val="24"/>
        </w:rPr>
        <w:t xml:space="preserve">. </w:t>
      </w:r>
      <w:r w:rsidRPr="00344D31">
        <w:rPr>
          <w:rFonts w:ascii="Times New Roman" w:hAnsi="Times New Roman"/>
          <w:b/>
          <w:bCs/>
          <w:sz w:val="24"/>
        </w:rPr>
        <w:t xml:space="preserve"> </w:t>
      </w:r>
      <w:r w:rsidR="00F24FC7" w:rsidRPr="00344D31">
        <w:rPr>
          <w:rFonts w:ascii="Times New Roman" w:hAnsi="Times New Roman"/>
          <w:b/>
          <w:bCs/>
          <w:sz w:val="24"/>
        </w:rPr>
        <w:t>(Ramas)</w:t>
      </w:r>
    </w:p>
    <w:p w:rsidR="00275B80" w:rsidRPr="00D80701" w:rsidRDefault="00275B80" w:rsidP="00D80701">
      <w:pPr>
        <w:widowControl/>
        <w:tabs>
          <w:tab w:val="left" w:pos="-1440"/>
        </w:tabs>
        <w:jc w:val="both"/>
        <w:rPr>
          <w:rFonts w:ascii="Times New Roman" w:hAnsi="Times New Roman"/>
          <w:sz w:val="24"/>
        </w:rPr>
      </w:pPr>
    </w:p>
    <w:p w:rsidR="00331BD4" w:rsidRDefault="00331BD4" w:rsidP="00D80701">
      <w:pPr>
        <w:widowControl/>
        <w:jc w:val="center"/>
        <w:rPr>
          <w:rFonts w:ascii="Times New Roman" w:hAnsi="Times New Roman"/>
          <w:b/>
          <w:bCs/>
          <w:sz w:val="24"/>
          <w:u w:val="single"/>
        </w:rPr>
      </w:pPr>
    </w:p>
    <w:p w:rsidR="0082225B" w:rsidRDefault="0082225B" w:rsidP="00D80701">
      <w:pPr>
        <w:widowControl/>
        <w:jc w:val="center"/>
        <w:rPr>
          <w:rFonts w:ascii="Times New Roman" w:hAnsi="Times New Roman"/>
          <w:b/>
          <w:bCs/>
          <w:sz w:val="24"/>
          <w:u w:val="single"/>
        </w:rPr>
      </w:pPr>
    </w:p>
    <w:p w:rsidR="00D80701" w:rsidRPr="00D80701" w:rsidRDefault="00D80701" w:rsidP="00D80701">
      <w:pPr>
        <w:widowControl/>
        <w:jc w:val="center"/>
        <w:rPr>
          <w:rFonts w:ascii="Times New Roman" w:hAnsi="Times New Roman"/>
          <w:sz w:val="24"/>
        </w:rPr>
      </w:pPr>
      <w:r w:rsidRPr="00D80701">
        <w:rPr>
          <w:rFonts w:ascii="Times New Roman" w:hAnsi="Times New Roman"/>
          <w:b/>
          <w:bCs/>
          <w:sz w:val="24"/>
          <w:u w:val="single"/>
        </w:rPr>
        <w:t>Cost of Capital</w:t>
      </w:r>
    </w:p>
    <w:p w:rsidR="00D80701" w:rsidRPr="00D80701" w:rsidRDefault="00D80701" w:rsidP="00D80701">
      <w:pPr>
        <w:widowControl/>
        <w:jc w:val="both"/>
        <w:rPr>
          <w:rFonts w:ascii="Times New Roman" w:hAnsi="Times New Roman"/>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amount of accumulated deferred taxes to include in the capital structure?</w:t>
      </w:r>
    </w:p>
    <w:p w:rsidR="00D80701" w:rsidRDefault="00D80701" w:rsidP="00D80701">
      <w:pPr>
        <w:widowControl/>
        <w:ind w:left="1440" w:hanging="1440"/>
        <w:jc w:val="both"/>
        <w:rPr>
          <w:rFonts w:ascii="Times New Roman" w:hAnsi="Times New Roman"/>
          <w:sz w:val="24"/>
          <w:u w:val="single"/>
        </w:rPr>
      </w:pPr>
    </w:p>
    <w:p w:rsidR="00285E69" w:rsidRPr="00344D31" w:rsidRDefault="00275B80" w:rsidP="00344D31">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00287685">
        <w:rPr>
          <w:rFonts w:ascii="Times New Roman" w:hAnsi="Times New Roman"/>
          <w:b/>
          <w:bCs/>
          <w:sz w:val="24"/>
        </w:rPr>
        <w:tab/>
      </w:r>
      <w:r w:rsidR="00285E69" w:rsidRPr="00344D31">
        <w:rPr>
          <w:rFonts w:ascii="Times New Roman" w:hAnsi="Times New Roman"/>
          <w:b/>
          <w:bCs/>
          <w:sz w:val="24"/>
        </w:rPr>
        <w:t xml:space="preserve">The appropriate amount of accumulated deferred income taxes should be       $240,433,000, which reflects a pro rata reduction to Gulf’s requested balance of $257,098,000. Additionally, </w:t>
      </w:r>
      <w:r w:rsidR="000B149F" w:rsidRPr="00344D31">
        <w:rPr>
          <w:rFonts w:ascii="Times New Roman" w:hAnsi="Times New Roman"/>
          <w:b/>
          <w:bCs/>
          <w:sz w:val="24"/>
        </w:rPr>
        <w:t xml:space="preserve">if a </w:t>
      </w:r>
      <w:r w:rsidR="00017949">
        <w:rPr>
          <w:rFonts w:ascii="Times New Roman" w:hAnsi="Times New Roman"/>
          <w:b/>
          <w:bCs/>
          <w:sz w:val="24"/>
        </w:rPr>
        <w:t>F</w:t>
      </w:r>
      <w:r w:rsidR="000B149F" w:rsidRPr="00344D31">
        <w:rPr>
          <w:rFonts w:ascii="Times New Roman" w:hAnsi="Times New Roman"/>
          <w:b/>
          <w:bCs/>
          <w:sz w:val="24"/>
        </w:rPr>
        <w:t xml:space="preserve">ederal act is signed into law increasing the bonus depreciation provisions for 2012 from 50% to 100% prior to the completion of hearings in this case, the impacts should be reflected in this case. </w:t>
      </w:r>
      <w:r w:rsidR="00F24FC7" w:rsidRPr="00344D31">
        <w:rPr>
          <w:rFonts w:ascii="Times New Roman" w:hAnsi="Times New Roman"/>
          <w:b/>
          <w:bCs/>
          <w:sz w:val="24"/>
        </w:rPr>
        <w:t xml:space="preserve"> </w:t>
      </w:r>
      <w:r w:rsidR="00017949">
        <w:rPr>
          <w:rFonts w:ascii="Times New Roman" w:hAnsi="Times New Roman"/>
          <w:b/>
          <w:bCs/>
          <w:sz w:val="24"/>
        </w:rPr>
        <w:t>A</w:t>
      </w:r>
      <w:r w:rsidR="009D4F05">
        <w:rPr>
          <w:rFonts w:ascii="Times New Roman" w:hAnsi="Times New Roman"/>
          <w:b/>
          <w:bCs/>
          <w:sz w:val="24"/>
        </w:rPr>
        <w:t>lso</w:t>
      </w:r>
      <w:r w:rsidR="00017949">
        <w:rPr>
          <w:rFonts w:ascii="Times New Roman" w:hAnsi="Times New Roman"/>
          <w:b/>
          <w:bCs/>
          <w:sz w:val="24"/>
        </w:rPr>
        <w:t xml:space="preserve">, if the Commission grants Gulf’s request to annualize the impacts of the Crist Units 6 and 7 turbine upgrades in rate base, which the OPC recommends against, then the resulting impact of those projects on deferred income taxes should also be annualized.  </w:t>
      </w:r>
      <w:r w:rsidR="00F24FC7" w:rsidRPr="00344D31">
        <w:rPr>
          <w:rFonts w:ascii="Times New Roman" w:hAnsi="Times New Roman"/>
          <w:b/>
          <w:bCs/>
          <w:sz w:val="24"/>
        </w:rPr>
        <w:t>(Ramas)</w:t>
      </w:r>
    </w:p>
    <w:p w:rsidR="00275B80" w:rsidRPr="00DC2D8E" w:rsidRDefault="00275B80" w:rsidP="00275B80">
      <w:pPr>
        <w:tabs>
          <w:tab w:val="left" w:pos="720"/>
        </w:tabs>
        <w:ind w:left="1440" w:hanging="1440"/>
        <w:jc w:val="both"/>
        <w:rPr>
          <w:rFonts w:ascii="Times New Roman" w:hAnsi="Times New Roman"/>
          <w:bCs/>
          <w:sz w:val="24"/>
        </w:rPr>
      </w:pPr>
    </w:p>
    <w:p w:rsidR="00275B80" w:rsidRPr="00D80701" w:rsidRDefault="00275B80" w:rsidP="00D80701">
      <w:pPr>
        <w:widowControl/>
        <w:ind w:left="1440" w:hanging="1440"/>
        <w:jc w:val="both"/>
        <w:rPr>
          <w:rFonts w:ascii="Times New Roman" w:hAnsi="Times New Roman"/>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amount and cost rate of the unamortized investment tax credits to include in the capital structure?</w:t>
      </w:r>
    </w:p>
    <w:p w:rsidR="00D80701" w:rsidRDefault="00D80701" w:rsidP="00D80701">
      <w:pPr>
        <w:widowControl/>
        <w:ind w:left="1440" w:hanging="1440"/>
        <w:jc w:val="both"/>
        <w:rPr>
          <w:rFonts w:ascii="Times New Roman" w:hAnsi="Times New Roman"/>
          <w:sz w:val="24"/>
          <w:u w:val="single"/>
        </w:rPr>
      </w:pPr>
    </w:p>
    <w:p w:rsidR="001B4A07"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1B4A07" w:rsidRPr="00344D31">
        <w:rPr>
          <w:rFonts w:ascii="Times New Roman" w:hAnsi="Times New Roman"/>
          <w:b/>
          <w:bCs/>
          <w:sz w:val="24"/>
        </w:rPr>
        <w:t xml:space="preserve">Gulf’s requested balance of ITCs should be reduced by $190,000 related to OPC’s recommended adjustments to rate base to reflect a reconciled balance of </w:t>
      </w:r>
      <w:r w:rsidR="00620F76">
        <w:rPr>
          <w:rFonts w:ascii="Times New Roman" w:hAnsi="Times New Roman"/>
          <w:b/>
          <w:bCs/>
          <w:sz w:val="24"/>
        </w:rPr>
        <w:t>$</w:t>
      </w:r>
      <w:r w:rsidR="001B4A07" w:rsidRPr="00344D31">
        <w:rPr>
          <w:rFonts w:ascii="Times New Roman" w:hAnsi="Times New Roman"/>
          <w:b/>
          <w:bCs/>
          <w:sz w:val="24"/>
        </w:rPr>
        <w:t>2,739,000. The appropriate cost rate is 5.45%.</w:t>
      </w:r>
      <w:r w:rsidR="00F24FC7" w:rsidRPr="00344D31">
        <w:rPr>
          <w:rFonts w:ascii="Times New Roman" w:hAnsi="Times New Roman"/>
          <w:b/>
          <w:bCs/>
          <w:sz w:val="24"/>
        </w:rPr>
        <w:t xml:space="preserve"> (Ramas)</w:t>
      </w:r>
    </w:p>
    <w:p w:rsidR="00275B80" w:rsidRPr="00DC2D8E" w:rsidRDefault="00275B80" w:rsidP="00275B80">
      <w:pPr>
        <w:tabs>
          <w:tab w:val="left" w:pos="720"/>
        </w:tabs>
        <w:ind w:left="1440" w:hanging="1440"/>
        <w:jc w:val="both"/>
        <w:rPr>
          <w:rFonts w:ascii="Times New Roman" w:hAnsi="Times New Roman"/>
          <w:bCs/>
          <w:sz w:val="24"/>
        </w:rPr>
      </w:pPr>
    </w:p>
    <w:p w:rsidR="00275B80" w:rsidRPr="00D80701" w:rsidRDefault="00275B80" w:rsidP="00D80701">
      <w:pPr>
        <w:widowControl/>
        <w:ind w:left="1440" w:hanging="1440"/>
        <w:jc w:val="both"/>
        <w:rPr>
          <w:rFonts w:ascii="Times New Roman" w:hAnsi="Times New Roman"/>
          <w:sz w:val="24"/>
          <w:u w:val="single"/>
        </w:rPr>
      </w:pPr>
    </w:p>
    <w:p w:rsidR="00D80701" w:rsidRPr="00D80701" w:rsidRDefault="00D80701" w:rsidP="00D80701">
      <w:pPr>
        <w:widowControl/>
        <w:ind w:left="1440" w:hanging="1440"/>
        <w:jc w:val="both"/>
        <w:rPr>
          <w:rFonts w:ascii="Times New Roman" w:hAnsi="Times New Roman"/>
          <w:sz w:val="24"/>
          <w:u w:val="single"/>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cost rate for preferred stock for the 2012 projected test year?</w:t>
      </w:r>
    </w:p>
    <w:p w:rsidR="00D80701" w:rsidRDefault="00D80701" w:rsidP="00D80701">
      <w:pPr>
        <w:widowControl/>
        <w:ind w:left="1440" w:hanging="1440"/>
        <w:jc w:val="both"/>
        <w:rPr>
          <w:rFonts w:ascii="Times New Roman" w:hAnsi="Times New Roman"/>
          <w:sz w:val="24"/>
          <w:u w:val="single"/>
        </w:rPr>
      </w:pPr>
    </w:p>
    <w:p w:rsidR="00EE3212" w:rsidRPr="00344D31" w:rsidRDefault="00275B80" w:rsidP="00EE3212">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1B4A07" w:rsidRPr="00344D31">
        <w:rPr>
          <w:rFonts w:ascii="Times New Roman" w:hAnsi="Times New Roman"/>
          <w:b/>
          <w:bCs/>
          <w:sz w:val="24"/>
        </w:rPr>
        <w:t>The appropriate cost rate for preferred stock is 6.40%</w:t>
      </w:r>
      <w:r w:rsidR="00EE3212" w:rsidRPr="00344D31">
        <w:rPr>
          <w:rFonts w:ascii="Times New Roman" w:hAnsi="Times New Roman"/>
          <w:b/>
          <w:bCs/>
          <w:sz w:val="24"/>
        </w:rPr>
        <w:t>, based on the 2011 Gulf projected rate</w:t>
      </w:r>
      <w:r w:rsidR="001B4A07" w:rsidRPr="00344D31">
        <w:rPr>
          <w:rFonts w:ascii="Times New Roman" w:hAnsi="Times New Roman"/>
          <w:b/>
          <w:bCs/>
          <w:sz w:val="24"/>
        </w:rPr>
        <w:t>.</w:t>
      </w:r>
      <w:r w:rsidR="00EE3212" w:rsidRPr="00344D31">
        <w:rPr>
          <w:rFonts w:ascii="Times New Roman" w:hAnsi="Times New Roman"/>
          <w:b/>
          <w:bCs/>
          <w:sz w:val="24"/>
        </w:rPr>
        <w:t xml:space="preserve">  The 2012 senior capital cost rates were developed by Gulf in September of 2010 and are based on projected short-term and long-term interest rates that are well in excess of the interest rates in the market today. </w:t>
      </w:r>
      <w:r w:rsidR="00F24FC7" w:rsidRPr="00344D31">
        <w:rPr>
          <w:rFonts w:ascii="Times New Roman" w:hAnsi="Times New Roman"/>
          <w:b/>
          <w:bCs/>
          <w:sz w:val="24"/>
        </w:rPr>
        <w:t>(Woolridge)</w:t>
      </w:r>
    </w:p>
    <w:p w:rsidR="00EE3212" w:rsidRPr="00344D31" w:rsidRDefault="00EE3212" w:rsidP="00EE3212">
      <w:pPr>
        <w:tabs>
          <w:tab w:val="left" w:pos="720"/>
        </w:tabs>
        <w:ind w:left="1440" w:hanging="1440"/>
        <w:jc w:val="both"/>
        <w:rPr>
          <w:rFonts w:ascii="Times New Roman" w:hAnsi="Times New Roman"/>
          <w:b/>
          <w:bCs/>
          <w:sz w:val="24"/>
        </w:rPr>
      </w:pPr>
    </w:p>
    <w:p w:rsidR="00275B80" w:rsidRPr="00DC2D8E" w:rsidRDefault="00275B80" w:rsidP="00275B80">
      <w:pPr>
        <w:tabs>
          <w:tab w:val="left" w:pos="720"/>
        </w:tabs>
        <w:spacing w:line="360" w:lineRule="auto"/>
        <w:ind w:left="1440" w:hanging="1440"/>
        <w:jc w:val="both"/>
        <w:rPr>
          <w:rFonts w:ascii="Times New Roman" w:hAnsi="Times New Roman"/>
          <w:bCs/>
          <w:sz w:val="24"/>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cost rate for short-term debt for the 2012 projected test year?</w:t>
      </w:r>
    </w:p>
    <w:p w:rsidR="00D80701" w:rsidRDefault="00D80701"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1B4A07" w:rsidRPr="00344D31">
        <w:rPr>
          <w:rFonts w:ascii="Times New Roman" w:hAnsi="Times New Roman"/>
          <w:b/>
          <w:bCs/>
          <w:sz w:val="24"/>
        </w:rPr>
        <w:t>The appropriate cost rate for short-term debt is 0.35%</w:t>
      </w:r>
      <w:r w:rsidR="00EE3212" w:rsidRPr="00344D31">
        <w:rPr>
          <w:rFonts w:ascii="Times New Roman" w:hAnsi="Times New Roman"/>
          <w:b/>
          <w:bCs/>
          <w:sz w:val="24"/>
        </w:rPr>
        <w:t xml:space="preserve"> based on the 2011 Gulf projected rate.  The 2012 senior capital cost rates were developed by Gulf in September of 2010 and are based on projected short-term and long-term interest rates that are well in excess of the interest rates in the market today.</w:t>
      </w:r>
      <w:r w:rsidR="00F24FC7" w:rsidRPr="00344D31">
        <w:rPr>
          <w:rFonts w:ascii="Times New Roman" w:hAnsi="Times New Roman"/>
          <w:b/>
          <w:bCs/>
          <w:sz w:val="24"/>
        </w:rPr>
        <w:t xml:space="preserve"> (Woolridge)</w:t>
      </w:r>
    </w:p>
    <w:p w:rsidR="00275B80" w:rsidRPr="00D80701" w:rsidRDefault="00275B80" w:rsidP="00D80701">
      <w:pPr>
        <w:widowControl/>
        <w:tabs>
          <w:tab w:val="left" w:pos="-1440"/>
        </w:tabs>
        <w:ind w:left="1440" w:hanging="1440"/>
        <w:jc w:val="both"/>
        <w:rPr>
          <w:rFonts w:ascii="Times New Roman" w:hAnsi="Times New Roman"/>
          <w:sz w:val="24"/>
        </w:rPr>
      </w:pPr>
    </w:p>
    <w:p w:rsidR="00331BD4" w:rsidRDefault="00331BD4" w:rsidP="00D80701">
      <w:pPr>
        <w:widowControl/>
        <w:ind w:left="1440" w:hanging="1440"/>
        <w:jc w:val="both"/>
        <w:rPr>
          <w:rFonts w:ascii="Times New Roman" w:hAnsi="Times New Roman"/>
          <w:b/>
          <w:sz w:val="24"/>
          <w:u w:val="single"/>
        </w:rPr>
      </w:pPr>
    </w:p>
    <w:p w:rsid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cost rate for long-term debt for the 2012 projected test year?</w:t>
      </w:r>
    </w:p>
    <w:p w:rsidR="00EE3212" w:rsidRPr="00D80701" w:rsidRDefault="00EE3212" w:rsidP="00D80701">
      <w:pPr>
        <w:widowControl/>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1B4A07" w:rsidRPr="00344D31">
        <w:rPr>
          <w:rFonts w:ascii="Times New Roman" w:hAnsi="Times New Roman"/>
          <w:b/>
          <w:bCs/>
          <w:sz w:val="24"/>
        </w:rPr>
        <w:t>The appropriate cost rate for long-term debt is 4.98%</w:t>
      </w:r>
      <w:r w:rsidR="00EE3212" w:rsidRPr="00344D31">
        <w:rPr>
          <w:rFonts w:ascii="Times New Roman" w:hAnsi="Times New Roman"/>
          <w:b/>
          <w:bCs/>
          <w:sz w:val="24"/>
        </w:rPr>
        <w:t xml:space="preserve"> based on the 2011 Gulf projected rate, with an adjustment to reflect the actual yield on bonds issued in May 2011 at 5.75%, instead of the estimated yield of 6.50% for a projected bond issue in April 2011.  The projected 2012 senior capital cost rates were developed by Gulf in September of 2010 and are based on projected short-term and long-term interest rates that are well in excess of the interest rates in the market today.</w:t>
      </w:r>
      <w:r w:rsidR="00F24FC7" w:rsidRPr="00344D31">
        <w:rPr>
          <w:rFonts w:ascii="Times New Roman" w:hAnsi="Times New Roman"/>
          <w:b/>
          <w:bCs/>
          <w:sz w:val="24"/>
        </w:rPr>
        <w:t xml:space="preserve"> (Woolridge)</w:t>
      </w:r>
    </w:p>
    <w:p w:rsidR="00D80701" w:rsidRPr="00344D31" w:rsidRDefault="00D80701" w:rsidP="00344D31">
      <w:pPr>
        <w:tabs>
          <w:tab w:val="left" w:pos="720"/>
        </w:tabs>
        <w:ind w:left="1440" w:hanging="1440"/>
        <w:jc w:val="both"/>
        <w:rPr>
          <w:rFonts w:ascii="Times New Roman" w:hAnsi="Times New Roman"/>
          <w:b/>
          <w:bCs/>
          <w:sz w:val="24"/>
        </w:rPr>
      </w:pPr>
    </w:p>
    <w:p w:rsidR="00331BD4" w:rsidRDefault="00331BD4" w:rsidP="00D80701">
      <w:pPr>
        <w:widowControl/>
        <w:ind w:left="1440" w:hanging="1440"/>
        <w:jc w:val="both"/>
        <w:rPr>
          <w:rFonts w:ascii="Times New Roman" w:hAnsi="Times New Roman"/>
          <w:b/>
          <w:sz w:val="24"/>
          <w:u w:val="single"/>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return on equity (ROE) to use in establishing Gulf</w:t>
      </w:r>
      <w:r w:rsidRPr="00D80701">
        <w:rPr>
          <w:rFonts w:ascii="Times New Roman" w:hAnsi="Times New Roman"/>
          <w:sz w:val="24"/>
        </w:rPr>
        <w:sym w:font="WP TypographicSymbols" w:char="003D"/>
      </w:r>
      <w:r w:rsidRPr="00D80701">
        <w:rPr>
          <w:rFonts w:ascii="Times New Roman" w:hAnsi="Times New Roman"/>
          <w:sz w:val="24"/>
        </w:rPr>
        <w:t>s revenue requirement?</w:t>
      </w:r>
    </w:p>
    <w:p w:rsidR="00D80701" w:rsidRDefault="00D80701" w:rsidP="00D80701">
      <w:pPr>
        <w:widowControl/>
        <w:ind w:left="1440" w:hanging="1440"/>
        <w:jc w:val="both"/>
        <w:rPr>
          <w:rFonts w:ascii="Times New Roman" w:hAnsi="Times New Roman"/>
          <w:sz w:val="24"/>
          <w:u w:val="single"/>
        </w:rPr>
      </w:pPr>
    </w:p>
    <w:p w:rsidR="00DA4A46" w:rsidRPr="00344D31" w:rsidRDefault="00275B80" w:rsidP="00DA4A4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331BD4">
        <w:rPr>
          <w:rFonts w:ascii="Times New Roman" w:hAnsi="Times New Roman"/>
          <w:b/>
          <w:bCs/>
          <w:sz w:val="24"/>
        </w:rPr>
        <w:t>Based on OPC expert witness Dr. Woolridge’s analyses, in which he employed the</w:t>
      </w:r>
      <w:r w:rsidR="00331BD4" w:rsidRPr="00344D31">
        <w:rPr>
          <w:rFonts w:ascii="Times New Roman" w:hAnsi="Times New Roman"/>
          <w:b/>
          <w:bCs/>
          <w:sz w:val="24"/>
        </w:rPr>
        <w:t xml:space="preserve"> Discounted Cash Flow Model (“DCF”) and the Capital Asset Pricing Model (“CAPM”)</w:t>
      </w:r>
      <w:r w:rsidR="00331BD4">
        <w:rPr>
          <w:rFonts w:ascii="Times New Roman" w:hAnsi="Times New Roman"/>
          <w:b/>
          <w:bCs/>
          <w:sz w:val="24"/>
        </w:rPr>
        <w:t>,</w:t>
      </w:r>
      <w:r w:rsidR="00331BD4" w:rsidRPr="00344D31">
        <w:rPr>
          <w:rFonts w:ascii="Times New Roman" w:hAnsi="Times New Roman"/>
          <w:b/>
          <w:bCs/>
          <w:sz w:val="24"/>
        </w:rPr>
        <w:t xml:space="preserve"> the appropriate ROE </w:t>
      </w:r>
      <w:r w:rsidR="00331BD4">
        <w:rPr>
          <w:rFonts w:ascii="Times New Roman" w:hAnsi="Times New Roman"/>
          <w:b/>
          <w:bCs/>
          <w:sz w:val="24"/>
        </w:rPr>
        <w:t xml:space="preserve">for Gulf Power </w:t>
      </w:r>
      <w:r w:rsidR="00331BD4" w:rsidRPr="00344D31">
        <w:rPr>
          <w:rFonts w:ascii="Times New Roman" w:hAnsi="Times New Roman"/>
          <w:b/>
          <w:bCs/>
          <w:sz w:val="24"/>
        </w:rPr>
        <w:t xml:space="preserve">is 9.25%.  </w:t>
      </w:r>
      <w:r w:rsidR="00331BD4">
        <w:rPr>
          <w:rFonts w:ascii="Times New Roman" w:hAnsi="Times New Roman"/>
          <w:b/>
          <w:bCs/>
          <w:sz w:val="24"/>
        </w:rPr>
        <w:t>Gulf Power’s request of 11.7% is overstated for reasons developed in Dr. Woolridge’s testimony.</w:t>
      </w:r>
      <w:r w:rsidR="00331BD4" w:rsidRPr="00344D31" w:rsidDel="00C45C29">
        <w:rPr>
          <w:rFonts w:ascii="Times New Roman" w:hAnsi="Times New Roman"/>
          <w:b/>
          <w:bCs/>
          <w:sz w:val="24"/>
        </w:rPr>
        <w:t xml:space="preserve"> </w:t>
      </w:r>
      <w:r w:rsidR="00F24FC7" w:rsidRPr="00344D31">
        <w:rPr>
          <w:rFonts w:ascii="Times New Roman" w:hAnsi="Times New Roman"/>
          <w:b/>
          <w:bCs/>
          <w:sz w:val="24"/>
        </w:rPr>
        <w:t xml:space="preserve"> (Woolridge)</w:t>
      </w:r>
    </w:p>
    <w:p w:rsidR="00DA4A46" w:rsidRPr="00DA4A46" w:rsidRDefault="00DA4A46" w:rsidP="00DA4A46">
      <w:pPr>
        <w:tabs>
          <w:tab w:val="left" w:pos="720"/>
        </w:tabs>
        <w:ind w:left="1440" w:hanging="1440"/>
        <w:jc w:val="both"/>
        <w:rPr>
          <w:rFonts w:ascii="Times New Roman" w:hAnsi="Times New Roman"/>
          <w:bCs/>
          <w:sz w:val="24"/>
        </w:rPr>
      </w:pPr>
    </w:p>
    <w:p w:rsidR="00275B80" w:rsidRPr="00D80701" w:rsidRDefault="00275B80" w:rsidP="00D80701">
      <w:pPr>
        <w:widowControl/>
        <w:ind w:left="1440" w:hanging="1440"/>
        <w:jc w:val="both"/>
        <w:rPr>
          <w:rFonts w:ascii="Times New Roman" w:hAnsi="Times New Roman"/>
          <w:sz w:val="24"/>
          <w:u w:val="single"/>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weighted average cost of capital including the proper components, amounts and cost rates associated with the capital structure?</w:t>
      </w:r>
    </w:p>
    <w:p w:rsidR="00D80701" w:rsidRPr="00D80701" w:rsidRDefault="00D80701" w:rsidP="00D80701">
      <w:pPr>
        <w:widowControl/>
        <w:ind w:left="1440" w:hanging="1440"/>
        <w:jc w:val="both"/>
        <w:rPr>
          <w:rFonts w:ascii="Times New Roman" w:hAnsi="Times New Roman"/>
          <w:sz w:val="24"/>
        </w:rPr>
      </w:pPr>
    </w:p>
    <w:p w:rsidR="00275B80"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E20493" w:rsidRPr="00344D31">
        <w:rPr>
          <w:rFonts w:ascii="Times New Roman" w:hAnsi="Times New Roman"/>
          <w:b/>
          <w:bCs/>
          <w:sz w:val="24"/>
        </w:rPr>
        <w:t>Using Gulf’s proposed capital structure ratios, and after adjustments for the rates for short-term and long-term debt, preferred stock and the appropriate ROE, t</w:t>
      </w:r>
      <w:r w:rsidR="001B4A07" w:rsidRPr="00344D31">
        <w:rPr>
          <w:rFonts w:ascii="Times New Roman" w:hAnsi="Times New Roman"/>
          <w:b/>
          <w:bCs/>
          <w:sz w:val="24"/>
        </w:rPr>
        <w:t>he appropriate weighted average cost of capital is 5.89%.</w:t>
      </w:r>
      <w:r w:rsidR="00F24FC7" w:rsidRPr="00344D31">
        <w:rPr>
          <w:rFonts w:ascii="Times New Roman" w:hAnsi="Times New Roman"/>
          <w:b/>
          <w:bCs/>
          <w:sz w:val="24"/>
        </w:rPr>
        <w:t xml:space="preserve"> (Woolridge)</w:t>
      </w:r>
    </w:p>
    <w:p w:rsidR="00331BD4" w:rsidRDefault="00331BD4" w:rsidP="00275B80">
      <w:pPr>
        <w:tabs>
          <w:tab w:val="left" w:pos="720"/>
        </w:tabs>
        <w:ind w:left="1440" w:hanging="1440"/>
        <w:jc w:val="both"/>
        <w:rPr>
          <w:rFonts w:ascii="Times New Roman" w:hAnsi="Times New Roman"/>
          <w:b/>
          <w:bCs/>
          <w:sz w:val="24"/>
        </w:rPr>
      </w:pPr>
    </w:p>
    <w:p w:rsidR="00331BD4" w:rsidRDefault="00331BD4" w:rsidP="00275B80">
      <w:pPr>
        <w:tabs>
          <w:tab w:val="left" w:pos="720"/>
        </w:tabs>
        <w:ind w:left="1440" w:hanging="1440"/>
        <w:jc w:val="both"/>
        <w:rPr>
          <w:rFonts w:ascii="Times New Roman" w:hAnsi="Times New Roman"/>
          <w:b/>
          <w:bCs/>
          <w:sz w:val="24"/>
        </w:rPr>
      </w:pPr>
    </w:p>
    <w:p w:rsidR="00331BD4" w:rsidRPr="00344D31" w:rsidRDefault="00331BD4" w:rsidP="00275B80">
      <w:pPr>
        <w:tabs>
          <w:tab w:val="left" w:pos="720"/>
        </w:tabs>
        <w:ind w:left="1440" w:hanging="1440"/>
        <w:jc w:val="both"/>
        <w:rPr>
          <w:rFonts w:ascii="Times New Roman" w:hAnsi="Times New Roman"/>
          <w:b/>
          <w:bCs/>
          <w:sz w:val="24"/>
        </w:rPr>
      </w:pPr>
    </w:p>
    <w:p w:rsidR="00D80701" w:rsidRPr="00D80701" w:rsidRDefault="00D80701" w:rsidP="00D80701">
      <w:pPr>
        <w:widowControl/>
        <w:jc w:val="center"/>
        <w:rPr>
          <w:rFonts w:ascii="Times New Roman" w:hAnsi="Times New Roman"/>
          <w:b/>
          <w:bCs/>
          <w:sz w:val="24"/>
          <w:u w:val="single"/>
        </w:rPr>
      </w:pPr>
      <w:r w:rsidRPr="00D80701">
        <w:rPr>
          <w:rFonts w:ascii="Times New Roman" w:hAnsi="Times New Roman"/>
          <w:b/>
          <w:bCs/>
          <w:sz w:val="24"/>
          <w:u w:val="single"/>
        </w:rPr>
        <w:t>Net Operating Income</w:t>
      </w:r>
    </w:p>
    <w:p w:rsidR="00D80701" w:rsidRPr="00D80701" w:rsidRDefault="00D80701" w:rsidP="00D80701">
      <w:pPr>
        <w:widowControl/>
        <w:jc w:val="center"/>
        <w:rPr>
          <w:rFonts w:ascii="Times New Roman" w:hAnsi="Times New Roman"/>
          <w:b/>
          <w:bCs/>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39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 compensated adequately by the non-regulated affiliates for the benefits they derive from their association with Gulf Power?  If not, what measures should the Commission implement?  </w:t>
      </w:r>
    </w:p>
    <w:p w:rsidR="00D80701" w:rsidRDefault="00D80701"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No.</w:t>
      </w:r>
      <w:r w:rsidRPr="00344D31">
        <w:rPr>
          <w:rFonts w:ascii="Times New Roman" w:hAnsi="Times New Roman"/>
          <w:b/>
          <w:bCs/>
          <w:sz w:val="24"/>
        </w:rPr>
        <w:t xml:space="preserve"> </w:t>
      </w:r>
      <w:r w:rsidR="003C2E60" w:rsidRPr="00344D31">
        <w:rPr>
          <w:rFonts w:ascii="Times New Roman" w:hAnsi="Times New Roman"/>
          <w:b/>
          <w:bCs/>
          <w:sz w:val="24"/>
        </w:rPr>
        <w:t>The non-regulated companies receive significant intangible benefits that the regulated operating companies developed over the years and have provided to the non-regulated companies at no cost simply by their close affiliation and association. An adjustment should be made to compensate the regulated operating companies as discussed in Issue 40.</w:t>
      </w:r>
      <w:r w:rsidR="00F24FC7" w:rsidRPr="00344D31">
        <w:rPr>
          <w:rFonts w:ascii="Times New Roman" w:hAnsi="Times New Roman"/>
          <w:b/>
          <w:bCs/>
          <w:sz w:val="24"/>
        </w:rPr>
        <w:t xml:space="preserve"> (Dismukes)</w:t>
      </w:r>
    </w:p>
    <w:p w:rsidR="00275B80" w:rsidRPr="00344D31" w:rsidRDefault="00275B80" w:rsidP="00344D31">
      <w:pPr>
        <w:tabs>
          <w:tab w:val="left" w:pos="720"/>
        </w:tabs>
        <w:ind w:left="1440" w:hanging="1440"/>
        <w:jc w:val="both"/>
        <w:rPr>
          <w:rFonts w:ascii="Times New Roman" w:hAnsi="Times New Roman"/>
          <w:b/>
          <w:bCs/>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b/>
          <w:sz w:val="24"/>
          <w:u w:val="single"/>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40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an adjustment be made to increase operating revenues by $1,500,000 for a 2 percent compensation payment from non-regulated companies?</w:t>
      </w:r>
    </w:p>
    <w:p w:rsidR="00D80701" w:rsidRDefault="00D80701" w:rsidP="00D80701">
      <w:pPr>
        <w:widowControl/>
        <w:tabs>
          <w:tab w:val="left" w:pos="-1440"/>
        </w:tabs>
        <w:ind w:left="1440" w:hanging="1440"/>
        <w:jc w:val="both"/>
        <w:rPr>
          <w:rFonts w:ascii="Times New Roman" w:hAnsi="Times New Roman"/>
          <w:sz w:val="24"/>
          <w:u w:val="single"/>
        </w:rPr>
      </w:pPr>
    </w:p>
    <w:p w:rsidR="003C2E60" w:rsidRPr="00344D31" w:rsidRDefault="00275B80" w:rsidP="003C2E6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3C2E60" w:rsidRPr="00344D31">
        <w:rPr>
          <w:rFonts w:ascii="Times New Roman" w:hAnsi="Times New Roman"/>
          <w:b/>
          <w:bCs/>
          <w:sz w:val="24"/>
        </w:rPr>
        <w:t xml:space="preserve">The Commission should assess a 2% compensation payment on the revenue earned by the non-regulated companies, which should be allocated to the regulated companies on the basis of the amount of revenues earned by the non-regulated companies. A 2% compensation payment assessed against the non-regulated revenue </w:t>
      </w:r>
      <w:r w:rsidR="00E37D52" w:rsidRPr="00344D31">
        <w:rPr>
          <w:rFonts w:ascii="Times New Roman" w:hAnsi="Times New Roman"/>
          <w:b/>
          <w:bCs/>
          <w:sz w:val="24"/>
        </w:rPr>
        <w:t xml:space="preserve">of several affiliates </w:t>
      </w:r>
      <w:r w:rsidR="003C2E60" w:rsidRPr="00344D31">
        <w:rPr>
          <w:rFonts w:ascii="Times New Roman" w:hAnsi="Times New Roman"/>
          <w:b/>
          <w:bCs/>
          <w:sz w:val="24"/>
        </w:rPr>
        <w:t>would result in an increase to Gulf’s test year revenue of $1.5 million.</w:t>
      </w:r>
      <w:r w:rsidR="00F24FC7" w:rsidRPr="00344D31">
        <w:rPr>
          <w:rFonts w:ascii="Times New Roman" w:hAnsi="Times New Roman"/>
          <w:b/>
          <w:bCs/>
          <w:sz w:val="24"/>
        </w:rPr>
        <w:t xml:space="preserve"> (Dismukes)</w:t>
      </w:r>
    </w:p>
    <w:p w:rsidR="00275B80" w:rsidRPr="00D80701" w:rsidRDefault="00275B80" w:rsidP="00D80701">
      <w:pPr>
        <w:widowControl/>
        <w:tabs>
          <w:tab w:val="left" w:pos="-1440"/>
        </w:tabs>
        <w:ind w:left="1440" w:hanging="1440"/>
        <w:jc w:val="both"/>
        <w:rPr>
          <w:rFonts w:ascii="Times New Roman" w:hAnsi="Times New Roman"/>
          <w:sz w:val="24"/>
          <w:u w:val="single"/>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u w:val="single"/>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41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an adjustment be made to increase test year revenue for Gulf’s non-utility activities?</w:t>
      </w:r>
    </w:p>
    <w:p w:rsidR="00D80701" w:rsidRDefault="00D80701" w:rsidP="00D80701">
      <w:pPr>
        <w:widowControl/>
        <w:tabs>
          <w:tab w:val="left" w:pos="-1440"/>
        </w:tabs>
        <w:ind w:left="1440" w:hanging="1440"/>
        <w:jc w:val="both"/>
        <w:rPr>
          <w:rFonts w:ascii="Times New Roman" w:hAnsi="Times New Roman"/>
          <w:sz w:val="24"/>
          <w:u w:val="single"/>
        </w:rPr>
      </w:pPr>
    </w:p>
    <w:p w:rsidR="003C2E60" w:rsidRDefault="00275B80" w:rsidP="003C2E6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3C2E60" w:rsidRPr="00344D31">
        <w:rPr>
          <w:rFonts w:ascii="Times New Roman" w:hAnsi="Times New Roman"/>
          <w:b/>
          <w:bCs/>
          <w:sz w:val="24"/>
        </w:rPr>
        <w:t xml:space="preserve">Gulf is able to earn an excessive rate of return from non-regulated products and services (Premium Surge, Commercial Surge, and AllConnect) </w:t>
      </w:r>
      <w:r w:rsidR="009D4F05">
        <w:rPr>
          <w:rFonts w:ascii="Times New Roman" w:hAnsi="Times New Roman"/>
          <w:b/>
          <w:bCs/>
          <w:sz w:val="24"/>
        </w:rPr>
        <w:t xml:space="preserve">all of </w:t>
      </w:r>
      <w:r w:rsidR="003C2E60" w:rsidRPr="00344D31">
        <w:rPr>
          <w:rFonts w:ascii="Times New Roman" w:hAnsi="Times New Roman"/>
          <w:b/>
          <w:bCs/>
          <w:sz w:val="24"/>
        </w:rPr>
        <w:t xml:space="preserve">which </w:t>
      </w:r>
      <w:r w:rsidR="009D4F05">
        <w:rPr>
          <w:rFonts w:ascii="Times New Roman" w:hAnsi="Times New Roman"/>
          <w:b/>
          <w:bCs/>
          <w:sz w:val="24"/>
        </w:rPr>
        <w:t>stem from</w:t>
      </w:r>
      <w:r w:rsidR="003C2E60" w:rsidRPr="00344D31">
        <w:rPr>
          <w:rFonts w:ascii="Times New Roman" w:hAnsi="Times New Roman"/>
          <w:b/>
          <w:bCs/>
          <w:sz w:val="24"/>
        </w:rPr>
        <w:t xml:space="preserve"> the regulated electric operations</w:t>
      </w:r>
      <w:r w:rsidR="009D4F05">
        <w:rPr>
          <w:rFonts w:ascii="Times New Roman" w:hAnsi="Times New Roman"/>
          <w:b/>
          <w:bCs/>
          <w:sz w:val="24"/>
        </w:rPr>
        <w:t>,</w:t>
      </w:r>
      <w:r w:rsidR="003C2E60" w:rsidRPr="00344D31">
        <w:rPr>
          <w:rFonts w:ascii="Times New Roman" w:hAnsi="Times New Roman"/>
          <w:b/>
          <w:bCs/>
          <w:sz w:val="24"/>
        </w:rPr>
        <w:t xml:space="preserve"> without an extraordinary effort from Gulf’s non-regulated operations.  These non-utility operations could not be offered without the close association with and good will of Gulf’s regulated electric utility. Revenues </w:t>
      </w:r>
      <w:r w:rsidR="00331BD4">
        <w:rPr>
          <w:rFonts w:ascii="Times New Roman" w:hAnsi="Times New Roman"/>
          <w:b/>
          <w:bCs/>
          <w:sz w:val="24"/>
        </w:rPr>
        <w:t xml:space="preserve">of $572,000 </w:t>
      </w:r>
      <w:r w:rsidR="003C2E60" w:rsidRPr="00344D31">
        <w:rPr>
          <w:rFonts w:ascii="Times New Roman" w:hAnsi="Times New Roman"/>
          <w:b/>
          <w:bCs/>
          <w:sz w:val="24"/>
        </w:rPr>
        <w:t xml:space="preserve">should be moved above-the-line because Gulf has failed to demonstrate that Gulf has been compensated for the use of its reputation, goodwill, logo, and trained personnel. </w:t>
      </w:r>
      <w:r w:rsidR="00331BD4">
        <w:rPr>
          <w:rFonts w:ascii="Times New Roman" w:hAnsi="Times New Roman"/>
          <w:b/>
          <w:bCs/>
          <w:sz w:val="24"/>
        </w:rPr>
        <w:t xml:space="preserve"> A</w:t>
      </w:r>
      <w:r w:rsidR="003C2E60" w:rsidRPr="00344D31">
        <w:rPr>
          <w:rFonts w:ascii="Times New Roman" w:hAnsi="Times New Roman"/>
          <w:b/>
          <w:bCs/>
          <w:sz w:val="24"/>
        </w:rPr>
        <w:t>lternative</w:t>
      </w:r>
      <w:r w:rsidR="00331BD4">
        <w:rPr>
          <w:rFonts w:ascii="Times New Roman" w:hAnsi="Times New Roman"/>
          <w:b/>
          <w:bCs/>
          <w:sz w:val="24"/>
        </w:rPr>
        <w:t>ly</w:t>
      </w:r>
      <w:r w:rsidR="003C2E60" w:rsidRPr="00344D31">
        <w:rPr>
          <w:rFonts w:ascii="Times New Roman" w:hAnsi="Times New Roman"/>
          <w:b/>
          <w:bCs/>
          <w:sz w:val="24"/>
        </w:rPr>
        <w:t xml:space="preserve">, the Commission could require that the non-regulated operations provide Gulf a compensation payment of at least 2% of annual revenue. OPC also recommends that Gulf should be ordered to conduct a thorough examination of these operations and develop appropriate cost allocation procedures for non-regulated operations, which can then be examined/audited by the Commission in Gulf’s next rate proceeding. </w:t>
      </w:r>
      <w:r w:rsidR="00F24FC7" w:rsidRPr="00344D31">
        <w:rPr>
          <w:rFonts w:ascii="Times New Roman" w:hAnsi="Times New Roman"/>
          <w:b/>
          <w:bCs/>
          <w:sz w:val="24"/>
        </w:rPr>
        <w:t xml:space="preserve"> (Dismukes)</w:t>
      </w:r>
    </w:p>
    <w:p w:rsidR="00331BD4" w:rsidRDefault="00331BD4" w:rsidP="003C2E60">
      <w:pPr>
        <w:tabs>
          <w:tab w:val="left" w:pos="720"/>
        </w:tabs>
        <w:ind w:left="1440" w:hanging="1440"/>
        <w:jc w:val="both"/>
        <w:rPr>
          <w:rFonts w:ascii="Times New Roman" w:hAnsi="Times New Roman"/>
          <w:b/>
          <w:bCs/>
          <w:sz w:val="24"/>
        </w:rPr>
      </w:pPr>
    </w:p>
    <w:p w:rsidR="00331BD4" w:rsidRPr="00344D31" w:rsidRDefault="00331BD4" w:rsidP="003C2E60">
      <w:pPr>
        <w:tabs>
          <w:tab w:val="left" w:pos="720"/>
        </w:tabs>
        <w:ind w:left="1440" w:hanging="1440"/>
        <w:jc w:val="both"/>
        <w:rPr>
          <w:rFonts w:ascii="Times New Roman" w:hAnsi="Times New Roman"/>
          <w:b/>
          <w:bCs/>
          <w:sz w:val="24"/>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42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projected level of Total Operating Revenues in the amount of $481,909,000 ($499,311,000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D80701" w:rsidRDefault="00D80701" w:rsidP="00D80701">
      <w:pPr>
        <w:widowControl/>
        <w:ind w:left="1440" w:hanging="1440"/>
        <w:jc w:val="both"/>
        <w:rPr>
          <w:rFonts w:ascii="Times New Roman" w:hAnsi="Times New Roman"/>
          <w:sz w:val="24"/>
        </w:rPr>
      </w:pPr>
    </w:p>
    <w:p w:rsidR="00275B80" w:rsidRPr="00344D31" w:rsidRDefault="00275B80" w:rsidP="003C2E6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 xml:space="preserve">No. The appropriate amount of operating revenues is $484,019,000 (jurisdictional). </w:t>
      </w:r>
      <w:r w:rsidRPr="00344D31">
        <w:rPr>
          <w:rFonts w:ascii="Times New Roman" w:hAnsi="Times New Roman"/>
          <w:b/>
          <w:bCs/>
          <w:sz w:val="24"/>
        </w:rPr>
        <w:t xml:space="preserve"> </w:t>
      </w:r>
      <w:r w:rsidR="003C2E60" w:rsidRPr="00344D31">
        <w:rPr>
          <w:rFonts w:ascii="Times New Roman" w:hAnsi="Times New Roman"/>
          <w:b/>
          <w:bCs/>
          <w:sz w:val="24"/>
        </w:rPr>
        <w:t xml:space="preserve">This reflects an increase to test year revenues of $2,110,000 for the 2% compensation payment on the revenue earned by the non-regulated companies </w:t>
      </w:r>
      <w:r w:rsidR="00E37D52" w:rsidRPr="00344D31">
        <w:rPr>
          <w:rFonts w:ascii="Times New Roman" w:hAnsi="Times New Roman"/>
          <w:b/>
          <w:bCs/>
          <w:sz w:val="24"/>
        </w:rPr>
        <w:t>and the imputed revenue for n</w:t>
      </w:r>
      <w:r w:rsidR="003C2E60" w:rsidRPr="00344D31">
        <w:rPr>
          <w:rFonts w:ascii="Times New Roman" w:hAnsi="Times New Roman"/>
          <w:b/>
          <w:bCs/>
          <w:sz w:val="24"/>
        </w:rPr>
        <w:t>on-</w:t>
      </w:r>
      <w:r w:rsidR="00E37D52" w:rsidRPr="00344D31">
        <w:rPr>
          <w:rFonts w:ascii="Times New Roman" w:hAnsi="Times New Roman"/>
          <w:b/>
          <w:bCs/>
          <w:sz w:val="24"/>
        </w:rPr>
        <w:t>r</w:t>
      </w:r>
      <w:r w:rsidR="003C2E60" w:rsidRPr="00344D31">
        <w:rPr>
          <w:rFonts w:ascii="Times New Roman" w:hAnsi="Times New Roman"/>
          <w:b/>
          <w:bCs/>
          <w:sz w:val="24"/>
        </w:rPr>
        <w:t xml:space="preserve">egulated </w:t>
      </w:r>
      <w:r w:rsidR="00E37D52" w:rsidRPr="00344D31">
        <w:rPr>
          <w:rFonts w:ascii="Times New Roman" w:hAnsi="Times New Roman"/>
          <w:b/>
          <w:bCs/>
          <w:sz w:val="24"/>
        </w:rPr>
        <w:t>services and products.</w:t>
      </w:r>
      <w:r w:rsidR="00F24FC7" w:rsidRPr="00344D31">
        <w:rPr>
          <w:rFonts w:ascii="Times New Roman" w:hAnsi="Times New Roman"/>
          <w:b/>
          <w:bCs/>
          <w:sz w:val="24"/>
        </w:rPr>
        <w:t xml:space="preserve"> (</w:t>
      </w:r>
      <w:r w:rsidR="00017949">
        <w:rPr>
          <w:rFonts w:ascii="Times New Roman" w:hAnsi="Times New Roman"/>
          <w:b/>
          <w:bCs/>
          <w:sz w:val="24"/>
        </w:rPr>
        <w:t>Dismukes</w:t>
      </w:r>
      <w:r w:rsidR="00F24FC7" w:rsidRPr="00344D31">
        <w:rPr>
          <w:rFonts w:ascii="Times New Roman" w:hAnsi="Times New Roman"/>
          <w:b/>
          <w:bCs/>
          <w:sz w:val="24"/>
        </w:rPr>
        <w:t>)</w:t>
      </w:r>
    </w:p>
    <w:p w:rsidR="00275B80" w:rsidRPr="00D80701" w:rsidRDefault="00275B80" w:rsidP="00D80701">
      <w:pPr>
        <w:widowControl/>
        <w:ind w:left="1440" w:hanging="1440"/>
        <w:jc w:val="both"/>
        <w:rPr>
          <w:rFonts w:ascii="Times New Roman" w:hAnsi="Times New Roman"/>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43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test year adjustments to remove fuel revenues and fuel expenses recoverable through the Fuel Adjustment Clause? </w:t>
      </w:r>
    </w:p>
    <w:p w:rsidR="00EC0E3E" w:rsidRPr="00D80701" w:rsidRDefault="00EC0E3E"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 xml:space="preserve">No position. </w:t>
      </w:r>
      <w:r w:rsidRPr="00344D31">
        <w:rPr>
          <w:rFonts w:ascii="Times New Roman" w:hAnsi="Times New Roman"/>
          <w:b/>
          <w:bCs/>
          <w:sz w:val="24"/>
        </w:rPr>
        <w:t xml:space="preserve"> </w:t>
      </w:r>
    </w:p>
    <w:p w:rsidR="00D80701" w:rsidRDefault="00D80701" w:rsidP="00D80701">
      <w:pPr>
        <w:widowControl/>
        <w:ind w:left="1440" w:hanging="1440"/>
        <w:jc w:val="both"/>
        <w:rPr>
          <w:rFonts w:ascii="Times New Roman" w:hAnsi="Times New Roman"/>
          <w:sz w:val="24"/>
        </w:rPr>
      </w:pPr>
    </w:p>
    <w:p w:rsidR="00275B80" w:rsidRPr="00D80701" w:rsidRDefault="00275B80" w:rsidP="00D80701">
      <w:pPr>
        <w:widowControl/>
        <w:ind w:left="1440" w:hanging="1440"/>
        <w:jc w:val="both"/>
        <w:rPr>
          <w:rFonts w:ascii="Times New Roman" w:hAnsi="Times New Roman"/>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44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test year adjustments to remove conservation revenues and conservation expenses recoverable through the Conservation Cost Recovery Clause?  </w:t>
      </w:r>
    </w:p>
    <w:p w:rsidR="00D80701" w:rsidRDefault="00D80701" w:rsidP="00D80701">
      <w:pPr>
        <w:widowControl/>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 xml:space="preserve">No position. </w:t>
      </w:r>
      <w:r w:rsidRPr="00344D31">
        <w:rPr>
          <w:rFonts w:ascii="Times New Roman" w:hAnsi="Times New Roman"/>
          <w:b/>
          <w:bCs/>
          <w:sz w:val="24"/>
        </w:rPr>
        <w:t xml:space="preserve"> </w:t>
      </w:r>
    </w:p>
    <w:p w:rsidR="00275B80" w:rsidRPr="00D80701" w:rsidRDefault="00275B80" w:rsidP="00D80701">
      <w:pPr>
        <w:widowControl/>
        <w:ind w:left="1440" w:hanging="1440"/>
        <w:jc w:val="both"/>
        <w:rPr>
          <w:rFonts w:ascii="Times New Roman" w:hAnsi="Times New Roman"/>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45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test year adjustments to remove capacity revenues and capacity expenses recoverable through the Capacity Cost Recovery Clause?  </w:t>
      </w:r>
    </w:p>
    <w:p w:rsidR="00D80701" w:rsidRDefault="00D80701" w:rsidP="00D80701">
      <w:pPr>
        <w:widowControl/>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EC0E3E" w:rsidRPr="00344D31">
        <w:rPr>
          <w:rFonts w:ascii="Times New Roman" w:hAnsi="Times New Roman"/>
          <w:b/>
          <w:bCs/>
          <w:sz w:val="24"/>
        </w:rPr>
        <w:t>No position.</w:t>
      </w:r>
      <w:r w:rsidRPr="00344D31">
        <w:rPr>
          <w:rFonts w:ascii="Times New Roman" w:hAnsi="Times New Roman"/>
          <w:b/>
          <w:bCs/>
          <w:sz w:val="24"/>
        </w:rPr>
        <w:t xml:space="preserve"> </w:t>
      </w:r>
    </w:p>
    <w:p w:rsidR="00275B80" w:rsidRPr="00D80701" w:rsidRDefault="00275B80" w:rsidP="00D80701">
      <w:pPr>
        <w:widowControl/>
        <w:ind w:left="1440" w:hanging="1440"/>
        <w:jc w:val="both"/>
        <w:rPr>
          <w:rFonts w:ascii="Times New Roman" w:hAnsi="Times New Roman"/>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46</w:t>
        </w:r>
      </w:fldSimple>
      <w:r w:rsidRPr="00D80701">
        <w:rPr>
          <w:rFonts w:ascii="Times New Roman" w:hAnsi="Times New Roman"/>
          <w:sz w:val="24"/>
        </w:rPr>
        <w:t xml:space="preserve">:  </w:t>
      </w:r>
      <w:r w:rsidR="00A844C9">
        <w:rPr>
          <w:rFonts w:ascii="Times New Roman" w:hAnsi="Times New Roman"/>
          <w:sz w:val="24"/>
        </w:rPr>
        <w:tab/>
      </w:r>
      <w:r w:rsidRPr="00D80701">
        <w:rPr>
          <w:rFonts w:ascii="Times New Roman" w:hAnsi="Times New Roman"/>
          <w:sz w:val="24"/>
        </w:rPr>
        <w:t xml:space="preserve">Has Gulf made the appropriate test year adjustments to remove environmental revenues and environmental expenses recoverable through the Environmental Cost Recovery Clause?  </w:t>
      </w:r>
    </w:p>
    <w:p w:rsidR="00D80701" w:rsidRDefault="00D80701" w:rsidP="00D80701">
      <w:pPr>
        <w:widowControl/>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No position.</w:t>
      </w:r>
      <w:r w:rsidRPr="00344D31">
        <w:rPr>
          <w:rFonts w:ascii="Times New Roman" w:hAnsi="Times New Roman"/>
          <w:b/>
          <w:bCs/>
          <w:sz w:val="24"/>
        </w:rPr>
        <w:t xml:space="preserve"> </w:t>
      </w:r>
    </w:p>
    <w:p w:rsidR="00275B80" w:rsidRPr="00D80701" w:rsidRDefault="00275B80" w:rsidP="00D80701">
      <w:pPr>
        <w:widowControl/>
        <w:ind w:left="1440" w:hanging="1440"/>
        <w:jc w:val="both"/>
        <w:rPr>
          <w:rFonts w:ascii="Times New Roman" w:hAnsi="Times New Roman"/>
          <w:sz w:val="24"/>
        </w:rPr>
      </w:pPr>
    </w:p>
    <w:p w:rsidR="00331BD4" w:rsidRDefault="00331BD4" w:rsidP="00D80701">
      <w:pPr>
        <w:widowControl/>
        <w:ind w:left="1440" w:hanging="1440"/>
        <w:jc w:val="both"/>
        <w:rPr>
          <w:rFonts w:ascii="Times New Roman" w:hAnsi="Times New Roman"/>
          <w:b/>
          <w:sz w:val="24"/>
          <w:u w:val="single"/>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47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Has Gulf made the appropriate adjustments to remove all non-utility activities from net operating income?  </w:t>
      </w:r>
    </w:p>
    <w:p w:rsidR="00D80701" w:rsidRDefault="00D80701" w:rsidP="00D80701">
      <w:pPr>
        <w:widowControl/>
        <w:tabs>
          <w:tab w:val="left" w:pos="-1440"/>
        </w:tabs>
        <w:ind w:left="1440" w:hanging="1440"/>
        <w:jc w:val="both"/>
        <w:rPr>
          <w:rFonts w:ascii="Times New Roman" w:hAnsi="Times New Roman"/>
          <w:sz w:val="24"/>
        </w:rPr>
      </w:pPr>
    </w:p>
    <w:p w:rsidR="00275B80" w:rsidRPr="00344D31" w:rsidRDefault="003952FD"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w:t>
      </w:r>
      <w:r w:rsidR="00344D31" w:rsidRPr="00344D31">
        <w:rPr>
          <w:rFonts w:ascii="Times New Roman" w:hAnsi="Times New Roman"/>
          <w:b/>
          <w:bCs/>
          <w:sz w:val="24"/>
        </w:rPr>
        <w:t xml:space="preserve">. See </w:t>
      </w:r>
      <w:r w:rsidRPr="00344D31">
        <w:rPr>
          <w:rFonts w:ascii="Times New Roman" w:hAnsi="Times New Roman"/>
          <w:b/>
          <w:bCs/>
          <w:sz w:val="24"/>
        </w:rPr>
        <w:t>OPC’s position</w:t>
      </w:r>
      <w:r w:rsidR="009D4F05">
        <w:rPr>
          <w:rFonts w:ascii="Times New Roman" w:hAnsi="Times New Roman"/>
          <w:b/>
          <w:bCs/>
          <w:sz w:val="24"/>
        </w:rPr>
        <w:t>s</w:t>
      </w:r>
      <w:r w:rsidRPr="00344D31">
        <w:rPr>
          <w:rFonts w:ascii="Times New Roman" w:hAnsi="Times New Roman"/>
          <w:b/>
          <w:bCs/>
          <w:sz w:val="24"/>
        </w:rPr>
        <w:t xml:space="preserve"> on Issue </w:t>
      </w:r>
      <w:r w:rsidR="00E37D52" w:rsidRPr="00344D31">
        <w:rPr>
          <w:rFonts w:ascii="Times New Roman" w:hAnsi="Times New Roman"/>
          <w:b/>
          <w:bCs/>
          <w:sz w:val="24"/>
        </w:rPr>
        <w:t>39-</w:t>
      </w:r>
      <w:r w:rsidRPr="00344D31">
        <w:rPr>
          <w:rFonts w:ascii="Times New Roman" w:hAnsi="Times New Roman"/>
          <w:b/>
          <w:bCs/>
          <w:sz w:val="24"/>
        </w:rPr>
        <w:t>41</w:t>
      </w:r>
      <w:r w:rsidR="00E37D52" w:rsidRPr="00344D31">
        <w:rPr>
          <w:rFonts w:ascii="Times New Roman" w:hAnsi="Times New Roman"/>
          <w:b/>
          <w:bCs/>
          <w:sz w:val="24"/>
        </w:rPr>
        <w:t xml:space="preserve"> and 48-68</w:t>
      </w:r>
      <w:r w:rsidRPr="00344D31">
        <w:rPr>
          <w:rFonts w:ascii="Times New Roman" w:hAnsi="Times New Roman"/>
          <w:b/>
          <w:bCs/>
          <w:sz w:val="24"/>
        </w:rPr>
        <w:t>.</w:t>
      </w:r>
      <w:r w:rsidR="00F24FC7" w:rsidRPr="00344D31">
        <w:rPr>
          <w:rFonts w:ascii="Times New Roman" w:hAnsi="Times New Roman"/>
          <w:b/>
          <w:bCs/>
          <w:sz w:val="24"/>
        </w:rPr>
        <w:t xml:space="preserve"> (Dismukes)</w:t>
      </w:r>
    </w:p>
    <w:p w:rsidR="00275B80" w:rsidRPr="00D80701" w:rsidRDefault="00275B80" w:rsidP="00D80701">
      <w:pPr>
        <w:widowControl/>
        <w:tabs>
          <w:tab w:val="left" w:pos="-1440"/>
        </w:tabs>
        <w:ind w:left="1440" w:hanging="1440"/>
        <w:jc w:val="both"/>
        <w:rPr>
          <w:rFonts w:ascii="Times New Roman" w:hAnsi="Times New Roman"/>
          <w:sz w:val="24"/>
        </w:rPr>
      </w:pPr>
    </w:p>
    <w:p w:rsidR="00331BD4" w:rsidRDefault="00331BD4" w:rsidP="00D80701">
      <w:pPr>
        <w:pStyle w:val="ListParagraph"/>
        <w:ind w:left="1440" w:hanging="1440"/>
        <w:jc w:val="both"/>
        <w:rPr>
          <w:b/>
          <w:u w:val="single"/>
        </w:rPr>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48</w:t>
        </w:r>
      </w:fldSimple>
      <w:r w:rsidRPr="00D80701">
        <w:t xml:space="preserve">:  </w:t>
      </w:r>
      <w:r>
        <w:tab/>
      </w:r>
      <w:r w:rsidRPr="00D80701">
        <w:t>Should adjustments be made to the expenses allocated or charged to Gulf as a result of transactions with affiliates</w:t>
      </w:r>
      <w:r>
        <w:t>?</w:t>
      </w:r>
      <w:r w:rsidRPr="00D80701">
        <w:t xml:space="preserve"> </w:t>
      </w:r>
      <w:r w:rsidR="00F24FC7">
        <w:t xml:space="preserve"> </w:t>
      </w:r>
    </w:p>
    <w:p w:rsidR="00D80701" w:rsidRDefault="00D80701" w:rsidP="00D80701">
      <w:pPr>
        <w:pStyle w:val="ListParagraph"/>
        <w:ind w:left="1440" w:hanging="1440"/>
        <w:jc w:val="both"/>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00344D31" w:rsidRPr="00344D31">
        <w:rPr>
          <w:rFonts w:ascii="Times New Roman" w:hAnsi="Times New Roman"/>
          <w:b/>
          <w:bCs/>
          <w:sz w:val="24"/>
        </w:rPr>
        <w:t xml:space="preserve">. See </w:t>
      </w:r>
      <w:r w:rsidR="003952FD" w:rsidRPr="00344D31">
        <w:rPr>
          <w:rFonts w:ascii="Times New Roman" w:hAnsi="Times New Roman"/>
          <w:b/>
          <w:bCs/>
          <w:sz w:val="24"/>
        </w:rPr>
        <w:t>OPC</w:t>
      </w:r>
      <w:r w:rsidR="00344D31" w:rsidRPr="00344D31">
        <w:rPr>
          <w:rFonts w:ascii="Times New Roman" w:hAnsi="Times New Roman"/>
          <w:b/>
          <w:bCs/>
          <w:sz w:val="24"/>
        </w:rPr>
        <w:t>’s position</w:t>
      </w:r>
      <w:r w:rsidR="009D4F05">
        <w:rPr>
          <w:rFonts w:ascii="Times New Roman" w:hAnsi="Times New Roman"/>
          <w:b/>
          <w:bCs/>
          <w:sz w:val="24"/>
        </w:rPr>
        <w:t>s</w:t>
      </w:r>
      <w:r w:rsidR="00344D31" w:rsidRPr="00344D31">
        <w:rPr>
          <w:rFonts w:ascii="Times New Roman" w:hAnsi="Times New Roman"/>
          <w:b/>
          <w:bCs/>
          <w:sz w:val="24"/>
        </w:rPr>
        <w:t xml:space="preserve"> on </w:t>
      </w:r>
      <w:r w:rsidR="00E37D52" w:rsidRPr="00344D31">
        <w:rPr>
          <w:rFonts w:ascii="Times New Roman" w:hAnsi="Times New Roman"/>
          <w:b/>
          <w:bCs/>
          <w:sz w:val="24"/>
        </w:rPr>
        <w:t>Issues 49-68</w:t>
      </w:r>
      <w:r w:rsidR="00A844C9" w:rsidRPr="00344D31">
        <w:rPr>
          <w:rFonts w:ascii="Times New Roman" w:hAnsi="Times New Roman"/>
          <w:b/>
          <w:bCs/>
          <w:sz w:val="24"/>
        </w:rPr>
        <w:t>.</w:t>
      </w:r>
      <w:r w:rsidR="00F24FC7" w:rsidRPr="00344D31">
        <w:rPr>
          <w:rFonts w:ascii="Times New Roman" w:hAnsi="Times New Roman"/>
          <w:b/>
          <w:bCs/>
          <w:sz w:val="24"/>
        </w:rPr>
        <w:t xml:space="preserve"> (Dismukes)</w:t>
      </w: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49</w:t>
        </w:r>
      </w:fldSimple>
      <w:r w:rsidRPr="00D80701">
        <w:t xml:space="preserve">:  </w:t>
      </w:r>
      <w:r>
        <w:tab/>
      </w:r>
      <w:r w:rsidRPr="00D80701">
        <w:t xml:space="preserve">Should adjustments be made to expenses to allocate </w:t>
      </w:r>
      <w:smartTag w:uri="urn:schemas-microsoft-com:office:smarttags" w:element="stockticker">
        <w:r w:rsidRPr="00D80701">
          <w:t>SCS</w:t>
        </w:r>
      </w:smartTag>
      <w:r w:rsidRPr="00D80701">
        <w:t xml:space="preserve"> costs to Southern Renewable Energy?  </w:t>
      </w:r>
    </w:p>
    <w:p w:rsidR="00D80701" w:rsidRDefault="00D80701" w:rsidP="00D80701">
      <w:pPr>
        <w:pStyle w:val="ListParagraph"/>
        <w:ind w:left="1440" w:hanging="1440"/>
        <w:jc w:val="both"/>
      </w:pPr>
    </w:p>
    <w:p w:rsidR="00E37D52" w:rsidRPr="00344D31" w:rsidRDefault="00275B80" w:rsidP="00E37D52">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003952FD" w:rsidRPr="00344D31">
        <w:rPr>
          <w:rFonts w:ascii="Times New Roman" w:hAnsi="Times New Roman"/>
          <w:b/>
          <w:bCs/>
          <w:sz w:val="24"/>
        </w:rPr>
        <w:t xml:space="preserve"> Because Southern Renewable Energy was formed in 2010 and the allocations provided by Gulf date from 2009, neither Southern Company Services overhead nor costs allocated on the basis of megawatts have been allocated to Southern Renewable Energy.  The omission means costs allocated to Gulf Power are overstated</w:t>
      </w:r>
      <w:r w:rsidR="00E37D52" w:rsidRPr="00344D31">
        <w:rPr>
          <w:rFonts w:ascii="Times New Roman" w:hAnsi="Times New Roman"/>
          <w:b/>
          <w:bCs/>
          <w:sz w:val="24"/>
        </w:rPr>
        <w:t xml:space="preserve"> and it should be assessed a 2 percent compensation payment a</w:t>
      </w:r>
      <w:r w:rsidR="00331BD4">
        <w:rPr>
          <w:rFonts w:ascii="Times New Roman" w:hAnsi="Times New Roman"/>
          <w:b/>
          <w:bCs/>
          <w:sz w:val="24"/>
        </w:rPr>
        <w:t>nalogou</w:t>
      </w:r>
      <w:r w:rsidR="00E37D52" w:rsidRPr="00344D31">
        <w:rPr>
          <w:rFonts w:ascii="Times New Roman" w:hAnsi="Times New Roman"/>
          <w:b/>
          <w:bCs/>
          <w:sz w:val="24"/>
        </w:rPr>
        <w:t>s</w:t>
      </w:r>
      <w:r w:rsidR="00331BD4">
        <w:rPr>
          <w:rFonts w:ascii="Times New Roman" w:hAnsi="Times New Roman"/>
          <w:b/>
          <w:bCs/>
          <w:sz w:val="24"/>
        </w:rPr>
        <w:t xml:space="preserve"> to that described </w:t>
      </w:r>
      <w:r w:rsidR="00E37D52" w:rsidRPr="00344D31">
        <w:rPr>
          <w:rFonts w:ascii="Times New Roman" w:hAnsi="Times New Roman"/>
          <w:b/>
          <w:bCs/>
          <w:sz w:val="24"/>
        </w:rPr>
        <w:t>in Issue 41.</w:t>
      </w:r>
      <w:r w:rsidR="00F24FC7" w:rsidRPr="00344D31">
        <w:rPr>
          <w:rFonts w:ascii="Times New Roman" w:hAnsi="Times New Roman"/>
          <w:b/>
          <w:bCs/>
          <w:sz w:val="24"/>
        </w:rPr>
        <w:t xml:space="preserve"> (Dismukes)</w:t>
      </w:r>
    </w:p>
    <w:p w:rsidR="00275B80" w:rsidRPr="00344D31" w:rsidRDefault="00275B80" w:rsidP="00275B80">
      <w:pPr>
        <w:tabs>
          <w:tab w:val="left" w:pos="720"/>
        </w:tabs>
        <w:ind w:left="1440" w:hanging="1440"/>
        <w:jc w:val="both"/>
        <w:rPr>
          <w:rFonts w:ascii="Times New Roman" w:hAnsi="Times New Roman"/>
          <w:b/>
          <w:bCs/>
          <w:sz w:val="24"/>
        </w:rPr>
      </w:pPr>
    </w:p>
    <w:p w:rsidR="00275B80" w:rsidRPr="00D80701" w:rsidRDefault="00275B80" w:rsidP="00D80701">
      <w:pPr>
        <w:pStyle w:val="ListParagraph"/>
        <w:ind w:left="1440" w:hanging="1440"/>
        <w:jc w:val="both"/>
      </w:pPr>
    </w:p>
    <w:p w:rsidR="00D80701" w:rsidRDefault="00D80701" w:rsidP="00D80701">
      <w:pPr>
        <w:pStyle w:val="ListParagraph"/>
        <w:ind w:left="1440" w:hanging="1440"/>
        <w:jc w:val="both"/>
      </w:pPr>
      <w:r w:rsidRPr="00331BD4">
        <w:rPr>
          <w:b/>
          <w:u w:val="single"/>
        </w:rPr>
        <w:t xml:space="preserve">Issue </w:t>
      </w:r>
      <w:fldSimple w:instr=" SEQ Issue \* MERGEFORMAT ">
        <w:r w:rsidR="00F45FCE" w:rsidRPr="00F45FCE">
          <w:rPr>
            <w:b/>
            <w:noProof/>
            <w:u w:val="single"/>
          </w:rPr>
          <w:t>50</w:t>
        </w:r>
      </w:fldSimple>
      <w:r w:rsidRPr="00331BD4">
        <w:t xml:space="preserve">: </w:t>
      </w:r>
      <w:r w:rsidRPr="00331BD4">
        <w:tab/>
      </w:r>
      <w:r w:rsidR="00331BD4">
        <w:rPr>
          <w:b/>
        </w:rPr>
        <w:t>DROPPED</w:t>
      </w:r>
    </w:p>
    <w:p w:rsidR="00E37D52" w:rsidRPr="00DC2D8E" w:rsidRDefault="00E37D52" w:rsidP="00E37D52">
      <w:pPr>
        <w:tabs>
          <w:tab w:val="left" w:pos="720"/>
        </w:tabs>
        <w:ind w:left="1440" w:hanging="1440"/>
        <w:jc w:val="both"/>
        <w:rPr>
          <w:rFonts w:ascii="Times New Roman" w:hAnsi="Times New Roman"/>
          <w:bCs/>
          <w:sz w:val="24"/>
        </w:rPr>
      </w:pPr>
    </w:p>
    <w:p w:rsidR="00275B80" w:rsidRPr="00D80701" w:rsidRDefault="00275B80" w:rsidP="00D80701">
      <w:pPr>
        <w:pStyle w:val="ListParagraph"/>
        <w:ind w:left="1440" w:hanging="1440"/>
        <w:jc w:val="both"/>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51</w:t>
        </w:r>
      </w:fldSimple>
      <w:r w:rsidRPr="00D80701">
        <w:t xml:space="preserve">:  </w:t>
      </w:r>
      <w:r>
        <w:tab/>
      </w:r>
      <w:r w:rsidRPr="00D80701">
        <w:t xml:space="preserve">Should adjustments be made to the allocation factors used to allocate </w:t>
      </w:r>
      <w:smartTag w:uri="urn:schemas-microsoft-com:office:smarttags" w:element="stockticker">
        <w:r w:rsidRPr="00D80701">
          <w:t>SCS</w:t>
        </w:r>
      </w:smartTag>
      <w:r w:rsidR="00837337">
        <w:t xml:space="preserve"> costs to Gulf</w:t>
      </w:r>
      <w:r w:rsidRPr="00D80701">
        <w:t xml:space="preserve">?  </w:t>
      </w:r>
    </w:p>
    <w:p w:rsidR="00D80701" w:rsidRDefault="00D80701" w:rsidP="00D80701">
      <w:pPr>
        <w:pStyle w:val="ListParagraph"/>
        <w:ind w:left="1440" w:hanging="1440"/>
        <w:jc w:val="both"/>
      </w:pPr>
    </w:p>
    <w:p w:rsidR="003952FD" w:rsidRPr="00344D31" w:rsidRDefault="00275B80" w:rsidP="003952FD">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9D7510" w:rsidRPr="00344D31">
        <w:rPr>
          <w:rFonts w:ascii="Times New Roman" w:hAnsi="Times New Roman"/>
          <w:b/>
          <w:bCs/>
          <w:sz w:val="24"/>
        </w:rPr>
        <w:t>Allocation factors should be based upon cost-causative relationships to the extent possible and also recognize the benefits received from the service provided.   Gulf used a “financial” factor to allocate many affiliate administrative and general expenses, which overstates allocations to regulated companies and understates allocations to non-regulated companies. One example of bias compares the revenues per kWh for Gulf compared to those of Southern Power, which sells its power at the lower wholesale level and may not be indicative of the benefits or the level of service provided by SCS to Southern Power.  Additionally, including a revenue allocation factor tends to under allocate costs to new non-regulated companies. New start-up companies produce little revenue relative to the level of effort and management activities focused on these new ventures</w:t>
      </w:r>
      <w:r w:rsidR="00331BD4">
        <w:rPr>
          <w:rFonts w:ascii="Times New Roman" w:hAnsi="Times New Roman"/>
          <w:b/>
          <w:bCs/>
          <w:sz w:val="24"/>
        </w:rPr>
        <w:t xml:space="preserve">, while </w:t>
      </w:r>
      <w:r w:rsidR="009D7510" w:rsidRPr="00344D31">
        <w:rPr>
          <w:rFonts w:ascii="Times New Roman" w:hAnsi="Times New Roman"/>
          <w:b/>
          <w:bCs/>
          <w:sz w:val="24"/>
        </w:rPr>
        <w:t>revenue allocators tend to over allocate costs to capital-intensive companies because they need to generate more revenue to produce the same return on investment than less capital-intensive companies. On the expense side, the factor apparently includes fuel and purchased power expenses, which over allocates costs to the regulated operating companies</w:t>
      </w:r>
      <w:r w:rsidR="00331BD4">
        <w:rPr>
          <w:rFonts w:ascii="Times New Roman" w:hAnsi="Times New Roman"/>
          <w:b/>
          <w:bCs/>
          <w:sz w:val="24"/>
        </w:rPr>
        <w:t>.</w:t>
      </w:r>
      <w:r w:rsidR="009D7510" w:rsidRPr="00344D31">
        <w:rPr>
          <w:rFonts w:ascii="Times New Roman" w:hAnsi="Times New Roman"/>
          <w:b/>
          <w:bCs/>
          <w:sz w:val="24"/>
        </w:rPr>
        <w:t xml:space="preserve"> OPC recommends that the financial factor be adjusted to remove the revenue component in the factor and the fuel and purchased power from the expense component of the factor. </w:t>
      </w:r>
      <w:r w:rsidR="003952FD" w:rsidRPr="00344D31">
        <w:rPr>
          <w:rFonts w:ascii="Times New Roman" w:hAnsi="Times New Roman"/>
          <w:b/>
          <w:bCs/>
          <w:sz w:val="24"/>
        </w:rPr>
        <w:t>The impact is to reduce expenses by $832,284.</w:t>
      </w:r>
      <w:r w:rsidR="00F24FC7" w:rsidRPr="00344D31">
        <w:rPr>
          <w:rFonts w:ascii="Times New Roman" w:hAnsi="Times New Roman"/>
          <w:b/>
          <w:bCs/>
          <w:sz w:val="24"/>
        </w:rPr>
        <w:t xml:space="preserve"> (Dismukes)</w:t>
      </w:r>
    </w:p>
    <w:p w:rsidR="00275B80" w:rsidRPr="00DC2D8E" w:rsidRDefault="00275B80" w:rsidP="00275B80">
      <w:pPr>
        <w:tabs>
          <w:tab w:val="left" w:pos="720"/>
        </w:tabs>
        <w:ind w:left="1440" w:hanging="1440"/>
        <w:jc w:val="both"/>
        <w:rPr>
          <w:rFonts w:ascii="Times New Roman" w:hAnsi="Times New Roman"/>
          <w:bCs/>
          <w:sz w:val="24"/>
        </w:rPr>
      </w:pPr>
    </w:p>
    <w:p w:rsidR="00275B80" w:rsidRDefault="00275B80" w:rsidP="00D80701">
      <w:pPr>
        <w:pStyle w:val="ListParagraph"/>
        <w:ind w:left="1440" w:hanging="1440"/>
        <w:jc w:val="both"/>
      </w:pPr>
    </w:p>
    <w:p w:rsidR="00331BD4" w:rsidRPr="00D80701" w:rsidRDefault="00331BD4" w:rsidP="00D80701">
      <w:pPr>
        <w:pStyle w:val="ListParagraph"/>
        <w:ind w:left="1440" w:hanging="1440"/>
        <w:jc w:val="both"/>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52</w:t>
        </w:r>
      </w:fldSimple>
      <w:r w:rsidRPr="00D80701">
        <w:t xml:space="preserve">:  </w:t>
      </w:r>
      <w:r>
        <w:tab/>
      </w:r>
      <w:r w:rsidRPr="00D80701">
        <w:t xml:space="preserve">Should the Commission remove costs from the 2012 test year for costs associated with SouthernLINC? </w:t>
      </w:r>
    </w:p>
    <w:p w:rsidR="00D80701" w:rsidRDefault="00D80701" w:rsidP="00D80701">
      <w:pPr>
        <w:pStyle w:val="ListParagraph"/>
        <w:ind w:left="1440" w:hanging="1440"/>
        <w:jc w:val="both"/>
      </w:pPr>
    </w:p>
    <w:p w:rsidR="003952FD" w:rsidRPr="00344D31" w:rsidRDefault="00275B80" w:rsidP="003952FD">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5D67AE" w:rsidRPr="00344D31">
        <w:rPr>
          <w:rFonts w:ascii="Times New Roman" w:hAnsi="Times New Roman"/>
          <w:b/>
          <w:bCs/>
          <w:sz w:val="24"/>
        </w:rPr>
        <w:t>Southern charges all affiliates for the total SouthernLINC charges that are not able to be recovered through commercial revenues</w:t>
      </w:r>
      <w:r w:rsidR="00331BD4">
        <w:rPr>
          <w:rFonts w:ascii="Times New Roman" w:hAnsi="Times New Roman"/>
          <w:b/>
          <w:bCs/>
          <w:sz w:val="24"/>
        </w:rPr>
        <w:t xml:space="preserve">. In </w:t>
      </w:r>
      <w:r w:rsidR="005D67AE" w:rsidRPr="00344D31">
        <w:rPr>
          <w:rFonts w:ascii="Times New Roman" w:hAnsi="Times New Roman"/>
          <w:b/>
          <w:bCs/>
          <w:sz w:val="24"/>
        </w:rPr>
        <w:t>2012, the charges to Gulf Power are projected to increase because of the “larger than anticipated drop in commercial customer revenue.</w:t>
      </w:r>
      <w:r w:rsidR="00331BD4">
        <w:rPr>
          <w:rFonts w:ascii="Times New Roman" w:hAnsi="Times New Roman"/>
          <w:b/>
          <w:bCs/>
          <w:sz w:val="24"/>
        </w:rPr>
        <w:t>”</w:t>
      </w:r>
      <w:r w:rsidR="005D67AE" w:rsidRPr="00344D31">
        <w:rPr>
          <w:rFonts w:ascii="Times New Roman" w:hAnsi="Times New Roman"/>
          <w:b/>
          <w:bCs/>
          <w:sz w:val="24"/>
        </w:rPr>
        <w:t xml:space="preserve"> SouthernLINC is an unregulated affiliate</w:t>
      </w:r>
      <w:r w:rsidR="00331BD4">
        <w:rPr>
          <w:rFonts w:ascii="Times New Roman" w:hAnsi="Times New Roman"/>
          <w:b/>
          <w:bCs/>
          <w:sz w:val="24"/>
        </w:rPr>
        <w:t>. I</w:t>
      </w:r>
      <w:r w:rsidR="005D67AE" w:rsidRPr="00344D31">
        <w:rPr>
          <w:rFonts w:ascii="Times New Roman" w:hAnsi="Times New Roman"/>
          <w:b/>
          <w:bCs/>
          <w:sz w:val="24"/>
        </w:rPr>
        <w:t>ts losses should not be subsidized by Gulf Power’s ratepayers. The Commission should remove $294,765 from the test year expenses. See also OPC’s position on the capital component in Issue 17.</w:t>
      </w:r>
      <w:r w:rsidR="00F24FC7" w:rsidRPr="00344D31">
        <w:rPr>
          <w:rFonts w:ascii="Times New Roman" w:hAnsi="Times New Roman"/>
          <w:b/>
          <w:bCs/>
          <w:sz w:val="24"/>
        </w:rPr>
        <w:t xml:space="preserve"> (Dismukes)</w:t>
      </w:r>
    </w:p>
    <w:p w:rsidR="00275B80" w:rsidRPr="00DC2D8E" w:rsidRDefault="00275B80" w:rsidP="00275B80">
      <w:pPr>
        <w:tabs>
          <w:tab w:val="left" w:pos="720"/>
        </w:tabs>
        <w:ind w:left="1440" w:hanging="1440"/>
        <w:jc w:val="both"/>
        <w:rPr>
          <w:rFonts w:ascii="Times New Roman" w:hAnsi="Times New Roman"/>
          <w:bCs/>
          <w:sz w:val="24"/>
        </w:rPr>
      </w:pPr>
    </w:p>
    <w:p w:rsidR="00275B80" w:rsidRPr="00D80701" w:rsidRDefault="00275B80" w:rsidP="00D80701">
      <w:pPr>
        <w:pStyle w:val="ListParagraph"/>
        <w:ind w:left="1440" w:hanging="1440"/>
        <w:jc w:val="both"/>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53</w:t>
        </w:r>
      </w:fldSimple>
      <w:r w:rsidRPr="00D80701">
        <w:t xml:space="preserve">:  </w:t>
      </w:r>
      <w:r>
        <w:tab/>
      </w:r>
      <w:r w:rsidRPr="00D80701">
        <w:t xml:space="preserve">Should the costs related to Work Order 466909, associated with a system-wide asset management system, be removed from operating expenses?  </w:t>
      </w:r>
    </w:p>
    <w:p w:rsidR="00275B80" w:rsidRDefault="00275B80" w:rsidP="00275B80">
      <w:pPr>
        <w:tabs>
          <w:tab w:val="left" w:pos="720"/>
        </w:tabs>
        <w:spacing w:line="360" w:lineRule="auto"/>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573476" w:rsidRPr="00344D31">
        <w:rPr>
          <w:rFonts w:ascii="Times New Roman" w:hAnsi="Times New Roman"/>
          <w:b/>
          <w:bCs/>
          <w:sz w:val="24"/>
        </w:rPr>
        <w:t>The expenditures in this work order, relating to a system-wide system to keep track of distribution assets, were increased by 587%</w:t>
      </w:r>
      <w:r w:rsidR="009D4F05">
        <w:rPr>
          <w:rFonts w:ascii="Times New Roman" w:hAnsi="Times New Roman"/>
          <w:b/>
          <w:bCs/>
          <w:sz w:val="24"/>
        </w:rPr>
        <w:t>.  Gulf</w:t>
      </w:r>
      <w:r w:rsidR="00573476" w:rsidRPr="00344D31">
        <w:rPr>
          <w:rFonts w:ascii="Times New Roman" w:hAnsi="Times New Roman"/>
          <w:b/>
          <w:bCs/>
          <w:sz w:val="24"/>
        </w:rPr>
        <w:t xml:space="preserve"> suggested t</w:t>
      </w:r>
      <w:r w:rsidR="009D4F05">
        <w:rPr>
          <w:rFonts w:ascii="Times New Roman" w:hAnsi="Times New Roman"/>
          <w:b/>
          <w:bCs/>
          <w:sz w:val="24"/>
        </w:rPr>
        <w:t>hey would</w:t>
      </w:r>
      <w:r w:rsidR="00573476" w:rsidRPr="00344D31">
        <w:rPr>
          <w:rFonts w:ascii="Times New Roman" w:hAnsi="Times New Roman"/>
          <w:b/>
          <w:bCs/>
          <w:sz w:val="24"/>
        </w:rPr>
        <w:t xml:space="preserve"> be offset by cost savings. The cost savings apparently were not been included in the test year, and the costs </w:t>
      </w:r>
      <w:r w:rsidR="009D4F05">
        <w:rPr>
          <w:rFonts w:ascii="Times New Roman" w:hAnsi="Times New Roman"/>
          <w:b/>
          <w:bCs/>
          <w:sz w:val="24"/>
        </w:rPr>
        <w:t xml:space="preserve">were </w:t>
      </w:r>
      <w:r w:rsidR="00573476" w:rsidRPr="00344D31">
        <w:rPr>
          <w:rFonts w:ascii="Times New Roman" w:hAnsi="Times New Roman"/>
          <w:b/>
          <w:bCs/>
          <w:sz w:val="24"/>
        </w:rPr>
        <w:t>capitalized instead of expensed. Gulf has failed to justify including these costs</w:t>
      </w:r>
      <w:r w:rsidR="009D4F05">
        <w:rPr>
          <w:rFonts w:ascii="Times New Roman" w:hAnsi="Times New Roman"/>
          <w:b/>
          <w:bCs/>
          <w:sz w:val="24"/>
        </w:rPr>
        <w:t>.</w:t>
      </w:r>
      <w:r w:rsidR="00573476" w:rsidRPr="00344D31">
        <w:rPr>
          <w:rFonts w:ascii="Times New Roman" w:hAnsi="Times New Roman"/>
          <w:b/>
          <w:bCs/>
          <w:sz w:val="24"/>
        </w:rPr>
        <w:t xml:space="preserve"> </w:t>
      </w:r>
      <w:r w:rsidR="009D4F05">
        <w:rPr>
          <w:rFonts w:ascii="Times New Roman" w:hAnsi="Times New Roman"/>
          <w:b/>
          <w:bCs/>
          <w:sz w:val="24"/>
        </w:rPr>
        <w:t>T</w:t>
      </w:r>
      <w:r w:rsidR="00573476" w:rsidRPr="00344D31">
        <w:rPr>
          <w:rFonts w:ascii="Times New Roman" w:hAnsi="Times New Roman"/>
          <w:b/>
          <w:bCs/>
          <w:sz w:val="24"/>
        </w:rPr>
        <w:t xml:space="preserve">he appropriate expense reduction is $343,807. </w:t>
      </w:r>
      <w:r w:rsidR="00F24FC7" w:rsidRPr="00344D31">
        <w:rPr>
          <w:rFonts w:ascii="Times New Roman" w:hAnsi="Times New Roman"/>
          <w:b/>
          <w:bCs/>
          <w:sz w:val="24"/>
        </w:rPr>
        <w:t>(Dismukes)</w:t>
      </w:r>
    </w:p>
    <w:p w:rsidR="00D80701" w:rsidRDefault="00D80701" w:rsidP="00D80701">
      <w:pPr>
        <w:pStyle w:val="ListParagraph"/>
        <w:ind w:left="1440" w:hanging="1440"/>
        <w:jc w:val="both"/>
      </w:pPr>
    </w:p>
    <w:p w:rsidR="00275B80" w:rsidRPr="00275B80" w:rsidRDefault="00275B80" w:rsidP="00D80701">
      <w:pPr>
        <w:pStyle w:val="ListParagraph"/>
        <w:ind w:left="1440" w:hanging="1440"/>
        <w:jc w:val="both"/>
      </w:pPr>
    </w:p>
    <w:p w:rsidR="0099222F" w:rsidRDefault="00D80701" w:rsidP="00331BD4">
      <w:pPr>
        <w:pStyle w:val="ListParagraph"/>
        <w:ind w:left="1440" w:hanging="1440"/>
        <w:jc w:val="both"/>
      </w:pPr>
      <w:r w:rsidRPr="00331BD4">
        <w:rPr>
          <w:b/>
          <w:u w:val="single"/>
        </w:rPr>
        <w:t xml:space="preserve">Issue </w:t>
      </w:r>
      <w:fldSimple w:instr=" SEQ Issue \* MERGEFORMAT ">
        <w:r w:rsidR="00F45FCE" w:rsidRPr="00F45FCE">
          <w:rPr>
            <w:b/>
            <w:noProof/>
            <w:u w:val="single"/>
          </w:rPr>
          <w:t>54</w:t>
        </w:r>
      </w:fldSimple>
      <w:r w:rsidRPr="00331BD4">
        <w:t xml:space="preserve">:  </w:t>
      </w:r>
      <w:r w:rsidRPr="00331BD4">
        <w:tab/>
      </w:r>
      <w:r w:rsidR="00331BD4">
        <w:rPr>
          <w:b/>
        </w:rPr>
        <w:t>DROPPED</w:t>
      </w:r>
    </w:p>
    <w:p w:rsidR="00331BD4" w:rsidRDefault="00331BD4" w:rsidP="00331BD4">
      <w:pPr>
        <w:pStyle w:val="ListParagraph"/>
        <w:ind w:left="1440" w:hanging="1440"/>
        <w:jc w:val="both"/>
        <w:rPr>
          <w:bCs/>
        </w:rPr>
      </w:pPr>
    </w:p>
    <w:p w:rsidR="00275B80" w:rsidRPr="00D80701" w:rsidRDefault="00275B80" w:rsidP="00D80701">
      <w:pPr>
        <w:pStyle w:val="ListParagraph"/>
        <w:ind w:left="1440" w:hanging="1440"/>
        <w:jc w:val="both"/>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55</w:t>
        </w:r>
      </w:fldSimple>
      <w:r w:rsidRPr="00D80701">
        <w:t xml:space="preserve">:  </w:t>
      </w:r>
      <w:r>
        <w:tab/>
      </w:r>
      <w:r w:rsidRPr="00D80701">
        <w:t xml:space="preserve">Did Gulf adequately document and justify the costs associated with Work Orders 46EZBL, 46IDMU, 46LRBL, 47VSES, 47VSTB, 47VSTH, 47VSZ1, and 47VSZ5?  If not, should the costs related to these work orders be removed from operating expenses?  </w:t>
      </w:r>
    </w:p>
    <w:p w:rsidR="00D80701" w:rsidRDefault="00D80701" w:rsidP="00D80701">
      <w:pPr>
        <w:pStyle w:val="ListParagraph"/>
        <w:ind w:left="1440" w:hanging="1440"/>
        <w:jc w:val="both"/>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No.</w:t>
      </w:r>
      <w:r w:rsidRPr="00344D31">
        <w:rPr>
          <w:rFonts w:ascii="Times New Roman" w:hAnsi="Times New Roman"/>
          <w:b/>
          <w:bCs/>
          <w:sz w:val="24"/>
        </w:rPr>
        <w:t xml:space="preserve"> </w:t>
      </w:r>
      <w:r w:rsidR="00573476" w:rsidRPr="00344D31">
        <w:rPr>
          <w:rFonts w:ascii="Times New Roman" w:hAnsi="Times New Roman"/>
          <w:b/>
          <w:bCs/>
          <w:sz w:val="24"/>
        </w:rPr>
        <w:t>Because Gulf Power did not justify including the costs of these work orders, the Commission should reduce test year costs by $186,780.</w:t>
      </w:r>
      <w:r w:rsidR="0099222F" w:rsidRPr="00344D31">
        <w:rPr>
          <w:rFonts w:ascii="Times New Roman" w:hAnsi="Times New Roman"/>
          <w:b/>
          <w:bCs/>
          <w:sz w:val="24"/>
        </w:rPr>
        <w:t xml:space="preserve"> Gulf was unable to provide several of the requested Work Orders, which show the purpose of the work order, the method used to allocate costs, and the client company. </w:t>
      </w:r>
      <w:r w:rsidR="00F24FC7" w:rsidRPr="00344D31">
        <w:rPr>
          <w:rFonts w:ascii="Times New Roman" w:hAnsi="Times New Roman"/>
          <w:b/>
          <w:bCs/>
          <w:sz w:val="24"/>
        </w:rPr>
        <w:t xml:space="preserve"> (Dismukes)</w:t>
      </w:r>
    </w:p>
    <w:p w:rsidR="00275B80" w:rsidRPr="00D80701" w:rsidRDefault="00275B80" w:rsidP="00D80701">
      <w:pPr>
        <w:pStyle w:val="ListParagraph"/>
        <w:ind w:left="1440" w:hanging="1440"/>
        <w:jc w:val="both"/>
      </w:pPr>
    </w:p>
    <w:p w:rsidR="00331BD4" w:rsidRDefault="00331BD4" w:rsidP="00D80701">
      <w:pPr>
        <w:pStyle w:val="ListParagraph"/>
        <w:ind w:left="1440" w:hanging="1440"/>
        <w:jc w:val="both"/>
        <w:rPr>
          <w:b/>
          <w:u w:val="single"/>
        </w:rPr>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56</w:t>
        </w:r>
      </w:fldSimple>
      <w:r w:rsidRPr="00D80701">
        <w:t xml:space="preserve">:  </w:t>
      </w:r>
      <w:r>
        <w:tab/>
      </w:r>
      <w:r w:rsidRPr="00D80701">
        <w:t xml:space="preserve">Should the costs related to Work Order 471701, associated with a Securities and Exchange Commission inquiry, be removed from operating expenses?  </w:t>
      </w:r>
    </w:p>
    <w:p w:rsidR="00D80701" w:rsidRDefault="00D80701" w:rsidP="00D80701">
      <w:pPr>
        <w:pStyle w:val="ListParagraph"/>
        <w:ind w:left="1440" w:hanging="1440"/>
        <w:jc w:val="both"/>
      </w:pPr>
    </w:p>
    <w:p w:rsidR="00573476"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00A844C9" w:rsidRPr="00344D31">
        <w:rPr>
          <w:rFonts w:ascii="Times New Roman" w:hAnsi="Times New Roman"/>
          <w:b/>
          <w:bCs/>
          <w:sz w:val="24"/>
        </w:rPr>
        <w:tab/>
        <w:t>Yes.</w:t>
      </w:r>
      <w:r w:rsidR="00573476" w:rsidRPr="00344D31">
        <w:rPr>
          <w:rFonts w:ascii="Times New Roman" w:hAnsi="Times New Roman"/>
          <w:b/>
          <w:bCs/>
          <w:sz w:val="24"/>
        </w:rPr>
        <w:t xml:space="preserve"> </w:t>
      </w:r>
      <w:r w:rsidR="0099222F" w:rsidRPr="00344D31">
        <w:rPr>
          <w:rFonts w:ascii="Times New Roman" w:hAnsi="Times New Roman"/>
          <w:b/>
          <w:bCs/>
          <w:sz w:val="24"/>
        </w:rPr>
        <w:t xml:space="preserve">Looking at this </w:t>
      </w:r>
      <w:r w:rsidR="0031418D" w:rsidRPr="00344D31">
        <w:rPr>
          <w:rFonts w:ascii="Times New Roman" w:hAnsi="Times New Roman"/>
          <w:b/>
          <w:bCs/>
          <w:sz w:val="24"/>
        </w:rPr>
        <w:t xml:space="preserve">accounting-comptroller </w:t>
      </w:r>
      <w:r w:rsidR="0099222F" w:rsidRPr="00344D31">
        <w:rPr>
          <w:rFonts w:ascii="Times New Roman" w:hAnsi="Times New Roman"/>
          <w:b/>
          <w:bCs/>
          <w:sz w:val="24"/>
        </w:rPr>
        <w:t>work order, it is not clear what service is being provided to Gulf and its customers or if the description remains valid today.  In the absence of supporting documentation showing that the costs booked benefit Gulf and its customers, test year expenses should be reduced by $116,841.</w:t>
      </w:r>
      <w:r w:rsidR="00F24FC7" w:rsidRPr="00344D31">
        <w:rPr>
          <w:rFonts w:ascii="Times New Roman" w:hAnsi="Times New Roman"/>
          <w:b/>
          <w:bCs/>
          <w:sz w:val="24"/>
        </w:rPr>
        <w:t xml:space="preserve"> (Dismukes)</w:t>
      </w: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 xml:space="preserve"> </w:t>
      </w: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57</w:t>
        </w:r>
      </w:fldSimple>
      <w:r w:rsidRPr="00D80701">
        <w:t xml:space="preserve">:  </w:t>
      </w:r>
      <w:r>
        <w:tab/>
      </w:r>
      <w:r w:rsidRPr="00D80701">
        <w:t xml:space="preserve">Should the Commission adjust operating expenses for the costs related to Work Order 473401, related to a benefit’s review that does not appear to occur annually?  </w:t>
      </w:r>
    </w:p>
    <w:p w:rsidR="00D80701" w:rsidRDefault="00D80701" w:rsidP="00D80701">
      <w:pPr>
        <w:pStyle w:val="ListParagraph"/>
        <w:ind w:left="1440" w:hanging="1440"/>
        <w:jc w:val="both"/>
      </w:pPr>
    </w:p>
    <w:p w:rsidR="00573476" w:rsidRPr="00344D31" w:rsidRDefault="00275B80" w:rsidP="0057347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31418D" w:rsidRPr="00344D31">
        <w:rPr>
          <w:rFonts w:ascii="Times New Roman" w:hAnsi="Times New Roman"/>
          <w:b/>
          <w:bCs/>
          <w:sz w:val="24"/>
        </w:rPr>
        <w:t>This 2011 work order relates to consulting funds for an outside benefits review which apparently was increased because it did not occur annually. Because the review will not reoccur annually, t</w:t>
      </w:r>
      <w:r w:rsidR="00573476" w:rsidRPr="00344D31">
        <w:rPr>
          <w:rFonts w:ascii="Times New Roman" w:hAnsi="Times New Roman"/>
          <w:b/>
          <w:bCs/>
          <w:sz w:val="24"/>
        </w:rPr>
        <w:t>he cost should be amortized over two years.  The corresponding adjustment is a reduction of $18,067 to test year expenses.</w:t>
      </w:r>
      <w:r w:rsidR="00F24FC7" w:rsidRPr="00344D31">
        <w:rPr>
          <w:rFonts w:ascii="Times New Roman" w:hAnsi="Times New Roman"/>
          <w:b/>
          <w:bCs/>
          <w:sz w:val="24"/>
        </w:rPr>
        <w:t xml:space="preserve"> (Dismukes)</w:t>
      </w:r>
    </w:p>
    <w:p w:rsidR="00275B80" w:rsidRPr="00DC2D8E" w:rsidRDefault="00275B80" w:rsidP="00275B80">
      <w:pPr>
        <w:tabs>
          <w:tab w:val="left" w:pos="720"/>
        </w:tabs>
        <w:ind w:left="1440" w:hanging="1440"/>
        <w:jc w:val="both"/>
        <w:rPr>
          <w:rFonts w:ascii="Times New Roman" w:hAnsi="Times New Roman"/>
          <w:bCs/>
          <w:sz w:val="24"/>
        </w:rPr>
      </w:pPr>
    </w:p>
    <w:p w:rsidR="00275B80" w:rsidRPr="00D80701" w:rsidRDefault="00275B80" w:rsidP="00D80701">
      <w:pPr>
        <w:pStyle w:val="ListParagraph"/>
        <w:ind w:left="1440" w:hanging="1440"/>
        <w:jc w:val="both"/>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58</w:t>
        </w:r>
      </w:fldSimple>
      <w:r w:rsidRPr="00D80701">
        <w:t xml:space="preserve">:  </w:t>
      </w:r>
      <w:r>
        <w:tab/>
      </w:r>
      <w:r w:rsidRPr="00D80701">
        <w:t xml:space="preserve">Should the costs related to Work Order 49SWCS, related to a customer summit that is only held every other year, be removed from operating expenses?  </w:t>
      </w:r>
    </w:p>
    <w:p w:rsidR="00D80701" w:rsidRDefault="00D80701" w:rsidP="00D80701">
      <w:pPr>
        <w:pStyle w:val="ListParagraph"/>
        <w:ind w:left="1440" w:hanging="1440"/>
        <w:jc w:val="both"/>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573476" w:rsidRPr="00344D31">
        <w:rPr>
          <w:rFonts w:ascii="Times New Roman" w:hAnsi="Times New Roman"/>
          <w:b/>
          <w:bCs/>
          <w:sz w:val="24"/>
        </w:rPr>
        <w:t>Amortizing this expense over two years results in an adjustment of $20,831.</w:t>
      </w:r>
      <w:r w:rsidR="00F24FC7" w:rsidRPr="00344D31">
        <w:rPr>
          <w:rFonts w:ascii="Times New Roman" w:hAnsi="Times New Roman"/>
          <w:b/>
          <w:bCs/>
          <w:sz w:val="24"/>
        </w:rPr>
        <w:t xml:space="preserve"> (Dismukes)</w:t>
      </w:r>
    </w:p>
    <w:p w:rsidR="0031418D" w:rsidRPr="00DC2D8E" w:rsidRDefault="0031418D" w:rsidP="00275B80">
      <w:pPr>
        <w:tabs>
          <w:tab w:val="left" w:pos="720"/>
        </w:tabs>
        <w:ind w:left="1440" w:hanging="1440"/>
        <w:jc w:val="both"/>
        <w:rPr>
          <w:rFonts w:ascii="Times New Roman" w:hAnsi="Times New Roman"/>
          <w:bCs/>
          <w:sz w:val="24"/>
        </w:rPr>
      </w:pPr>
    </w:p>
    <w:p w:rsidR="00275B80" w:rsidRPr="00D80701" w:rsidRDefault="00275B80" w:rsidP="00D80701">
      <w:pPr>
        <w:pStyle w:val="ListParagraph"/>
        <w:ind w:left="1440" w:hanging="1440"/>
        <w:jc w:val="both"/>
      </w:pPr>
    </w:p>
    <w:p w:rsid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59</w:t>
        </w:r>
      </w:fldSimple>
      <w:r w:rsidRPr="00D80701">
        <w:t xml:space="preserve">:  </w:t>
      </w:r>
      <w:r>
        <w:tab/>
      </w:r>
      <w:r w:rsidRPr="00D80701">
        <w:t xml:space="preserve">Should the costs related to Work Order 4Q51RC and a formerly CWIP classified Work Order 4QPA01, be removed from operating expenses? </w:t>
      </w:r>
    </w:p>
    <w:p w:rsidR="00573476" w:rsidRPr="00D80701" w:rsidRDefault="00573476" w:rsidP="00D80701">
      <w:pPr>
        <w:pStyle w:val="ListParagraph"/>
        <w:ind w:left="1440" w:hanging="1440"/>
        <w:jc w:val="both"/>
      </w:pPr>
    </w:p>
    <w:p w:rsidR="00D80701" w:rsidRPr="00344D31" w:rsidRDefault="00275B80" w:rsidP="0057347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573476" w:rsidRPr="00344D31">
        <w:rPr>
          <w:rFonts w:ascii="Times New Roman" w:hAnsi="Times New Roman"/>
          <w:b/>
          <w:bCs/>
          <w:sz w:val="24"/>
        </w:rPr>
        <w:t>There is no evidence that these items should be expensed rather than capitalized, and also no evidence they are recurring in nature.  Test year expenses should be reduced by $20,102 and $102,4</w:t>
      </w:r>
      <w:r w:rsidR="000D7324">
        <w:rPr>
          <w:rFonts w:ascii="Times New Roman" w:hAnsi="Times New Roman"/>
          <w:b/>
          <w:bCs/>
          <w:sz w:val="24"/>
        </w:rPr>
        <w:t>1</w:t>
      </w:r>
      <w:r w:rsidR="00573476" w:rsidRPr="00344D31">
        <w:rPr>
          <w:rFonts w:ascii="Times New Roman" w:hAnsi="Times New Roman"/>
          <w:b/>
          <w:bCs/>
          <w:sz w:val="24"/>
        </w:rPr>
        <w:t>1, respectively.</w:t>
      </w:r>
      <w:r w:rsidR="00F24FC7" w:rsidRPr="00344D31">
        <w:rPr>
          <w:rFonts w:ascii="Times New Roman" w:hAnsi="Times New Roman"/>
          <w:b/>
          <w:bCs/>
          <w:sz w:val="24"/>
        </w:rPr>
        <w:t xml:space="preserve"> (Dismukes)</w:t>
      </w:r>
    </w:p>
    <w:p w:rsidR="0031418D" w:rsidRDefault="0031418D" w:rsidP="00573476">
      <w:pPr>
        <w:tabs>
          <w:tab w:val="left" w:pos="720"/>
        </w:tabs>
        <w:ind w:left="1440" w:hanging="1440"/>
        <w:jc w:val="both"/>
        <w:rPr>
          <w:rFonts w:ascii="Times New Roman" w:hAnsi="Times New Roman"/>
          <w:bCs/>
          <w:sz w:val="24"/>
        </w:rPr>
      </w:pPr>
    </w:p>
    <w:p w:rsidR="00573476" w:rsidRPr="00D80701" w:rsidRDefault="00573476" w:rsidP="00573476">
      <w:pPr>
        <w:tabs>
          <w:tab w:val="left" w:pos="720"/>
        </w:tabs>
        <w:ind w:left="1440" w:hanging="1440"/>
        <w:jc w:val="both"/>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60</w:t>
        </w:r>
      </w:fldSimple>
      <w:r w:rsidRPr="00D80701">
        <w:t xml:space="preserve">:  </w:t>
      </w:r>
      <w:r>
        <w:tab/>
      </w:r>
      <w:r w:rsidRPr="00D80701">
        <w:t xml:space="preserve">Should operating expenses be adjusted to remove public relations expenses charged by </w:t>
      </w:r>
      <w:smartTag w:uri="urn:schemas-microsoft-com:office:smarttags" w:element="stockticker">
        <w:r w:rsidRPr="00D80701">
          <w:t>SCS</w:t>
        </w:r>
      </w:smartTag>
      <w:r w:rsidRPr="00D80701">
        <w:t xml:space="preserve">?  </w:t>
      </w:r>
    </w:p>
    <w:p w:rsidR="00D80701" w:rsidRDefault="00D80701" w:rsidP="00D80701">
      <w:pPr>
        <w:pStyle w:val="ListParagraph"/>
        <w:ind w:left="1440" w:hanging="1440"/>
        <w:jc w:val="both"/>
      </w:pPr>
    </w:p>
    <w:p w:rsidR="00573476" w:rsidRPr="00344D31" w:rsidRDefault="00275B80" w:rsidP="0057347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31418D" w:rsidRPr="00344D31">
        <w:rPr>
          <w:rFonts w:ascii="Times New Roman" w:hAnsi="Times New Roman"/>
          <w:b/>
          <w:bCs/>
          <w:sz w:val="24"/>
        </w:rPr>
        <w:t xml:space="preserve">The Commission typically disallows expenses that are public relations oriented and image-enhancing, finding that they benefit stockholders, not customers. </w:t>
      </w:r>
      <w:r w:rsidR="00573476" w:rsidRPr="00344D31">
        <w:rPr>
          <w:rFonts w:ascii="Times New Roman" w:hAnsi="Times New Roman"/>
          <w:b/>
          <w:bCs/>
          <w:sz w:val="24"/>
        </w:rPr>
        <w:t xml:space="preserve">Gulf Power failed to demonstrate that such expenses benefit customers.  </w:t>
      </w:r>
      <w:r w:rsidR="0031418D" w:rsidRPr="00344D31">
        <w:rPr>
          <w:rFonts w:ascii="Times New Roman" w:hAnsi="Times New Roman"/>
          <w:b/>
          <w:bCs/>
          <w:sz w:val="24"/>
        </w:rPr>
        <w:t>Based on past Commission precedent, t</w:t>
      </w:r>
      <w:r w:rsidR="00573476" w:rsidRPr="00344D31">
        <w:rPr>
          <w:rFonts w:ascii="Times New Roman" w:hAnsi="Times New Roman"/>
          <w:b/>
          <w:bCs/>
          <w:sz w:val="24"/>
        </w:rPr>
        <w:t>est year expenses should be reduced by $</w:t>
      </w:r>
      <w:r w:rsidR="005B3D07" w:rsidRPr="00344D31">
        <w:rPr>
          <w:rFonts w:ascii="Times New Roman" w:hAnsi="Times New Roman"/>
          <w:b/>
          <w:bCs/>
          <w:sz w:val="24"/>
        </w:rPr>
        <w:t>17,482</w:t>
      </w:r>
      <w:r w:rsidR="00573476" w:rsidRPr="00344D31">
        <w:rPr>
          <w:rFonts w:ascii="Times New Roman" w:hAnsi="Times New Roman"/>
          <w:b/>
          <w:bCs/>
          <w:sz w:val="24"/>
        </w:rPr>
        <w:t>.</w:t>
      </w:r>
      <w:r w:rsidR="00F24FC7" w:rsidRPr="00344D31">
        <w:rPr>
          <w:rFonts w:ascii="Times New Roman" w:hAnsi="Times New Roman"/>
          <w:b/>
          <w:bCs/>
          <w:sz w:val="24"/>
        </w:rPr>
        <w:t xml:space="preserve"> (Dismukes)</w:t>
      </w:r>
    </w:p>
    <w:p w:rsidR="00275B80" w:rsidRPr="00D80701" w:rsidRDefault="00275B80" w:rsidP="00D80701">
      <w:pPr>
        <w:pStyle w:val="ListParagraph"/>
        <w:ind w:left="1440" w:hanging="1440"/>
        <w:jc w:val="both"/>
      </w:pPr>
    </w:p>
    <w:p w:rsidR="0082225B" w:rsidRDefault="0082225B" w:rsidP="00D80701">
      <w:pPr>
        <w:pStyle w:val="ListParagraph"/>
        <w:ind w:left="1440" w:hanging="1440"/>
        <w:jc w:val="both"/>
        <w:rPr>
          <w:b/>
          <w:u w:val="single"/>
        </w:rPr>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61</w:t>
        </w:r>
      </w:fldSimple>
      <w:r w:rsidRPr="00D80701">
        <w:t xml:space="preserve">:  </w:t>
      </w:r>
      <w:r>
        <w:tab/>
      </w:r>
      <w:r w:rsidRPr="00D80701">
        <w:t xml:space="preserve">Should operating expenses be adjusted to remove legal expenses in Work Orders 473ECO and 473ECS charged by </w:t>
      </w:r>
      <w:smartTag w:uri="urn:schemas-microsoft-com:office:smarttags" w:element="stockticker">
        <w:r w:rsidRPr="00D80701">
          <w:t>SCS</w:t>
        </w:r>
      </w:smartTag>
      <w:r w:rsidRPr="00D80701">
        <w:t xml:space="preserve">?  </w:t>
      </w:r>
    </w:p>
    <w:p w:rsidR="00D80701" w:rsidRDefault="00D80701" w:rsidP="00D80701">
      <w:pPr>
        <w:pStyle w:val="ListParagraph"/>
        <w:ind w:left="1440" w:hanging="1440"/>
        <w:jc w:val="both"/>
      </w:pPr>
    </w:p>
    <w:p w:rsidR="003952FD" w:rsidRPr="00344D31" w:rsidRDefault="00275B80" w:rsidP="003952FD">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31418D" w:rsidRPr="00344D31">
        <w:rPr>
          <w:rFonts w:ascii="Times New Roman" w:hAnsi="Times New Roman"/>
          <w:b/>
          <w:bCs/>
          <w:sz w:val="24"/>
        </w:rPr>
        <w:t xml:space="preserve">These work orders relate to Chief Operating Officer legal expenses and External Affairs legal matters. Gulf </w:t>
      </w:r>
      <w:r w:rsidR="00331BD4">
        <w:rPr>
          <w:rFonts w:ascii="Times New Roman" w:hAnsi="Times New Roman"/>
          <w:b/>
          <w:bCs/>
          <w:sz w:val="24"/>
        </w:rPr>
        <w:t xml:space="preserve">has not </w:t>
      </w:r>
      <w:r w:rsidR="0031418D" w:rsidRPr="00344D31">
        <w:rPr>
          <w:rFonts w:ascii="Times New Roman" w:hAnsi="Times New Roman"/>
          <w:b/>
          <w:bCs/>
          <w:sz w:val="24"/>
        </w:rPr>
        <w:t>demonstrated that the costs charged to these two accounts benefit ratepayers.  Test year expenses should be reduced by $33,690</w:t>
      </w:r>
      <w:r w:rsidR="00F24FC7" w:rsidRPr="00344D31">
        <w:rPr>
          <w:rFonts w:ascii="Times New Roman" w:hAnsi="Times New Roman"/>
          <w:b/>
          <w:bCs/>
          <w:sz w:val="24"/>
        </w:rPr>
        <w:t>. (Dismukes)</w:t>
      </w:r>
    </w:p>
    <w:p w:rsidR="00275B80" w:rsidRPr="00DC2D8E" w:rsidRDefault="00275B80" w:rsidP="00275B80">
      <w:pPr>
        <w:tabs>
          <w:tab w:val="left" w:pos="720"/>
        </w:tabs>
        <w:ind w:left="1440" w:hanging="1440"/>
        <w:jc w:val="both"/>
        <w:rPr>
          <w:rFonts w:ascii="Times New Roman" w:hAnsi="Times New Roman"/>
          <w:bCs/>
          <w:sz w:val="24"/>
        </w:rPr>
      </w:pPr>
    </w:p>
    <w:p w:rsidR="00275B80" w:rsidRPr="00D80701" w:rsidRDefault="00275B80" w:rsidP="00D80701">
      <w:pPr>
        <w:pStyle w:val="ListParagraph"/>
        <w:ind w:left="1440" w:hanging="1440"/>
        <w:jc w:val="both"/>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62</w:t>
        </w:r>
      </w:fldSimple>
      <w:r w:rsidRPr="00D80701">
        <w:t xml:space="preserve">:  </w:t>
      </w:r>
      <w:r>
        <w:tab/>
      </w:r>
      <w:r w:rsidRPr="00D80701">
        <w:t xml:space="preserve">Should operating expenses be adjusted to remove </w:t>
      </w:r>
      <w:r w:rsidR="00895824">
        <w:t xml:space="preserve">aircraft expenses in Work Order </w:t>
      </w:r>
      <w:r w:rsidR="00895824" w:rsidRPr="00F24FC7">
        <w:t>486030</w:t>
      </w:r>
      <w:r w:rsidR="00895824">
        <w:t xml:space="preserve"> </w:t>
      </w:r>
      <w:r w:rsidRPr="00D80701">
        <w:t xml:space="preserve">charged by </w:t>
      </w:r>
      <w:smartTag w:uri="urn:schemas-microsoft-com:office:smarttags" w:element="stockticker">
        <w:r w:rsidRPr="00D80701">
          <w:t>SCS</w:t>
        </w:r>
      </w:smartTag>
      <w:r w:rsidRPr="00D80701">
        <w:t xml:space="preserve">?  </w:t>
      </w:r>
    </w:p>
    <w:p w:rsidR="00D80701" w:rsidRDefault="00D80701" w:rsidP="00D80701">
      <w:pPr>
        <w:pStyle w:val="ListParagraph"/>
        <w:ind w:left="1440" w:hanging="1440"/>
        <w:jc w:val="both"/>
      </w:pPr>
    </w:p>
    <w:p w:rsidR="00573476" w:rsidRPr="00344D31" w:rsidRDefault="00275B80" w:rsidP="0057347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5B3D07" w:rsidRPr="00344D31">
        <w:rPr>
          <w:rFonts w:ascii="Times New Roman" w:hAnsi="Times New Roman"/>
          <w:b/>
          <w:bCs/>
          <w:sz w:val="24"/>
        </w:rPr>
        <w:t xml:space="preserve">The increase in expenses for Work Order 486030 from the test year relate to an unexplained increase in aircraft expenses and amount to a 97 percent increase over the 2011 amount.  The $101,859 increase over the budgeted 2011 amount should be removed from test year expenses. </w:t>
      </w:r>
      <w:r w:rsidR="00F24FC7" w:rsidRPr="00344D31">
        <w:rPr>
          <w:rFonts w:ascii="Times New Roman" w:hAnsi="Times New Roman"/>
          <w:b/>
          <w:bCs/>
          <w:sz w:val="24"/>
        </w:rPr>
        <w:t>(Dismukes)</w:t>
      </w:r>
    </w:p>
    <w:p w:rsidR="00275B80" w:rsidRPr="00DC2D8E" w:rsidRDefault="00275B80" w:rsidP="00275B80">
      <w:pPr>
        <w:tabs>
          <w:tab w:val="left" w:pos="720"/>
        </w:tabs>
        <w:ind w:left="1440" w:hanging="1440"/>
        <w:jc w:val="both"/>
        <w:rPr>
          <w:rFonts w:ascii="Times New Roman" w:hAnsi="Times New Roman"/>
          <w:bCs/>
          <w:sz w:val="24"/>
        </w:rPr>
      </w:pPr>
    </w:p>
    <w:p w:rsidR="00275B80" w:rsidRPr="00D80701" w:rsidRDefault="00275B80" w:rsidP="00D80701">
      <w:pPr>
        <w:pStyle w:val="ListParagraph"/>
        <w:ind w:left="1440" w:hanging="1440"/>
        <w:jc w:val="both"/>
      </w:pPr>
    </w:p>
    <w:p w:rsidR="00D80701" w:rsidRPr="00331BD4" w:rsidRDefault="00D80701" w:rsidP="00D80701">
      <w:pPr>
        <w:pStyle w:val="ListParagraph"/>
        <w:ind w:left="1440" w:hanging="1440"/>
        <w:jc w:val="both"/>
      </w:pPr>
      <w:r w:rsidRPr="00331BD4">
        <w:rPr>
          <w:b/>
          <w:u w:val="single"/>
        </w:rPr>
        <w:t xml:space="preserve">Issue </w:t>
      </w:r>
      <w:fldSimple w:instr=" SEQ Issue \* MERGEFORMAT ">
        <w:r w:rsidR="00F45FCE" w:rsidRPr="00F45FCE">
          <w:rPr>
            <w:b/>
            <w:noProof/>
            <w:u w:val="single"/>
          </w:rPr>
          <w:t>63</w:t>
        </w:r>
      </w:fldSimple>
      <w:r w:rsidRPr="00331BD4">
        <w:t xml:space="preserve">:  </w:t>
      </w:r>
      <w:r w:rsidRPr="00331BD4">
        <w:tab/>
        <w:t xml:space="preserve">Should any adjustments be made to expenses related to use of corporate leased aircraft?  </w:t>
      </w:r>
    </w:p>
    <w:p w:rsidR="00D80701" w:rsidRPr="005B3D07" w:rsidRDefault="00D80701" w:rsidP="00D80701">
      <w:pPr>
        <w:pStyle w:val="ListParagraph"/>
        <w:ind w:left="1440" w:hanging="1440"/>
        <w:jc w:val="both"/>
        <w:rPr>
          <w:highlight w:val="yellow"/>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573476" w:rsidRPr="00344D31">
        <w:rPr>
          <w:rFonts w:ascii="Times New Roman" w:hAnsi="Times New Roman"/>
          <w:b/>
          <w:bCs/>
          <w:sz w:val="24"/>
        </w:rPr>
        <w:t xml:space="preserve">No position pending review of responses to discovery. </w:t>
      </w:r>
      <w:r w:rsidRPr="00344D31">
        <w:rPr>
          <w:rFonts w:ascii="Times New Roman" w:hAnsi="Times New Roman"/>
          <w:b/>
          <w:bCs/>
          <w:sz w:val="24"/>
        </w:rPr>
        <w:t xml:space="preserve"> </w:t>
      </w:r>
      <w:r w:rsidR="00F24FC7" w:rsidRPr="00344D31">
        <w:rPr>
          <w:rFonts w:ascii="Times New Roman" w:hAnsi="Times New Roman"/>
          <w:b/>
          <w:bCs/>
          <w:sz w:val="24"/>
        </w:rPr>
        <w:t>(Dismukes)</w:t>
      </w:r>
    </w:p>
    <w:p w:rsidR="00275B80" w:rsidRPr="00D80701" w:rsidRDefault="00275B80" w:rsidP="00D80701">
      <w:pPr>
        <w:pStyle w:val="ListParagraph"/>
        <w:ind w:left="1440" w:hanging="1440"/>
        <w:jc w:val="both"/>
      </w:pPr>
    </w:p>
    <w:p w:rsidR="00331BD4" w:rsidRDefault="00331BD4" w:rsidP="00D80701">
      <w:pPr>
        <w:pStyle w:val="ListParagraph"/>
        <w:ind w:left="1440" w:hanging="1440"/>
        <w:jc w:val="both"/>
        <w:rPr>
          <w:b/>
          <w:u w:val="single"/>
        </w:rPr>
      </w:pPr>
    </w:p>
    <w:p w:rsidR="0082225B" w:rsidRDefault="0082225B" w:rsidP="00D80701">
      <w:pPr>
        <w:pStyle w:val="ListParagraph"/>
        <w:ind w:left="1440" w:hanging="1440"/>
        <w:jc w:val="both"/>
        <w:rPr>
          <w:b/>
          <w:u w:val="single"/>
        </w:rPr>
      </w:pPr>
    </w:p>
    <w:p w:rsidR="00D80701" w:rsidRPr="00D80701" w:rsidRDefault="00D80701" w:rsidP="00D80701">
      <w:pPr>
        <w:pStyle w:val="ListParagraph"/>
        <w:ind w:left="1440" w:hanging="1440"/>
        <w:jc w:val="both"/>
      </w:pPr>
      <w:r w:rsidRPr="00D80701">
        <w:rPr>
          <w:b/>
          <w:u w:val="single"/>
        </w:rPr>
        <w:t xml:space="preserve">Issue </w:t>
      </w:r>
      <w:fldSimple w:instr=" SEQ Issue \* MERGEFORMAT ">
        <w:r w:rsidR="00F45FCE" w:rsidRPr="00F45FCE">
          <w:rPr>
            <w:b/>
            <w:noProof/>
            <w:u w:val="single"/>
          </w:rPr>
          <w:t>64</w:t>
        </w:r>
      </w:fldSimple>
      <w:r w:rsidRPr="00D80701">
        <w:t xml:space="preserve">:  </w:t>
      </w:r>
      <w:r>
        <w:tab/>
      </w:r>
      <w:r w:rsidRPr="00D80701">
        <w:t>Should operating expenses be adjusted to remove investor relations expenses related to Work Order 471501 charged by SCS</w:t>
      </w:r>
    </w:p>
    <w:p w:rsidR="00D80701" w:rsidRPr="00275B80" w:rsidRDefault="00D80701" w:rsidP="00275B80">
      <w:pPr>
        <w:tabs>
          <w:tab w:val="left" w:pos="720"/>
        </w:tabs>
        <w:ind w:left="1440" w:hanging="1440"/>
        <w:jc w:val="both"/>
        <w:rPr>
          <w:rFonts w:ascii="Times New Roman" w:hAnsi="Times New Roman"/>
          <w:bCs/>
          <w:sz w:val="24"/>
        </w:rPr>
      </w:pPr>
    </w:p>
    <w:p w:rsidR="00573476" w:rsidRDefault="00A844C9" w:rsidP="0057347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Yes.</w:t>
      </w:r>
      <w:r w:rsidR="00573476" w:rsidRPr="00344D31">
        <w:rPr>
          <w:rFonts w:ascii="Times New Roman" w:hAnsi="Times New Roman"/>
          <w:b/>
          <w:bCs/>
          <w:sz w:val="24"/>
        </w:rPr>
        <w:t xml:space="preserve"> </w:t>
      </w:r>
      <w:r w:rsidR="0031418D" w:rsidRPr="00344D31">
        <w:rPr>
          <w:rFonts w:ascii="Times New Roman" w:hAnsi="Times New Roman"/>
          <w:b/>
          <w:bCs/>
          <w:sz w:val="24"/>
        </w:rPr>
        <w:t>Consistent with prior Commission practice, t</w:t>
      </w:r>
      <w:r w:rsidR="00573476" w:rsidRPr="00344D31">
        <w:rPr>
          <w:rFonts w:ascii="Times New Roman" w:hAnsi="Times New Roman"/>
          <w:b/>
          <w:bCs/>
          <w:sz w:val="24"/>
        </w:rPr>
        <w:t>est year operating expenses should be reduced by $96,851 to remove the costs of shareholder services</w:t>
      </w:r>
      <w:r w:rsidR="0031418D" w:rsidRPr="00344D31">
        <w:rPr>
          <w:rFonts w:ascii="Times New Roman" w:hAnsi="Times New Roman"/>
          <w:b/>
          <w:bCs/>
          <w:sz w:val="24"/>
        </w:rPr>
        <w:t xml:space="preserve">, which benefits stockholder, not ratepayers. </w:t>
      </w:r>
      <w:r w:rsidR="00F24FC7" w:rsidRPr="00344D31">
        <w:rPr>
          <w:rFonts w:ascii="Times New Roman" w:hAnsi="Times New Roman"/>
          <w:b/>
          <w:bCs/>
          <w:sz w:val="24"/>
        </w:rPr>
        <w:t>(Dismukes</w:t>
      </w:r>
      <w:r w:rsidR="00287685">
        <w:rPr>
          <w:rFonts w:ascii="Times New Roman" w:hAnsi="Times New Roman"/>
          <w:b/>
          <w:bCs/>
          <w:sz w:val="24"/>
        </w:rPr>
        <w:t>)</w:t>
      </w:r>
    </w:p>
    <w:p w:rsidR="00287685" w:rsidRDefault="00287685" w:rsidP="00573476">
      <w:pPr>
        <w:tabs>
          <w:tab w:val="left" w:pos="720"/>
        </w:tabs>
        <w:ind w:left="1440" w:hanging="1440"/>
        <w:jc w:val="both"/>
        <w:rPr>
          <w:rFonts w:ascii="Times New Roman" w:hAnsi="Times New Roman"/>
          <w:b/>
          <w:bCs/>
          <w:sz w:val="24"/>
        </w:rPr>
      </w:pPr>
    </w:p>
    <w:p w:rsidR="0065565D" w:rsidRPr="00344D31" w:rsidRDefault="0065565D" w:rsidP="00573476">
      <w:pPr>
        <w:tabs>
          <w:tab w:val="left" w:pos="720"/>
        </w:tabs>
        <w:ind w:left="1440" w:hanging="1440"/>
        <w:jc w:val="both"/>
        <w:rPr>
          <w:rFonts w:ascii="Times New Roman" w:hAnsi="Times New Roman"/>
          <w:b/>
          <w:bCs/>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5B3D07" w:rsidRDefault="00D80701" w:rsidP="00D80701">
      <w:pPr>
        <w:widowControl/>
        <w:tabs>
          <w:tab w:val="left" w:pos="-1440"/>
        </w:tabs>
        <w:ind w:left="1440" w:hanging="1440"/>
        <w:jc w:val="both"/>
        <w:rPr>
          <w:rFonts w:ascii="Times New Roman" w:hAnsi="Times New Roman"/>
          <w:sz w:val="24"/>
        </w:rPr>
      </w:pPr>
      <w:r w:rsidRPr="005B3D07">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65</w:t>
        </w:r>
      </w:fldSimple>
      <w:r w:rsidRPr="005B3D07">
        <w:rPr>
          <w:rFonts w:ascii="Times New Roman" w:hAnsi="Times New Roman"/>
          <w:sz w:val="24"/>
        </w:rPr>
        <w:t xml:space="preserve">:  </w:t>
      </w:r>
      <w:r w:rsidRPr="005B3D07">
        <w:rPr>
          <w:rFonts w:ascii="Times New Roman" w:hAnsi="Times New Roman"/>
          <w:sz w:val="24"/>
        </w:rPr>
        <w:tab/>
        <w:t xml:space="preserve">Should an adjustment be made to advertising expenses for the 2012 projected test year?  </w:t>
      </w:r>
    </w:p>
    <w:p w:rsidR="00D80701" w:rsidRPr="005B3D07" w:rsidRDefault="00D80701" w:rsidP="00D80701">
      <w:pPr>
        <w:widowControl/>
        <w:ind w:left="1440" w:hanging="1440"/>
        <w:jc w:val="both"/>
        <w:rPr>
          <w:rFonts w:ascii="Times New Roman" w:hAnsi="Times New Roman"/>
          <w:sz w:val="24"/>
          <w:u w:val="single"/>
        </w:rPr>
      </w:pPr>
    </w:p>
    <w:p w:rsidR="00573476" w:rsidRPr="00344D31" w:rsidRDefault="00275B80" w:rsidP="0057347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Yes.</w:t>
      </w:r>
      <w:r w:rsidRPr="00344D31">
        <w:rPr>
          <w:rFonts w:ascii="Times New Roman" w:hAnsi="Times New Roman"/>
          <w:b/>
          <w:bCs/>
          <w:sz w:val="24"/>
        </w:rPr>
        <w:t xml:space="preserve"> </w:t>
      </w:r>
      <w:r w:rsidR="005B3D07" w:rsidRPr="00344D31">
        <w:rPr>
          <w:rFonts w:ascii="Times New Roman" w:hAnsi="Times New Roman"/>
          <w:b/>
          <w:bCs/>
          <w:sz w:val="24"/>
        </w:rPr>
        <w:t xml:space="preserve">Consistent with OPC’s position on Issue 60, public relations and image-enhancing advertising </w:t>
      </w:r>
      <w:r w:rsidR="00573476" w:rsidRPr="00344D31">
        <w:rPr>
          <w:rFonts w:ascii="Times New Roman" w:hAnsi="Times New Roman"/>
          <w:b/>
          <w:bCs/>
          <w:sz w:val="24"/>
        </w:rPr>
        <w:t>expenses should be borne by stockholders.  The appropriat</w:t>
      </w:r>
      <w:r w:rsidR="005B3D07" w:rsidRPr="00344D31">
        <w:rPr>
          <w:rFonts w:ascii="Times New Roman" w:hAnsi="Times New Roman"/>
          <w:b/>
          <w:bCs/>
          <w:sz w:val="24"/>
        </w:rPr>
        <w:t xml:space="preserve">e adjustment is a reduction of </w:t>
      </w:r>
      <w:r w:rsidR="00573476" w:rsidRPr="00344D31">
        <w:rPr>
          <w:rFonts w:ascii="Times New Roman" w:hAnsi="Times New Roman"/>
          <w:b/>
          <w:bCs/>
          <w:sz w:val="24"/>
        </w:rPr>
        <w:t>$17,482.</w:t>
      </w:r>
      <w:r w:rsidR="005B3D07" w:rsidRPr="00344D31">
        <w:rPr>
          <w:rFonts w:ascii="Times New Roman" w:hAnsi="Times New Roman"/>
          <w:b/>
          <w:bCs/>
          <w:sz w:val="24"/>
        </w:rPr>
        <w:t xml:space="preserve"> </w:t>
      </w:r>
      <w:r w:rsidR="00F24FC7" w:rsidRPr="00344D31">
        <w:rPr>
          <w:rFonts w:ascii="Times New Roman" w:hAnsi="Times New Roman"/>
          <w:b/>
          <w:bCs/>
          <w:sz w:val="24"/>
        </w:rPr>
        <w:t>(Dismukes)</w:t>
      </w:r>
    </w:p>
    <w:p w:rsidR="00275B80" w:rsidRPr="00DC2D8E" w:rsidRDefault="00275B80" w:rsidP="00275B80">
      <w:pPr>
        <w:tabs>
          <w:tab w:val="left" w:pos="720"/>
        </w:tabs>
        <w:ind w:left="1440" w:hanging="1440"/>
        <w:jc w:val="both"/>
        <w:rPr>
          <w:rFonts w:ascii="Times New Roman" w:hAnsi="Times New Roman"/>
          <w:bCs/>
          <w:sz w:val="24"/>
        </w:rPr>
      </w:pPr>
    </w:p>
    <w:p w:rsidR="00275B80" w:rsidRPr="00D80701" w:rsidRDefault="00275B80" w:rsidP="00D80701">
      <w:pPr>
        <w:widowControl/>
        <w:ind w:left="1440" w:hanging="1440"/>
        <w:jc w:val="both"/>
        <w:rPr>
          <w:rFonts w:ascii="Times New Roman" w:hAnsi="Times New Roman"/>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66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interest on deferred compensation be included in operating expenses?  </w:t>
      </w:r>
    </w:p>
    <w:p w:rsidR="00D80701" w:rsidRDefault="00D80701" w:rsidP="00D80701">
      <w:pPr>
        <w:widowControl/>
        <w:tabs>
          <w:tab w:val="left" w:pos="-1440"/>
        </w:tabs>
        <w:ind w:left="1440" w:hanging="1440"/>
        <w:jc w:val="both"/>
        <w:rPr>
          <w:rFonts w:ascii="Times New Roman" w:hAnsi="Times New Roman"/>
          <w:b/>
          <w:sz w:val="24"/>
          <w:u w:val="single"/>
        </w:rPr>
      </w:pPr>
    </w:p>
    <w:p w:rsidR="00573476" w:rsidRPr="00344D31" w:rsidRDefault="00A844C9" w:rsidP="0057347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w:t>
      </w:r>
      <w:r w:rsidR="00573476" w:rsidRPr="00344D31">
        <w:rPr>
          <w:rFonts w:ascii="Times New Roman" w:hAnsi="Times New Roman"/>
          <w:b/>
          <w:bCs/>
          <w:sz w:val="24"/>
        </w:rPr>
        <w:t xml:space="preserve"> </w:t>
      </w:r>
      <w:r w:rsidR="005B3D07" w:rsidRPr="00344D31">
        <w:rPr>
          <w:rFonts w:ascii="Times New Roman" w:hAnsi="Times New Roman"/>
          <w:b/>
          <w:bCs/>
          <w:sz w:val="24"/>
        </w:rPr>
        <w:t>Gulf has projected interest expense with an estimated 2012 prime rate of 6.78% on deferred compensation presumably for executives or senior level employees. Gulf has not documented or justified why interest is being paid, how the deferred compensation amounts resulted, or why such a high rate of interest should be passed on to Gulf’s ratepayers. Test year expenses should be reduced by $362,309 ($355,059 jurisdictional).</w:t>
      </w:r>
      <w:r w:rsidR="00B02D3D" w:rsidRPr="00344D31">
        <w:rPr>
          <w:rFonts w:ascii="Times New Roman" w:hAnsi="Times New Roman"/>
          <w:b/>
          <w:bCs/>
          <w:sz w:val="24"/>
        </w:rPr>
        <w:t xml:space="preserve"> (Ramas)</w:t>
      </w:r>
    </w:p>
    <w:p w:rsidR="00275B80" w:rsidRPr="00DC2D8E" w:rsidRDefault="00275B80" w:rsidP="00275B80">
      <w:pPr>
        <w:tabs>
          <w:tab w:val="left" w:pos="720"/>
        </w:tabs>
        <w:ind w:left="1440" w:hanging="1440"/>
        <w:jc w:val="both"/>
        <w:rPr>
          <w:rFonts w:ascii="Times New Roman" w:hAnsi="Times New Roman"/>
          <w:bCs/>
          <w:sz w:val="24"/>
        </w:rPr>
      </w:pPr>
    </w:p>
    <w:p w:rsidR="00275B80" w:rsidRPr="00D80701" w:rsidRDefault="00275B80"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67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w:t>
      </w:r>
      <w:smartTag w:uri="urn:schemas-microsoft-com:office:smarttags" w:element="stockticker">
        <w:r w:rsidRPr="00D80701">
          <w:rPr>
            <w:rFonts w:ascii="Times New Roman" w:hAnsi="Times New Roman"/>
            <w:sz w:val="24"/>
          </w:rPr>
          <w:t>SCS</w:t>
        </w:r>
      </w:smartTag>
      <w:r w:rsidRPr="00D80701">
        <w:rPr>
          <w:rFonts w:ascii="Times New Roman" w:hAnsi="Times New Roman"/>
          <w:sz w:val="24"/>
        </w:rPr>
        <w:t xml:space="preserve"> Early Retirement Costs be included in operating expenses?  </w:t>
      </w:r>
    </w:p>
    <w:p w:rsidR="00D80701" w:rsidRDefault="00D80701" w:rsidP="00D80701">
      <w:pPr>
        <w:widowControl/>
        <w:tabs>
          <w:tab w:val="left" w:pos="-1440"/>
        </w:tabs>
        <w:ind w:left="1440" w:hanging="1440"/>
        <w:jc w:val="both"/>
        <w:rPr>
          <w:rFonts w:ascii="Times New Roman" w:hAnsi="Times New Roman"/>
          <w:sz w:val="24"/>
        </w:rPr>
      </w:pPr>
    </w:p>
    <w:p w:rsidR="00275B80" w:rsidRPr="00344D31" w:rsidRDefault="00A844C9" w:rsidP="0057347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w:t>
      </w:r>
      <w:r w:rsidR="00573476" w:rsidRPr="00344D31">
        <w:rPr>
          <w:rFonts w:ascii="Times New Roman" w:hAnsi="Times New Roman"/>
          <w:b/>
          <w:bCs/>
          <w:sz w:val="24"/>
        </w:rPr>
        <w:t xml:space="preserve"> Gulf neither explained nor supported </w:t>
      </w:r>
      <w:r w:rsidR="00B02D3D" w:rsidRPr="00344D31">
        <w:rPr>
          <w:rFonts w:ascii="Times New Roman" w:hAnsi="Times New Roman"/>
          <w:b/>
          <w:bCs/>
          <w:sz w:val="24"/>
        </w:rPr>
        <w:t xml:space="preserve">what the “SCS Early Retirement” accrual was for or why it should be passed on to Gulf’s ratepayers.  Test year expenses should be reduced by </w:t>
      </w:r>
      <w:r w:rsidR="00573476" w:rsidRPr="00344D31">
        <w:rPr>
          <w:rFonts w:ascii="Times New Roman" w:hAnsi="Times New Roman"/>
          <w:b/>
          <w:bCs/>
          <w:sz w:val="24"/>
        </w:rPr>
        <w:t>$50,340.</w:t>
      </w:r>
      <w:r w:rsidR="00B02D3D" w:rsidRPr="00344D31">
        <w:rPr>
          <w:rFonts w:ascii="Times New Roman" w:hAnsi="Times New Roman"/>
          <w:b/>
          <w:bCs/>
          <w:sz w:val="24"/>
        </w:rPr>
        <w:t xml:space="preserve"> (Ramas) </w:t>
      </w:r>
    </w:p>
    <w:p w:rsidR="00B02D3D" w:rsidRPr="00344D31" w:rsidRDefault="00B02D3D" w:rsidP="00573476">
      <w:pPr>
        <w:tabs>
          <w:tab w:val="left" w:pos="720"/>
        </w:tabs>
        <w:ind w:left="1440" w:hanging="1440"/>
        <w:jc w:val="both"/>
        <w:rPr>
          <w:rFonts w:ascii="Times New Roman" w:hAnsi="Times New Roman"/>
          <w:b/>
          <w:bCs/>
          <w:sz w:val="24"/>
        </w:rPr>
      </w:pPr>
    </w:p>
    <w:p w:rsidR="0065565D" w:rsidRDefault="0065565D"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68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Executive Financial Planning Expenses be included in operating expenses?</w:t>
      </w:r>
    </w:p>
    <w:p w:rsidR="00A844C9" w:rsidRDefault="00A844C9" w:rsidP="00275B80">
      <w:pPr>
        <w:tabs>
          <w:tab w:val="left" w:pos="720"/>
        </w:tabs>
        <w:ind w:left="1440" w:hanging="1440"/>
        <w:jc w:val="both"/>
        <w:rPr>
          <w:rFonts w:ascii="Times New Roman" w:hAnsi="Times New Roman"/>
          <w:bCs/>
          <w:sz w:val="24"/>
        </w:rPr>
      </w:pPr>
    </w:p>
    <w:p w:rsidR="00D80701" w:rsidRPr="00344D31" w:rsidRDefault="00275B80" w:rsidP="00B02D3D">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A844C9" w:rsidRPr="00344D31">
        <w:rPr>
          <w:rFonts w:ascii="Times New Roman" w:hAnsi="Times New Roman"/>
          <w:b/>
          <w:bCs/>
          <w:sz w:val="24"/>
        </w:rPr>
        <w:t>No.</w:t>
      </w:r>
      <w:r w:rsidRPr="00344D31">
        <w:rPr>
          <w:rFonts w:ascii="Times New Roman" w:hAnsi="Times New Roman"/>
          <w:b/>
          <w:bCs/>
          <w:sz w:val="24"/>
        </w:rPr>
        <w:t xml:space="preserve"> </w:t>
      </w:r>
      <w:r w:rsidR="00B02D3D" w:rsidRPr="00344D31">
        <w:rPr>
          <w:rFonts w:ascii="Times New Roman" w:hAnsi="Times New Roman"/>
          <w:b/>
          <w:bCs/>
          <w:sz w:val="24"/>
        </w:rPr>
        <w:t xml:space="preserve">Gulf removed $13,000 from test year expenses for management financial planning, consistent with the Commission’s treatment in Gulf’s last rate case. Gulf’s response to OPC Interrogatory 184(c), states that the test year includes $61,452 for amounts paid to financial planning vendors for the executive financial planning services.  Gulf’s executives receive adequate compensation to provide for their own financial planning consultants, and ratepayers should not be required to fund any of these costs in rates. Test year expenses should be reduced by $48,000 of executive financial planning costs remaining in the 2012 test year.  </w:t>
      </w:r>
      <w:r w:rsidR="00F24FC7" w:rsidRPr="00344D31">
        <w:rPr>
          <w:rFonts w:ascii="Times New Roman" w:hAnsi="Times New Roman"/>
          <w:b/>
          <w:bCs/>
          <w:sz w:val="24"/>
        </w:rPr>
        <w:t>(Ramas)</w:t>
      </w:r>
    </w:p>
    <w:p w:rsidR="00B02D3D" w:rsidRDefault="00B02D3D" w:rsidP="00B02D3D">
      <w:pPr>
        <w:tabs>
          <w:tab w:val="left" w:pos="720"/>
        </w:tabs>
        <w:ind w:left="1440" w:hanging="1440"/>
        <w:jc w:val="both"/>
        <w:rPr>
          <w:rFonts w:ascii="Times New Roman" w:hAnsi="Times New Roman"/>
          <w:bCs/>
          <w:sz w:val="24"/>
        </w:rPr>
      </w:pPr>
    </w:p>
    <w:p w:rsidR="00B02D3D" w:rsidRPr="00D80701" w:rsidRDefault="00B02D3D" w:rsidP="00B02D3D">
      <w:pPr>
        <w:tabs>
          <w:tab w:val="left" w:pos="72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69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Are Gulf's proposed increases to average salaries for Gulf appropriate? </w:t>
      </w:r>
    </w:p>
    <w:p w:rsidR="00D80701" w:rsidRDefault="00D80701"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287685">
        <w:rPr>
          <w:rFonts w:ascii="Times New Roman" w:hAnsi="Times New Roman"/>
          <w:b/>
          <w:bCs/>
          <w:sz w:val="24"/>
        </w:rPr>
        <w:t>No. See OPC’s position on Issue 70. (Ramas)</w:t>
      </w: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Are Gulf's proposed increases in employee positions for Gulf appropriate? </w:t>
      </w:r>
    </w:p>
    <w:p w:rsidR="00D80701" w:rsidRDefault="00D80701" w:rsidP="00D80701">
      <w:pPr>
        <w:widowControl/>
        <w:tabs>
          <w:tab w:val="left" w:pos="-1440"/>
        </w:tabs>
        <w:ind w:left="1440" w:hanging="1440"/>
        <w:jc w:val="both"/>
        <w:rPr>
          <w:rFonts w:ascii="Times New Roman" w:hAnsi="Times New Roman"/>
          <w:sz w:val="24"/>
        </w:rPr>
      </w:pPr>
    </w:p>
    <w:p w:rsidR="003D762A" w:rsidRPr="00344D31" w:rsidRDefault="00275B80" w:rsidP="003D762A">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6843BD" w:rsidRPr="00344D31">
        <w:rPr>
          <w:rFonts w:ascii="Times New Roman" w:hAnsi="Times New Roman"/>
          <w:b/>
          <w:bCs/>
          <w:sz w:val="24"/>
        </w:rPr>
        <w:t>No.</w:t>
      </w:r>
      <w:r w:rsidR="00573476" w:rsidRPr="00344D31">
        <w:rPr>
          <w:rFonts w:ascii="Times New Roman" w:hAnsi="Times New Roman"/>
          <w:b/>
          <w:bCs/>
          <w:sz w:val="24"/>
        </w:rPr>
        <w:t xml:space="preserve"> </w:t>
      </w:r>
      <w:r w:rsidR="003D762A" w:rsidRPr="00344D31">
        <w:rPr>
          <w:rFonts w:ascii="Times New Roman" w:hAnsi="Times New Roman"/>
          <w:b/>
          <w:bCs/>
          <w:sz w:val="24"/>
        </w:rPr>
        <w:t>Gulf projected 159 additional employees</w:t>
      </w:r>
      <w:r w:rsidR="00017949">
        <w:rPr>
          <w:rFonts w:ascii="Times New Roman" w:hAnsi="Times New Roman"/>
          <w:b/>
          <w:bCs/>
          <w:sz w:val="24"/>
        </w:rPr>
        <w:t xml:space="preserve"> </w:t>
      </w:r>
      <w:r w:rsidR="00331BD4">
        <w:rPr>
          <w:rFonts w:ascii="Times New Roman" w:hAnsi="Times New Roman"/>
          <w:b/>
          <w:bCs/>
          <w:sz w:val="24"/>
        </w:rPr>
        <w:t>(a</w:t>
      </w:r>
      <w:r w:rsidR="00331BD4" w:rsidRPr="00344D31">
        <w:rPr>
          <w:rFonts w:ascii="Times New Roman" w:hAnsi="Times New Roman"/>
          <w:b/>
          <w:bCs/>
          <w:sz w:val="24"/>
        </w:rPr>
        <w:t xml:space="preserve"> 12% increase</w:t>
      </w:r>
      <w:r w:rsidR="00331BD4">
        <w:rPr>
          <w:rFonts w:ascii="Times New Roman" w:hAnsi="Times New Roman"/>
          <w:b/>
          <w:bCs/>
          <w:sz w:val="24"/>
        </w:rPr>
        <w:t xml:space="preserve">) </w:t>
      </w:r>
      <w:r w:rsidR="00017949">
        <w:rPr>
          <w:rFonts w:ascii="Times New Roman" w:hAnsi="Times New Roman"/>
          <w:b/>
          <w:bCs/>
          <w:sz w:val="24"/>
        </w:rPr>
        <w:t xml:space="preserve">between year ended December 31, 2010 and the January 1, 2012 beginning of the test year.  This </w:t>
      </w:r>
      <w:r w:rsidR="002136D2">
        <w:rPr>
          <w:rFonts w:ascii="Times New Roman" w:hAnsi="Times New Roman"/>
          <w:b/>
          <w:bCs/>
          <w:sz w:val="24"/>
        </w:rPr>
        <w:t>results in a</w:t>
      </w:r>
      <w:r w:rsidR="003D762A" w:rsidRPr="00344D31">
        <w:rPr>
          <w:rFonts w:ascii="Times New Roman" w:hAnsi="Times New Roman"/>
          <w:b/>
          <w:bCs/>
          <w:sz w:val="24"/>
        </w:rPr>
        <w:t xml:space="preserve"> projected 2012 base payroll costs increase of $4,387,786. </w:t>
      </w:r>
      <w:r w:rsidR="002136D2">
        <w:rPr>
          <w:rFonts w:ascii="Times New Roman" w:hAnsi="Times New Roman"/>
          <w:b/>
          <w:bCs/>
          <w:sz w:val="24"/>
        </w:rPr>
        <w:t xml:space="preserve">Overall </w:t>
      </w:r>
      <w:r w:rsidR="003D762A" w:rsidRPr="00344D31">
        <w:rPr>
          <w:rFonts w:ascii="Times New Roman" w:hAnsi="Times New Roman"/>
          <w:b/>
          <w:bCs/>
          <w:sz w:val="24"/>
        </w:rPr>
        <w:t>O&amp;M expenses</w:t>
      </w:r>
      <w:r w:rsidR="002136D2">
        <w:rPr>
          <w:rFonts w:ascii="Times New Roman" w:hAnsi="Times New Roman"/>
          <w:b/>
          <w:bCs/>
          <w:sz w:val="24"/>
        </w:rPr>
        <w:t>, af</w:t>
      </w:r>
      <w:r w:rsidR="00331BD4">
        <w:rPr>
          <w:rFonts w:ascii="Times New Roman" w:hAnsi="Times New Roman"/>
          <w:b/>
          <w:bCs/>
          <w:sz w:val="24"/>
        </w:rPr>
        <w:t>t</w:t>
      </w:r>
      <w:r w:rsidR="002136D2">
        <w:rPr>
          <w:rFonts w:ascii="Times New Roman" w:hAnsi="Times New Roman"/>
          <w:b/>
          <w:bCs/>
          <w:sz w:val="24"/>
        </w:rPr>
        <w:t>er removal of clauses,</w:t>
      </w:r>
      <w:r w:rsidR="003D762A" w:rsidRPr="00344D31">
        <w:rPr>
          <w:rFonts w:ascii="Times New Roman" w:hAnsi="Times New Roman"/>
          <w:b/>
          <w:bCs/>
          <w:sz w:val="24"/>
        </w:rPr>
        <w:t xml:space="preserve"> were increased by $6,120,261 related to the new employees</w:t>
      </w:r>
      <w:r w:rsidR="002136D2">
        <w:rPr>
          <w:rFonts w:ascii="Times New Roman" w:hAnsi="Times New Roman"/>
          <w:b/>
          <w:bCs/>
          <w:sz w:val="24"/>
        </w:rPr>
        <w:t xml:space="preserve"> once the related bonuses and employee benefits are also considered</w:t>
      </w:r>
      <w:r w:rsidR="003D762A" w:rsidRPr="00344D31">
        <w:rPr>
          <w:rFonts w:ascii="Times New Roman" w:hAnsi="Times New Roman"/>
          <w:b/>
          <w:bCs/>
          <w:sz w:val="24"/>
        </w:rPr>
        <w:t xml:space="preserve">. Gulf assumed a zero employee vacancy rate for the entire 2012 test year. Since its last rate case, in the past nine years Gulf’s vacancy rate has consistently been below budget and ranged from 5.08% to 6.10%.  For the 6-month period ended June 30, 2011, Gulf’s average employee complement was 9.81% below budget. As of June 30, 2011, Gulf had increased its </w:t>
      </w:r>
      <w:r w:rsidR="00331BD4">
        <w:rPr>
          <w:rFonts w:ascii="Times New Roman" w:hAnsi="Times New Roman"/>
          <w:b/>
          <w:bCs/>
          <w:sz w:val="24"/>
        </w:rPr>
        <w:t xml:space="preserve">number of </w:t>
      </w:r>
      <w:r w:rsidR="003D762A" w:rsidRPr="00344D31">
        <w:rPr>
          <w:rFonts w:ascii="Times New Roman" w:hAnsi="Times New Roman"/>
          <w:b/>
          <w:bCs/>
          <w:sz w:val="24"/>
        </w:rPr>
        <w:t>employees by 33 but was still 124 employees below budget.   It is unrealistic and unreasonable to assume that Gulf will fill 100% of its budgeted employee positions by January 2012 or that Gulf will maintain a 0% vacancy factor throughout the entire test year.  Gulf’s employee increase should be reduced by 91 positions, allowing 68 additional positions, or 42.8% of its request which results in 1,398 employees in the test year. Gulf’s expenses should be reduced by $3,195,627, which removes the base payroll, medical and other group insurance costs, and employee savings plan costs. (Ramas)</w:t>
      </w:r>
    </w:p>
    <w:p w:rsidR="003D762A" w:rsidRPr="00D80701" w:rsidRDefault="003D762A" w:rsidP="003D762A">
      <w:pPr>
        <w:widowControl/>
        <w:tabs>
          <w:tab w:val="left" w:pos="-1440"/>
        </w:tabs>
        <w:ind w:left="1440" w:hanging="1440"/>
        <w:jc w:val="both"/>
        <w:rPr>
          <w:rFonts w:ascii="Times New Roman" w:hAnsi="Times New Roman"/>
          <w:sz w:val="24"/>
        </w:rPr>
      </w:pPr>
    </w:p>
    <w:p w:rsidR="00331BD4" w:rsidRDefault="00331BD4"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b/>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How much, if any, of Gulf’s proposed Incentive Compensation expenses should be included in operating expenses?  </w:t>
      </w:r>
    </w:p>
    <w:p w:rsidR="00D80701" w:rsidRDefault="00D80701" w:rsidP="00D80701">
      <w:pPr>
        <w:widowControl/>
        <w:ind w:left="1440" w:hanging="1440"/>
        <w:jc w:val="both"/>
        <w:rPr>
          <w:rFonts w:ascii="Times New Roman" w:hAnsi="Times New Roman"/>
          <w:sz w:val="24"/>
        </w:rPr>
      </w:pPr>
    </w:p>
    <w:p w:rsidR="00E047CF" w:rsidRPr="00344D31" w:rsidRDefault="00275B80" w:rsidP="00344D31">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DC4189" w:rsidRPr="00344D31">
        <w:rPr>
          <w:rFonts w:ascii="Times New Roman" w:hAnsi="Times New Roman"/>
          <w:b/>
          <w:bCs/>
          <w:sz w:val="24"/>
        </w:rPr>
        <w:t xml:space="preserve">Gulf incentive compensation programs result in a requested expense of $12,623,632 </w:t>
      </w:r>
      <w:r w:rsidR="00331BD4">
        <w:rPr>
          <w:rFonts w:ascii="Times New Roman" w:hAnsi="Times New Roman"/>
          <w:b/>
          <w:bCs/>
          <w:sz w:val="24"/>
        </w:rPr>
        <w:t>(</w:t>
      </w:r>
      <w:r w:rsidR="00DC4189" w:rsidRPr="00344D31">
        <w:rPr>
          <w:rFonts w:ascii="Times New Roman" w:hAnsi="Times New Roman"/>
          <w:b/>
          <w:bCs/>
          <w:sz w:val="24"/>
        </w:rPr>
        <w:t>included in the adjusted test year O&amp;M expenses</w:t>
      </w:r>
      <w:r w:rsidR="00331BD4">
        <w:rPr>
          <w:rFonts w:ascii="Times New Roman" w:hAnsi="Times New Roman"/>
          <w:b/>
          <w:bCs/>
          <w:sz w:val="24"/>
        </w:rPr>
        <w:t>)</w:t>
      </w:r>
      <w:r w:rsidR="00DC4189" w:rsidRPr="00344D31">
        <w:rPr>
          <w:rFonts w:ascii="Times New Roman" w:hAnsi="Times New Roman"/>
          <w:b/>
          <w:bCs/>
          <w:sz w:val="24"/>
        </w:rPr>
        <w:t xml:space="preserve"> </w:t>
      </w:r>
      <w:r w:rsidR="00331BD4">
        <w:rPr>
          <w:rFonts w:ascii="Times New Roman" w:hAnsi="Times New Roman"/>
          <w:b/>
          <w:bCs/>
          <w:sz w:val="24"/>
        </w:rPr>
        <w:t xml:space="preserve">plus </w:t>
      </w:r>
      <w:r w:rsidR="00DC4189" w:rsidRPr="00344D31">
        <w:rPr>
          <w:rFonts w:ascii="Times New Roman" w:hAnsi="Times New Roman"/>
          <w:b/>
          <w:bCs/>
          <w:sz w:val="24"/>
        </w:rPr>
        <w:t>$3,245,884 in capital costs. The Stock Option Expense, Performance Share Program, and Performance Dividend Program focus on shareholder return goals and are provided to upper level employees only. The Performance Pay Program (PPP) is available to most employees and is weighted 2/3 on Southern and Gulf earnings and 1/3 on operational goals, which are far outweighed by Southern Company’s financial goals. The target awards range from 5% to 12.5% of base pay bargaining unit employees and lower level employees.  Upper level employees receive 25% to 60% awards, depending on the pay grade, but no PPP awards are given unless Southern’s earnings exceed the prior year’s dividends. The large emphasis on earnings shifts the focus of the plan to areas that benefit shareholders and could be detrimental to the customer service provided.  Consistent with prior Commissio</w:t>
      </w:r>
      <w:r w:rsidR="0055624B" w:rsidRPr="00344D31">
        <w:rPr>
          <w:rFonts w:ascii="Times New Roman" w:hAnsi="Times New Roman"/>
          <w:b/>
          <w:bCs/>
          <w:sz w:val="24"/>
        </w:rPr>
        <w:t>n</w:t>
      </w:r>
      <w:r w:rsidR="00DC4189" w:rsidRPr="00344D31">
        <w:rPr>
          <w:rFonts w:ascii="Times New Roman" w:hAnsi="Times New Roman"/>
          <w:b/>
          <w:bCs/>
          <w:sz w:val="24"/>
        </w:rPr>
        <w:t xml:space="preserve"> practice, t</w:t>
      </w:r>
      <w:r w:rsidR="00E047CF" w:rsidRPr="00344D31">
        <w:rPr>
          <w:rFonts w:ascii="Times New Roman" w:hAnsi="Times New Roman"/>
          <w:b/>
          <w:bCs/>
          <w:sz w:val="24"/>
        </w:rPr>
        <w:t xml:space="preserve">he test year incentive compensation expense should be disallowed and should instead be funded by shareholders. Gulf’s adjusted test year expenses should be reduced by $12,623,632.  </w:t>
      </w:r>
      <w:r w:rsidR="0055624B" w:rsidRPr="00344D31">
        <w:rPr>
          <w:rFonts w:ascii="Times New Roman" w:hAnsi="Times New Roman"/>
          <w:b/>
          <w:bCs/>
          <w:sz w:val="24"/>
        </w:rPr>
        <w:t>Further, if any of the charges from SCS or other affiliates that are incorporated in Gulf’s test year expenses include costs associated with the PPP, the various stock option plans or other incentive compensation plans, those costs should also be removed and not passed on to Gulf’s ratepayers.</w:t>
      </w:r>
      <w:r w:rsidR="00F24FC7" w:rsidRPr="00344D31">
        <w:rPr>
          <w:rFonts w:ascii="Times New Roman" w:hAnsi="Times New Roman"/>
          <w:b/>
          <w:bCs/>
          <w:sz w:val="24"/>
        </w:rPr>
        <w:t xml:space="preserve"> (Ramas)</w:t>
      </w:r>
    </w:p>
    <w:p w:rsidR="00275B80" w:rsidRDefault="00275B80" w:rsidP="00275B80">
      <w:pPr>
        <w:tabs>
          <w:tab w:val="left" w:pos="720"/>
        </w:tabs>
        <w:ind w:left="1440" w:hanging="1440"/>
        <w:jc w:val="both"/>
        <w:rPr>
          <w:rFonts w:ascii="Times New Roman" w:hAnsi="Times New Roman"/>
          <w:bCs/>
          <w:sz w:val="24"/>
        </w:rPr>
      </w:pPr>
      <w:r>
        <w:rPr>
          <w:rFonts w:ascii="Times New Roman" w:hAnsi="Times New Roman"/>
          <w:bCs/>
          <w:sz w:val="24"/>
        </w:rPr>
        <w:t xml:space="preserve"> </w:t>
      </w: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72</w:t>
        </w:r>
      </w:fldSimple>
      <w:r w:rsidRPr="00D80701">
        <w:rPr>
          <w:rFonts w:ascii="Times New Roman" w:hAnsi="Times New Roman"/>
          <w:sz w:val="24"/>
        </w:rPr>
        <w:t xml:space="preserve">:  </w:t>
      </w:r>
      <w:r>
        <w:rPr>
          <w:rFonts w:ascii="Times New Roman" w:hAnsi="Times New Roman"/>
          <w:sz w:val="24"/>
        </w:rPr>
        <w:tab/>
      </w:r>
      <w:r w:rsidR="00344D31">
        <w:rPr>
          <w:rFonts w:ascii="Times New Roman" w:hAnsi="Times New Roman"/>
          <w:sz w:val="24"/>
        </w:rPr>
        <w:t xml:space="preserve">What is the appropriate </w:t>
      </w:r>
      <w:r w:rsidRPr="00D80701">
        <w:rPr>
          <w:rFonts w:ascii="Times New Roman" w:hAnsi="Times New Roman"/>
          <w:sz w:val="24"/>
        </w:rPr>
        <w:t xml:space="preserve">allowance for employee benefit expense? </w:t>
      </w:r>
    </w:p>
    <w:p w:rsidR="00D80701" w:rsidRDefault="00D80701" w:rsidP="00D80701">
      <w:pPr>
        <w:widowControl/>
        <w:ind w:left="1440" w:hanging="1440"/>
        <w:jc w:val="both"/>
        <w:rPr>
          <w:rFonts w:ascii="Times New Roman" w:hAnsi="Times New Roman"/>
          <w:sz w:val="24"/>
          <w:u w:val="single"/>
        </w:rPr>
      </w:pPr>
    </w:p>
    <w:p w:rsidR="00275B80"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573476" w:rsidRPr="00344D31">
        <w:rPr>
          <w:rFonts w:ascii="Times New Roman" w:hAnsi="Times New Roman"/>
          <w:b/>
          <w:bCs/>
          <w:sz w:val="24"/>
        </w:rPr>
        <w:t xml:space="preserve">OPC’s </w:t>
      </w:r>
      <w:r w:rsidR="0055624B" w:rsidRPr="00344D31">
        <w:rPr>
          <w:rFonts w:ascii="Times New Roman" w:hAnsi="Times New Roman"/>
          <w:b/>
          <w:bCs/>
          <w:sz w:val="24"/>
        </w:rPr>
        <w:t xml:space="preserve">recommended adjustments to employee benefits have been incorporated into our </w:t>
      </w:r>
      <w:r w:rsidR="00573476" w:rsidRPr="00344D31">
        <w:rPr>
          <w:rFonts w:ascii="Times New Roman" w:hAnsi="Times New Roman"/>
          <w:b/>
          <w:bCs/>
          <w:sz w:val="24"/>
        </w:rPr>
        <w:t xml:space="preserve">positions on </w:t>
      </w:r>
      <w:r w:rsidR="0055624B" w:rsidRPr="00344D31">
        <w:rPr>
          <w:rFonts w:ascii="Times New Roman" w:hAnsi="Times New Roman"/>
          <w:b/>
          <w:bCs/>
          <w:sz w:val="24"/>
        </w:rPr>
        <w:t>I</w:t>
      </w:r>
      <w:r w:rsidR="00573476" w:rsidRPr="00344D31">
        <w:rPr>
          <w:rFonts w:ascii="Times New Roman" w:hAnsi="Times New Roman"/>
          <w:b/>
          <w:bCs/>
          <w:sz w:val="24"/>
        </w:rPr>
        <w:t>ssues</w:t>
      </w:r>
      <w:r w:rsidR="0055624B" w:rsidRPr="00344D31">
        <w:rPr>
          <w:rFonts w:ascii="Times New Roman" w:hAnsi="Times New Roman"/>
          <w:b/>
          <w:bCs/>
          <w:sz w:val="24"/>
        </w:rPr>
        <w:t xml:space="preserve"> 66, 67, 68, 70 and 71. (Ramas)</w:t>
      </w:r>
    </w:p>
    <w:p w:rsidR="00331BD4" w:rsidRDefault="00331BD4" w:rsidP="00275B80">
      <w:pPr>
        <w:tabs>
          <w:tab w:val="left" w:pos="720"/>
        </w:tabs>
        <w:ind w:left="1440" w:hanging="1440"/>
        <w:jc w:val="both"/>
        <w:rPr>
          <w:rFonts w:ascii="Times New Roman" w:hAnsi="Times New Roman"/>
          <w:b/>
          <w:bCs/>
          <w:sz w:val="24"/>
        </w:rPr>
      </w:pPr>
    </w:p>
    <w:p w:rsidR="00331BD4" w:rsidRPr="00344D31" w:rsidRDefault="00331BD4" w:rsidP="00275B80">
      <w:pPr>
        <w:tabs>
          <w:tab w:val="left" w:pos="720"/>
        </w:tabs>
        <w:ind w:left="1440" w:hanging="1440"/>
        <w:jc w:val="both"/>
        <w:rPr>
          <w:rFonts w:ascii="Times New Roman" w:hAnsi="Times New Roman"/>
          <w:b/>
          <w:bCs/>
          <w:sz w:val="24"/>
        </w:rPr>
      </w:pPr>
    </w:p>
    <w:p w:rsidR="00275B80" w:rsidRPr="00D80701" w:rsidRDefault="00275B80" w:rsidP="00D80701">
      <w:pPr>
        <w:widowControl/>
        <w:ind w:left="1440" w:hanging="1440"/>
        <w:jc w:val="both"/>
        <w:rPr>
          <w:rFonts w:ascii="Times New Roman" w:hAnsi="Times New Roman"/>
          <w:sz w:val="24"/>
          <w:u w:val="single"/>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73</w:t>
        </w:r>
      </w:fldSimple>
      <w:r w:rsidRPr="00D80701">
        <w:rPr>
          <w:rFonts w:ascii="Times New Roman" w:hAnsi="Times New Roman"/>
          <w:sz w:val="24"/>
        </w:rPr>
        <w:t xml:space="preserve">:  </w:t>
      </w:r>
      <w:r>
        <w:rPr>
          <w:rFonts w:ascii="Times New Roman" w:hAnsi="Times New Roman"/>
          <w:sz w:val="24"/>
        </w:rPr>
        <w:tab/>
      </w:r>
      <w:r w:rsidR="00331BD4">
        <w:rPr>
          <w:rFonts w:ascii="Times New Roman" w:hAnsi="Times New Roman"/>
          <w:sz w:val="24"/>
        </w:rPr>
        <w:t>What is the appropriate amount of</w:t>
      </w:r>
      <w:r w:rsidR="00331BD4" w:rsidRPr="00D80701">
        <w:rPr>
          <w:rFonts w:ascii="Times New Roman" w:hAnsi="Times New Roman"/>
          <w:sz w:val="24"/>
        </w:rPr>
        <w:t xml:space="preserve"> </w:t>
      </w:r>
      <w:r w:rsidRPr="00D80701">
        <w:rPr>
          <w:rFonts w:ascii="Times New Roman" w:hAnsi="Times New Roman"/>
          <w:sz w:val="24"/>
        </w:rPr>
        <w:t xml:space="preserve">Other Post Employment Benefits Expense for the 2012 projected test year? </w:t>
      </w:r>
    </w:p>
    <w:p w:rsidR="00D80701" w:rsidRDefault="00D80701" w:rsidP="00D80701">
      <w:pPr>
        <w:widowControl/>
        <w:ind w:left="1440" w:hanging="1440"/>
        <w:jc w:val="both"/>
        <w:rPr>
          <w:rFonts w:ascii="Times New Roman" w:hAnsi="Times New Roman"/>
          <w:sz w:val="24"/>
        </w:rPr>
      </w:pPr>
    </w:p>
    <w:p w:rsidR="0055624B" w:rsidRPr="00344D31" w:rsidRDefault="006843BD" w:rsidP="0055624B">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2136D2">
        <w:rPr>
          <w:rFonts w:ascii="Times New Roman" w:hAnsi="Times New Roman"/>
          <w:b/>
          <w:bCs/>
          <w:sz w:val="24"/>
        </w:rPr>
        <w:t>OPC does not take issue with the amount of Other Post Employment Ben</w:t>
      </w:r>
      <w:r w:rsidR="00331BD4">
        <w:rPr>
          <w:rFonts w:ascii="Times New Roman" w:hAnsi="Times New Roman"/>
          <w:b/>
          <w:bCs/>
          <w:sz w:val="24"/>
        </w:rPr>
        <w:t>e</w:t>
      </w:r>
      <w:r w:rsidR="002136D2">
        <w:rPr>
          <w:rFonts w:ascii="Times New Roman" w:hAnsi="Times New Roman"/>
          <w:b/>
          <w:bCs/>
          <w:sz w:val="24"/>
        </w:rPr>
        <w:t>fits Expense incorporated in Gulf’s filing at this time.</w:t>
      </w:r>
      <w:r w:rsidR="0055624B" w:rsidRPr="00344D31">
        <w:rPr>
          <w:rFonts w:ascii="Times New Roman" w:hAnsi="Times New Roman"/>
          <w:b/>
          <w:bCs/>
          <w:sz w:val="24"/>
        </w:rPr>
        <w:t xml:space="preserve"> (Ramas)</w:t>
      </w:r>
    </w:p>
    <w:p w:rsidR="00275B80" w:rsidRPr="00344D31" w:rsidRDefault="00275B80" w:rsidP="00344D31">
      <w:pPr>
        <w:tabs>
          <w:tab w:val="left" w:pos="720"/>
        </w:tabs>
        <w:ind w:left="1440" w:hanging="1440"/>
        <w:jc w:val="both"/>
        <w:rPr>
          <w:rFonts w:ascii="Times New Roman" w:hAnsi="Times New Roman"/>
          <w:b/>
          <w:bCs/>
          <w:sz w:val="24"/>
        </w:rPr>
      </w:pPr>
    </w:p>
    <w:p w:rsidR="0065565D" w:rsidRDefault="0065565D"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shd w:val="clear" w:color="auto" w:fill="E0E0E0"/>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74</w:t>
        </w:r>
      </w:fldSimple>
      <w:r w:rsidRPr="00D80701">
        <w:rPr>
          <w:rFonts w:ascii="Times New Roman" w:hAnsi="Times New Roman"/>
          <w:sz w:val="24"/>
        </w:rPr>
        <w:t xml:space="preserve">:  </w:t>
      </w:r>
      <w:r>
        <w:rPr>
          <w:rFonts w:ascii="Times New Roman" w:hAnsi="Times New Roman"/>
          <w:sz w:val="24"/>
        </w:rPr>
        <w:tab/>
      </w:r>
      <w:r w:rsidR="00344D31">
        <w:rPr>
          <w:rFonts w:ascii="Times New Roman" w:hAnsi="Times New Roman"/>
          <w:sz w:val="24"/>
        </w:rPr>
        <w:t xml:space="preserve">What is the appropriate amount of </w:t>
      </w:r>
      <w:r w:rsidRPr="00D80701">
        <w:rPr>
          <w:rFonts w:ascii="Times New Roman" w:hAnsi="Times New Roman"/>
          <w:sz w:val="24"/>
        </w:rPr>
        <w:t>Gulf</w:t>
      </w:r>
      <w:r w:rsidR="002136D2">
        <w:rPr>
          <w:rFonts w:ascii="Times New Roman" w:hAnsi="Times New Roman"/>
          <w:sz w:val="24"/>
        </w:rPr>
        <w:t>’</w:t>
      </w:r>
      <w:r w:rsidRPr="00D80701">
        <w:rPr>
          <w:rFonts w:ascii="Times New Roman" w:hAnsi="Times New Roman"/>
          <w:sz w:val="24"/>
        </w:rPr>
        <w:t xml:space="preserve">s requested </w:t>
      </w:r>
      <w:r w:rsidR="00573476">
        <w:rPr>
          <w:rFonts w:ascii="Times New Roman" w:hAnsi="Times New Roman"/>
          <w:sz w:val="24"/>
        </w:rPr>
        <w:t xml:space="preserve">level of Salaries and Employee </w:t>
      </w:r>
      <w:r w:rsidRPr="00D80701">
        <w:rPr>
          <w:rFonts w:ascii="Times New Roman" w:hAnsi="Times New Roman"/>
          <w:sz w:val="24"/>
        </w:rPr>
        <w:t xml:space="preserve">Benefits for the 2012 projected test year?  </w:t>
      </w:r>
      <w:r w:rsidRPr="00D80701">
        <w:rPr>
          <w:rFonts w:ascii="Times New Roman" w:hAnsi="Times New Roman"/>
          <w:sz w:val="24"/>
          <w:shd w:val="clear" w:color="auto" w:fill="E0E0E0"/>
        </w:rPr>
        <w:t>(Fallout Issue)</w:t>
      </w:r>
    </w:p>
    <w:p w:rsidR="006843BD" w:rsidRPr="00D80701" w:rsidRDefault="006843BD" w:rsidP="00D80701">
      <w:pPr>
        <w:widowControl/>
        <w:tabs>
          <w:tab w:val="left" w:pos="-1440"/>
        </w:tabs>
        <w:ind w:left="1440" w:hanging="1440"/>
        <w:jc w:val="both"/>
        <w:rPr>
          <w:rFonts w:ascii="Times New Roman" w:hAnsi="Times New Roman"/>
          <w:sz w:val="24"/>
        </w:rPr>
      </w:pPr>
    </w:p>
    <w:p w:rsidR="00D80701" w:rsidRPr="00344D31" w:rsidRDefault="00275B80" w:rsidP="00573476">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573476" w:rsidRPr="00344D31">
        <w:rPr>
          <w:rFonts w:ascii="Times New Roman" w:hAnsi="Times New Roman"/>
          <w:b/>
          <w:bCs/>
          <w:sz w:val="24"/>
        </w:rPr>
        <w:t>See OPC’s positions on issues</w:t>
      </w:r>
      <w:r w:rsidR="00331BD4">
        <w:rPr>
          <w:rFonts w:ascii="Times New Roman" w:hAnsi="Times New Roman"/>
          <w:b/>
          <w:bCs/>
          <w:sz w:val="24"/>
        </w:rPr>
        <w:t xml:space="preserve"> 68 through 73</w:t>
      </w:r>
      <w:r w:rsidR="00573476" w:rsidRPr="00344D31">
        <w:rPr>
          <w:rFonts w:ascii="Times New Roman" w:hAnsi="Times New Roman"/>
          <w:b/>
          <w:bCs/>
          <w:sz w:val="24"/>
        </w:rPr>
        <w:t xml:space="preserve">.  </w:t>
      </w:r>
      <w:r w:rsidR="00287685">
        <w:rPr>
          <w:rFonts w:ascii="Times New Roman" w:hAnsi="Times New Roman"/>
          <w:b/>
          <w:bCs/>
          <w:sz w:val="24"/>
        </w:rPr>
        <w:t>(Ramas)</w:t>
      </w:r>
    </w:p>
    <w:p w:rsidR="00573476" w:rsidRDefault="00573476" w:rsidP="00573476">
      <w:pPr>
        <w:tabs>
          <w:tab w:val="left" w:pos="720"/>
        </w:tabs>
        <w:ind w:left="1440" w:hanging="1440"/>
        <w:jc w:val="both"/>
        <w:rPr>
          <w:rFonts w:ascii="Times New Roman" w:hAnsi="Times New Roman"/>
          <w:sz w:val="24"/>
        </w:rPr>
      </w:pPr>
    </w:p>
    <w:p w:rsidR="00D5389A" w:rsidRPr="00D80701" w:rsidRDefault="00D5389A" w:rsidP="00573476">
      <w:pPr>
        <w:tabs>
          <w:tab w:val="left" w:pos="720"/>
        </w:tabs>
        <w:ind w:left="1440" w:hanging="1440"/>
        <w:jc w:val="both"/>
        <w:rPr>
          <w:rFonts w:ascii="Times New Roman" w:hAnsi="Times New Roman"/>
          <w:sz w:val="24"/>
        </w:rPr>
      </w:pPr>
    </w:p>
    <w:p w:rsidR="0065565D" w:rsidRDefault="0065565D"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75</w:t>
        </w:r>
      </w:fldSimple>
      <w:r w:rsidRPr="00D80701">
        <w:rPr>
          <w:rFonts w:ascii="Times New Roman" w:hAnsi="Times New Roman"/>
          <w:sz w:val="24"/>
        </w:rPr>
        <w:t xml:space="preserve">: </w:t>
      </w:r>
      <w:r>
        <w:rPr>
          <w:rFonts w:ascii="Times New Roman" w:hAnsi="Times New Roman"/>
          <w:sz w:val="24"/>
        </w:rPr>
        <w:tab/>
      </w:r>
      <w:r w:rsidR="00344D31">
        <w:rPr>
          <w:rFonts w:ascii="Times New Roman" w:hAnsi="Times New Roman"/>
          <w:sz w:val="24"/>
        </w:rPr>
        <w:t xml:space="preserve">What is the appropriate amount of </w:t>
      </w:r>
      <w:r w:rsidRPr="00D80701">
        <w:rPr>
          <w:rFonts w:ascii="Times New Roman" w:hAnsi="Times New Roman"/>
          <w:sz w:val="24"/>
        </w:rPr>
        <w:t xml:space="preserve">Pension Expense for the 2012 projected test year?  </w:t>
      </w:r>
    </w:p>
    <w:p w:rsidR="00D3575D" w:rsidRPr="00D80701" w:rsidRDefault="00D3575D" w:rsidP="00D80701">
      <w:pPr>
        <w:widowControl/>
        <w:tabs>
          <w:tab w:val="left" w:pos="-1440"/>
        </w:tabs>
        <w:ind w:left="1440" w:hanging="1440"/>
        <w:jc w:val="both"/>
        <w:rPr>
          <w:rFonts w:ascii="Times New Roman" w:hAnsi="Times New Roman"/>
          <w:sz w:val="24"/>
        </w:rPr>
      </w:pPr>
    </w:p>
    <w:p w:rsidR="0055624B" w:rsidRPr="00344D31" w:rsidRDefault="00275B80" w:rsidP="0055624B">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2136D2">
        <w:rPr>
          <w:rFonts w:ascii="Times New Roman" w:hAnsi="Times New Roman"/>
          <w:b/>
          <w:bCs/>
          <w:sz w:val="24"/>
        </w:rPr>
        <w:t>OPC does not take issue with the amount of Pension Expense incorporated in Gulf’s filing at this time.</w:t>
      </w:r>
      <w:r w:rsidR="00331BD4">
        <w:rPr>
          <w:rFonts w:ascii="Times New Roman" w:hAnsi="Times New Roman"/>
          <w:b/>
          <w:bCs/>
          <w:sz w:val="24"/>
        </w:rPr>
        <w:t xml:space="preserve"> </w:t>
      </w:r>
      <w:r w:rsidR="0055624B" w:rsidRPr="00344D31">
        <w:rPr>
          <w:rFonts w:ascii="Times New Roman" w:hAnsi="Times New Roman"/>
          <w:b/>
          <w:bCs/>
          <w:sz w:val="24"/>
        </w:rPr>
        <w:t>(Ramas)</w:t>
      </w:r>
    </w:p>
    <w:p w:rsidR="00D80701" w:rsidRPr="00D80701" w:rsidRDefault="00D80701" w:rsidP="00D80701">
      <w:pPr>
        <w:widowControl/>
        <w:ind w:left="1440" w:hanging="1440"/>
        <w:jc w:val="both"/>
        <w:rPr>
          <w:rFonts w:ascii="Times New Roman" w:hAnsi="Times New Roman"/>
          <w:sz w:val="24"/>
          <w:u w:val="single"/>
        </w:rPr>
      </w:pPr>
    </w:p>
    <w:p w:rsidR="0065565D" w:rsidRDefault="0065565D"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76</w:t>
        </w:r>
      </w:fldSimple>
      <w:r w:rsidRPr="00D80701">
        <w:rPr>
          <w:rFonts w:ascii="Times New Roman" w:hAnsi="Times New Roman"/>
          <w:sz w:val="24"/>
        </w:rPr>
        <w:t xml:space="preserve">:  </w:t>
      </w:r>
      <w:r>
        <w:rPr>
          <w:rFonts w:ascii="Times New Roman" w:hAnsi="Times New Roman"/>
          <w:sz w:val="24"/>
        </w:rPr>
        <w:tab/>
      </w:r>
      <w:r w:rsidR="00344D31">
        <w:rPr>
          <w:rFonts w:ascii="Times New Roman" w:hAnsi="Times New Roman"/>
          <w:sz w:val="24"/>
        </w:rPr>
        <w:t xml:space="preserve">What is the appropriate amount of </w:t>
      </w:r>
      <w:r w:rsidRPr="00D80701">
        <w:rPr>
          <w:rFonts w:ascii="Times New Roman" w:hAnsi="Times New Roman"/>
          <w:sz w:val="24"/>
        </w:rPr>
        <w:t xml:space="preserve">the accrual for storm damage for the 2012 projected test year?  </w:t>
      </w:r>
    </w:p>
    <w:p w:rsidR="00D3575D" w:rsidRPr="00D80701" w:rsidRDefault="00D3575D"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573476" w:rsidRPr="00344D31">
        <w:rPr>
          <w:rFonts w:ascii="Times New Roman" w:hAnsi="Times New Roman"/>
          <w:b/>
          <w:bCs/>
          <w:sz w:val="24"/>
        </w:rPr>
        <w:t>Gulf’s requested increase in the annual accrual is excessive and not justified based on the historical charges to the reserve and the storm standards established for Florida electric utilities, and the storm hardening measures implemented after 2005.  The storm study reflects the storm accrual the Company wanted to collect in rates and also incl</w:t>
      </w:r>
      <w:r w:rsidR="00331BD4">
        <w:rPr>
          <w:rFonts w:ascii="Times New Roman" w:hAnsi="Times New Roman"/>
          <w:b/>
          <w:bCs/>
          <w:sz w:val="24"/>
        </w:rPr>
        <w:t>uded extraordinary storm repair</w:t>
      </w:r>
      <w:r w:rsidR="00573476" w:rsidRPr="00344D31">
        <w:rPr>
          <w:rFonts w:ascii="Times New Roman" w:hAnsi="Times New Roman"/>
          <w:b/>
          <w:bCs/>
          <w:sz w:val="24"/>
        </w:rPr>
        <w:t xml:space="preserve"> costs which historically have been recovered by surcharge mechanisms and were not intended to be covered by the storm reserve. The annual storm accrual should be reduced to $600,000, which reflects a decrease to O&amp;M expense of $6.2 million ($5,962,113 jurisdictional), which will allow an eight-year historical average annual storm costs, excluding the extraordinary storm costs recovered through a surcharge. </w:t>
      </w:r>
      <w:r w:rsidR="00D3575D" w:rsidRPr="00344D31">
        <w:rPr>
          <w:rFonts w:ascii="Times New Roman" w:hAnsi="Times New Roman"/>
          <w:b/>
          <w:bCs/>
          <w:sz w:val="24"/>
        </w:rPr>
        <w:t>See OPC’s position on Issue 27.</w:t>
      </w:r>
      <w:r w:rsidR="00287685">
        <w:rPr>
          <w:rFonts w:ascii="Times New Roman" w:hAnsi="Times New Roman"/>
          <w:b/>
          <w:bCs/>
          <w:sz w:val="24"/>
        </w:rPr>
        <w:t xml:space="preserve"> (Schultz)</w:t>
      </w:r>
    </w:p>
    <w:p w:rsidR="00D80701" w:rsidRPr="00D80701" w:rsidRDefault="00D80701" w:rsidP="00D80701">
      <w:pPr>
        <w:widowControl/>
        <w:ind w:left="1440" w:hanging="1440"/>
        <w:jc w:val="both"/>
        <w:rPr>
          <w:rFonts w:ascii="Times New Roman" w:hAnsi="Times New Roman"/>
          <w:sz w:val="24"/>
          <w:u w:val="single"/>
        </w:rPr>
      </w:pPr>
    </w:p>
    <w:p w:rsidR="0065565D" w:rsidRDefault="0065565D" w:rsidP="0055624B">
      <w:pPr>
        <w:pStyle w:val="BodyText"/>
        <w:ind w:left="1440" w:hanging="1440"/>
        <w:jc w:val="both"/>
        <w:rPr>
          <w:rFonts w:ascii="Times New Roman" w:hAnsi="Times New Roman"/>
          <w:b/>
          <w:sz w:val="24"/>
          <w:u w:val="single"/>
        </w:rPr>
      </w:pPr>
    </w:p>
    <w:p w:rsidR="00D5389A" w:rsidRDefault="00D5389A" w:rsidP="0055624B">
      <w:pPr>
        <w:pStyle w:val="BodyText"/>
        <w:ind w:left="1440" w:hanging="1440"/>
        <w:jc w:val="both"/>
        <w:rPr>
          <w:rFonts w:ascii="Times New Roman" w:hAnsi="Times New Roman"/>
          <w:b/>
          <w:sz w:val="24"/>
          <w:u w:val="single"/>
        </w:rPr>
      </w:pPr>
    </w:p>
    <w:p w:rsidR="00D5389A" w:rsidRDefault="00D5389A" w:rsidP="0055624B">
      <w:pPr>
        <w:pStyle w:val="BodyText"/>
        <w:ind w:left="1440" w:hanging="1440"/>
        <w:jc w:val="both"/>
        <w:rPr>
          <w:rFonts w:ascii="Times New Roman" w:hAnsi="Times New Roman"/>
          <w:b/>
          <w:sz w:val="24"/>
          <w:u w:val="single"/>
        </w:rPr>
      </w:pPr>
    </w:p>
    <w:p w:rsidR="00D80701" w:rsidRDefault="00D80701" w:rsidP="00D5389A">
      <w:pPr>
        <w:pStyle w:val="BodyText"/>
        <w:spacing w:after="0"/>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an adjustment be made to remove Gulf's requested Director's &amp; Officer's Liability Insurance expense?</w:t>
      </w:r>
    </w:p>
    <w:p w:rsidR="00D5389A" w:rsidRPr="00D80701" w:rsidRDefault="00D5389A" w:rsidP="00D5389A">
      <w:pPr>
        <w:pStyle w:val="BodyText"/>
        <w:spacing w:after="0"/>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D3575D" w:rsidRPr="00344D31">
        <w:rPr>
          <w:rFonts w:ascii="Times New Roman" w:hAnsi="Times New Roman"/>
          <w:b/>
          <w:bCs/>
          <w:sz w:val="24"/>
        </w:rPr>
        <w:t xml:space="preserve">Consistent with recent Commission decisions, D&amp;O liability insurance should be reduced by $59,384 or 50% of the identified 2012 projected test year expense ($58,196 jurisdictional). This expense protects shareholders from the decisions they made when they hired the Company’s Board of Directors and the Board of Directors in turn hired the officers of the Company.  The question is whether this cost that the Company has elected to incur as a business expense is for the benefit of shareholders and/or ratepayers.  The benefit of this insurance clearly inures primarily to shareholders.  </w:t>
      </w:r>
      <w:r w:rsidR="0055624B" w:rsidRPr="00344D31">
        <w:rPr>
          <w:rFonts w:ascii="Times New Roman" w:hAnsi="Times New Roman"/>
          <w:b/>
          <w:bCs/>
          <w:sz w:val="24"/>
        </w:rPr>
        <w:t>(</w:t>
      </w:r>
      <w:r w:rsidR="002136D2">
        <w:rPr>
          <w:rFonts w:ascii="Times New Roman" w:hAnsi="Times New Roman"/>
          <w:b/>
          <w:bCs/>
          <w:sz w:val="24"/>
        </w:rPr>
        <w:t>Schultz</w:t>
      </w:r>
      <w:r w:rsidR="0055624B" w:rsidRPr="00344D31">
        <w:rPr>
          <w:rFonts w:ascii="Times New Roman" w:hAnsi="Times New Roman"/>
          <w:b/>
          <w:bCs/>
          <w:sz w:val="24"/>
        </w:rPr>
        <w:t>)</w:t>
      </w:r>
    </w:p>
    <w:p w:rsidR="00275B80" w:rsidRDefault="00275B80" w:rsidP="00D80701">
      <w:pPr>
        <w:widowControl/>
        <w:tabs>
          <w:tab w:val="left" w:pos="-1440"/>
        </w:tabs>
        <w:ind w:left="1440" w:hanging="1440"/>
        <w:jc w:val="both"/>
        <w:rPr>
          <w:rFonts w:ascii="Times New Roman" w:hAnsi="Times New Roman"/>
          <w:b/>
          <w:sz w:val="24"/>
          <w:u w:val="single"/>
        </w:rPr>
      </w:pPr>
    </w:p>
    <w:p w:rsidR="00275B80" w:rsidRDefault="00275B80" w:rsidP="00D80701">
      <w:pPr>
        <w:widowControl/>
        <w:tabs>
          <w:tab w:val="left" w:pos="-1440"/>
        </w:tabs>
        <w:ind w:left="1440" w:hanging="1440"/>
        <w:jc w:val="both"/>
        <w:rPr>
          <w:rFonts w:ascii="Times New Roman" w:hAnsi="Times New Roman"/>
          <w:b/>
          <w:sz w:val="24"/>
          <w:u w:val="single"/>
        </w:rPr>
      </w:pPr>
    </w:p>
    <w:p w:rsidR="00275B80"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78</w:t>
        </w:r>
      </w:fldSimple>
      <w:r w:rsidRPr="00D80701">
        <w:rPr>
          <w:rFonts w:ascii="Times New Roman" w:hAnsi="Times New Roman"/>
          <w:sz w:val="24"/>
        </w:rPr>
        <w:t xml:space="preserve">:  </w:t>
      </w:r>
      <w:r>
        <w:rPr>
          <w:rFonts w:ascii="Times New Roman" w:hAnsi="Times New Roman"/>
          <w:sz w:val="24"/>
        </w:rPr>
        <w:tab/>
      </w:r>
      <w:r w:rsidR="00344D31">
        <w:rPr>
          <w:rFonts w:ascii="Times New Roman" w:hAnsi="Times New Roman"/>
          <w:sz w:val="24"/>
        </w:rPr>
        <w:t xml:space="preserve">What is the appropriate amount of </w:t>
      </w:r>
      <w:r w:rsidRPr="00D80701">
        <w:rPr>
          <w:rFonts w:ascii="Times New Roman" w:hAnsi="Times New Roman"/>
          <w:sz w:val="24"/>
        </w:rPr>
        <w:t xml:space="preserve">the accrual for the Injuries &amp; Damages reserve for the 2012 projected test year? </w:t>
      </w:r>
    </w:p>
    <w:p w:rsidR="00D3575D" w:rsidRDefault="00D3575D"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573476" w:rsidRPr="00344D31">
        <w:rPr>
          <w:rFonts w:ascii="Times New Roman" w:hAnsi="Times New Roman"/>
          <w:b/>
          <w:bCs/>
          <w:sz w:val="24"/>
        </w:rPr>
        <w:t xml:space="preserve">See OPC’s position on Issues 27 and </w:t>
      </w:r>
      <w:r w:rsidR="00D3575D" w:rsidRPr="00344D31">
        <w:rPr>
          <w:rFonts w:ascii="Times New Roman" w:hAnsi="Times New Roman"/>
          <w:b/>
          <w:bCs/>
          <w:sz w:val="24"/>
        </w:rPr>
        <w:t>76.</w:t>
      </w:r>
      <w:r w:rsidRPr="00344D31">
        <w:rPr>
          <w:rFonts w:ascii="Times New Roman" w:hAnsi="Times New Roman"/>
          <w:b/>
          <w:bCs/>
          <w:sz w:val="24"/>
        </w:rPr>
        <w:t xml:space="preserve"> </w:t>
      </w:r>
      <w:r w:rsidR="00331BD4">
        <w:rPr>
          <w:rFonts w:ascii="Times New Roman" w:hAnsi="Times New Roman"/>
          <w:b/>
          <w:bCs/>
          <w:sz w:val="24"/>
        </w:rPr>
        <w:t xml:space="preserve"> OPC takes no position on items within this category other than storm damage. </w:t>
      </w:r>
      <w:r w:rsidR="00287685">
        <w:rPr>
          <w:rFonts w:ascii="Times New Roman" w:hAnsi="Times New Roman"/>
          <w:b/>
          <w:bCs/>
          <w:sz w:val="24"/>
        </w:rPr>
        <w:t>(Schultz)</w:t>
      </w: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sz w:val="24"/>
        </w:rPr>
        <w:t xml:space="preserve"> </w:t>
      </w:r>
    </w:p>
    <w:p w:rsidR="00D80701" w:rsidRPr="00D80701" w:rsidRDefault="00D80701" w:rsidP="00D80701">
      <w:pPr>
        <w:widowControl/>
        <w:ind w:left="1440" w:hanging="1440"/>
        <w:jc w:val="both"/>
        <w:rPr>
          <w:rFonts w:ascii="Times New Roman" w:hAnsi="Times New Roman"/>
          <w:sz w:val="24"/>
          <w:u w:val="single"/>
        </w:rPr>
      </w:pPr>
    </w:p>
    <w:p w:rsidR="0055624B" w:rsidRDefault="00D80701" w:rsidP="0055624B">
      <w:pPr>
        <w:pStyle w:val="BodyText"/>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79</w:t>
        </w:r>
      </w:fldSimple>
      <w:r w:rsidRPr="00D80701">
        <w:rPr>
          <w:rFonts w:ascii="Times New Roman" w:hAnsi="Times New Roman"/>
          <w:sz w:val="24"/>
        </w:rPr>
        <w:t xml:space="preserve">:  </w:t>
      </w:r>
      <w:r>
        <w:rPr>
          <w:rFonts w:ascii="Times New Roman" w:hAnsi="Times New Roman"/>
          <w:sz w:val="24"/>
        </w:rPr>
        <w:tab/>
      </w:r>
      <w:r w:rsidR="00344D31">
        <w:rPr>
          <w:rFonts w:ascii="Times New Roman" w:hAnsi="Times New Roman"/>
          <w:sz w:val="24"/>
        </w:rPr>
        <w:t xml:space="preserve">What is the appropriate amount of </w:t>
      </w:r>
      <w:r w:rsidRPr="00D80701">
        <w:rPr>
          <w:rFonts w:ascii="Times New Roman" w:hAnsi="Times New Roman"/>
          <w:sz w:val="24"/>
        </w:rPr>
        <w:t>Gulf's tree trimming expense for the 2012 projected test year?</w:t>
      </w:r>
    </w:p>
    <w:p w:rsidR="00D80701" w:rsidRDefault="00D80701" w:rsidP="00344D31">
      <w:pPr>
        <w:pStyle w:val="BodyText"/>
        <w:spacing w:after="0"/>
        <w:ind w:left="1440" w:hanging="1440"/>
        <w:rPr>
          <w:rFonts w:ascii="Times New Roman" w:hAnsi="Times New Roman"/>
          <w:sz w:val="24"/>
        </w:rPr>
      </w:pPr>
      <w:r w:rsidRPr="00D80701">
        <w:rPr>
          <w:rFonts w:ascii="Times New Roman" w:hAnsi="Times New Roman"/>
          <w:sz w:val="24"/>
        </w:rPr>
        <w:t xml:space="preserve">  </w:t>
      </w:r>
    </w:p>
    <w:p w:rsidR="00275B80" w:rsidRPr="00344D31" w:rsidRDefault="00275B80" w:rsidP="00EF04D2">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EF04D2" w:rsidRPr="00344D31">
        <w:rPr>
          <w:rFonts w:ascii="Times New Roman" w:hAnsi="Times New Roman"/>
          <w:b/>
          <w:bCs/>
          <w:sz w:val="24"/>
        </w:rPr>
        <w:t>Gulf’s projected $4.918 million for distribution tree trimming in 2012 should be reduced by $386,834 (jurisdictional)</w:t>
      </w:r>
      <w:r w:rsidR="00344D31" w:rsidRPr="00344D31">
        <w:rPr>
          <w:rFonts w:ascii="Times New Roman" w:hAnsi="Times New Roman"/>
          <w:b/>
          <w:bCs/>
          <w:sz w:val="24"/>
        </w:rPr>
        <w:t xml:space="preserve"> to reflect a level of $4,531,320</w:t>
      </w:r>
      <w:r w:rsidR="00EF04D2" w:rsidRPr="00344D31">
        <w:rPr>
          <w:rFonts w:ascii="Times New Roman" w:hAnsi="Times New Roman"/>
          <w:b/>
          <w:bCs/>
          <w:sz w:val="24"/>
        </w:rPr>
        <w:t xml:space="preserve">. Subsequent to </w:t>
      </w:r>
      <w:r w:rsidR="00331BD4" w:rsidRPr="00344D31">
        <w:rPr>
          <w:rFonts w:ascii="Times New Roman" w:hAnsi="Times New Roman"/>
          <w:b/>
          <w:bCs/>
          <w:sz w:val="24"/>
        </w:rPr>
        <w:t xml:space="preserve">Docket No. 060198-EI </w:t>
      </w:r>
      <w:r w:rsidR="00331BD4">
        <w:rPr>
          <w:rFonts w:ascii="Times New Roman" w:hAnsi="Times New Roman"/>
          <w:b/>
          <w:bCs/>
          <w:sz w:val="24"/>
        </w:rPr>
        <w:t>(</w:t>
      </w:r>
      <w:r w:rsidR="00EF04D2" w:rsidRPr="00344D31">
        <w:rPr>
          <w:rFonts w:ascii="Times New Roman" w:hAnsi="Times New Roman"/>
          <w:b/>
          <w:bCs/>
          <w:sz w:val="24"/>
        </w:rPr>
        <w:t>the storm hardening docket</w:t>
      </w:r>
      <w:r w:rsidR="00331BD4">
        <w:rPr>
          <w:rFonts w:ascii="Times New Roman" w:hAnsi="Times New Roman"/>
          <w:b/>
          <w:bCs/>
          <w:sz w:val="24"/>
        </w:rPr>
        <w:t>)</w:t>
      </w:r>
      <w:r w:rsidR="00EF04D2" w:rsidRPr="00344D31">
        <w:rPr>
          <w:rFonts w:ascii="Times New Roman" w:hAnsi="Times New Roman"/>
          <w:b/>
          <w:bCs/>
          <w:sz w:val="24"/>
        </w:rPr>
        <w:t>, Gulf has averaged $4.3 million</w:t>
      </w:r>
      <w:r w:rsidR="00331BD4">
        <w:rPr>
          <w:rFonts w:ascii="Times New Roman" w:hAnsi="Times New Roman"/>
          <w:b/>
          <w:bCs/>
          <w:sz w:val="24"/>
        </w:rPr>
        <w:t xml:space="preserve"> of tree trimming expense</w:t>
      </w:r>
      <w:r w:rsidR="00EF04D2" w:rsidRPr="00344D31">
        <w:rPr>
          <w:rFonts w:ascii="Times New Roman" w:hAnsi="Times New Roman"/>
          <w:b/>
          <w:bCs/>
          <w:sz w:val="24"/>
        </w:rPr>
        <w:t>. Limiting maintenance in previous years, for whatever reason, is no justification for passing the catch up costs on to ratepayers</w:t>
      </w:r>
      <w:r w:rsidR="00331BD4">
        <w:rPr>
          <w:rFonts w:ascii="Times New Roman" w:hAnsi="Times New Roman"/>
          <w:b/>
          <w:bCs/>
          <w:sz w:val="24"/>
        </w:rPr>
        <w:t xml:space="preserve"> on a continuing basis</w:t>
      </w:r>
      <w:r w:rsidR="00EF04D2" w:rsidRPr="00344D31">
        <w:rPr>
          <w:rFonts w:ascii="Times New Roman" w:hAnsi="Times New Roman"/>
          <w:b/>
          <w:bCs/>
          <w:sz w:val="24"/>
        </w:rPr>
        <w:t>.  Gulf’s increase in projected spending increase for the rate case should not be approved</w:t>
      </w:r>
      <w:r w:rsidR="00331BD4">
        <w:rPr>
          <w:rFonts w:ascii="Times New Roman" w:hAnsi="Times New Roman"/>
          <w:b/>
          <w:bCs/>
          <w:sz w:val="24"/>
        </w:rPr>
        <w:t>.</w:t>
      </w:r>
      <w:r w:rsidR="00EF04D2" w:rsidRPr="00344D31">
        <w:rPr>
          <w:rFonts w:ascii="Times New Roman" w:hAnsi="Times New Roman"/>
          <w:b/>
          <w:bCs/>
          <w:sz w:val="24"/>
        </w:rPr>
        <w:t xml:space="preserve"> </w:t>
      </w:r>
      <w:r w:rsidR="00331BD4">
        <w:rPr>
          <w:rFonts w:ascii="Times New Roman" w:hAnsi="Times New Roman"/>
          <w:b/>
          <w:bCs/>
          <w:sz w:val="24"/>
        </w:rPr>
        <w:t>A</w:t>
      </w:r>
      <w:r w:rsidR="00EF04D2" w:rsidRPr="00344D31">
        <w:rPr>
          <w:rFonts w:ascii="Times New Roman" w:hAnsi="Times New Roman"/>
          <w:b/>
          <w:bCs/>
          <w:sz w:val="24"/>
        </w:rPr>
        <w:t>n adjustment is required to reflect the level of spending the Company is actually performing in its attempt to comply with the Storm Hardening Requirements approved by the Commission in Docket No. 060198-EI.</w:t>
      </w:r>
      <w:r w:rsidR="0055624B" w:rsidRPr="00344D31">
        <w:rPr>
          <w:rFonts w:ascii="Times New Roman" w:hAnsi="Times New Roman"/>
          <w:b/>
          <w:bCs/>
          <w:sz w:val="24"/>
        </w:rPr>
        <w:t xml:space="preserve"> (Schultz)</w:t>
      </w:r>
    </w:p>
    <w:p w:rsidR="00275B80" w:rsidRPr="00D80701" w:rsidRDefault="00275B80" w:rsidP="00D80701">
      <w:pPr>
        <w:pStyle w:val="BodyText"/>
        <w:ind w:left="1440" w:hanging="1440"/>
        <w:rPr>
          <w:rFonts w:ascii="Times New Roman" w:hAnsi="Times New Roman"/>
          <w:sz w:val="24"/>
        </w:rPr>
      </w:pPr>
    </w:p>
    <w:p w:rsidR="00D80701" w:rsidRDefault="00D80701" w:rsidP="00D5389A">
      <w:pPr>
        <w:pStyle w:val="BodyText"/>
        <w:spacing w:after="0"/>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80</w:t>
        </w:r>
      </w:fldSimple>
      <w:r w:rsidRPr="00D80701">
        <w:rPr>
          <w:rFonts w:ascii="Times New Roman" w:hAnsi="Times New Roman"/>
          <w:sz w:val="24"/>
        </w:rPr>
        <w:t xml:space="preserve">:  </w:t>
      </w:r>
      <w:r>
        <w:rPr>
          <w:rFonts w:ascii="Times New Roman" w:hAnsi="Times New Roman"/>
          <w:sz w:val="24"/>
        </w:rPr>
        <w:tab/>
      </w:r>
      <w:r w:rsidR="00344D31">
        <w:rPr>
          <w:rFonts w:ascii="Times New Roman" w:hAnsi="Times New Roman"/>
          <w:sz w:val="24"/>
        </w:rPr>
        <w:t xml:space="preserve">What is the appropriate amount of </w:t>
      </w:r>
      <w:r w:rsidRPr="00D80701">
        <w:rPr>
          <w:rFonts w:ascii="Times New Roman" w:hAnsi="Times New Roman"/>
          <w:sz w:val="24"/>
        </w:rPr>
        <w:t xml:space="preserve">Gulf's pole inspection expense for the 2012 projected test year?  </w:t>
      </w:r>
    </w:p>
    <w:p w:rsidR="00D5389A" w:rsidRDefault="00D5389A" w:rsidP="00D5389A">
      <w:pPr>
        <w:pStyle w:val="BodyText"/>
        <w:spacing w:after="0"/>
        <w:ind w:left="1440" w:hanging="1440"/>
        <w:jc w:val="both"/>
        <w:rPr>
          <w:rFonts w:ascii="Times New Roman" w:hAnsi="Times New Roman"/>
          <w:sz w:val="24"/>
        </w:rPr>
      </w:pPr>
    </w:p>
    <w:p w:rsidR="00FD4FA3" w:rsidRPr="00344D31" w:rsidRDefault="00275B80" w:rsidP="00FD4FA3">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FD4FA3" w:rsidRPr="00344D31">
        <w:rPr>
          <w:rFonts w:ascii="Times New Roman" w:hAnsi="Times New Roman"/>
          <w:b/>
          <w:bCs/>
          <w:sz w:val="24"/>
        </w:rPr>
        <w:t>Gulf’s request for $1,100,000 should be reduced by $371,701 (jurisdictional)</w:t>
      </w:r>
      <w:r w:rsidR="00344D31" w:rsidRPr="00344D31">
        <w:rPr>
          <w:rFonts w:ascii="Times New Roman" w:hAnsi="Times New Roman"/>
          <w:b/>
          <w:bCs/>
          <w:sz w:val="24"/>
        </w:rPr>
        <w:t xml:space="preserve"> to reflect a level of $728,299</w:t>
      </w:r>
      <w:r w:rsidR="00FD4FA3" w:rsidRPr="00344D31">
        <w:rPr>
          <w:rFonts w:ascii="Times New Roman" w:hAnsi="Times New Roman"/>
          <w:b/>
          <w:bCs/>
          <w:sz w:val="24"/>
        </w:rPr>
        <w:t xml:space="preserve">. The Commission allowed $734,000 for </w:t>
      </w:r>
      <w:r w:rsidR="00D5389A">
        <w:rPr>
          <w:rFonts w:ascii="Times New Roman" w:hAnsi="Times New Roman"/>
          <w:b/>
          <w:bCs/>
          <w:sz w:val="24"/>
        </w:rPr>
        <w:t xml:space="preserve">distribution </w:t>
      </w:r>
      <w:r w:rsidR="00FD4FA3" w:rsidRPr="00344D31">
        <w:rPr>
          <w:rFonts w:ascii="Times New Roman" w:hAnsi="Times New Roman"/>
          <w:b/>
          <w:bCs/>
          <w:sz w:val="24"/>
        </w:rPr>
        <w:t xml:space="preserve">pole line inspection program in Gulf’s last rate case, yet the Company has failed to expend the allowed level in rates in six of the last seven years.  Even though Gulf’s 7-year historical average for pole inspections was $530,147, OPC recommends that the 2010 level of $690,037 be escalated to 2012 dollars, resulting in an expense of $728,299.  </w:t>
      </w:r>
      <w:r w:rsidR="0055624B" w:rsidRPr="00344D31">
        <w:rPr>
          <w:rFonts w:ascii="Times New Roman" w:hAnsi="Times New Roman"/>
          <w:b/>
          <w:bCs/>
          <w:sz w:val="24"/>
        </w:rPr>
        <w:t>(Schultz)</w:t>
      </w:r>
    </w:p>
    <w:p w:rsidR="00275B80" w:rsidRPr="00DC2D8E" w:rsidRDefault="00FD4FA3" w:rsidP="00FD4FA3">
      <w:pPr>
        <w:tabs>
          <w:tab w:val="left" w:pos="720"/>
        </w:tabs>
        <w:ind w:left="1440" w:hanging="1440"/>
        <w:jc w:val="both"/>
        <w:rPr>
          <w:rFonts w:ascii="Times New Roman" w:hAnsi="Times New Roman"/>
          <w:bCs/>
          <w:sz w:val="24"/>
        </w:rPr>
      </w:pPr>
      <w:r w:rsidRPr="00FD4FA3">
        <w:rPr>
          <w:rFonts w:ascii="Times New Roman" w:hAnsi="Times New Roman"/>
          <w:bCs/>
          <w:sz w:val="24"/>
        </w:rPr>
        <w:t xml:space="preserve"> </w:t>
      </w:r>
      <w:r w:rsidR="00275B80">
        <w:rPr>
          <w:rFonts w:ascii="Times New Roman" w:hAnsi="Times New Roman"/>
          <w:bCs/>
          <w:sz w:val="24"/>
        </w:rPr>
        <w:t xml:space="preserve"> </w:t>
      </w:r>
    </w:p>
    <w:p w:rsidR="00275B80" w:rsidRPr="00D80701" w:rsidRDefault="00275B80" w:rsidP="00344D31">
      <w:pPr>
        <w:pStyle w:val="BodyText"/>
        <w:spacing w:after="0"/>
        <w:ind w:left="1440" w:hanging="1440"/>
        <w:rPr>
          <w:rFonts w:ascii="Times New Roman" w:hAnsi="Times New Roman"/>
          <w:sz w:val="24"/>
        </w:rPr>
      </w:pPr>
    </w:p>
    <w:p w:rsidR="00D80701" w:rsidRDefault="00D80701" w:rsidP="00344D31">
      <w:pPr>
        <w:pStyle w:val="BodyText"/>
        <w:spacing w:after="0"/>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81</w:t>
        </w:r>
      </w:fldSimple>
      <w:r w:rsidRPr="00D80701">
        <w:rPr>
          <w:rFonts w:ascii="Times New Roman" w:hAnsi="Times New Roman"/>
          <w:sz w:val="24"/>
        </w:rPr>
        <w:t xml:space="preserve">:  </w:t>
      </w:r>
      <w:r>
        <w:rPr>
          <w:rFonts w:ascii="Times New Roman" w:hAnsi="Times New Roman"/>
          <w:sz w:val="24"/>
        </w:rPr>
        <w:tab/>
      </w:r>
      <w:r w:rsidR="00344D31">
        <w:rPr>
          <w:rFonts w:ascii="Times New Roman" w:hAnsi="Times New Roman"/>
          <w:sz w:val="24"/>
        </w:rPr>
        <w:t xml:space="preserve">What is the appropriate amount of </w:t>
      </w:r>
      <w:r w:rsidRPr="00D80701">
        <w:rPr>
          <w:rFonts w:ascii="Times New Roman" w:hAnsi="Times New Roman"/>
          <w:sz w:val="24"/>
        </w:rPr>
        <w:t>Gulf's transmission inspection expense for</w:t>
      </w:r>
      <w:r w:rsidR="00837337">
        <w:rPr>
          <w:rFonts w:ascii="Times New Roman" w:hAnsi="Times New Roman"/>
          <w:sz w:val="24"/>
        </w:rPr>
        <w:t xml:space="preserve"> the 2012 projected test year? </w:t>
      </w:r>
    </w:p>
    <w:p w:rsidR="00344D31" w:rsidRDefault="00344D31" w:rsidP="00344D31">
      <w:pPr>
        <w:pStyle w:val="BodyText"/>
        <w:spacing w:after="0"/>
        <w:ind w:left="1440" w:hanging="1440"/>
        <w:rPr>
          <w:rFonts w:ascii="Times New Roman" w:hAnsi="Times New Roman"/>
          <w:sz w:val="24"/>
        </w:rPr>
      </w:pPr>
    </w:p>
    <w:p w:rsidR="0055624B" w:rsidRPr="00344D31" w:rsidRDefault="00275B80" w:rsidP="0055624B">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65565D">
        <w:rPr>
          <w:rFonts w:ascii="Times New Roman" w:hAnsi="Times New Roman"/>
          <w:b/>
          <w:bCs/>
          <w:sz w:val="24"/>
        </w:rPr>
        <w:t xml:space="preserve">No position. </w:t>
      </w:r>
    </w:p>
    <w:p w:rsidR="0082225B" w:rsidRDefault="0082225B" w:rsidP="00344D31">
      <w:pPr>
        <w:pStyle w:val="BodyText"/>
        <w:ind w:left="1440" w:hanging="1440"/>
        <w:jc w:val="both"/>
        <w:rPr>
          <w:rFonts w:ascii="Times New Roman" w:hAnsi="Times New Roman"/>
          <w:b/>
          <w:sz w:val="24"/>
          <w:u w:val="single"/>
        </w:rPr>
      </w:pPr>
    </w:p>
    <w:p w:rsidR="00D80701" w:rsidRDefault="00D80701" w:rsidP="00344D31">
      <w:pPr>
        <w:pStyle w:val="BodyText"/>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 adjustment be made to O&amp;M expenses to normalize the number of </w:t>
      </w:r>
      <w:r w:rsidR="009A29D3" w:rsidRPr="00344D31">
        <w:rPr>
          <w:rFonts w:ascii="Times New Roman" w:hAnsi="Times New Roman"/>
          <w:sz w:val="24"/>
        </w:rPr>
        <w:t>scheduled</w:t>
      </w:r>
      <w:r w:rsidR="009A29D3">
        <w:rPr>
          <w:rFonts w:ascii="Times New Roman" w:hAnsi="Times New Roman"/>
          <w:sz w:val="24"/>
        </w:rPr>
        <w:t xml:space="preserve"> </w:t>
      </w:r>
      <w:r w:rsidRPr="00D80701">
        <w:rPr>
          <w:rFonts w:ascii="Times New Roman" w:hAnsi="Times New Roman"/>
          <w:sz w:val="24"/>
        </w:rPr>
        <w:t xml:space="preserve">outages Gulf has included in the 2012 projected test year?   </w:t>
      </w:r>
    </w:p>
    <w:p w:rsidR="00275B80" w:rsidRPr="00344D31" w:rsidRDefault="006843BD"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Pr="00D80701" w:rsidRDefault="00275B80" w:rsidP="00D80701">
      <w:pPr>
        <w:pStyle w:val="BodyText"/>
        <w:ind w:left="1440" w:hanging="1440"/>
        <w:rPr>
          <w:rFonts w:ascii="Times New Roman" w:hAnsi="Times New Roman"/>
          <w:sz w:val="24"/>
        </w:rPr>
      </w:pPr>
    </w:p>
    <w:p w:rsidR="00D80701" w:rsidRDefault="00D80701" w:rsidP="00344D31">
      <w:pPr>
        <w:pStyle w:val="BodyText"/>
        <w:spacing w:after="0"/>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83</w:t>
        </w:r>
      </w:fldSimple>
      <w:r w:rsidRPr="00D80701">
        <w:rPr>
          <w:rFonts w:ascii="Times New Roman" w:hAnsi="Times New Roman"/>
          <w:sz w:val="24"/>
        </w:rPr>
        <w:t xml:space="preserve">:  </w:t>
      </w:r>
      <w:r>
        <w:rPr>
          <w:rFonts w:ascii="Times New Roman" w:hAnsi="Times New Roman"/>
          <w:sz w:val="24"/>
        </w:rPr>
        <w:tab/>
      </w:r>
      <w:r w:rsidR="00344D31">
        <w:rPr>
          <w:rFonts w:ascii="Times New Roman" w:hAnsi="Times New Roman"/>
          <w:sz w:val="24"/>
        </w:rPr>
        <w:t xml:space="preserve">Are there any </w:t>
      </w:r>
      <w:r w:rsidR="00344D31" w:rsidRPr="00D80701">
        <w:rPr>
          <w:rFonts w:ascii="Times New Roman" w:hAnsi="Times New Roman"/>
          <w:sz w:val="24"/>
        </w:rPr>
        <w:t xml:space="preserve">productivity improvements </w:t>
      </w:r>
      <w:r w:rsidR="00344D31">
        <w:rPr>
          <w:rFonts w:ascii="Times New Roman" w:hAnsi="Times New Roman"/>
          <w:sz w:val="24"/>
        </w:rPr>
        <w:t xml:space="preserve">that should be reflected as an adjustment to </w:t>
      </w:r>
      <w:r w:rsidRPr="00D80701">
        <w:rPr>
          <w:rFonts w:ascii="Times New Roman" w:hAnsi="Times New Roman"/>
          <w:sz w:val="24"/>
        </w:rPr>
        <w:t>Gulf's proposed O&amp;M expense</w:t>
      </w:r>
      <w:r w:rsidR="00344D31">
        <w:rPr>
          <w:rFonts w:ascii="Times New Roman" w:hAnsi="Times New Roman"/>
          <w:sz w:val="24"/>
        </w:rPr>
        <w:t>s? If so, what is the appropriate amount of such adjustment?</w:t>
      </w:r>
      <w:r w:rsidRPr="00D80701">
        <w:rPr>
          <w:rFonts w:ascii="Times New Roman" w:hAnsi="Times New Roman"/>
          <w:sz w:val="24"/>
        </w:rPr>
        <w:t xml:space="preserve">  </w:t>
      </w:r>
    </w:p>
    <w:p w:rsidR="00344D31" w:rsidRDefault="00344D31" w:rsidP="00344D31">
      <w:pPr>
        <w:pStyle w:val="BodyText"/>
        <w:spacing w:after="0"/>
        <w:ind w:left="1440" w:hanging="1440"/>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6843BD" w:rsidRPr="00344D31">
        <w:rPr>
          <w:rFonts w:ascii="Times New Roman" w:hAnsi="Times New Roman"/>
          <w:b/>
          <w:bCs/>
          <w:sz w:val="24"/>
        </w:rPr>
        <w:t>No position.</w:t>
      </w:r>
      <w:r w:rsidRPr="00344D31">
        <w:rPr>
          <w:rFonts w:ascii="Times New Roman" w:hAnsi="Times New Roman"/>
          <w:b/>
          <w:bCs/>
          <w:sz w:val="24"/>
        </w:rPr>
        <w:t xml:space="preserve"> </w:t>
      </w:r>
    </w:p>
    <w:p w:rsidR="00275B80" w:rsidRPr="00D80701" w:rsidRDefault="00275B80" w:rsidP="00D80701">
      <w:pPr>
        <w:pStyle w:val="BodyText"/>
        <w:ind w:left="1440" w:hanging="1440"/>
        <w:rPr>
          <w:rFonts w:ascii="Times New Roman" w:hAnsi="Times New Roman"/>
          <w:sz w:val="24"/>
        </w:rPr>
      </w:pPr>
    </w:p>
    <w:p w:rsidR="00D80701" w:rsidRPr="00D80701" w:rsidRDefault="00D80701" w:rsidP="00D80701">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amount of </w:t>
      </w:r>
      <w:r w:rsidR="009A29D3" w:rsidRPr="0055624B">
        <w:rPr>
          <w:rFonts w:ascii="Times New Roman" w:hAnsi="Times New Roman"/>
          <w:sz w:val="24"/>
        </w:rPr>
        <w:t xml:space="preserve">production </w:t>
      </w:r>
      <w:r w:rsidRPr="0055624B">
        <w:rPr>
          <w:rFonts w:ascii="Times New Roman" w:hAnsi="Times New Roman"/>
          <w:sz w:val="24"/>
        </w:rPr>
        <w:t xml:space="preserve">plant </w:t>
      </w:r>
      <w:r w:rsidR="009A29D3" w:rsidRPr="0055624B">
        <w:rPr>
          <w:rFonts w:ascii="Times New Roman" w:hAnsi="Times New Roman"/>
          <w:sz w:val="24"/>
        </w:rPr>
        <w:t>O&amp;M</w:t>
      </w:r>
      <w:r w:rsidR="0055624B" w:rsidRPr="0055624B">
        <w:rPr>
          <w:rFonts w:ascii="Times New Roman" w:hAnsi="Times New Roman"/>
          <w:sz w:val="24"/>
        </w:rPr>
        <w:t xml:space="preserve"> </w:t>
      </w:r>
      <w:r w:rsidRPr="0055624B">
        <w:rPr>
          <w:rFonts w:ascii="Times New Roman" w:hAnsi="Times New Roman"/>
          <w:sz w:val="24"/>
        </w:rPr>
        <w:t>expense</w:t>
      </w:r>
      <w:r w:rsidRPr="00D80701">
        <w:rPr>
          <w:rFonts w:ascii="Times New Roman" w:hAnsi="Times New Roman"/>
          <w:sz w:val="24"/>
        </w:rPr>
        <w:t xml:space="preserve">? </w:t>
      </w:r>
    </w:p>
    <w:p w:rsidR="00275B80" w:rsidRDefault="00275B80" w:rsidP="0055624B">
      <w:pPr>
        <w:pStyle w:val="BodyText"/>
        <w:spacing w:after="0"/>
        <w:ind w:left="1440" w:hanging="1440"/>
        <w:rPr>
          <w:rFonts w:ascii="Times New Roman" w:hAnsi="Times New Roman"/>
          <w:b/>
          <w:sz w:val="24"/>
          <w:u w:val="single"/>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893BC5" w:rsidRPr="00344D31">
        <w:rPr>
          <w:rFonts w:ascii="Times New Roman" w:hAnsi="Times New Roman"/>
          <w:b/>
          <w:bCs/>
          <w:sz w:val="24"/>
        </w:rPr>
        <w:t>The appropriate amount of production plant O&amp;M expense is $99,212,245, which is $11,675,270 less than the Company’s requested $110,887,515. The appropriate jurisdictional adjustment is a reduction of $11,291,492.</w:t>
      </w:r>
      <w:r w:rsidRPr="00344D31">
        <w:rPr>
          <w:rFonts w:ascii="Times New Roman" w:hAnsi="Times New Roman"/>
          <w:b/>
          <w:bCs/>
          <w:sz w:val="24"/>
        </w:rPr>
        <w:t xml:space="preserve"> </w:t>
      </w:r>
      <w:r w:rsidR="00893BC5" w:rsidRPr="00344D31">
        <w:rPr>
          <w:rFonts w:ascii="Times New Roman" w:hAnsi="Times New Roman"/>
          <w:b/>
          <w:bCs/>
          <w:sz w:val="24"/>
        </w:rPr>
        <w:t xml:space="preserve">Gulf’s projected 2012 expense is 19.38% higher than the 2010 expense and significantly higher than the historical 5-year average. Further, Gulf stated that it has not deferred any maintenance and the explanations to support the increase are inadequate. </w:t>
      </w:r>
      <w:r w:rsidR="0055624B" w:rsidRPr="00344D31">
        <w:rPr>
          <w:rFonts w:ascii="Times New Roman" w:hAnsi="Times New Roman"/>
          <w:b/>
          <w:bCs/>
          <w:sz w:val="24"/>
        </w:rPr>
        <w:t>(Schultz)</w:t>
      </w:r>
    </w:p>
    <w:p w:rsidR="00275B80" w:rsidRDefault="00275B80" w:rsidP="00D80701">
      <w:pPr>
        <w:pStyle w:val="BodyText"/>
        <w:ind w:left="1440" w:hanging="1440"/>
        <w:rPr>
          <w:rFonts w:ascii="Times New Roman" w:hAnsi="Times New Roman"/>
          <w:b/>
          <w:sz w:val="24"/>
          <w:u w:val="single"/>
        </w:rPr>
      </w:pPr>
    </w:p>
    <w:p w:rsidR="0082225B" w:rsidRDefault="0082225B" w:rsidP="00D80701">
      <w:pPr>
        <w:pStyle w:val="BodyText"/>
        <w:ind w:left="1440" w:hanging="1440"/>
        <w:rPr>
          <w:rFonts w:ascii="Times New Roman" w:hAnsi="Times New Roman"/>
          <w:b/>
          <w:sz w:val="24"/>
          <w:u w:val="single"/>
        </w:rPr>
      </w:pPr>
    </w:p>
    <w:p w:rsidR="00D80701" w:rsidRPr="00D80701" w:rsidRDefault="00D80701" w:rsidP="00D80701">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85</w:t>
        </w:r>
      </w:fldSimple>
      <w:r w:rsidRPr="00D80701">
        <w:rPr>
          <w:rFonts w:ascii="Times New Roman" w:hAnsi="Times New Roman"/>
          <w:sz w:val="24"/>
        </w:rPr>
        <w:t xml:space="preserve">:  </w:t>
      </w:r>
      <w:r>
        <w:rPr>
          <w:rFonts w:ascii="Times New Roman" w:hAnsi="Times New Roman"/>
          <w:sz w:val="24"/>
        </w:rPr>
        <w:tab/>
      </w:r>
      <w:r w:rsidR="00344D31" w:rsidRPr="00D80701">
        <w:rPr>
          <w:rFonts w:ascii="Times New Roman" w:hAnsi="Times New Roman"/>
          <w:sz w:val="24"/>
        </w:rPr>
        <w:t xml:space="preserve">What is the appropriate amount of </w:t>
      </w:r>
      <w:r w:rsidRPr="00D80701">
        <w:rPr>
          <w:rFonts w:ascii="Times New Roman" w:hAnsi="Times New Roman"/>
          <w:sz w:val="24"/>
        </w:rPr>
        <w:t xml:space="preserve">Gulf’s transmission O&amp;M expense?  </w:t>
      </w:r>
    </w:p>
    <w:p w:rsidR="006843BD" w:rsidRDefault="006843BD"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D5389A">
        <w:rPr>
          <w:rFonts w:ascii="Times New Roman" w:hAnsi="Times New Roman"/>
          <w:b/>
          <w:bCs/>
          <w:sz w:val="24"/>
        </w:rPr>
        <w:t>No position</w:t>
      </w:r>
      <w:r w:rsidR="0055624B" w:rsidRPr="00344D31">
        <w:rPr>
          <w:rFonts w:ascii="Times New Roman" w:hAnsi="Times New Roman"/>
          <w:b/>
          <w:bCs/>
          <w:sz w:val="24"/>
        </w:rPr>
        <w:t xml:space="preserve">. </w:t>
      </w:r>
    </w:p>
    <w:p w:rsidR="006843BD" w:rsidRPr="00DC2D8E" w:rsidRDefault="006843BD" w:rsidP="00275B80">
      <w:pPr>
        <w:tabs>
          <w:tab w:val="left" w:pos="720"/>
        </w:tabs>
        <w:ind w:left="1440" w:hanging="1440"/>
        <w:jc w:val="both"/>
        <w:rPr>
          <w:rFonts w:ascii="Times New Roman" w:hAnsi="Times New Roman"/>
          <w:bCs/>
          <w:sz w:val="24"/>
        </w:rPr>
      </w:pPr>
    </w:p>
    <w:p w:rsidR="00D5389A" w:rsidRDefault="00D5389A" w:rsidP="00D80701">
      <w:pPr>
        <w:pStyle w:val="BodyText"/>
        <w:ind w:left="1440" w:hanging="1440"/>
        <w:rPr>
          <w:rFonts w:ascii="Times New Roman" w:hAnsi="Times New Roman"/>
          <w:b/>
          <w:sz w:val="24"/>
          <w:u w:val="single"/>
        </w:rPr>
      </w:pPr>
    </w:p>
    <w:p w:rsidR="00D80701" w:rsidRPr="00D80701" w:rsidRDefault="00D80701" w:rsidP="00D80701">
      <w:pPr>
        <w:pStyle w:val="BodyText"/>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86</w:t>
        </w:r>
      </w:fldSimple>
      <w:r w:rsidRPr="00D80701">
        <w:rPr>
          <w:rFonts w:ascii="Times New Roman" w:hAnsi="Times New Roman"/>
          <w:sz w:val="24"/>
        </w:rPr>
        <w:t xml:space="preserve">:  </w:t>
      </w:r>
      <w:r>
        <w:rPr>
          <w:rFonts w:ascii="Times New Roman" w:hAnsi="Times New Roman"/>
          <w:sz w:val="24"/>
        </w:rPr>
        <w:tab/>
      </w:r>
      <w:r w:rsidR="00344D31" w:rsidRPr="00D80701">
        <w:rPr>
          <w:rFonts w:ascii="Times New Roman" w:hAnsi="Times New Roman"/>
          <w:sz w:val="24"/>
        </w:rPr>
        <w:t xml:space="preserve">What is the appropriate amount of </w:t>
      </w:r>
      <w:r w:rsidRPr="00D80701">
        <w:rPr>
          <w:rFonts w:ascii="Times New Roman" w:hAnsi="Times New Roman"/>
          <w:sz w:val="24"/>
        </w:rPr>
        <w:t xml:space="preserve">Gulf’s distribution O&amp;M expense?  </w:t>
      </w:r>
    </w:p>
    <w:p w:rsidR="00275B80" w:rsidRDefault="00275B80" w:rsidP="0055624B">
      <w:pPr>
        <w:tabs>
          <w:tab w:val="left" w:pos="720"/>
        </w:tabs>
        <w:ind w:left="1440" w:hanging="1440"/>
        <w:jc w:val="both"/>
        <w:rPr>
          <w:rFonts w:ascii="Times New Roman" w:hAnsi="Times New Roman"/>
          <w:bCs/>
          <w:sz w:val="24"/>
        </w:rPr>
      </w:pPr>
    </w:p>
    <w:p w:rsidR="0055624B" w:rsidRPr="00344D31" w:rsidRDefault="00275B80" w:rsidP="0055624B">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55624B" w:rsidRPr="00344D31">
        <w:rPr>
          <w:rFonts w:ascii="Times New Roman" w:hAnsi="Times New Roman"/>
          <w:b/>
          <w:bCs/>
          <w:sz w:val="24"/>
        </w:rPr>
        <w:t>See OPC’s position</w:t>
      </w:r>
      <w:r w:rsidR="00D5389A">
        <w:rPr>
          <w:rFonts w:ascii="Times New Roman" w:hAnsi="Times New Roman"/>
          <w:b/>
          <w:bCs/>
          <w:sz w:val="24"/>
        </w:rPr>
        <w:t>s</w:t>
      </w:r>
      <w:r w:rsidR="0055624B" w:rsidRPr="00344D31">
        <w:rPr>
          <w:rFonts w:ascii="Times New Roman" w:hAnsi="Times New Roman"/>
          <w:b/>
          <w:bCs/>
          <w:sz w:val="24"/>
        </w:rPr>
        <w:t xml:space="preserve"> on Issue 79</w:t>
      </w:r>
      <w:r w:rsidR="00D5389A">
        <w:rPr>
          <w:rFonts w:ascii="Times New Roman" w:hAnsi="Times New Roman"/>
          <w:b/>
          <w:bCs/>
          <w:sz w:val="24"/>
        </w:rPr>
        <w:t xml:space="preserve"> and 80</w:t>
      </w:r>
      <w:r w:rsidR="0055624B" w:rsidRPr="00344D31">
        <w:rPr>
          <w:rFonts w:ascii="Times New Roman" w:hAnsi="Times New Roman"/>
          <w:b/>
          <w:bCs/>
          <w:sz w:val="24"/>
        </w:rPr>
        <w:t>. (Schultz)</w:t>
      </w:r>
    </w:p>
    <w:p w:rsidR="00275B80" w:rsidRPr="00DC2D8E" w:rsidRDefault="00275B80" w:rsidP="00275B80">
      <w:pPr>
        <w:tabs>
          <w:tab w:val="left" w:pos="720"/>
        </w:tabs>
        <w:ind w:left="1440" w:hanging="1440"/>
        <w:jc w:val="both"/>
        <w:rPr>
          <w:rFonts w:ascii="Times New Roman" w:hAnsi="Times New Roman"/>
          <w:bCs/>
          <w:sz w:val="24"/>
        </w:rPr>
      </w:pPr>
    </w:p>
    <w:p w:rsidR="00D5389A" w:rsidRDefault="00D5389A" w:rsidP="00344D31">
      <w:pPr>
        <w:pStyle w:val="BodyText"/>
        <w:spacing w:after="0"/>
        <w:ind w:left="1440" w:hanging="1440"/>
        <w:rPr>
          <w:rFonts w:ascii="Times New Roman" w:hAnsi="Times New Roman"/>
          <w:b/>
          <w:sz w:val="24"/>
          <w:u w:val="single"/>
        </w:rPr>
      </w:pPr>
    </w:p>
    <w:p w:rsidR="0082225B" w:rsidRDefault="0082225B" w:rsidP="00344D31">
      <w:pPr>
        <w:pStyle w:val="BodyText"/>
        <w:spacing w:after="0"/>
        <w:ind w:left="1440" w:hanging="1440"/>
        <w:rPr>
          <w:rFonts w:ascii="Times New Roman" w:hAnsi="Times New Roman"/>
          <w:b/>
          <w:sz w:val="24"/>
          <w:u w:val="single"/>
        </w:rPr>
      </w:pPr>
    </w:p>
    <w:p w:rsidR="00D80701" w:rsidRPr="00D80701" w:rsidRDefault="00D80701" w:rsidP="00344D31">
      <w:pPr>
        <w:pStyle w:val="BodyText"/>
        <w:spacing w:after="0"/>
        <w:ind w:left="1440" w:hanging="1440"/>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87</w:t>
        </w:r>
      </w:fldSimple>
      <w:r w:rsidRPr="00D80701">
        <w:rPr>
          <w:rFonts w:ascii="Times New Roman" w:hAnsi="Times New Roman"/>
          <w:sz w:val="24"/>
        </w:rPr>
        <w:t xml:space="preserve">:  </w:t>
      </w:r>
      <w:r>
        <w:rPr>
          <w:rFonts w:ascii="Times New Roman" w:hAnsi="Times New Roman"/>
          <w:sz w:val="24"/>
        </w:rPr>
        <w:tab/>
      </w:r>
      <w:r w:rsidR="00344D31" w:rsidRPr="00D80701">
        <w:rPr>
          <w:rFonts w:ascii="Times New Roman" w:hAnsi="Times New Roman"/>
          <w:sz w:val="24"/>
        </w:rPr>
        <w:t xml:space="preserve">What is the appropriate amount of </w:t>
      </w:r>
      <w:r w:rsidRPr="00D80701">
        <w:rPr>
          <w:rFonts w:ascii="Times New Roman" w:hAnsi="Times New Roman"/>
          <w:sz w:val="24"/>
        </w:rPr>
        <w:t xml:space="preserve">Gulf’s office supplies and expenses for the 2012 projected test year? </w:t>
      </w:r>
    </w:p>
    <w:p w:rsidR="00344D31" w:rsidRDefault="00344D31"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 </w:t>
      </w:r>
      <w:r w:rsidR="0055624B" w:rsidRPr="00344D31">
        <w:rPr>
          <w:rFonts w:ascii="Times New Roman" w:hAnsi="Times New Roman"/>
          <w:b/>
          <w:bCs/>
          <w:sz w:val="24"/>
        </w:rPr>
        <w:t>No position.</w:t>
      </w:r>
      <w:r w:rsidR="006843BD" w:rsidRPr="00344D31">
        <w:rPr>
          <w:rFonts w:ascii="Times New Roman" w:hAnsi="Times New Roman"/>
          <w:b/>
          <w:bCs/>
          <w:sz w:val="24"/>
        </w:rPr>
        <w:t xml:space="preserve"> </w:t>
      </w:r>
    </w:p>
    <w:p w:rsidR="00275B80" w:rsidRDefault="00275B80" w:rsidP="00D80701">
      <w:pPr>
        <w:widowControl/>
        <w:tabs>
          <w:tab w:val="left" w:pos="-1440"/>
        </w:tabs>
        <w:ind w:left="1440" w:hanging="1440"/>
        <w:jc w:val="both"/>
        <w:rPr>
          <w:rFonts w:ascii="Times New Roman" w:hAnsi="Times New Roman"/>
          <w:b/>
          <w:sz w:val="24"/>
          <w:u w:val="single"/>
        </w:rPr>
      </w:pPr>
    </w:p>
    <w:p w:rsidR="00D5389A" w:rsidRDefault="00D5389A"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88</w:t>
        </w:r>
      </w:fldSimple>
      <w:r w:rsidRPr="00D80701">
        <w:rPr>
          <w:rFonts w:ascii="Times New Roman" w:hAnsi="Times New Roman"/>
          <w:sz w:val="24"/>
        </w:rPr>
        <w:t xml:space="preserve">:  </w:t>
      </w:r>
      <w:r>
        <w:rPr>
          <w:rFonts w:ascii="Times New Roman" w:hAnsi="Times New Roman"/>
          <w:sz w:val="24"/>
        </w:rPr>
        <w:tab/>
      </w:r>
      <w:r w:rsidR="0055624B">
        <w:rPr>
          <w:rFonts w:ascii="Times New Roman" w:hAnsi="Times New Roman"/>
          <w:sz w:val="24"/>
        </w:rPr>
        <w:t xml:space="preserve">What is the appropriate amount of </w:t>
      </w:r>
      <w:r w:rsidRPr="00D80701">
        <w:rPr>
          <w:rFonts w:ascii="Times New Roman" w:hAnsi="Times New Roman"/>
          <w:sz w:val="24"/>
        </w:rPr>
        <w:t xml:space="preserve">Rate Case Expense for the 2012 projected test year? </w:t>
      </w:r>
    </w:p>
    <w:p w:rsidR="00D80701" w:rsidRPr="00D80701" w:rsidRDefault="00D80701" w:rsidP="00D80701">
      <w:pPr>
        <w:widowControl/>
        <w:ind w:left="1440" w:hanging="1440"/>
        <w:jc w:val="both"/>
        <w:rPr>
          <w:rFonts w:ascii="Times New Roman" w:hAnsi="Times New Roman"/>
          <w:sz w:val="24"/>
          <w:u w:val="single"/>
        </w:rPr>
      </w:pPr>
    </w:p>
    <w:p w:rsidR="00F24FC7" w:rsidRDefault="00275B80" w:rsidP="00F24FC7">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573476" w:rsidRPr="00344D31">
        <w:rPr>
          <w:rFonts w:ascii="Times New Roman" w:hAnsi="Times New Roman"/>
          <w:b/>
          <w:bCs/>
          <w:sz w:val="24"/>
        </w:rPr>
        <w:t xml:space="preserve">Gulf Power’s proposed level is unreasonably high, due to excessively high estimates </w:t>
      </w:r>
      <w:r w:rsidR="00F24FC7" w:rsidRPr="00344D31">
        <w:rPr>
          <w:rFonts w:ascii="Times New Roman" w:hAnsi="Times New Roman"/>
          <w:b/>
          <w:bCs/>
          <w:sz w:val="24"/>
        </w:rPr>
        <w:t>of number</w:t>
      </w:r>
      <w:r w:rsidR="00FA34B5">
        <w:rPr>
          <w:rFonts w:ascii="Times New Roman" w:hAnsi="Times New Roman"/>
          <w:b/>
          <w:bCs/>
          <w:sz w:val="24"/>
        </w:rPr>
        <w:t>s</w:t>
      </w:r>
      <w:r w:rsidR="00F24FC7" w:rsidRPr="00344D31">
        <w:rPr>
          <w:rFonts w:ascii="Times New Roman" w:hAnsi="Times New Roman"/>
          <w:b/>
          <w:bCs/>
          <w:sz w:val="24"/>
        </w:rPr>
        <w:t xml:space="preserve"> of people and days of travel for</w:t>
      </w:r>
      <w:r w:rsidR="00573476" w:rsidRPr="00344D31">
        <w:rPr>
          <w:rFonts w:ascii="Times New Roman" w:hAnsi="Times New Roman"/>
          <w:b/>
          <w:bCs/>
          <w:sz w:val="24"/>
        </w:rPr>
        <w:t xml:space="preserve"> meal</w:t>
      </w:r>
      <w:r w:rsidR="00F24FC7" w:rsidRPr="00344D31">
        <w:rPr>
          <w:rFonts w:ascii="Times New Roman" w:hAnsi="Times New Roman"/>
          <w:b/>
          <w:bCs/>
          <w:sz w:val="24"/>
        </w:rPr>
        <w:t>s</w:t>
      </w:r>
      <w:r w:rsidR="00573476" w:rsidRPr="00344D31">
        <w:rPr>
          <w:rFonts w:ascii="Times New Roman" w:hAnsi="Times New Roman"/>
          <w:b/>
          <w:bCs/>
          <w:sz w:val="24"/>
        </w:rPr>
        <w:t xml:space="preserve"> and </w:t>
      </w:r>
      <w:r w:rsidR="00F24FC7" w:rsidRPr="00344D31">
        <w:rPr>
          <w:rFonts w:ascii="Times New Roman" w:hAnsi="Times New Roman"/>
          <w:b/>
          <w:bCs/>
          <w:sz w:val="24"/>
        </w:rPr>
        <w:t xml:space="preserve">hotel </w:t>
      </w:r>
      <w:r w:rsidR="00573476" w:rsidRPr="00344D31">
        <w:rPr>
          <w:rFonts w:ascii="Times New Roman" w:hAnsi="Times New Roman"/>
          <w:b/>
          <w:bCs/>
          <w:sz w:val="24"/>
        </w:rPr>
        <w:t>expenses</w:t>
      </w:r>
      <w:r w:rsidR="00331BD4">
        <w:rPr>
          <w:rFonts w:ascii="Times New Roman" w:hAnsi="Times New Roman"/>
          <w:b/>
          <w:bCs/>
          <w:sz w:val="24"/>
        </w:rPr>
        <w:t xml:space="preserve">, </w:t>
      </w:r>
      <w:r w:rsidR="00FA34B5">
        <w:rPr>
          <w:rFonts w:ascii="Times New Roman" w:hAnsi="Times New Roman"/>
          <w:b/>
          <w:bCs/>
          <w:sz w:val="24"/>
        </w:rPr>
        <w:t>which should be reduced by</w:t>
      </w:r>
      <w:r w:rsidR="00573476" w:rsidRPr="00344D31">
        <w:rPr>
          <w:rFonts w:ascii="Times New Roman" w:hAnsi="Times New Roman"/>
          <w:b/>
          <w:bCs/>
          <w:sz w:val="24"/>
        </w:rPr>
        <w:t xml:space="preserve"> $102,273.</w:t>
      </w:r>
      <w:r w:rsidR="00F24FC7" w:rsidRPr="00344D31">
        <w:rPr>
          <w:rFonts w:ascii="Times New Roman" w:hAnsi="Times New Roman"/>
          <w:b/>
          <w:bCs/>
          <w:sz w:val="24"/>
        </w:rPr>
        <w:t xml:space="preserve"> Other adjustments are necessary to remove expenses from SCS of $99,000 for Information Technology, Human Resources and Accounting functions that are already performed in-house at Gulf, and $222,000 for Cost of Service Study assistance in addition to outside consultant charges. Gulf has not shown that the SCS costs are incremental to costs already projected to be allocated or charged to Gulf from SCS during the test year. Finally, $59,000 of projected overtime labor should be removed as </w:t>
      </w:r>
      <w:r w:rsidR="00571733">
        <w:rPr>
          <w:rFonts w:ascii="Times New Roman" w:hAnsi="Times New Roman"/>
          <w:b/>
          <w:bCs/>
          <w:sz w:val="24"/>
        </w:rPr>
        <w:t>labor</w:t>
      </w:r>
      <w:r w:rsidR="00F24FC7" w:rsidRPr="00344D31">
        <w:rPr>
          <w:rFonts w:ascii="Times New Roman" w:hAnsi="Times New Roman"/>
          <w:b/>
          <w:bCs/>
          <w:sz w:val="24"/>
        </w:rPr>
        <w:t xml:space="preserve"> costs should already be provided for in Gulf’s 2012 budget incorporated in the filing.  In total, Gulf’s projected rate case costs should be decreased by $482,273</w:t>
      </w:r>
      <w:r w:rsidR="00344D31" w:rsidRPr="00344D31">
        <w:rPr>
          <w:rFonts w:ascii="Times New Roman" w:hAnsi="Times New Roman"/>
          <w:b/>
          <w:bCs/>
          <w:sz w:val="24"/>
        </w:rPr>
        <w:t xml:space="preserve"> </w:t>
      </w:r>
      <w:r w:rsidR="00F24FC7" w:rsidRPr="00344D31">
        <w:rPr>
          <w:rFonts w:ascii="Times New Roman" w:hAnsi="Times New Roman"/>
          <w:b/>
          <w:bCs/>
          <w:sz w:val="24"/>
        </w:rPr>
        <w:t>to $2,317,727. The 4-year annual amortization is $579,432, which is a $120,568 reduction to test year expenses.  (Ramas)</w:t>
      </w:r>
    </w:p>
    <w:p w:rsidR="00D5389A" w:rsidRPr="00344D31" w:rsidRDefault="00D5389A" w:rsidP="00F24FC7">
      <w:pPr>
        <w:tabs>
          <w:tab w:val="left" w:pos="720"/>
        </w:tabs>
        <w:ind w:left="1440" w:hanging="1440"/>
        <w:jc w:val="both"/>
        <w:rPr>
          <w:rFonts w:ascii="Times New Roman" w:hAnsi="Times New Roman"/>
          <w:b/>
          <w:bCs/>
          <w:sz w:val="24"/>
        </w:rPr>
      </w:pPr>
    </w:p>
    <w:p w:rsidR="00275B80" w:rsidRDefault="00275B80"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89</w:t>
        </w:r>
      </w:fldSimple>
      <w:r w:rsidRPr="00D80701">
        <w:rPr>
          <w:rFonts w:ascii="Times New Roman" w:hAnsi="Times New Roman"/>
          <w:sz w:val="24"/>
        </w:rPr>
        <w:t xml:space="preserve">:  </w:t>
      </w:r>
      <w:r>
        <w:rPr>
          <w:rFonts w:ascii="Times New Roman" w:hAnsi="Times New Roman"/>
          <w:sz w:val="24"/>
        </w:rPr>
        <w:tab/>
      </w:r>
      <w:r w:rsidR="00344D31" w:rsidRPr="00D80701">
        <w:rPr>
          <w:rFonts w:ascii="Times New Roman" w:hAnsi="Times New Roman"/>
          <w:sz w:val="24"/>
        </w:rPr>
        <w:t xml:space="preserve">What is the appropriate amount of </w:t>
      </w:r>
      <w:r w:rsidRPr="00D80701">
        <w:rPr>
          <w:rFonts w:ascii="Times New Roman" w:hAnsi="Times New Roman"/>
          <w:sz w:val="24"/>
        </w:rPr>
        <w:t>uncollectible expense for</w:t>
      </w:r>
      <w:r w:rsidR="00F24FC7">
        <w:rPr>
          <w:rFonts w:ascii="Times New Roman" w:hAnsi="Times New Roman"/>
          <w:sz w:val="24"/>
        </w:rPr>
        <w:t xml:space="preserve"> the 2012 projected test year? </w:t>
      </w:r>
    </w:p>
    <w:p w:rsidR="00F24FC7" w:rsidRPr="00D80701" w:rsidRDefault="00F24FC7" w:rsidP="00D80701">
      <w:pPr>
        <w:widowControl/>
        <w:tabs>
          <w:tab w:val="left" w:pos="-1440"/>
        </w:tabs>
        <w:ind w:left="1440" w:hanging="1440"/>
        <w:jc w:val="both"/>
        <w:rPr>
          <w:rFonts w:ascii="Times New Roman" w:hAnsi="Times New Roman"/>
          <w:sz w:val="24"/>
        </w:rPr>
      </w:pPr>
    </w:p>
    <w:p w:rsidR="00275B80" w:rsidRPr="00344D31" w:rsidRDefault="006843BD"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344D31" w:rsidRPr="00344D31">
        <w:rPr>
          <w:rFonts w:ascii="Times New Roman" w:hAnsi="Times New Roman"/>
          <w:b/>
          <w:bCs/>
          <w:sz w:val="24"/>
        </w:rPr>
        <w:t xml:space="preserve">The appropriate amount of uncollectible expense is $3,997,000. </w:t>
      </w:r>
      <w:r w:rsidR="00573476" w:rsidRPr="00344D31">
        <w:rPr>
          <w:rFonts w:ascii="Times New Roman" w:hAnsi="Times New Roman"/>
          <w:b/>
          <w:bCs/>
          <w:sz w:val="24"/>
        </w:rPr>
        <w:t>Gulf’s projected 2012</w:t>
      </w:r>
      <w:r w:rsidR="00BB0749" w:rsidRPr="00344D31">
        <w:rPr>
          <w:rFonts w:ascii="Times New Roman" w:hAnsi="Times New Roman"/>
          <w:b/>
          <w:bCs/>
          <w:sz w:val="24"/>
        </w:rPr>
        <w:t xml:space="preserve"> projected bad debt factor of 0.3321% is not consistent with its historic</w:t>
      </w:r>
      <w:r w:rsidR="00331BD4">
        <w:rPr>
          <w:rFonts w:ascii="Times New Roman" w:hAnsi="Times New Roman"/>
          <w:b/>
          <w:bCs/>
          <w:sz w:val="24"/>
        </w:rPr>
        <w:t>al</w:t>
      </w:r>
      <w:r w:rsidR="00BB0749" w:rsidRPr="00344D31">
        <w:rPr>
          <w:rFonts w:ascii="Times New Roman" w:hAnsi="Times New Roman"/>
          <w:b/>
          <w:bCs/>
          <w:sz w:val="24"/>
        </w:rPr>
        <w:t xml:space="preserve"> bad debt rate, which averaged 0.3056% for 2007-2010. This 4-year average is higher than the 2010 rate realized by Gulf of 0.2937%, the year of the Gulf oil spill.  Gulf has provided no information in its filing or testimony </w:t>
      </w:r>
      <w:r w:rsidR="00331BD4">
        <w:rPr>
          <w:rFonts w:ascii="Times New Roman" w:hAnsi="Times New Roman"/>
          <w:b/>
          <w:bCs/>
          <w:sz w:val="24"/>
        </w:rPr>
        <w:t>regarding</w:t>
      </w:r>
      <w:r w:rsidR="00BB0749" w:rsidRPr="00344D31">
        <w:rPr>
          <w:rFonts w:ascii="Times New Roman" w:hAnsi="Times New Roman"/>
          <w:b/>
          <w:bCs/>
          <w:sz w:val="24"/>
        </w:rPr>
        <w:t xml:space="preserve"> how the factor was determined or the assumptions used. This unsupported project</w:t>
      </w:r>
      <w:r w:rsidR="00331BD4">
        <w:rPr>
          <w:rFonts w:ascii="Times New Roman" w:hAnsi="Times New Roman"/>
          <w:b/>
          <w:bCs/>
          <w:sz w:val="24"/>
        </w:rPr>
        <w:t>ion</w:t>
      </w:r>
      <w:r w:rsidR="00BB0749" w:rsidRPr="00344D31">
        <w:rPr>
          <w:rFonts w:ascii="Times New Roman" w:hAnsi="Times New Roman"/>
          <w:b/>
          <w:bCs/>
          <w:sz w:val="24"/>
        </w:rPr>
        <w:t xml:space="preserve"> </w:t>
      </w:r>
      <w:r w:rsidR="00573476" w:rsidRPr="00344D31">
        <w:rPr>
          <w:rFonts w:ascii="Times New Roman" w:hAnsi="Times New Roman"/>
          <w:b/>
          <w:bCs/>
          <w:sz w:val="24"/>
        </w:rPr>
        <w:t xml:space="preserve">should be replaced </w:t>
      </w:r>
      <w:r w:rsidR="00BB0749" w:rsidRPr="00344D31">
        <w:rPr>
          <w:rFonts w:ascii="Times New Roman" w:hAnsi="Times New Roman"/>
          <w:b/>
          <w:bCs/>
          <w:sz w:val="24"/>
        </w:rPr>
        <w:t>with a historical 4-</w:t>
      </w:r>
      <w:r w:rsidR="00573476" w:rsidRPr="00344D31">
        <w:rPr>
          <w:rFonts w:ascii="Times New Roman" w:hAnsi="Times New Roman"/>
          <w:b/>
          <w:bCs/>
          <w:sz w:val="24"/>
        </w:rPr>
        <w:t>year average of bad debt expense</w:t>
      </w:r>
      <w:r w:rsidR="00BB0749" w:rsidRPr="00344D31">
        <w:rPr>
          <w:rFonts w:ascii="Times New Roman" w:hAnsi="Times New Roman"/>
          <w:b/>
          <w:bCs/>
          <w:sz w:val="24"/>
        </w:rPr>
        <w:t xml:space="preserve">, </w:t>
      </w:r>
      <w:r w:rsidR="00573476" w:rsidRPr="00344D31">
        <w:rPr>
          <w:rFonts w:ascii="Times New Roman" w:hAnsi="Times New Roman"/>
          <w:b/>
          <w:bCs/>
          <w:sz w:val="24"/>
        </w:rPr>
        <w:t>result</w:t>
      </w:r>
      <w:r w:rsidR="00BB0749" w:rsidRPr="00344D31">
        <w:rPr>
          <w:rFonts w:ascii="Times New Roman" w:hAnsi="Times New Roman"/>
          <w:b/>
          <w:bCs/>
          <w:sz w:val="24"/>
        </w:rPr>
        <w:t>ing</w:t>
      </w:r>
      <w:r w:rsidR="00573476" w:rsidRPr="00344D31">
        <w:rPr>
          <w:rFonts w:ascii="Times New Roman" w:hAnsi="Times New Roman"/>
          <w:b/>
          <w:bCs/>
          <w:sz w:val="24"/>
        </w:rPr>
        <w:t xml:space="preserve"> in a reduction of $346,000.</w:t>
      </w:r>
      <w:r w:rsidR="00BB0749" w:rsidRPr="00344D31">
        <w:rPr>
          <w:rFonts w:ascii="Times New Roman" w:hAnsi="Times New Roman"/>
          <w:b/>
          <w:bCs/>
          <w:sz w:val="24"/>
        </w:rPr>
        <w:t xml:space="preserve"> The bad debt factor should also be adjusted to calculate the NOI multiplier. </w:t>
      </w:r>
      <w:r w:rsidR="003D762A" w:rsidRPr="00344D31">
        <w:rPr>
          <w:rFonts w:ascii="Times New Roman" w:hAnsi="Times New Roman"/>
          <w:b/>
          <w:bCs/>
          <w:sz w:val="24"/>
        </w:rPr>
        <w:t>(Ramas)</w:t>
      </w:r>
    </w:p>
    <w:p w:rsidR="00D80701" w:rsidRPr="00D80701" w:rsidRDefault="00D80701" w:rsidP="00D80701">
      <w:pPr>
        <w:widowControl/>
        <w:tabs>
          <w:tab w:val="left" w:pos="-1440"/>
        </w:tabs>
        <w:ind w:left="1440" w:hanging="1440"/>
        <w:jc w:val="both"/>
        <w:rPr>
          <w:rFonts w:ascii="Times New Roman" w:hAnsi="Times New Roman"/>
          <w:sz w:val="24"/>
        </w:rPr>
      </w:pPr>
    </w:p>
    <w:p w:rsidR="00275B80" w:rsidRDefault="00275B80"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O&amp;M Expense in the amount of $282,731,000 ($288,474,000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55624B" w:rsidRPr="00D80701" w:rsidRDefault="0055624B"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6843BD" w:rsidRPr="00344D31">
        <w:rPr>
          <w:rFonts w:ascii="Times New Roman" w:hAnsi="Times New Roman"/>
          <w:b/>
          <w:bCs/>
          <w:sz w:val="24"/>
        </w:rPr>
        <w:t xml:space="preserve">No. </w:t>
      </w:r>
      <w:r w:rsidR="00344D31" w:rsidRPr="00344D31">
        <w:rPr>
          <w:rFonts w:ascii="Times New Roman" w:hAnsi="Times New Roman"/>
          <w:b/>
          <w:bCs/>
          <w:sz w:val="24"/>
        </w:rPr>
        <w:t>After OPC’s recommended adjustments, t</w:t>
      </w:r>
      <w:r w:rsidR="006843BD" w:rsidRPr="00344D31">
        <w:rPr>
          <w:rFonts w:ascii="Times New Roman" w:hAnsi="Times New Roman"/>
          <w:b/>
          <w:bCs/>
          <w:sz w:val="24"/>
        </w:rPr>
        <w:t>he appropriate amount is $246,132,000.</w:t>
      </w:r>
      <w:r w:rsidRPr="00344D31">
        <w:rPr>
          <w:rFonts w:ascii="Times New Roman" w:hAnsi="Times New Roman"/>
          <w:b/>
          <w:bCs/>
          <w:sz w:val="24"/>
        </w:rPr>
        <w:t xml:space="preserve"> </w:t>
      </w:r>
      <w:r w:rsidR="003D762A" w:rsidRPr="00344D31">
        <w:rPr>
          <w:rFonts w:ascii="Times New Roman" w:hAnsi="Times New Roman"/>
          <w:b/>
          <w:bCs/>
          <w:sz w:val="24"/>
        </w:rPr>
        <w:t>(Ramas)</w:t>
      </w:r>
    </w:p>
    <w:p w:rsidR="00D80701" w:rsidRPr="00D80701" w:rsidRDefault="00D80701" w:rsidP="00D80701">
      <w:pPr>
        <w:widowControl/>
        <w:ind w:left="1440" w:hanging="1440"/>
        <w:jc w:val="both"/>
        <w:rPr>
          <w:rFonts w:ascii="Times New Roman" w:hAnsi="Times New Roman"/>
          <w:sz w:val="24"/>
          <w:u w:val="single"/>
        </w:rPr>
      </w:pPr>
    </w:p>
    <w:p w:rsidR="00275B80" w:rsidRDefault="00275B80"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amount of depreciation and fossil dismantlement expense for the 2012 projected test year?  </w:t>
      </w:r>
    </w:p>
    <w:p w:rsidR="006843BD" w:rsidRPr="00D80701" w:rsidRDefault="006843BD" w:rsidP="00D80701">
      <w:pPr>
        <w:widowControl/>
        <w:tabs>
          <w:tab w:val="left" w:pos="-1440"/>
        </w:tabs>
        <w:ind w:left="1440" w:hanging="1440"/>
        <w:jc w:val="both"/>
        <w:rPr>
          <w:rFonts w:ascii="Times New Roman" w:hAnsi="Times New Roman"/>
          <w:sz w:val="24"/>
        </w:rPr>
      </w:pPr>
    </w:p>
    <w:p w:rsidR="00275B80" w:rsidRPr="00344D31" w:rsidRDefault="006843BD"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620F76">
        <w:rPr>
          <w:rFonts w:ascii="Times New Roman" w:hAnsi="Times New Roman"/>
          <w:b/>
          <w:bCs/>
          <w:sz w:val="24"/>
        </w:rPr>
        <w:t>In its supplemental filing to include the Crist turbine upgrade projects, Gulf increased its depreciation expense request by $</w:t>
      </w:r>
      <w:r w:rsidR="00C36E5C">
        <w:rPr>
          <w:rFonts w:ascii="Times New Roman" w:hAnsi="Times New Roman"/>
          <w:b/>
          <w:bCs/>
          <w:sz w:val="24"/>
        </w:rPr>
        <w:t xml:space="preserve">2,161,000 </w:t>
      </w:r>
      <w:r w:rsidR="00620F76">
        <w:rPr>
          <w:rFonts w:ascii="Times New Roman" w:hAnsi="Times New Roman"/>
          <w:b/>
          <w:bCs/>
          <w:sz w:val="24"/>
        </w:rPr>
        <w:t xml:space="preserve">($2,237,000 system).  </w:t>
      </w:r>
      <w:r w:rsidR="00C36E5C">
        <w:rPr>
          <w:rFonts w:ascii="Times New Roman" w:hAnsi="Times New Roman"/>
          <w:b/>
          <w:bCs/>
          <w:sz w:val="24"/>
        </w:rPr>
        <w:t>On a jurisdictional basis, d</w:t>
      </w:r>
      <w:r w:rsidR="00287685" w:rsidRPr="00344D31">
        <w:rPr>
          <w:rFonts w:ascii="Times New Roman" w:hAnsi="Times New Roman"/>
          <w:b/>
          <w:bCs/>
          <w:sz w:val="24"/>
        </w:rPr>
        <w:t>epreciation expense should be reduced by $</w:t>
      </w:r>
      <w:r w:rsidR="00C36E5C">
        <w:rPr>
          <w:rFonts w:ascii="Times New Roman" w:hAnsi="Times New Roman"/>
          <w:b/>
          <w:bCs/>
          <w:sz w:val="24"/>
        </w:rPr>
        <w:t>187,000</w:t>
      </w:r>
      <w:r w:rsidR="00287685" w:rsidRPr="00344D31">
        <w:rPr>
          <w:rFonts w:ascii="Times New Roman" w:hAnsi="Times New Roman"/>
          <w:b/>
          <w:bCs/>
          <w:sz w:val="24"/>
        </w:rPr>
        <w:t xml:space="preserve"> for transmission and $42,967 for incentive compensation plant</w:t>
      </w:r>
      <w:r w:rsidR="000465B0">
        <w:rPr>
          <w:rFonts w:ascii="Times New Roman" w:hAnsi="Times New Roman"/>
          <w:b/>
          <w:bCs/>
          <w:sz w:val="24"/>
        </w:rPr>
        <w:t>-</w:t>
      </w:r>
      <w:r w:rsidR="00287685" w:rsidRPr="00344D31">
        <w:rPr>
          <w:rFonts w:ascii="Times New Roman" w:hAnsi="Times New Roman"/>
          <w:b/>
          <w:bCs/>
          <w:sz w:val="24"/>
        </w:rPr>
        <w:t xml:space="preserve"> related adjustments. </w:t>
      </w:r>
      <w:r w:rsidR="00287685">
        <w:rPr>
          <w:rFonts w:ascii="Times New Roman" w:hAnsi="Times New Roman"/>
          <w:b/>
          <w:bCs/>
          <w:sz w:val="24"/>
        </w:rPr>
        <w:t xml:space="preserve"> </w:t>
      </w:r>
      <w:r w:rsidR="00C36E5C">
        <w:rPr>
          <w:rFonts w:ascii="Times New Roman" w:hAnsi="Times New Roman"/>
          <w:b/>
          <w:bCs/>
          <w:sz w:val="24"/>
        </w:rPr>
        <w:t xml:space="preserve">The requested increase in depreciation expense for the Christ turbine upgrades should be reduced by $1,227,000 from $2,161,000 to $934,000.  </w:t>
      </w:r>
      <w:r w:rsidR="00287685">
        <w:rPr>
          <w:rFonts w:ascii="Times New Roman" w:hAnsi="Times New Roman"/>
          <w:b/>
          <w:bCs/>
          <w:sz w:val="24"/>
        </w:rPr>
        <w:t xml:space="preserve">See Issue 92. </w:t>
      </w:r>
      <w:r w:rsidR="00287685" w:rsidRPr="00344D31">
        <w:rPr>
          <w:rFonts w:ascii="Times New Roman" w:hAnsi="Times New Roman"/>
          <w:b/>
          <w:bCs/>
          <w:sz w:val="24"/>
        </w:rPr>
        <w:t>(Ramas)</w:t>
      </w:r>
    </w:p>
    <w:p w:rsidR="00D80701" w:rsidRPr="00D80701" w:rsidRDefault="00D80701" w:rsidP="00D80701">
      <w:pPr>
        <w:widowControl/>
        <w:tabs>
          <w:tab w:val="left" w:pos="-1440"/>
        </w:tabs>
        <w:ind w:left="1440" w:hanging="1440"/>
        <w:jc w:val="both"/>
        <w:rPr>
          <w:rFonts w:ascii="Times New Roman" w:hAnsi="Times New Roman"/>
          <w:sz w:val="24"/>
        </w:rPr>
      </w:pPr>
    </w:p>
    <w:p w:rsidR="00275B80" w:rsidRDefault="00275B80"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Depreciation and Amortization Expense in the amount of $87,804,000 ($89,613,000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6843BD" w:rsidRDefault="006843BD" w:rsidP="00275B80">
      <w:pPr>
        <w:tabs>
          <w:tab w:val="left" w:pos="720"/>
        </w:tabs>
        <w:ind w:left="1440" w:hanging="1440"/>
        <w:jc w:val="both"/>
        <w:rPr>
          <w:rFonts w:ascii="Times New Roman" w:hAnsi="Times New Roman"/>
          <w:bCs/>
          <w:sz w:val="24"/>
        </w:rPr>
      </w:pPr>
    </w:p>
    <w:p w:rsidR="00D13402" w:rsidRPr="00344D31" w:rsidRDefault="006843BD" w:rsidP="00D13402">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 xml:space="preserve">No. </w:t>
      </w:r>
      <w:r w:rsidR="00C36E5C">
        <w:rPr>
          <w:rFonts w:ascii="Times New Roman" w:hAnsi="Times New Roman"/>
          <w:b/>
          <w:bCs/>
          <w:sz w:val="24"/>
        </w:rPr>
        <w:t xml:space="preserve">In its supplemental filing to include the Crist turbine upgrade projects, Gulf increased its depreciation expense request by $2,161,000 ($2,237,000 system).  </w:t>
      </w:r>
      <w:r w:rsidR="00C36E5C" w:rsidRPr="00344D31">
        <w:rPr>
          <w:rFonts w:ascii="Times New Roman" w:hAnsi="Times New Roman"/>
          <w:b/>
          <w:bCs/>
          <w:sz w:val="24"/>
        </w:rPr>
        <w:t xml:space="preserve">The appropriate amount is </w:t>
      </w:r>
      <w:r w:rsidR="00C36E5C">
        <w:rPr>
          <w:rFonts w:ascii="Times New Roman" w:hAnsi="Times New Roman"/>
          <w:b/>
          <w:bCs/>
          <w:sz w:val="24"/>
        </w:rPr>
        <w:t>$95,885,000</w:t>
      </w:r>
      <w:r w:rsidR="00C36E5C" w:rsidRPr="00344D31">
        <w:rPr>
          <w:rFonts w:ascii="Times New Roman" w:hAnsi="Times New Roman"/>
          <w:b/>
          <w:bCs/>
          <w:sz w:val="24"/>
        </w:rPr>
        <w:t xml:space="preserve">, which reflects a reduction to Gulf’s </w:t>
      </w:r>
      <w:r w:rsidR="00C36E5C">
        <w:rPr>
          <w:rFonts w:ascii="Times New Roman" w:hAnsi="Times New Roman"/>
          <w:b/>
          <w:bCs/>
          <w:sz w:val="24"/>
        </w:rPr>
        <w:t xml:space="preserve">updated </w:t>
      </w:r>
      <w:r w:rsidR="00C36E5C" w:rsidRPr="00344D31">
        <w:rPr>
          <w:rFonts w:ascii="Times New Roman" w:hAnsi="Times New Roman"/>
          <w:b/>
          <w:bCs/>
          <w:sz w:val="24"/>
        </w:rPr>
        <w:t>requested balance of $</w:t>
      </w:r>
      <w:r w:rsidR="00C36E5C">
        <w:rPr>
          <w:rFonts w:ascii="Times New Roman" w:hAnsi="Times New Roman"/>
          <w:b/>
          <w:bCs/>
          <w:sz w:val="24"/>
        </w:rPr>
        <w:t>1,456,000</w:t>
      </w:r>
      <w:r w:rsidR="00C36E5C" w:rsidRPr="00344D31">
        <w:rPr>
          <w:rFonts w:ascii="Times New Roman" w:hAnsi="Times New Roman"/>
          <w:b/>
          <w:bCs/>
          <w:sz w:val="24"/>
        </w:rPr>
        <w:t xml:space="preserve">. </w:t>
      </w:r>
      <w:r w:rsidR="00C36E5C">
        <w:rPr>
          <w:rFonts w:ascii="Times New Roman" w:hAnsi="Times New Roman"/>
          <w:b/>
          <w:bCs/>
          <w:sz w:val="24"/>
        </w:rPr>
        <w:t>On a jurisdictional basis, d</w:t>
      </w:r>
      <w:r w:rsidR="00C36E5C" w:rsidRPr="00344D31">
        <w:rPr>
          <w:rFonts w:ascii="Times New Roman" w:hAnsi="Times New Roman"/>
          <w:b/>
          <w:bCs/>
          <w:sz w:val="24"/>
        </w:rPr>
        <w:t>epreciation expense should be reduced by $</w:t>
      </w:r>
      <w:r w:rsidR="00C36E5C">
        <w:rPr>
          <w:rFonts w:ascii="Times New Roman" w:hAnsi="Times New Roman"/>
          <w:b/>
          <w:bCs/>
          <w:sz w:val="24"/>
        </w:rPr>
        <w:t>187,000</w:t>
      </w:r>
      <w:r w:rsidR="00C36E5C" w:rsidRPr="00344D31">
        <w:rPr>
          <w:rFonts w:ascii="Times New Roman" w:hAnsi="Times New Roman"/>
          <w:b/>
          <w:bCs/>
          <w:sz w:val="24"/>
        </w:rPr>
        <w:t xml:space="preserve"> for transmission and $42,967 for incentive compensation plant</w:t>
      </w:r>
      <w:r w:rsidR="000465B0">
        <w:rPr>
          <w:rFonts w:ascii="Times New Roman" w:hAnsi="Times New Roman"/>
          <w:b/>
          <w:bCs/>
          <w:sz w:val="24"/>
        </w:rPr>
        <w:t>-</w:t>
      </w:r>
      <w:r w:rsidR="00C36E5C" w:rsidRPr="00344D31">
        <w:rPr>
          <w:rFonts w:ascii="Times New Roman" w:hAnsi="Times New Roman"/>
          <w:b/>
          <w:bCs/>
          <w:sz w:val="24"/>
        </w:rPr>
        <w:t xml:space="preserve">related adjustments. </w:t>
      </w:r>
      <w:r w:rsidR="00C36E5C">
        <w:rPr>
          <w:rFonts w:ascii="Times New Roman" w:hAnsi="Times New Roman"/>
          <w:b/>
          <w:bCs/>
          <w:sz w:val="24"/>
        </w:rPr>
        <w:t xml:space="preserve"> The requested increase in depreciation expense for the Christ turbine upgrades should be reduced by $1,227,000 from $2,161,000 to $934,000. </w:t>
      </w:r>
      <w:r w:rsidR="0055624B" w:rsidRPr="00344D31">
        <w:rPr>
          <w:rFonts w:ascii="Times New Roman" w:hAnsi="Times New Roman"/>
          <w:b/>
          <w:bCs/>
          <w:sz w:val="24"/>
        </w:rPr>
        <w:t>(Ramas)</w:t>
      </w:r>
    </w:p>
    <w:p w:rsidR="00275B80" w:rsidRDefault="00275B80" w:rsidP="00D80701">
      <w:pPr>
        <w:widowControl/>
        <w:tabs>
          <w:tab w:val="left" w:pos="-1440"/>
        </w:tabs>
        <w:ind w:left="1440" w:hanging="1440"/>
        <w:jc w:val="both"/>
        <w:rPr>
          <w:rFonts w:ascii="Times New Roman" w:hAnsi="Times New Roman"/>
          <w:b/>
          <w:sz w:val="24"/>
          <w:u w:val="single"/>
        </w:rPr>
      </w:pPr>
    </w:p>
    <w:p w:rsidR="00344D31" w:rsidRDefault="00344D31"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amount of Taxes Other Than Income Taxes for the 2012 projected test year?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A40BE9" w:rsidRDefault="00A40BE9" w:rsidP="00275B80">
      <w:pPr>
        <w:tabs>
          <w:tab w:val="left" w:pos="720"/>
        </w:tabs>
        <w:ind w:left="1440" w:hanging="1440"/>
        <w:jc w:val="both"/>
        <w:rPr>
          <w:rFonts w:ascii="Times New Roman" w:hAnsi="Times New Roman"/>
          <w:bCs/>
          <w:sz w:val="24"/>
        </w:rPr>
      </w:pPr>
    </w:p>
    <w:p w:rsidR="00275B80" w:rsidRPr="00344D31" w:rsidRDefault="00275B80" w:rsidP="00344D31">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895824" w:rsidRPr="00344D31">
        <w:rPr>
          <w:rFonts w:ascii="Times New Roman" w:hAnsi="Times New Roman"/>
          <w:b/>
          <w:bCs/>
          <w:sz w:val="24"/>
        </w:rPr>
        <w:t xml:space="preserve">The appropriate amount of taxes other than income should be $27,977,000. This reflects a reduction to Gulf’s requested balance of $786,000 for OPC’s recommended </w:t>
      </w:r>
      <w:r w:rsidR="00571733">
        <w:rPr>
          <w:rFonts w:ascii="Times New Roman" w:hAnsi="Times New Roman"/>
          <w:b/>
          <w:bCs/>
          <w:sz w:val="24"/>
        </w:rPr>
        <w:t>incentive compensation</w:t>
      </w:r>
      <w:r w:rsidR="00895824" w:rsidRPr="00344D31">
        <w:rPr>
          <w:rFonts w:ascii="Times New Roman" w:hAnsi="Times New Roman"/>
          <w:b/>
          <w:bCs/>
          <w:sz w:val="24"/>
        </w:rPr>
        <w:t xml:space="preserve"> adjustment. </w:t>
      </w:r>
      <w:r w:rsidR="003D762A" w:rsidRPr="00344D31">
        <w:rPr>
          <w:rFonts w:ascii="Times New Roman" w:hAnsi="Times New Roman"/>
          <w:b/>
          <w:bCs/>
          <w:sz w:val="24"/>
        </w:rPr>
        <w:t>(Ramas)</w:t>
      </w:r>
    </w:p>
    <w:p w:rsidR="00A40BE9" w:rsidRDefault="00A40BE9" w:rsidP="00D80701">
      <w:pPr>
        <w:widowControl/>
        <w:tabs>
          <w:tab w:val="left" w:pos="-1440"/>
        </w:tabs>
        <w:ind w:left="1440" w:hanging="1440"/>
        <w:jc w:val="both"/>
        <w:rPr>
          <w:rFonts w:ascii="Times New Roman" w:hAnsi="Times New Roman"/>
          <w:b/>
          <w:sz w:val="24"/>
          <w:u w:val="single"/>
        </w:rPr>
      </w:pPr>
    </w:p>
    <w:p w:rsidR="00344D31" w:rsidRDefault="00344D31" w:rsidP="00D80701">
      <w:pPr>
        <w:widowControl/>
        <w:tabs>
          <w:tab w:val="left" w:pos="-1440"/>
        </w:tabs>
        <w:ind w:left="1440" w:hanging="1440"/>
        <w:jc w:val="both"/>
        <w:rPr>
          <w:rFonts w:ascii="Times New Roman" w:hAnsi="Times New Roman"/>
          <w:b/>
          <w:sz w:val="24"/>
          <w:u w:val="single"/>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it appropriate to make a parent debt adjustment per Rule 25-14.004, Florida Administrative Code? </w:t>
      </w:r>
    </w:p>
    <w:p w:rsidR="00D80701" w:rsidRPr="00D80701" w:rsidRDefault="00D80701" w:rsidP="00D80701">
      <w:pPr>
        <w:widowControl/>
        <w:tabs>
          <w:tab w:val="left" w:pos="-1440"/>
        </w:tabs>
        <w:ind w:left="1440" w:hanging="1440"/>
        <w:jc w:val="both"/>
        <w:rPr>
          <w:rFonts w:ascii="Times New Roman" w:hAnsi="Times New Roman"/>
          <w:sz w:val="24"/>
        </w:rPr>
      </w:pPr>
    </w:p>
    <w:p w:rsidR="00275B80" w:rsidRPr="00344D31" w:rsidRDefault="00A40BE9"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Yes</w:t>
      </w:r>
      <w:r w:rsidR="00E0391C" w:rsidRPr="00344D31">
        <w:rPr>
          <w:rFonts w:ascii="Times New Roman" w:hAnsi="Times New Roman"/>
          <w:b/>
          <w:bCs/>
          <w:sz w:val="24"/>
        </w:rPr>
        <w:t xml:space="preserve">. Gulf has not </w:t>
      </w:r>
      <w:r w:rsidR="000465B0">
        <w:rPr>
          <w:rFonts w:ascii="Times New Roman" w:hAnsi="Times New Roman"/>
          <w:b/>
          <w:bCs/>
          <w:sz w:val="24"/>
        </w:rPr>
        <w:t>overcome</w:t>
      </w:r>
      <w:r w:rsidR="00E0391C" w:rsidRPr="00344D31">
        <w:rPr>
          <w:rFonts w:ascii="Times New Roman" w:hAnsi="Times New Roman"/>
          <w:b/>
          <w:bCs/>
          <w:sz w:val="24"/>
        </w:rPr>
        <w:t xml:space="preserve"> the rebuttable presumption required by the </w:t>
      </w:r>
      <w:r w:rsidR="000465B0" w:rsidRPr="00344D31">
        <w:rPr>
          <w:rFonts w:ascii="Times New Roman" w:hAnsi="Times New Roman"/>
          <w:b/>
          <w:bCs/>
          <w:sz w:val="24"/>
        </w:rPr>
        <w:t>rule</w:t>
      </w:r>
      <w:r w:rsidR="000465B0">
        <w:rPr>
          <w:rFonts w:ascii="Times New Roman" w:hAnsi="Times New Roman"/>
          <w:b/>
          <w:bCs/>
          <w:sz w:val="24"/>
        </w:rPr>
        <w:t xml:space="preserve">, and thus has failed </w:t>
      </w:r>
      <w:r w:rsidR="00E0391C" w:rsidRPr="00344D31">
        <w:rPr>
          <w:rFonts w:ascii="Times New Roman" w:hAnsi="Times New Roman"/>
          <w:b/>
          <w:bCs/>
          <w:sz w:val="24"/>
        </w:rPr>
        <w:t>to show that the parent’s investment in Gulf is not made in the same ratios as exists in the Southern’s capital structure. The fact that no adjustment was made in the last rate case provides no support</w:t>
      </w:r>
      <w:r w:rsidR="000465B0">
        <w:rPr>
          <w:rFonts w:ascii="Times New Roman" w:hAnsi="Times New Roman"/>
          <w:b/>
          <w:bCs/>
          <w:sz w:val="24"/>
        </w:rPr>
        <w:t xml:space="preserve"> to Gulf,</w:t>
      </w:r>
      <w:r w:rsidR="00E0391C" w:rsidRPr="00344D31">
        <w:rPr>
          <w:rFonts w:ascii="Times New Roman" w:hAnsi="Times New Roman"/>
          <w:b/>
          <w:bCs/>
          <w:sz w:val="24"/>
        </w:rPr>
        <w:t xml:space="preserve"> because the issue was not addressed. The argument that for years Gulf sent more dividends to Southern Company than the amount of equity that Southern invested in Gulf also does not provide an exception</w:t>
      </w:r>
      <w:r w:rsidR="000465B0">
        <w:rPr>
          <w:rFonts w:ascii="Times New Roman" w:hAnsi="Times New Roman"/>
          <w:b/>
          <w:bCs/>
          <w:sz w:val="24"/>
        </w:rPr>
        <w:t>,</w:t>
      </w:r>
      <w:r w:rsidR="00E0391C" w:rsidRPr="00344D31">
        <w:rPr>
          <w:rFonts w:ascii="Times New Roman" w:hAnsi="Times New Roman"/>
          <w:b/>
          <w:bCs/>
          <w:sz w:val="24"/>
        </w:rPr>
        <w:t xml:space="preserve"> because it is impossible to “trace dollars.” As shown on MFR Schedule D-2, the capital structure of Southern Company, after the elimination of subsidiary debt, has debt outstanding on an ongoing basis.  Therefore, in the absence of an all equity capital structure at the parent level, a PDA is appropriate for Gulf Power.  Gulf’s calculation of the adjustment is consistent with the rule and should be made as </w:t>
      </w:r>
      <w:r w:rsidRPr="00344D31">
        <w:rPr>
          <w:rFonts w:ascii="Times New Roman" w:hAnsi="Times New Roman"/>
          <w:b/>
          <w:bCs/>
          <w:sz w:val="24"/>
        </w:rPr>
        <w:t xml:space="preserve">a </w:t>
      </w:r>
      <w:r w:rsidR="00E0391C" w:rsidRPr="00344D31">
        <w:rPr>
          <w:rFonts w:ascii="Times New Roman" w:hAnsi="Times New Roman"/>
          <w:b/>
          <w:bCs/>
          <w:sz w:val="24"/>
        </w:rPr>
        <w:t xml:space="preserve">$2,126,000 </w:t>
      </w:r>
      <w:r w:rsidRPr="00344D31">
        <w:rPr>
          <w:rFonts w:ascii="Times New Roman" w:hAnsi="Times New Roman"/>
          <w:b/>
          <w:bCs/>
          <w:sz w:val="24"/>
        </w:rPr>
        <w:t xml:space="preserve">reduction to income tax expense ($1,766,000 on a jurisdictional basis). </w:t>
      </w:r>
      <w:r w:rsidR="003D762A" w:rsidRPr="00344D31">
        <w:rPr>
          <w:rFonts w:ascii="Times New Roman" w:hAnsi="Times New Roman"/>
          <w:b/>
          <w:bCs/>
          <w:sz w:val="24"/>
        </w:rPr>
        <w:t>(Woolridge, Ramas)</w:t>
      </w:r>
    </w:p>
    <w:p w:rsidR="00E0391C" w:rsidRDefault="00E0391C" w:rsidP="00275B80">
      <w:pPr>
        <w:tabs>
          <w:tab w:val="left" w:pos="720"/>
        </w:tabs>
        <w:ind w:left="1440" w:hanging="1440"/>
        <w:jc w:val="both"/>
        <w:rPr>
          <w:rFonts w:ascii="Times New Roman" w:hAnsi="Times New Roman"/>
          <w:bCs/>
          <w:sz w:val="24"/>
        </w:rPr>
      </w:pPr>
    </w:p>
    <w:p w:rsidR="00E0391C" w:rsidRPr="00E0391C" w:rsidRDefault="00E0391C" w:rsidP="00E0391C">
      <w:pPr>
        <w:tabs>
          <w:tab w:val="left" w:pos="720"/>
        </w:tabs>
        <w:ind w:left="1440" w:hanging="1440"/>
        <w:jc w:val="both"/>
        <w:rPr>
          <w:rFonts w:ascii="Times New Roman" w:hAnsi="Times New Roman"/>
          <w:bCs/>
          <w:sz w:val="24"/>
        </w:rPr>
      </w:pPr>
      <w:r>
        <w:rPr>
          <w:rFonts w:ascii="Times New Roman" w:hAnsi="Times New Roman"/>
          <w:bCs/>
          <w:sz w:val="24"/>
        </w:rPr>
        <w:tab/>
      </w:r>
      <w:r w:rsidRPr="00E0391C">
        <w:rPr>
          <w:rFonts w:ascii="Times New Roman" w:hAnsi="Times New Roman"/>
          <w:bCs/>
          <w:sz w:val="24"/>
        </w:rPr>
        <w:t xml:space="preserve"> </w:t>
      </w:r>
    </w:p>
    <w:p w:rsidR="00E0391C" w:rsidRDefault="00E0391C" w:rsidP="00E0391C">
      <w:pPr>
        <w:tabs>
          <w:tab w:val="left" w:pos="720"/>
        </w:tabs>
        <w:ind w:left="1440" w:hanging="1440"/>
        <w:jc w:val="both"/>
        <w:rPr>
          <w:rFonts w:ascii="Times New Roman" w:hAnsi="Times New Roman"/>
          <w:bCs/>
          <w:sz w:val="24"/>
        </w:rPr>
      </w:pPr>
    </w:p>
    <w:p w:rsidR="00D5389A" w:rsidRPr="00E0391C" w:rsidRDefault="00D5389A" w:rsidP="00E0391C">
      <w:pPr>
        <w:tabs>
          <w:tab w:val="left" w:pos="720"/>
        </w:tabs>
        <w:ind w:left="1440" w:hanging="1440"/>
        <w:jc w:val="both"/>
        <w:rPr>
          <w:rFonts w:ascii="Times New Roman" w:hAnsi="Times New Roman"/>
          <w:bCs/>
          <w:sz w:val="24"/>
        </w:rPr>
      </w:pPr>
    </w:p>
    <w:p w:rsidR="00D80701" w:rsidRP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amount of Income Tax expense for the 2012 projected test year?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D80701" w:rsidRDefault="00D80701" w:rsidP="00D80701">
      <w:pPr>
        <w:widowControl/>
        <w:tabs>
          <w:tab w:val="left" w:pos="-1440"/>
        </w:tabs>
        <w:ind w:left="1440" w:hanging="1440"/>
        <w:jc w:val="both"/>
        <w:rPr>
          <w:rFonts w:ascii="Times New Roman" w:hAnsi="Times New Roman"/>
          <w:sz w:val="24"/>
        </w:rPr>
      </w:pPr>
    </w:p>
    <w:p w:rsidR="000C3612" w:rsidRPr="00344D31" w:rsidRDefault="00275B80" w:rsidP="000C3612">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344D31" w:rsidRPr="00344D31">
        <w:rPr>
          <w:rFonts w:ascii="Times New Roman" w:hAnsi="Times New Roman"/>
          <w:b/>
          <w:bCs/>
          <w:sz w:val="24"/>
        </w:rPr>
        <w:t>Based on OPC’s recommended adjustments, t</w:t>
      </w:r>
      <w:r w:rsidR="000C3612" w:rsidRPr="00344D31">
        <w:rPr>
          <w:rFonts w:ascii="Times New Roman" w:hAnsi="Times New Roman"/>
          <w:b/>
          <w:bCs/>
          <w:sz w:val="24"/>
        </w:rPr>
        <w:t xml:space="preserve">he appropriate amount of test year income tax expense before any revenue increase should be as follows: </w:t>
      </w:r>
      <w:r w:rsidR="00344D31" w:rsidRPr="00344D31">
        <w:rPr>
          <w:rFonts w:ascii="Times New Roman" w:hAnsi="Times New Roman"/>
          <w:b/>
          <w:bCs/>
          <w:sz w:val="24"/>
        </w:rPr>
        <w:t>(Ramas)</w:t>
      </w:r>
    </w:p>
    <w:p w:rsidR="000C3612" w:rsidRPr="00344D31" w:rsidRDefault="000C3612" w:rsidP="000C3612">
      <w:pPr>
        <w:tabs>
          <w:tab w:val="left" w:pos="720"/>
        </w:tabs>
        <w:ind w:left="1440" w:hanging="1440"/>
        <w:jc w:val="both"/>
        <w:rPr>
          <w:rFonts w:ascii="Times New Roman" w:hAnsi="Times New Roman"/>
          <w:b/>
          <w:bCs/>
          <w:sz w:val="24"/>
        </w:rPr>
      </w:pPr>
    </w:p>
    <w:p w:rsidR="000C3612" w:rsidRPr="00344D31" w:rsidRDefault="000C3612" w:rsidP="000C3612">
      <w:pPr>
        <w:tabs>
          <w:tab w:val="left" w:pos="720"/>
        </w:tabs>
        <w:ind w:left="1440" w:hanging="1440"/>
        <w:jc w:val="both"/>
        <w:rPr>
          <w:rFonts w:ascii="Times New Roman" w:hAnsi="Times New Roman"/>
          <w:b/>
          <w:bCs/>
          <w:sz w:val="24"/>
        </w:rPr>
      </w:pPr>
      <w:r w:rsidRPr="00344D31">
        <w:rPr>
          <w:rFonts w:ascii="Times New Roman" w:hAnsi="Times New Roman"/>
          <w:b/>
          <w:bCs/>
          <w:sz w:val="24"/>
        </w:rPr>
        <w:tab/>
      </w:r>
      <w:r w:rsidRPr="00344D31">
        <w:rPr>
          <w:rFonts w:ascii="Times New Roman" w:hAnsi="Times New Roman"/>
          <w:b/>
          <w:bCs/>
          <w:sz w:val="24"/>
        </w:rPr>
        <w:tab/>
        <w:t>Federal &amp; State Income Taxes</w:t>
      </w:r>
      <w:r w:rsidRPr="00344D31">
        <w:rPr>
          <w:rFonts w:ascii="Times New Roman" w:hAnsi="Times New Roman"/>
          <w:b/>
          <w:bCs/>
          <w:sz w:val="24"/>
        </w:rPr>
        <w:tab/>
        <w:t>($</w:t>
      </w:r>
      <w:r w:rsidR="00C36E5C">
        <w:rPr>
          <w:rFonts w:ascii="Times New Roman" w:hAnsi="Times New Roman"/>
          <w:b/>
          <w:bCs/>
          <w:sz w:val="24"/>
        </w:rPr>
        <w:t>51,762</w:t>
      </w:r>
      <w:r w:rsidRPr="00344D31">
        <w:rPr>
          <w:rFonts w:ascii="Times New Roman" w:hAnsi="Times New Roman"/>
          <w:b/>
          <w:bCs/>
          <w:sz w:val="24"/>
        </w:rPr>
        <w:t>,000)</w:t>
      </w:r>
    </w:p>
    <w:p w:rsidR="000C3612" w:rsidRPr="00344D31" w:rsidRDefault="000C3612" w:rsidP="000C3612">
      <w:pPr>
        <w:tabs>
          <w:tab w:val="left" w:pos="720"/>
        </w:tabs>
        <w:ind w:left="1440" w:hanging="1440"/>
        <w:jc w:val="both"/>
        <w:rPr>
          <w:rFonts w:ascii="Times New Roman" w:hAnsi="Times New Roman"/>
          <w:b/>
          <w:bCs/>
          <w:sz w:val="24"/>
        </w:rPr>
      </w:pPr>
      <w:r w:rsidRPr="00344D31">
        <w:rPr>
          <w:rFonts w:ascii="Times New Roman" w:hAnsi="Times New Roman"/>
          <w:b/>
          <w:bCs/>
          <w:sz w:val="24"/>
        </w:rPr>
        <w:tab/>
      </w:r>
      <w:r w:rsidRPr="00344D31">
        <w:rPr>
          <w:rFonts w:ascii="Times New Roman" w:hAnsi="Times New Roman"/>
          <w:b/>
          <w:bCs/>
          <w:sz w:val="24"/>
        </w:rPr>
        <w:tab/>
        <w:t>Deferred Federal Income Taxes</w:t>
      </w:r>
      <w:r w:rsidRPr="00344D31">
        <w:rPr>
          <w:rFonts w:ascii="Times New Roman" w:hAnsi="Times New Roman"/>
          <w:b/>
          <w:bCs/>
          <w:sz w:val="24"/>
        </w:rPr>
        <w:tab/>
        <w:t xml:space="preserve"> $77,058,000</w:t>
      </w:r>
    </w:p>
    <w:p w:rsidR="000C3612" w:rsidRPr="00344D31" w:rsidRDefault="000C3612" w:rsidP="000C3612">
      <w:pPr>
        <w:tabs>
          <w:tab w:val="left" w:pos="720"/>
        </w:tabs>
        <w:ind w:left="1440" w:hanging="1440"/>
        <w:jc w:val="both"/>
        <w:rPr>
          <w:rFonts w:ascii="Times New Roman" w:hAnsi="Times New Roman"/>
          <w:b/>
          <w:bCs/>
          <w:sz w:val="24"/>
        </w:rPr>
      </w:pPr>
      <w:r w:rsidRPr="00344D31">
        <w:rPr>
          <w:rFonts w:ascii="Times New Roman" w:hAnsi="Times New Roman"/>
          <w:b/>
          <w:bCs/>
          <w:sz w:val="24"/>
        </w:rPr>
        <w:tab/>
      </w:r>
      <w:r w:rsidRPr="00344D31">
        <w:rPr>
          <w:rFonts w:ascii="Times New Roman" w:hAnsi="Times New Roman"/>
          <w:b/>
          <w:bCs/>
          <w:sz w:val="24"/>
        </w:rPr>
        <w:tab/>
        <w:t xml:space="preserve">Deferred State Income Taxes </w:t>
      </w:r>
      <w:r w:rsidRPr="00344D31">
        <w:rPr>
          <w:rFonts w:ascii="Times New Roman" w:hAnsi="Times New Roman"/>
          <w:b/>
          <w:bCs/>
          <w:sz w:val="24"/>
        </w:rPr>
        <w:tab/>
        <w:t xml:space="preserve">   $5,112,000</w:t>
      </w:r>
    </w:p>
    <w:p w:rsidR="000C3612" w:rsidRPr="000C3612" w:rsidRDefault="000C3612" w:rsidP="000C3612">
      <w:pPr>
        <w:tabs>
          <w:tab w:val="left" w:pos="720"/>
        </w:tabs>
        <w:ind w:left="1440" w:hanging="1440"/>
        <w:jc w:val="both"/>
        <w:rPr>
          <w:rFonts w:ascii="Times New Roman" w:hAnsi="Times New Roman"/>
          <w:sz w:val="24"/>
        </w:rPr>
      </w:pPr>
    </w:p>
    <w:p w:rsidR="00275B80" w:rsidRDefault="00275B80" w:rsidP="00D80701">
      <w:pPr>
        <w:widowControl/>
        <w:tabs>
          <w:tab w:val="left" w:pos="-1440"/>
        </w:tabs>
        <w:ind w:left="1440" w:hanging="1440"/>
        <w:jc w:val="both"/>
        <w:rPr>
          <w:rFonts w:ascii="Times New Roman" w:hAnsi="Times New Roman"/>
          <w:sz w:val="24"/>
        </w:rPr>
      </w:pPr>
    </w:p>
    <w:p w:rsidR="00275B80" w:rsidRPr="00D80701" w:rsidRDefault="00275B80" w:rsidP="00D80701">
      <w:pPr>
        <w:widowControl/>
        <w:tabs>
          <w:tab w:val="left" w:pos="-1440"/>
        </w:tabs>
        <w:ind w:left="1440" w:hanging="1440"/>
        <w:jc w:val="both"/>
        <w:rPr>
          <w:rFonts w:ascii="Times New Roman" w:hAnsi="Times New Roman"/>
          <w:sz w:val="24"/>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level of Total Operating Expenses in the amount of $420,954,000 ($432,449,000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0C3612" w:rsidRPr="00D80701" w:rsidRDefault="000C3612"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0C3612" w:rsidRPr="00344D31">
        <w:rPr>
          <w:rFonts w:ascii="Times New Roman" w:hAnsi="Times New Roman"/>
          <w:b/>
          <w:bCs/>
          <w:sz w:val="24"/>
        </w:rPr>
        <w:t>No</w:t>
      </w:r>
      <w:r w:rsidR="00C36E5C">
        <w:rPr>
          <w:rFonts w:ascii="Times New Roman" w:hAnsi="Times New Roman"/>
          <w:b/>
          <w:bCs/>
          <w:sz w:val="24"/>
        </w:rPr>
        <w:t>.  Gulf’s supplemental filing increases its requested operating expenses by $816,000 to $421,770,000</w:t>
      </w:r>
      <w:r w:rsidR="000C3612" w:rsidRPr="00344D31">
        <w:rPr>
          <w:rFonts w:ascii="Times New Roman" w:hAnsi="Times New Roman"/>
          <w:b/>
          <w:bCs/>
          <w:sz w:val="24"/>
        </w:rPr>
        <w:t xml:space="preserve">, </w:t>
      </w:r>
      <w:r w:rsidR="00344D31" w:rsidRPr="00344D31">
        <w:rPr>
          <w:rFonts w:ascii="Times New Roman" w:hAnsi="Times New Roman"/>
          <w:b/>
          <w:bCs/>
          <w:sz w:val="24"/>
        </w:rPr>
        <w:t xml:space="preserve">after OPC’s recommended adjustments, </w:t>
      </w:r>
      <w:r w:rsidR="000C3612" w:rsidRPr="00344D31">
        <w:rPr>
          <w:rFonts w:ascii="Times New Roman" w:hAnsi="Times New Roman"/>
          <w:b/>
          <w:bCs/>
          <w:sz w:val="24"/>
        </w:rPr>
        <w:t>the appropriate total operating expenses should be $</w:t>
      </w:r>
      <w:r w:rsidR="00C36E5C">
        <w:rPr>
          <w:rFonts w:ascii="Times New Roman" w:hAnsi="Times New Roman"/>
          <w:b/>
          <w:bCs/>
          <w:sz w:val="24"/>
        </w:rPr>
        <w:t>399,448,000</w:t>
      </w:r>
      <w:r w:rsidR="000C3612" w:rsidRPr="00344D31">
        <w:rPr>
          <w:rFonts w:ascii="Times New Roman" w:hAnsi="Times New Roman"/>
          <w:b/>
          <w:bCs/>
          <w:sz w:val="24"/>
        </w:rPr>
        <w:t xml:space="preserve"> (jurisdictional).</w:t>
      </w:r>
      <w:r w:rsidR="00344D31" w:rsidRPr="00344D31">
        <w:rPr>
          <w:rFonts w:ascii="Times New Roman" w:hAnsi="Times New Roman"/>
          <w:b/>
          <w:bCs/>
          <w:sz w:val="24"/>
        </w:rPr>
        <w:t xml:space="preserve"> (Ramas)</w:t>
      </w:r>
    </w:p>
    <w:p w:rsidR="00D80701" w:rsidRPr="00D80701" w:rsidRDefault="00D80701" w:rsidP="00D80701">
      <w:pPr>
        <w:widowControl/>
        <w:tabs>
          <w:tab w:val="left" w:pos="-1440"/>
        </w:tabs>
        <w:ind w:left="1440" w:hanging="1440"/>
        <w:jc w:val="both"/>
        <w:rPr>
          <w:rFonts w:ascii="Times New Roman" w:hAnsi="Times New Roman"/>
          <w:sz w:val="24"/>
        </w:rPr>
      </w:pPr>
    </w:p>
    <w:p w:rsidR="0082225B" w:rsidRDefault="0082225B"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projected Net Operating Income in the amount of $60,955,000 ($66,862,000 system)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0C3612" w:rsidRPr="00D80701" w:rsidRDefault="000C3612" w:rsidP="00D80701">
      <w:pPr>
        <w:widowControl/>
        <w:tabs>
          <w:tab w:val="left" w:pos="-1440"/>
        </w:tabs>
        <w:ind w:left="1440" w:hanging="1440"/>
        <w:jc w:val="both"/>
        <w:rPr>
          <w:rFonts w:ascii="Times New Roman" w:hAnsi="Times New Roman"/>
          <w:sz w:val="24"/>
        </w:rPr>
      </w:pPr>
    </w:p>
    <w:p w:rsidR="000C3612" w:rsidRPr="00344D31" w:rsidRDefault="00275B80" w:rsidP="00344D31">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00287685">
        <w:rPr>
          <w:rFonts w:ascii="Times New Roman" w:hAnsi="Times New Roman"/>
          <w:b/>
          <w:bCs/>
          <w:sz w:val="24"/>
        </w:rPr>
        <w:tab/>
      </w:r>
      <w:r w:rsidR="000C3612" w:rsidRPr="00344D31">
        <w:rPr>
          <w:rFonts w:ascii="Times New Roman" w:hAnsi="Times New Roman"/>
          <w:b/>
          <w:bCs/>
          <w:sz w:val="24"/>
        </w:rPr>
        <w:t>No</w:t>
      </w:r>
      <w:r w:rsidR="00C36E5C">
        <w:rPr>
          <w:rFonts w:ascii="Times New Roman" w:hAnsi="Times New Roman"/>
          <w:b/>
          <w:bCs/>
          <w:sz w:val="24"/>
        </w:rPr>
        <w:t>.  Gulf’s supplemental filing increase</w:t>
      </w:r>
      <w:r w:rsidR="00331BD4">
        <w:rPr>
          <w:rFonts w:ascii="Times New Roman" w:hAnsi="Times New Roman"/>
          <w:b/>
          <w:bCs/>
          <w:sz w:val="24"/>
        </w:rPr>
        <w:t>s</w:t>
      </w:r>
      <w:r w:rsidR="00C36E5C">
        <w:rPr>
          <w:rFonts w:ascii="Times New Roman" w:hAnsi="Times New Roman"/>
          <w:b/>
          <w:bCs/>
          <w:sz w:val="24"/>
        </w:rPr>
        <w:t xml:space="preserve"> its projected Net Operating Income by $816,000</w:t>
      </w:r>
      <w:r w:rsidR="00EF7C46">
        <w:rPr>
          <w:rFonts w:ascii="Times New Roman" w:hAnsi="Times New Roman"/>
          <w:b/>
          <w:bCs/>
          <w:sz w:val="24"/>
        </w:rPr>
        <w:t xml:space="preserve"> to $61,771,000.</w:t>
      </w:r>
      <w:r w:rsidR="00331BD4">
        <w:rPr>
          <w:rFonts w:ascii="Times New Roman" w:hAnsi="Times New Roman"/>
          <w:b/>
          <w:bCs/>
          <w:sz w:val="24"/>
        </w:rPr>
        <w:t xml:space="preserve"> </w:t>
      </w:r>
      <w:r w:rsidR="00EF7C46">
        <w:rPr>
          <w:rFonts w:ascii="Times New Roman" w:hAnsi="Times New Roman"/>
          <w:b/>
          <w:bCs/>
          <w:sz w:val="24"/>
        </w:rPr>
        <w:t>A</w:t>
      </w:r>
      <w:r w:rsidR="00344D31" w:rsidRPr="00344D31">
        <w:rPr>
          <w:rFonts w:ascii="Times New Roman" w:hAnsi="Times New Roman"/>
          <w:b/>
          <w:bCs/>
          <w:sz w:val="24"/>
        </w:rPr>
        <w:t xml:space="preserve">fter OPC’s recommended adjustments, </w:t>
      </w:r>
      <w:r w:rsidR="000C3612" w:rsidRPr="00344D31">
        <w:rPr>
          <w:rFonts w:ascii="Times New Roman" w:hAnsi="Times New Roman"/>
          <w:b/>
          <w:bCs/>
          <w:sz w:val="24"/>
        </w:rPr>
        <w:t>the appropriate net operating income is $</w:t>
      </w:r>
      <w:r w:rsidR="00EF7C46">
        <w:rPr>
          <w:rFonts w:ascii="Times New Roman" w:hAnsi="Times New Roman"/>
          <w:b/>
          <w:bCs/>
          <w:sz w:val="24"/>
        </w:rPr>
        <w:t>84,571</w:t>
      </w:r>
      <w:r w:rsidR="000C3612" w:rsidRPr="00344D31">
        <w:rPr>
          <w:rFonts w:ascii="Times New Roman" w:hAnsi="Times New Roman"/>
          <w:b/>
          <w:bCs/>
          <w:sz w:val="24"/>
        </w:rPr>
        <w:t>,000.</w:t>
      </w:r>
      <w:r w:rsidR="00344D31" w:rsidRPr="00344D31">
        <w:rPr>
          <w:rFonts w:ascii="Times New Roman" w:hAnsi="Times New Roman"/>
          <w:b/>
          <w:bCs/>
          <w:sz w:val="24"/>
        </w:rPr>
        <w:t xml:space="preserve"> (Ramas)</w:t>
      </w:r>
    </w:p>
    <w:p w:rsidR="00275B80" w:rsidRPr="00344D31" w:rsidRDefault="00275B80" w:rsidP="00275B80">
      <w:pPr>
        <w:tabs>
          <w:tab w:val="left" w:pos="720"/>
        </w:tabs>
        <w:ind w:left="1440" w:hanging="1440"/>
        <w:jc w:val="both"/>
        <w:rPr>
          <w:rFonts w:ascii="Times New Roman" w:hAnsi="Times New Roman"/>
          <w:b/>
          <w:bCs/>
          <w:sz w:val="24"/>
        </w:rPr>
      </w:pPr>
    </w:p>
    <w:p w:rsidR="00D80701" w:rsidRPr="00D80701" w:rsidRDefault="00D80701" w:rsidP="00D80701">
      <w:pPr>
        <w:widowControl/>
        <w:jc w:val="both"/>
        <w:rPr>
          <w:rFonts w:ascii="Times New Roman" w:hAnsi="Times New Roman"/>
          <w:bCs/>
          <w:sz w:val="24"/>
          <w:u w:val="single"/>
        </w:rPr>
      </w:pPr>
    </w:p>
    <w:p w:rsidR="0082225B" w:rsidRDefault="0082225B" w:rsidP="00D80701">
      <w:pPr>
        <w:widowControl/>
        <w:jc w:val="center"/>
        <w:rPr>
          <w:rFonts w:ascii="Times New Roman" w:hAnsi="Times New Roman"/>
          <w:b/>
          <w:bCs/>
          <w:sz w:val="24"/>
          <w:u w:val="single"/>
        </w:rPr>
      </w:pPr>
    </w:p>
    <w:p w:rsidR="00D80701" w:rsidRPr="00D80701" w:rsidRDefault="00D80701" w:rsidP="00D80701">
      <w:pPr>
        <w:widowControl/>
        <w:jc w:val="center"/>
        <w:rPr>
          <w:rFonts w:ascii="Times New Roman" w:hAnsi="Times New Roman"/>
          <w:sz w:val="24"/>
        </w:rPr>
      </w:pPr>
      <w:r w:rsidRPr="00D80701">
        <w:rPr>
          <w:rFonts w:ascii="Times New Roman" w:hAnsi="Times New Roman"/>
          <w:b/>
          <w:bCs/>
          <w:sz w:val="24"/>
          <w:u w:val="single"/>
        </w:rPr>
        <w:t>Revenue Requirements</w:t>
      </w:r>
    </w:p>
    <w:p w:rsidR="00D80701" w:rsidRPr="00D80701" w:rsidRDefault="00D80701" w:rsidP="00D80701">
      <w:pPr>
        <w:widowControl/>
        <w:jc w:val="both"/>
        <w:rPr>
          <w:rFonts w:ascii="Times New Roman" w:hAnsi="Times New Roman"/>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revenue expansion factor and the appropriate net operating income multiplier, including the appropriate elements and rates for Gulf?  </w:t>
      </w:r>
    </w:p>
    <w:p w:rsidR="00344D31" w:rsidRPr="00D80701" w:rsidRDefault="00344D31"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3852BF" w:rsidRPr="00344D31">
        <w:rPr>
          <w:rFonts w:ascii="Times New Roman" w:hAnsi="Times New Roman"/>
          <w:b/>
          <w:bCs/>
          <w:sz w:val="24"/>
        </w:rPr>
        <w:t>The appropriate net operating income multiplier should be 1.634173. This reflects the OPC’s recommended adjustment to replace the Company’s proposed bad debt rate of 0.3321% with a more appropriate rate of 0.3056%.</w:t>
      </w:r>
      <w:r w:rsidRPr="00344D31">
        <w:rPr>
          <w:rFonts w:ascii="Times New Roman" w:hAnsi="Times New Roman"/>
          <w:b/>
          <w:bCs/>
          <w:sz w:val="24"/>
        </w:rPr>
        <w:t xml:space="preserve"> </w:t>
      </w:r>
      <w:r w:rsidR="00344D31" w:rsidRPr="00344D31">
        <w:rPr>
          <w:rFonts w:ascii="Times New Roman" w:hAnsi="Times New Roman"/>
          <w:b/>
          <w:bCs/>
          <w:sz w:val="24"/>
        </w:rPr>
        <w:t>(Ramas)</w:t>
      </w:r>
    </w:p>
    <w:p w:rsidR="00D80701" w:rsidRDefault="00D80701" w:rsidP="00D80701">
      <w:pPr>
        <w:widowControl/>
        <w:ind w:left="1440" w:hanging="1440"/>
        <w:jc w:val="both"/>
        <w:rPr>
          <w:rFonts w:ascii="Times New Roman" w:hAnsi="Times New Roman"/>
          <w:sz w:val="24"/>
          <w:u w:val="single"/>
        </w:rPr>
      </w:pPr>
    </w:p>
    <w:p w:rsidR="00D5389A" w:rsidRPr="00D80701" w:rsidRDefault="00D5389A" w:rsidP="00D80701">
      <w:pPr>
        <w:widowControl/>
        <w:ind w:left="1440" w:hanging="1440"/>
        <w:jc w:val="both"/>
        <w:rPr>
          <w:rFonts w:ascii="Times New Roman" w:hAnsi="Times New Roman"/>
          <w:sz w:val="24"/>
          <w:u w:val="single"/>
        </w:rPr>
      </w:pPr>
    </w:p>
    <w:p w:rsidR="0082225B" w:rsidRDefault="0082225B"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99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Is Gulf's requested annual operating revenue increase of $93,504,000 for the 2012 projected test year appropriate?  </w:t>
      </w:r>
      <w:r w:rsidRPr="00D80701">
        <w:rPr>
          <w:rFonts w:ascii="Times New Roman" w:hAnsi="Times New Roman"/>
          <w:sz w:val="24"/>
          <w:shd w:val="clear" w:color="auto" w:fill="E6E6E6"/>
        </w:rPr>
        <w:t>(Fallout Issue)</w:t>
      </w:r>
      <w:r w:rsidRPr="00D80701">
        <w:rPr>
          <w:rFonts w:ascii="Times New Roman" w:hAnsi="Times New Roman"/>
          <w:sz w:val="24"/>
        </w:rPr>
        <w:t xml:space="preserve"> </w:t>
      </w:r>
    </w:p>
    <w:p w:rsidR="00275B80" w:rsidRPr="00D80701" w:rsidRDefault="00275B80" w:rsidP="00D80701">
      <w:pPr>
        <w:widowControl/>
        <w:tabs>
          <w:tab w:val="left" w:pos="-1440"/>
        </w:tabs>
        <w:ind w:left="1440" w:hanging="1440"/>
        <w:jc w:val="both"/>
        <w:rPr>
          <w:rFonts w:ascii="Times New Roman" w:hAnsi="Times New Roman"/>
          <w:sz w:val="24"/>
        </w:rPr>
      </w:pPr>
    </w:p>
    <w:p w:rsidR="000C3612" w:rsidRPr="00344D31" w:rsidRDefault="000C3612" w:rsidP="00344D31">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00287685">
        <w:rPr>
          <w:rFonts w:ascii="Times New Roman" w:hAnsi="Times New Roman"/>
          <w:b/>
          <w:bCs/>
          <w:sz w:val="24"/>
        </w:rPr>
        <w:tab/>
      </w:r>
      <w:r w:rsidRPr="00344D31">
        <w:rPr>
          <w:rFonts w:ascii="Times New Roman" w:hAnsi="Times New Roman"/>
          <w:b/>
          <w:bCs/>
          <w:sz w:val="24"/>
        </w:rPr>
        <w:t>No</w:t>
      </w:r>
      <w:r w:rsidR="00EF7C46">
        <w:rPr>
          <w:rFonts w:ascii="Times New Roman" w:hAnsi="Times New Roman"/>
          <w:b/>
          <w:bCs/>
          <w:sz w:val="24"/>
        </w:rPr>
        <w:t>.  Gulf’s Supplemental filing increases the amount of annual operating revenue increase from $93,504,000 to $101,618,000.</w:t>
      </w:r>
      <w:r w:rsidRPr="00344D31">
        <w:rPr>
          <w:rFonts w:ascii="Times New Roman" w:hAnsi="Times New Roman"/>
          <w:b/>
          <w:bCs/>
          <w:sz w:val="24"/>
        </w:rPr>
        <w:t xml:space="preserve"> </w:t>
      </w:r>
      <w:r w:rsidR="00344D31" w:rsidRPr="00344D31">
        <w:rPr>
          <w:rFonts w:ascii="Times New Roman" w:hAnsi="Times New Roman"/>
          <w:b/>
          <w:bCs/>
          <w:sz w:val="24"/>
        </w:rPr>
        <w:t xml:space="preserve">OPC’s recommended adjustments, </w:t>
      </w:r>
      <w:r w:rsidR="00EF7C46">
        <w:rPr>
          <w:rFonts w:ascii="Times New Roman" w:hAnsi="Times New Roman"/>
          <w:b/>
          <w:bCs/>
          <w:sz w:val="24"/>
        </w:rPr>
        <w:t xml:space="preserve">including OPC’s recommended impacts associated with the Crist turbine upgrades, results in </w:t>
      </w:r>
      <w:r w:rsidRPr="00344D31">
        <w:rPr>
          <w:rFonts w:ascii="Times New Roman" w:hAnsi="Times New Roman"/>
          <w:b/>
          <w:bCs/>
          <w:sz w:val="24"/>
        </w:rPr>
        <w:t xml:space="preserve">the appropriate revenue increase </w:t>
      </w:r>
      <w:r w:rsidR="00EF7C46">
        <w:rPr>
          <w:rFonts w:ascii="Times New Roman" w:hAnsi="Times New Roman"/>
          <w:b/>
          <w:bCs/>
          <w:sz w:val="24"/>
        </w:rPr>
        <w:t>of</w:t>
      </w:r>
      <w:r w:rsidRPr="00344D31">
        <w:rPr>
          <w:rFonts w:ascii="Times New Roman" w:hAnsi="Times New Roman"/>
          <w:b/>
          <w:bCs/>
          <w:sz w:val="24"/>
        </w:rPr>
        <w:t xml:space="preserve"> </w:t>
      </w:r>
      <w:r w:rsidR="00EF7C46">
        <w:rPr>
          <w:rFonts w:ascii="Times New Roman" w:hAnsi="Times New Roman"/>
          <w:b/>
          <w:bCs/>
          <w:sz w:val="24"/>
        </w:rPr>
        <w:t>$16,221,000.</w:t>
      </w:r>
      <w:r w:rsidRPr="00344D31">
        <w:rPr>
          <w:rFonts w:ascii="Times New Roman" w:hAnsi="Times New Roman"/>
          <w:b/>
          <w:bCs/>
          <w:sz w:val="24"/>
        </w:rPr>
        <w:t xml:space="preserve"> </w:t>
      </w:r>
      <w:r w:rsidR="00344D31" w:rsidRPr="00344D31">
        <w:rPr>
          <w:rFonts w:ascii="Times New Roman" w:hAnsi="Times New Roman"/>
          <w:b/>
          <w:bCs/>
          <w:sz w:val="24"/>
        </w:rPr>
        <w:t>(Ramas)</w:t>
      </w:r>
    </w:p>
    <w:p w:rsidR="00275B80" w:rsidRPr="00DC2D8E" w:rsidRDefault="00275B80" w:rsidP="00275B80">
      <w:pPr>
        <w:tabs>
          <w:tab w:val="left" w:pos="720"/>
        </w:tabs>
        <w:ind w:left="1440" w:hanging="1440"/>
        <w:jc w:val="both"/>
        <w:rPr>
          <w:rFonts w:ascii="Times New Roman" w:hAnsi="Times New Roman"/>
          <w:bCs/>
          <w:sz w:val="24"/>
        </w:rPr>
      </w:pPr>
    </w:p>
    <w:p w:rsidR="00D80701" w:rsidRPr="00D80701" w:rsidRDefault="00D80701" w:rsidP="00D80701">
      <w:pPr>
        <w:widowControl/>
        <w:jc w:val="both"/>
        <w:rPr>
          <w:rFonts w:ascii="Times New Roman" w:hAnsi="Times New Roman"/>
          <w:bCs/>
          <w:sz w:val="24"/>
          <w:u w:val="single"/>
        </w:rPr>
      </w:pPr>
    </w:p>
    <w:p w:rsidR="00D80701" w:rsidRPr="00D80701" w:rsidRDefault="00D80701" w:rsidP="00D80701">
      <w:pPr>
        <w:widowControl/>
        <w:jc w:val="center"/>
        <w:rPr>
          <w:rFonts w:ascii="Times New Roman" w:hAnsi="Times New Roman"/>
          <w:sz w:val="24"/>
        </w:rPr>
      </w:pPr>
      <w:r w:rsidRPr="00D80701">
        <w:rPr>
          <w:rFonts w:ascii="Times New Roman" w:hAnsi="Times New Roman"/>
          <w:b/>
          <w:bCs/>
          <w:sz w:val="24"/>
          <w:u w:val="single"/>
        </w:rPr>
        <w:t>Cost of Service and Rate Design</w:t>
      </w:r>
    </w:p>
    <w:p w:rsidR="00D80701" w:rsidRPr="00D80701" w:rsidRDefault="00D80701" w:rsidP="00D80701">
      <w:pPr>
        <w:widowControl/>
        <w:jc w:val="both"/>
        <w:rPr>
          <w:rFonts w:ascii="Times New Roman" w:hAnsi="Times New Roman"/>
          <w:sz w:val="24"/>
          <w:u w:val="single"/>
        </w:rPr>
      </w:pPr>
    </w:p>
    <w:p w:rsidR="00D80701" w:rsidRPr="00D80701" w:rsidRDefault="00D80701" w:rsidP="00D80701">
      <w:pPr>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Gulf’s proposal to eliminate the Interruptible Standby Service (ISS) rate schedule be approved?  </w:t>
      </w:r>
    </w:p>
    <w:p w:rsid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Pr="00D80701" w:rsidRDefault="00275B80"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5389A" w:rsidRDefault="00D5389A"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Gulf’s proposal to modify the Residential Service Variable Pricing (RSVP) rate schedule to use the Energy Conservation Cost Recovery Clause to achieve the price differentials among the pricing tiers be approved?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Default="00275B80"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5389A" w:rsidRDefault="00D5389A"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102</w:t>
        </w:r>
      </w:fldSimple>
      <w:r w:rsidRPr="00D80701">
        <w:rPr>
          <w:rFonts w:ascii="Times New Roman" w:hAnsi="Times New Roman"/>
          <w:sz w:val="24"/>
        </w:rPr>
        <w:t>:</w:t>
      </w:r>
      <w:r w:rsidRPr="00D80701">
        <w:rPr>
          <w:rFonts w:ascii="Times New Roman" w:hAnsi="Times New Roman"/>
          <w:b/>
          <w:sz w:val="24"/>
        </w:rPr>
        <w:t xml:space="preserve">  </w:t>
      </w:r>
      <w:r>
        <w:rPr>
          <w:rFonts w:ascii="Times New Roman" w:hAnsi="Times New Roman"/>
          <w:b/>
          <w:sz w:val="24"/>
        </w:rPr>
        <w:tab/>
      </w:r>
      <w:r w:rsidRPr="00D80701">
        <w:rPr>
          <w:rFonts w:ascii="Times New Roman" w:hAnsi="Times New Roman"/>
          <w:sz w:val="24"/>
        </w:rPr>
        <w:t xml:space="preserve">Should the minimum kW usage level to qualify for the GSD rate be increased from 20 kW to 25 kW?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344D31">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D80701" w:rsidRP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Gulf’s new critical peak pricing option for customers taking service on the commercial time-of-use rates GSDT and LPT be approved?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the minimum kW demand to qualify for the Real Time Pricing (</w:t>
      </w:r>
      <w:smartTag w:uri="urn:schemas-microsoft-com:office:smarttags" w:element="stockticker">
        <w:r w:rsidRPr="00D80701">
          <w:rPr>
            <w:rFonts w:ascii="Times New Roman" w:hAnsi="Times New Roman"/>
            <w:sz w:val="24"/>
          </w:rPr>
          <w:t>RTP</w:t>
        </w:r>
      </w:smartTag>
      <w:r w:rsidRPr="00D80701">
        <w:rPr>
          <w:rFonts w:ascii="Times New Roman" w:hAnsi="Times New Roman"/>
          <w:sz w:val="24"/>
        </w:rPr>
        <w:t xml:space="preserve">) rate schedule be reduced from 2,000 kW to 500 kW?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5389A" w:rsidRDefault="00D5389A"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105</w:t>
        </w:r>
      </w:fldSimple>
      <w:r w:rsidRPr="00D80701">
        <w:rPr>
          <w:rFonts w:ascii="Times New Roman" w:hAnsi="Times New Roman"/>
          <w:sz w:val="24"/>
        </w:rPr>
        <w:t xml:space="preserve">: Should the minimum kW demand for new load to qualify for the Commercial/Industrial Service Rider (CISR) be reduced </w:t>
      </w:r>
      <w:r w:rsidR="00837337" w:rsidRPr="00D80701">
        <w:rPr>
          <w:rFonts w:ascii="Times New Roman" w:hAnsi="Times New Roman"/>
          <w:sz w:val="24"/>
        </w:rPr>
        <w:t>from</w:t>
      </w:r>
      <w:r w:rsidRPr="00D80701">
        <w:rPr>
          <w:rFonts w:ascii="Times New Roman" w:hAnsi="Times New Roman"/>
          <w:sz w:val="24"/>
        </w:rPr>
        <w:t xml:space="preserve"> 1,000 kW to 500 kW?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is the appropriate cost of service methodology to be used in designing Gulf</w:t>
      </w:r>
      <w:r w:rsidRPr="00D80701">
        <w:rPr>
          <w:rFonts w:ascii="Times New Roman" w:hAnsi="Times New Roman"/>
          <w:sz w:val="24"/>
        </w:rPr>
        <w:sym w:font="WP TypographicSymbols" w:char="003D"/>
      </w:r>
      <w:r w:rsidRPr="00D80701">
        <w:rPr>
          <w:rFonts w:ascii="Times New Roman" w:hAnsi="Times New Roman"/>
          <w:sz w:val="24"/>
        </w:rPr>
        <w:t xml:space="preserve">s rates? </w:t>
      </w:r>
    </w:p>
    <w:p w:rsid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Default="00275B80"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is the appropriate treatment of distribution costs within the cost of service study?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Pr="00D80701" w:rsidRDefault="00275B80"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bCs/>
          <w:sz w:val="24"/>
          <w:u w:val="single"/>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If a revenue increase is granted, how should it be allocated among the customer classes?  </w:t>
      </w:r>
    </w:p>
    <w:p w:rsid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Default="00275B80"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109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customer charges and should Gulf’s proposal to rename the customer charge “Base Charge” be approved?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Pr="00D80701" w:rsidRDefault="00275B80"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110</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demand charges?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Default="00275B80"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111</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energy charges?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275B80" w:rsidRDefault="00275B80"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82225B" w:rsidRPr="00D80701" w:rsidRDefault="0082225B"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112</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charges for the outdoor service (OS) lighting rate schedules? </w:t>
      </w:r>
    </w:p>
    <w:p w:rsid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Pr="00D80701" w:rsidRDefault="00275B80"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5389A" w:rsidRDefault="00D5389A"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113</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Gulf’s proposal to adjust annually existing lighting fixtures prices be approved? </w:t>
      </w:r>
    </w:p>
    <w:p w:rsidR="00D80701" w:rsidRPr="00D80701" w:rsidRDefault="00D80701" w:rsidP="00275B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275B80" w:rsidRDefault="00275B80" w:rsidP="00275B80">
      <w:pPr>
        <w:ind w:left="1440" w:hanging="1440"/>
        <w:jc w:val="both"/>
        <w:rPr>
          <w:rFonts w:ascii="Times New Roman" w:hAnsi="Times New Roman"/>
          <w:b/>
          <w:sz w:val="24"/>
          <w:u w:val="single"/>
        </w:rPr>
      </w:pPr>
    </w:p>
    <w:p w:rsidR="00275B80" w:rsidRDefault="00275B80" w:rsidP="00275B80">
      <w:pPr>
        <w:ind w:left="1440" w:hanging="1440"/>
        <w:jc w:val="both"/>
        <w:rPr>
          <w:rFonts w:ascii="Times New Roman" w:hAnsi="Times New Roman"/>
          <w:b/>
          <w:sz w:val="24"/>
          <w:u w:val="single"/>
        </w:rPr>
      </w:pPr>
    </w:p>
    <w:p w:rsidR="0082225B" w:rsidRDefault="0082225B" w:rsidP="00275B80">
      <w:pPr>
        <w:ind w:left="1440" w:hanging="1440"/>
        <w:jc w:val="both"/>
        <w:rPr>
          <w:rFonts w:ascii="Times New Roman" w:hAnsi="Times New Roman"/>
          <w:b/>
          <w:sz w:val="24"/>
          <w:u w:val="single"/>
        </w:rPr>
      </w:pPr>
    </w:p>
    <w:p w:rsidR="0082225B" w:rsidRDefault="0082225B" w:rsidP="00275B80">
      <w:pPr>
        <w:ind w:left="1440" w:hanging="1440"/>
        <w:jc w:val="both"/>
        <w:rPr>
          <w:rFonts w:ascii="Times New Roman" w:hAnsi="Times New Roman"/>
          <w:b/>
          <w:sz w:val="24"/>
          <w:u w:val="single"/>
        </w:rPr>
      </w:pPr>
    </w:p>
    <w:p w:rsidR="00D80701" w:rsidRPr="00D80701" w:rsidRDefault="00D80701" w:rsidP="00275B80">
      <w:pPr>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114</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What are the appropriate charges under the Standby and Supplementary Service (</w:t>
      </w:r>
      <w:smartTag w:uri="urn:schemas-microsoft-com:office:smarttags" w:element="stockticker">
        <w:r w:rsidRPr="00D80701">
          <w:rPr>
            <w:rFonts w:ascii="Times New Roman" w:hAnsi="Times New Roman"/>
            <w:sz w:val="24"/>
          </w:rPr>
          <w:t>SBS</w:t>
        </w:r>
      </w:smartTag>
      <w:r w:rsidRPr="00D80701">
        <w:rPr>
          <w:rFonts w:ascii="Times New Roman" w:hAnsi="Times New Roman"/>
          <w:sz w:val="24"/>
        </w:rPr>
        <w:t xml:space="preserve">) rate schedule?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5389A" w:rsidRDefault="00D5389A"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115</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are the appropriate transformer ownership discounts? </w:t>
      </w:r>
    </w:p>
    <w:p w:rsid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275B80" w:rsidRPr="00DC2D8E" w:rsidRDefault="00275B80" w:rsidP="00275B80">
      <w:pPr>
        <w:tabs>
          <w:tab w:val="left" w:pos="720"/>
        </w:tabs>
        <w:ind w:left="1440" w:hanging="1440"/>
        <w:jc w:val="both"/>
        <w:rPr>
          <w:rFonts w:ascii="Times New Roman" w:hAnsi="Times New Roman"/>
          <w:bCs/>
          <w:sz w:val="24"/>
        </w:rPr>
      </w:pPr>
      <w:r>
        <w:rPr>
          <w:rFonts w:ascii="Times New Roman" w:hAnsi="Times New Roman"/>
          <w:bCs/>
          <w:sz w:val="24"/>
        </w:rPr>
        <w:t>OPC:</w:t>
      </w:r>
      <w:r>
        <w:rPr>
          <w:rFonts w:ascii="Times New Roman" w:hAnsi="Times New Roman"/>
          <w:bCs/>
          <w:sz w:val="24"/>
        </w:rPr>
        <w:tab/>
      </w:r>
      <w:r>
        <w:rPr>
          <w:rFonts w:ascii="Times New Roman" w:hAnsi="Times New Roman"/>
          <w:bCs/>
          <w:sz w:val="24"/>
        </w:rPr>
        <w:tab/>
        <w:t>No position.</w:t>
      </w:r>
    </w:p>
    <w:p w:rsidR="00275B80" w:rsidRPr="00D80701" w:rsidRDefault="00275B80"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p>
    <w:p w:rsidR="00D5389A" w:rsidRDefault="00D5389A"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b/>
          <w:sz w:val="24"/>
          <w:u w:val="single"/>
        </w:rPr>
      </w:pPr>
    </w:p>
    <w:p w:rsidR="00D80701" w:rsidRP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116</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What </w:t>
      </w:r>
      <w:r w:rsidR="00837337" w:rsidRPr="00D80701">
        <w:rPr>
          <w:rFonts w:ascii="Times New Roman" w:hAnsi="Times New Roman"/>
          <w:sz w:val="24"/>
        </w:rPr>
        <w:t>are the appropriate minimum monthly bill demand charges</w:t>
      </w:r>
      <w:r w:rsidRPr="00D80701">
        <w:rPr>
          <w:rFonts w:ascii="Times New Roman" w:hAnsi="Times New Roman"/>
          <w:sz w:val="24"/>
        </w:rPr>
        <w:t xml:space="preserve"> under the PX and </w:t>
      </w:r>
      <w:smartTag w:uri="urn:schemas-microsoft-com:office:smarttags" w:element="stockticker">
        <w:r w:rsidRPr="00D80701">
          <w:rPr>
            <w:rFonts w:ascii="Times New Roman" w:hAnsi="Times New Roman"/>
            <w:sz w:val="24"/>
          </w:rPr>
          <w:t>PXT</w:t>
        </w:r>
      </w:smartTag>
      <w:r w:rsidRPr="00D80701">
        <w:rPr>
          <w:rFonts w:ascii="Times New Roman" w:hAnsi="Times New Roman"/>
          <w:sz w:val="24"/>
        </w:rPr>
        <w:t xml:space="preserve"> rate schedules?  </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D80701" w:rsidRDefault="00D80701"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sz w:val="24"/>
        </w:rPr>
      </w:pPr>
    </w:p>
    <w:p w:rsidR="00D5389A" w:rsidRPr="00D80701" w:rsidRDefault="00D5389A" w:rsidP="00D80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ascii="Times New Roman" w:hAnsi="Times New Roman"/>
          <w:sz w:val="24"/>
        </w:rPr>
      </w:pPr>
    </w:p>
    <w:p w:rsidR="00D80701" w:rsidRPr="00D80701" w:rsidRDefault="00D80701" w:rsidP="00D80701">
      <w:pPr>
        <w:widowControl/>
        <w:jc w:val="center"/>
        <w:rPr>
          <w:rFonts w:ascii="Times New Roman" w:hAnsi="Times New Roman"/>
          <w:sz w:val="24"/>
        </w:rPr>
      </w:pPr>
      <w:r w:rsidRPr="00D80701">
        <w:rPr>
          <w:rFonts w:ascii="Times New Roman" w:hAnsi="Times New Roman"/>
          <w:b/>
          <w:bCs/>
          <w:sz w:val="24"/>
          <w:u w:val="single"/>
        </w:rPr>
        <w:t>Other Issues</w:t>
      </w:r>
    </w:p>
    <w:p w:rsidR="00D80701" w:rsidRPr="00D80701" w:rsidRDefault="00D80701" w:rsidP="00D80701">
      <w:pPr>
        <w:widowControl/>
        <w:jc w:val="both"/>
        <w:rPr>
          <w:rFonts w:ascii="Times New Roman" w:hAnsi="Times New Roman"/>
          <w:sz w:val="24"/>
          <w:u w:val="single"/>
        </w:rPr>
      </w:pPr>
    </w:p>
    <w:p w:rsid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117</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 xml:space="preserve">Should any of the $38,549,000 interim rate increase granted by Order No. </w:t>
      </w:r>
      <w:smartTag w:uri="urn:schemas-microsoft-com:office:smarttags" w:element="stockticker">
        <w:r w:rsidRPr="00D80701">
          <w:rPr>
            <w:rFonts w:ascii="Times New Roman" w:hAnsi="Times New Roman"/>
            <w:sz w:val="24"/>
          </w:rPr>
          <w:t>PSC</w:t>
        </w:r>
      </w:smartTag>
      <w:r w:rsidRPr="00D80701">
        <w:rPr>
          <w:rFonts w:ascii="Times New Roman" w:hAnsi="Times New Roman"/>
          <w:sz w:val="24"/>
        </w:rPr>
        <w:t>-11-0382-</w:t>
      </w:r>
      <w:smartTag w:uri="urn:schemas-microsoft-com:office:smarttags" w:element="stockticker">
        <w:r w:rsidRPr="00D80701">
          <w:rPr>
            <w:rFonts w:ascii="Times New Roman" w:hAnsi="Times New Roman"/>
            <w:sz w:val="24"/>
          </w:rPr>
          <w:t>PCO</w:t>
        </w:r>
      </w:smartTag>
      <w:r w:rsidRPr="00D80701">
        <w:rPr>
          <w:rFonts w:ascii="Times New Roman" w:hAnsi="Times New Roman"/>
          <w:sz w:val="24"/>
        </w:rPr>
        <w:t xml:space="preserve">-EI be refunded to the ratepayers?  </w:t>
      </w:r>
    </w:p>
    <w:p w:rsidR="00344D31" w:rsidRDefault="00344D31" w:rsidP="00D80701">
      <w:pPr>
        <w:widowControl/>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r>
      <w:r w:rsidR="0065565D">
        <w:rPr>
          <w:rFonts w:ascii="Times New Roman" w:hAnsi="Times New Roman"/>
          <w:b/>
          <w:bCs/>
          <w:sz w:val="24"/>
        </w:rPr>
        <w:t xml:space="preserve">Yes. </w:t>
      </w:r>
      <w:r w:rsidR="0065565D" w:rsidRPr="0065565D">
        <w:rPr>
          <w:rFonts w:ascii="Times New Roman" w:hAnsi="Times New Roman"/>
          <w:b/>
          <w:bCs/>
          <w:sz w:val="24"/>
        </w:rPr>
        <w:t>Gulf should be required to refund</w:t>
      </w:r>
      <w:r w:rsidR="0065565D">
        <w:rPr>
          <w:rFonts w:ascii="Times New Roman" w:hAnsi="Times New Roman"/>
          <w:b/>
          <w:bCs/>
          <w:sz w:val="24"/>
        </w:rPr>
        <w:t>, with interest,</w:t>
      </w:r>
      <w:r w:rsidR="0065565D" w:rsidRPr="0065565D">
        <w:rPr>
          <w:rFonts w:ascii="Times New Roman" w:hAnsi="Times New Roman"/>
          <w:b/>
          <w:bCs/>
          <w:sz w:val="24"/>
        </w:rPr>
        <w:t xml:space="preserve"> the difference between the </w:t>
      </w:r>
      <w:r w:rsidR="0065565D">
        <w:rPr>
          <w:rFonts w:ascii="Times New Roman" w:hAnsi="Times New Roman"/>
          <w:b/>
          <w:bCs/>
          <w:sz w:val="24"/>
        </w:rPr>
        <w:t xml:space="preserve">Commission approved </w:t>
      </w:r>
      <w:r w:rsidR="0065565D" w:rsidRPr="0065565D">
        <w:rPr>
          <w:rFonts w:ascii="Times New Roman" w:hAnsi="Times New Roman"/>
          <w:b/>
          <w:bCs/>
          <w:sz w:val="24"/>
        </w:rPr>
        <w:t>$38.5</w:t>
      </w:r>
      <w:r w:rsidR="0065565D">
        <w:rPr>
          <w:rFonts w:ascii="Times New Roman" w:hAnsi="Times New Roman"/>
          <w:b/>
          <w:bCs/>
          <w:sz w:val="24"/>
        </w:rPr>
        <w:t xml:space="preserve"> million </w:t>
      </w:r>
      <w:r w:rsidR="0065565D" w:rsidRPr="0065565D">
        <w:rPr>
          <w:rFonts w:ascii="Times New Roman" w:hAnsi="Times New Roman"/>
          <w:b/>
          <w:bCs/>
          <w:sz w:val="24"/>
        </w:rPr>
        <w:t>interim increase and the $16.2</w:t>
      </w:r>
      <w:r w:rsidR="0065565D">
        <w:rPr>
          <w:rFonts w:ascii="Times New Roman" w:hAnsi="Times New Roman"/>
          <w:b/>
          <w:bCs/>
          <w:sz w:val="24"/>
        </w:rPr>
        <w:t xml:space="preserve"> OPC recommended </w:t>
      </w:r>
      <w:r w:rsidR="0082225B">
        <w:rPr>
          <w:rFonts w:ascii="Times New Roman" w:hAnsi="Times New Roman"/>
          <w:b/>
          <w:bCs/>
          <w:sz w:val="24"/>
        </w:rPr>
        <w:t xml:space="preserve">final </w:t>
      </w:r>
      <w:r w:rsidR="0065565D" w:rsidRPr="0065565D">
        <w:rPr>
          <w:rFonts w:ascii="Times New Roman" w:hAnsi="Times New Roman"/>
          <w:b/>
          <w:bCs/>
          <w:sz w:val="24"/>
        </w:rPr>
        <w:t>increase</w:t>
      </w:r>
      <w:r w:rsidRPr="00344D31">
        <w:rPr>
          <w:rFonts w:ascii="Times New Roman" w:hAnsi="Times New Roman"/>
          <w:b/>
          <w:bCs/>
          <w:sz w:val="24"/>
        </w:rPr>
        <w:t>.</w:t>
      </w:r>
    </w:p>
    <w:p w:rsidR="00D80701" w:rsidRPr="00D80701" w:rsidRDefault="00D80701" w:rsidP="00D80701">
      <w:pPr>
        <w:widowControl/>
        <w:ind w:left="1440" w:hanging="1440"/>
        <w:jc w:val="both"/>
        <w:rPr>
          <w:rFonts w:ascii="Times New Roman" w:hAnsi="Times New Roman"/>
          <w:sz w:val="24"/>
        </w:rPr>
      </w:pPr>
    </w:p>
    <w:p w:rsidR="00D5389A" w:rsidRDefault="00D5389A" w:rsidP="00D80701">
      <w:pPr>
        <w:widowControl/>
        <w:tabs>
          <w:tab w:val="left" w:pos="-1440"/>
        </w:tabs>
        <w:ind w:left="1440" w:hanging="1440"/>
        <w:jc w:val="both"/>
        <w:rPr>
          <w:rFonts w:ascii="Times New Roman" w:hAnsi="Times New Roman"/>
          <w:b/>
          <w:sz w:val="24"/>
          <w:u w:val="single"/>
        </w:rPr>
      </w:pPr>
    </w:p>
    <w:p w:rsidR="00D80701" w:rsidRDefault="00D80701" w:rsidP="00D80701">
      <w:pPr>
        <w:widowControl/>
        <w:tabs>
          <w:tab w:val="left" w:pos="-1440"/>
        </w:tabs>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118</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Gulf be required to file, within 60 days after the date of the final order in this docket, a description of all entries or adjustments to its annual report, rate of return reports, and books and records which will be required as a result of the Commission</w:t>
      </w:r>
      <w:r w:rsidRPr="00D80701">
        <w:rPr>
          <w:rFonts w:ascii="Times New Roman" w:hAnsi="Times New Roman"/>
          <w:sz w:val="24"/>
        </w:rPr>
        <w:sym w:font="WP TypographicSymbols" w:char="003D"/>
      </w:r>
      <w:r w:rsidRPr="00D80701">
        <w:rPr>
          <w:rFonts w:ascii="Times New Roman" w:hAnsi="Times New Roman"/>
          <w:sz w:val="24"/>
        </w:rPr>
        <w:t xml:space="preserve">s findings in this rate case?   </w:t>
      </w:r>
    </w:p>
    <w:p w:rsidR="00344D31" w:rsidRDefault="00344D31" w:rsidP="00D80701">
      <w:pPr>
        <w:widowControl/>
        <w:tabs>
          <w:tab w:val="left" w:pos="-1440"/>
        </w:tabs>
        <w:ind w:left="1440" w:hanging="1440"/>
        <w:jc w:val="both"/>
        <w:rPr>
          <w:rFonts w:ascii="Times New Roman" w:hAnsi="Times New Roman"/>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Yes.</w:t>
      </w:r>
    </w:p>
    <w:p w:rsidR="00D5389A" w:rsidRDefault="00D5389A" w:rsidP="00D80701">
      <w:pPr>
        <w:widowControl/>
        <w:ind w:left="1440" w:hanging="1440"/>
        <w:jc w:val="both"/>
        <w:rPr>
          <w:rFonts w:ascii="Times New Roman" w:hAnsi="Times New Roman"/>
          <w:b/>
          <w:sz w:val="24"/>
          <w:u w:val="single"/>
        </w:rPr>
      </w:pPr>
    </w:p>
    <w:p w:rsidR="00D5389A" w:rsidRDefault="00D5389A" w:rsidP="00D80701">
      <w:pPr>
        <w:widowControl/>
        <w:ind w:left="1440" w:hanging="1440"/>
        <w:jc w:val="both"/>
        <w:rPr>
          <w:rFonts w:ascii="Times New Roman" w:hAnsi="Times New Roman"/>
          <w:b/>
          <w:sz w:val="24"/>
          <w:u w:val="single"/>
        </w:rPr>
      </w:pPr>
    </w:p>
    <w:p w:rsidR="00D80701" w:rsidRPr="00D80701" w:rsidRDefault="00D80701" w:rsidP="00D80701">
      <w:pPr>
        <w:widowControl/>
        <w:ind w:left="1440" w:hanging="1440"/>
        <w:jc w:val="both"/>
        <w:rPr>
          <w:rFonts w:ascii="Times New Roman" w:hAnsi="Times New Roman"/>
          <w:sz w:val="24"/>
        </w:rPr>
      </w:pPr>
      <w:r w:rsidRPr="00D80701">
        <w:rPr>
          <w:rFonts w:ascii="Times New Roman" w:hAnsi="Times New Roman"/>
          <w:b/>
          <w:sz w:val="24"/>
          <w:u w:val="single"/>
        </w:rPr>
        <w:t xml:space="preserve">Issue </w:t>
      </w:r>
      <w:fldSimple w:instr=" SEQ Issue \* MERGEFORMAT ">
        <w:r w:rsidR="00F45FCE" w:rsidRPr="00F45FCE">
          <w:rPr>
            <w:rFonts w:ascii="Times New Roman" w:hAnsi="Times New Roman"/>
            <w:b/>
            <w:noProof/>
            <w:sz w:val="24"/>
            <w:u w:val="single"/>
          </w:rPr>
          <w:t>119</w:t>
        </w:r>
      </w:fldSimple>
      <w:r w:rsidRPr="00D80701">
        <w:rPr>
          <w:rFonts w:ascii="Times New Roman" w:hAnsi="Times New Roman"/>
          <w:sz w:val="24"/>
        </w:rPr>
        <w:t xml:space="preserve">:  </w:t>
      </w:r>
      <w:r>
        <w:rPr>
          <w:rFonts w:ascii="Times New Roman" w:hAnsi="Times New Roman"/>
          <w:sz w:val="24"/>
        </w:rPr>
        <w:tab/>
      </w:r>
      <w:r w:rsidRPr="00D80701">
        <w:rPr>
          <w:rFonts w:ascii="Times New Roman" w:hAnsi="Times New Roman"/>
          <w:sz w:val="24"/>
        </w:rPr>
        <w:t>Should this docket be closed?</w:t>
      </w:r>
    </w:p>
    <w:p w:rsidR="00275B80" w:rsidRDefault="00275B80" w:rsidP="00275B80">
      <w:pPr>
        <w:tabs>
          <w:tab w:val="left" w:pos="720"/>
        </w:tabs>
        <w:ind w:left="1440" w:hanging="1440"/>
        <w:jc w:val="both"/>
        <w:rPr>
          <w:rFonts w:ascii="Times New Roman" w:hAnsi="Times New Roman"/>
          <w:bCs/>
          <w:sz w:val="24"/>
        </w:rPr>
      </w:pPr>
    </w:p>
    <w:p w:rsidR="00275B80" w:rsidRPr="00344D31" w:rsidRDefault="00275B80" w:rsidP="00275B80">
      <w:pPr>
        <w:tabs>
          <w:tab w:val="left" w:pos="720"/>
        </w:tabs>
        <w:ind w:left="1440" w:hanging="1440"/>
        <w:jc w:val="both"/>
        <w:rPr>
          <w:rFonts w:ascii="Times New Roman" w:hAnsi="Times New Roman"/>
          <w:b/>
          <w:bCs/>
          <w:sz w:val="24"/>
        </w:rPr>
      </w:pPr>
      <w:r w:rsidRPr="00344D31">
        <w:rPr>
          <w:rFonts w:ascii="Times New Roman" w:hAnsi="Times New Roman"/>
          <w:b/>
          <w:bCs/>
          <w:sz w:val="24"/>
        </w:rPr>
        <w:t>OPC:</w:t>
      </w:r>
      <w:r w:rsidRPr="00344D31">
        <w:rPr>
          <w:rFonts w:ascii="Times New Roman" w:hAnsi="Times New Roman"/>
          <w:b/>
          <w:bCs/>
          <w:sz w:val="24"/>
        </w:rPr>
        <w:tab/>
      </w:r>
      <w:r w:rsidRPr="00344D31">
        <w:rPr>
          <w:rFonts w:ascii="Times New Roman" w:hAnsi="Times New Roman"/>
          <w:b/>
          <w:bCs/>
          <w:sz w:val="24"/>
        </w:rPr>
        <w:tab/>
        <w:t>No position.</w:t>
      </w:r>
    </w:p>
    <w:p w:rsidR="00493DA6" w:rsidRPr="00D80701" w:rsidRDefault="00493DA6" w:rsidP="00732FCC">
      <w:pPr>
        <w:tabs>
          <w:tab w:val="left" w:pos="720"/>
        </w:tabs>
        <w:spacing w:line="360" w:lineRule="auto"/>
        <w:ind w:left="1440" w:hanging="1440"/>
        <w:jc w:val="both"/>
        <w:rPr>
          <w:rFonts w:ascii="Times New Roman" w:hAnsi="Times New Roman"/>
          <w:sz w:val="24"/>
        </w:rPr>
      </w:pPr>
    </w:p>
    <w:p w:rsidR="00107D7C" w:rsidRPr="00B823E9" w:rsidRDefault="00107D7C" w:rsidP="00107D7C">
      <w:pPr>
        <w:spacing w:line="276" w:lineRule="auto"/>
        <w:jc w:val="both"/>
        <w:rPr>
          <w:rFonts w:ascii="Times New Roman" w:hAnsi="Times New Roman"/>
          <w:sz w:val="24"/>
        </w:rPr>
      </w:pPr>
    </w:p>
    <w:p w:rsidR="00107D7C" w:rsidRPr="00344D31" w:rsidRDefault="00107D7C" w:rsidP="00107D7C">
      <w:pPr>
        <w:spacing w:line="276" w:lineRule="auto"/>
        <w:jc w:val="both"/>
        <w:rPr>
          <w:rFonts w:ascii="Times New Roman" w:hAnsi="Times New Roman"/>
          <w:b/>
          <w:sz w:val="24"/>
          <w:u w:val="single"/>
        </w:rPr>
      </w:pPr>
      <w:r w:rsidRPr="00344D31">
        <w:rPr>
          <w:rFonts w:ascii="Times New Roman" w:hAnsi="Times New Roman"/>
          <w:b/>
          <w:sz w:val="24"/>
        </w:rPr>
        <w:t xml:space="preserve">5.  </w:t>
      </w:r>
      <w:r w:rsidR="00344D31" w:rsidRPr="00344D31">
        <w:rPr>
          <w:rFonts w:ascii="Times New Roman" w:hAnsi="Times New Roman"/>
          <w:b/>
          <w:sz w:val="24"/>
        </w:rPr>
        <w:tab/>
      </w:r>
      <w:r w:rsidRPr="00344D31">
        <w:rPr>
          <w:rFonts w:ascii="Times New Roman" w:hAnsi="Times New Roman"/>
          <w:b/>
          <w:sz w:val="24"/>
          <w:u w:val="single"/>
        </w:rPr>
        <w:t>STIPULATED ISSUES:</w:t>
      </w:r>
    </w:p>
    <w:p w:rsidR="00107D7C" w:rsidRPr="00B823E9" w:rsidRDefault="00107D7C" w:rsidP="00107D7C">
      <w:pPr>
        <w:spacing w:line="276" w:lineRule="auto"/>
        <w:jc w:val="both"/>
        <w:rPr>
          <w:rFonts w:ascii="Times New Roman" w:hAnsi="Times New Roman"/>
          <w:sz w:val="24"/>
          <w:u w:val="single"/>
        </w:rPr>
      </w:pPr>
    </w:p>
    <w:p w:rsidR="00107D7C" w:rsidRPr="00B823E9" w:rsidRDefault="00344D31" w:rsidP="00107D7C">
      <w:pPr>
        <w:spacing w:line="276" w:lineRule="auto"/>
        <w:jc w:val="both"/>
        <w:rPr>
          <w:rFonts w:ascii="Times New Roman" w:hAnsi="Times New Roman"/>
          <w:sz w:val="24"/>
        </w:rPr>
      </w:pPr>
      <w:r>
        <w:rPr>
          <w:rFonts w:ascii="Times New Roman" w:hAnsi="Times New Roman"/>
          <w:sz w:val="24"/>
        </w:rPr>
        <w:tab/>
        <w:t>None at this time.</w:t>
      </w:r>
    </w:p>
    <w:p w:rsidR="00107D7C" w:rsidRPr="00B823E9" w:rsidRDefault="00107D7C" w:rsidP="00107D7C">
      <w:pPr>
        <w:spacing w:line="276" w:lineRule="auto"/>
        <w:jc w:val="both"/>
        <w:rPr>
          <w:rFonts w:ascii="Times New Roman" w:hAnsi="Times New Roman"/>
          <w:sz w:val="24"/>
        </w:rPr>
      </w:pPr>
    </w:p>
    <w:p w:rsidR="00107D7C" w:rsidRDefault="00107D7C" w:rsidP="00493DA6">
      <w:pPr>
        <w:spacing w:line="276" w:lineRule="auto"/>
        <w:jc w:val="both"/>
        <w:rPr>
          <w:rFonts w:ascii="Times New Roman" w:hAnsi="Times New Roman"/>
          <w:sz w:val="24"/>
          <w:u w:val="single"/>
        </w:rPr>
      </w:pPr>
    </w:p>
    <w:p w:rsidR="00107D7C" w:rsidRPr="00344D31" w:rsidRDefault="00107D7C" w:rsidP="00107D7C">
      <w:pPr>
        <w:spacing w:line="276" w:lineRule="auto"/>
        <w:ind w:left="720" w:hanging="720"/>
        <w:jc w:val="both"/>
        <w:rPr>
          <w:rFonts w:ascii="Times New Roman" w:hAnsi="Times New Roman"/>
          <w:b/>
          <w:sz w:val="24"/>
        </w:rPr>
      </w:pPr>
      <w:r w:rsidRPr="00344D31">
        <w:rPr>
          <w:rFonts w:ascii="Times New Roman" w:hAnsi="Times New Roman"/>
          <w:b/>
          <w:sz w:val="24"/>
        </w:rPr>
        <w:t xml:space="preserve">6.  </w:t>
      </w:r>
      <w:r w:rsidR="00344D31" w:rsidRPr="00344D31">
        <w:rPr>
          <w:rFonts w:ascii="Times New Roman" w:hAnsi="Times New Roman"/>
          <w:b/>
          <w:sz w:val="24"/>
        </w:rPr>
        <w:tab/>
      </w:r>
      <w:r w:rsidRPr="00344D31">
        <w:rPr>
          <w:rFonts w:ascii="Times New Roman" w:hAnsi="Times New Roman"/>
          <w:b/>
          <w:sz w:val="24"/>
          <w:u w:val="single"/>
        </w:rPr>
        <w:t>PENDING MOTIONS</w:t>
      </w:r>
      <w:r w:rsidRPr="00344D31">
        <w:rPr>
          <w:rFonts w:ascii="Times New Roman" w:hAnsi="Times New Roman"/>
          <w:b/>
          <w:sz w:val="24"/>
        </w:rPr>
        <w:t xml:space="preserve">:  </w:t>
      </w:r>
    </w:p>
    <w:p w:rsidR="00107D7C" w:rsidRDefault="00344D31" w:rsidP="00107D7C">
      <w:pPr>
        <w:spacing w:line="276" w:lineRule="auto"/>
        <w:ind w:left="720" w:hanging="720"/>
        <w:jc w:val="both"/>
        <w:rPr>
          <w:rFonts w:ascii="Times New Roman" w:hAnsi="Times New Roman"/>
          <w:sz w:val="24"/>
        </w:rPr>
      </w:pPr>
      <w:r>
        <w:rPr>
          <w:rFonts w:ascii="Times New Roman" w:hAnsi="Times New Roman"/>
          <w:sz w:val="24"/>
        </w:rPr>
        <w:tab/>
      </w:r>
    </w:p>
    <w:p w:rsidR="00344D31" w:rsidRDefault="00344D31" w:rsidP="00107D7C">
      <w:pPr>
        <w:spacing w:line="276" w:lineRule="auto"/>
        <w:ind w:left="720" w:hanging="720"/>
        <w:jc w:val="both"/>
        <w:rPr>
          <w:rFonts w:ascii="Times New Roman" w:hAnsi="Times New Roman"/>
          <w:sz w:val="24"/>
        </w:rPr>
      </w:pPr>
      <w:r>
        <w:rPr>
          <w:rFonts w:ascii="Times New Roman" w:hAnsi="Times New Roman"/>
          <w:sz w:val="24"/>
        </w:rPr>
        <w:tab/>
        <w:t>None.</w:t>
      </w:r>
    </w:p>
    <w:p w:rsidR="00516CB4" w:rsidRDefault="00516CB4" w:rsidP="00107D7C">
      <w:pPr>
        <w:spacing w:line="276" w:lineRule="auto"/>
        <w:jc w:val="both"/>
        <w:rPr>
          <w:rFonts w:ascii="Times New Roman" w:hAnsi="Times New Roman"/>
          <w:sz w:val="24"/>
        </w:rPr>
      </w:pPr>
    </w:p>
    <w:p w:rsidR="00107D7C" w:rsidRPr="00344D31" w:rsidRDefault="00107D7C" w:rsidP="00107D7C">
      <w:pPr>
        <w:spacing w:line="276" w:lineRule="auto"/>
        <w:jc w:val="both"/>
        <w:rPr>
          <w:rFonts w:ascii="Times New Roman" w:hAnsi="Times New Roman"/>
          <w:b/>
          <w:sz w:val="24"/>
          <w:u w:val="single"/>
        </w:rPr>
      </w:pPr>
      <w:r w:rsidRPr="00344D31">
        <w:rPr>
          <w:rFonts w:ascii="Times New Roman" w:hAnsi="Times New Roman"/>
          <w:b/>
          <w:sz w:val="24"/>
        </w:rPr>
        <w:t xml:space="preserve">7.  </w:t>
      </w:r>
      <w:r w:rsidR="00344D31" w:rsidRPr="00344D31">
        <w:rPr>
          <w:rFonts w:ascii="Times New Roman" w:hAnsi="Times New Roman"/>
          <w:b/>
          <w:sz w:val="24"/>
        </w:rPr>
        <w:tab/>
      </w:r>
      <w:r w:rsidRPr="00344D31">
        <w:rPr>
          <w:rFonts w:ascii="Times New Roman" w:hAnsi="Times New Roman"/>
          <w:b/>
          <w:sz w:val="24"/>
          <w:u w:val="single"/>
        </w:rPr>
        <w:t xml:space="preserve">STATEMENT OF PARTY’S PENDING REQUESTS OR CLAIMS FOR </w:t>
      </w:r>
    </w:p>
    <w:p w:rsidR="00107D7C" w:rsidRPr="00344D31" w:rsidRDefault="00107D7C" w:rsidP="00344D31">
      <w:pPr>
        <w:spacing w:line="276" w:lineRule="auto"/>
        <w:ind w:left="720" w:hanging="720"/>
        <w:jc w:val="both"/>
        <w:rPr>
          <w:rFonts w:ascii="Times New Roman" w:hAnsi="Times New Roman"/>
          <w:b/>
          <w:sz w:val="24"/>
          <w:u w:val="single"/>
        </w:rPr>
      </w:pPr>
      <w:r w:rsidRPr="00344D31">
        <w:rPr>
          <w:rFonts w:ascii="Times New Roman" w:hAnsi="Times New Roman"/>
          <w:b/>
          <w:sz w:val="24"/>
        </w:rPr>
        <w:t xml:space="preserve">    </w:t>
      </w:r>
      <w:r w:rsidR="00344D31">
        <w:rPr>
          <w:rFonts w:ascii="Times New Roman" w:hAnsi="Times New Roman"/>
          <w:b/>
          <w:sz w:val="24"/>
        </w:rPr>
        <w:tab/>
      </w:r>
      <w:r w:rsidRPr="00344D31">
        <w:rPr>
          <w:rFonts w:ascii="Times New Roman" w:hAnsi="Times New Roman"/>
          <w:b/>
          <w:sz w:val="24"/>
          <w:u w:val="single"/>
        </w:rPr>
        <w:t>CONFIDENTIALITY:</w:t>
      </w:r>
    </w:p>
    <w:p w:rsidR="00107D7C" w:rsidRPr="00B823E9" w:rsidRDefault="00107D7C" w:rsidP="00107D7C">
      <w:pPr>
        <w:spacing w:line="276" w:lineRule="auto"/>
        <w:jc w:val="both"/>
        <w:rPr>
          <w:rFonts w:ascii="Times New Roman" w:hAnsi="Times New Roman"/>
          <w:sz w:val="24"/>
          <w:u w:val="single"/>
        </w:rPr>
      </w:pPr>
    </w:p>
    <w:p w:rsidR="00107D7C" w:rsidRDefault="00107D7C" w:rsidP="00107D7C">
      <w:pPr>
        <w:spacing w:line="276" w:lineRule="auto"/>
        <w:ind w:left="720"/>
        <w:jc w:val="both"/>
        <w:rPr>
          <w:rFonts w:ascii="Times New Roman" w:hAnsi="Times New Roman"/>
          <w:sz w:val="24"/>
        </w:rPr>
      </w:pPr>
      <w:r w:rsidRPr="00B823E9">
        <w:rPr>
          <w:rFonts w:ascii="Times New Roman" w:hAnsi="Times New Roman"/>
          <w:sz w:val="24"/>
        </w:rPr>
        <w:t>None.</w:t>
      </w:r>
    </w:p>
    <w:p w:rsidR="00D5389A" w:rsidRPr="00B823E9" w:rsidRDefault="00D5389A" w:rsidP="00107D7C">
      <w:pPr>
        <w:spacing w:line="276" w:lineRule="auto"/>
        <w:ind w:left="720"/>
        <w:jc w:val="both"/>
        <w:rPr>
          <w:rFonts w:ascii="Times New Roman" w:hAnsi="Times New Roman"/>
          <w:sz w:val="24"/>
        </w:rPr>
      </w:pPr>
    </w:p>
    <w:p w:rsidR="00107D7C" w:rsidRPr="00344D31" w:rsidRDefault="00107D7C" w:rsidP="00107D7C">
      <w:pPr>
        <w:spacing w:line="276" w:lineRule="auto"/>
        <w:jc w:val="both"/>
        <w:rPr>
          <w:rFonts w:ascii="Times New Roman" w:hAnsi="Times New Roman"/>
          <w:b/>
          <w:sz w:val="24"/>
        </w:rPr>
      </w:pPr>
      <w:r w:rsidRPr="00344D31">
        <w:rPr>
          <w:rFonts w:ascii="Times New Roman" w:hAnsi="Times New Roman"/>
          <w:b/>
          <w:sz w:val="24"/>
        </w:rPr>
        <w:t xml:space="preserve">8.  </w:t>
      </w:r>
      <w:r w:rsidR="00344D31" w:rsidRPr="00344D31">
        <w:rPr>
          <w:rFonts w:ascii="Times New Roman" w:hAnsi="Times New Roman"/>
          <w:b/>
          <w:sz w:val="24"/>
        </w:rPr>
        <w:tab/>
      </w:r>
      <w:r w:rsidRPr="00344D31">
        <w:rPr>
          <w:rFonts w:ascii="Times New Roman" w:hAnsi="Times New Roman"/>
          <w:b/>
          <w:sz w:val="24"/>
          <w:u w:val="single"/>
        </w:rPr>
        <w:t>OBJECTIONS TO QUALIFICATION OF WITNESSES AS AN EXPERT</w:t>
      </w:r>
      <w:r w:rsidRPr="00344D31">
        <w:rPr>
          <w:rFonts w:ascii="Times New Roman" w:hAnsi="Times New Roman"/>
          <w:b/>
          <w:sz w:val="24"/>
        </w:rPr>
        <w:t>:</w:t>
      </w:r>
    </w:p>
    <w:p w:rsidR="00107D7C" w:rsidRPr="00B823E9" w:rsidRDefault="00107D7C" w:rsidP="00107D7C">
      <w:pPr>
        <w:spacing w:line="276" w:lineRule="auto"/>
        <w:jc w:val="both"/>
        <w:rPr>
          <w:rFonts w:ascii="Times New Roman" w:hAnsi="Times New Roman"/>
          <w:sz w:val="24"/>
        </w:rPr>
      </w:pPr>
    </w:p>
    <w:p w:rsidR="00107D7C" w:rsidRPr="00B823E9" w:rsidRDefault="00107D7C" w:rsidP="00107D7C">
      <w:pPr>
        <w:spacing w:line="276" w:lineRule="auto"/>
        <w:jc w:val="both"/>
        <w:rPr>
          <w:rFonts w:ascii="Times New Roman" w:hAnsi="Times New Roman"/>
          <w:sz w:val="24"/>
        </w:rPr>
      </w:pPr>
      <w:r w:rsidRPr="00B823E9">
        <w:rPr>
          <w:rFonts w:ascii="Times New Roman" w:hAnsi="Times New Roman"/>
          <w:sz w:val="24"/>
        </w:rPr>
        <w:tab/>
        <w:t>None at this time.</w:t>
      </w:r>
    </w:p>
    <w:p w:rsidR="00107D7C" w:rsidRDefault="00107D7C" w:rsidP="00107D7C">
      <w:pPr>
        <w:spacing w:line="276" w:lineRule="auto"/>
        <w:jc w:val="both"/>
        <w:rPr>
          <w:rFonts w:ascii="Times New Roman" w:hAnsi="Times New Roman"/>
          <w:sz w:val="24"/>
        </w:rPr>
      </w:pPr>
    </w:p>
    <w:p w:rsidR="00D5389A" w:rsidRDefault="00D5389A" w:rsidP="00107D7C">
      <w:pPr>
        <w:spacing w:line="276" w:lineRule="auto"/>
        <w:jc w:val="both"/>
        <w:rPr>
          <w:rFonts w:ascii="Times New Roman" w:hAnsi="Times New Roman"/>
          <w:sz w:val="24"/>
        </w:rPr>
      </w:pPr>
    </w:p>
    <w:p w:rsidR="00107D7C" w:rsidRPr="00344D31" w:rsidRDefault="00107D7C" w:rsidP="00107D7C">
      <w:pPr>
        <w:spacing w:line="276" w:lineRule="auto"/>
        <w:ind w:left="720" w:hanging="720"/>
        <w:jc w:val="both"/>
        <w:rPr>
          <w:rFonts w:ascii="Times New Roman" w:hAnsi="Times New Roman"/>
          <w:b/>
          <w:sz w:val="24"/>
        </w:rPr>
      </w:pPr>
      <w:r w:rsidRPr="00344D31">
        <w:rPr>
          <w:rFonts w:ascii="Times New Roman" w:hAnsi="Times New Roman"/>
          <w:b/>
          <w:sz w:val="24"/>
        </w:rPr>
        <w:t xml:space="preserve">9.  </w:t>
      </w:r>
      <w:r w:rsidR="00344D31" w:rsidRPr="00344D31">
        <w:rPr>
          <w:rFonts w:ascii="Times New Roman" w:hAnsi="Times New Roman"/>
          <w:b/>
          <w:sz w:val="24"/>
        </w:rPr>
        <w:tab/>
      </w:r>
      <w:r w:rsidRPr="00344D31">
        <w:rPr>
          <w:rFonts w:ascii="Times New Roman" w:hAnsi="Times New Roman"/>
          <w:b/>
          <w:sz w:val="24"/>
          <w:u w:val="single"/>
        </w:rPr>
        <w:t>STATEMENT OF COMPLIANCE WITH ORDER ESTABLISHING PROCEDURE</w:t>
      </w:r>
      <w:r w:rsidRPr="00344D31">
        <w:rPr>
          <w:rFonts w:ascii="Times New Roman" w:hAnsi="Times New Roman"/>
          <w:b/>
          <w:sz w:val="24"/>
        </w:rPr>
        <w:t xml:space="preserve">:  </w:t>
      </w:r>
    </w:p>
    <w:p w:rsidR="00107D7C" w:rsidRPr="00B823E9" w:rsidRDefault="00107D7C" w:rsidP="00107D7C">
      <w:pPr>
        <w:spacing w:line="276" w:lineRule="auto"/>
        <w:jc w:val="both"/>
        <w:rPr>
          <w:rFonts w:ascii="Times New Roman" w:hAnsi="Times New Roman"/>
          <w:sz w:val="24"/>
        </w:rPr>
      </w:pPr>
    </w:p>
    <w:p w:rsidR="00107D7C" w:rsidRPr="00B823E9" w:rsidRDefault="00107D7C" w:rsidP="00107D7C">
      <w:pPr>
        <w:pStyle w:val="BodyTextIndent2"/>
        <w:rPr>
          <w:b/>
        </w:rPr>
      </w:pPr>
      <w:r w:rsidRPr="00B823E9">
        <w:t>There are no requirements of the Order Establishing Procedure with which the Office of Public Counsel cannot comply.</w:t>
      </w:r>
    </w:p>
    <w:p w:rsidR="00107D7C" w:rsidRPr="00B823E9" w:rsidRDefault="00107D7C"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344D31" w:rsidRDefault="00344D31"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107D7C" w:rsidRPr="00B823E9" w:rsidRDefault="00344D31" w:rsidP="00107D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sidR="00107D7C" w:rsidRPr="00B823E9">
        <w:rPr>
          <w:rFonts w:ascii="Times New Roman" w:hAnsi="Times New Roman"/>
          <w:sz w:val="24"/>
        </w:rPr>
        <w:t xml:space="preserve">Dated this </w:t>
      </w:r>
      <w:r w:rsidR="00D80701">
        <w:rPr>
          <w:rFonts w:ascii="Times New Roman" w:hAnsi="Times New Roman"/>
          <w:sz w:val="24"/>
        </w:rPr>
        <w:t>14</w:t>
      </w:r>
      <w:r w:rsidR="00107D7C" w:rsidRPr="00A97F64">
        <w:rPr>
          <w:rFonts w:ascii="Times New Roman" w:hAnsi="Times New Roman"/>
          <w:sz w:val="24"/>
          <w:vertAlign w:val="superscript"/>
        </w:rPr>
        <w:t>th</w:t>
      </w:r>
      <w:r w:rsidR="00107D7C">
        <w:rPr>
          <w:rFonts w:ascii="Times New Roman" w:hAnsi="Times New Roman"/>
          <w:sz w:val="24"/>
        </w:rPr>
        <w:t xml:space="preserve"> </w:t>
      </w:r>
      <w:r w:rsidR="00107D7C" w:rsidRPr="00B823E9">
        <w:rPr>
          <w:rFonts w:ascii="Times New Roman" w:hAnsi="Times New Roman"/>
          <w:sz w:val="24"/>
        </w:rPr>
        <w:t xml:space="preserve">day of </w:t>
      </w:r>
      <w:r w:rsidR="00D80701">
        <w:rPr>
          <w:rFonts w:ascii="Times New Roman" w:hAnsi="Times New Roman"/>
          <w:sz w:val="24"/>
        </w:rPr>
        <w:t>November</w:t>
      </w:r>
      <w:r w:rsidR="00107D7C">
        <w:rPr>
          <w:rFonts w:ascii="Times New Roman" w:hAnsi="Times New Roman"/>
          <w:sz w:val="24"/>
        </w:rPr>
        <w:t>, 2011</w:t>
      </w:r>
    </w:p>
    <w:p w:rsidR="00577715" w:rsidRPr="00B823E9" w:rsidRDefault="00577715" w:rsidP="00B823E9">
      <w:pPr>
        <w:spacing w:line="276" w:lineRule="auto"/>
        <w:jc w:val="both"/>
        <w:rPr>
          <w:rFonts w:ascii="Times New Roman" w:hAnsi="Times New Roman"/>
          <w:sz w:val="24"/>
        </w:rPr>
      </w:pPr>
    </w:p>
    <w:p w:rsid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344D31" w:rsidRPr="00B823E9"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344D31" w:rsidRPr="00B823E9" w:rsidRDefault="00344D31" w:rsidP="00344D31">
      <w:pPr>
        <w:widowControl/>
        <w:tabs>
          <w:tab w:val="left" w:pos="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823E9">
        <w:rPr>
          <w:rFonts w:ascii="Times New Roman" w:hAnsi="Times New Roman"/>
          <w:sz w:val="24"/>
        </w:rPr>
        <w:t>J.R. Kelly</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073E87" w:rsidRDefault="00344D31" w:rsidP="00B823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B823E9">
        <w:rPr>
          <w:rFonts w:ascii="Times New Roman" w:hAnsi="Times New Roman"/>
          <w:sz w:val="24"/>
        </w:rPr>
        <w:t>Public Counsel</w:t>
      </w:r>
    </w:p>
    <w:p w:rsid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344D31" w:rsidRPr="0004391F"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u w:val="single"/>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04391F">
        <w:rPr>
          <w:rFonts w:ascii="Times New Roman" w:hAnsi="Times New Roman"/>
          <w:sz w:val="24"/>
          <w:u w:val="single"/>
        </w:rPr>
        <w:t>s/ Joseph A. McGlothlin</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 xml:space="preserve">Joseph A. McGlothlin </w:t>
      </w:r>
    </w:p>
    <w:p w:rsidR="00344D31" w:rsidRP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Associate Public Counsel</w:t>
      </w:r>
    </w:p>
    <w:p w:rsidR="00344D31" w:rsidRP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Erik L. Sayler</w:t>
      </w:r>
    </w:p>
    <w:p w:rsidR="00344D31" w:rsidRP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Associate Public Counsel</w:t>
      </w:r>
    </w:p>
    <w:p w:rsidR="00344D31" w:rsidRPr="00344D31" w:rsidRDefault="00344D31" w:rsidP="00344D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imes New Roman" w:hAnsi="Times New Roman"/>
          <w:sz w:val="24"/>
        </w:rPr>
      </w:pP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Office of Public Counsel</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c/o The Florida Legislature</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44D31">
        <w:rPr>
          <w:rFonts w:ascii="Times New Roman" w:hAnsi="Times New Roman"/>
          <w:sz w:val="24"/>
        </w:rPr>
        <w:t>111 West Madison Street, Room 812</w:t>
      </w:r>
    </w:p>
    <w:p w:rsidR="00344D31" w:rsidRP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44D31">
        <w:rPr>
          <w:rFonts w:ascii="Times New Roman" w:hAnsi="Times New Roman"/>
          <w:sz w:val="24"/>
        </w:rPr>
        <w:t>Tallahassee, FL 32399-1400</w:t>
      </w:r>
    </w:p>
    <w:p w:rsidR="00344D31" w:rsidRDefault="00344D31" w:rsidP="00E447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b/>
          <w:sz w:val="24"/>
          <w:u w:val="single"/>
        </w:rPr>
      </w:pP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r>
      <w:r w:rsidRPr="00344D31">
        <w:rPr>
          <w:rFonts w:ascii="Times New Roman" w:hAnsi="Times New Roman"/>
          <w:sz w:val="24"/>
        </w:rPr>
        <w:tab/>
        <w:t>(850) 488-9330</w:t>
      </w:r>
      <w:r>
        <w:rPr>
          <w:rFonts w:ascii="Times New Roman" w:hAnsi="Times New Roman"/>
          <w:b/>
          <w:sz w:val="24"/>
          <w:u w:val="single"/>
        </w:rPr>
        <w:br w:type="page"/>
      </w:r>
    </w:p>
    <w:p w:rsidR="00B52458" w:rsidRPr="00697FF7" w:rsidRDefault="00B52458" w:rsidP="00D43795">
      <w:pPr>
        <w:tabs>
          <w:tab w:val="left" w:pos="0"/>
        </w:tabs>
        <w:jc w:val="center"/>
        <w:rPr>
          <w:rFonts w:ascii="Times New Roman" w:hAnsi="Times New Roman"/>
          <w:b/>
          <w:sz w:val="24"/>
          <w:u w:val="single"/>
        </w:rPr>
      </w:pPr>
      <w:r w:rsidRPr="00697FF7">
        <w:rPr>
          <w:rFonts w:ascii="Times New Roman" w:hAnsi="Times New Roman"/>
          <w:b/>
          <w:sz w:val="24"/>
          <w:u w:val="single"/>
        </w:rPr>
        <w:t>CERTIFICATE OF SERVICE</w:t>
      </w:r>
    </w:p>
    <w:p w:rsidR="00B52458" w:rsidRPr="00697FF7" w:rsidRDefault="00B52458" w:rsidP="00D43795">
      <w:pPr>
        <w:tabs>
          <w:tab w:val="left" w:pos="0"/>
        </w:tabs>
        <w:jc w:val="center"/>
        <w:rPr>
          <w:rFonts w:ascii="Times New Roman" w:hAnsi="Times New Roman"/>
          <w:sz w:val="24"/>
        </w:rPr>
      </w:pPr>
    </w:p>
    <w:p w:rsidR="00B52458" w:rsidRPr="00697FF7" w:rsidRDefault="00B52458" w:rsidP="00B52458">
      <w:pPr>
        <w:spacing w:line="480" w:lineRule="auto"/>
        <w:rPr>
          <w:rFonts w:ascii="Times New Roman" w:hAnsi="Times New Roman"/>
          <w:sz w:val="24"/>
        </w:rPr>
      </w:pPr>
      <w:r w:rsidRPr="00697FF7">
        <w:rPr>
          <w:rFonts w:ascii="Times New Roman" w:hAnsi="Times New Roman"/>
          <w:b/>
          <w:sz w:val="24"/>
        </w:rPr>
        <w:tab/>
        <w:t xml:space="preserve">I HEREBY CERTIFY </w:t>
      </w:r>
      <w:r w:rsidRPr="00697FF7">
        <w:rPr>
          <w:rFonts w:ascii="Times New Roman" w:hAnsi="Times New Roman"/>
          <w:sz w:val="24"/>
        </w:rPr>
        <w:t xml:space="preserve">that a true and foregoing </w:t>
      </w:r>
      <w:r w:rsidRPr="00697FF7">
        <w:rPr>
          <w:rFonts w:ascii="Times New Roman" w:hAnsi="Times New Roman"/>
          <w:b/>
          <w:bCs/>
          <w:sz w:val="24"/>
          <w:u w:val="single"/>
        </w:rPr>
        <w:t xml:space="preserve">PREHEARING STATEMENT OF THE OFFICE OF PUBLIC COUNSEL </w:t>
      </w:r>
      <w:r w:rsidRPr="00697FF7">
        <w:rPr>
          <w:rFonts w:ascii="Times New Roman" w:hAnsi="Times New Roman"/>
          <w:sz w:val="24"/>
        </w:rPr>
        <w:t>has been furnished by electronic</w:t>
      </w:r>
      <w:r w:rsidR="00FE333F">
        <w:rPr>
          <w:rFonts w:ascii="Times New Roman" w:hAnsi="Times New Roman"/>
          <w:sz w:val="24"/>
        </w:rPr>
        <w:t xml:space="preserve"> mail and U.S. Mail on this </w:t>
      </w:r>
      <w:r w:rsidR="00D80701">
        <w:rPr>
          <w:rFonts w:ascii="Times New Roman" w:hAnsi="Times New Roman"/>
          <w:sz w:val="24"/>
        </w:rPr>
        <w:t>14</w:t>
      </w:r>
      <w:r w:rsidR="004B0BAD" w:rsidRPr="004B0BAD">
        <w:rPr>
          <w:rFonts w:ascii="Times New Roman" w:hAnsi="Times New Roman"/>
          <w:sz w:val="24"/>
          <w:vertAlign w:val="superscript"/>
        </w:rPr>
        <w:t>th</w:t>
      </w:r>
      <w:r w:rsidR="004B0BAD">
        <w:rPr>
          <w:rFonts w:ascii="Times New Roman" w:hAnsi="Times New Roman"/>
          <w:sz w:val="24"/>
        </w:rPr>
        <w:t xml:space="preserve"> </w:t>
      </w:r>
      <w:r w:rsidR="00FE333F">
        <w:rPr>
          <w:rFonts w:ascii="Times New Roman" w:hAnsi="Times New Roman"/>
          <w:sz w:val="24"/>
        </w:rPr>
        <w:t>day</w:t>
      </w:r>
      <w:r w:rsidR="004B0BAD">
        <w:rPr>
          <w:rFonts w:ascii="Times New Roman" w:hAnsi="Times New Roman"/>
          <w:sz w:val="24"/>
        </w:rPr>
        <w:t xml:space="preserve"> of </w:t>
      </w:r>
      <w:r w:rsidR="00D80701">
        <w:rPr>
          <w:rFonts w:ascii="Times New Roman" w:hAnsi="Times New Roman"/>
          <w:sz w:val="24"/>
        </w:rPr>
        <w:t>November</w:t>
      </w:r>
      <w:r w:rsidR="004B0BAD">
        <w:rPr>
          <w:rFonts w:ascii="Times New Roman" w:hAnsi="Times New Roman"/>
          <w:sz w:val="24"/>
        </w:rPr>
        <w:t>, 2011</w:t>
      </w:r>
      <w:r w:rsidRPr="00697FF7">
        <w:rPr>
          <w:rFonts w:ascii="Times New Roman" w:hAnsi="Times New Roman"/>
          <w:sz w:val="24"/>
        </w:rPr>
        <w:t>, to the following:</w:t>
      </w:r>
    </w:p>
    <w:tbl>
      <w:tblPr>
        <w:tblW w:w="0" w:type="auto"/>
        <w:tblLook w:val="04A0"/>
      </w:tblPr>
      <w:tblGrid>
        <w:gridCol w:w="4788"/>
        <w:gridCol w:w="4788"/>
      </w:tblGrid>
      <w:tr w:rsidR="00D80701" w:rsidRPr="00460037" w:rsidTr="00522382">
        <w:tc>
          <w:tcPr>
            <w:tcW w:w="4788" w:type="dxa"/>
          </w:tcPr>
          <w:p w:rsidR="00D80701" w:rsidRPr="00D80701" w:rsidRDefault="00D80701" w:rsidP="00522382">
            <w:pPr>
              <w:rPr>
                <w:rFonts w:ascii="Times New Roman" w:hAnsi="Times New Roman"/>
                <w:sz w:val="24"/>
              </w:rPr>
            </w:pPr>
            <w:r w:rsidRPr="00D80701">
              <w:rPr>
                <w:rFonts w:ascii="Times New Roman" w:hAnsi="Times New Roman"/>
                <w:sz w:val="24"/>
              </w:rPr>
              <w:t>Caroline Klancke, Esquire</w:t>
            </w:r>
          </w:p>
          <w:p w:rsidR="00D80701" w:rsidRPr="00D80701" w:rsidRDefault="00D80701" w:rsidP="00522382">
            <w:pPr>
              <w:rPr>
                <w:rFonts w:ascii="Times New Roman" w:hAnsi="Times New Roman"/>
                <w:sz w:val="24"/>
              </w:rPr>
            </w:pPr>
            <w:r w:rsidRPr="00D80701">
              <w:rPr>
                <w:rFonts w:ascii="Times New Roman" w:hAnsi="Times New Roman"/>
                <w:sz w:val="24"/>
              </w:rPr>
              <w:t>Keino Young, Esquire</w:t>
            </w:r>
          </w:p>
          <w:p w:rsidR="00D80701" w:rsidRPr="00D80701" w:rsidRDefault="00D80701" w:rsidP="00522382">
            <w:pPr>
              <w:rPr>
                <w:rFonts w:ascii="Times New Roman" w:hAnsi="Times New Roman"/>
                <w:sz w:val="24"/>
              </w:rPr>
            </w:pPr>
            <w:r w:rsidRPr="00D80701">
              <w:rPr>
                <w:rFonts w:ascii="Times New Roman" w:hAnsi="Times New Roman"/>
                <w:sz w:val="24"/>
              </w:rPr>
              <w:t>Martha Barrera, Esquire</w:t>
            </w:r>
          </w:p>
          <w:p w:rsidR="00D80701" w:rsidRPr="00D80701" w:rsidRDefault="00D80701" w:rsidP="00522382">
            <w:pPr>
              <w:rPr>
                <w:rFonts w:ascii="Times New Roman" w:hAnsi="Times New Roman"/>
                <w:sz w:val="24"/>
              </w:rPr>
            </w:pPr>
            <w:r w:rsidRPr="00D80701">
              <w:rPr>
                <w:rFonts w:ascii="Times New Roman" w:hAnsi="Times New Roman"/>
                <w:sz w:val="24"/>
              </w:rPr>
              <w:t>2540 Shumard Oaks Boulevard</w:t>
            </w:r>
          </w:p>
          <w:p w:rsidR="00D80701" w:rsidRPr="00D80701" w:rsidRDefault="00D80701" w:rsidP="00522382">
            <w:pPr>
              <w:rPr>
                <w:rFonts w:ascii="Times New Roman" w:hAnsi="Times New Roman"/>
                <w:sz w:val="24"/>
              </w:rPr>
            </w:pPr>
            <w:r w:rsidRPr="00D80701">
              <w:rPr>
                <w:rFonts w:ascii="Times New Roman" w:hAnsi="Times New Roman"/>
                <w:sz w:val="24"/>
              </w:rPr>
              <w:t>Florida Public Service Commission</w:t>
            </w:r>
          </w:p>
          <w:p w:rsidR="00D80701" w:rsidRPr="00D80701" w:rsidRDefault="00D80701" w:rsidP="00522382">
            <w:pPr>
              <w:rPr>
                <w:rFonts w:ascii="Times New Roman" w:hAnsi="Times New Roman"/>
                <w:sz w:val="24"/>
              </w:rPr>
            </w:pPr>
            <w:r w:rsidRPr="00D80701">
              <w:rPr>
                <w:rFonts w:ascii="Times New Roman" w:hAnsi="Times New Roman"/>
                <w:sz w:val="24"/>
              </w:rPr>
              <w:t>Tallahassee, FL 32399-0850</w:t>
            </w:r>
          </w:p>
          <w:p w:rsidR="00D80701" w:rsidRPr="00D80701" w:rsidRDefault="00D80701" w:rsidP="00522382">
            <w:pPr>
              <w:rPr>
                <w:rFonts w:ascii="Times New Roman" w:hAnsi="Times New Roman"/>
                <w:sz w:val="24"/>
              </w:rPr>
            </w:pPr>
          </w:p>
        </w:tc>
        <w:tc>
          <w:tcPr>
            <w:tcW w:w="4788" w:type="dxa"/>
          </w:tcPr>
          <w:p w:rsidR="00D80701" w:rsidRPr="00D80701" w:rsidRDefault="00D80701" w:rsidP="00522382">
            <w:pPr>
              <w:rPr>
                <w:rFonts w:ascii="Times New Roman" w:hAnsi="Times New Roman"/>
                <w:sz w:val="24"/>
              </w:rPr>
            </w:pPr>
            <w:r w:rsidRPr="00D80701">
              <w:rPr>
                <w:rFonts w:ascii="Times New Roman" w:hAnsi="Times New Roman"/>
                <w:sz w:val="24"/>
              </w:rPr>
              <w:t>Jeffrey A. Stone, Esquire</w:t>
            </w:r>
          </w:p>
          <w:p w:rsidR="00D80701" w:rsidRPr="00D80701" w:rsidRDefault="00D80701" w:rsidP="00522382">
            <w:pPr>
              <w:rPr>
                <w:rFonts w:ascii="Times New Roman" w:hAnsi="Times New Roman"/>
                <w:sz w:val="24"/>
              </w:rPr>
            </w:pPr>
            <w:r w:rsidRPr="00D80701">
              <w:rPr>
                <w:rFonts w:ascii="Times New Roman" w:hAnsi="Times New Roman"/>
                <w:sz w:val="24"/>
              </w:rPr>
              <w:t>Russell A. Badders, Esquire</w:t>
            </w:r>
          </w:p>
          <w:p w:rsidR="00D80701" w:rsidRPr="00D80701" w:rsidRDefault="00D80701" w:rsidP="00522382">
            <w:pPr>
              <w:rPr>
                <w:rFonts w:ascii="Times New Roman" w:hAnsi="Times New Roman"/>
                <w:sz w:val="24"/>
              </w:rPr>
            </w:pPr>
            <w:r w:rsidRPr="00D80701">
              <w:rPr>
                <w:rFonts w:ascii="Times New Roman" w:hAnsi="Times New Roman"/>
                <w:sz w:val="24"/>
              </w:rPr>
              <w:t>Steven R. Griffin, Esquire</w:t>
            </w:r>
          </w:p>
          <w:p w:rsidR="00D80701" w:rsidRPr="00D80701" w:rsidRDefault="00D80701" w:rsidP="00522382">
            <w:pPr>
              <w:rPr>
                <w:rFonts w:ascii="Times New Roman" w:hAnsi="Times New Roman"/>
                <w:sz w:val="24"/>
              </w:rPr>
            </w:pPr>
            <w:r w:rsidRPr="00D80701">
              <w:rPr>
                <w:rFonts w:ascii="Times New Roman" w:hAnsi="Times New Roman"/>
                <w:sz w:val="24"/>
              </w:rPr>
              <w:t>Beggs &amp; Lane</w:t>
            </w:r>
          </w:p>
          <w:p w:rsidR="00D80701" w:rsidRPr="00D80701" w:rsidRDefault="00D80701" w:rsidP="00522382">
            <w:pPr>
              <w:rPr>
                <w:rFonts w:ascii="Times New Roman" w:hAnsi="Times New Roman"/>
                <w:sz w:val="24"/>
                <w:lang w:val="es-ES"/>
              </w:rPr>
            </w:pPr>
            <w:r w:rsidRPr="00D80701">
              <w:rPr>
                <w:rFonts w:ascii="Times New Roman" w:hAnsi="Times New Roman"/>
                <w:sz w:val="24"/>
                <w:lang w:val="es-ES"/>
              </w:rPr>
              <w:t>P. O. Box 12950</w:t>
            </w:r>
          </w:p>
          <w:p w:rsidR="00D80701" w:rsidRPr="00D80701" w:rsidRDefault="00D80701" w:rsidP="00522382">
            <w:pPr>
              <w:rPr>
                <w:rFonts w:ascii="Times New Roman" w:hAnsi="Times New Roman"/>
                <w:sz w:val="24"/>
                <w:lang w:val="es-ES"/>
              </w:rPr>
            </w:pPr>
            <w:r w:rsidRPr="00D80701">
              <w:rPr>
                <w:rFonts w:ascii="Times New Roman" w:hAnsi="Times New Roman"/>
                <w:sz w:val="24"/>
                <w:lang w:val="es-ES"/>
              </w:rPr>
              <w:t>Pensacola, FL 32576-2950</w:t>
            </w:r>
          </w:p>
        </w:tc>
      </w:tr>
      <w:tr w:rsidR="00D80701" w:rsidRPr="003D6C92" w:rsidTr="00522382">
        <w:tc>
          <w:tcPr>
            <w:tcW w:w="4788" w:type="dxa"/>
          </w:tcPr>
          <w:p w:rsidR="00D80701" w:rsidRPr="00D80701" w:rsidRDefault="00D80701" w:rsidP="00522382">
            <w:pPr>
              <w:rPr>
                <w:rFonts w:ascii="Times New Roman" w:hAnsi="Times New Roman"/>
                <w:sz w:val="24"/>
              </w:rPr>
            </w:pPr>
            <w:r w:rsidRPr="00D80701">
              <w:rPr>
                <w:rFonts w:ascii="Times New Roman" w:hAnsi="Times New Roman"/>
                <w:sz w:val="24"/>
              </w:rPr>
              <w:t>Susan Ritenour</w:t>
            </w:r>
          </w:p>
          <w:p w:rsidR="00D80701" w:rsidRPr="00D80701" w:rsidRDefault="00D80701" w:rsidP="00522382">
            <w:pPr>
              <w:rPr>
                <w:rFonts w:ascii="Times New Roman" w:hAnsi="Times New Roman"/>
                <w:sz w:val="24"/>
              </w:rPr>
            </w:pPr>
            <w:r w:rsidRPr="00D80701">
              <w:rPr>
                <w:rFonts w:ascii="Times New Roman" w:hAnsi="Times New Roman"/>
                <w:sz w:val="24"/>
              </w:rPr>
              <w:t>Gulf Power Company</w:t>
            </w:r>
          </w:p>
          <w:p w:rsidR="00D80701" w:rsidRPr="00D80701" w:rsidRDefault="00D80701" w:rsidP="00522382">
            <w:pPr>
              <w:rPr>
                <w:rFonts w:ascii="Times New Roman" w:hAnsi="Times New Roman"/>
                <w:sz w:val="24"/>
              </w:rPr>
            </w:pPr>
            <w:r w:rsidRPr="00D80701">
              <w:rPr>
                <w:rFonts w:ascii="Times New Roman" w:hAnsi="Times New Roman"/>
                <w:sz w:val="24"/>
              </w:rPr>
              <w:t>One Energy Place</w:t>
            </w:r>
          </w:p>
          <w:p w:rsidR="00D80701" w:rsidRPr="00D80701" w:rsidRDefault="00D80701" w:rsidP="00522382">
            <w:pPr>
              <w:rPr>
                <w:rFonts w:ascii="Times New Roman" w:hAnsi="Times New Roman"/>
                <w:sz w:val="24"/>
              </w:rPr>
            </w:pPr>
            <w:r w:rsidRPr="00D80701">
              <w:rPr>
                <w:rFonts w:ascii="Times New Roman" w:hAnsi="Times New Roman"/>
                <w:sz w:val="24"/>
              </w:rPr>
              <w:t>Pensacola, FL 32520</w:t>
            </w:r>
          </w:p>
          <w:p w:rsidR="00D80701" w:rsidRPr="00D80701" w:rsidRDefault="00D80701" w:rsidP="00522382">
            <w:pPr>
              <w:rPr>
                <w:rFonts w:ascii="Times New Roman" w:hAnsi="Times New Roman"/>
                <w:sz w:val="24"/>
              </w:rPr>
            </w:pPr>
          </w:p>
        </w:tc>
        <w:tc>
          <w:tcPr>
            <w:tcW w:w="4788" w:type="dxa"/>
          </w:tcPr>
          <w:p w:rsidR="00D80701" w:rsidRPr="00D80701" w:rsidRDefault="00D80701" w:rsidP="00522382">
            <w:pPr>
              <w:rPr>
                <w:rFonts w:ascii="Times New Roman" w:hAnsi="Times New Roman"/>
                <w:sz w:val="24"/>
              </w:rPr>
            </w:pPr>
            <w:r w:rsidRPr="00D80701">
              <w:rPr>
                <w:rFonts w:ascii="Times New Roman" w:hAnsi="Times New Roman"/>
                <w:sz w:val="24"/>
              </w:rPr>
              <w:t>Charles Guyton</w:t>
            </w:r>
          </w:p>
          <w:p w:rsidR="00D80701" w:rsidRPr="00D80701" w:rsidRDefault="00D80701" w:rsidP="00522382">
            <w:pPr>
              <w:rPr>
                <w:rFonts w:ascii="Times New Roman" w:hAnsi="Times New Roman"/>
                <w:sz w:val="24"/>
              </w:rPr>
            </w:pPr>
            <w:r w:rsidRPr="00D80701">
              <w:rPr>
                <w:rFonts w:ascii="Times New Roman" w:hAnsi="Times New Roman"/>
                <w:sz w:val="24"/>
              </w:rPr>
              <w:t>Gunster, Yoakley, &amp; Stewart, P.A.</w:t>
            </w:r>
          </w:p>
          <w:p w:rsidR="00D80701" w:rsidRPr="00D80701" w:rsidRDefault="00D80701" w:rsidP="00522382">
            <w:pPr>
              <w:rPr>
                <w:rFonts w:ascii="Times New Roman" w:hAnsi="Times New Roman"/>
                <w:sz w:val="24"/>
              </w:rPr>
            </w:pPr>
            <w:r w:rsidRPr="00D80701">
              <w:rPr>
                <w:rFonts w:ascii="Times New Roman" w:hAnsi="Times New Roman"/>
                <w:sz w:val="24"/>
              </w:rPr>
              <w:t>215 S. Monroe Street, Suite 618</w:t>
            </w:r>
          </w:p>
          <w:p w:rsidR="00D80701" w:rsidRPr="00D80701" w:rsidRDefault="00D80701" w:rsidP="00522382">
            <w:pPr>
              <w:rPr>
                <w:rFonts w:ascii="Times New Roman" w:hAnsi="Times New Roman"/>
                <w:sz w:val="24"/>
              </w:rPr>
            </w:pPr>
            <w:r w:rsidRPr="00D80701">
              <w:rPr>
                <w:rFonts w:ascii="Times New Roman" w:hAnsi="Times New Roman"/>
                <w:sz w:val="24"/>
              </w:rPr>
              <w:t>Tallahassee, FL 32301</w:t>
            </w:r>
          </w:p>
        </w:tc>
      </w:tr>
      <w:tr w:rsidR="00D80701" w:rsidRPr="003D6C92" w:rsidTr="00522382">
        <w:tc>
          <w:tcPr>
            <w:tcW w:w="4788" w:type="dxa"/>
          </w:tcPr>
          <w:p w:rsidR="00D80701" w:rsidRPr="00D80701" w:rsidRDefault="00D80701" w:rsidP="00522382">
            <w:pPr>
              <w:rPr>
                <w:rFonts w:ascii="Times New Roman" w:hAnsi="Times New Roman"/>
                <w:sz w:val="24"/>
              </w:rPr>
            </w:pPr>
            <w:r w:rsidRPr="00D80701">
              <w:rPr>
                <w:rFonts w:ascii="Times New Roman" w:hAnsi="Times New Roman"/>
                <w:sz w:val="24"/>
              </w:rPr>
              <w:t>Richard Melson</w:t>
            </w:r>
          </w:p>
          <w:p w:rsidR="00D80701" w:rsidRPr="00D80701" w:rsidRDefault="00D80701" w:rsidP="00522382">
            <w:pPr>
              <w:rPr>
                <w:rFonts w:ascii="Times New Roman" w:hAnsi="Times New Roman"/>
                <w:sz w:val="24"/>
              </w:rPr>
            </w:pPr>
            <w:r w:rsidRPr="00D80701">
              <w:rPr>
                <w:rFonts w:ascii="Times New Roman" w:hAnsi="Times New Roman"/>
                <w:sz w:val="24"/>
              </w:rPr>
              <w:t>705 Piedmont Drive</w:t>
            </w:r>
          </w:p>
          <w:p w:rsidR="00D80701" w:rsidRPr="00D80701" w:rsidRDefault="00D80701" w:rsidP="00522382">
            <w:pPr>
              <w:rPr>
                <w:rFonts w:ascii="Times New Roman" w:hAnsi="Times New Roman"/>
                <w:sz w:val="24"/>
              </w:rPr>
            </w:pPr>
            <w:r w:rsidRPr="00D80701">
              <w:rPr>
                <w:rFonts w:ascii="Times New Roman" w:hAnsi="Times New Roman"/>
                <w:sz w:val="24"/>
              </w:rPr>
              <w:t>Tallahassee, FL 32312</w:t>
            </w:r>
          </w:p>
        </w:tc>
        <w:tc>
          <w:tcPr>
            <w:tcW w:w="4788" w:type="dxa"/>
          </w:tcPr>
          <w:p w:rsidR="00D80701" w:rsidRPr="00D80701" w:rsidRDefault="00D80701" w:rsidP="00522382">
            <w:pPr>
              <w:rPr>
                <w:rFonts w:ascii="Times New Roman" w:hAnsi="Times New Roman"/>
                <w:sz w:val="24"/>
              </w:rPr>
            </w:pPr>
            <w:r w:rsidRPr="00D80701">
              <w:rPr>
                <w:rFonts w:ascii="Times New Roman" w:hAnsi="Times New Roman"/>
                <w:sz w:val="24"/>
              </w:rPr>
              <w:t>Robert Scheffel Wright/John T. La Via</w:t>
            </w:r>
          </w:p>
          <w:p w:rsidR="00D80701" w:rsidRPr="00D80701" w:rsidRDefault="00D80701" w:rsidP="00522382">
            <w:pPr>
              <w:rPr>
                <w:rFonts w:ascii="Times New Roman" w:hAnsi="Times New Roman"/>
                <w:sz w:val="24"/>
              </w:rPr>
            </w:pPr>
            <w:r w:rsidRPr="00D80701">
              <w:rPr>
                <w:rFonts w:ascii="Times New Roman" w:hAnsi="Times New Roman"/>
                <w:sz w:val="24"/>
              </w:rPr>
              <w:t xml:space="preserve">Gardner, Bist, Wiener, Wadsworth, Bowden, Bush, Dee, LaVia &amp; Wright, P.A.  </w:t>
            </w:r>
          </w:p>
          <w:p w:rsidR="00D80701" w:rsidRPr="00D80701" w:rsidRDefault="00D80701" w:rsidP="00522382">
            <w:pPr>
              <w:rPr>
                <w:rFonts w:ascii="Times New Roman" w:hAnsi="Times New Roman"/>
                <w:sz w:val="24"/>
              </w:rPr>
            </w:pPr>
            <w:r w:rsidRPr="00D80701">
              <w:rPr>
                <w:rFonts w:ascii="Times New Roman" w:hAnsi="Times New Roman"/>
                <w:sz w:val="24"/>
              </w:rPr>
              <w:t>1300 Thomaswood Drive</w:t>
            </w:r>
          </w:p>
          <w:p w:rsidR="00D80701" w:rsidRPr="00D80701" w:rsidRDefault="00D80701" w:rsidP="00522382">
            <w:pPr>
              <w:rPr>
                <w:rFonts w:ascii="Times New Roman" w:hAnsi="Times New Roman"/>
                <w:sz w:val="24"/>
              </w:rPr>
            </w:pPr>
            <w:r w:rsidRPr="00D80701">
              <w:rPr>
                <w:rFonts w:ascii="Times New Roman" w:hAnsi="Times New Roman"/>
                <w:sz w:val="24"/>
              </w:rPr>
              <w:t>Tallahassee FL 32308</w:t>
            </w:r>
            <w:r w:rsidRPr="00D80701">
              <w:rPr>
                <w:rFonts w:ascii="Times New Roman" w:hAnsi="Times New Roman"/>
                <w:sz w:val="24"/>
              </w:rPr>
              <w:br/>
            </w:r>
          </w:p>
        </w:tc>
      </w:tr>
      <w:tr w:rsidR="00D80701" w:rsidRPr="003D6C92" w:rsidTr="00522382">
        <w:tc>
          <w:tcPr>
            <w:tcW w:w="4788" w:type="dxa"/>
          </w:tcPr>
          <w:p w:rsidR="00D80701" w:rsidRPr="00D80701" w:rsidRDefault="00D80701" w:rsidP="00522382">
            <w:pPr>
              <w:rPr>
                <w:rFonts w:ascii="Times New Roman" w:hAnsi="Times New Roman"/>
                <w:sz w:val="24"/>
              </w:rPr>
            </w:pPr>
            <w:r w:rsidRPr="00D80701">
              <w:rPr>
                <w:rFonts w:ascii="Times New Roman" w:hAnsi="Times New Roman"/>
                <w:sz w:val="24"/>
              </w:rPr>
              <w:t>Federal Executive Agencies</w:t>
            </w:r>
          </w:p>
          <w:p w:rsidR="00D80701" w:rsidRPr="00D80701" w:rsidRDefault="00D80701" w:rsidP="00522382">
            <w:pPr>
              <w:rPr>
                <w:rFonts w:ascii="Times New Roman" w:hAnsi="Times New Roman"/>
                <w:sz w:val="24"/>
              </w:rPr>
            </w:pPr>
            <w:r w:rsidRPr="00D80701">
              <w:rPr>
                <w:rFonts w:ascii="Times New Roman" w:hAnsi="Times New Roman"/>
                <w:sz w:val="24"/>
              </w:rPr>
              <w:t>Christopher Thompson/Karen White</w:t>
            </w:r>
          </w:p>
          <w:p w:rsidR="00D80701" w:rsidRPr="00D80701" w:rsidRDefault="00D80701" w:rsidP="00522382">
            <w:pPr>
              <w:rPr>
                <w:rFonts w:ascii="Times New Roman" w:hAnsi="Times New Roman"/>
                <w:sz w:val="24"/>
              </w:rPr>
            </w:pPr>
            <w:r w:rsidRPr="00D80701">
              <w:rPr>
                <w:rFonts w:ascii="Times New Roman" w:hAnsi="Times New Roman"/>
                <w:sz w:val="24"/>
              </w:rPr>
              <w:t>c/o AFLOA/JACL-ULFSC</w:t>
            </w:r>
          </w:p>
          <w:p w:rsidR="00D80701" w:rsidRPr="00D80701" w:rsidRDefault="00D80701" w:rsidP="00522382">
            <w:pPr>
              <w:rPr>
                <w:rFonts w:ascii="Times New Roman" w:hAnsi="Times New Roman"/>
                <w:sz w:val="24"/>
              </w:rPr>
            </w:pPr>
            <w:r w:rsidRPr="00D80701">
              <w:rPr>
                <w:rFonts w:ascii="Times New Roman" w:hAnsi="Times New Roman"/>
                <w:sz w:val="24"/>
              </w:rPr>
              <w:t>139 Barnes Drive, Suite 1</w:t>
            </w:r>
          </w:p>
          <w:p w:rsidR="00D80701" w:rsidRPr="00D80701" w:rsidRDefault="00D80701" w:rsidP="00522382">
            <w:pPr>
              <w:rPr>
                <w:rFonts w:ascii="Times New Roman" w:hAnsi="Times New Roman"/>
                <w:sz w:val="24"/>
              </w:rPr>
            </w:pPr>
            <w:r w:rsidRPr="00D80701">
              <w:rPr>
                <w:rFonts w:ascii="Times New Roman" w:hAnsi="Times New Roman"/>
                <w:sz w:val="24"/>
              </w:rPr>
              <w:t>Tyndall AFB, FL 32403</w:t>
            </w:r>
          </w:p>
        </w:tc>
        <w:tc>
          <w:tcPr>
            <w:tcW w:w="4788" w:type="dxa"/>
          </w:tcPr>
          <w:p w:rsidR="00D80701" w:rsidRPr="00D80701" w:rsidRDefault="00D80701" w:rsidP="00522382">
            <w:pPr>
              <w:rPr>
                <w:rFonts w:ascii="Times New Roman" w:hAnsi="Times New Roman"/>
                <w:sz w:val="24"/>
              </w:rPr>
            </w:pPr>
            <w:r w:rsidRPr="00D80701">
              <w:rPr>
                <w:rFonts w:ascii="Times New Roman" w:hAnsi="Times New Roman"/>
                <w:sz w:val="24"/>
              </w:rPr>
              <w:t>Florida Industrial Power Users Group</w:t>
            </w:r>
          </w:p>
          <w:p w:rsidR="00D80701" w:rsidRPr="00D80701" w:rsidRDefault="00D80701" w:rsidP="00522382">
            <w:pPr>
              <w:rPr>
                <w:rFonts w:ascii="Times New Roman" w:hAnsi="Times New Roman"/>
                <w:sz w:val="24"/>
              </w:rPr>
            </w:pPr>
            <w:r w:rsidRPr="00D80701">
              <w:rPr>
                <w:rFonts w:ascii="Times New Roman" w:hAnsi="Times New Roman"/>
                <w:sz w:val="24"/>
              </w:rPr>
              <w:t>Vicki G. Kaufman/Jon C. Moyle, Jr.</w:t>
            </w:r>
          </w:p>
          <w:p w:rsidR="00D80701" w:rsidRPr="00D80701" w:rsidRDefault="00D80701" w:rsidP="00522382">
            <w:pPr>
              <w:rPr>
                <w:rFonts w:ascii="Times New Roman" w:hAnsi="Times New Roman"/>
                <w:sz w:val="24"/>
              </w:rPr>
            </w:pPr>
            <w:r w:rsidRPr="00D80701">
              <w:rPr>
                <w:rFonts w:ascii="Times New Roman" w:hAnsi="Times New Roman"/>
                <w:sz w:val="24"/>
              </w:rPr>
              <w:t>Keefe Anchors Gordon &amp; Moyle, P.A.</w:t>
            </w:r>
          </w:p>
          <w:p w:rsidR="00D80701" w:rsidRPr="00D80701" w:rsidRDefault="00D80701" w:rsidP="00522382">
            <w:pPr>
              <w:rPr>
                <w:rFonts w:ascii="Times New Roman" w:hAnsi="Times New Roman"/>
                <w:sz w:val="24"/>
              </w:rPr>
            </w:pPr>
            <w:r w:rsidRPr="00D80701">
              <w:rPr>
                <w:rFonts w:ascii="Times New Roman" w:hAnsi="Times New Roman"/>
                <w:sz w:val="24"/>
              </w:rPr>
              <w:t>118 North Gadsden Street</w:t>
            </w:r>
          </w:p>
          <w:p w:rsidR="00D80701" w:rsidRPr="00D80701" w:rsidRDefault="00D80701" w:rsidP="00522382">
            <w:pPr>
              <w:rPr>
                <w:rFonts w:ascii="Times New Roman" w:hAnsi="Times New Roman"/>
                <w:sz w:val="24"/>
              </w:rPr>
            </w:pPr>
            <w:r w:rsidRPr="00D80701">
              <w:rPr>
                <w:rFonts w:ascii="Times New Roman" w:hAnsi="Times New Roman"/>
                <w:sz w:val="24"/>
              </w:rPr>
              <w:t>Tallahassee, FL 32301</w:t>
            </w:r>
          </w:p>
        </w:tc>
      </w:tr>
    </w:tbl>
    <w:p w:rsidR="00B52458" w:rsidRDefault="00B52458" w:rsidP="00D43795">
      <w:pPr>
        <w:tabs>
          <w:tab w:val="left" w:pos="0"/>
        </w:tabs>
        <w:spacing w:line="360" w:lineRule="auto"/>
        <w:jc w:val="both"/>
        <w:rPr>
          <w:rFonts w:ascii="Times New Roman" w:hAnsi="Times New Roman"/>
          <w:sz w:val="24"/>
        </w:rPr>
      </w:pPr>
    </w:p>
    <w:p w:rsidR="0082225B" w:rsidRPr="00697FF7" w:rsidRDefault="0082225B" w:rsidP="00D43795">
      <w:pPr>
        <w:tabs>
          <w:tab w:val="left" w:pos="0"/>
        </w:tabs>
        <w:spacing w:line="360" w:lineRule="auto"/>
        <w:jc w:val="both"/>
        <w:rPr>
          <w:rFonts w:ascii="Times New Roman" w:hAnsi="Times New Roman"/>
          <w:sz w:val="24"/>
        </w:rPr>
      </w:pPr>
    </w:p>
    <w:p w:rsidR="00B52458" w:rsidRPr="0004391F" w:rsidRDefault="00B52458" w:rsidP="00D43795">
      <w:pPr>
        <w:rPr>
          <w:rFonts w:ascii="Times New Roman" w:hAnsi="Times New Roman"/>
          <w:sz w:val="24"/>
          <w:u w:val="single"/>
        </w:rPr>
      </w:pP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0004391F">
        <w:rPr>
          <w:rFonts w:ascii="Times New Roman" w:hAnsi="Times New Roman"/>
          <w:sz w:val="24"/>
          <w:u w:val="single"/>
        </w:rPr>
        <w:t>s/ Joseph A. McGlothlin</w:t>
      </w:r>
    </w:p>
    <w:p w:rsidR="00B52458" w:rsidRDefault="00B52458" w:rsidP="00D43795">
      <w:pPr>
        <w:rPr>
          <w:rFonts w:ascii="Times New Roman" w:hAnsi="Times New Roman"/>
          <w:sz w:val="24"/>
        </w:rPr>
      </w:pP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Pr="00697FF7">
        <w:rPr>
          <w:rFonts w:ascii="Times New Roman" w:hAnsi="Times New Roman"/>
          <w:sz w:val="24"/>
        </w:rPr>
        <w:tab/>
      </w:r>
      <w:r w:rsidR="00D80701">
        <w:rPr>
          <w:rFonts w:ascii="Times New Roman" w:hAnsi="Times New Roman"/>
          <w:sz w:val="24"/>
        </w:rPr>
        <w:t>Joseph A. McGlothlin</w:t>
      </w:r>
    </w:p>
    <w:p w:rsidR="00D80701" w:rsidRPr="00697FF7" w:rsidRDefault="00D80701" w:rsidP="00D80701">
      <w:pPr>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Associate Public Counsel</w:t>
      </w:r>
    </w:p>
    <w:p w:rsidR="00D80701" w:rsidRDefault="00D80701" w:rsidP="00D43795">
      <w:pPr>
        <w:rPr>
          <w:rFonts w:ascii="Times New Roman" w:hAnsi="Times New Roman"/>
          <w:sz w:val="24"/>
        </w:rPr>
      </w:pPr>
    </w:p>
    <w:p w:rsidR="00B52458" w:rsidRPr="00697FF7" w:rsidRDefault="00B52458" w:rsidP="00D43795">
      <w:pPr>
        <w:rPr>
          <w:rFonts w:ascii="Times New Roman" w:hAnsi="Times New Roman"/>
          <w:sz w:val="24"/>
        </w:rPr>
      </w:pPr>
    </w:p>
    <w:p w:rsidR="00B52458" w:rsidRPr="00697FF7" w:rsidRDefault="00B52458" w:rsidP="00D43795">
      <w:pPr>
        <w:rPr>
          <w:rFonts w:ascii="Times New Roman" w:hAnsi="Times New Roman"/>
        </w:rPr>
      </w:pPr>
    </w:p>
    <w:p w:rsidR="00B52458" w:rsidRPr="00697FF7" w:rsidRDefault="00B52458" w:rsidP="00D43795">
      <w:pPr>
        <w:tabs>
          <w:tab w:val="left" w:pos="720"/>
          <w:tab w:val="left" w:pos="3600"/>
          <w:tab w:val="left" w:pos="3690"/>
          <w:tab w:val="center" w:pos="4680"/>
          <w:tab w:val="left" w:pos="5040"/>
        </w:tabs>
        <w:rPr>
          <w:rFonts w:ascii="Times New Roman" w:hAnsi="Times New Roman"/>
        </w:rPr>
      </w:pPr>
      <w:r w:rsidRPr="00697FF7">
        <w:rPr>
          <w:rFonts w:ascii="Times New Roman" w:hAnsi="Times New Roman"/>
        </w:rPr>
        <w:tab/>
      </w:r>
      <w:r w:rsidRPr="00697FF7">
        <w:rPr>
          <w:rFonts w:ascii="Times New Roman" w:hAnsi="Times New Roman"/>
        </w:rPr>
        <w:tab/>
      </w:r>
      <w:r w:rsidRPr="00697FF7">
        <w:rPr>
          <w:rFonts w:ascii="Times New Roman" w:hAnsi="Times New Roman"/>
        </w:rPr>
        <w:tab/>
      </w:r>
      <w:r w:rsidRPr="00697FF7">
        <w:rPr>
          <w:rFonts w:ascii="Times New Roman" w:hAnsi="Times New Roman"/>
        </w:rPr>
        <w:tab/>
      </w:r>
    </w:p>
    <w:p w:rsidR="001416FC" w:rsidRPr="00697FF7" w:rsidRDefault="001416FC">
      <w:pPr>
        <w:rPr>
          <w:rFonts w:ascii="Times New Roman" w:hAnsi="Times New Roman"/>
          <w:sz w:val="24"/>
        </w:rPr>
      </w:pPr>
    </w:p>
    <w:sectPr w:rsidR="001416FC" w:rsidRPr="00697FF7" w:rsidSect="00344D31">
      <w:footerReference w:type="default" r:id="rId8"/>
      <w:type w:val="continuous"/>
      <w:pgSz w:w="12240" w:h="15840"/>
      <w:pgMar w:top="1118"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2CBE" w:rsidRDefault="00882CBE" w:rsidP="00BD11E8">
      <w:pPr>
        <w:outlineLvl w:val="0"/>
        <w:rPr>
          <w:rFonts w:ascii="Cambria" w:hAnsi="Cambria"/>
        </w:rPr>
      </w:pPr>
      <w:r>
        <w:rPr>
          <w:rFonts w:ascii="Cambria" w:hAnsi="Cambria"/>
        </w:rPr>
        <w:separator/>
      </w:r>
    </w:p>
  </w:endnote>
  <w:endnote w:type="continuationSeparator" w:id="0">
    <w:p w:rsidR="00882CBE" w:rsidRDefault="00882CBE" w:rsidP="00BD11E8">
      <w:pPr>
        <w:outlineLvl w:val="0"/>
        <w:rPr>
          <w:rFonts w:ascii="Cambria" w:hAnsi="Cambria"/>
        </w:rPr>
      </w:pPr>
      <w:r>
        <w:rPr>
          <w:rFonts w:ascii="Cambria" w:hAnsi="Cambri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WP TypographicSymbols">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CBE" w:rsidRDefault="00882CBE">
    <w:pPr>
      <w:pStyle w:val="Footer"/>
      <w:jc w:val="center"/>
    </w:pPr>
    <w:fldSimple w:instr=" PAGE   \* MERGEFORMAT ">
      <w:r w:rsidR="00F45FCE">
        <w:rPr>
          <w:noProof/>
        </w:rPr>
        <w:t>2</w:t>
      </w:r>
    </w:fldSimple>
  </w:p>
  <w:p w:rsidR="00882CBE" w:rsidRDefault="00882C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2CBE" w:rsidRDefault="00882CBE" w:rsidP="00BD11E8">
      <w:pPr>
        <w:outlineLvl w:val="0"/>
        <w:rPr>
          <w:rFonts w:ascii="Cambria" w:hAnsi="Cambria"/>
        </w:rPr>
      </w:pPr>
      <w:r>
        <w:rPr>
          <w:rFonts w:ascii="Cambria" w:hAnsi="Cambria"/>
        </w:rPr>
        <w:separator/>
      </w:r>
    </w:p>
  </w:footnote>
  <w:footnote w:type="continuationSeparator" w:id="0">
    <w:p w:rsidR="00882CBE" w:rsidRDefault="00882CBE" w:rsidP="00BD11E8">
      <w:pPr>
        <w:outlineLvl w:val="0"/>
        <w:rPr>
          <w:rFonts w:ascii="Cambria" w:hAnsi="Cambria"/>
        </w:rPr>
      </w:pPr>
      <w:r>
        <w:rPr>
          <w:rFonts w:ascii="Cambria" w:hAnsi="Cambria"/>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6C82"/>
    <w:multiLevelType w:val="hybridMultilevel"/>
    <w:tmpl w:val="A8EA8BF6"/>
    <w:lvl w:ilvl="0" w:tplc="F7CC110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9A5671D"/>
    <w:multiLevelType w:val="hybridMultilevel"/>
    <w:tmpl w:val="25CA25DC"/>
    <w:lvl w:ilvl="0" w:tplc="07405E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AF66D7D"/>
    <w:multiLevelType w:val="hybridMultilevel"/>
    <w:tmpl w:val="6CE866CA"/>
    <w:lvl w:ilvl="0" w:tplc="78223DF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D54DB0"/>
    <w:multiLevelType w:val="hybridMultilevel"/>
    <w:tmpl w:val="28A6D456"/>
    <w:lvl w:ilvl="0" w:tplc="4CA862AC">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464196F"/>
    <w:multiLevelType w:val="hybridMultilevel"/>
    <w:tmpl w:val="15E2BDD6"/>
    <w:lvl w:ilvl="0" w:tplc="24EE0640">
      <w:start w:val="13"/>
      <w:numFmt w:val="decimal"/>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5">
    <w:nsid w:val="36A047E3"/>
    <w:multiLevelType w:val="hybridMultilevel"/>
    <w:tmpl w:val="8D9281A2"/>
    <w:lvl w:ilvl="0" w:tplc="4D66949C">
      <w:start w:val="22"/>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3C664766"/>
    <w:multiLevelType w:val="hybridMultilevel"/>
    <w:tmpl w:val="15C68CFA"/>
    <w:lvl w:ilvl="0" w:tplc="B29EF148">
      <w:start w:val="28"/>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E366BDB"/>
    <w:multiLevelType w:val="hybridMultilevel"/>
    <w:tmpl w:val="9F702AD6"/>
    <w:lvl w:ilvl="0" w:tplc="B32C4326">
      <w:start w:val="2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42F5739D"/>
    <w:multiLevelType w:val="hybridMultilevel"/>
    <w:tmpl w:val="BE5ED37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534B3"/>
    <w:multiLevelType w:val="hybridMultilevel"/>
    <w:tmpl w:val="FEEADB8C"/>
    <w:lvl w:ilvl="0" w:tplc="7A300FBC">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679E7588"/>
    <w:multiLevelType w:val="hybridMultilevel"/>
    <w:tmpl w:val="8CDA25C0"/>
    <w:lvl w:ilvl="0" w:tplc="E52AF8EE">
      <w:start w:val="10"/>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7E74831"/>
    <w:multiLevelType w:val="hybridMultilevel"/>
    <w:tmpl w:val="CEBCA5E4"/>
    <w:lvl w:ilvl="0" w:tplc="3700866E">
      <w:start w:val="20"/>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6A5340D9"/>
    <w:multiLevelType w:val="hybridMultilevel"/>
    <w:tmpl w:val="E85E0892"/>
    <w:lvl w:ilvl="0" w:tplc="6038C172">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A985C51"/>
    <w:multiLevelType w:val="hybridMultilevel"/>
    <w:tmpl w:val="EC7850BE"/>
    <w:lvl w:ilvl="0" w:tplc="14E63F46">
      <w:start w:val="2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CD13640"/>
    <w:multiLevelType w:val="hybridMultilevel"/>
    <w:tmpl w:val="C7ACBE22"/>
    <w:lvl w:ilvl="0" w:tplc="77E04656">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2"/>
  </w:num>
  <w:num w:numId="3">
    <w:abstractNumId w:val="8"/>
  </w:num>
  <w:num w:numId="4">
    <w:abstractNumId w:val="0"/>
  </w:num>
  <w:num w:numId="5">
    <w:abstractNumId w:val="14"/>
  </w:num>
  <w:num w:numId="6">
    <w:abstractNumId w:val="10"/>
  </w:num>
  <w:num w:numId="7">
    <w:abstractNumId w:val="4"/>
  </w:num>
  <w:num w:numId="8">
    <w:abstractNumId w:val="12"/>
  </w:num>
  <w:num w:numId="9">
    <w:abstractNumId w:val="5"/>
  </w:num>
  <w:num w:numId="10">
    <w:abstractNumId w:val="7"/>
  </w:num>
  <w:num w:numId="11">
    <w:abstractNumId w:val="1"/>
  </w:num>
  <w:num w:numId="12">
    <w:abstractNumId w:val="13"/>
  </w:num>
  <w:num w:numId="13">
    <w:abstractNumId w:val="6"/>
  </w:num>
  <w:num w:numId="14">
    <w:abstractNumId w:val="9"/>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9217"/>
  </w:hdrShapeDefaults>
  <w:footnotePr>
    <w:footnote w:id="-1"/>
    <w:footnote w:id="0"/>
  </w:footnotePr>
  <w:endnotePr>
    <w:endnote w:id="-1"/>
    <w:endnote w:id="0"/>
  </w:endnotePr>
  <w:compat/>
  <w:rsids>
    <w:rsidRoot w:val="003D6AC7"/>
    <w:rsid w:val="0001182D"/>
    <w:rsid w:val="00017949"/>
    <w:rsid w:val="00020BBE"/>
    <w:rsid w:val="00025275"/>
    <w:rsid w:val="000259C9"/>
    <w:rsid w:val="00031B77"/>
    <w:rsid w:val="000418CC"/>
    <w:rsid w:val="0004391F"/>
    <w:rsid w:val="000465B0"/>
    <w:rsid w:val="000515A1"/>
    <w:rsid w:val="000524AE"/>
    <w:rsid w:val="00053B4E"/>
    <w:rsid w:val="000547FD"/>
    <w:rsid w:val="0005606E"/>
    <w:rsid w:val="00073E87"/>
    <w:rsid w:val="0007519B"/>
    <w:rsid w:val="0008544A"/>
    <w:rsid w:val="0008594C"/>
    <w:rsid w:val="00095D9D"/>
    <w:rsid w:val="000A37C2"/>
    <w:rsid w:val="000B149F"/>
    <w:rsid w:val="000C334E"/>
    <w:rsid w:val="000C3612"/>
    <w:rsid w:val="000D7324"/>
    <w:rsid w:val="00107D7C"/>
    <w:rsid w:val="001331EE"/>
    <w:rsid w:val="00137989"/>
    <w:rsid w:val="0014145D"/>
    <w:rsid w:val="001416FC"/>
    <w:rsid w:val="00145D37"/>
    <w:rsid w:val="001461F0"/>
    <w:rsid w:val="00146A5F"/>
    <w:rsid w:val="00150F22"/>
    <w:rsid w:val="00153E2F"/>
    <w:rsid w:val="001543A3"/>
    <w:rsid w:val="00172B32"/>
    <w:rsid w:val="00185F62"/>
    <w:rsid w:val="001B4A07"/>
    <w:rsid w:val="001D3AE6"/>
    <w:rsid w:val="001E0C78"/>
    <w:rsid w:val="001F1075"/>
    <w:rsid w:val="001F1B8A"/>
    <w:rsid w:val="001F20F4"/>
    <w:rsid w:val="001F7595"/>
    <w:rsid w:val="0020153F"/>
    <w:rsid w:val="00203F61"/>
    <w:rsid w:val="002136D2"/>
    <w:rsid w:val="00216CE7"/>
    <w:rsid w:val="00232530"/>
    <w:rsid w:val="002377EA"/>
    <w:rsid w:val="00242696"/>
    <w:rsid w:val="00254648"/>
    <w:rsid w:val="002568E1"/>
    <w:rsid w:val="002756FB"/>
    <w:rsid w:val="00275B80"/>
    <w:rsid w:val="00280796"/>
    <w:rsid w:val="00285E69"/>
    <w:rsid w:val="00287685"/>
    <w:rsid w:val="00293B82"/>
    <w:rsid w:val="002A3A21"/>
    <w:rsid w:val="002A58F6"/>
    <w:rsid w:val="002C11AD"/>
    <w:rsid w:val="002E6609"/>
    <w:rsid w:val="002F2B13"/>
    <w:rsid w:val="0031418D"/>
    <w:rsid w:val="00324373"/>
    <w:rsid w:val="00327762"/>
    <w:rsid w:val="00331BD4"/>
    <w:rsid w:val="00337351"/>
    <w:rsid w:val="00341A9D"/>
    <w:rsid w:val="00344D31"/>
    <w:rsid w:val="00356CFD"/>
    <w:rsid w:val="00373581"/>
    <w:rsid w:val="00373623"/>
    <w:rsid w:val="00383C21"/>
    <w:rsid w:val="003849A7"/>
    <w:rsid w:val="003852BF"/>
    <w:rsid w:val="003952FD"/>
    <w:rsid w:val="00395A1E"/>
    <w:rsid w:val="003A20B5"/>
    <w:rsid w:val="003A3268"/>
    <w:rsid w:val="003A3964"/>
    <w:rsid w:val="003A4D65"/>
    <w:rsid w:val="003A61A0"/>
    <w:rsid w:val="003B20A1"/>
    <w:rsid w:val="003C0830"/>
    <w:rsid w:val="003C2E60"/>
    <w:rsid w:val="003C694E"/>
    <w:rsid w:val="003D4169"/>
    <w:rsid w:val="003D6AC7"/>
    <w:rsid w:val="003D762A"/>
    <w:rsid w:val="003E0DA0"/>
    <w:rsid w:val="004125C7"/>
    <w:rsid w:val="0042138B"/>
    <w:rsid w:val="004260B4"/>
    <w:rsid w:val="00433334"/>
    <w:rsid w:val="00434AD5"/>
    <w:rsid w:val="00440004"/>
    <w:rsid w:val="004450FA"/>
    <w:rsid w:val="004471A5"/>
    <w:rsid w:val="004564EC"/>
    <w:rsid w:val="00460037"/>
    <w:rsid w:val="00464136"/>
    <w:rsid w:val="00493DA6"/>
    <w:rsid w:val="004A1668"/>
    <w:rsid w:val="004A4594"/>
    <w:rsid w:val="004A7BFA"/>
    <w:rsid w:val="004B0BAD"/>
    <w:rsid w:val="004B557A"/>
    <w:rsid w:val="004C4B58"/>
    <w:rsid w:val="004C7BE0"/>
    <w:rsid w:val="004D3462"/>
    <w:rsid w:val="004E1B64"/>
    <w:rsid w:val="004F0A30"/>
    <w:rsid w:val="00502C3E"/>
    <w:rsid w:val="005055BB"/>
    <w:rsid w:val="00507FE6"/>
    <w:rsid w:val="00516CB4"/>
    <w:rsid w:val="00521AB4"/>
    <w:rsid w:val="00522382"/>
    <w:rsid w:val="0052781F"/>
    <w:rsid w:val="0054609B"/>
    <w:rsid w:val="0055624B"/>
    <w:rsid w:val="005576B0"/>
    <w:rsid w:val="0056392B"/>
    <w:rsid w:val="00571733"/>
    <w:rsid w:val="00573476"/>
    <w:rsid w:val="00577715"/>
    <w:rsid w:val="005A0C6D"/>
    <w:rsid w:val="005A4EE3"/>
    <w:rsid w:val="005B3D07"/>
    <w:rsid w:val="005B3FC5"/>
    <w:rsid w:val="005D67AE"/>
    <w:rsid w:val="005E2927"/>
    <w:rsid w:val="0060621C"/>
    <w:rsid w:val="00610547"/>
    <w:rsid w:val="006131DA"/>
    <w:rsid w:val="006149F0"/>
    <w:rsid w:val="00620F76"/>
    <w:rsid w:val="00623224"/>
    <w:rsid w:val="00636EB8"/>
    <w:rsid w:val="0064086A"/>
    <w:rsid w:val="006500C4"/>
    <w:rsid w:val="00650CDC"/>
    <w:rsid w:val="0065565D"/>
    <w:rsid w:val="006566A0"/>
    <w:rsid w:val="00672484"/>
    <w:rsid w:val="0067789F"/>
    <w:rsid w:val="0068343A"/>
    <w:rsid w:val="006843BD"/>
    <w:rsid w:val="00697FF7"/>
    <w:rsid w:val="006A632A"/>
    <w:rsid w:val="006A71A2"/>
    <w:rsid w:val="006B1559"/>
    <w:rsid w:val="006B3254"/>
    <w:rsid w:val="006C7F6A"/>
    <w:rsid w:val="006D2D65"/>
    <w:rsid w:val="006E13D0"/>
    <w:rsid w:val="006E779D"/>
    <w:rsid w:val="006F1DCB"/>
    <w:rsid w:val="00702AB6"/>
    <w:rsid w:val="00706184"/>
    <w:rsid w:val="00707A8B"/>
    <w:rsid w:val="00721823"/>
    <w:rsid w:val="00732FCC"/>
    <w:rsid w:val="00735761"/>
    <w:rsid w:val="007377B9"/>
    <w:rsid w:val="00755D39"/>
    <w:rsid w:val="007738C7"/>
    <w:rsid w:val="00777C04"/>
    <w:rsid w:val="00785351"/>
    <w:rsid w:val="00790DA5"/>
    <w:rsid w:val="00795975"/>
    <w:rsid w:val="007A096E"/>
    <w:rsid w:val="007A2FA1"/>
    <w:rsid w:val="007B41B9"/>
    <w:rsid w:val="007C2054"/>
    <w:rsid w:val="007D02A9"/>
    <w:rsid w:val="007F147B"/>
    <w:rsid w:val="007F1733"/>
    <w:rsid w:val="0082107E"/>
    <w:rsid w:val="0082225B"/>
    <w:rsid w:val="008330BC"/>
    <w:rsid w:val="008350E3"/>
    <w:rsid w:val="00837337"/>
    <w:rsid w:val="00837753"/>
    <w:rsid w:val="00844ED3"/>
    <w:rsid w:val="0085240E"/>
    <w:rsid w:val="0087160C"/>
    <w:rsid w:val="00873120"/>
    <w:rsid w:val="00873B00"/>
    <w:rsid w:val="00873B04"/>
    <w:rsid w:val="00882CBE"/>
    <w:rsid w:val="00886FCA"/>
    <w:rsid w:val="00893BC5"/>
    <w:rsid w:val="00895824"/>
    <w:rsid w:val="008A03B1"/>
    <w:rsid w:val="008A535C"/>
    <w:rsid w:val="008B6B3A"/>
    <w:rsid w:val="008C04AA"/>
    <w:rsid w:val="008C16E3"/>
    <w:rsid w:val="008D63C5"/>
    <w:rsid w:val="008E0311"/>
    <w:rsid w:val="008E7FB2"/>
    <w:rsid w:val="008F7CA6"/>
    <w:rsid w:val="00902952"/>
    <w:rsid w:val="00903A48"/>
    <w:rsid w:val="0090712C"/>
    <w:rsid w:val="009273C5"/>
    <w:rsid w:val="00936458"/>
    <w:rsid w:val="00961F1E"/>
    <w:rsid w:val="00964C49"/>
    <w:rsid w:val="009738F6"/>
    <w:rsid w:val="00990411"/>
    <w:rsid w:val="0099208B"/>
    <w:rsid w:val="0099222F"/>
    <w:rsid w:val="00993D81"/>
    <w:rsid w:val="00995AF9"/>
    <w:rsid w:val="009A29D3"/>
    <w:rsid w:val="009A3931"/>
    <w:rsid w:val="009A541D"/>
    <w:rsid w:val="009A64C7"/>
    <w:rsid w:val="009A73C5"/>
    <w:rsid w:val="009A7B34"/>
    <w:rsid w:val="009A7E7E"/>
    <w:rsid w:val="009C1164"/>
    <w:rsid w:val="009C4C89"/>
    <w:rsid w:val="009D47BA"/>
    <w:rsid w:val="009D4F05"/>
    <w:rsid w:val="009D7510"/>
    <w:rsid w:val="009F71CA"/>
    <w:rsid w:val="00A00BDD"/>
    <w:rsid w:val="00A027E8"/>
    <w:rsid w:val="00A04EDD"/>
    <w:rsid w:val="00A1044A"/>
    <w:rsid w:val="00A11DB3"/>
    <w:rsid w:val="00A124B3"/>
    <w:rsid w:val="00A15A2E"/>
    <w:rsid w:val="00A1785C"/>
    <w:rsid w:val="00A17FEF"/>
    <w:rsid w:val="00A25231"/>
    <w:rsid w:val="00A40BE9"/>
    <w:rsid w:val="00A4302D"/>
    <w:rsid w:val="00A635ED"/>
    <w:rsid w:val="00A73229"/>
    <w:rsid w:val="00A80E1C"/>
    <w:rsid w:val="00A844C9"/>
    <w:rsid w:val="00A90640"/>
    <w:rsid w:val="00A97F64"/>
    <w:rsid w:val="00AB5B50"/>
    <w:rsid w:val="00AB6B7E"/>
    <w:rsid w:val="00AB6FA4"/>
    <w:rsid w:val="00AC01EA"/>
    <w:rsid w:val="00AC45AD"/>
    <w:rsid w:val="00AE2FBF"/>
    <w:rsid w:val="00AE6128"/>
    <w:rsid w:val="00AE6D06"/>
    <w:rsid w:val="00AF0F80"/>
    <w:rsid w:val="00AF5C6D"/>
    <w:rsid w:val="00AF6136"/>
    <w:rsid w:val="00B02D3D"/>
    <w:rsid w:val="00B07A3E"/>
    <w:rsid w:val="00B13C96"/>
    <w:rsid w:val="00B143A1"/>
    <w:rsid w:val="00B166A8"/>
    <w:rsid w:val="00B20753"/>
    <w:rsid w:val="00B2105B"/>
    <w:rsid w:val="00B26582"/>
    <w:rsid w:val="00B421CD"/>
    <w:rsid w:val="00B52458"/>
    <w:rsid w:val="00B52529"/>
    <w:rsid w:val="00B551E7"/>
    <w:rsid w:val="00B57842"/>
    <w:rsid w:val="00B73F9A"/>
    <w:rsid w:val="00B823E9"/>
    <w:rsid w:val="00B85C0E"/>
    <w:rsid w:val="00B93E3F"/>
    <w:rsid w:val="00B958F1"/>
    <w:rsid w:val="00BA5999"/>
    <w:rsid w:val="00BA653B"/>
    <w:rsid w:val="00BB0749"/>
    <w:rsid w:val="00BC2D9E"/>
    <w:rsid w:val="00BC7C7A"/>
    <w:rsid w:val="00BD118B"/>
    <w:rsid w:val="00BD11E8"/>
    <w:rsid w:val="00BF4F82"/>
    <w:rsid w:val="00BF6369"/>
    <w:rsid w:val="00BF6E0E"/>
    <w:rsid w:val="00C055CC"/>
    <w:rsid w:val="00C062B9"/>
    <w:rsid w:val="00C075D0"/>
    <w:rsid w:val="00C10A48"/>
    <w:rsid w:val="00C2235F"/>
    <w:rsid w:val="00C2307C"/>
    <w:rsid w:val="00C300FD"/>
    <w:rsid w:val="00C3078C"/>
    <w:rsid w:val="00C36E5C"/>
    <w:rsid w:val="00C3750D"/>
    <w:rsid w:val="00C37FD2"/>
    <w:rsid w:val="00C45C55"/>
    <w:rsid w:val="00C509B1"/>
    <w:rsid w:val="00C537C9"/>
    <w:rsid w:val="00C56CE5"/>
    <w:rsid w:val="00C60D43"/>
    <w:rsid w:val="00C61032"/>
    <w:rsid w:val="00C67A66"/>
    <w:rsid w:val="00C7035B"/>
    <w:rsid w:val="00C76985"/>
    <w:rsid w:val="00C91EE6"/>
    <w:rsid w:val="00C93BEE"/>
    <w:rsid w:val="00CB1694"/>
    <w:rsid w:val="00CB2FF9"/>
    <w:rsid w:val="00CB5294"/>
    <w:rsid w:val="00CB6C81"/>
    <w:rsid w:val="00CC0C2F"/>
    <w:rsid w:val="00CC244C"/>
    <w:rsid w:val="00CF7DB7"/>
    <w:rsid w:val="00D060F6"/>
    <w:rsid w:val="00D13402"/>
    <w:rsid w:val="00D30F44"/>
    <w:rsid w:val="00D33ACE"/>
    <w:rsid w:val="00D34EAF"/>
    <w:rsid w:val="00D3575D"/>
    <w:rsid w:val="00D43795"/>
    <w:rsid w:val="00D45376"/>
    <w:rsid w:val="00D47284"/>
    <w:rsid w:val="00D4766F"/>
    <w:rsid w:val="00D5389A"/>
    <w:rsid w:val="00D57CDE"/>
    <w:rsid w:val="00D57EB1"/>
    <w:rsid w:val="00D67DA1"/>
    <w:rsid w:val="00D73416"/>
    <w:rsid w:val="00D7430E"/>
    <w:rsid w:val="00D75911"/>
    <w:rsid w:val="00D80701"/>
    <w:rsid w:val="00DA4A46"/>
    <w:rsid w:val="00DB0D63"/>
    <w:rsid w:val="00DB2A46"/>
    <w:rsid w:val="00DB6CF2"/>
    <w:rsid w:val="00DC01FD"/>
    <w:rsid w:val="00DC2D8E"/>
    <w:rsid w:val="00DC4189"/>
    <w:rsid w:val="00DF1238"/>
    <w:rsid w:val="00DF2C8B"/>
    <w:rsid w:val="00DF4CB7"/>
    <w:rsid w:val="00DF54AD"/>
    <w:rsid w:val="00E005FB"/>
    <w:rsid w:val="00E0391C"/>
    <w:rsid w:val="00E047CF"/>
    <w:rsid w:val="00E06974"/>
    <w:rsid w:val="00E14BC4"/>
    <w:rsid w:val="00E20493"/>
    <w:rsid w:val="00E21BB8"/>
    <w:rsid w:val="00E37D52"/>
    <w:rsid w:val="00E447D8"/>
    <w:rsid w:val="00E610EF"/>
    <w:rsid w:val="00E74385"/>
    <w:rsid w:val="00E93017"/>
    <w:rsid w:val="00EA1F2B"/>
    <w:rsid w:val="00EC0E3E"/>
    <w:rsid w:val="00EC21EA"/>
    <w:rsid w:val="00EC6159"/>
    <w:rsid w:val="00EC685C"/>
    <w:rsid w:val="00ED08FE"/>
    <w:rsid w:val="00ED49FA"/>
    <w:rsid w:val="00EE3212"/>
    <w:rsid w:val="00EE55DE"/>
    <w:rsid w:val="00EF04D2"/>
    <w:rsid w:val="00EF7206"/>
    <w:rsid w:val="00EF7C46"/>
    <w:rsid w:val="00F01CDD"/>
    <w:rsid w:val="00F24FC7"/>
    <w:rsid w:val="00F32C19"/>
    <w:rsid w:val="00F45FCE"/>
    <w:rsid w:val="00F47601"/>
    <w:rsid w:val="00F60916"/>
    <w:rsid w:val="00F6537B"/>
    <w:rsid w:val="00F74AAF"/>
    <w:rsid w:val="00FA00B2"/>
    <w:rsid w:val="00FA0A1C"/>
    <w:rsid w:val="00FA34B5"/>
    <w:rsid w:val="00FB3734"/>
    <w:rsid w:val="00FC39E0"/>
    <w:rsid w:val="00FC5E91"/>
    <w:rsid w:val="00FC69D8"/>
    <w:rsid w:val="00FD3C39"/>
    <w:rsid w:val="00FD4FA3"/>
    <w:rsid w:val="00FD555D"/>
    <w:rsid w:val="00FD60C6"/>
    <w:rsid w:val="00FE333F"/>
    <w:rsid w:val="00FE49AD"/>
    <w:rsid w:val="00FE5947"/>
    <w:rsid w:val="00FE7751"/>
    <w:rsid w:val="00FF2A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C7"/>
    <w:pPr>
      <w:widowControl w:val="0"/>
      <w:autoSpaceDE w:val="0"/>
      <w:autoSpaceDN w:val="0"/>
      <w:adjustRightInd w:val="0"/>
    </w:pPr>
    <w:rPr>
      <w:rFonts w:ascii="Arial" w:eastAsia="Times New Roman" w:hAnsi="Arial"/>
      <w:szCs w:val="24"/>
    </w:rPr>
  </w:style>
  <w:style w:type="paragraph" w:styleId="Heading1">
    <w:name w:val="heading 1"/>
    <w:basedOn w:val="Normal"/>
    <w:next w:val="Normal"/>
    <w:link w:val="Heading1Char"/>
    <w:uiPriority w:val="9"/>
    <w:qFormat/>
    <w:rsid w:val="004B0BA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3D6AC7"/>
    <w:pPr>
      <w:keepNext/>
      <w:outlineLvl w:val="1"/>
    </w:pPr>
  </w:style>
  <w:style w:type="paragraph" w:styleId="Heading3">
    <w:name w:val="heading 3"/>
    <w:basedOn w:val="Normal"/>
    <w:next w:val="Normal"/>
    <w:link w:val="Heading3Char"/>
    <w:qFormat/>
    <w:rsid w:val="003D6AC7"/>
    <w:pPr>
      <w:keepNext/>
      <w:tabs>
        <w:tab w:val="left" w:pos="720"/>
        <w:tab w:val="left" w:pos="3600"/>
        <w:tab w:val="left" w:pos="3690"/>
        <w:tab w:val="center" w:pos="4680"/>
        <w:tab w:val="left" w:pos="5760"/>
      </w:tabs>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D6AC7"/>
    <w:rPr>
      <w:rFonts w:ascii="Arial" w:eastAsia="Times New Roman" w:hAnsi="Arial" w:cs="Times New Roman"/>
      <w:sz w:val="20"/>
    </w:rPr>
  </w:style>
  <w:style w:type="character" w:customStyle="1" w:styleId="Heading3Char">
    <w:name w:val="Heading 3 Char"/>
    <w:basedOn w:val="DefaultParagraphFont"/>
    <w:link w:val="Heading3"/>
    <w:rsid w:val="003D6AC7"/>
    <w:rPr>
      <w:rFonts w:ascii="Arial" w:eastAsia="Times New Roman" w:hAnsi="Arial" w:cs="Times New Roman"/>
      <w:sz w:val="28"/>
      <w:szCs w:val="28"/>
    </w:rPr>
  </w:style>
  <w:style w:type="paragraph" w:styleId="Footer">
    <w:name w:val="footer"/>
    <w:basedOn w:val="Normal"/>
    <w:link w:val="FooterChar"/>
    <w:unhideWhenUsed/>
    <w:rsid w:val="003D6AC7"/>
    <w:pPr>
      <w:tabs>
        <w:tab w:val="center" w:pos="4680"/>
        <w:tab w:val="right" w:pos="9360"/>
      </w:tabs>
    </w:pPr>
  </w:style>
  <w:style w:type="character" w:customStyle="1" w:styleId="FooterChar">
    <w:name w:val="Footer Char"/>
    <w:basedOn w:val="DefaultParagraphFont"/>
    <w:link w:val="Footer"/>
    <w:uiPriority w:val="99"/>
    <w:rsid w:val="003D6AC7"/>
    <w:rPr>
      <w:rFonts w:ascii="Arial" w:eastAsia="Times New Roman" w:hAnsi="Arial" w:cs="Times New Roman"/>
      <w:sz w:val="20"/>
    </w:rPr>
  </w:style>
  <w:style w:type="paragraph" w:customStyle="1" w:styleId="OrderBody">
    <w:name w:val="Order Body"/>
    <w:basedOn w:val="Normal"/>
    <w:link w:val="OrderBodyChar"/>
    <w:rsid w:val="00AF6136"/>
    <w:pPr>
      <w:widowControl/>
      <w:autoSpaceDE/>
      <w:autoSpaceDN/>
      <w:adjustRightInd/>
      <w:jc w:val="both"/>
    </w:pPr>
    <w:rPr>
      <w:rFonts w:ascii="Times New Roman" w:hAnsi="Times New Roman"/>
      <w:sz w:val="24"/>
    </w:rPr>
  </w:style>
  <w:style w:type="character" w:customStyle="1" w:styleId="OrderBodyChar">
    <w:name w:val="Order Body Char"/>
    <w:basedOn w:val="DefaultParagraphFont"/>
    <w:link w:val="OrderBody"/>
    <w:rsid w:val="00AF6136"/>
    <w:rPr>
      <w:rFonts w:eastAsia="Times New Roman"/>
      <w:sz w:val="24"/>
      <w:szCs w:val="24"/>
    </w:rPr>
  </w:style>
  <w:style w:type="character" w:styleId="PageNumber">
    <w:name w:val="page number"/>
    <w:basedOn w:val="DefaultParagraphFont"/>
    <w:rsid w:val="00755D39"/>
  </w:style>
  <w:style w:type="paragraph" w:styleId="Header">
    <w:name w:val="header"/>
    <w:basedOn w:val="Normal"/>
    <w:link w:val="HeaderChar"/>
    <w:unhideWhenUsed/>
    <w:rsid w:val="00FC39E0"/>
    <w:pPr>
      <w:tabs>
        <w:tab w:val="center" w:pos="4680"/>
        <w:tab w:val="right" w:pos="9360"/>
      </w:tabs>
    </w:pPr>
  </w:style>
  <w:style w:type="character" w:customStyle="1" w:styleId="HeaderChar">
    <w:name w:val="Header Char"/>
    <w:basedOn w:val="DefaultParagraphFont"/>
    <w:link w:val="Header"/>
    <w:uiPriority w:val="99"/>
    <w:semiHidden/>
    <w:rsid w:val="00FC39E0"/>
    <w:rPr>
      <w:rFonts w:ascii="Arial" w:eastAsia="Times New Roman" w:hAnsi="Arial"/>
      <w:szCs w:val="24"/>
    </w:rPr>
  </w:style>
  <w:style w:type="paragraph" w:styleId="BodyTextIndent2">
    <w:name w:val="Body Text Indent 2"/>
    <w:basedOn w:val="Normal"/>
    <w:link w:val="BodyTextIndent2Char"/>
    <w:rsid w:val="00B52458"/>
    <w:pPr>
      <w:spacing w:line="360" w:lineRule="auto"/>
      <w:ind w:left="720"/>
      <w:jc w:val="both"/>
    </w:pPr>
    <w:rPr>
      <w:rFonts w:ascii="Times New Roman" w:hAnsi="Times New Roman"/>
      <w:sz w:val="24"/>
    </w:rPr>
  </w:style>
  <w:style w:type="character" w:customStyle="1" w:styleId="BodyTextIndent2Char">
    <w:name w:val="Body Text Indent 2 Char"/>
    <w:basedOn w:val="DefaultParagraphFont"/>
    <w:link w:val="BodyTextIndent2"/>
    <w:rsid w:val="00B52458"/>
    <w:rPr>
      <w:rFonts w:eastAsia="Times New Roman"/>
      <w:sz w:val="24"/>
      <w:szCs w:val="24"/>
    </w:rPr>
  </w:style>
  <w:style w:type="paragraph" w:styleId="ListParagraph">
    <w:name w:val="List Paragraph"/>
    <w:basedOn w:val="Normal"/>
    <w:qFormat/>
    <w:rsid w:val="004B0BAD"/>
    <w:pPr>
      <w:widowControl/>
      <w:autoSpaceDE/>
      <w:autoSpaceDN/>
      <w:adjustRightInd/>
      <w:ind w:left="720"/>
    </w:pPr>
    <w:rPr>
      <w:rFonts w:ascii="Times New Roman" w:hAnsi="Times New Roman"/>
      <w:sz w:val="24"/>
    </w:rPr>
  </w:style>
  <w:style w:type="paragraph" w:styleId="BodyText">
    <w:name w:val="Body Text"/>
    <w:aliases w:val="s1"/>
    <w:basedOn w:val="Normal"/>
    <w:link w:val="BodyTextChar"/>
    <w:unhideWhenUsed/>
    <w:rsid w:val="004B0BAD"/>
    <w:pPr>
      <w:spacing w:after="120"/>
    </w:pPr>
  </w:style>
  <w:style w:type="character" w:customStyle="1" w:styleId="BodyTextChar">
    <w:name w:val="Body Text Char"/>
    <w:aliases w:val="s1 Char"/>
    <w:basedOn w:val="DefaultParagraphFont"/>
    <w:link w:val="BodyText"/>
    <w:rsid w:val="004B0BAD"/>
    <w:rPr>
      <w:rFonts w:ascii="Arial" w:eastAsia="Times New Roman" w:hAnsi="Arial"/>
      <w:szCs w:val="24"/>
    </w:rPr>
  </w:style>
  <w:style w:type="paragraph" w:customStyle="1" w:styleId="IssueHeading">
    <w:name w:val="Issue Heading"/>
    <w:basedOn w:val="Heading1"/>
    <w:next w:val="BodyText"/>
    <w:link w:val="IssueHeadingChar"/>
    <w:rsid w:val="004B0BAD"/>
    <w:pPr>
      <w:keepNext w:val="0"/>
      <w:widowControl/>
      <w:autoSpaceDE/>
      <w:autoSpaceDN/>
      <w:adjustRightInd/>
      <w:spacing w:before="0" w:after="240"/>
      <w:jc w:val="both"/>
    </w:pPr>
    <w:rPr>
      <w:rFonts w:ascii="Times New Roman" w:hAnsi="Times New Roman" w:cs="Arial"/>
      <w:b w:val="0"/>
      <w:sz w:val="24"/>
    </w:rPr>
  </w:style>
  <w:style w:type="character" w:customStyle="1" w:styleId="IssueHeadingChar">
    <w:name w:val="Issue Heading Char"/>
    <w:basedOn w:val="DefaultParagraphFont"/>
    <w:link w:val="IssueHeading"/>
    <w:rsid w:val="004B0BAD"/>
    <w:rPr>
      <w:rFonts w:eastAsia="Times New Roman" w:cs="Arial"/>
      <w:bCs/>
      <w:kern w:val="32"/>
      <w:sz w:val="24"/>
      <w:szCs w:val="32"/>
    </w:rPr>
  </w:style>
  <w:style w:type="character" w:customStyle="1" w:styleId="Heading1Char">
    <w:name w:val="Heading 1 Char"/>
    <w:basedOn w:val="DefaultParagraphFont"/>
    <w:link w:val="Heading1"/>
    <w:uiPriority w:val="9"/>
    <w:rsid w:val="004B0BAD"/>
    <w:rPr>
      <w:rFonts w:ascii="Cambria" w:eastAsia="Times New Roman" w:hAnsi="Cambria" w:cs="Times New Roman"/>
      <w:b/>
      <w:bCs/>
      <w:kern w:val="32"/>
      <w:sz w:val="32"/>
      <w:szCs w:val="32"/>
    </w:rPr>
  </w:style>
  <w:style w:type="paragraph" w:styleId="BalloonText">
    <w:name w:val="Balloon Text"/>
    <w:basedOn w:val="Normal"/>
    <w:link w:val="BalloonTextChar"/>
    <w:semiHidden/>
    <w:unhideWhenUsed/>
    <w:rsid w:val="006A632A"/>
    <w:rPr>
      <w:rFonts w:ascii="Tahoma" w:hAnsi="Tahoma" w:cs="Tahoma"/>
      <w:sz w:val="16"/>
      <w:szCs w:val="16"/>
    </w:rPr>
  </w:style>
  <w:style w:type="character" w:customStyle="1" w:styleId="BalloonTextChar">
    <w:name w:val="Balloon Text Char"/>
    <w:basedOn w:val="DefaultParagraphFont"/>
    <w:link w:val="BalloonText"/>
    <w:uiPriority w:val="99"/>
    <w:semiHidden/>
    <w:rsid w:val="006A632A"/>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D3462"/>
    <w:rPr>
      <w:sz w:val="16"/>
      <w:szCs w:val="16"/>
    </w:rPr>
  </w:style>
  <w:style w:type="paragraph" w:styleId="CommentText">
    <w:name w:val="annotation text"/>
    <w:basedOn w:val="Normal"/>
    <w:link w:val="CommentTextChar"/>
    <w:uiPriority w:val="99"/>
    <w:semiHidden/>
    <w:unhideWhenUsed/>
    <w:rsid w:val="004D3462"/>
    <w:rPr>
      <w:szCs w:val="20"/>
    </w:rPr>
  </w:style>
  <w:style w:type="character" w:customStyle="1" w:styleId="CommentTextChar">
    <w:name w:val="Comment Text Char"/>
    <w:basedOn w:val="DefaultParagraphFont"/>
    <w:link w:val="CommentText"/>
    <w:uiPriority w:val="99"/>
    <w:semiHidden/>
    <w:rsid w:val="004D3462"/>
    <w:rPr>
      <w:rFonts w:ascii="Arial" w:eastAsia="Times New Roman" w:hAnsi="Arial"/>
    </w:rPr>
  </w:style>
  <w:style w:type="paragraph" w:styleId="FootnoteText">
    <w:name w:val="footnote text"/>
    <w:basedOn w:val="Normal"/>
    <w:link w:val="FootnoteTextChar"/>
    <w:uiPriority w:val="99"/>
    <w:semiHidden/>
    <w:unhideWhenUsed/>
    <w:rsid w:val="004D3462"/>
    <w:rPr>
      <w:szCs w:val="20"/>
    </w:rPr>
  </w:style>
  <w:style w:type="character" w:customStyle="1" w:styleId="FootnoteTextChar">
    <w:name w:val="Footnote Text Char"/>
    <w:basedOn w:val="DefaultParagraphFont"/>
    <w:link w:val="FootnoteText"/>
    <w:uiPriority w:val="99"/>
    <w:semiHidden/>
    <w:rsid w:val="004D3462"/>
    <w:rPr>
      <w:rFonts w:ascii="Arial" w:eastAsia="Times New Roman" w:hAnsi="Arial"/>
    </w:rPr>
  </w:style>
  <w:style w:type="character" w:styleId="FootnoteReference">
    <w:name w:val="footnote reference"/>
    <w:basedOn w:val="DefaultParagraphFont"/>
    <w:unhideWhenUsed/>
    <w:rsid w:val="004D3462"/>
    <w:rPr>
      <w:vertAlign w:val="superscript"/>
    </w:rPr>
  </w:style>
  <w:style w:type="table" w:styleId="TableGrid">
    <w:name w:val="Table Grid"/>
    <w:basedOn w:val="TableNormal"/>
    <w:uiPriority w:val="59"/>
    <w:rsid w:val="00D80701"/>
    <w:pPr>
      <w:widowControl w:val="0"/>
      <w:autoSpaceDE w:val="0"/>
      <w:autoSpaceDN w:val="0"/>
      <w:adjustRightInd w:val="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
    <w:name w:val="Title1"/>
    <w:basedOn w:val="Normal"/>
    <w:link w:val="TITLEChar"/>
    <w:qFormat/>
    <w:rsid w:val="00275B80"/>
    <w:pPr>
      <w:widowControl/>
      <w:autoSpaceDE/>
      <w:autoSpaceDN/>
      <w:adjustRightInd/>
      <w:spacing w:after="200"/>
      <w:contextualSpacing/>
      <w:jc w:val="center"/>
      <w:outlineLvl w:val="0"/>
    </w:pPr>
    <w:rPr>
      <w:rFonts w:ascii="Times New Roman" w:eastAsia="Calibri" w:hAnsi="Times New Roman"/>
      <w:bCs/>
      <w:sz w:val="24"/>
    </w:rPr>
  </w:style>
  <w:style w:type="character" w:customStyle="1" w:styleId="TITLEChar">
    <w:name w:val="TITLE Char"/>
    <w:basedOn w:val="DefaultParagraphFont"/>
    <w:link w:val="Title1"/>
    <w:rsid w:val="00275B80"/>
    <w:rPr>
      <w:bCs/>
      <w:sz w:val="24"/>
      <w:szCs w:val="24"/>
    </w:rPr>
  </w:style>
  <w:style w:type="paragraph" w:styleId="CommentSubject">
    <w:name w:val="annotation subject"/>
    <w:basedOn w:val="CommentText"/>
    <w:next w:val="CommentText"/>
    <w:link w:val="CommentSubjectChar"/>
    <w:uiPriority w:val="99"/>
    <w:semiHidden/>
    <w:unhideWhenUsed/>
    <w:rsid w:val="00522382"/>
    <w:rPr>
      <w:b/>
      <w:bCs/>
    </w:rPr>
  </w:style>
  <w:style w:type="character" w:customStyle="1" w:styleId="CommentSubjectChar">
    <w:name w:val="Comment Subject Char"/>
    <w:basedOn w:val="CommentTextChar"/>
    <w:link w:val="CommentSubject"/>
    <w:uiPriority w:val="99"/>
    <w:semiHidden/>
    <w:rsid w:val="00522382"/>
    <w:rPr>
      <w:b/>
      <w:bCs/>
    </w:rPr>
  </w:style>
</w:styles>
</file>

<file path=word/webSettings.xml><?xml version="1.0" encoding="utf-8"?>
<w:webSettings xmlns:r="http://schemas.openxmlformats.org/officeDocument/2006/relationships" xmlns:w="http://schemas.openxmlformats.org/wordprocessingml/2006/main">
  <w:divs>
    <w:div w:id="6562692">
      <w:bodyDiv w:val="1"/>
      <w:marLeft w:val="0"/>
      <w:marRight w:val="0"/>
      <w:marTop w:val="0"/>
      <w:marBottom w:val="0"/>
      <w:divBdr>
        <w:top w:val="none" w:sz="0" w:space="0" w:color="auto"/>
        <w:left w:val="none" w:sz="0" w:space="0" w:color="auto"/>
        <w:bottom w:val="none" w:sz="0" w:space="0" w:color="auto"/>
        <w:right w:val="none" w:sz="0" w:space="0" w:color="auto"/>
      </w:divBdr>
    </w:div>
    <w:div w:id="38017031">
      <w:bodyDiv w:val="1"/>
      <w:marLeft w:val="0"/>
      <w:marRight w:val="0"/>
      <w:marTop w:val="0"/>
      <w:marBottom w:val="0"/>
      <w:divBdr>
        <w:top w:val="none" w:sz="0" w:space="0" w:color="auto"/>
        <w:left w:val="none" w:sz="0" w:space="0" w:color="auto"/>
        <w:bottom w:val="none" w:sz="0" w:space="0" w:color="auto"/>
        <w:right w:val="none" w:sz="0" w:space="0" w:color="auto"/>
      </w:divBdr>
    </w:div>
    <w:div w:id="100608558">
      <w:bodyDiv w:val="1"/>
      <w:marLeft w:val="0"/>
      <w:marRight w:val="0"/>
      <w:marTop w:val="0"/>
      <w:marBottom w:val="0"/>
      <w:divBdr>
        <w:top w:val="none" w:sz="0" w:space="0" w:color="auto"/>
        <w:left w:val="none" w:sz="0" w:space="0" w:color="auto"/>
        <w:bottom w:val="none" w:sz="0" w:space="0" w:color="auto"/>
        <w:right w:val="none" w:sz="0" w:space="0" w:color="auto"/>
      </w:divBdr>
    </w:div>
    <w:div w:id="564875163">
      <w:bodyDiv w:val="1"/>
      <w:marLeft w:val="0"/>
      <w:marRight w:val="0"/>
      <w:marTop w:val="0"/>
      <w:marBottom w:val="0"/>
      <w:divBdr>
        <w:top w:val="none" w:sz="0" w:space="0" w:color="auto"/>
        <w:left w:val="none" w:sz="0" w:space="0" w:color="auto"/>
        <w:bottom w:val="none" w:sz="0" w:space="0" w:color="auto"/>
        <w:right w:val="none" w:sz="0" w:space="0" w:color="auto"/>
      </w:divBdr>
    </w:div>
    <w:div w:id="662781574">
      <w:bodyDiv w:val="1"/>
      <w:marLeft w:val="0"/>
      <w:marRight w:val="0"/>
      <w:marTop w:val="0"/>
      <w:marBottom w:val="0"/>
      <w:divBdr>
        <w:top w:val="none" w:sz="0" w:space="0" w:color="auto"/>
        <w:left w:val="none" w:sz="0" w:space="0" w:color="auto"/>
        <w:bottom w:val="none" w:sz="0" w:space="0" w:color="auto"/>
        <w:right w:val="none" w:sz="0" w:space="0" w:color="auto"/>
      </w:divBdr>
    </w:div>
    <w:div w:id="898710084">
      <w:bodyDiv w:val="1"/>
      <w:marLeft w:val="0"/>
      <w:marRight w:val="0"/>
      <w:marTop w:val="0"/>
      <w:marBottom w:val="0"/>
      <w:divBdr>
        <w:top w:val="none" w:sz="0" w:space="0" w:color="auto"/>
        <w:left w:val="none" w:sz="0" w:space="0" w:color="auto"/>
        <w:bottom w:val="none" w:sz="0" w:space="0" w:color="auto"/>
        <w:right w:val="none" w:sz="0" w:space="0" w:color="auto"/>
      </w:divBdr>
    </w:div>
    <w:div w:id="1014502446">
      <w:bodyDiv w:val="1"/>
      <w:marLeft w:val="0"/>
      <w:marRight w:val="0"/>
      <w:marTop w:val="0"/>
      <w:marBottom w:val="0"/>
      <w:divBdr>
        <w:top w:val="none" w:sz="0" w:space="0" w:color="auto"/>
        <w:left w:val="none" w:sz="0" w:space="0" w:color="auto"/>
        <w:bottom w:val="none" w:sz="0" w:space="0" w:color="auto"/>
        <w:right w:val="none" w:sz="0" w:space="0" w:color="auto"/>
      </w:divBdr>
    </w:div>
    <w:div w:id="1030885778">
      <w:bodyDiv w:val="1"/>
      <w:marLeft w:val="0"/>
      <w:marRight w:val="0"/>
      <w:marTop w:val="0"/>
      <w:marBottom w:val="0"/>
      <w:divBdr>
        <w:top w:val="none" w:sz="0" w:space="0" w:color="auto"/>
        <w:left w:val="none" w:sz="0" w:space="0" w:color="auto"/>
        <w:bottom w:val="none" w:sz="0" w:space="0" w:color="auto"/>
        <w:right w:val="none" w:sz="0" w:space="0" w:color="auto"/>
      </w:divBdr>
    </w:div>
    <w:div w:id="1138061917">
      <w:bodyDiv w:val="1"/>
      <w:marLeft w:val="0"/>
      <w:marRight w:val="0"/>
      <w:marTop w:val="0"/>
      <w:marBottom w:val="0"/>
      <w:divBdr>
        <w:top w:val="none" w:sz="0" w:space="0" w:color="auto"/>
        <w:left w:val="none" w:sz="0" w:space="0" w:color="auto"/>
        <w:bottom w:val="none" w:sz="0" w:space="0" w:color="auto"/>
        <w:right w:val="none" w:sz="0" w:space="0" w:color="auto"/>
      </w:divBdr>
    </w:div>
    <w:div w:id="1172767812">
      <w:bodyDiv w:val="1"/>
      <w:marLeft w:val="0"/>
      <w:marRight w:val="0"/>
      <w:marTop w:val="0"/>
      <w:marBottom w:val="0"/>
      <w:divBdr>
        <w:top w:val="none" w:sz="0" w:space="0" w:color="auto"/>
        <w:left w:val="none" w:sz="0" w:space="0" w:color="auto"/>
        <w:bottom w:val="none" w:sz="0" w:space="0" w:color="auto"/>
        <w:right w:val="none" w:sz="0" w:space="0" w:color="auto"/>
      </w:divBdr>
    </w:div>
    <w:div w:id="1223324104">
      <w:bodyDiv w:val="1"/>
      <w:marLeft w:val="0"/>
      <w:marRight w:val="0"/>
      <w:marTop w:val="0"/>
      <w:marBottom w:val="0"/>
      <w:divBdr>
        <w:top w:val="none" w:sz="0" w:space="0" w:color="auto"/>
        <w:left w:val="none" w:sz="0" w:space="0" w:color="auto"/>
        <w:bottom w:val="none" w:sz="0" w:space="0" w:color="auto"/>
        <w:right w:val="none" w:sz="0" w:space="0" w:color="auto"/>
      </w:divBdr>
    </w:div>
    <w:div w:id="1446339717">
      <w:bodyDiv w:val="1"/>
      <w:marLeft w:val="0"/>
      <w:marRight w:val="0"/>
      <w:marTop w:val="0"/>
      <w:marBottom w:val="0"/>
      <w:divBdr>
        <w:top w:val="none" w:sz="0" w:space="0" w:color="auto"/>
        <w:left w:val="none" w:sz="0" w:space="0" w:color="auto"/>
        <w:bottom w:val="none" w:sz="0" w:space="0" w:color="auto"/>
        <w:right w:val="none" w:sz="0" w:space="0" w:color="auto"/>
      </w:divBdr>
    </w:div>
    <w:div w:id="1448887847">
      <w:bodyDiv w:val="1"/>
      <w:marLeft w:val="0"/>
      <w:marRight w:val="0"/>
      <w:marTop w:val="0"/>
      <w:marBottom w:val="0"/>
      <w:divBdr>
        <w:top w:val="none" w:sz="0" w:space="0" w:color="auto"/>
        <w:left w:val="none" w:sz="0" w:space="0" w:color="auto"/>
        <w:bottom w:val="none" w:sz="0" w:space="0" w:color="auto"/>
        <w:right w:val="none" w:sz="0" w:space="0" w:color="auto"/>
      </w:divBdr>
    </w:div>
    <w:div w:id="1483428541">
      <w:bodyDiv w:val="1"/>
      <w:marLeft w:val="0"/>
      <w:marRight w:val="0"/>
      <w:marTop w:val="0"/>
      <w:marBottom w:val="0"/>
      <w:divBdr>
        <w:top w:val="none" w:sz="0" w:space="0" w:color="auto"/>
        <w:left w:val="none" w:sz="0" w:space="0" w:color="auto"/>
        <w:bottom w:val="none" w:sz="0" w:space="0" w:color="auto"/>
        <w:right w:val="none" w:sz="0" w:space="0" w:color="auto"/>
      </w:divBdr>
    </w:div>
    <w:div w:id="1522552073">
      <w:bodyDiv w:val="1"/>
      <w:marLeft w:val="0"/>
      <w:marRight w:val="0"/>
      <w:marTop w:val="0"/>
      <w:marBottom w:val="0"/>
      <w:divBdr>
        <w:top w:val="none" w:sz="0" w:space="0" w:color="auto"/>
        <w:left w:val="none" w:sz="0" w:space="0" w:color="auto"/>
        <w:bottom w:val="none" w:sz="0" w:space="0" w:color="auto"/>
        <w:right w:val="none" w:sz="0" w:space="0" w:color="auto"/>
      </w:divBdr>
    </w:div>
    <w:div w:id="1557660200">
      <w:bodyDiv w:val="1"/>
      <w:marLeft w:val="0"/>
      <w:marRight w:val="0"/>
      <w:marTop w:val="0"/>
      <w:marBottom w:val="0"/>
      <w:divBdr>
        <w:top w:val="none" w:sz="0" w:space="0" w:color="auto"/>
        <w:left w:val="none" w:sz="0" w:space="0" w:color="auto"/>
        <w:bottom w:val="none" w:sz="0" w:space="0" w:color="auto"/>
        <w:right w:val="none" w:sz="0" w:space="0" w:color="auto"/>
      </w:divBdr>
    </w:div>
    <w:div w:id="1660813531">
      <w:bodyDiv w:val="1"/>
      <w:marLeft w:val="0"/>
      <w:marRight w:val="0"/>
      <w:marTop w:val="0"/>
      <w:marBottom w:val="0"/>
      <w:divBdr>
        <w:top w:val="none" w:sz="0" w:space="0" w:color="auto"/>
        <w:left w:val="none" w:sz="0" w:space="0" w:color="auto"/>
        <w:bottom w:val="none" w:sz="0" w:space="0" w:color="auto"/>
        <w:right w:val="none" w:sz="0" w:space="0" w:color="auto"/>
      </w:divBdr>
    </w:div>
    <w:div w:id="1686907003">
      <w:bodyDiv w:val="1"/>
      <w:marLeft w:val="0"/>
      <w:marRight w:val="0"/>
      <w:marTop w:val="0"/>
      <w:marBottom w:val="0"/>
      <w:divBdr>
        <w:top w:val="none" w:sz="0" w:space="0" w:color="auto"/>
        <w:left w:val="none" w:sz="0" w:space="0" w:color="auto"/>
        <w:bottom w:val="none" w:sz="0" w:space="0" w:color="auto"/>
        <w:right w:val="none" w:sz="0" w:space="0" w:color="auto"/>
      </w:divBdr>
    </w:div>
    <w:div w:id="1708524702">
      <w:bodyDiv w:val="1"/>
      <w:marLeft w:val="0"/>
      <w:marRight w:val="0"/>
      <w:marTop w:val="0"/>
      <w:marBottom w:val="0"/>
      <w:divBdr>
        <w:top w:val="none" w:sz="0" w:space="0" w:color="auto"/>
        <w:left w:val="none" w:sz="0" w:space="0" w:color="auto"/>
        <w:bottom w:val="none" w:sz="0" w:space="0" w:color="auto"/>
        <w:right w:val="none" w:sz="0" w:space="0" w:color="auto"/>
      </w:divBdr>
    </w:div>
    <w:div w:id="1810197877">
      <w:bodyDiv w:val="1"/>
      <w:marLeft w:val="0"/>
      <w:marRight w:val="0"/>
      <w:marTop w:val="0"/>
      <w:marBottom w:val="0"/>
      <w:divBdr>
        <w:top w:val="none" w:sz="0" w:space="0" w:color="auto"/>
        <w:left w:val="none" w:sz="0" w:space="0" w:color="auto"/>
        <w:bottom w:val="none" w:sz="0" w:space="0" w:color="auto"/>
        <w:right w:val="none" w:sz="0" w:space="0" w:color="auto"/>
      </w:divBdr>
    </w:div>
    <w:div w:id="1820073474">
      <w:bodyDiv w:val="1"/>
      <w:marLeft w:val="0"/>
      <w:marRight w:val="0"/>
      <w:marTop w:val="0"/>
      <w:marBottom w:val="0"/>
      <w:divBdr>
        <w:top w:val="none" w:sz="0" w:space="0" w:color="auto"/>
        <w:left w:val="none" w:sz="0" w:space="0" w:color="auto"/>
        <w:bottom w:val="none" w:sz="0" w:space="0" w:color="auto"/>
        <w:right w:val="none" w:sz="0" w:space="0" w:color="auto"/>
      </w:divBdr>
    </w:div>
    <w:div w:id="1838350996">
      <w:bodyDiv w:val="1"/>
      <w:marLeft w:val="0"/>
      <w:marRight w:val="0"/>
      <w:marTop w:val="0"/>
      <w:marBottom w:val="0"/>
      <w:divBdr>
        <w:top w:val="none" w:sz="0" w:space="0" w:color="auto"/>
        <w:left w:val="none" w:sz="0" w:space="0" w:color="auto"/>
        <w:bottom w:val="none" w:sz="0" w:space="0" w:color="auto"/>
        <w:right w:val="none" w:sz="0" w:space="0" w:color="auto"/>
      </w:divBdr>
    </w:div>
    <w:div w:id="1962611272">
      <w:bodyDiv w:val="1"/>
      <w:marLeft w:val="0"/>
      <w:marRight w:val="0"/>
      <w:marTop w:val="0"/>
      <w:marBottom w:val="0"/>
      <w:divBdr>
        <w:top w:val="none" w:sz="0" w:space="0" w:color="auto"/>
        <w:left w:val="none" w:sz="0" w:space="0" w:color="auto"/>
        <w:bottom w:val="none" w:sz="0" w:space="0" w:color="auto"/>
        <w:right w:val="none" w:sz="0" w:space="0" w:color="auto"/>
      </w:divBdr>
    </w:div>
    <w:div w:id="1990933798">
      <w:bodyDiv w:val="1"/>
      <w:marLeft w:val="0"/>
      <w:marRight w:val="0"/>
      <w:marTop w:val="0"/>
      <w:marBottom w:val="0"/>
      <w:divBdr>
        <w:top w:val="none" w:sz="0" w:space="0" w:color="auto"/>
        <w:left w:val="none" w:sz="0" w:space="0" w:color="auto"/>
        <w:bottom w:val="none" w:sz="0" w:space="0" w:color="auto"/>
        <w:right w:val="none" w:sz="0" w:space="0" w:color="auto"/>
      </w:divBdr>
    </w:div>
    <w:div w:id="2017882614">
      <w:bodyDiv w:val="1"/>
      <w:marLeft w:val="0"/>
      <w:marRight w:val="0"/>
      <w:marTop w:val="0"/>
      <w:marBottom w:val="0"/>
      <w:divBdr>
        <w:top w:val="none" w:sz="0" w:space="0" w:color="auto"/>
        <w:left w:val="none" w:sz="0" w:space="0" w:color="auto"/>
        <w:bottom w:val="none" w:sz="0" w:space="0" w:color="auto"/>
        <w:right w:val="none" w:sz="0" w:space="0" w:color="auto"/>
      </w:divBdr>
    </w:div>
    <w:div w:id="207627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A3B2E2-B87B-4222-9E11-628C6DD61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9463</Words>
  <Characters>53940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2011-11-14T19:59:00Z</dcterms:created>
  <dcterms:modified xsi:type="dcterms:W3CDTF">2011-11-14T20:10:00Z</dcterms:modified>
</cp:coreProperties>
</file>