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D73" w:rsidRDefault="00DE7D73" w:rsidP="00DE7D73">
      <w:pPr>
        <w:spacing w:line="240" w:lineRule="atLeast"/>
        <w:ind w:left="720"/>
        <w:jc w:val="center"/>
        <w:rPr>
          <w:rFonts w:ascii="Arial" w:hAnsi="Arial"/>
        </w:rPr>
      </w:pPr>
      <w:r>
        <w:rPr>
          <w:rFonts w:ascii="Arial" w:hAnsi="Arial"/>
        </w:rPr>
        <w:t>GULF POWER COMPANY</w:t>
      </w:r>
    </w:p>
    <w:p w:rsidR="00442788" w:rsidRDefault="00442788" w:rsidP="00DE7D73">
      <w:pPr>
        <w:spacing w:line="240" w:lineRule="atLeast"/>
        <w:ind w:left="720"/>
        <w:jc w:val="center"/>
        <w:rPr>
          <w:rFonts w:ascii="Arial" w:hAnsi="Arial"/>
        </w:rPr>
        <w:sectPr w:rsidR="00442788" w:rsidSect="00442788">
          <w:headerReference w:type="default" r:id="rId11"/>
          <w:footerReference w:type="default" r:id="rId12"/>
          <w:type w:val="continuous"/>
          <w:pgSz w:w="12240" w:h="15840" w:code="1"/>
          <w:pgMar w:top="1800" w:right="1440" w:bottom="1800" w:left="2160" w:header="720" w:footer="720" w:gutter="0"/>
          <w:lnNumType w:countBy="1" w:restart="newSection"/>
          <w:cols w:space="720"/>
          <w:titlePg/>
        </w:sectPr>
      </w:pPr>
    </w:p>
    <w:p w:rsidR="00DE7D73" w:rsidRDefault="00DE7D73" w:rsidP="00DE7D73">
      <w:pPr>
        <w:spacing w:line="240" w:lineRule="atLeast"/>
        <w:ind w:left="720"/>
        <w:jc w:val="center"/>
        <w:rPr>
          <w:rFonts w:ascii="Arial" w:hAnsi="Arial"/>
        </w:rPr>
      </w:pPr>
    </w:p>
    <w:p w:rsidR="00442788" w:rsidRDefault="00442788" w:rsidP="00DE7D73">
      <w:pPr>
        <w:spacing w:line="240" w:lineRule="atLeast"/>
        <w:ind w:left="720"/>
        <w:jc w:val="center"/>
        <w:rPr>
          <w:rFonts w:ascii="Arial" w:hAnsi="Arial"/>
        </w:rPr>
        <w:sectPr w:rsidR="00442788" w:rsidSect="00442788">
          <w:type w:val="continuous"/>
          <w:pgSz w:w="12240" w:h="15840" w:code="1"/>
          <w:pgMar w:top="1800" w:right="1440" w:bottom="1800" w:left="2160" w:header="720" w:footer="720" w:gutter="0"/>
          <w:cols w:space="720"/>
          <w:titlePg/>
          <w:docGrid w:linePitch="326"/>
        </w:sectPr>
      </w:pPr>
    </w:p>
    <w:p w:rsidR="00DE7D73" w:rsidRDefault="00DE7D73" w:rsidP="00DE7D73">
      <w:pPr>
        <w:spacing w:line="240" w:lineRule="atLeast"/>
        <w:ind w:left="720"/>
        <w:jc w:val="center"/>
        <w:rPr>
          <w:rFonts w:ascii="Arial" w:hAnsi="Arial"/>
        </w:rPr>
      </w:pPr>
      <w:r>
        <w:rPr>
          <w:rFonts w:ascii="Arial" w:hAnsi="Arial"/>
        </w:rPr>
        <w:lastRenderedPageBreak/>
        <w:t>Before the Florida Public Service Commission</w:t>
      </w:r>
    </w:p>
    <w:p w:rsidR="00442788" w:rsidRDefault="00442788" w:rsidP="00DE7D73">
      <w:pPr>
        <w:spacing w:line="240" w:lineRule="atLeast"/>
        <w:ind w:left="720"/>
        <w:jc w:val="center"/>
        <w:rPr>
          <w:rFonts w:ascii="Arial" w:hAnsi="Arial"/>
        </w:rPr>
        <w:sectPr w:rsidR="00442788" w:rsidSect="00442788">
          <w:type w:val="continuous"/>
          <w:pgSz w:w="12240" w:h="15840" w:code="1"/>
          <w:pgMar w:top="1800" w:right="1440" w:bottom="1800" w:left="2160" w:header="720" w:footer="720" w:gutter="0"/>
          <w:lnNumType w:countBy="1" w:start="1" w:restart="newSection"/>
          <w:cols w:space="720"/>
          <w:titlePg/>
        </w:sectPr>
      </w:pPr>
    </w:p>
    <w:p w:rsidR="00DE7D73" w:rsidRDefault="00DE7D73" w:rsidP="00DE7D73">
      <w:pPr>
        <w:spacing w:line="240" w:lineRule="atLeast"/>
        <w:ind w:left="720"/>
        <w:jc w:val="center"/>
        <w:rPr>
          <w:rFonts w:ascii="Arial" w:hAnsi="Arial"/>
        </w:rPr>
      </w:pPr>
      <w:r>
        <w:rPr>
          <w:rFonts w:ascii="Arial" w:hAnsi="Arial"/>
        </w:rPr>
        <w:lastRenderedPageBreak/>
        <w:t>Prepared Direct Testimony of</w:t>
      </w:r>
    </w:p>
    <w:p w:rsidR="00442788" w:rsidRDefault="00442788" w:rsidP="00DE7D73">
      <w:pPr>
        <w:spacing w:line="240" w:lineRule="atLeast"/>
        <w:ind w:left="720"/>
        <w:jc w:val="center"/>
        <w:rPr>
          <w:rFonts w:ascii="Arial" w:hAnsi="Arial"/>
        </w:rPr>
        <w:sectPr w:rsidR="00442788" w:rsidSect="00442788">
          <w:type w:val="continuous"/>
          <w:pgSz w:w="12240" w:h="15840" w:code="1"/>
          <w:pgMar w:top="1800" w:right="1440" w:bottom="1800" w:left="2160" w:header="720" w:footer="720" w:gutter="0"/>
          <w:cols w:space="720"/>
          <w:titlePg/>
          <w:docGrid w:linePitch="326"/>
        </w:sectPr>
      </w:pPr>
    </w:p>
    <w:p w:rsidR="00DE7D73" w:rsidRDefault="00DE7D73" w:rsidP="00DE7D73">
      <w:pPr>
        <w:spacing w:line="240" w:lineRule="atLeast"/>
        <w:ind w:left="720"/>
        <w:jc w:val="center"/>
        <w:rPr>
          <w:rFonts w:ascii="Arial" w:hAnsi="Arial"/>
        </w:rPr>
      </w:pPr>
      <w:r>
        <w:rPr>
          <w:rFonts w:ascii="Arial" w:hAnsi="Arial"/>
        </w:rPr>
        <w:lastRenderedPageBreak/>
        <w:t>Constance J. Erickson</w:t>
      </w:r>
    </w:p>
    <w:p w:rsidR="00442788" w:rsidRDefault="00442788" w:rsidP="00DE7D73">
      <w:pPr>
        <w:spacing w:line="240" w:lineRule="atLeast"/>
        <w:ind w:left="720"/>
        <w:jc w:val="center"/>
        <w:rPr>
          <w:rFonts w:ascii="Arial" w:hAnsi="Arial"/>
        </w:rPr>
        <w:sectPr w:rsidR="00442788" w:rsidSect="00442788">
          <w:type w:val="continuous"/>
          <w:pgSz w:w="12240" w:h="15840" w:code="1"/>
          <w:pgMar w:top="1800" w:right="1440" w:bottom="1800" w:left="2160" w:header="720" w:footer="720" w:gutter="0"/>
          <w:lnNumType w:countBy="1" w:start="2" w:restart="newSection"/>
          <w:cols w:space="720"/>
          <w:titlePg/>
        </w:sectPr>
      </w:pPr>
    </w:p>
    <w:p w:rsidR="00DE7D73" w:rsidRDefault="00DE7D73" w:rsidP="00DE7D73">
      <w:pPr>
        <w:spacing w:line="240" w:lineRule="atLeast"/>
        <w:ind w:left="720"/>
        <w:jc w:val="center"/>
        <w:rPr>
          <w:rFonts w:ascii="Arial" w:hAnsi="Arial"/>
        </w:rPr>
      </w:pPr>
      <w:r>
        <w:rPr>
          <w:rFonts w:ascii="Arial" w:hAnsi="Arial"/>
        </w:rPr>
        <w:lastRenderedPageBreak/>
        <w:t xml:space="preserve">Docket No. </w:t>
      </w:r>
      <w:r w:rsidR="00266222">
        <w:rPr>
          <w:rFonts w:ascii="Arial" w:hAnsi="Arial"/>
        </w:rPr>
        <w:t>110138</w:t>
      </w:r>
      <w:r>
        <w:rPr>
          <w:rFonts w:ascii="Arial" w:hAnsi="Arial"/>
        </w:rPr>
        <w:t>-EI</w:t>
      </w:r>
    </w:p>
    <w:p w:rsidR="00442788" w:rsidRDefault="00442788" w:rsidP="00DE7D73">
      <w:pPr>
        <w:spacing w:line="240" w:lineRule="atLeast"/>
        <w:ind w:left="720"/>
        <w:jc w:val="center"/>
        <w:rPr>
          <w:rFonts w:ascii="Arial" w:hAnsi="Arial"/>
        </w:rPr>
        <w:sectPr w:rsidR="00442788" w:rsidSect="00442788">
          <w:type w:val="continuous"/>
          <w:pgSz w:w="12240" w:h="15840" w:code="1"/>
          <w:pgMar w:top="1800" w:right="1440" w:bottom="1800" w:left="2160" w:header="720" w:footer="720" w:gutter="0"/>
          <w:cols w:space="720"/>
          <w:titlePg/>
          <w:docGrid w:linePitch="326"/>
        </w:sectPr>
      </w:pPr>
    </w:p>
    <w:p w:rsidR="00DE7D73" w:rsidRDefault="00DE7D73" w:rsidP="00DE7D73">
      <w:pPr>
        <w:spacing w:line="240" w:lineRule="atLeast"/>
        <w:ind w:left="720"/>
        <w:jc w:val="center"/>
        <w:rPr>
          <w:rFonts w:ascii="Arial" w:hAnsi="Arial"/>
        </w:rPr>
      </w:pPr>
      <w:r>
        <w:rPr>
          <w:rFonts w:ascii="Arial" w:hAnsi="Arial"/>
        </w:rPr>
        <w:lastRenderedPageBreak/>
        <w:t>In Support of Rate Relief</w:t>
      </w:r>
    </w:p>
    <w:p w:rsidR="00442788" w:rsidRDefault="00442788" w:rsidP="00DE7D73">
      <w:pPr>
        <w:spacing w:line="240" w:lineRule="atLeast"/>
        <w:ind w:left="720"/>
        <w:jc w:val="center"/>
        <w:rPr>
          <w:rFonts w:ascii="Arial" w:hAnsi="Arial"/>
        </w:rPr>
        <w:sectPr w:rsidR="00442788" w:rsidSect="00442788">
          <w:type w:val="continuous"/>
          <w:pgSz w:w="12240" w:h="15840" w:code="1"/>
          <w:pgMar w:top="1800" w:right="1440" w:bottom="1800" w:left="2160" w:header="720" w:footer="720" w:gutter="0"/>
          <w:lnNumType w:countBy="1" w:start="3" w:restart="newSection"/>
          <w:cols w:space="720"/>
          <w:titlePg/>
        </w:sectPr>
      </w:pPr>
    </w:p>
    <w:p w:rsidR="00DE7D73" w:rsidRDefault="00DE7D73" w:rsidP="00DE7D73">
      <w:pPr>
        <w:spacing w:line="240" w:lineRule="atLeast"/>
        <w:ind w:left="720"/>
        <w:jc w:val="center"/>
        <w:rPr>
          <w:rFonts w:ascii="Arial" w:hAnsi="Arial"/>
        </w:rPr>
      </w:pPr>
      <w:r>
        <w:rPr>
          <w:rFonts w:ascii="Arial" w:hAnsi="Arial"/>
        </w:rPr>
        <w:lastRenderedPageBreak/>
        <w:t xml:space="preserve">Date of Filing:  </w:t>
      </w:r>
      <w:r w:rsidR="00266222">
        <w:rPr>
          <w:rFonts w:ascii="Arial" w:hAnsi="Arial"/>
        </w:rPr>
        <w:t>July</w:t>
      </w:r>
      <w:r>
        <w:rPr>
          <w:rFonts w:ascii="Arial" w:hAnsi="Arial"/>
        </w:rPr>
        <w:t xml:space="preserve"> </w:t>
      </w:r>
      <w:r w:rsidR="00234AF5">
        <w:rPr>
          <w:rFonts w:ascii="Arial" w:hAnsi="Arial"/>
        </w:rPr>
        <w:t>8</w:t>
      </w:r>
      <w:r>
        <w:rPr>
          <w:rFonts w:ascii="Arial" w:hAnsi="Arial"/>
        </w:rPr>
        <w:t>, 2011</w:t>
      </w:r>
    </w:p>
    <w:p w:rsidR="00442788" w:rsidRDefault="00442788" w:rsidP="00DE7D73">
      <w:pPr>
        <w:spacing w:line="240" w:lineRule="atLeast"/>
        <w:ind w:left="720"/>
        <w:rPr>
          <w:rFonts w:ascii="Arial" w:hAnsi="Arial"/>
        </w:rPr>
        <w:sectPr w:rsidR="00442788" w:rsidSect="00442788">
          <w:type w:val="continuous"/>
          <w:pgSz w:w="12240" w:h="15840" w:code="1"/>
          <w:pgMar w:top="1800" w:right="1440" w:bottom="1800" w:left="2160" w:header="720" w:footer="720" w:gutter="0"/>
          <w:cols w:space="720"/>
          <w:titlePg/>
          <w:docGrid w:linePitch="326"/>
        </w:sectPr>
      </w:pPr>
    </w:p>
    <w:p w:rsidR="00DE7D73" w:rsidRDefault="00DE7D73" w:rsidP="00DE7D73">
      <w:pPr>
        <w:spacing w:line="240" w:lineRule="atLeast"/>
        <w:ind w:left="720"/>
        <w:rPr>
          <w:rFonts w:ascii="Arial" w:hAnsi="Arial"/>
        </w:rPr>
      </w:pPr>
    </w:p>
    <w:p w:rsidR="00DE7D73" w:rsidRDefault="00DE7D73" w:rsidP="00DE7D73">
      <w:pPr>
        <w:spacing w:line="480" w:lineRule="atLeast"/>
        <w:ind w:left="720" w:hanging="720"/>
        <w:rPr>
          <w:rFonts w:ascii="Arial" w:hAnsi="Arial"/>
        </w:rPr>
      </w:pPr>
      <w:r>
        <w:rPr>
          <w:rFonts w:ascii="Arial" w:hAnsi="Arial"/>
        </w:rPr>
        <w:t>Q.</w:t>
      </w:r>
      <w:r>
        <w:rPr>
          <w:rFonts w:ascii="Arial" w:hAnsi="Arial"/>
        </w:rPr>
        <w:tab/>
        <w:t>Please state your name and business address.</w:t>
      </w:r>
    </w:p>
    <w:p w:rsidR="00DE7D73" w:rsidRDefault="00DE7D73" w:rsidP="00DE7D73">
      <w:pPr>
        <w:spacing w:line="480" w:lineRule="atLeast"/>
        <w:ind w:left="720" w:hanging="720"/>
        <w:rPr>
          <w:rFonts w:ascii="Arial" w:hAnsi="Arial"/>
        </w:rPr>
      </w:pPr>
      <w:r>
        <w:rPr>
          <w:rFonts w:ascii="Arial" w:hAnsi="Arial"/>
        </w:rPr>
        <w:t>A.</w:t>
      </w:r>
      <w:r>
        <w:rPr>
          <w:rFonts w:ascii="Arial" w:hAnsi="Arial"/>
        </w:rPr>
        <w:tab/>
        <w:t>My name is Constance J. Erickson.  My business address is One Energy Place, Pensacola Florida, 32520.</w:t>
      </w:r>
    </w:p>
    <w:p w:rsidR="00DE7D73" w:rsidRDefault="00DE7D73" w:rsidP="00DE7D73">
      <w:pPr>
        <w:spacing w:line="480" w:lineRule="atLeast"/>
        <w:ind w:left="720" w:hanging="720"/>
        <w:rPr>
          <w:rFonts w:ascii="Arial" w:hAnsi="Arial"/>
        </w:rPr>
      </w:pPr>
    </w:p>
    <w:p w:rsidR="00DE7D73" w:rsidRDefault="00DE7D73" w:rsidP="00DE7D73">
      <w:pPr>
        <w:spacing w:line="480" w:lineRule="atLeast"/>
        <w:ind w:left="720" w:hanging="720"/>
        <w:rPr>
          <w:rFonts w:ascii="Arial" w:hAnsi="Arial"/>
        </w:rPr>
      </w:pPr>
      <w:r>
        <w:rPr>
          <w:rFonts w:ascii="Arial" w:hAnsi="Arial"/>
        </w:rPr>
        <w:t>Q</w:t>
      </w:r>
      <w:r>
        <w:rPr>
          <w:rFonts w:ascii="Arial" w:hAnsi="Arial"/>
        </w:rPr>
        <w:tab/>
        <w:t>By whom are you employed?</w:t>
      </w:r>
    </w:p>
    <w:p w:rsidR="00DE7D73" w:rsidRDefault="00DE7D73" w:rsidP="00DE7D73">
      <w:pPr>
        <w:spacing w:line="480" w:lineRule="atLeast"/>
        <w:ind w:left="720" w:hanging="720"/>
        <w:rPr>
          <w:rFonts w:ascii="Arial" w:hAnsi="Arial"/>
        </w:rPr>
      </w:pPr>
      <w:r>
        <w:rPr>
          <w:rFonts w:ascii="Arial" w:hAnsi="Arial"/>
        </w:rPr>
        <w:t>A.</w:t>
      </w:r>
      <w:r>
        <w:rPr>
          <w:rFonts w:ascii="Arial" w:hAnsi="Arial"/>
        </w:rPr>
        <w:tab/>
        <w:t>I am employed by Gulf Power Company (Gulf or the Company).  I serve as Gulf’s Comptroller.</w:t>
      </w:r>
    </w:p>
    <w:p w:rsidR="00DE7D73" w:rsidRDefault="00DE7D73" w:rsidP="00DE7D73">
      <w:pPr>
        <w:spacing w:line="480" w:lineRule="atLeast"/>
        <w:ind w:left="720"/>
        <w:rPr>
          <w:rFonts w:ascii="Arial" w:hAnsi="Arial"/>
        </w:rPr>
      </w:pPr>
    </w:p>
    <w:p w:rsidR="00DE7D73" w:rsidRDefault="00DE7D73" w:rsidP="00DE7D73">
      <w:pPr>
        <w:spacing w:line="480" w:lineRule="atLeast"/>
        <w:ind w:left="720" w:hanging="720"/>
        <w:rPr>
          <w:rFonts w:ascii="Arial" w:hAnsi="Arial"/>
        </w:rPr>
      </w:pPr>
      <w:r>
        <w:rPr>
          <w:rFonts w:ascii="Arial" w:hAnsi="Arial"/>
        </w:rPr>
        <w:t>Q.</w:t>
      </w:r>
      <w:r>
        <w:rPr>
          <w:rFonts w:ascii="Arial" w:hAnsi="Arial"/>
        </w:rPr>
        <w:tab/>
        <w:t>What are your responsibilities as Gulf’s Comptroller?</w:t>
      </w:r>
    </w:p>
    <w:p w:rsidR="00DE7D73" w:rsidRDefault="00DE7D73" w:rsidP="00DE7D73">
      <w:pPr>
        <w:spacing w:line="480" w:lineRule="atLeast"/>
        <w:ind w:left="720" w:hanging="720"/>
        <w:rPr>
          <w:rFonts w:ascii="Arial" w:hAnsi="Arial"/>
        </w:rPr>
      </w:pPr>
      <w:r>
        <w:rPr>
          <w:rFonts w:ascii="Arial" w:hAnsi="Arial"/>
        </w:rPr>
        <w:t>A.</w:t>
      </w:r>
      <w:r>
        <w:rPr>
          <w:rFonts w:ascii="Arial" w:hAnsi="Arial"/>
        </w:rPr>
        <w:tab/>
        <w:t xml:space="preserve">I am responsible for the financial and regulatory accounting functions of the Company.  My duties include maintaining </w:t>
      </w:r>
      <w:r w:rsidR="007038DC">
        <w:rPr>
          <w:rFonts w:ascii="Arial" w:hAnsi="Arial"/>
        </w:rPr>
        <w:t xml:space="preserve">Gulf’s </w:t>
      </w:r>
      <w:r>
        <w:rPr>
          <w:rFonts w:ascii="Arial" w:hAnsi="Arial"/>
        </w:rPr>
        <w:t xml:space="preserve">corporate accounting </w:t>
      </w:r>
      <w:proofErr w:type="gramStart"/>
      <w:r>
        <w:rPr>
          <w:rFonts w:ascii="Arial" w:hAnsi="Arial"/>
        </w:rPr>
        <w:t>records</w:t>
      </w:r>
      <w:proofErr w:type="gramEnd"/>
      <w:r>
        <w:rPr>
          <w:rFonts w:ascii="Arial" w:hAnsi="Arial"/>
        </w:rPr>
        <w:t xml:space="preserve"> in accordance with </w:t>
      </w:r>
      <w:r w:rsidR="00707125">
        <w:rPr>
          <w:rFonts w:ascii="Arial" w:hAnsi="Arial"/>
        </w:rPr>
        <w:t>G</w:t>
      </w:r>
      <w:r>
        <w:rPr>
          <w:rFonts w:ascii="Arial" w:hAnsi="Arial"/>
        </w:rPr>
        <w:t xml:space="preserve">enerally </w:t>
      </w:r>
      <w:r w:rsidR="00707125">
        <w:rPr>
          <w:rFonts w:ascii="Arial" w:hAnsi="Arial"/>
        </w:rPr>
        <w:t>A</w:t>
      </w:r>
      <w:r>
        <w:rPr>
          <w:rFonts w:ascii="Arial" w:hAnsi="Arial"/>
        </w:rPr>
        <w:t xml:space="preserve">ccepted </w:t>
      </w:r>
      <w:r w:rsidR="00707125">
        <w:rPr>
          <w:rFonts w:ascii="Arial" w:hAnsi="Arial"/>
        </w:rPr>
        <w:t>A</w:t>
      </w:r>
      <w:r>
        <w:rPr>
          <w:rFonts w:ascii="Arial" w:hAnsi="Arial"/>
        </w:rPr>
        <w:t xml:space="preserve">ccounting </w:t>
      </w:r>
      <w:r w:rsidR="00707125">
        <w:rPr>
          <w:rFonts w:ascii="Arial" w:hAnsi="Arial"/>
        </w:rPr>
        <w:t>P</w:t>
      </w:r>
      <w:r>
        <w:rPr>
          <w:rFonts w:ascii="Arial" w:hAnsi="Arial"/>
        </w:rPr>
        <w:t xml:space="preserve">rinciples in the U.S. </w:t>
      </w:r>
      <w:r w:rsidR="00707125">
        <w:rPr>
          <w:rFonts w:ascii="Arial" w:hAnsi="Arial"/>
        </w:rPr>
        <w:t xml:space="preserve">(GAAP) </w:t>
      </w:r>
      <w:r>
        <w:rPr>
          <w:rFonts w:ascii="Arial" w:hAnsi="Arial"/>
        </w:rPr>
        <w:t>and in accordance with the Uniform System of Accounts as prescribed by the Federal Energy Regulatory Commission (FERC) and adopted by the Florida Public Service Commission (FPSC</w:t>
      </w:r>
      <w:r w:rsidR="001B08C7">
        <w:rPr>
          <w:rFonts w:ascii="Arial" w:hAnsi="Arial"/>
        </w:rPr>
        <w:t xml:space="preserve"> or the Commission</w:t>
      </w:r>
      <w:r>
        <w:rPr>
          <w:rFonts w:ascii="Arial" w:hAnsi="Arial"/>
        </w:rPr>
        <w:t>).  I have responsibility for the preparation of Gulf</w:t>
      </w:r>
      <w:r w:rsidR="007038DC">
        <w:rPr>
          <w:rFonts w:ascii="Arial" w:hAnsi="Arial"/>
        </w:rPr>
        <w:t xml:space="preserve">’s </w:t>
      </w:r>
      <w:r>
        <w:rPr>
          <w:rFonts w:ascii="Arial" w:hAnsi="Arial"/>
        </w:rPr>
        <w:t>financial statements and various financial reports required by the U.S. Securities and Exchange Commission and the FPSC.</w:t>
      </w:r>
    </w:p>
    <w:p w:rsidR="00DE7D73" w:rsidRDefault="00DE7D73" w:rsidP="00442788">
      <w:pPr>
        <w:spacing w:line="480" w:lineRule="atLeast"/>
        <w:ind w:left="720" w:hanging="720"/>
        <w:rPr>
          <w:rFonts w:ascii="Arial" w:hAnsi="Arial"/>
        </w:rPr>
      </w:pPr>
    </w:p>
    <w:p w:rsidR="00442788" w:rsidRDefault="00442788" w:rsidP="00442788">
      <w:pPr>
        <w:spacing w:line="480" w:lineRule="atLeast"/>
        <w:rPr>
          <w:rFonts w:ascii="Arial" w:hAnsi="Arial"/>
        </w:rPr>
      </w:pPr>
      <w:r>
        <w:rPr>
          <w:rFonts w:ascii="Arial" w:hAnsi="Arial"/>
        </w:rPr>
        <w:br w:type="page"/>
      </w:r>
    </w:p>
    <w:p w:rsidR="00DE7D73" w:rsidRDefault="00DE7D73" w:rsidP="00442788">
      <w:pPr>
        <w:spacing w:line="480" w:lineRule="atLeast"/>
        <w:rPr>
          <w:rFonts w:ascii="Arial" w:hAnsi="Arial"/>
        </w:rPr>
        <w:sectPr w:rsidR="00DE7D73" w:rsidSect="00434AAD">
          <w:type w:val="continuous"/>
          <w:pgSz w:w="12240" w:h="15840" w:code="1"/>
          <w:pgMar w:top="1800" w:right="1440" w:bottom="1800" w:left="2160" w:header="720" w:footer="720" w:gutter="0"/>
          <w:lnNumType w:countBy="1" w:start="4"/>
          <w:cols w:space="720"/>
          <w:titlePg/>
        </w:sectPr>
      </w:pPr>
    </w:p>
    <w:p w:rsidR="009B5B7D" w:rsidRDefault="003E373B" w:rsidP="00DE7D73">
      <w:pPr>
        <w:spacing w:line="480" w:lineRule="atLeast"/>
        <w:ind w:left="720" w:hanging="720"/>
        <w:rPr>
          <w:rFonts w:ascii="Arial" w:hAnsi="Arial"/>
        </w:rPr>
      </w:pPr>
      <w:r>
        <w:rPr>
          <w:rFonts w:ascii="Arial" w:hAnsi="Arial"/>
        </w:rPr>
        <w:lastRenderedPageBreak/>
        <w:t>Q.</w:t>
      </w:r>
      <w:r>
        <w:rPr>
          <w:rFonts w:ascii="Arial" w:hAnsi="Arial"/>
        </w:rPr>
        <w:tab/>
        <w:t>Please state your prior work experience and responsibilities.</w:t>
      </w:r>
    </w:p>
    <w:p w:rsidR="009B5B7D" w:rsidRDefault="00D7287D" w:rsidP="00DE7D73">
      <w:pPr>
        <w:spacing w:line="480" w:lineRule="atLeast"/>
        <w:ind w:left="720" w:hanging="720"/>
        <w:rPr>
          <w:rFonts w:ascii="Arial" w:hAnsi="Arial"/>
        </w:rPr>
      </w:pPr>
      <w:r>
        <w:rPr>
          <w:rFonts w:ascii="Arial" w:hAnsi="Arial"/>
        </w:rPr>
        <w:t>A.</w:t>
      </w:r>
      <w:r>
        <w:rPr>
          <w:rFonts w:ascii="Arial" w:hAnsi="Arial"/>
        </w:rPr>
        <w:tab/>
        <w:t>From 1987 to 1992</w:t>
      </w:r>
      <w:r w:rsidR="001B08C7">
        <w:rPr>
          <w:rFonts w:ascii="Arial" w:hAnsi="Arial"/>
        </w:rPr>
        <w:t>,</w:t>
      </w:r>
      <w:r w:rsidR="003E373B">
        <w:rPr>
          <w:rFonts w:ascii="Arial" w:hAnsi="Arial"/>
        </w:rPr>
        <w:t xml:space="preserve"> I was employed with the audit division of Arthur Andersen &amp; Co.  From 1992 to 2002, I held various senior financial positions with GNB and Exide Technologies and with </w:t>
      </w:r>
      <w:proofErr w:type="spellStart"/>
      <w:r w:rsidR="003E373B">
        <w:rPr>
          <w:rFonts w:ascii="Arial" w:hAnsi="Arial"/>
        </w:rPr>
        <w:t>Graco</w:t>
      </w:r>
      <w:proofErr w:type="spellEnd"/>
      <w:r w:rsidR="003E373B">
        <w:rPr>
          <w:rFonts w:ascii="Arial" w:hAnsi="Arial"/>
        </w:rPr>
        <w:t xml:space="preserve"> Inc.  In 2002</w:t>
      </w:r>
      <w:r w:rsidR="001B08C7">
        <w:rPr>
          <w:rFonts w:ascii="Arial" w:hAnsi="Arial"/>
        </w:rPr>
        <w:t>,</w:t>
      </w:r>
      <w:r w:rsidR="003E373B">
        <w:rPr>
          <w:rFonts w:ascii="Arial" w:hAnsi="Arial"/>
        </w:rPr>
        <w:t xml:space="preserve"> I accepted employment with Southern Company and have held various financial positions, including Comptroller and Director of Customer Operations and Information Technology with Southern Company Gas and Director of Financial and Contract Services with Southern Company Services, until being named Comptroller of Gulf effective January 14, 2006.  </w:t>
      </w:r>
    </w:p>
    <w:p w:rsidR="009B5B7D" w:rsidRDefault="009B5B7D" w:rsidP="00DE7D73">
      <w:pPr>
        <w:spacing w:line="480" w:lineRule="atLeast"/>
        <w:ind w:left="720" w:hanging="630"/>
        <w:rPr>
          <w:rFonts w:ascii="Arial" w:hAnsi="Arial"/>
        </w:rPr>
      </w:pPr>
    </w:p>
    <w:p w:rsidR="009B5B7D" w:rsidRDefault="003E373B" w:rsidP="00DE7D73">
      <w:pPr>
        <w:spacing w:line="480" w:lineRule="atLeast"/>
        <w:ind w:left="720" w:hanging="720"/>
        <w:rPr>
          <w:rFonts w:ascii="Arial" w:hAnsi="Arial"/>
        </w:rPr>
      </w:pPr>
      <w:r>
        <w:rPr>
          <w:rFonts w:ascii="Arial" w:hAnsi="Arial"/>
        </w:rPr>
        <w:t>Q.</w:t>
      </w:r>
      <w:r>
        <w:rPr>
          <w:rFonts w:ascii="Arial" w:hAnsi="Arial"/>
        </w:rPr>
        <w:tab/>
        <w:t>What is your educational background and professional certification?</w:t>
      </w:r>
    </w:p>
    <w:p w:rsidR="009B5B7D" w:rsidRDefault="003E373B" w:rsidP="00DE7D73">
      <w:pPr>
        <w:spacing w:line="480" w:lineRule="atLeast"/>
        <w:ind w:left="720" w:hanging="720"/>
        <w:rPr>
          <w:rFonts w:ascii="Arial" w:hAnsi="Arial"/>
        </w:rPr>
      </w:pPr>
      <w:r>
        <w:rPr>
          <w:rFonts w:ascii="Arial" w:hAnsi="Arial"/>
        </w:rPr>
        <w:t>A.</w:t>
      </w:r>
      <w:r>
        <w:rPr>
          <w:rFonts w:ascii="Arial" w:hAnsi="Arial"/>
        </w:rPr>
        <w:tab/>
        <w:t xml:space="preserve">I graduated from the University </w:t>
      </w:r>
      <w:proofErr w:type="gramStart"/>
      <w:r>
        <w:rPr>
          <w:rFonts w:ascii="Arial" w:hAnsi="Arial"/>
        </w:rPr>
        <w:t>of</w:t>
      </w:r>
      <w:proofErr w:type="gramEnd"/>
      <w:r>
        <w:rPr>
          <w:rFonts w:ascii="Arial" w:hAnsi="Arial"/>
        </w:rPr>
        <w:t xml:space="preserve"> North Dakota in 1987 with a Bachelor of Accountancy degree.  Also, I am a licensed Certified Public Accountant and a member of the American Institute of </w:t>
      </w:r>
      <w:r w:rsidR="00D65149">
        <w:rPr>
          <w:rFonts w:ascii="Arial" w:hAnsi="Arial"/>
        </w:rPr>
        <w:t xml:space="preserve">Certified </w:t>
      </w:r>
      <w:r>
        <w:rPr>
          <w:rFonts w:ascii="Arial" w:hAnsi="Arial"/>
        </w:rPr>
        <w:t>Public Accountants.</w:t>
      </w:r>
    </w:p>
    <w:p w:rsidR="009B5B7D" w:rsidRDefault="009B5B7D" w:rsidP="00DE7D73">
      <w:pPr>
        <w:spacing w:line="480" w:lineRule="atLeast"/>
        <w:ind w:left="720" w:hanging="630"/>
        <w:rPr>
          <w:rFonts w:ascii="Arial" w:hAnsi="Arial"/>
        </w:rPr>
      </w:pPr>
    </w:p>
    <w:p w:rsidR="009B5B7D" w:rsidRDefault="003E373B" w:rsidP="00DE7D73">
      <w:pPr>
        <w:spacing w:line="480" w:lineRule="atLeast"/>
        <w:ind w:left="720" w:hanging="720"/>
        <w:rPr>
          <w:rFonts w:ascii="Arial" w:hAnsi="Arial"/>
        </w:rPr>
      </w:pPr>
      <w:r>
        <w:rPr>
          <w:rFonts w:ascii="Arial" w:hAnsi="Arial"/>
        </w:rPr>
        <w:t>Q.</w:t>
      </w:r>
      <w:r>
        <w:rPr>
          <w:rFonts w:ascii="Arial" w:hAnsi="Arial"/>
        </w:rPr>
        <w:tab/>
        <w:t>What is the purpose of your testimony?</w:t>
      </w:r>
    </w:p>
    <w:p w:rsidR="009B5B7D" w:rsidRDefault="003E373B" w:rsidP="00DE7D73">
      <w:pPr>
        <w:spacing w:line="480" w:lineRule="atLeast"/>
        <w:ind w:left="720" w:hanging="720"/>
        <w:rPr>
          <w:rFonts w:ascii="Arial" w:hAnsi="Arial"/>
        </w:rPr>
      </w:pPr>
      <w:r>
        <w:rPr>
          <w:rFonts w:ascii="Arial" w:hAnsi="Arial"/>
        </w:rPr>
        <w:t>A.</w:t>
      </w:r>
      <w:r>
        <w:rPr>
          <w:rFonts w:ascii="Arial" w:hAnsi="Arial"/>
        </w:rPr>
        <w:tab/>
        <w:t xml:space="preserve">My testimony </w:t>
      </w:r>
      <w:r w:rsidR="008C4949">
        <w:rPr>
          <w:rFonts w:ascii="Arial" w:hAnsi="Arial"/>
        </w:rPr>
        <w:t>(a) sets forth and justifies Gulf’s 2012 Operations &amp; Maintenance (O&amp;M) budget within the A</w:t>
      </w:r>
      <w:r w:rsidR="00B13C80">
        <w:rPr>
          <w:rFonts w:ascii="Arial" w:hAnsi="Arial"/>
        </w:rPr>
        <w:t>dministrative &amp; General (A&amp;G) func</w:t>
      </w:r>
      <w:r w:rsidR="008C4949">
        <w:rPr>
          <w:rFonts w:ascii="Arial" w:hAnsi="Arial"/>
        </w:rPr>
        <w:t>tion, (</w:t>
      </w:r>
      <w:r w:rsidR="00B7707F">
        <w:rPr>
          <w:rFonts w:ascii="Arial" w:hAnsi="Arial"/>
        </w:rPr>
        <w:t>b</w:t>
      </w:r>
      <w:r w:rsidR="008C4949">
        <w:rPr>
          <w:rFonts w:ascii="Arial" w:hAnsi="Arial"/>
        </w:rPr>
        <w:t xml:space="preserve">) justifies Gulf’s 2012 A&amp;G benchmark variance for expenses other </w:t>
      </w:r>
      <w:r w:rsidR="00B85BCC">
        <w:rPr>
          <w:rFonts w:ascii="Arial" w:hAnsi="Arial"/>
        </w:rPr>
        <w:t>than employee</w:t>
      </w:r>
      <w:r w:rsidR="008C4949">
        <w:rPr>
          <w:rFonts w:ascii="Arial" w:hAnsi="Arial"/>
        </w:rPr>
        <w:t xml:space="preserve"> benefits, (</w:t>
      </w:r>
      <w:r w:rsidR="00B7707F">
        <w:rPr>
          <w:rFonts w:ascii="Arial" w:hAnsi="Arial"/>
        </w:rPr>
        <w:t>c</w:t>
      </w:r>
      <w:r w:rsidR="008C4949">
        <w:rPr>
          <w:rFonts w:ascii="Arial" w:hAnsi="Arial"/>
        </w:rPr>
        <w:t>) supports the need to increase Gulf’s property damage reserve, (</w:t>
      </w:r>
      <w:r w:rsidR="00B7707F">
        <w:rPr>
          <w:rFonts w:ascii="Arial" w:hAnsi="Arial"/>
        </w:rPr>
        <w:t>d</w:t>
      </w:r>
      <w:r w:rsidR="008C4949">
        <w:rPr>
          <w:rFonts w:ascii="Arial" w:hAnsi="Arial"/>
        </w:rPr>
        <w:t>) discusses the depreciation and tax expenses included in the test year, and (</w:t>
      </w:r>
      <w:r w:rsidR="00B7707F">
        <w:rPr>
          <w:rFonts w:ascii="Arial" w:hAnsi="Arial"/>
        </w:rPr>
        <w:t>e</w:t>
      </w:r>
      <w:r w:rsidR="008C4949">
        <w:rPr>
          <w:rFonts w:ascii="Arial" w:hAnsi="Arial"/>
        </w:rPr>
        <w:t xml:space="preserve">) explains Gulf’s projected test year expense for </w:t>
      </w:r>
      <w:proofErr w:type="spellStart"/>
      <w:r w:rsidR="008C4949">
        <w:rPr>
          <w:rFonts w:ascii="Arial" w:hAnsi="Arial"/>
        </w:rPr>
        <w:t>uncollectibles</w:t>
      </w:r>
      <w:proofErr w:type="spellEnd"/>
      <w:r w:rsidR="008C4949">
        <w:rPr>
          <w:rFonts w:ascii="Arial" w:hAnsi="Arial"/>
        </w:rPr>
        <w:t xml:space="preserve">.  </w:t>
      </w:r>
    </w:p>
    <w:p w:rsidR="009B5B7D" w:rsidRDefault="009B5B7D" w:rsidP="00DE7D73">
      <w:pPr>
        <w:spacing w:line="480" w:lineRule="atLeast"/>
        <w:ind w:left="720" w:hanging="630"/>
        <w:rPr>
          <w:rFonts w:ascii="Arial" w:hAnsi="Arial"/>
        </w:rPr>
      </w:pPr>
    </w:p>
    <w:p w:rsidR="009B5B7D" w:rsidRDefault="003E373B" w:rsidP="00DE7D73">
      <w:pPr>
        <w:spacing w:line="480" w:lineRule="atLeast"/>
        <w:ind w:left="720" w:hanging="720"/>
        <w:rPr>
          <w:rFonts w:ascii="Arial" w:hAnsi="Arial"/>
        </w:rPr>
      </w:pPr>
      <w:r>
        <w:rPr>
          <w:rFonts w:ascii="Arial" w:hAnsi="Arial"/>
        </w:rPr>
        <w:lastRenderedPageBreak/>
        <w:t>Q.</w:t>
      </w:r>
      <w:r>
        <w:rPr>
          <w:rFonts w:ascii="Arial" w:hAnsi="Arial"/>
        </w:rPr>
        <w:tab/>
        <w:t>Are you sponsoring any exhibits?</w:t>
      </w:r>
    </w:p>
    <w:p w:rsidR="00CC0821" w:rsidRDefault="003E373B" w:rsidP="00DE7D73">
      <w:pPr>
        <w:spacing w:line="480" w:lineRule="atLeast"/>
        <w:ind w:left="720" w:hanging="720"/>
        <w:rPr>
          <w:rFonts w:ascii="Arial" w:hAnsi="Arial"/>
        </w:rPr>
      </w:pPr>
      <w:r>
        <w:rPr>
          <w:rFonts w:ascii="Arial" w:hAnsi="Arial"/>
        </w:rPr>
        <w:t>A.</w:t>
      </w:r>
      <w:r>
        <w:rPr>
          <w:rFonts w:ascii="Arial" w:hAnsi="Arial"/>
        </w:rPr>
        <w:tab/>
        <w:t>Yes</w:t>
      </w:r>
      <w:r w:rsidR="001B08C7">
        <w:rPr>
          <w:rFonts w:ascii="Arial" w:hAnsi="Arial"/>
        </w:rPr>
        <w:t xml:space="preserve">. </w:t>
      </w:r>
      <w:r>
        <w:rPr>
          <w:rFonts w:ascii="Arial" w:hAnsi="Arial"/>
        </w:rPr>
        <w:t>I am sponsoring Exhibit CJE-1</w:t>
      </w:r>
      <w:r w:rsidR="001B08C7">
        <w:rPr>
          <w:rFonts w:ascii="Arial" w:hAnsi="Arial"/>
        </w:rPr>
        <w:t xml:space="preserve">, Schedules 1 through </w:t>
      </w:r>
      <w:r w:rsidR="00CC0821">
        <w:rPr>
          <w:rFonts w:ascii="Arial" w:hAnsi="Arial"/>
        </w:rPr>
        <w:t>5</w:t>
      </w:r>
      <w:r>
        <w:rPr>
          <w:rFonts w:ascii="Arial" w:hAnsi="Arial"/>
        </w:rPr>
        <w:t xml:space="preserve">.  Exhibit </w:t>
      </w:r>
    </w:p>
    <w:p w:rsidR="009B5B7D" w:rsidRDefault="003E373B" w:rsidP="00CC0821">
      <w:pPr>
        <w:spacing w:line="480" w:lineRule="atLeast"/>
        <w:ind w:left="720"/>
        <w:rPr>
          <w:rFonts w:ascii="Arial" w:hAnsi="Arial"/>
        </w:rPr>
      </w:pPr>
      <w:r>
        <w:rPr>
          <w:rFonts w:ascii="Arial" w:hAnsi="Arial"/>
        </w:rPr>
        <w:t>CJE-1</w:t>
      </w:r>
      <w:r w:rsidR="003921F9">
        <w:rPr>
          <w:rFonts w:ascii="Arial" w:hAnsi="Arial"/>
        </w:rPr>
        <w:t xml:space="preserve"> </w:t>
      </w:r>
      <w:r w:rsidR="001B08C7">
        <w:rPr>
          <w:rFonts w:ascii="Arial" w:hAnsi="Arial"/>
        </w:rPr>
        <w:t xml:space="preserve">was </w:t>
      </w:r>
      <w:r>
        <w:rPr>
          <w:rFonts w:ascii="Arial" w:hAnsi="Arial"/>
        </w:rPr>
        <w:t>prepared under my direction and control, and the information contained therein is true and correct to the best of my knowledge and belief.</w:t>
      </w:r>
    </w:p>
    <w:p w:rsidR="009B5B7D" w:rsidRDefault="009B5B7D" w:rsidP="00DE7D73">
      <w:pPr>
        <w:spacing w:line="480" w:lineRule="atLeast"/>
        <w:ind w:left="720" w:hanging="540"/>
        <w:rPr>
          <w:rFonts w:ascii="Arial" w:hAnsi="Arial"/>
        </w:rPr>
      </w:pPr>
    </w:p>
    <w:p w:rsidR="009B5B7D" w:rsidRDefault="003E373B" w:rsidP="00DE7D73">
      <w:pPr>
        <w:spacing w:line="480" w:lineRule="atLeast"/>
        <w:ind w:left="720" w:hanging="540"/>
        <w:rPr>
          <w:rFonts w:ascii="Arial" w:hAnsi="Arial"/>
        </w:rPr>
      </w:pPr>
      <w:r>
        <w:rPr>
          <w:rFonts w:ascii="Arial" w:hAnsi="Arial"/>
        </w:rPr>
        <w:t>Q.</w:t>
      </w:r>
      <w:r>
        <w:rPr>
          <w:rFonts w:ascii="Arial" w:hAnsi="Arial"/>
        </w:rPr>
        <w:tab/>
        <w:t xml:space="preserve">Are you sponsoring any of the Minimum Filing Requirements (MFRs) filed by </w:t>
      </w:r>
      <w:r w:rsidR="00CC0821">
        <w:rPr>
          <w:rFonts w:ascii="Arial" w:hAnsi="Arial"/>
        </w:rPr>
        <w:t>Gulf</w:t>
      </w:r>
      <w:r>
        <w:rPr>
          <w:rFonts w:ascii="Arial" w:hAnsi="Arial"/>
        </w:rPr>
        <w:t>?</w:t>
      </w:r>
    </w:p>
    <w:p w:rsidR="009B5B7D" w:rsidRDefault="003E373B" w:rsidP="00DE7D73">
      <w:pPr>
        <w:spacing w:line="480" w:lineRule="atLeast"/>
        <w:ind w:left="720" w:hanging="540"/>
        <w:rPr>
          <w:rFonts w:ascii="Arial" w:hAnsi="Arial"/>
        </w:rPr>
      </w:pPr>
      <w:r>
        <w:rPr>
          <w:rFonts w:ascii="Arial" w:hAnsi="Arial"/>
        </w:rPr>
        <w:t>A.</w:t>
      </w:r>
      <w:r>
        <w:rPr>
          <w:rFonts w:ascii="Arial" w:hAnsi="Arial"/>
        </w:rPr>
        <w:tab/>
        <w:t xml:space="preserve">Yes.  The MFRs that I sponsor </w:t>
      </w:r>
      <w:r w:rsidR="00707125">
        <w:rPr>
          <w:rFonts w:ascii="Arial" w:hAnsi="Arial"/>
        </w:rPr>
        <w:t xml:space="preserve">or co-sponsor </w:t>
      </w:r>
      <w:r>
        <w:rPr>
          <w:rFonts w:ascii="Arial" w:hAnsi="Arial"/>
        </w:rPr>
        <w:t xml:space="preserve">are listed on </w:t>
      </w:r>
      <w:r w:rsidR="001B08C7">
        <w:rPr>
          <w:rFonts w:ascii="Arial" w:hAnsi="Arial"/>
        </w:rPr>
        <w:t xml:space="preserve">Schedule 1 of </w:t>
      </w:r>
      <w:r w:rsidR="003921F9">
        <w:rPr>
          <w:rFonts w:ascii="Arial" w:hAnsi="Arial"/>
        </w:rPr>
        <w:t>Exhibit CJE-</w:t>
      </w:r>
      <w:r>
        <w:rPr>
          <w:rFonts w:ascii="Arial" w:hAnsi="Arial"/>
        </w:rPr>
        <w:t>1.  The information contained in the MFRs I sponsor or co-sponsor is true and correct to the best of my knowledge and belief.</w:t>
      </w:r>
    </w:p>
    <w:p w:rsidR="009B5B7D" w:rsidRDefault="009B5B7D" w:rsidP="00DE7D73">
      <w:pPr>
        <w:spacing w:line="480" w:lineRule="atLeast"/>
        <w:ind w:left="720" w:hanging="540"/>
        <w:rPr>
          <w:rFonts w:ascii="Arial" w:hAnsi="Arial"/>
        </w:rPr>
      </w:pPr>
    </w:p>
    <w:p w:rsidR="009B5B7D" w:rsidRDefault="003E373B" w:rsidP="00DE7D73">
      <w:pPr>
        <w:spacing w:line="480" w:lineRule="atLeast"/>
        <w:ind w:left="720" w:hanging="540"/>
        <w:rPr>
          <w:rFonts w:ascii="Arial" w:hAnsi="Arial"/>
        </w:rPr>
      </w:pPr>
      <w:r>
        <w:rPr>
          <w:rFonts w:ascii="Arial" w:hAnsi="Arial"/>
        </w:rPr>
        <w:t>Q.</w:t>
      </w:r>
      <w:r>
        <w:rPr>
          <w:rFonts w:ascii="Arial" w:hAnsi="Arial"/>
        </w:rPr>
        <w:tab/>
        <w:t>How are the Company’s accounting records maintained?</w:t>
      </w:r>
    </w:p>
    <w:p w:rsidR="009B5B7D" w:rsidRDefault="003E373B" w:rsidP="00DE7D73">
      <w:pPr>
        <w:spacing w:line="480" w:lineRule="atLeast"/>
        <w:ind w:left="720" w:hanging="540"/>
        <w:rPr>
          <w:rFonts w:ascii="Arial" w:hAnsi="Arial"/>
        </w:rPr>
      </w:pPr>
      <w:r>
        <w:rPr>
          <w:rFonts w:ascii="Arial" w:hAnsi="Arial"/>
        </w:rPr>
        <w:t>A.</w:t>
      </w:r>
      <w:r>
        <w:rPr>
          <w:rFonts w:ascii="Arial" w:hAnsi="Arial"/>
        </w:rPr>
        <w:tab/>
        <w:t xml:space="preserve">Gulf maintains its books and records in accordance with </w:t>
      </w:r>
      <w:r w:rsidR="00707125">
        <w:rPr>
          <w:rFonts w:ascii="Arial" w:hAnsi="Arial"/>
        </w:rPr>
        <w:t>GAAP</w:t>
      </w:r>
      <w:r>
        <w:rPr>
          <w:rFonts w:ascii="Arial" w:hAnsi="Arial"/>
        </w:rPr>
        <w:t xml:space="preserve"> and the rules and regulations prescribed for public utilities in the Uniform System of Accounts published by the FERC and adopted by the FPSC.</w:t>
      </w:r>
    </w:p>
    <w:p w:rsidR="009B5B7D" w:rsidRDefault="009B5B7D" w:rsidP="00DE7D73">
      <w:pPr>
        <w:spacing w:line="480" w:lineRule="atLeast"/>
        <w:ind w:left="720" w:hanging="540"/>
      </w:pPr>
    </w:p>
    <w:p w:rsidR="009F0411" w:rsidRDefault="009F0411" w:rsidP="00DE7D73">
      <w:pPr>
        <w:spacing w:line="480" w:lineRule="atLeast"/>
        <w:ind w:left="720" w:hanging="540"/>
      </w:pPr>
    </w:p>
    <w:p w:rsidR="008C4949" w:rsidRPr="0052413C" w:rsidRDefault="00E13EF5" w:rsidP="00DE7D73">
      <w:pPr>
        <w:spacing w:line="480" w:lineRule="atLeast"/>
        <w:ind w:left="720" w:hanging="540"/>
        <w:jc w:val="center"/>
        <w:rPr>
          <w:rFonts w:ascii="Arial" w:hAnsi="Arial"/>
          <w:b/>
        </w:rPr>
      </w:pPr>
      <w:r w:rsidRPr="0052413C">
        <w:rPr>
          <w:rFonts w:ascii="Arial" w:hAnsi="Arial"/>
          <w:b/>
        </w:rPr>
        <w:t>I</w:t>
      </w:r>
      <w:r w:rsidR="00417CC4" w:rsidRPr="0052413C">
        <w:rPr>
          <w:rFonts w:ascii="Arial" w:hAnsi="Arial"/>
          <w:b/>
        </w:rPr>
        <w:t xml:space="preserve">. </w:t>
      </w:r>
      <w:r w:rsidRPr="0052413C">
        <w:rPr>
          <w:rFonts w:ascii="Arial" w:hAnsi="Arial" w:cs="Arial"/>
          <w:b/>
        </w:rPr>
        <w:t xml:space="preserve">GULF’S 2012 </w:t>
      </w:r>
      <w:r w:rsidR="00B13C80" w:rsidRPr="0052413C">
        <w:rPr>
          <w:rFonts w:ascii="Arial" w:hAnsi="Arial" w:cs="Arial"/>
          <w:b/>
        </w:rPr>
        <w:t xml:space="preserve">ADMINISTRATIVE </w:t>
      </w:r>
      <w:r w:rsidR="00E9495A" w:rsidRPr="0052413C">
        <w:rPr>
          <w:rFonts w:ascii="Arial" w:hAnsi="Arial" w:cs="Arial"/>
          <w:b/>
        </w:rPr>
        <w:t>AND</w:t>
      </w:r>
      <w:r w:rsidR="00B13C80" w:rsidRPr="0052413C">
        <w:rPr>
          <w:rFonts w:ascii="Arial" w:hAnsi="Arial" w:cs="Arial"/>
          <w:b/>
        </w:rPr>
        <w:t xml:space="preserve"> GENERAL </w:t>
      </w:r>
      <w:r w:rsidR="00E9495A" w:rsidRPr="0052413C">
        <w:rPr>
          <w:rFonts w:ascii="Arial" w:hAnsi="Arial" w:cs="Arial"/>
          <w:b/>
        </w:rPr>
        <w:t>EXPENSES</w:t>
      </w:r>
    </w:p>
    <w:p w:rsidR="009B5B7D" w:rsidRDefault="009B5B7D" w:rsidP="00DE7D73">
      <w:pPr>
        <w:spacing w:line="480" w:lineRule="atLeast"/>
        <w:rPr>
          <w:rFonts w:ascii="Arial" w:hAnsi="Arial"/>
        </w:rPr>
      </w:pPr>
    </w:p>
    <w:p w:rsidR="009B5B7D" w:rsidRDefault="003E373B" w:rsidP="00DE7D73">
      <w:pPr>
        <w:spacing w:line="480" w:lineRule="atLeast"/>
        <w:ind w:left="734" w:hanging="547"/>
        <w:jc w:val="both"/>
        <w:rPr>
          <w:rFonts w:ascii="Arial" w:hAnsi="Arial" w:cs="Arial"/>
        </w:rPr>
      </w:pPr>
      <w:r>
        <w:rPr>
          <w:rFonts w:ascii="Arial" w:hAnsi="Arial" w:cs="Arial"/>
        </w:rPr>
        <w:t>Q.</w:t>
      </w:r>
      <w:r>
        <w:rPr>
          <w:rFonts w:ascii="Arial" w:hAnsi="Arial" w:cs="Arial"/>
        </w:rPr>
        <w:tab/>
        <w:t>What is Gulf</w:t>
      </w:r>
      <w:r w:rsidR="007038DC">
        <w:rPr>
          <w:rFonts w:ascii="Arial" w:hAnsi="Arial" w:cs="Arial"/>
        </w:rPr>
        <w:t xml:space="preserve">’s </w:t>
      </w:r>
      <w:r w:rsidR="00FE312B">
        <w:rPr>
          <w:rFonts w:ascii="Arial" w:hAnsi="Arial" w:cs="Arial"/>
        </w:rPr>
        <w:t>A&amp;G</w:t>
      </w:r>
      <w:r>
        <w:rPr>
          <w:rFonts w:ascii="Arial" w:hAnsi="Arial" w:cs="Arial"/>
        </w:rPr>
        <w:t xml:space="preserve"> </w:t>
      </w:r>
      <w:r w:rsidR="002D0630">
        <w:rPr>
          <w:rFonts w:ascii="Arial" w:hAnsi="Arial" w:cs="Arial"/>
        </w:rPr>
        <w:t xml:space="preserve">O&amp;M </w:t>
      </w:r>
      <w:r>
        <w:rPr>
          <w:rFonts w:ascii="Arial" w:hAnsi="Arial" w:cs="Arial"/>
        </w:rPr>
        <w:t>expense budget for 2012 test year?</w:t>
      </w:r>
    </w:p>
    <w:p w:rsidR="009B5B7D" w:rsidRDefault="003E373B" w:rsidP="00DE7D73">
      <w:pPr>
        <w:spacing w:line="480" w:lineRule="atLeast"/>
        <w:ind w:left="720" w:hanging="540"/>
        <w:jc w:val="both"/>
        <w:rPr>
          <w:rFonts w:ascii="Arial" w:hAnsi="Arial" w:cs="Arial"/>
        </w:rPr>
      </w:pPr>
      <w:r>
        <w:rPr>
          <w:rFonts w:ascii="Arial" w:hAnsi="Arial" w:cs="Arial"/>
        </w:rPr>
        <w:t>A.</w:t>
      </w:r>
      <w:r>
        <w:rPr>
          <w:rFonts w:ascii="Arial" w:hAnsi="Arial" w:cs="Arial"/>
        </w:rPr>
        <w:tab/>
      </w:r>
      <w:r w:rsidR="00142857">
        <w:rPr>
          <w:rFonts w:ascii="Arial" w:hAnsi="Arial" w:cs="Arial"/>
        </w:rPr>
        <w:t xml:space="preserve">Gulf projects an O&amp;M expense level for the </w:t>
      </w:r>
      <w:r w:rsidR="00FE312B">
        <w:rPr>
          <w:rFonts w:ascii="Arial" w:hAnsi="Arial"/>
        </w:rPr>
        <w:t>A&amp;G</w:t>
      </w:r>
      <w:r>
        <w:rPr>
          <w:rFonts w:ascii="Arial" w:hAnsi="Arial"/>
        </w:rPr>
        <w:t xml:space="preserve"> </w:t>
      </w:r>
      <w:r w:rsidR="00142857">
        <w:rPr>
          <w:rFonts w:ascii="Arial" w:hAnsi="Arial"/>
        </w:rPr>
        <w:t xml:space="preserve">function of </w:t>
      </w:r>
      <w:r>
        <w:rPr>
          <w:rFonts w:ascii="Arial" w:hAnsi="Arial"/>
        </w:rPr>
        <w:t>$78,</w:t>
      </w:r>
      <w:r w:rsidR="00283180">
        <w:rPr>
          <w:rFonts w:ascii="Arial" w:hAnsi="Arial"/>
        </w:rPr>
        <w:t>45</w:t>
      </w:r>
      <w:r w:rsidR="000B5F00">
        <w:rPr>
          <w:rFonts w:ascii="Arial" w:hAnsi="Arial"/>
        </w:rPr>
        <w:t>3</w:t>
      </w:r>
      <w:r>
        <w:rPr>
          <w:rFonts w:ascii="Arial" w:hAnsi="Arial"/>
        </w:rPr>
        <w:t>,000</w:t>
      </w:r>
      <w:r w:rsidR="00142857">
        <w:rPr>
          <w:rFonts w:ascii="Arial" w:hAnsi="Arial"/>
        </w:rPr>
        <w:t xml:space="preserve"> in the test year</w:t>
      </w:r>
      <w:r>
        <w:rPr>
          <w:rFonts w:ascii="Arial" w:hAnsi="Arial"/>
        </w:rPr>
        <w:t>.</w:t>
      </w:r>
    </w:p>
    <w:p w:rsidR="009B5B7D" w:rsidRDefault="009B5B7D" w:rsidP="00DE7D73">
      <w:pPr>
        <w:spacing w:line="480" w:lineRule="atLeast"/>
        <w:ind w:left="180"/>
        <w:jc w:val="both"/>
        <w:rPr>
          <w:rFonts w:ascii="Arial" w:hAnsi="Arial" w:cs="Arial"/>
        </w:rPr>
      </w:pPr>
    </w:p>
    <w:p w:rsidR="0072435D" w:rsidRDefault="0072435D" w:rsidP="00DE7D73">
      <w:pPr>
        <w:spacing w:line="480" w:lineRule="atLeast"/>
        <w:ind w:left="180"/>
        <w:jc w:val="both"/>
        <w:rPr>
          <w:rFonts w:ascii="Arial" w:hAnsi="Arial" w:cs="Arial"/>
        </w:rPr>
      </w:pPr>
    </w:p>
    <w:p w:rsidR="005F0A03" w:rsidRDefault="003E373B" w:rsidP="005F0A03">
      <w:pPr>
        <w:spacing w:line="480" w:lineRule="atLeast"/>
        <w:ind w:left="720" w:hanging="540"/>
        <w:rPr>
          <w:rFonts w:ascii="Arial" w:hAnsi="Arial" w:cs="Arial"/>
        </w:rPr>
      </w:pPr>
      <w:r>
        <w:rPr>
          <w:rFonts w:ascii="Arial" w:hAnsi="Arial" w:cs="Arial"/>
        </w:rPr>
        <w:lastRenderedPageBreak/>
        <w:t>Q.</w:t>
      </w:r>
      <w:r>
        <w:rPr>
          <w:rFonts w:ascii="Arial" w:hAnsi="Arial" w:cs="Arial"/>
        </w:rPr>
        <w:tab/>
      </w:r>
      <w:r w:rsidR="00281935">
        <w:rPr>
          <w:rFonts w:ascii="Arial" w:hAnsi="Arial" w:cs="Arial"/>
        </w:rPr>
        <w:t>Is Gulf Power’s projected level of A&amp;G expenses of $78,</w:t>
      </w:r>
      <w:r w:rsidR="00283180">
        <w:rPr>
          <w:rFonts w:ascii="Arial" w:hAnsi="Arial" w:cs="Arial"/>
        </w:rPr>
        <w:t>45</w:t>
      </w:r>
      <w:r w:rsidR="000B5F00">
        <w:rPr>
          <w:rFonts w:ascii="Arial" w:hAnsi="Arial" w:cs="Arial"/>
        </w:rPr>
        <w:t>3</w:t>
      </w:r>
      <w:r w:rsidR="00281935">
        <w:rPr>
          <w:rFonts w:ascii="Arial" w:hAnsi="Arial" w:cs="Arial"/>
        </w:rPr>
        <w:t>,000 in 2012 reasonable and prudent</w:t>
      </w:r>
      <w:r w:rsidR="00B85BCC">
        <w:rPr>
          <w:rFonts w:ascii="Arial" w:hAnsi="Arial" w:cs="Arial"/>
        </w:rPr>
        <w:t>?</w:t>
      </w:r>
    </w:p>
    <w:p w:rsidR="005F0A03" w:rsidRDefault="003E373B" w:rsidP="005F0A03">
      <w:pPr>
        <w:spacing w:line="480" w:lineRule="atLeast"/>
        <w:ind w:left="720" w:hanging="540"/>
        <w:rPr>
          <w:rFonts w:ascii="Arial" w:hAnsi="Arial" w:cs="Arial"/>
          <w:szCs w:val="24"/>
        </w:rPr>
      </w:pPr>
      <w:r>
        <w:rPr>
          <w:rFonts w:ascii="Arial" w:hAnsi="Arial" w:cs="Arial"/>
        </w:rPr>
        <w:t xml:space="preserve">A.   </w:t>
      </w:r>
      <w:r w:rsidR="00DD4159">
        <w:rPr>
          <w:rFonts w:ascii="Arial" w:hAnsi="Arial" w:cs="Arial"/>
        </w:rPr>
        <w:tab/>
      </w:r>
      <w:r w:rsidR="00281935">
        <w:rPr>
          <w:rFonts w:ascii="Arial" w:hAnsi="Arial" w:cs="Arial"/>
        </w:rPr>
        <w:t xml:space="preserve">Yes.  </w:t>
      </w:r>
      <w:r w:rsidRPr="00F71B28">
        <w:rPr>
          <w:rFonts w:ascii="Arial" w:hAnsi="Arial" w:cs="Arial"/>
          <w:szCs w:val="24"/>
        </w:rPr>
        <w:t xml:space="preserve">The projected level of </w:t>
      </w:r>
      <w:r w:rsidR="00FE312B">
        <w:rPr>
          <w:rFonts w:ascii="Arial" w:hAnsi="Arial" w:cs="Arial"/>
          <w:szCs w:val="24"/>
        </w:rPr>
        <w:t>A&amp;G</w:t>
      </w:r>
      <w:r w:rsidR="00142857">
        <w:rPr>
          <w:rFonts w:ascii="Arial" w:hAnsi="Arial" w:cs="Arial"/>
          <w:szCs w:val="24"/>
        </w:rPr>
        <w:t xml:space="preserve"> </w:t>
      </w:r>
      <w:r w:rsidRPr="00F71B28">
        <w:rPr>
          <w:rFonts w:ascii="Arial" w:hAnsi="Arial" w:cs="Arial"/>
          <w:szCs w:val="24"/>
        </w:rPr>
        <w:t xml:space="preserve">expenses </w:t>
      </w:r>
      <w:r>
        <w:rPr>
          <w:rFonts w:ascii="Arial" w:hAnsi="Arial" w:cs="Arial"/>
          <w:szCs w:val="24"/>
        </w:rPr>
        <w:t>is</w:t>
      </w:r>
      <w:r w:rsidRPr="00F71B28">
        <w:rPr>
          <w:rFonts w:ascii="Arial" w:hAnsi="Arial" w:cs="Arial"/>
          <w:szCs w:val="24"/>
        </w:rPr>
        <w:t xml:space="preserve"> both reasonable and prudent</w:t>
      </w:r>
      <w:r w:rsidR="002D0630">
        <w:rPr>
          <w:rFonts w:ascii="Arial" w:hAnsi="Arial" w:cs="Arial"/>
          <w:szCs w:val="24"/>
        </w:rPr>
        <w:t>.  Gulf’s 2012 A&amp;G O&amp;M expenses are</w:t>
      </w:r>
      <w:r w:rsidRPr="00F71B28">
        <w:rPr>
          <w:rFonts w:ascii="Arial" w:hAnsi="Arial" w:cs="Arial"/>
          <w:szCs w:val="24"/>
        </w:rPr>
        <w:t xml:space="preserve"> </w:t>
      </w:r>
      <w:r w:rsidR="001B08C7">
        <w:rPr>
          <w:rFonts w:ascii="Arial" w:hAnsi="Arial" w:cs="Arial"/>
          <w:szCs w:val="24"/>
        </w:rPr>
        <w:t>based on</w:t>
      </w:r>
      <w:r w:rsidRPr="00F71B28">
        <w:rPr>
          <w:rFonts w:ascii="Arial" w:hAnsi="Arial" w:cs="Arial"/>
          <w:szCs w:val="24"/>
        </w:rPr>
        <w:t xml:space="preserve"> the extensive budget preparation and review process that each planning unit follows</w:t>
      </w:r>
      <w:r w:rsidR="002D0630">
        <w:rPr>
          <w:rFonts w:ascii="Arial" w:hAnsi="Arial" w:cs="Arial"/>
          <w:szCs w:val="24"/>
        </w:rPr>
        <w:t>.  This</w:t>
      </w:r>
      <w:r w:rsidR="00707125">
        <w:rPr>
          <w:rFonts w:ascii="Arial" w:hAnsi="Arial" w:cs="Arial"/>
          <w:szCs w:val="24"/>
        </w:rPr>
        <w:t xml:space="preserve"> process ensures</w:t>
      </w:r>
      <w:r w:rsidRPr="00F71B28">
        <w:rPr>
          <w:rFonts w:ascii="Arial" w:hAnsi="Arial" w:cs="Arial"/>
          <w:szCs w:val="24"/>
        </w:rPr>
        <w:t xml:space="preserve"> </w:t>
      </w:r>
      <w:r w:rsidR="004A3A16">
        <w:rPr>
          <w:rFonts w:ascii="Arial" w:hAnsi="Arial" w:cs="Arial"/>
          <w:szCs w:val="24"/>
        </w:rPr>
        <w:t xml:space="preserve">that </w:t>
      </w:r>
      <w:r w:rsidRPr="00F71B28">
        <w:rPr>
          <w:rFonts w:ascii="Arial" w:hAnsi="Arial" w:cs="Arial"/>
          <w:szCs w:val="24"/>
        </w:rPr>
        <w:t>every item included in the budget is based upon the most accurate and up-to-date assumptions.</w:t>
      </w:r>
    </w:p>
    <w:p w:rsidR="005F0A03" w:rsidRDefault="005F0A03" w:rsidP="005F0A03">
      <w:pPr>
        <w:spacing w:line="480" w:lineRule="atLeast"/>
        <w:ind w:left="720" w:hanging="540"/>
        <w:rPr>
          <w:rFonts w:ascii="Arial" w:hAnsi="Arial" w:cs="Arial"/>
          <w:szCs w:val="24"/>
        </w:rPr>
      </w:pPr>
    </w:p>
    <w:p w:rsidR="002D0630" w:rsidRDefault="003E373B" w:rsidP="005F0A03">
      <w:pPr>
        <w:spacing w:line="480" w:lineRule="atLeast"/>
        <w:ind w:left="720"/>
        <w:rPr>
          <w:rFonts w:ascii="Arial" w:hAnsi="Arial" w:cs="Arial"/>
          <w:szCs w:val="24"/>
        </w:rPr>
      </w:pPr>
      <w:r w:rsidRPr="00F71B28">
        <w:rPr>
          <w:rFonts w:ascii="Arial" w:hAnsi="Arial" w:cs="Arial"/>
          <w:szCs w:val="24"/>
        </w:rPr>
        <w:t xml:space="preserve">The </w:t>
      </w:r>
      <w:r w:rsidR="00FE312B">
        <w:rPr>
          <w:rFonts w:ascii="Arial" w:hAnsi="Arial" w:cs="Arial"/>
          <w:szCs w:val="24"/>
        </w:rPr>
        <w:t>A&amp;G</w:t>
      </w:r>
      <w:r w:rsidR="000F5FA6">
        <w:rPr>
          <w:rFonts w:ascii="Arial" w:hAnsi="Arial" w:cs="Arial"/>
          <w:szCs w:val="24"/>
        </w:rPr>
        <w:t xml:space="preserve"> expense</w:t>
      </w:r>
      <w:r w:rsidR="00142857">
        <w:rPr>
          <w:rFonts w:ascii="Arial" w:hAnsi="Arial" w:cs="Arial"/>
          <w:szCs w:val="24"/>
        </w:rPr>
        <w:t xml:space="preserve"> </w:t>
      </w:r>
      <w:r w:rsidRPr="00F71B28">
        <w:rPr>
          <w:rFonts w:ascii="Arial" w:hAnsi="Arial" w:cs="Arial"/>
          <w:szCs w:val="24"/>
        </w:rPr>
        <w:t xml:space="preserve">budget consists of a wide range of corporate expenses that are not associated with any particular operating function.  </w:t>
      </w:r>
      <w:r w:rsidR="00442971">
        <w:rPr>
          <w:rFonts w:ascii="Arial" w:hAnsi="Arial" w:cs="Arial"/>
          <w:szCs w:val="24"/>
        </w:rPr>
        <w:t xml:space="preserve">There are a number of planning units within the A&amp;G function: </w:t>
      </w:r>
      <w:r w:rsidR="00442971" w:rsidRPr="00F71B28">
        <w:rPr>
          <w:rFonts w:ascii="Arial" w:hAnsi="Arial" w:cs="Arial"/>
          <w:szCs w:val="24"/>
        </w:rPr>
        <w:t>Accounting, Finance, Treasury, Human Resources</w:t>
      </w:r>
      <w:r w:rsidR="00D65149">
        <w:rPr>
          <w:rFonts w:ascii="Arial" w:hAnsi="Arial" w:cs="Arial"/>
          <w:szCs w:val="24"/>
        </w:rPr>
        <w:t>, Information Technology (IT), External Affairs, and Corporate Services</w:t>
      </w:r>
      <w:r w:rsidR="00442971">
        <w:rPr>
          <w:rFonts w:ascii="Arial" w:hAnsi="Arial" w:cs="Arial"/>
          <w:szCs w:val="24"/>
        </w:rPr>
        <w:t xml:space="preserve">.  Each planning unit within the </w:t>
      </w:r>
      <w:r w:rsidR="00FE312B">
        <w:rPr>
          <w:rFonts w:ascii="Arial" w:hAnsi="Arial" w:cs="Arial"/>
          <w:szCs w:val="24"/>
        </w:rPr>
        <w:t>A&amp;G</w:t>
      </w:r>
      <w:r w:rsidR="00442971">
        <w:rPr>
          <w:rFonts w:ascii="Arial" w:hAnsi="Arial" w:cs="Arial"/>
          <w:szCs w:val="24"/>
        </w:rPr>
        <w:t xml:space="preserve"> function is responsible for developing budgets for employees as well as </w:t>
      </w:r>
      <w:r w:rsidR="001712E7">
        <w:rPr>
          <w:rFonts w:ascii="Arial" w:hAnsi="Arial" w:cs="Arial"/>
          <w:szCs w:val="24"/>
        </w:rPr>
        <w:t xml:space="preserve">office supplies and </w:t>
      </w:r>
      <w:r w:rsidR="00442971">
        <w:rPr>
          <w:rFonts w:ascii="Arial" w:hAnsi="Arial" w:cs="Arial"/>
          <w:szCs w:val="24"/>
        </w:rPr>
        <w:t>expenses</w:t>
      </w:r>
      <w:r w:rsidR="002D0630">
        <w:rPr>
          <w:rFonts w:ascii="Arial" w:hAnsi="Arial" w:cs="Arial"/>
          <w:szCs w:val="24"/>
        </w:rPr>
        <w:t xml:space="preserve"> within its unit</w:t>
      </w:r>
      <w:r w:rsidR="001712E7">
        <w:rPr>
          <w:rFonts w:ascii="Arial" w:hAnsi="Arial" w:cs="Arial"/>
          <w:szCs w:val="24"/>
        </w:rPr>
        <w:t>.</w:t>
      </w:r>
    </w:p>
    <w:p w:rsidR="002D0630" w:rsidRDefault="002D0630" w:rsidP="005F0A03">
      <w:pPr>
        <w:spacing w:line="480" w:lineRule="atLeast"/>
        <w:ind w:left="720"/>
        <w:rPr>
          <w:rFonts w:ascii="Arial" w:hAnsi="Arial" w:cs="Arial"/>
          <w:szCs w:val="24"/>
        </w:rPr>
      </w:pPr>
    </w:p>
    <w:p w:rsidR="005F0A03" w:rsidRDefault="003E373B" w:rsidP="005F0A03">
      <w:pPr>
        <w:spacing w:line="480" w:lineRule="atLeast"/>
        <w:ind w:left="720"/>
        <w:rPr>
          <w:rFonts w:ascii="Arial" w:hAnsi="Arial" w:cs="Arial"/>
          <w:szCs w:val="24"/>
        </w:rPr>
      </w:pPr>
      <w:r w:rsidRPr="00F71B28">
        <w:rPr>
          <w:rFonts w:ascii="Arial" w:hAnsi="Arial" w:cs="Arial"/>
          <w:szCs w:val="24"/>
        </w:rPr>
        <w:t xml:space="preserve">The remaining </w:t>
      </w:r>
      <w:r w:rsidR="00FE312B">
        <w:rPr>
          <w:rFonts w:ascii="Arial" w:hAnsi="Arial" w:cs="Arial"/>
          <w:szCs w:val="24"/>
        </w:rPr>
        <w:t>A&amp;G</w:t>
      </w:r>
      <w:r w:rsidRPr="00F71B28">
        <w:rPr>
          <w:rFonts w:ascii="Arial" w:hAnsi="Arial" w:cs="Arial"/>
          <w:szCs w:val="24"/>
        </w:rPr>
        <w:t xml:space="preserve"> expenses</w:t>
      </w:r>
      <w:r w:rsidR="00EB38F2">
        <w:rPr>
          <w:rFonts w:ascii="Arial" w:hAnsi="Arial" w:cs="Arial"/>
          <w:szCs w:val="24"/>
        </w:rPr>
        <w:t xml:space="preserve"> -</w:t>
      </w:r>
      <w:r w:rsidR="001712E7">
        <w:rPr>
          <w:rFonts w:ascii="Arial" w:hAnsi="Arial" w:cs="Arial"/>
          <w:szCs w:val="24"/>
        </w:rPr>
        <w:t xml:space="preserve"> </w:t>
      </w:r>
      <w:r w:rsidR="001712E7" w:rsidRPr="00F71B28">
        <w:rPr>
          <w:rFonts w:ascii="Arial" w:hAnsi="Arial" w:cs="Arial"/>
          <w:szCs w:val="24"/>
        </w:rPr>
        <w:t>insurance, employee benefits, and other miscellaneous expenses</w:t>
      </w:r>
      <w:r w:rsidR="00D7287D">
        <w:rPr>
          <w:rFonts w:ascii="Arial" w:hAnsi="Arial" w:cs="Arial"/>
          <w:szCs w:val="24"/>
        </w:rPr>
        <w:t xml:space="preserve"> -</w:t>
      </w:r>
      <w:r w:rsidRPr="00F71B28">
        <w:rPr>
          <w:rFonts w:ascii="Arial" w:hAnsi="Arial" w:cs="Arial"/>
          <w:szCs w:val="24"/>
        </w:rPr>
        <w:t xml:space="preserve"> are budgeted at a corpo</w:t>
      </w:r>
      <w:r>
        <w:rPr>
          <w:rFonts w:ascii="Arial" w:hAnsi="Arial" w:cs="Arial"/>
          <w:szCs w:val="24"/>
        </w:rPr>
        <w:t xml:space="preserve">rate level using the latest </w:t>
      </w:r>
      <w:r w:rsidRPr="00F71B28">
        <w:rPr>
          <w:rFonts w:ascii="Arial" w:hAnsi="Arial" w:cs="Arial"/>
          <w:szCs w:val="24"/>
        </w:rPr>
        <w:t>assumptions for the projected period.</w:t>
      </w:r>
    </w:p>
    <w:p w:rsidR="009B5B7D" w:rsidRDefault="009B5B7D" w:rsidP="00DE7D73">
      <w:pPr>
        <w:spacing w:line="480" w:lineRule="atLeast"/>
        <w:ind w:left="720" w:hanging="540"/>
        <w:jc w:val="both"/>
        <w:rPr>
          <w:rFonts w:ascii="Arial" w:hAnsi="Arial" w:cs="Arial"/>
          <w:szCs w:val="24"/>
        </w:rPr>
      </w:pPr>
    </w:p>
    <w:p w:rsidR="009B5B7D" w:rsidRDefault="003E373B" w:rsidP="00BB476F">
      <w:pPr>
        <w:spacing w:line="480" w:lineRule="atLeast"/>
        <w:ind w:left="720" w:hanging="540"/>
        <w:rPr>
          <w:rFonts w:ascii="Arial" w:hAnsi="Arial" w:cs="Arial"/>
          <w:szCs w:val="24"/>
        </w:rPr>
      </w:pPr>
      <w:r>
        <w:rPr>
          <w:rFonts w:ascii="Arial" w:hAnsi="Arial" w:cs="Arial"/>
          <w:szCs w:val="24"/>
        </w:rPr>
        <w:t>Q.</w:t>
      </w:r>
      <w:r>
        <w:rPr>
          <w:rFonts w:ascii="Arial" w:hAnsi="Arial" w:cs="Arial"/>
          <w:szCs w:val="24"/>
        </w:rPr>
        <w:tab/>
      </w:r>
      <w:r w:rsidR="00281935">
        <w:rPr>
          <w:rFonts w:ascii="Arial" w:hAnsi="Arial" w:cs="Arial"/>
          <w:szCs w:val="24"/>
        </w:rPr>
        <w:t>Is Gulf</w:t>
      </w:r>
      <w:r w:rsidR="007038DC">
        <w:rPr>
          <w:rFonts w:ascii="Arial" w:hAnsi="Arial" w:cs="Arial"/>
          <w:szCs w:val="24"/>
        </w:rPr>
        <w:t xml:space="preserve">’s </w:t>
      </w:r>
      <w:r w:rsidR="00281935">
        <w:rPr>
          <w:rFonts w:ascii="Arial" w:hAnsi="Arial" w:cs="Arial"/>
          <w:szCs w:val="24"/>
        </w:rPr>
        <w:t>projected level of A&amp;G expenses of $78,</w:t>
      </w:r>
      <w:r w:rsidR="00283180">
        <w:rPr>
          <w:rFonts w:ascii="Arial" w:hAnsi="Arial" w:cs="Arial"/>
          <w:szCs w:val="24"/>
        </w:rPr>
        <w:t>45</w:t>
      </w:r>
      <w:r w:rsidR="000B5F00">
        <w:rPr>
          <w:rFonts w:ascii="Arial" w:hAnsi="Arial" w:cs="Arial"/>
          <w:szCs w:val="24"/>
        </w:rPr>
        <w:t>3</w:t>
      </w:r>
      <w:r w:rsidR="00281935">
        <w:rPr>
          <w:rFonts w:ascii="Arial" w:hAnsi="Arial" w:cs="Arial"/>
          <w:szCs w:val="24"/>
        </w:rPr>
        <w:t>,000 in 2012 representative of a going forward lev</w:t>
      </w:r>
      <w:r w:rsidR="00CC0821">
        <w:rPr>
          <w:rFonts w:ascii="Arial" w:hAnsi="Arial" w:cs="Arial"/>
          <w:szCs w:val="24"/>
        </w:rPr>
        <w:t xml:space="preserve">el of A&amp;G expense beyond 2012? </w:t>
      </w:r>
    </w:p>
    <w:p w:rsidR="002D0630" w:rsidRDefault="003E373B" w:rsidP="00DE7D73">
      <w:pPr>
        <w:spacing w:line="480" w:lineRule="atLeast"/>
        <w:ind w:left="720" w:hanging="540"/>
        <w:rPr>
          <w:rFonts w:ascii="Arial" w:hAnsi="Arial" w:cs="Arial"/>
          <w:szCs w:val="24"/>
        </w:rPr>
      </w:pPr>
      <w:r>
        <w:rPr>
          <w:rFonts w:ascii="Arial" w:hAnsi="Arial" w:cs="Arial"/>
          <w:szCs w:val="24"/>
        </w:rPr>
        <w:t>A.</w:t>
      </w:r>
      <w:r>
        <w:rPr>
          <w:rFonts w:ascii="Arial" w:hAnsi="Arial" w:cs="Arial"/>
          <w:szCs w:val="24"/>
        </w:rPr>
        <w:tab/>
      </w:r>
      <w:r w:rsidR="00281935">
        <w:rPr>
          <w:rFonts w:ascii="Arial" w:hAnsi="Arial" w:cs="Arial"/>
          <w:szCs w:val="24"/>
        </w:rPr>
        <w:t xml:space="preserve">Yes.  </w:t>
      </w:r>
      <w:r w:rsidRPr="00F71B28">
        <w:rPr>
          <w:rFonts w:ascii="Arial" w:hAnsi="Arial" w:cs="Arial"/>
          <w:szCs w:val="24"/>
        </w:rPr>
        <w:t xml:space="preserve">As noted above and discussed by </w:t>
      </w:r>
      <w:r w:rsidR="007637CF">
        <w:rPr>
          <w:rFonts w:ascii="Arial" w:hAnsi="Arial" w:cs="Arial"/>
          <w:szCs w:val="24"/>
        </w:rPr>
        <w:t>Gulf Witness</w:t>
      </w:r>
      <w:r w:rsidRPr="00F71B28">
        <w:rPr>
          <w:rFonts w:ascii="Arial" w:hAnsi="Arial" w:cs="Arial"/>
          <w:szCs w:val="24"/>
        </w:rPr>
        <w:t xml:space="preserve"> Buck, the Company’s budget process is very thorough</w:t>
      </w:r>
      <w:r w:rsidR="00DB2B00">
        <w:rPr>
          <w:rFonts w:ascii="Arial" w:hAnsi="Arial" w:cs="Arial"/>
          <w:szCs w:val="24"/>
        </w:rPr>
        <w:t>,</w:t>
      </w:r>
      <w:r w:rsidRPr="00F71B28">
        <w:rPr>
          <w:rFonts w:ascii="Arial" w:hAnsi="Arial" w:cs="Arial"/>
          <w:szCs w:val="24"/>
        </w:rPr>
        <w:t xml:space="preserve"> and </w:t>
      </w:r>
      <w:r w:rsidR="001712E7">
        <w:rPr>
          <w:rFonts w:ascii="Arial" w:hAnsi="Arial" w:cs="Arial"/>
          <w:szCs w:val="24"/>
        </w:rPr>
        <w:t xml:space="preserve">O&amp;M </w:t>
      </w:r>
      <w:r w:rsidRPr="00F71B28">
        <w:rPr>
          <w:rFonts w:ascii="Arial" w:hAnsi="Arial" w:cs="Arial"/>
          <w:szCs w:val="24"/>
        </w:rPr>
        <w:t>projections are prepared at a detailed level</w:t>
      </w:r>
      <w:r w:rsidR="001712E7">
        <w:rPr>
          <w:rFonts w:ascii="Arial" w:hAnsi="Arial" w:cs="Arial"/>
          <w:szCs w:val="24"/>
        </w:rPr>
        <w:t xml:space="preserve"> for a five year period</w:t>
      </w:r>
      <w:r w:rsidRPr="00F71B28">
        <w:rPr>
          <w:rFonts w:ascii="Arial" w:hAnsi="Arial" w:cs="Arial"/>
          <w:szCs w:val="24"/>
        </w:rPr>
        <w:t xml:space="preserve">.  </w:t>
      </w:r>
      <w:r w:rsidR="0084515B">
        <w:rPr>
          <w:rFonts w:ascii="Arial" w:hAnsi="Arial" w:cs="Arial"/>
          <w:szCs w:val="24"/>
        </w:rPr>
        <w:t xml:space="preserve">Schedule 2 of Exhibit </w:t>
      </w:r>
      <w:r w:rsidR="0084515B">
        <w:rPr>
          <w:rFonts w:ascii="Arial" w:hAnsi="Arial" w:cs="Arial"/>
          <w:szCs w:val="24"/>
        </w:rPr>
        <w:lastRenderedPageBreak/>
        <w:t>CJE-</w:t>
      </w:r>
      <w:r w:rsidR="00784C17">
        <w:rPr>
          <w:rFonts w:ascii="Arial" w:hAnsi="Arial" w:cs="Arial"/>
          <w:szCs w:val="24"/>
        </w:rPr>
        <w:t>1</w:t>
      </w:r>
      <w:r w:rsidR="003921F9">
        <w:rPr>
          <w:rFonts w:ascii="Arial" w:hAnsi="Arial" w:cs="Arial"/>
          <w:szCs w:val="24"/>
        </w:rPr>
        <w:t xml:space="preserve"> </w:t>
      </w:r>
      <w:r w:rsidR="00417CC4">
        <w:rPr>
          <w:rFonts w:ascii="Arial" w:hAnsi="Arial" w:cs="Arial"/>
          <w:szCs w:val="24"/>
        </w:rPr>
        <w:t xml:space="preserve">compares total </w:t>
      </w:r>
      <w:r w:rsidR="00FE312B">
        <w:rPr>
          <w:rFonts w:ascii="Arial" w:hAnsi="Arial" w:cs="Arial"/>
          <w:szCs w:val="24"/>
        </w:rPr>
        <w:t>A&amp;G</w:t>
      </w:r>
      <w:r w:rsidR="00417CC4">
        <w:rPr>
          <w:rFonts w:ascii="Arial" w:hAnsi="Arial" w:cs="Arial"/>
          <w:szCs w:val="24"/>
        </w:rPr>
        <w:t xml:space="preserve"> expenses, including the net operating income adjustments, for the 2012 test year with the projections for </w:t>
      </w:r>
      <w:r w:rsidR="00EB38F2">
        <w:rPr>
          <w:rFonts w:ascii="Arial" w:hAnsi="Arial" w:cs="Arial"/>
          <w:szCs w:val="24"/>
        </w:rPr>
        <w:t xml:space="preserve">2011 and </w:t>
      </w:r>
      <w:r w:rsidR="00417CC4">
        <w:rPr>
          <w:rFonts w:ascii="Arial" w:hAnsi="Arial" w:cs="Arial"/>
          <w:szCs w:val="24"/>
        </w:rPr>
        <w:t>the three years 2013</w:t>
      </w:r>
      <w:r w:rsidR="00217A2C">
        <w:rPr>
          <w:rFonts w:ascii="Arial" w:hAnsi="Arial" w:cs="Arial"/>
          <w:szCs w:val="24"/>
        </w:rPr>
        <w:t xml:space="preserve"> through </w:t>
      </w:r>
      <w:r w:rsidR="00417CC4">
        <w:rPr>
          <w:rFonts w:ascii="Arial" w:hAnsi="Arial" w:cs="Arial"/>
          <w:szCs w:val="24"/>
        </w:rPr>
        <w:t xml:space="preserve">2015.  </w:t>
      </w:r>
      <w:r w:rsidR="00FE312B">
        <w:rPr>
          <w:rFonts w:ascii="Arial" w:hAnsi="Arial" w:cs="Arial"/>
          <w:szCs w:val="24"/>
        </w:rPr>
        <w:t>A&amp;G</w:t>
      </w:r>
      <w:r w:rsidR="00DB2B00">
        <w:rPr>
          <w:rFonts w:ascii="Arial" w:hAnsi="Arial" w:cs="Arial"/>
          <w:szCs w:val="24"/>
        </w:rPr>
        <w:t xml:space="preserve"> </w:t>
      </w:r>
      <w:r>
        <w:rPr>
          <w:rFonts w:ascii="Arial" w:hAnsi="Arial" w:cs="Arial"/>
          <w:szCs w:val="24"/>
        </w:rPr>
        <w:t xml:space="preserve">expenses identified in the budget process for </w:t>
      </w:r>
      <w:r w:rsidR="00EB38F2">
        <w:rPr>
          <w:rFonts w:ascii="Arial" w:hAnsi="Arial" w:cs="Arial"/>
          <w:szCs w:val="24"/>
        </w:rPr>
        <w:t xml:space="preserve">the years 2011 and </w:t>
      </w:r>
      <w:r>
        <w:rPr>
          <w:rFonts w:ascii="Arial" w:hAnsi="Arial" w:cs="Arial"/>
          <w:szCs w:val="24"/>
        </w:rPr>
        <w:t>2013</w:t>
      </w:r>
      <w:r w:rsidR="00217A2C">
        <w:rPr>
          <w:rFonts w:ascii="Arial" w:hAnsi="Arial" w:cs="Arial"/>
          <w:szCs w:val="24"/>
        </w:rPr>
        <w:t xml:space="preserve"> through </w:t>
      </w:r>
      <w:r>
        <w:rPr>
          <w:rFonts w:ascii="Arial" w:hAnsi="Arial" w:cs="Arial"/>
          <w:szCs w:val="24"/>
        </w:rPr>
        <w:t xml:space="preserve">2015 are in line with the 2012 </w:t>
      </w:r>
      <w:r w:rsidR="00DB2B00">
        <w:rPr>
          <w:rFonts w:ascii="Arial" w:hAnsi="Arial" w:cs="Arial"/>
          <w:szCs w:val="24"/>
        </w:rPr>
        <w:t xml:space="preserve">A&amp;G </w:t>
      </w:r>
      <w:r>
        <w:rPr>
          <w:rFonts w:ascii="Arial" w:hAnsi="Arial" w:cs="Arial"/>
          <w:szCs w:val="24"/>
        </w:rPr>
        <w:t>expenses</w:t>
      </w:r>
      <w:r w:rsidR="00DB2B00">
        <w:rPr>
          <w:rFonts w:ascii="Arial" w:hAnsi="Arial" w:cs="Arial"/>
          <w:szCs w:val="24"/>
        </w:rPr>
        <w:t>,</w:t>
      </w:r>
      <w:r>
        <w:rPr>
          <w:rFonts w:ascii="Arial" w:hAnsi="Arial" w:cs="Arial"/>
          <w:szCs w:val="24"/>
        </w:rPr>
        <w:t xml:space="preserve"> with the exception of employee benefit expense</w:t>
      </w:r>
      <w:r w:rsidR="00DB2B00">
        <w:rPr>
          <w:rFonts w:ascii="Arial" w:hAnsi="Arial" w:cs="Arial"/>
          <w:szCs w:val="24"/>
        </w:rPr>
        <w:t>s</w:t>
      </w:r>
      <w:r>
        <w:rPr>
          <w:rFonts w:ascii="Arial" w:hAnsi="Arial" w:cs="Arial"/>
          <w:szCs w:val="24"/>
        </w:rPr>
        <w:t xml:space="preserve"> in 2013 </w:t>
      </w:r>
      <w:r w:rsidR="00DB2B00">
        <w:rPr>
          <w:rFonts w:ascii="Arial" w:hAnsi="Arial" w:cs="Arial"/>
          <w:szCs w:val="24"/>
        </w:rPr>
        <w:t>through 2015</w:t>
      </w:r>
      <w:r w:rsidR="002D0630">
        <w:rPr>
          <w:rFonts w:ascii="Arial" w:hAnsi="Arial" w:cs="Arial"/>
          <w:szCs w:val="24"/>
        </w:rPr>
        <w:t>.</w:t>
      </w:r>
    </w:p>
    <w:p w:rsidR="009B5B7D" w:rsidRDefault="002D0630" w:rsidP="00DE7D73">
      <w:pPr>
        <w:spacing w:line="480" w:lineRule="atLeast"/>
        <w:ind w:left="720" w:hanging="540"/>
        <w:rPr>
          <w:rFonts w:ascii="Arial" w:hAnsi="Arial"/>
        </w:rPr>
      </w:pPr>
      <w:r>
        <w:rPr>
          <w:rFonts w:ascii="Arial" w:hAnsi="Arial"/>
        </w:rPr>
        <w:t xml:space="preserve"> </w:t>
      </w:r>
    </w:p>
    <w:p w:rsidR="009B5B7D" w:rsidRDefault="003E373B" w:rsidP="00DE7D73">
      <w:pPr>
        <w:spacing w:line="480" w:lineRule="atLeast"/>
        <w:ind w:left="720" w:hanging="540"/>
        <w:rPr>
          <w:rFonts w:ascii="Arial" w:hAnsi="Arial"/>
        </w:rPr>
      </w:pPr>
      <w:r>
        <w:rPr>
          <w:rFonts w:ascii="Arial" w:hAnsi="Arial"/>
        </w:rPr>
        <w:t>Q.</w:t>
      </w:r>
      <w:r>
        <w:rPr>
          <w:rFonts w:ascii="Arial" w:hAnsi="Arial"/>
        </w:rPr>
        <w:tab/>
        <w:t>Please address the</w:t>
      </w:r>
      <w:r w:rsidR="00203EBA">
        <w:rPr>
          <w:rFonts w:ascii="Arial" w:hAnsi="Arial"/>
        </w:rPr>
        <w:t xml:space="preserve"> primary</w:t>
      </w:r>
      <w:r>
        <w:rPr>
          <w:rFonts w:ascii="Arial" w:hAnsi="Arial"/>
        </w:rPr>
        <w:t xml:space="preserve"> factors that </w:t>
      </w:r>
      <w:r w:rsidR="00203EBA">
        <w:rPr>
          <w:rFonts w:ascii="Arial" w:hAnsi="Arial"/>
        </w:rPr>
        <w:t>have driven</w:t>
      </w:r>
      <w:r>
        <w:rPr>
          <w:rFonts w:ascii="Arial" w:hAnsi="Arial"/>
        </w:rPr>
        <w:t xml:space="preserve"> Gulf’s overall </w:t>
      </w:r>
      <w:r w:rsidR="00FE312B">
        <w:rPr>
          <w:rFonts w:ascii="Arial" w:hAnsi="Arial"/>
        </w:rPr>
        <w:t>A&amp;G</w:t>
      </w:r>
      <w:r>
        <w:rPr>
          <w:rFonts w:ascii="Arial" w:hAnsi="Arial"/>
        </w:rPr>
        <w:t xml:space="preserve"> </w:t>
      </w:r>
      <w:r w:rsidR="00203EBA">
        <w:rPr>
          <w:rFonts w:ascii="Arial" w:hAnsi="Arial"/>
        </w:rPr>
        <w:t>expense</w:t>
      </w:r>
      <w:r w:rsidR="00115BD0">
        <w:rPr>
          <w:rFonts w:ascii="Arial" w:hAnsi="Arial"/>
        </w:rPr>
        <w:t>s</w:t>
      </w:r>
      <w:r w:rsidR="00203EBA">
        <w:rPr>
          <w:rFonts w:ascii="Arial" w:hAnsi="Arial"/>
        </w:rPr>
        <w:t xml:space="preserve"> up since Gulf’s prior rate case.</w:t>
      </w:r>
    </w:p>
    <w:p w:rsidR="00F97329" w:rsidRDefault="003E373B" w:rsidP="00DE7D73">
      <w:pPr>
        <w:spacing w:line="480" w:lineRule="atLeast"/>
        <w:ind w:left="720" w:hanging="540"/>
        <w:rPr>
          <w:rFonts w:ascii="Arial" w:hAnsi="Arial"/>
        </w:rPr>
      </w:pPr>
      <w:r>
        <w:rPr>
          <w:rFonts w:ascii="Arial" w:hAnsi="Arial"/>
        </w:rPr>
        <w:t>A.</w:t>
      </w:r>
      <w:r>
        <w:rPr>
          <w:rFonts w:ascii="Arial" w:hAnsi="Arial"/>
        </w:rPr>
        <w:tab/>
      </w:r>
      <w:r w:rsidR="0084515B">
        <w:rPr>
          <w:rFonts w:ascii="Arial" w:hAnsi="Arial"/>
        </w:rPr>
        <w:t>Excluding</w:t>
      </w:r>
      <w:r w:rsidR="00F3734E">
        <w:rPr>
          <w:rFonts w:ascii="Arial" w:hAnsi="Arial"/>
        </w:rPr>
        <w:t xml:space="preserve"> employee bene</w:t>
      </w:r>
      <w:r w:rsidR="00203EBA">
        <w:rPr>
          <w:rFonts w:ascii="Arial" w:hAnsi="Arial"/>
        </w:rPr>
        <w:t>fits costs</w:t>
      </w:r>
      <w:r w:rsidR="00F3734E">
        <w:rPr>
          <w:rFonts w:ascii="Arial" w:hAnsi="Arial"/>
        </w:rPr>
        <w:t xml:space="preserve">, which are addressed by </w:t>
      </w:r>
      <w:r w:rsidR="00F36E6D">
        <w:rPr>
          <w:rFonts w:ascii="Arial" w:hAnsi="Arial"/>
        </w:rPr>
        <w:t>Gulf Witnesses</w:t>
      </w:r>
      <w:r w:rsidR="007637CF">
        <w:rPr>
          <w:rFonts w:ascii="Arial" w:hAnsi="Arial"/>
        </w:rPr>
        <w:t xml:space="preserve"> </w:t>
      </w:r>
      <w:r w:rsidR="007038DC">
        <w:rPr>
          <w:rFonts w:ascii="Arial" w:hAnsi="Arial"/>
        </w:rPr>
        <w:t>Twery</w:t>
      </w:r>
      <w:r w:rsidR="00404418">
        <w:rPr>
          <w:rFonts w:ascii="Arial" w:hAnsi="Arial"/>
        </w:rPr>
        <w:t xml:space="preserve"> and Crumlish</w:t>
      </w:r>
      <w:r w:rsidR="007038DC">
        <w:rPr>
          <w:rFonts w:ascii="Arial" w:hAnsi="Arial"/>
        </w:rPr>
        <w:t>,</w:t>
      </w:r>
      <w:r w:rsidR="007637CF">
        <w:rPr>
          <w:rFonts w:ascii="Arial" w:hAnsi="Arial"/>
        </w:rPr>
        <w:t xml:space="preserve"> </w:t>
      </w:r>
      <w:r w:rsidR="00203EBA">
        <w:rPr>
          <w:rFonts w:ascii="Arial" w:hAnsi="Arial"/>
        </w:rPr>
        <w:t>t</w:t>
      </w:r>
      <w:r>
        <w:rPr>
          <w:rFonts w:ascii="Arial" w:hAnsi="Arial"/>
        </w:rPr>
        <w:t xml:space="preserve">here are </w:t>
      </w:r>
      <w:r w:rsidR="000E2049">
        <w:rPr>
          <w:rFonts w:ascii="Arial" w:hAnsi="Arial"/>
        </w:rPr>
        <w:t xml:space="preserve">five </w:t>
      </w:r>
      <w:r>
        <w:rPr>
          <w:rFonts w:ascii="Arial" w:hAnsi="Arial"/>
        </w:rPr>
        <w:t xml:space="preserve">primary factors that </w:t>
      </w:r>
      <w:r w:rsidR="00203EBA">
        <w:rPr>
          <w:rFonts w:ascii="Arial" w:hAnsi="Arial"/>
        </w:rPr>
        <w:t xml:space="preserve">have resulted in significant increases in Gulf’s A&amp;G expense over the decade since Gulf’s last </w:t>
      </w:r>
      <w:r w:rsidR="00115BD0">
        <w:rPr>
          <w:rFonts w:ascii="Arial" w:hAnsi="Arial"/>
        </w:rPr>
        <w:t xml:space="preserve">base </w:t>
      </w:r>
      <w:r w:rsidR="00203EBA">
        <w:rPr>
          <w:rFonts w:ascii="Arial" w:hAnsi="Arial"/>
        </w:rPr>
        <w:t xml:space="preserve">rate increase.  </w:t>
      </w:r>
      <w:r w:rsidR="00F97329">
        <w:rPr>
          <w:rFonts w:ascii="Arial" w:hAnsi="Arial"/>
        </w:rPr>
        <w:t>Most</w:t>
      </w:r>
      <w:r w:rsidR="00203EBA">
        <w:rPr>
          <w:rFonts w:ascii="Arial" w:hAnsi="Arial"/>
        </w:rPr>
        <w:t xml:space="preserve"> of these </w:t>
      </w:r>
      <w:r w:rsidR="00234AF5">
        <w:rPr>
          <w:rFonts w:ascii="Arial" w:hAnsi="Arial"/>
        </w:rPr>
        <w:t xml:space="preserve">cost </w:t>
      </w:r>
      <w:r w:rsidR="00203EBA">
        <w:rPr>
          <w:rFonts w:ascii="Arial" w:hAnsi="Arial"/>
        </w:rPr>
        <w:t xml:space="preserve">drivers were beyond Gulf’s control, and even </w:t>
      </w:r>
      <w:r w:rsidR="00F97329">
        <w:rPr>
          <w:rFonts w:ascii="Arial" w:hAnsi="Arial"/>
        </w:rPr>
        <w:t>with attempts to mitigate the impact of these driver</w:t>
      </w:r>
      <w:r w:rsidR="00F3734E">
        <w:rPr>
          <w:rFonts w:ascii="Arial" w:hAnsi="Arial"/>
        </w:rPr>
        <w:t>s, Gulf has experienced rising A</w:t>
      </w:r>
      <w:r w:rsidR="00F97329">
        <w:rPr>
          <w:rFonts w:ascii="Arial" w:hAnsi="Arial"/>
        </w:rPr>
        <w:t xml:space="preserve">&amp;G expenses.  </w:t>
      </w:r>
    </w:p>
    <w:p w:rsidR="00F97329" w:rsidRDefault="00F97329" w:rsidP="00DE7D73">
      <w:pPr>
        <w:spacing w:line="480" w:lineRule="atLeast"/>
        <w:ind w:left="720" w:hanging="540"/>
        <w:rPr>
          <w:rFonts w:ascii="Arial" w:hAnsi="Arial"/>
        </w:rPr>
      </w:pPr>
    </w:p>
    <w:p w:rsidR="00361458" w:rsidRDefault="00F97329" w:rsidP="002D0630">
      <w:pPr>
        <w:spacing w:line="480" w:lineRule="atLeast"/>
        <w:ind w:left="720"/>
        <w:rPr>
          <w:rFonts w:ascii="Arial" w:hAnsi="Arial"/>
        </w:rPr>
      </w:pPr>
      <w:r>
        <w:rPr>
          <w:rFonts w:ascii="Arial" w:hAnsi="Arial"/>
        </w:rPr>
        <w:t xml:space="preserve">The first major driver of </w:t>
      </w:r>
      <w:r w:rsidR="00F3734E">
        <w:rPr>
          <w:rFonts w:ascii="Arial" w:hAnsi="Arial"/>
        </w:rPr>
        <w:t>i</w:t>
      </w:r>
      <w:r>
        <w:rPr>
          <w:rFonts w:ascii="Arial" w:hAnsi="Arial"/>
        </w:rPr>
        <w:t xml:space="preserve">ncreased A&amp;G costs was </w:t>
      </w:r>
      <w:r w:rsidR="003E373B">
        <w:rPr>
          <w:rFonts w:ascii="Arial" w:hAnsi="Arial"/>
        </w:rPr>
        <w:t>the passage of the Sarbanes-Oxley Act of 2002</w:t>
      </w:r>
      <w:r w:rsidR="00417CC4">
        <w:rPr>
          <w:rFonts w:ascii="Arial" w:hAnsi="Arial"/>
        </w:rPr>
        <w:t>.</w:t>
      </w:r>
      <w:r>
        <w:rPr>
          <w:rFonts w:ascii="Arial" w:hAnsi="Arial"/>
        </w:rPr>
        <w:t xml:space="preserve"> The Sarbane</w:t>
      </w:r>
      <w:r w:rsidR="00F3734E">
        <w:rPr>
          <w:rFonts w:ascii="Arial" w:hAnsi="Arial"/>
        </w:rPr>
        <w:t>s-Oxley A</w:t>
      </w:r>
      <w:r>
        <w:rPr>
          <w:rFonts w:ascii="Arial" w:hAnsi="Arial"/>
        </w:rPr>
        <w:t xml:space="preserve">ct was the response of Congress to several well known </w:t>
      </w:r>
      <w:r w:rsidR="00417CC4">
        <w:rPr>
          <w:rFonts w:ascii="Arial" w:hAnsi="Arial"/>
        </w:rPr>
        <w:t>corporate</w:t>
      </w:r>
      <w:r>
        <w:rPr>
          <w:rFonts w:ascii="Arial" w:hAnsi="Arial"/>
        </w:rPr>
        <w:t xml:space="preserve"> failures in which </w:t>
      </w:r>
      <w:r w:rsidR="00D65149">
        <w:rPr>
          <w:rFonts w:ascii="Arial" w:hAnsi="Arial"/>
        </w:rPr>
        <w:t>misleading</w:t>
      </w:r>
      <w:r>
        <w:rPr>
          <w:rFonts w:ascii="Arial" w:hAnsi="Arial"/>
        </w:rPr>
        <w:t xml:space="preserve"> financial data was reported to investors and regulators. The Sarbanes-Oxley Act not only significantly</w:t>
      </w:r>
      <w:r w:rsidR="003E373B">
        <w:rPr>
          <w:rFonts w:ascii="Arial" w:hAnsi="Arial"/>
        </w:rPr>
        <w:t xml:space="preserve"> impacted the level of work required by the Company’s external auditors to issue an opinion on the Company’s financial statements</w:t>
      </w:r>
      <w:r>
        <w:rPr>
          <w:rFonts w:ascii="Arial" w:hAnsi="Arial"/>
        </w:rPr>
        <w:t>, but also required</w:t>
      </w:r>
      <w:r w:rsidR="003E373B">
        <w:rPr>
          <w:rFonts w:ascii="Arial" w:hAnsi="Arial"/>
        </w:rPr>
        <w:t xml:space="preserve"> Gulf’s management to assess the </w:t>
      </w:r>
      <w:r w:rsidR="005910D4">
        <w:rPr>
          <w:rFonts w:ascii="Arial" w:hAnsi="Arial"/>
        </w:rPr>
        <w:t xml:space="preserve"> </w:t>
      </w:r>
      <w:r w:rsidR="003E373B">
        <w:rPr>
          <w:rFonts w:ascii="Arial" w:hAnsi="Arial"/>
        </w:rPr>
        <w:t xml:space="preserve">internal controls </w:t>
      </w:r>
      <w:r w:rsidR="007637CF">
        <w:rPr>
          <w:rFonts w:ascii="Arial" w:hAnsi="Arial"/>
        </w:rPr>
        <w:t xml:space="preserve">over financial reporting </w:t>
      </w:r>
      <w:r w:rsidR="003E373B">
        <w:rPr>
          <w:rFonts w:ascii="Arial" w:hAnsi="Arial"/>
        </w:rPr>
        <w:t>of the Company</w:t>
      </w:r>
      <w:r w:rsidR="00D65149">
        <w:rPr>
          <w:rFonts w:ascii="Arial" w:hAnsi="Arial"/>
        </w:rPr>
        <w:t>.</w:t>
      </w:r>
      <w:r w:rsidR="003E373B">
        <w:rPr>
          <w:rFonts w:ascii="Arial" w:hAnsi="Arial"/>
        </w:rPr>
        <w:t xml:space="preserve">  </w:t>
      </w:r>
      <w:r>
        <w:rPr>
          <w:rFonts w:ascii="Arial" w:hAnsi="Arial"/>
        </w:rPr>
        <w:t>Both of these developments have led to significantly increased levels of A&amp;G expenses</w:t>
      </w:r>
      <w:r w:rsidR="00D65149">
        <w:rPr>
          <w:rFonts w:ascii="Arial" w:hAnsi="Arial"/>
        </w:rPr>
        <w:t xml:space="preserve"> </w:t>
      </w:r>
      <w:r w:rsidR="007637CF">
        <w:rPr>
          <w:rFonts w:ascii="Arial" w:hAnsi="Arial"/>
        </w:rPr>
        <w:lastRenderedPageBreak/>
        <w:t xml:space="preserve">related to external audit </w:t>
      </w:r>
      <w:r w:rsidR="00B85BCC">
        <w:rPr>
          <w:rFonts w:ascii="Arial" w:hAnsi="Arial"/>
        </w:rPr>
        <w:t xml:space="preserve">fees </w:t>
      </w:r>
      <w:r w:rsidR="007637CF">
        <w:rPr>
          <w:rFonts w:ascii="Arial" w:hAnsi="Arial"/>
        </w:rPr>
        <w:t>and internal controls</w:t>
      </w:r>
      <w:r w:rsidR="004A0E4D">
        <w:rPr>
          <w:rFonts w:ascii="Arial" w:hAnsi="Arial"/>
        </w:rPr>
        <w:t>,</w:t>
      </w:r>
      <w:r w:rsidR="007637CF">
        <w:rPr>
          <w:rFonts w:ascii="Arial" w:hAnsi="Arial"/>
        </w:rPr>
        <w:t xml:space="preserve"> </w:t>
      </w:r>
      <w:r w:rsidR="00D65149">
        <w:rPr>
          <w:rFonts w:ascii="Arial" w:hAnsi="Arial"/>
        </w:rPr>
        <w:t>as I discuss later in my testimony</w:t>
      </w:r>
      <w:r>
        <w:rPr>
          <w:rFonts w:ascii="Arial" w:hAnsi="Arial"/>
        </w:rPr>
        <w:t>.</w:t>
      </w:r>
    </w:p>
    <w:p w:rsidR="000F5FA6" w:rsidRDefault="000F5FA6" w:rsidP="00DE7D73">
      <w:pPr>
        <w:spacing w:line="480" w:lineRule="atLeast"/>
        <w:ind w:left="720"/>
        <w:rPr>
          <w:rFonts w:ascii="Arial" w:hAnsi="Arial"/>
        </w:rPr>
      </w:pPr>
    </w:p>
    <w:p w:rsidR="00361458" w:rsidRDefault="00F97329" w:rsidP="002D0630">
      <w:pPr>
        <w:spacing w:line="480" w:lineRule="atLeast"/>
        <w:ind w:left="720"/>
        <w:rPr>
          <w:rFonts w:ascii="Arial" w:hAnsi="Arial"/>
        </w:rPr>
      </w:pPr>
      <w:r>
        <w:rPr>
          <w:rFonts w:ascii="Arial" w:hAnsi="Arial"/>
        </w:rPr>
        <w:t xml:space="preserve">The second major </w:t>
      </w:r>
      <w:r w:rsidR="00417CC4">
        <w:rPr>
          <w:rFonts w:ascii="Arial" w:hAnsi="Arial"/>
        </w:rPr>
        <w:t>driver of increased A&amp;G expense since Gulf’s last rate case was</w:t>
      </w:r>
      <w:r>
        <w:rPr>
          <w:rFonts w:ascii="Arial" w:hAnsi="Arial"/>
        </w:rPr>
        <w:t xml:space="preserve"> the </w:t>
      </w:r>
      <w:r w:rsidR="003E373B">
        <w:rPr>
          <w:rFonts w:ascii="Arial" w:hAnsi="Arial"/>
        </w:rPr>
        <w:t xml:space="preserve">September 11, 2001 terrorist attack.  </w:t>
      </w:r>
      <w:r w:rsidR="00FE7CFC">
        <w:rPr>
          <w:rFonts w:ascii="Arial" w:hAnsi="Arial"/>
        </w:rPr>
        <w:t xml:space="preserve">As a result of unanticipated and </w:t>
      </w:r>
      <w:r w:rsidR="00417CC4">
        <w:rPr>
          <w:rFonts w:ascii="Arial" w:hAnsi="Arial"/>
        </w:rPr>
        <w:t>unprecedented</w:t>
      </w:r>
      <w:r w:rsidR="00FE7CFC">
        <w:rPr>
          <w:rFonts w:ascii="Arial" w:hAnsi="Arial"/>
        </w:rPr>
        <w:t xml:space="preserve"> losses </w:t>
      </w:r>
      <w:r w:rsidR="00D65149">
        <w:rPr>
          <w:rFonts w:ascii="Arial" w:hAnsi="Arial"/>
        </w:rPr>
        <w:t xml:space="preserve">in the insurance markets </w:t>
      </w:r>
      <w:r w:rsidR="00FE7CFC">
        <w:rPr>
          <w:rFonts w:ascii="Arial" w:hAnsi="Arial"/>
        </w:rPr>
        <w:t xml:space="preserve">and the </w:t>
      </w:r>
      <w:r w:rsidR="00417CC4">
        <w:rPr>
          <w:rFonts w:ascii="Arial" w:hAnsi="Arial"/>
        </w:rPr>
        <w:t>prospect</w:t>
      </w:r>
      <w:r w:rsidR="00FE7CFC">
        <w:rPr>
          <w:rFonts w:ascii="Arial" w:hAnsi="Arial"/>
        </w:rPr>
        <w:t xml:space="preserve"> that there might be further terrorist related events and losses, </w:t>
      </w:r>
      <w:r w:rsidR="003E373B">
        <w:rPr>
          <w:rFonts w:ascii="Arial" w:hAnsi="Arial"/>
        </w:rPr>
        <w:t xml:space="preserve">Gulf’s premiums associated with its property </w:t>
      </w:r>
      <w:r w:rsidR="00B85BCC">
        <w:rPr>
          <w:rFonts w:ascii="Arial" w:hAnsi="Arial"/>
        </w:rPr>
        <w:t xml:space="preserve">and public liability </w:t>
      </w:r>
      <w:r w:rsidR="003E373B">
        <w:rPr>
          <w:rFonts w:ascii="Arial" w:hAnsi="Arial"/>
        </w:rPr>
        <w:t xml:space="preserve">insurance </w:t>
      </w:r>
      <w:r w:rsidR="00D65149">
        <w:rPr>
          <w:rFonts w:ascii="Arial" w:hAnsi="Arial"/>
        </w:rPr>
        <w:t xml:space="preserve">have </w:t>
      </w:r>
      <w:r w:rsidR="003E373B">
        <w:rPr>
          <w:rFonts w:ascii="Arial" w:hAnsi="Arial"/>
        </w:rPr>
        <w:t>increased dramatically</w:t>
      </w:r>
      <w:r w:rsidR="00F3734E">
        <w:rPr>
          <w:rFonts w:ascii="Arial" w:hAnsi="Arial"/>
        </w:rPr>
        <w:t xml:space="preserve">.  </w:t>
      </w:r>
    </w:p>
    <w:p w:rsidR="000F5FA6" w:rsidRDefault="000F5FA6" w:rsidP="00DE7D73">
      <w:pPr>
        <w:spacing w:line="480" w:lineRule="atLeast"/>
        <w:ind w:left="720"/>
        <w:rPr>
          <w:rFonts w:ascii="Arial" w:hAnsi="Arial"/>
        </w:rPr>
      </w:pPr>
    </w:p>
    <w:p w:rsidR="00361458" w:rsidRDefault="00FE7CFC" w:rsidP="002D0630">
      <w:pPr>
        <w:spacing w:line="480" w:lineRule="atLeast"/>
        <w:ind w:left="720"/>
        <w:rPr>
          <w:rFonts w:ascii="Arial" w:hAnsi="Arial"/>
        </w:rPr>
      </w:pPr>
      <w:r>
        <w:rPr>
          <w:rFonts w:ascii="Arial" w:hAnsi="Arial"/>
        </w:rPr>
        <w:t>A t</w:t>
      </w:r>
      <w:r w:rsidR="003E373B">
        <w:rPr>
          <w:rFonts w:ascii="Arial" w:hAnsi="Arial"/>
        </w:rPr>
        <w:t>hird</w:t>
      </w:r>
      <w:r>
        <w:rPr>
          <w:rFonts w:ascii="Arial" w:hAnsi="Arial"/>
        </w:rPr>
        <w:t xml:space="preserve"> driver of increased A&amp;G expenses since the last rate case was the particularly severe</w:t>
      </w:r>
      <w:r w:rsidR="003E373B">
        <w:rPr>
          <w:rFonts w:ascii="Arial" w:hAnsi="Arial"/>
        </w:rPr>
        <w:t xml:space="preserve"> hurricane seasons of 2004 and 2005</w:t>
      </w:r>
      <w:r>
        <w:rPr>
          <w:rFonts w:ascii="Arial" w:hAnsi="Arial"/>
        </w:rPr>
        <w:t>.  Once again</w:t>
      </w:r>
      <w:r w:rsidR="003E373B">
        <w:rPr>
          <w:rFonts w:ascii="Arial" w:hAnsi="Arial"/>
        </w:rPr>
        <w:t xml:space="preserve">, like September 11, </w:t>
      </w:r>
      <w:r>
        <w:rPr>
          <w:rFonts w:ascii="Arial" w:hAnsi="Arial"/>
        </w:rPr>
        <w:t>there were</w:t>
      </w:r>
      <w:r w:rsidR="003E373B">
        <w:rPr>
          <w:rFonts w:ascii="Arial" w:hAnsi="Arial"/>
        </w:rPr>
        <w:t xml:space="preserve"> heavy losses in the insurance markets</w:t>
      </w:r>
      <w:r>
        <w:rPr>
          <w:rFonts w:ascii="Arial" w:hAnsi="Arial"/>
        </w:rPr>
        <w:t>.  This, in turn, increased</w:t>
      </w:r>
      <w:r w:rsidR="003E373B">
        <w:rPr>
          <w:rFonts w:ascii="Arial" w:hAnsi="Arial"/>
        </w:rPr>
        <w:t xml:space="preserve"> the premiums for property insurance.  Gulf was affected by </w:t>
      </w:r>
      <w:r w:rsidR="00F72027">
        <w:rPr>
          <w:rFonts w:ascii="Arial" w:hAnsi="Arial"/>
        </w:rPr>
        <w:t>three</w:t>
      </w:r>
      <w:r w:rsidR="003E373B">
        <w:rPr>
          <w:rFonts w:ascii="Arial" w:hAnsi="Arial"/>
        </w:rPr>
        <w:t xml:space="preserve"> </w:t>
      </w:r>
      <w:r w:rsidR="00234AF5">
        <w:rPr>
          <w:rFonts w:ascii="Arial" w:hAnsi="Arial"/>
        </w:rPr>
        <w:t>C</w:t>
      </w:r>
      <w:r w:rsidR="003E373B">
        <w:rPr>
          <w:rFonts w:ascii="Arial" w:hAnsi="Arial"/>
        </w:rPr>
        <w:t xml:space="preserve">ategory 3 storms during this period.  </w:t>
      </w:r>
    </w:p>
    <w:p w:rsidR="000F5FA6" w:rsidRDefault="000F5FA6" w:rsidP="00DE7D73">
      <w:pPr>
        <w:spacing w:line="480" w:lineRule="atLeast"/>
        <w:ind w:left="720"/>
        <w:rPr>
          <w:rFonts w:ascii="Arial" w:hAnsi="Arial"/>
        </w:rPr>
      </w:pPr>
    </w:p>
    <w:p w:rsidR="00361458" w:rsidRDefault="00361458" w:rsidP="00F72027">
      <w:pPr>
        <w:spacing w:line="480" w:lineRule="atLeast"/>
        <w:ind w:left="720"/>
        <w:rPr>
          <w:rFonts w:ascii="Arial" w:hAnsi="Arial"/>
        </w:rPr>
      </w:pPr>
      <w:r w:rsidRPr="00F72027">
        <w:rPr>
          <w:rFonts w:ascii="Arial" w:hAnsi="Arial"/>
        </w:rPr>
        <w:t>A fourth driver of A&amp;G costs was the financial crisis beginning in 2008, which affected many financial institutions.  As a result of the near collapse of the financial markets, Gulf was affected by rising costs associated with obtaining adequate financing.</w:t>
      </w:r>
      <w:r w:rsidR="003E373B">
        <w:rPr>
          <w:rFonts w:ascii="Arial" w:hAnsi="Arial"/>
        </w:rPr>
        <w:t xml:space="preserve"> </w:t>
      </w:r>
    </w:p>
    <w:p w:rsidR="000F5FA6" w:rsidRDefault="000F5FA6" w:rsidP="00DE7D73">
      <w:pPr>
        <w:spacing w:line="480" w:lineRule="atLeast"/>
        <w:ind w:left="720"/>
        <w:rPr>
          <w:rFonts w:ascii="Arial" w:hAnsi="Arial"/>
        </w:rPr>
      </w:pPr>
    </w:p>
    <w:p w:rsidR="00361458" w:rsidRDefault="00FE7CFC" w:rsidP="00F72027">
      <w:pPr>
        <w:spacing w:line="480" w:lineRule="atLeast"/>
        <w:ind w:left="720"/>
        <w:rPr>
          <w:rFonts w:ascii="Arial" w:hAnsi="Arial"/>
        </w:rPr>
      </w:pPr>
      <w:r>
        <w:rPr>
          <w:rFonts w:ascii="Arial" w:hAnsi="Arial"/>
        </w:rPr>
        <w:t xml:space="preserve">The last </w:t>
      </w:r>
      <w:r w:rsidR="00783F37">
        <w:rPr>
          <w:rFonts w:ascii="Arial" w:hAnsi="Arial"/>
        </w:rPr>
        <w:t xml:space="preserve">significant </w:t>
      </w:r>
      <w:r>
        <w:rPr>
          <w:rFonts w:ascii="Arial" w:hAnsi="Arial"/>
        </w:rPr>
        <w:t xml:space="preserve">driver </w:t>
      </w:r>
      <w:r w:rsidR="004A0E4D">
        <w:rPr>
          <w:rFonts w:ascii="Arial" w:hAnsi="Arial"/>
        </w:rPr>
        <w:t xml:space="preserve">of </w:t>
      </w:r>
      <w:r>
        <w:rPr>
          <w:rFonts w:ascii="Arial" w:hAnsi="Arial"/>
        </w:rPr>
        <w:t xml:space="preserve">increased A&amp;G expenses since the last rate case was </w:t>
      </w:r>
      <w:r w:rsidR="00F3734E">
        <w:rPr>
          <w:rFonts w:ascii="Arial" w:hAnsi="Arial"/>
        </w:rPr>
        <w:t xml:space="preserve">necessary </w:t>
      </w:r>
      <w:r w:rsidR="003E373B">
        <w:rPr>
          <w:rFonts w:ascii="Arial" w:hAnsi="Arial"/>
        </w:rPr>
        <w:t>technology upgrades to Gulf’s accounting</w:t>
      </w:r>
      <w:r w:rsidR="00077F99">
        <w:rPr>
          <w:rFonts w:ascii="Arial" w:hAnsi="Arial"/>
        </w:rPr>
        <w:t>,</w:t>
      </w:r>
      <w:r w:rsidR="003E373B">
        <w:rPr>
          <w:rFonts w:ascii="Arial" w:hAnsi="Arial"/>
        </w:rPr>
        <w:t xml:space="preserve"> purchasing</w:t>
      </w:r>
      <w:r w:rsidR="00077F99">
        <w:rPr>
          <w:rFonts w:ascii="Arial" w:hAnsi="Arial"/>
        </w:rPr>
        <w:t>, and work order management</w:t>
      </w:r>
      <w:r w:rsidR="003E373B">
        <w:rPr>
          <w:rFonts w:ascii="Arial" w:hAnsi="Arial"/>
        </w:rPr>
        <w:t xml:space="preserve"> systems.  These </w:t>
      </w:r>
      <w:r w:rsidR="00F3734E">
        <w:rPr>
          <w:rFonts w:ascii="Arial" w:hAnsi="Arial"/>
        </w:rPr>
        <w:t>upgrades</w:t>
      </w:r>
      <w:r w:rsidR="00F72027">
        <w:rPr>
          <w:rFonts w:ascii="Arial" w:hAnsi="Arial"/>
        </w:rPr>
        <w:t xml:space="preserve"> and</w:t>
      </w:r>
      <w:r w:rsidR="00F3734E">
        <w:rPr>
          <w:rFonts w:ascii="Arial" w:hAnsi="Arial"/>
        </w:rPr>
        <w:t xml:space="preserve"> their necessity </w:t>
      </w:r>
      <w:r w:rsidR="003E373B">
        <w:rPr>
          <w:rFonts w:ascii="Arial" w:hAnsi="Arial"/>
        </w:rPr>
        <w:t xml:space="preserve">are addressed in greater detail later </w:t>
      </w:r>
      <w:r w:rsidR="00115BD0">
        <w:rPr>
          <w:rFonts w:ascii="Arial" w:hAnsi="Arial"/>
        </w:rPr>
        <w:t xml:space="preserve">in my </w:t>
      </w:r>
      <w:r w:rsidR="003E373B">
        <w:rPr>
          <w:rFonts w:ascii="Arial" w:hAnsi="Arial"/>
        </w:rPr>
        <w:t>testimony.</w:t>
      </w:r>
    </w:p>
    <w:p w:rsidR="005F0A03" w:rsidRDefault="003E373B" w:rsidP="005F0A03">
      <w:pPr>
        <w:spacing w:line="480" w:lineRule="atLeast"/>
        <w:ind w:left="720" w:hanging="540"/>
        <w:rPr>
          <w:rFonts w:ascii="Arial" w:hAnsi="Arial" w:cs="Arial"/>
        </w:rPr>
      </w:pPr>
      <w:r>
        <w:rPr>
          <w:rFonts w:ascii="Arial" w:hAnsi="Arial"/>
        </w:rPr>
        <w:lastRenderedPageBreak/>
        <w:t>Q.</w:t>
      </w:r>
      <w:r>
        <w:rPr>
          <w:rFonts w:ascii="Arial" w:hAnsi="Arial"/>
        </w:rPr>
        <w:tab/>
      </w:r>
      <w:r w:rsidR="00F3734E">
        <w:rPr>
          <w:rFonts w:ascii="Arial" w:hAnsi="Arial"/>
        </w:rPr>
        <w:t>T</w:t>
      </w:r>
      <w:r w:rsidR="00F3734E">
        <w:rPr>
          <w:rFonts w:ascii="Arial" w:hAnsi="Arial" w:cs="Arial"/>
        </w:rPr>
        <w:t>he Commission has historically employed an O&amp;M benchmark calculation in base rate proceedings.  How does Gulf’s 2012 A&amp;G expense forecast compare to the A&amp;G O&amp;M expense benchmark?</w:t>
      </w:r>
    </w:p>
    <w:p w:rsidR="005F0A03" w:rsidRDefault="003E373B" w:rsidP="005F0A03">
      <w:pPr>
        <w:spacing w:line="480" w:lineRule="atLeast"/>
        <w:ind w:left="720" w:hanging="540"/>
        <w:rPr>
          <w:rFonts w:ascii="Arial" w:hAnsi="Arial"/>
        </w:rPr>
      </w:pPr>
      <w:r>
        <w:rPr>
          <w:rFonts w:ascii="Arial" w:hAnsi="Arial"/>
        </w:rPr>
        <w:t>A.</w:t>
      </w:r>
      <w:r>
        <w:rPr>
          <w:rFonts w:ascii="Arial" w:hAnsi="Arial"/>
        </w:rPr>
        <w:tab/>
        <w:t xml:space="preserve">The </w:t>
      </w:r>
      <w:r w:rsidR="00FE312B">
        <w:rPr>
          <w:rFonts w:ascii="Arial" w:hAnsi="Arial"/>
        </w:rPr>
        <w:t>A&amp;G</w:t>
      </w:r>
      <w:r>
        <w:rPr>
          <w:rFonts w:ascii="Arial" w:hAnsi="Arial"/>
        </w:rPr>
        <w:t xml:space="preserve"> benchmark is $57,73</w:t>
      </w:r>
      <w:r w:rsidR="00283180">
        <w:rPr>
          <w:rFonts w:ascii="Arial" w:hAnsi="Arial"/>
        </w:rPr>
        <w:t>6</w:t>
      </w:r>
      <w:r>
        <w:rPr>
          <w:rFonts w:ascii="Arial" w:hAnsi="Arial"/>
        </w:rPr>
        <w:t xml:space="preserve">,000.  This calculation is described in </w:t>
      </w:r>
      <w:r w:rsidR="007637CF">
        <w:rPr>
          <w:rFonts w:ascii="Arial" w:hAnsi="Arial"/>
        </w:rPr>
        <w:t>Gulf Witness</w:t>
      </w:r>
      <w:r>
        <w:rPr>
          <w:rFonts w:ascii="Arial" w:hAnsi="Arial"/>
        </w:rPr>
        <w:t xml:space="preserve"> McMillan’s testimony.  Gulf’s projected 2012 </w:t>
      </w:r>
      <w:r w:rsidR="00FE312B">
        <w:rPr>
          <w:rFonts w:ascii="Arial" w:hAnsi="Arial"/>
        </w:rPr>
        <w:t>A&amp;G</w:t>
      </w:r>
      <w:r>
        <w:rPr>
          <w:rFonts w:ascii="Arial" w:hAnsi="Arial"/>
        </w:rPr>
        <w:t xml:space="preserve"> expenses are $78,</w:t>
      </w:r>
      <w:r w:rsidR="00283180">
        <w:rPr>
          <w:rFonts w:ascii="Arial" w:hAnsi="Arial"/>
        </w:rPr>
        <w:t>45</w:t>
      </w:r>
      <w:r w:rsidR="000B5F00">
        <w:rPr>
          <w:rFonts w:ascii="Arial" w:hAnsi="Arial"/>
        </w:rPr>
        <w:t>3</w:t>
      </w:r>
      <w:r>
        <w:rPr>
          <w:rFonts w:ascii="Arial" w:hAnsi="Arial"/>
        </w:rPr>
        <w:t xml:space="preserve">,000.  </w:t>
      </w:r>
      <w:r w:rsidR="00942E7A">
        <w:rPr>
          <w:rFonts w:ascii="Arial" w:hAnsi="Arial"/>
        </w:rPr>
        <w:t>These</w:t>
      </w:r>
      <w:r>
        <w:rPr>
          <w:rFonts w:ascii="Arial" w:hAnsi="Arial"/>
        </w:rPr>
        <w:t xml:space="preserve"> </w:t>
      </w:r>
      <w:r w:rsidR="00EB38F2">
        <w:rPr>
          <w:rFonts w:ascii="Arial" w:hAnsi="Arial"/>
        </w:rPr>
        <w:t xml:space="preserve">A&amp;G </w:t>
      </w:r>
      <w:r>
        <w:rPr>
          <w:rFonts w:ascii="Arial" w:hAnsi="Arial"/>
        </w:rPr>
        <w:t xml:space="preserve">expenses exceed the </w:t>
      </w:r>
      <w:r w:rsidR="00FE312B">
        <w:rPr>
          <w:rFonts w:ascii="Arial" w:hAnsi="Arial"/>
        </w:rPr>
        <w:t>A&amp;G</w:t>
      </w:r>
      <w:r>
        <w:rPr>
          <w:rFonts w:ascii="Arial" w:hAnsi="Arial"/>
        </w:rPr>
        <w:t xml:space="preserve"> benchmark by $20,</w:t>
      </w:r>
      <w:r w:rsidR="00283180">
        <w:rPr>
          <w:rFonts w:ascii="Arial" w:hAnsi="Arial"/>
        </w:rPr>
        <w:t>71</w:t>
      </w:r>
      <w:r w:rsidR="000B5F00">
        <w:rPr>
          <w:rFonts w:ascii="Arial" w:hAnsi="Arial"/>
        </w:rPr>
        <w:t>7</w:t>
      </w:r>
      <w:r>
        <w:rPr>
          <w:rFonts w:ascii="Arial" w:hAnsi="Arial"/>
        </w:rPr>
        <w:t>,000.</w:t>
      </w:r>
      <w:r w:rsidR="00FC749A">
        <w:rPr>
          <w:rFonts w:ascii="Arial" w:hAnsi="Arial"/>
        </w:rPr>
        <w:t xml:space="preserve">  These values are shown on Exhibit CJE</w:t>
      </w:r>
      <w:r w:rsidR="00115BD0">
        <w:rPr>
          <w:rFonts w:ascii="Arial" w:hAnsi="Arial"/>
        </w:rPr>
        <w:t>-</w:t>
      </w:r>
      <w:r w:rsidR="001B01FE">
        <w:rPr>
          <w:rFonts w:ascii="Arial" w:hAnsi="Arial"/>
        </w:rPr>
        <w:t>1, Schedule 3</w:t>
      </w:r>
      <w:r w:rsidR="00FC749A">
        <w:rPr>
          <w:rFonts w:ascii="Arial" w:hAnsi="Arial"/>
        </w:rPr>
        <w:t>.</w:t>
      </w:r>
    </w:p>
    <w:p w:rsidR="009B5B7D" w:rsidRDefault="009B5B7D" w:rsidP="00DE7D73">
      <w:pPr>
        <w:spacing w:line="480" w:lineRule="atLeast"/>
        <w:ind w:left="720" w:hanging="540"/>
        <w:rPr>
          <w:rFonts w:ascii="Arial" w:hAnsi="Arial"/>
        </w:rPr>
      </w:pPr>
    </w:p>
    <w:p w:rsidR="009B5B7D" w:rsidRDefault="003E373B" w:rsidP="00DE7D73">
      <w:pPr>
        <w:spacing w:line="480" w:lineRule="atLeast"/>
        <w:ind w:left="720" w:hanging="540"/>
        <w:rPr>
          <w:rFonts w:ascii="Arial" w:hAnsi="Arial" w:cs="Arial"/>
        </w:rPr>
      </w:pPr>
      <w:r>
        <w:rPr>
          <w:rFonts w:ascii="Arial" w:hAnsi="Arial"/>
        </w:rPr>
        <w:t>Q.</w:t>
      </w:r>
      <w:r>
        <w:rPr>
          <w:rFonts w:ascii="Arial" w:hAnsi="Arial"/>
        </w:rPr>
        <w:tab/>
        <w:t>Previously</w:t>
      </w:r>
      <w:r w:rsidR="00DD4159">
        <w:rPr>
          <w:rFonts w:ascii="Arial" w:hAnsi="Arial"/>
        </w:rPr>
        <w:t>,</w:t>
      </w:r>
      <w:r>
        <w:rPr>
          <w:rFonts w:ascii="Arial" w:hAnsi="Arial"/>
        </w:rPr>
        <w:t xml:space="preserve"> you mentioned that Gulf’s proposed level of </w:t>
      </w:r>
      <w:r w:rsidR="00FE312B">
        <w:rPr>
          <w:rFonts w:ascii="Arial" w:hAnsi="Arial"/>
        </w:rPr>
        <w:t>A&amp;G</w:t>
      </w:r>
      <w:r>
        <w:rPr>
          <w:rFonts w:ascii="Arial" w:hAnsi="Arial"/>
        </w:rPr>
        <w:t xml:space="preserve"> expense was reasonable and prudent.  Please elaborate on this in light of the benchmark variance.</w:t>
      </w:r>
    </w:p>
    <w:p w:rsidR="00FC749A" w:rsidRDefault="003E373B" w:rsidP="00DE7D73">
      <w:pPr>
        <w:spacing w:line="480" w:lineRule="atLeast"/>
        <w:ind w:left="720" w:hanging="540"/>
        <w:rPr>
          <w:rFonts w:ascii="Arial" w:hAnsi="Arial" w:cs="Arial"/>
        </w:rPr>
      </w:pPr>
      <w:r>
        <w:rPr>
          <w:rFonts w:ascii="Arial" w:hAnsi="Arial" w:cs="Arial"/>
        </w:rPr>
        <w:t>A.</w:t>
      </w:r>
      <w:r>
        <w:rPr>
          <w:rFonts w:ascii="Arial" w:hAnsi="Arial" w:cs="Arial"/>
        </w:rPr>
        <w:tab/>
      </w:r>
      <w:r w:rsidR="00E62353">
        <w:rPr>
          <w:rFonts w:ascii="Arial" w:hAnsi="Arial" w:cs="Arial"/>
        </w:rPr>
        <w:t xml:space="preserve">Gulf’s 2012 A&amp;G </w:t>
      </w:r>
      <w:r w:rsidR="00A65F00">
        <w:rPr>
          <w:rFonts w:ascii="Arial" w:hAnsi="Arial" w:cs="Arial"/>
        </w:rPr>
        <w:t xml:space="preserve">expense </w:t>
      </w:r>
      <w:r w:rsidR="00417CC4">
        <w:rPr>
          <w:rFonts w:ascii="Arial" w:hAnsi="Arial" w:cs="Arial"/>
        </w:rPr>
        <w:t>budget</w:t>
      </w:r>
      <w:r w:rsidR="00E62353">
        <w:rPr>
          <w:rFonts w:ascii="Arial" w:hAnsi="Arial" w:cs="Arial"/>
        </w:rPr>
        <w:t xml:space="preserve"> is the product of a sophisticated and demanding budget process that has been </w:t>
      </w:r>
      <w:r w:rsidR="00417CC4">
        <w:rPr>
          <w:rFonts w:ascii="Arial" w:hAnsi="Arial" w:cs="Arial"/>
        </w:rPr>
        <w:t>described</w:t>
      </w:r>
      <w:r w:rsidR="00E62353">
        <w:rPr>
          <w:rFonts w:ascii="Arial" w:hAnsi="Arial" w:cs="Arial"/>
        </w:rPr>
        <w:t xml:space="preserve"> </w:t>
      </w:r>
      <w:proofErr w:type="spellStart"/>
      <w:r w:rsidR="00F72027">
        <w:rPr>
          <w:rFonts w:ascii="Arial" w:hAnsi="Arial" w:cs="Arial"/>
        </w:rPr>
        <w:t>at</w:t>
      </w:r>
      <w:proofErr w:type="spellEnd"/>
      <w:r w:rsidR="000E2049">
        <w:rPr>
          <w:rFonts w:ascii="Arial" w:hAnsi="Arial" w:cs="Arial"/>
        </w:rPr>
        <w:t xml:space="preserve"> a corporate level </w:t>
      </w:r>
      <w:r w:rsidR="00E62353">
        <w:rPr>
          <w:rFonts w:ascii="Arial" w:hAnsi="Arial" w:cs="Arial"/>
        </w:rPr>
        <w:t xml:space="preserve">by </w:t>
      </w:r>
      <w:r w:rsidR="00301D29">
        <w:rPr>
          <w:rFonts w:ascii="Arial" w:hAnsi="Arial" w:cs="Arial"/>
        </w:rPr>
        <w:t>Mr.</w:t>
      </w:r>
      <w:r w:rsidR="00827707">
        <w:rPr>
          <w:rFonts w:ascii="Arial" w:hAnsi="Arial" w:cs="Arial"/>
        </w:rPr>
        <w:t xml:space="preserve"> </w:t>
      </w:r>
      <w:r w:rsidR="00E62353">
        <w:rPr>
          <w:rFonts w:ascii="Arial" w:hAnsi="Arial" w:cs="Arial"/>
        </w:rPr>
        <w:t xml:space="preserve">Buck and </w:t>
      </w:r>
      <w:r w:rsidR="000E2049">
        <w:rPr>
          <w:rFonts w:ascii="Arial" w:hAnsi="Arial" w:cs="Arial"/>
        </w:rPr>
        <w:t>at a functional level</w:t>
      </w:r>
      <w:r w:rsidR="00E62353">
        <w:rPr>
          <w:rFonts w:ascii="Arial" w:hAnsi="Arial" w:cs="Arial"/>
        </w:rPr>
        <w:t xml:space="preserve"> by me and other witnesses.  </w:t>
      </w:r>
      <w:r w:rsidR="00A65F00">
        <w:rPr>
          <w:rFonts w:ascii="Arial" w:hAnsi="Arial" w:cs="Arial"/>
        </w:rPr>
        <w:t>This</w:t>
      </w:r>
      <w:r w:rsidR="00E62353">
        <w:rPr>
          <w:rFonts w:ascii="Arial" w:hAnsi="Arial" w:cs="Arial"/>
        </w:rPr>
        <w:t xml:space="preserve"> is the budget process that Gulf employs year </w:t>
      </w:r>
      <w:r w:rsidR="00A65F00">
        <w:rPr>
          <w:rFonts w:ascii="Arial" w:hAnsi="Arial" w:cs="Arial"/>
        </w:rPr>
        <w:t>in</w:t>
      </w:r>
      <w:r w:rsidR="00E62353">
        <w:rPr>
          <w:rFonts w:ascii="Arial" w:hAnsi="Arial" w:cs="Arial"/>
        </w:rPr>
        <w:t xml:space="preserve"> and year out to m</w:t>
      </w:r>
      <w:r w:rsidR="00FC749A">
        <w:rPr>
          <w:rFonts w:ascii="Arial" w:hAnsi="Arial" w:cs="Arial"/>
        </w:rPr>
        <w:t>a</w:t>
      </w:r>
      <w:r w:rsidR="00E62353">
        <w:rPr>
          <w:rFonts w:ascii="Arial" w:hAnsi="Arial" w:cs="Arial"/>
        </w:rPr>
        <w:t>nage its business.  In that process</w:t>
      </w:r>
      <w:r w:rsidR="00A65F00">
        <w:rPr>
          <w:rFonts w:ascii="Arial" w:hAnsi="Arial" w:cs="Arial"/>
        </w:rPr>
        <w:t>,</w:t>
      </w:r>
      <w:r w:rsidR="00E62353">
        <w:rPr>
          <w:rFonts w:ascii="Arial" w:hAnsi="Arial" w:cs="Arial"/>
        </w:rPr>
        <w:t xml:space="preserve"> Gulf does not </w:t>
      </w:r>
      <w:r w:rsidR="007038DC">
        <w:rPr>
          <w:rFonts w:ascii="Arial" w:hAnsi="Arial" w:cs="Arial"/>
        </w:rPr>
        <w:t>use</w:t>
      </w:r>
      <w:r w:rsidR="00E62353">
        <w:rPr>
          <w:rFonts w:ascii="Arial" w:hAnsi="Arial" w:cs="Arial"/>
        </w:rPr>
        <w:t xml:space="preserve"> the Commission’s O&amp;M benchmark approach</w:t>
      </w:r>
      <w:r w:rsidR="00F72027">
        <w:rPr>
          <w:rFonts w:ascii="Arial" w:hAnsi="Arial" w:cs="Arial"/>
        </w:rPr>
        <w:t xml:space="preserve">.  </w:t>
      </w:r>
      <w:r w:rsidR="00E62353">
        <w:rPr>
          <w:rFonts w:ascii="Arial" w:hAnsi="Arial" w:cs="Arial"/>
        </w:rPr>
        <w:t xml:space="preserve">Gulf’s budget process is </w:t>
      </w:r>
      <w:r w:rsidR="008577C5">
        <w:rPr>
          <w:rFonts w:ascii="Arial" w:hAnsi="Arial" w:cs="Arial"/>
        </w:rPr>
        <w:t>very robust and considers matters beyond</w:t>
      </w:r>
      <w:r w:rsidR="00521A10">
        <w:rPr>
          <w:rFonts w:ascii="Arial" w:hAnsi="Arial" w:cs="Arial"/>
        </w:rPr>
        <w:t xml:space="preserve"> the</w:t>
      </w:r>
      <w:r w:rsidR="008577C5">
        <w:rPr>
          <w:rFonts w:ascii="Arial" w:hAnsi="Arial" w:cs="Arial"/>
        </w:rPr>
        <w:t xml:space="preserve"> </w:t>
      </w:r>
      <w:r w:rsidR="00521A10">
        <w:rPr>
          <w:rFonts w:ascii="Arial" w:hAnsi="Arial" w:cs="Arial"/>
        </w:rPr>
        <w:t>Consumer Price Index (</w:t>
      </w:r>
      <w:r w:rsidR="008577C5">
        <w:rPr>
          <w:rFonts w:ascii="Arial" w:hAnsi="Arial" w:cs="Arial"/>
        </w:rPr>
        <w:t>CPI</w:t>
      </w:r>
      <w:r w:rsidR="00521A10">
        <w:rPr>
          <w:rFonts w:ascii="Arial" w:hAnsi="Arial" w:cs="Arial"/>
        </w:rPr>
        <w:t>)</w:t>
      </w:r>
      <w:r w:rsidR="008577C5">
        <w:rPr>
          <w:rFonts w:ascii="Arial" w:hAnsi="Arial" w:cs="Arial"/>
        </w:rPr>
        <w:t xml:space="preserve"> and customer growth</w:t>
      </w:r>
      <w:r w:rsidR="00E62353">
        <w:rPr>
          <w:rFonts w:ascii="Arial" w:hAnsi="Arial" w:cs="Arial"/>
        </w:rPr>
        <w:t>.</w:t>
      </w:r>
      <w:r w:rsidR="00F72027">
        <w:rPr>
          <w:rFonts w:ascii="Arial" w:hAnsi="Arial" w:cs="Arial"/>
        </w:rPr>
        <w:t xml:space="preserve">  Gulf’s projected A&amp;G O&amp;M expenses are reasonable, prudent, and necessary.</w:t>
      </w:r>
    </w:p>
    <w:p w:rsidR="00FC749A" w:rsidRDefault="00FC749A" w:rsidP="00DE7D73">
      <w:pPr>
        <w:spacing w:line="480" w:lineRule="atLeast"/>
        <w:ind w:left="720" w:hanging="540"/>
        <w:rPr>
          <w:rFonts w:ascii="Arial" w:hAnsi="Arial" w:cs="Arial"/>
        </w:rPr>
      </w:pPr>
    </w:p>
    <w:p w:rsidR="00361458" w:rsidRDefault="00FC749A" w:rsidP="00F72027">
      <w:pPr>
        <w:spacing w:line="480" w:lineRule="atLeast"/>
        <w:ind w:left="720"/>
        <w:rPr>
          <w:rFonts w:ascii="Arial" w:hAnsi="Arial"/>
        </w:rPr>
      </w:pPr>
      <w:r>
        <w:rPr>
          <w:rFonts w:ascii="Arial" w:hAnsi="Arial" w:cs="Arial"/>
        </w:rPr>
        <w:t>Moreover, as the discussion below shows</w:t>
      </w:r>
      <w:r w:rsidR="00417CC4">
        <w:rPr>
          <w:rFonts w:ascii="Arial" w:hAnsi="Arial" w:cs="Arial"/>
        </w:rPr>
        <w:t>,</w:t>
      </w:r>
      <w:r w:rsidR="003E373B">
        <w:rPr>
          <w:rFonts w:ascii="Arial" w:hAnsi="Arial"/>
        </w:rPr>
        <w:t xml:space="preserve"> a multitude of </w:t>
      </w:r>
      <w:r w:rsidR="00FE312B">
        <w:rPr>
          <w:rFonts w:ascii="Arial" w:hAnsi="Arial"/>
        </w:rPr>
        <w:t>A&amp;G</w:t>
      </w:r>
      <w:r w:rsidR="003E373B">
        <w:rPr>
          <w:rFonts w:ascii="Arial" w:hAnsi="Arial"/>
        </w:rPr>
        <w:t xml:space="preserve"> </w:t>
      </w:r>
      <w:r>
        <w:rPr>
          <w:rFonts w:ascii="Arial" w:hAnsi="Arial"/>
        </w:rPr>
        <w:t xml:space="preserve">expense </w:t>
      </w:r>
      <w:r w:rsidR="003E373B">
        <w:rPr>
          <w:rFonts w:ascii="Arial" w:hAnsi="Arial"/>
        </w:rPr>
        <w:t xml:space="preserve">increases in the electric utility industry are totally unrelated to either customer growth or inflation.  In the </w:t>
      </w:r>
      <w:r w:rsidR="00FE312B">
        <w:rPr>
          <w:rFonts w:ascii="Arial" w:hAnsi="Arial"/>
        </w:rPr>
        <w:t>A&amp;G</w:t>
      </w:r>
      <w:r w:rsidR="003E373B">
        <w:rPr>
          <w:rFonts w:ascii="Arial" w:hAnsi="Arial"/>
        </w:rPr>
        <w:t xml:space="preserve"> area, costs can </w:t>
      </w:r>
      <w:r w:rsidR="00417CC4">
        <w:rPr>
          <w:rFonts w:ascii="Arial" w:hAnsi="Arial"/>
        </w:rPr>
        <w:t>be and</w:t>
      </w:r>
      <w:r>
        <w:rPr>
          <w:rFonts w:ascii="Arial" w:hAnsi="Arial"/>
        </w:rPr>
        <w:t xml:space="preserve"> are </w:t>
      </w:r>
      <w:r w:rsidR="003E373B">
        <w:rPr>
          <w:rFonts w:ascii="Arial" w:hAnsi="Arial"/>
        </w:rPr>
        <w:t xml:space="preserve">driven by other outside factors.  Examples of these include employee </w:t>
      </w:r>
      <w:r w:rsidR="003E373B">
        <w:rPr>
          <w:rFonts w:ascii="Arial" w:hAnsi="Arial"/>
        </w:rPr>
        <w:lastRenderedPageBreak/>
        <w:t xml:space="preserve">benefits and property insurance increases in excess of the CPI, audit and compliance cost increases due to new governmental regulations, and treasury related cost increases due to the recent financial crisis.  </w:t>
      </w:r>
    </w:p>
    <w:p w:rsidR="009B5B7D" w:rsidRDefault="009B5B7D" w:rsidP="00DE7D73">
      <w:pPr>
        <w:spacing w:line="480" w:lineRule="atLeast"/>
        <w:ind w:left="720" w:hanging="540"/>
        <w:rPr>
          <w:rFonts w:ascii="Arial" w:hAnsi="Arial"/>
          <w:b/>
        </w:rPr>
      </w:pPr>
    </w:p>
    <w:p w:rsidR="009B5B7D" w:rsidRDefault="003E373B" w:rsidP="00DE7D73">
      <w:pPr>
        <w:spacing w:line="480" w:lineRule="atLeast"/>
        <w:ind w:left="720" w:hanging="540"/>
        <w:rPr>
          <w:rFonts w:ascii="Arial" w:hAnsi="Arial"/>
        </w:rPr>
      </w:pPr>
      <w:r>
        <w:rPr>
          <w:rFonts w:ascii="Arial" w:hAnsi="Arial"/>
        </w:rPr>
        <w:t>Q.</w:t>
      </w:r>
      <w:r>
        <w:rPr>
          <w:rFonts w:ascii="Arial" w:hAnsi="Arial"/>
        </w:rPr>
        <w:tab/>
        <w:t>Please</w:t>
      </w:r>
      <w:r w:rsidR="006A146F">
        <w:rPr>
          <w:rFonts w:ascii="Arial" w:hAnsi="Arial"/>
        </w:rPr>
        <w:t xml:space="preserve"> address how Gulf has justified its</w:t>
      </w:r>
      <w:r>
        <w:rPr>
          <w:rFonts w:ascii="Arial" w:hAnsi="Arial"/>
        </w:rPr>
        <w:t xml:space="preserve"> $20,</w:t>
      </w:r>
      <w:r w:rsidR="00B85BCC">
        <w:rPr>
          <w:rFonts w:ascii="Arial" w:hAnsi="Arial"/>
        </w:rPr>
        <w:t>71</w:t>
      </w:r>
      <w:r w:rsidR="000B5F00">
        <w:rPr>
          <w:rFonts w:ascii="Arial" w:hAnsi="Arial"/>
        </w:rPr>
        <w:t>7</w:t>
      </w:r>
      <w:r>
        <w:rPr>
          <w:rFonts w:ascii="Arial" w:hAnsi="Arial"/>
        </w:rPr>
        <w:t xml:space="preserve">,000 </w:t>
      </w:r>
      <w:r w:rsidR="00FE312B">
        <w:rPr>
          <w:rFonts w:ascii="Arial" w:hAnsi="Arial"/>
        </w:rPr>
        <w:t>A&amp;G</w:t>
      </w:r>
      <w:r>
        <w:rPr>
          <w:rFonts w:ascii="Arial" w:hAnsi="Arial"/>
        </w:rPr>
        <w:t xml:space="preserve"> benchmark variance.</w:t>
      </w:r>
    </w:p>
    <w:p w:rsidR="007038DC" w:rsidRDefault="003E373B" w:rsidP="00DE7D73">
      <w:pPr>
        <w:spacing w:line="480" w:lineRule="atLeast"/>
        <w:ind w:left="720" w:hanging="540"/>
        <w:rPr>
          <w:rFonts w:ascii="Arial" w:hAnsi="Arial"/>
        </w:rPr>
      </w:pPr>
      <w:r>
        <w:rPr>
          <w:rFonts w:ascii="Arial" w:hAnsi="Arial"/>
        </w:rPr>
        <w:t>A.</w:t>
      </w:r>
      <w:r>
        <w:rPr>
          <w:rFonts w:ascii="Arial" w:hAnsi="Arial"/>
        </w:rPr>
        <w:tab/>
      </w:r>
      <w:r w:rsidR="006A146F">
        <w:rPr>
          <w:rFonts w:ascii="Arial" w:hAnsi="Arial"/>
        </w:rPr>
        <w:t xml:space="preserve">Gulf’s A&amp;G benchmark variance is justified by </w:t>
      </w:r>
      <w:r w:rsidR="007038DC">
        <w:rPr>
          <w:rFonts w:ascii="Arial" w:hAnsi="Arial"/>
        </w:rPr>
        <w:t>Mr. Twery</w:t>
      </w:r>
      <w:r w:rsidR="003318A3">
        <w:rPr>
          <w:rFonts w:ascii="Arial" w:hAnsi="Arial"/>
        </w:rPr>
        <w:t>, Ms. Crumlish</w:t>
      </w:r>
      <w:r w:rsidR="007038DC">
        <w:rPr>
          <w:rFonts w:ascii="Arial" w:hAnsi="Arial"/>
        </w:rPr>
        <w:t xml:space="preserve"> </w:t>
      </w:r>
      <w:r w:rsidR="006A146F">
        <w:rPr>
          <w:rFonts w:ascii="Arial" w:hAnsi="Arial"/>
        </w:rPr>
        <w:t xml:space="preserve">and by me.  </w:t>
      </w:r>
      <w:r w:rsidR="00301D29">
        <w:rPr>
          <w:rFonts w:ascii="Arial" w:hAnsi="Arial"/>
        </w:rPr>
        <w:t xml:space="preserve"> </w:t>
      </w:r>
      <w:r w:rsidR="007038DC">
        <w:rPr>
          <w:rFonts w:ascii="Arial" w:hAnsi="Arial"/>
        </w:rPr>
        <w:t>Mr. Twery</w:t>
      </w:r>
      <w:r w:rsidR="003318A3">
        <w:rPr>
          <w:rFonts w:ascii="Arial" w:hAnsi="Arial"/>
        </w:rPr>
        <w:t xml:space="preserve"> and Ms. Crumlish</w:t>
      </w:r>
      <w:r w:rsidR="00301D29">
        <w:rPr>
          <w:rFonts w:ascii="Arial" w:hAnsi="Arial"/>
        </w:rPr>
        <w:t xml:space="preserve"> </w:t>
      </w:r>
      <w:r w:rsidR="003318A3">
        <w:rPr>
          <w:rFonts w:ascii="Arial" w:hAnsi="Arial"/>
        </w:rPr>
        <w:t>justify</w:t>
      </w:r>
      <w:r w:rsidR="006A146F">
        <w:rPr>
          <w:rFonts w:ascii="Arial" w:hAnsi="Arial"/>
        </w:rPr>
        <w:t xml:space="preserve"> Gulf’s A&amp;G O&amp;M benchmark </w:t>
      </w:r>
      <w:r w:rsidR="007038DC">
        <w:rPr>
          <w:rFonts w:ascii="Arial" w:hAnsi="Arial"/>
        </w:rPr>
        <w:t xml:space="preserve">variance </w:t>
      </w:r>
      <w:r w:rsidR="006A146F">
        <w:rPr>
          <w:rFonts w:ascii="Arial" w:hAnsi="Arial"/>
        </w:rPr>
        <w:t xml:space="preserve">in the area of employee benefits.  The employee benefits variance of $10,116,000 is roughly half of Gulf’s </w:t>
      </w:r>
      <w:r w:rsidR="00417CC4">
        <w:rPr>
          <w:rFonts w:ascii="Arial" w:hAnsi="Arial"/>
        </w:rPr>
        <w:t>total</w:t>
      </w:r>
      <w:r w:rsidR="006A146F">
        <w:rPr>
          <w:rFonts w:ascii="Arial" w:hAnsi="Arial"/>
        </w:rPr>
        <w:t xml:space="preserve"> A&amp;G O&amp;M benchmark variance. </w:t>
      </w:r>
      <w:r w:rsidR="00AA4DFD">
        <w:rPr>
          <w:rFonts w:ascii="Arial" w:hAnsi="Arial"/>
        </w:rPr>
        <w:t xml:space="preserve">This amount includes the Net Operating Income (NOI) adjustment to pensions and other employee benefits included in Mr. McMillan’s testimony.  </w:t>
      </w:r>
      <w:r w:rsidR="007038DC">
        <w:rPr>
          <w:rFonts w:ascii="Arial" w:hAnsi="Arial"/>
        </w:rPr>
        <w:t>This variance consists primarily of a $6</w:t>
      </w:r>
      <w:r w:rsidR="005F3B63">
        <w:rPr>
          <w:rFonts w:ascii="Arial" w:hAnsi="Arial"/>
        </w:rPr>
        <w:t>,</w:t>
      </w:r>
      <w:r w:rsidR="007038DC">
        <w:rPr>
          <w:rFonts w:ascii="Arial" w:hAnsi="Arial"/>
        </w:rPr>
        <w:t>9</w:t>
      </w:r>
      <w:r w:rsidR="00F72027">
        <w:rPr>
          <w:rFonts w:ascii="Arial" w:hAnsi="Arial"/>
        </w:rPr>
        <w:t>38</w:t>
      </w:r>
      <w:r w:rsidR="005F3B63">
        <w:rPr>
          <w:rFonts w:ascii="Arial" w:hAnsi="Arial"/>
        </w:rPr>
        <w:t>,000</w:t>
      </w:r>
      <w:r w:rsidR="007038DC">
        <w:rPr>
          <w:rFonts w:ascii="Arial" w:hAnsi="Arial"/>
        </w:rPr>
        <w:t xml:space="preserve"> variance in retirement </w:t>
      </w:r>
      <w:r w:rsidR="003318A3">
        <w:rPr>
          <w:rFonts w:ascii="Arial" w:hAnsi="Arial"/>
        </w:rPr>
        <w:t xml:space="preserve">plan expense </w:t>
      </w:r>
      <w:r w:rsidR="007038DC">
        <w:rPr>
          <w:rFonts w:ascii="Arial" w:hAnsi="Arial"/>
        </w:rPr>
        <w:t>and a $3</w:t>
      </w:r>
      <w:r w:rsidR="005F3B63">
        <w:rPr>
          <w:rFonts w:ascii="Arial" w:hAnsi="Arial"/>
        </w:rPr>
        <w:t>,</w:t>
      </w:r>
      <w:r w:rsidR="00F72027">
        <w:rPr>
          <w:rFonts w:ascii="Arial" w:hAnsi="Arial"/>
        </w:rPr>
        <w:t>302</w:t>
      </w:r>
      <w:r w:rsidR="005F3B63">
        <w:rPr>
          <w:rFonts w:ascii="Arial" w:hAnsi="Arial"/>
        </w:rPr>
        <w:t>,000</w:t>
      </w:r>
      <w:r w:rsidR="007038DC">
        <w:rPr>
          <w:rFonts w:ascii="Arial" w:hAnsi="Arial"/>
        </w:rPr>
        <w:t xml:space="preserve"> variance in medical benefits cost.</w:t>
      </w:r>
      <w:r w:rsidR="00F72027">
        <w:rPr>
          <w:rFonts w:ascii="Arial" w:hAnsi="Arial"/>
        </w:rPr>
        <w:t xml:space="preserve">  The remaining employee benefit amounts are below the benchmark variance.</w:t>
      </w:r>
    </w:p>
    <w:p w:rsidR="007038DC" w:rsidRDefault="007038DC" w:rsidP="00DE7D73">
      <w:pPr>
        <w:spacing w:line="480" w:lineRule="atLeast"/>
        <w:ind w:left="720" w:hanging="540"/>
        <w:rPr>
          <w:rFonts w:ascii="Arial" w:hAnsi="Arial"/>
        </w:rPr>
      </w:pPr>
    </w:p>
    <w:p w:rsidR="005F0A03" w:rsidRDefault="003E373B" w:rsidP="005F0A03">
      <w:pPr>
        <w:spacing w:line="480" w:lineRule="atLeast"/>
        <w:ind w:left="720"/>
        <w:rPr>
          <w:rFonts w:ascii="Arial" w:hAnsi="Arial"/>
        </w:rPr>
      </w:pPr>
      <w:r>
        <w:rPr>
          <w:rFonts w:ascii="Arial" w:hAnsi="Arial"/>
        </w:rPr>
        <w:t xml:space="preserve">I </w:t>
      </w:r>
      <w:r w:rsidR="006A146F">
        <w:rPr>
          <w:rFonts w:ascii="Arial" w:hAnsi="Arial"/>
        </w:rPr>
        <w:t xml:space="preserve">justify the remaining A&amp;G O&amp;M benchmark variance </w:t>
      </w:r>
      <w:r w:rsidR="004964C9">
        <w:rPr>
          <w:rFonts w:ascii="Arial" w:hAnsi="Arial"/>
        </w:rPr>
        <w:t>of $10,</w:t>
      </w:r>
      <w:r w:rsidR="00A97C74">
        <w:rPr>
          <w:rFonts w:ascii="Arial" w:hAnsi="Arial"/>
        </w:rPr>
        <w:t>60</w:t>
      </w:r>
      <w:r w:rsidR="009B6A05">
        <w:rPr>
          <w:rFonts w:ascii="Arial" w:hAnsi="Arial"/>
        </w:rPr>
        <w:t>1</w:t>
      </w:r>
      <w:r w:rsidR="00A65F00">
        <w:rPr>
          <w:rFonts w:ascii="Arial" w:hAnsi="Arial"/>
        </w:rPr>
        <w:t>,000</w:t>
      </w:r>
      <w:r w:rsidR="004964C9">
        <w:rPr>
          <w:rFonts w:ascii="Arial" w:hAnsi="Arial"/>
        </w:rPr>
        <w:t xml:space="preserve"> </w:t>
      </w:r>
      <w:r w:rsidR="006A146F">
        <w:rPr>
          <w:rFonts w:ascii="Arial" w:hAnsi="Arial"/>
        </w:rPr>
        <w:t xml:space="preserve">with justifications in the following areas </w:t>
      </w:r>
      <w:r w:rsidR="004964C9">
        <w:rPr>
          <w:rFonts w:ascii="Arial" w:hAnsi="Arial"/>
        </w:rPr>
        <w:t>addressed</w:t>
      </w:r>
      <w:r w:rsidR="006A146F">
        <w:rPr>
          <w:rFonts w:ascii="Arial" w:hAnsi="Arial"/>
        </w:rPr>
        <w:t xml:space="preserve"> further in my testimony and on Exhibit CJE-</w:t>
      </w:r>
      <w:r w:rsidR="001B01FE">
        <w:rPr>
          <w:rFonts w:ascii="Arial" w:hAnsi="Arial"/>
        </w:rPr>
        <w:t>1, Schedule 3</w:t>
      </w:r>
      <w:r w:rsidR="006A146F">
        <w:rPr>
          <w:rFonts w:ascii="Arial" w:hAnsi="Arial"/>
        </w:rPr>
        <w:t>:</w:t>
      </w:r>
    </w:p>
    <w:p w:rsidR="009B5B7D" w:rsidRDefault="003E373B" w:rsidP="00DE7D73">
      <w:pPr>
        <w:spacing w:line="480" w:lineRule="atLeast"/>
        <w:ind w:left="720" w:hanging="540"/>
        <w:rPr>
          <w:rFonts w:ascii="Arial" w:hAnsi="Arial"/>
        </w:rPr>
      </w:pPr>
      <w:r>
        <w:rPr>
          <w:rFonts w:ascii="Arial" w:hAnsi="Arial"/>
        </w:rPr>
        <w:tab/>
      </w:r>
      <w:r>
        <w:rPr>
          <w:rFonts w:ascii="Arial" w:hAnsi="Arial"/>
        </w:rPr>
        <w:tab/>
        <w:t>Insurance</w:t>
      </w:r>
      <w:r w:rsidR="006A146F">
        <w:rPr>
          <w:rFonts w:ascii="Arial" w:hAnsi="Arial"/>
        </w:rPr>
        <w:tab/>
      </w:r>
      <w:r w:rsidR="006A146F">
        <w:rPr>
          <w:rFonts w:ascii="Arial" w:hAnsi="Arial"/>
        </w:rPr>
        <w:tab/>
      </w:r>
      <w:r w:rsidR="006A146F">
        <w:rPr>
          <w:rFonts w:ascii="Arial" w:hAnsi="Arial"/>
        </w:rPr>
        <w:tab/>
      </w:r>
      <w:r w:rsidR="006A146F">
        <w:rPr>
          <w:rFonts w:ascii="Arial" w:hAnsi="Arial"/>
        </w:rPr>
        <w:tab/>
      </w:r>
      <w:r w:rsidR="006A146F">
        <w:rPr>
          <w:rFonts w:ascii="Arial" w:hAnsi="Arial"/>
        </w:rPr>
        <w:tab/>
        <w:t>$4,64</w:t>
      </w:r>
      <w:r w:rsidR="008577C5">
        <w:rPr>
          <w:rFonts w:ascii="Arial" w:hAnsi="Arial"/>
        </w:rPr>
        <w:t>8</w:t>
      </w:r>
      <w:r w:rsidR="00A65F00">
        <w:rPr>
          <w:rFonts w:ascii="Arial" w:hAnsi="Arial"/>
        </w:rPr>
        <w:t>,000</w:t>
      </w:r>
    </w:p>
    <w:p w:rsidR="009B5B7D" w:rsidRDefault="003E373B" w:rsidP="00DE7D73">
      <w:pPr>
        <w:spacing w:line="480" w:lineRule="atLeast"/>
        <w:ind w:left="720" w:hanging="540"/>
        <w:rPr>
          <w:rFonts w:ascii="Arial" w:hAnsi="Arial"/>
        </w:rPr>
      </w:pPr>
      <w:r>
        <w:rPr>
          <w:rFonts w:ascii="Arial" w:hAnsi="Arial"/>
        </w:rPr>
        <w:tab/>
      </w:r>
      <w:r>
        <w:rPr>
          <w:rFonts w:ascii="Arial" w:hAnsi="Arial"/>
        </w:rPr>
        <w:tab/>
        <w:t>Duplicate Charges</w:t>
      </w:r>
      <w:r w:rsidR="006A146F">
        <w:rPr>
          <w:rFonts w:ascii="Arial" w:hAnsi="Arial"/>
        </w:rPr>
        <w:tab/>
      </w:r>
      <w:r w:rsidR="006A146F">
        <w:rPr>
          <w:rFonts w:ascii="Arial" w:hAnsi="Arial"/>
        </w:rPr>
        <w:tab/>
      </w:r>
      <w:r w:rsidR="006A146F">
        <w:rPr>
          <w:rFonts w:ascii="Arial" w:hAnsi="Arial"/>
        </w:rPr>
        <w:tab/>
      </w:r>
      <w:r w:rsidR="006A146F">
        <w:rPr>
          <w:rFonts w:ascii="Arial" w:hAnsi="Arial"/>
        </w:rPr>
        <w:tab/>
        <w:t xml:space="preserve">  1,689</w:t>
      </w:r>
      <w:r w:rsidR="00A65F00">
        <w:rPr>
          <w:rFonts w:ascii="Arial" w:hAnsi="Arial"/>
        </w:rPr>
        <w:t>,000</w:t>
      </w:r>
    </w:p>
    <w:p w:rsidR="009B5B7D" w:rsidRDefault="003E373B" w:rsidP="00DE7D73">
      <w:pPr>
        <w:spacing w:line="480" w:lineRule="atLeast"/>
        <w:ind w:left="720" w:hanging="540"/>
        <w:rPr>
          <w:rFonts w:ascii="Arial" w:hAnsi="Arial"/>
        </w:rPr>
      </w:pPr>
      <w:r>
        <w:rPr>
          <w:rFonts w:ascii="Arial" w:hAnsi="Arial"/>
        </w:rPr>
        <w:tab/>
      </w:r>
      <w:r>
        <w:rPr>
          <w:rFonts w:ascii="Arial" w:hAnsi="Arial"/>
        </w:rPr>
        <w:tab/>
      </w:r>
      <w:r w:rsidR="005B40CE">
        <w:rPr>
          <w:rFonts w:ascii="Arial" w:hAnsi="Arial"/>
        </w:rPr>
        <w:t>External Auditing / Internal Controls</w:t>
      </w:r>
      <w:r w:rsidR="006A146F">
        <w:rPr>
          <w:rFonts w:ascii="Arial" w:hAnsi="Arial"/>
        </w:rPr>
        <w:tab/>
        <w:t xml:space="preserve">  1,453</w:t>
      </w:r>
      <w:r w:rsidR="00A65F00">
        <w:rPr>
          <w:rFonts w:ascii="Arial" w:hAnsi="Arial"/>
        </w:rPr>
        <w:t>,000</w:t>
      </w:r>
    </w:p>
    <w:p w:rsidR="009B5B7D" w:rsidRDefault="003E373B" w:rsidP="00DE7D73">
      <w:pPr>
        <w:spacing w:line="480" w:lineRule="atLeast"/>
        <w:ind w:left="720" w:hanging="540"/>
        <w:rPr>
          <w:rFonts w:ascii="Arial" w:hAnsi="Arial"/>
        </w:rPr>
      </w:pPr>
      <w:r>
        <w:rPr>
          <w:rFonts w:ascii="Arial" w:hAnsi="Arial"/>
        </w:rPr>
        <w:tab/>
      </w:r>
      <w:r>
        <w:rPr>
          <w:rFonts w:ascii="Arial" w:hAnsi="Arial"/>
        </w:rPr>
        <w:tab/>
        <w:t>Treasury Costs</w:t>
      </w:r>
      <w:r w:rsidR="006A146F">
        <w:rPr>
          <w:rFonts w:ascii="Arial" w:hAnsi="Arial"/>
        </w:rPr>
        <w:tab/>
      </w:r>
      <w:r w:rsidR="006A146F">
        <w:rPr>
          <w:rFonts w:ascii="Arial" w:hAnsi="Arial"/>
        </w:rPr>
        <w:tab/>
      </w:r>
      <w:r w:rsidR="006A146F">
        <w:rPr>
          <w:rFonts w:ascii="Arial" w:hAnsi="Arial"/>
        </w:rPr>
        <w:tab/>
      </w:r>
      <w:r w:rsidR="006A146F">
        <w:rPr>
          <w:rFonts w:ascii="Arial" w:hAnsi="Arial"/>
        </w:rPr>
        <w:tab/>
        <w:t xml:space="preserve">     976</w:t>
      </w:r>
      <w:r w:rsidR="00A65F00">
        <w:rPr>
          <w:rFonts w:ascii="Arial" w:hAnsi="Arial"/>
        </w:rPr>
        <w:t>,000</w:t>
      </w:r>
    </w:p>
    <w:p w:rsidR="00A97C74" w:rsidRDefault="003E373B" w:rsidP="00DE7D73">
      <w:pPr>
        <w:spacing w:line="480" w:lineRule="atLeast"/>
        <w:ind w:left="720" w:hanging="540"/>
        <w:rPr>
          <w:rFonts w:ascii="Arial" w:hAnsi="Arial"/>
        </w:rPr>
      </w:pPr>
      <w:r>
        <w:rPr>
          <w:rFonts w:ascii="Arial" w:hAnsi="Arial"/>
        </w:rPr>
        <w:tab/>
      </w:r>
      <w:r>
        <w:rPr>
          <w:rFonts w:ascii="Arial" w:hAnsi="Arial"/>
        </w:rPr>
        <w:tab/>
      </w:r>
      <w:r w:rsidR="00A97C74">
        <w:rPr>
          <w:rFonts w:ascii="Arial" w:hAnsi="Arial"/>
        </w:rPr>
        <w:t>Joint Ownership</w:t>
      </w:r>
      <w:r w:rsidR="00A97C74">
        <w:rPr>
          <w:rFonts w:ascii="Arial" w:hAnsi="Arial"/>
        </w:rPr>
        <w:tab/>
      </w:r>
      <w:r w:rsidR="00A97C74">
        <w:rPr>
          <w:rFonts w:ascii="Arial" w:hAnsi="Arial"/>
        </w:rPr>
        <w:tab/>
      </w:r>
      <w:r w:rsidR="00A97C74">
        <w:rPr>
          <w:rFonts w:ascii="Arial" w:hAnsi="Arial"/>
        </w:rPr>
        <w:tab/>
      </w:r>
      <w:r w:rsidR="00A97C74">
        <w:rPr>
          <w:rFonts w:ascii="Arial" w:hAnsi="Arial"/>
        </w:rPr>
        <w:tab/>
        <w:t xml:space="preserve">     874,000</w:t>
      </w:r>
    </w:p>
    <w:p w:rsidR="009B5B7D" w:rsidRDefault="005B40CE" w:rsidP="00DE7D73">
      <w:pPr>
        <w:spacing w:line="480" w:lineRule="atLeast"/>
        <w:ind w:left="720" w:firstLine="720"/>
        <w:rPr>
          <w:rFonts w:ascii="Arial" w:hAnsi="Arial"/>
        </w:rPr>
      </w:pPr>
      <w:r>
        <w:rPr>
          <w:rFonts w:ascii="Arial" w:hAnsi="Arial"/>
        </w:rPr>
        <w:lastRenderedPageBreak/>
        <w:t xml:space="preserve">Accounting, Supply Chain, and Work </w:t>
      </w:r>
    </w:p>
    <w:p w:rsidR="009B5B7D" w:rsidRDefault="005B40CE" w:rsidP="00DE7D73">
      <w:pPr>
        <w:spacing w:line="480" w:lineRule="atLeast"/>
        <w:ind w:left="720" w:hanging="540"/>
        <w:rPr>
          <w:rFonts w:ascii="Arial" w:hAnsi="Arial"/>
        </w:rPr>
      </w:pPr>
      <w:r>
        <w:rPr>
          <w:rFonts w:ascii="Arial" w:hAnsi="Arial"/>
        </w:rPr>
        <w:tab/>
      </w:r>
      <w:r>
        <w:rPr>
          <w:rFonts w:ascii="Arial" w:hAnsi="Arial"/>
        </w:rPr>
        <w:tab/>
      </w:r>
      <w:r>
        <w:rPr>
          <w:rFonts w:ascii="Arial" w:hAnsi="Arial"/>
        </w:rPr>
        <w:tab/>
        <w:t>Order Management</w:t>
      </w:r>
      <w:r>
        <w:rPr>
          <w:rFonts w:ascii="Arial" w:hAnsi="Arial"/>
        </w:rPr>
        <w:tab/>
      </w:r>
      <w:r w:rsidR="00B25113">
        <w:rPr>
          <w:rFonts w:ascii="Arial" w:hAnsi="Arial"/>
        </w:rPr>
        <w:t>System</w:t>
      </w:r>
      <w:r w:rsidR="00B85BCC">
        <w:rPr>
          <w:rFonts w:ascii="Arial" w:hAnsi="Arial"/>
        </w:rPr>
        <w:t>s</w:t>
      </w:r>
      <w:r w:rsidR="006A146F">
        <w:rPr>
          <w:rFonts w:ascii="Arial" w:hAnsi="Arial"/>
        </w:rPr>
        <w:tab/>
        <w:t xml:space="preserve">     546</w:t>
      </w:r>
      <w:r w:rsidR="00A65F00">
        <w:rPr>
          <w:rFonts w:ascii="Arial" w:hAnsi="Arial"/>
        </w:rPr>
        <w:t>,000</w:t>
      </w:r>
    </w:p>
    <w:p w:rsidR="009B5B7D" w:rsidRDefault="003E373B" w:rsidP="00DE7D73">
      <w:pPr>
        <w:spacing w:line="480" w:lineRule="atLeast"/>
        <w:ind w:left="720" w:hanging="540"/>
        <w:rPr>
          <w:rFonts w:ascii="Arial" w:hAnsi="Arial"/>
        </w:rPr>
      </w:pPr>
      <w:r>
        <w:rPr>
          <w:rFonts w:ascii="Arial" w:hAnsi="Arial"/>
        </w:rPr>
        <w:tab/>
      </w:r>
      <w:r>
        <w:rPr>
          <w:rFonts w:ascii="Arial" w:hAnsi="Arial"/>
        </w:rPr>
        <w:tab/>
        <w:t>Rate Case Expense</w:t>
      </w:r>
      <w:r w:rsidR="006A146F">
        <w:rPr>
          <w:rFonts w:ascii="Arial" w:hAnsi="Arial"/>
        </w:rPr>
        <w:tab/>
      </w:r>
      <w:r w:rsidR="006A146F">
        <w:rPr>
          <w:rFonts w:ascii="Arial" w:hAnsi="Arial"/>
        </w:rPr>
        <w:tab/>
      </w:r>
      <w:r w:rsidR="006A146F">
        <w:rPr>
          <w:rFonts w:ascii="Arial" w:hAnsi="Arial"/>
        </w:rPr>
        <w:tab/>
      </w:r>
      <w:r w:rsidR="006A146F">
        <w:rPr>
          <w:rFonts w:ascii="Arial" w:hAnsi="Arial"/>
        </w:rPr>
        <w:tab/>
        <w:t xml:space="preserve">     249</w:t>
      </w:r>
      <w:r w:rsidR="00A65F00">
        <w:rPr>
          <w:rFonts w:ascii="Arial" w:hAnsi="Arial"/>
        </w:rPr>
        <w:t>,000</w:t>
      </w:r>
    </w:p>
    <w:p w:rsidR="009B5B7D" w:rsidRDefault="003E373B" w:rsidP="00DE7D73">
      <w:pPr>
        <w:spacing w:line="480" w:lineRule="atLeast"/>
        <w:ind w:left="720" w:hanging="540"/>
        <w:rPr>
          <w:rFonts w:ascii="Arial" w:hAnsi="Arial"/>
          <w:u w:val="single"/>
        </w:rPr>
      </w:pPr>
      <w:r>
        <w:rPr>
          <w:rFonts w:ascii="Arial" w:hAnsi="Arial"/>
        </w:rPr>
        <w:tab/>
      </w:r>
      <w:r>
        <w:rPr>
          <w:rFonts w:ascii="Arial" w:hAnsi="Arial"/>
        </w:rPr>
        <w:tab/>
        <w:t>Rent</w:t>
      </w:r>
      <w:r w:rsidR="006A146F">
        <w:rPr>
          <w:rFonts w:ascii="Arial" w:hAnsi="Arial"/>
        </w:rPr>
        <w:tab/>
      </w:r>
      <w:r w:rsidR="006A146F">
        <w:rPr>
          <w:rFonts w:ascii="Arial" w:hAnsi="Arial"/>
        </w:rPr>
        <w:tab/>
      </w:r>
      <w:r w:rsidR="006A146F">
        <w:rPr>
          <w:rFonts w:ascii="Arial" w:hAnsi="Arial"/>
        </w:rPr>
        <w:tab/>
      </w:r>
      <w:r w:rsidR="006A146F">
        <w:rPr>
          <w:rFonts w:ascii="Arial" w:hAnsi="Arial"/>
        </w:rPr>
        <w:tab/>
      </w:r>
      <w:r w:rsidR="006A146F">
        <w:rPr>
          <w:rFonts w:ascii="Arial" w:hAnsi="Arial"/>
        </w:rPr>
        <w:tab/>
      </w:r>
      <w:r w:rsidR="006A146F">
        <w:rPr>
          <w:rFonts w:ascii="Arial" w:hAnsi="Arial"/>
        </w:rPr>
        <w:tab/>
      </w:r>
      <w:r w:rsidR="00311638" w:rsidRPr="00311638">
        <w:rPr>
          <w:rFonts w:ascii="Arial" w:hAnsi="Arial"/>
          <w:u w:val="single"/>
        </w:rPr>
        <w:t xml:space="preserve">     247</w:t>
      </w:r>
      <w:r w:rsidR="00A65F00">
        <w:rPr>
          <w:rFonts w:ascii="Arial" w:hAnsi="Arial"/>
          <w:u w:val="single"/>
        </w:rPr>
        <w:t>,000</w:t>
      </w:r>
    </w:p>
    <w:p w:rsidR="006A146F" w:rsidRDefault="005F0A03" w:rsidP="00DE7D73">
      <w:pPr>
        <w:spacing w:line="480" w:lineRule="atLeast"/>
        <w:ind w:left="720" w:hanging="540"/>
        <w:rPr>
          <w:rFonts w:ascii="Arial" w:hAnsi="Arial"/>
        </w:rPr>
      </w:pPr>
      <w:r w:rsidRPr="005F0A03">
        <w:rPr>
          <w:rFonts w:ascii="Arial" w:hAnsi="Arial"/>
        </w:rPr>
        <w:tab/>
      </w:r>
      <w:r w:rsidRPr="005F0A03">
        <w:rPr>
          <w:rFonts w:ascii="Arial" w:hAnsi="Arial"/>
        </w:rPr>
        <w:tab/>
        <w:t>Total</w:t>
      </w:r>
      <w:r w:rsidR="00F72027">
        <w:rPr>
          <w:rFonts w:ascii="Arial" w:hAnsi="Arial"/>
        </w:rPr>
        <w:tab/>
      </w:r>
      <w:r w:rsidR="00F72027">
        <w:rPr>
          <w:rFonts w:ascii="Arial" w:hAnsi="Arial"/>
        </w:rPr>
        <w:tab/>
      </w:r>
      <w:r w:rsidRPr="005F0A03">
        <w:rPr>
          <w:rFonts w:ascii="Arial" w:hAnsi="Arial"/>
        </w:rPr>
        <w:tab/>
      </w:r>
      <w:r w:rsidRPr="005F0A03">
        <w:rPr>
          <w:rFonts w:ascii="Arial" w:hAnsi="Arial"/>
        </w:rPr>
        <w:tab/>
      </w:r>
      <w:r w:rsidRPr="005F0A03">
        <w:rPr>
          <w:rFonts w:ascii="Arial" w:hAnsi="Arial"/>
        </w:rPr>
        <w:tab/>
        <w:t xml:space="preserve">         $10,682,000</w:t>
      </w:r>
    </w:p>
    <w:p w:rsidR="009B5B7D" w:rsidRDefault="009B5B7D" w:rsidP="00DE7D73">
      <w:pPr>
        <w:spacing w:line="480" w:lineRule="atLeast"/>
        <w:ind w:left="720" w:hanging="540"/>
        <w:rPr>
          <w:rFonts w:ascii="Arial" w:hAnsi="Arial"/>
        </w:rPr>
      </w:pPr>
    </w:p>
    <w:p w:rsidR="00361458" w:rsidRDefault="007038DC" w:rsidP="00361458">
      <w:pPr>
        <w:spacing w:line="480" w:lineRule="atLeast"/>
        <w:ind w:left="720"/>
        <w:jc w:val="center"/>
        <w:rPr>
          <w:rFonts w:ascii="Arial" w:hAnsi="Arial"/>
        </w:rPr>
      </w:pPr>
      <w:r>
        <w:rPr>
          <w:rFonts w:ascii="Arial" w:hAnsi="Arial"/>
        </w:rPr>
        <w:t>A. Insurance</w:t>
      </w:r>
    </w:p>
    <w:p w:rsidR="009B5B7D" w:rsidRDefault="003E373B" w:rsidP="00DE7D73">
      <w:pPr>
        <w:spacing w:line="480" w:lineRule="atLeast"/>
        <w:ind w:left="720" w:hanging="720"/>
        <w:rPr>
          <w:rFonts w:ascii="Arial" w:hAnsi="Arial"/>
        </w:rPr>
      </w:pPr>
      <w:r>
        <w:rPr>
          <w:rFonts w:ascii="Arial" w:hAnsi="Arial"/>
        </w:rPr>
        <w:t>Q.</w:t>
      </w:r>
      <w:r>
        <w:rPr>
          <w:rFonts w:ascii="Arial" w:hAnsi="Arial"/>
        </w:rPr>
        <w:tab/>
        <w:t xml:space="preserve">What is the benchmark variance for Insurance expense on </w:t>
      </w:r>
      <w:r w:rsidR="004964C9">
        <w:rPr>
          <w:rFonts w:ascii="Arial" w:hAnsi="Arial"/>
        </w:rPr>
        <w:t>Exhibit CJE-</w:t>
      </w:r>
      <w:r w:rsidR="001B01FE">
        <w:rPr>
          <w:rFonts w:ascii="Arial" w:hAnsi="Arial"/>
        </w:rPr>
        <w:t>1</w:t>
      </w:r>
      <w:r w:rsidR="0056135D">
        <w:rPr>
          <w:rFonts w:ascii="Arial" w:hAnsi="Arial"/>
        </w:rPr>
        <w:t>, Schedule 3</w:t>
      </w:r>
      <w:r>
        <w:rPr>
          <w:rFonts w:ascii="Arial" w:hAnsi="Arial"/>
        </w:rPr>
        <w:t>?</w:t>
      </w:r>
    </w:p>
    <w:p w:rsidR="009B5B7D" w:rsidRDefault="003E373B" w:rsidP="00DE7D73">
      <w:pPr>
        <w:spacing w:line="480" w:lineRule="atLeast"/>
        <w:ind w:left="720" w:hanging="720"/>
        <w:rPr>
          <w:rFonts w:ascii="Arial" w:hAnsi="Arial"/>
        </w:rPr>
      </w:pPr>
      <w:r>
        <w:rPr>
          <w:rFonts w:ascii="Arial" w:hAnsi="Arial"/>
        </w:rPr>
        <w:t>A.</w:t>
      </w:r>
      <w:r>
        <w:rPr>
          <w:rFonts w:ascii="Arial" w:hAnsi="Arial"/>
        </w:rPr>
        <w:tab/>
        <w:t xml:space="preserve">The </w:t>
      </w:r>
      <w:r w:rsidR="004964C9">
        <w:rPr>
          <w:rFonts w:ascii="Arial" w:hAnsi="Arial"/>
        </w:rPr>
        <w:t xml:space="preserve">2012 level for </w:t>
      </w:r>
      <w:r>
        <w:rPr>
          <w:rFonts w:ascii="Arial" w:hAnsi="Arial"/>
        </w:rPr>
        <w:t xml:space="preserve">Insurance expense is $14,077,000, which is $4,648,000 above the benchmark.  </w:t>
      </w:r>
      <w:r w:rsidR="00827707">
        <w:rPr>
          <w:rFonts w:ascii="Arial" w:hAnsi="Arial"/>
        </w:rPr>
        <w:t xml:space="preserve">The three components of insurance that are above the benchmark </w:t>
      </w:r>
      <w:r w:rsidR="0056135D">
        <w:rPr>
          <w:rFonts w:ascii="Arial" w:hAnsi="Arial"/>
        </w:rPr>
        <w:t xml:space="preserve">and the associated variance amounts </w:t>
      </w:r>
      <w:r w:rsidR="00827707">
        <w:rPr>
          <w:rFonts w:ascii="Arial" w:hAnsi="Arial"/>
        </w:rPr>
        <w:t>are property damage insurance</w:t>
      </w:r>
      <w:r w:rsidR="00784C17">
        <w:rPr>
          <w:rFonts w:ascii="Arial" w:hAnsi="Arial"/>
        </w:rPr>
        <w:t xml:space="preserve"> of </w:t>
      </w:r>
      <w:r w:rsidR="00827707">
        <w:rPr>
          <w:rFonts w:ascii="Arial" w:hAnsi="Arial"/>
        </w:rPr>
        <w:t>$2,389,000</w:t>
      </w:r>
      <w:r w:rsidR="0056135D">
        <w:rPr>
          <w:rFonts w:ascii="Arial" w:hAnsi="Arial"/>
        </w:rPr>
        <w:t>;</w:t>
      </w:r>
      <w:r w:rsidR="00827707">
        <w:rPr>
          <w:rFonts w:ascii="Arial" w:hAnsi="Arial"/>
        </w:rPr>
        <w:t xml:space="preserve"> injuries and damages </w:t>
      </w:r>
      <w:r w:rsidR="00AE2304">
        <w:rPr>
          <w:rFonts w:ascii="Arial" w:hAnsi="Arial"/>
        </w:rPr>
        <w:t>(</w:t>
      </w:r>
      <w:r w:rsidR="00FE312B">
        <w:rPr>
          <w:rFonts w:ascii="Arial" w:hAnsi="Arial"/>
        </w:rPr>
        <w:t>I&amp;D</w:t>
      </w:r>
      <w:r w:rsidR="00AE2304">
        <w:rPr>
          <w:rFonts w:ascii="Arial" w:hAnsi="Arial"/>
        </w:rPr>
        <w:t xml:space="preserve">) </w:t>
      </w:r>
      <w:r w:rsidR="004F3C52">
        <w:rPr>
          <w:rFonts w:ascii="Arial" w:hAnsi="Arial"/>
        </w:rPr>
        <w:t>insurance</w:t>
      </w:r>
      <w:r w:rsidR="00784C17">
        <w:rPr>
          <w:rFonts w:ascii="Arial" w:hAnsi="Arial"/>
        </w:rPr>
        <w:t xml:space="preserve"> of </w:t>
      </w:r>
      <w:r w:rsidR="00AE2304">
        <w:rPr>
          <w:rFonts w:ascii="Arial" w:hAnsi="Arial"/>
        </w:rPr>
        <w:t>$457,000</w:t>
      </w:r>
      <w:r w:rsidR="0056135D">
        <w:rPr>
          <w:rFonts w:ascii="Arial" w:hAnsi="Arial"/>
        </w:rPr>
        <w:t>;</w:t>
      </w:r>
      <w:r w:rsidR="00AE2304">
        <w:rPr>
          <w:rFonts w:ascii="Arial" w:hAnsi="Arial"/>
        </w:rPr>
        <w:t xml:space="preserve"> and Gulf’s property damage reserve accrual</w:t>
      </w:r>
      <w:r w:rsidR="00784C17">
        <w:rPr>
          <w:rFonts w:ascii="Arial" w:hAnsi="Arial"/>
        </w:rPr>
        <w:t xml:space="preserve"> of </w:t>
      </w:r>
      <w:r w:rsidR="00AE2304">
        <w:rPr>
          <w:rFonts w:ascii="Arial" w:hAnsi="Arial"/>
        </w:rPr>
        <w:t>$1,802,000</w:t>
      </w:r>
      <w:r w:rsidR="00F72027">
        <w:rPr>
          <w:rFonts w:ascii="Arial" w:hAnsi="Arial"/>
        </w:rPr>
        <w:t>.</w:t>
      </w:r>
    </w:p>
    <w:p w:rsidR="009B5B7D" w:rsidRDefault="009B5B7D" w:rsidP="00DE7D73">
      <w:pPr>
        <w:spacing w:line="480" w:lineRule="atLeast"/>
        <w:ind w:left="720" w:hanging="720"/>
        <w:rPr>
          <w:rFonts w:ascii="Arial" w:hAnsi="Arial"/>
        </w:rPr>
      </w:pPr>
    </w:p>
    <w:p w:rsidR="009B5B7D" w:rsidRDefault="003E373B" w:rsidP="00DE7D73">
      <w:pPr>
        <w:spacing w:line="480" w:lineRule="atLeast"/>
        <w:ind w:left="720" w:hanging="720"/>
        <w:rPr>
          <w:rFonts w:ascii="Arial" w:hAnsi="Arial"/>
        </w:rPr>
      </w:pPr>
      <w:r>
        <w:rPr>
          <w:rFonts w:ascii="Arial" w:hAnsi="Arial"/>
        </w:rPr>
        <w:t>Q.</w:t>
      </w:r>
      <w:r>
        <w:rPr>
          <w:rFonts w:ascii="Arial" w:hAnsi="Arial"/>
        </w:rPr>
        <w:tab/>
        <w:t xml:space="preserve">Please explain what is included in Insurance expense on </w:t>
      </w:r>
      <w:r w:rsidR="00174227">
        <w:rPr>
          <w:rFonts w:ascii="Arial" w:hAnsi="Arial"/>
        </w:rPr>
        <w:t xml:space="preserve">Exhibit CJE-1, </w:t>
      </w:r>
      <w:r w:rsidR="0056135D">
        <w:rPr>
          <w:rFonts w:ascii="Arial" w:hAnsi="Arial"/>
        </w:rPr>
        <w:t>Schedule 3</w:t>
      </w:r>
      <w:r>
        <w:rPr>
          <w:rFonts w:ascii="Arial" w:hAnsi="Arial"/>
        </w:rPr>
        <w:t>.</w:t>
      </w:r>
    </w:p>
    <w:p w:rsidR="009B5B7D" w:rsidRDefault="003E373B" w:rsidP="00DE7D73">
      <w:pPr>
        <w:spacing w:line="480" w:lineRule="atLeast"/>
        <w:ind w:left="720" w:hanging="720"/>
        <w:rPr>
          <w:rFonts w:ascii="Arial" w:hAnsi="Arial"/>
        </w:rPr>
      </w:pPr>
      <w:r>
        <w:rPr>
          <w:rFonts w:ascii="Arial" w:hAnsi="Arial"/>
        </w:rPr>
        <w:t>A.</w:t>
      </w:r>
      <w:r>
        <w:rPr>
          <w:rFonts w:ascii="Arial" w:hAnsi="Arial"/>
        </w:rPr>
        <w:tab/>
        <w:t xml:space="preserve">Insurance consists primarily of premiums for insurance policies, which cover property damage and </w:t>
      </w:r>
      <w:r w:rsidR="00FE312B">
        <w:rPr>
          <w:rFonts w:ascii="Arial" w:hAnsi="Arial"/>
        </w:rPr>
        <w:t>I&amp;D</w:t>
      </w:r>
      <w:r>
        <w:rPr>
          <w:rFonts w:ascii="Arial" w:hAnsi="Arial"/>
        </w:rPr>
        <w:t xml:space="preserve"> costs, and the annual accruals to the property damage and </w:t>
      </w:r>
      <w:r w:rsidR="00FE312B">
        <w:rPr>
          <w:rFonts w:ascii="Arial" w:hAnsi="Arial"/>
        </w:rPr>
        <w:t>I&amp;D</w:t>
      </w:r>
      <w:r>
        <w:rPr>
          <w:rFonts w:ascii="Arial" w:hAnsi="Arial"/>
        </w:rPr>
        <w:t xml:space="preserve"> reserves.  The Company is self-insured for costs not covered by external insurance policies. </w:t>
      </w:r>
    </w:p>
    <w:p w:rsidR="009B5B7D" w:rsidRDefault="009B5B7D" w:rsidP="00DE7D73">
      <w:pPr>
        <w:spacing w:line="480" w:lineRule="atLeast"/>
        <w:ind w:left="720" w:hanging="720"/>
        <w:rPr>
          <w:rFonts w:ascii="Arial" w:hAnsi="Arial"/>
        </w:rPr>
      </w:pPr>
    </w:p>
    <w:p w:rsidR="00361458" w:rsidRDefault="003E373B" w:rsidP="000546CC">
      <w:pPr>
        <w:spacing w:line="480" w:lineRule="atLeast"/>
        <w:ind w:left="720"/>
        <w:rPr>
          <w:rFonts w:ascii="Arial" w:hAnsi="Arial"/>
        </w:rPr>
      </w:pPr>
      <w:r>
        <w:rPr>
          <w:rFonts w:ascii="Arial" w:hAnsi="Arial"/>
        </w:rPr>
        <w:t xml:space="preserve">Property damage insurance </w:t>
      </w:r>
      <w:r w:rsidRPr="00AC0DE0">
        <w:rPr>
          <w:rFonts w:ascii="Arial" w:hAnsi="Arial" w:cs="Arial"/>
          <w:szCs w:val="24"/>
        </w:rPr>
        <w:t>protect</w:t>
      </w:r>
      <w:r>
        <w:rPr>
          <w:rFonts w:ascii="Arial" w:hAnsi="Arial" w:cs="Arial"/>
          <w:szCs w:val="24"/>
        </w:rPr>
        <w:t>s</w:t>
      </w:r>
      <w:r w:rsidRPr="00AC0DE0">
        <w:rPr>
          <w:rFonts w:ascii="Arial" w:hAnsi="Arial" w:cs="Arial"/>
          <w:szCs w:val="24"/>
        </w:rPr>
        <w:t xml:space="preserve"> the </w:t>
      </w:r>
      <w:r>
        <w:rPr>
          <w:rFonts w:ascii="Arial" w:hAnsi="Arial" w:cs="Arial"/>
          <w:szCs w:val="24"/>
        </w:rPr>
        <w:t>Company</w:t>
      </w:r>
      <w:r w:rsidRPr="00AC0DE0">
        <w:rPr>
          <w:rFonts w:ascii="Arial" w:hAnsi="Arial" w:cs="Arial"/>
          <w:szCs w:val="24"/>
        </w:rPr>
        <w:t xml:space="preserve"> against losses and damages to owned or leased property</w:t>
      </w:r>
      <w:r>
        <w:rPr>
          <w:rFonts w:ascii="Arial" w:hAnsi="Arial" w:cs="Arial"/>
          <w:szCs w:val="24"/>
        </w:rPr>
        <w:t xml:space="preserve"> used in </w:t>
      </w:r>
      <w:r w:rsidRPr="00AC0DE0">
        <w:rPr>
          <w:rFonts w:ascii="Arial" w:hAnsi="Arial" w:cs="Arial"/>
          <w:szCs w:val="24"/>
        </w:rPr>
        <w:t>operations.</w:t>
      </w:r>
      <w:r>
        <w:rPr>
          <w:rFonts w:ascii="Arial" w:hAnsi="Arial" w:cs="Arial"/>
          <w:szCs w:val="24"/>
        </w:rPr>
        <w:t xml:space="preserve">  </w:t>
      </w:r>
      <w:r w:rsidR="004964C9">
        <w:rPr>
          <w:rFonts w:ascii="Arial" w:hAnsi="Arial"/>
        </w:rPr>
        <w:t xml:space="preserve">Gulf’s property damage insurance is provided through </w:t>
      </w:r>
      <w:r>
        <w:rPr>
          <w:rFonts w:ascii="Arial" w:hAnsi="Arial"/>
        </w:rPr>
        <w:t xml:space="preserve">the Company’s All-Risk property </w:t>
      </w:r>
      <w:r>
        <w:rPr>
          <w:rFonts w:ascii="Arial" w:hAnsi="Arial"/>
        </w:rPr>
        <w:lastRenderedPageBreak/>
        <w:t>damage policy.  This policy generally covers damage to the Company’s property except for transmission and distribution (</w:t>
      </w:r>
      <w:r w:rsidR="007565EB">
        <w:rPr>
          <w:rFonts w:ascii="Arial" w:hAnsi="Arial"/>
        </w:rPr>
        <w:t>T&amp;D</w:t>
      </w:r>
      <w:r>
        <w:rPr>
          <w:rFonts w:ascii="Arial" w:hAnsi="Arial"/>
        </w:rPr>
        <w:t xml:space="preserve">) </w:t>
      </w:r>
      <w:r w:rsidR="008577C5">
        <w:rPr>
          <w:rFonts w:ascii="Arial" w:hAnsi="Arial"/>
        </w:rPr>
        <w:t>facilities</w:t>
      </w:r>
      <w:r>
        <w:rPr>
          <w:rFonts w:ascii="Arial" w:hAnsi="Arial"/>
        </w:rPr>
        <w:t xml:space="preserve">.  Insurance for </w:t>
      </w:r>
      <w:r w:rsidR="007565EB">
        <w:rPr>
          <w:rFonts w:ascii="Arial" w:hAnsi="Arial"/>
        </w:rPr>
        <w:t>T&amp;D</w:t>
      </w:r>
      <w:r>
        <w:rPr>
          <w:rFonts w:ascii="Arial" w:hAnsi="Arial"/>
        </w:rPr>
        <w:t xml:space="preserve"> </w:t>
      </w:r>
      <w:r w:rsidR="008577C5">
        <w:rPr>
          <w:rFonts w:ascii="Arial" w:hAnsi="Arial"/>
        </w:rPr>
        <w:t xml:space="preserve">facilities </w:t>
      </w:r>
      <w:r>
        <w:rPr>
          <w:rFonts w:ascii="Arial" w:hAnsi="Arial"/>
        </w:rPr>
        <w:t>is not widely available</w:t>
      </w:r>
      <w:r w:rsidR="004964C9">
        <w:rPr>
          <w:rFonts w:ascii="Arial" w:hAnsi="Arial"/>
        </w:rPr>
        <w:t>,</w:t>
      </w:r>
      <w:r>
        <w:rPr>
          <w:rFonts w:ascii="Arial" w:hAnsi="Arial"/>
        </w:rPr>
        <w:t xml:space="preserve"> and </w:t>
      </w:r>
      <w:r w:rsidR="004964C9">
        <w:rPr>
          <w:rFonts w:ascii="Arial" w:hAnsi="Arial"/>
        </w:rPr>
        <w:t xml:space="preserve">what is available is </w:t>
      </w:r>
      <w:r>
        <w:rPr>
          <w:rFonts w:ascii="Arial" w:hAnsi="Arial"/>
        </w:rPr>
        <w:t>cost prohibitive</w:t>
      </w:r>
      <w:r w:rsidR="004964C9">
        <w:rPr>
          <w:rFonts w:ascii="Arial" w:hAnsi="Arial"/>
        </w:rPr>
        <w:t>;</w:t>
      </w:r>
      <w:r>
        <w:rPr>
          <w:rFonts w:ascii="Arial" w:hAnsi="Arial"/>
        </w:rPr>
        <w:t xml:space="preserve"> therefore</w:t>
      </w:r>
      <w:r w:rsidR="004964C9">
        <w:rPr>
          <w:rFonts w:ascii="Arial" w:hAnsi="Arial"/>
        </w:rPr>
        <w:t>,</w:t>
      </w:r>
      <w:r>
        <w:rPr>
          <w:rFonts w:ascii="Arial" w:hAnsi="Arial"/>
        </w:rPr>
        <w:t xml:space="preserve"> Gulf is self-insured</w:t>
      </w:r>
      <w:r w:rsidR="004964C9">
        <w:rPr>
          <w:rFonts w:ascii="Arial" w:hAnsi="Arial"/>
        </w:rPr>
        <w:t xml:space="preserve"> for its T&amp;D facilities</w:t>
      </w:r>
      <w:r>
        <w:rPr>
          <w:rFonts w:ascii="Arial" w:hAnsi="Arial"/>
        </w:rPr>
        <w:t xml:space="preserve">.  The property damage reserve is </w:t>
      </w:r>
      <w:r w:rsidR="004964C9">
        <w:rPr>
          <w:rFonts w:ascii="Arial" w:hAnsi="Arial"/>
        </w:rPr>
        <w:t xml:space="preserve">Gulf’s self-insurance mechanism </w:t>
      </w:r>
      <w:r>
        <w:rPr>
          <w:rFonts w:ascii="Arial" w:hAnsi="Arial"/>
        </w:rPr>
        <w:t xml:space="preserve">used to cover </w:t>
      </w:r>
      <w:r w:rsidR="008577C5">
        <w:rPr>
          <w:rFonts w:ascii="Arial" w:hAnsi="Arial"/>
        </w:rPr>
        <w:t xml:space="preserve">certain costs of restoration as allowed by the FPSC </w:t>
      </w:r>
      <w:r w:rsidR="00707125">
        <w:rPr>
          <w:rFonts w:ascii="Arial" w:hAnsi="Arial"/>
        </w:rPr>
        <w:t xml:space="preserve">in </w:t>
      </w:r>
      <w:r w:rsidR="004B1C4B">
        <w:rPr>
          <w:rFonts w:ascii="Arial" w:hAnsi="Arial"/>
        </w:rPr>
        <w:t xml:space="preserve">Docket </w:t>
      </w:r>
      <w:proofErr w:type="gramStart"/>
      <w:r w:rsidR="004B1C4B">
        <w:rPr>
          <w:rFonts w:ascii="Arial" w:hAnsi="Arial"/>
        </w:rPr>
        <w:t>No</w:t>
      </w:r>
      <w:proofErr w:type="gramEnd"/>
      <w:r w:rsidR="004B1C4B">
        <w:rPr>
          <w:rFonts w:ascii="Arial" w:hAnsi="Arial"/>
        </w:rPr>
        <w:t xml:space="preserve">. 070011-EI, Order No. PSC-07-0444-FOF-EI, </w:t>
      </w:r>
      <w:r>
        <w:rPr>
          <w:rFonts w:ascii="Arial" w:hAnsi="Arial"/>
        </w:rPr>
        <w:t xml:space="preserve">which </w:t>
      </w:r>
      <w:proofErr w:type="gramStart"/>
      <w:r>
        <w:rPr>
          <w:rFonts w:ascii="Arial" w:hAnsi="Arial"/>
        </w:rPr>
        <w:t>are</w:t>
      </w:r>
      <w:proofErr w:type="gramEnd"/>
      <w:r>
        <w:rPr>
          <w:rFonts w:ascii="Arial" w:hAnsi="Arial"/>
        </w:rPr>
        <w:t xml:space="preserve"> not covered by insurance (i.e.</w:t>
      </w:r>
      <w:r w:rsidR="00D4420B">
        <w:rPr>
          <w:rFonts w:ascii="Arial" w:hAnsi="Arial"/>
        </w:rPr>
        <w:t>,</w:t>
      </w:r>
      <w:r>
        <w:rPr>
          <w:rFonts w:ascii="Arial" w:hAnsi="Arial"/>
        </w:rPr>
        <w:t xml:space="preserve"> </w:t>
      </w:r>
      <w:r w:rsidR="007565EB">
        <w:rPr>
          <w:rFonts w:ascii="Arial" w:hAnsi="Arial"/>
        </w:rPr>
        <w:t>T&amp;D</w:t>
      </w:r>
      <w:r>
        <w:rPr>
          <w:rFonts w:ascii="Arial" w:hAnsi="Arial"/>
        </w:rPr>
        <w:t xml:space="preserve"> </w:t>
      </w:r>
      <w:r w:rsidR="008577C5">
        <w:rPr>
          <w:rFonts w:ascii="Arial" w:hAnsi="Arial"/>
        </w:rPr>
        <w:t>facilities</w:t>
      </w:r>
      <w:r>
        <w:rPr>
          <w:rFonts w:ascii="Arial" w:hAnsi="Arial"/>
        </w:rPr>
        <w:t xml:space="preserve">) and insurance policy deductibles.   </w:t>
      </w:r>
    </w:p>
    <w:p w:rsidR="009B5B7D" w:rsidRDefault="009B5B7D" w:rsidP="00DE7D73">
      <w:pPr>
        <w:spacing w:line="480" w:lineRule="atLeast"/>
        <w:ind w:left="720"/>
        <w:rPr>
          <w:rFonts w:ascii="Arial" w:hAnsi="Arial"/>
        </w:rPr>
      </w:pPr>
    </w:p>
    <w:p w:rsidR="00361458" w:rsidRDefault="003E373B" w:rsidP="000546CC">
      <w:pPr>
        <w:spacing w:line="480" w:lineRule="atLeast"/>
        <w:ind w:left="720"/>
        <w:rPr>
          <w:rFonts w:ascii="Arial" w:hAnsi="Arial"/>
        </w:rPr>
      </w:pPr>
      <w:r>
        <w:rPr>
          <w:rFonts w:ascii="Arial" w:hAnsi="Arial"/>
        </w:rPr>
        <w:t xml:space="preserve">Insurance related to </w:t>
      </w:r>
      <w:r w:rsidR="00FE312B">
        <w:rPr>
          <w:rFonts w:ascii="Arial" w:hAnsi="Arial"/>
        </w:rPr>
        <w:t>I&amp;D</w:t>
      </w:r>
      <w:r>
        <w:rPr>
          <w:rFonts w:ascii="Arial" w:hAnsi="Arial"/>
        </w:rPr>
        <w:t xml:space="preserve"> </w:t>
      </w:r>
      <w:r w:rsidRPr="007A3B72">
        <w:rPr>
          <w:rFonts w:ascii="Arial" w:hAnsi="Arial" w:cs="Arial"/>
          <w:szCs w:val="24"/>
        </w:rPr>
        <w:t>include</w:t>
      </w:r>
      <w:r>
        <w:rPr>
          <w:rFonts w:ascii="Arial" w:hAnsi="Arial" w:cs="Arial"/>
          <w:szCs w:val="24"/>
        </w:rPr>
        <w:t>s</w:t>
      </w:r>
      <w:r w:rsidRPr="007A3B72">
        <w:rPr>
          <w:rFonts w:ascii="Arial" w:hAnsi="Arial" w:cs="Arial"/>
          <w:szCs w:val="24"/>
        </w:rPr>
        <w:t xml:space="preserve"> the</w:t>
      </w:r>
      <w:r>
        <w:rPr>
          <w:rFonts w:ascii="Arial" w:hAnsi="Arial" w:cs="Arial"/>
          <w:szCs w:val="24"/>
        </w:rPr>
        <w:t xml:space="preserve"> </w:t>
      </w:r>
      <w:r w:rsidRPr="007A3B72">
        <w:rPr>
          <w:rFonts w:ascii="Arial" w:hAnsi="Arial" w:cs="Arial"/>
          <w:szCs w:val="24"/>
        </w:rPr>
        <w:t xml:space="preserve">cost of insurance </w:t>
      </w:r>
      <w:r>
        <w:rPr>
          <w:rFonts w:ascii="Arial" w:hAnsi="Arial" w:cs="Arial"/>
          <w:szCs w:val="24"/>
        </w:rPr>
        <w:t>and</w:t>
      </w:r>
      <w:r w:rsidRPr="007A3B72">
        <w:rPr>
          <w:rFonts w:ascii="Arial" w:hAnsi="Arial" w:cs="Arial"/>
          <w:szCs w:val="24"/>
        </w:rPr>
        <w:t xml:space="preserve"> </w:t>
      </w:r>
      <w:r>
        <w:rPr>
          <w:rFonts w:ascii="Arial" w:hAnsi="Arial" w:cs="Arial"/>
          <w:szCs w:val="24"/>
        </w:rPr>
        <w:t xml:space="preserve">accruals to </w:t>
      </w:r>
      <w:proofErr w:type="gramStart"/>
      <w:r>
        <w:rPr>
          <w:rFonts w:ascii="Arial" w:hAnsi="Arial" w:cs="Arial"/>
          <w:szCs w:val="24"/>
        </w:rPr>
        <w:t xml:space="preserve">the </w:t>
      </w:r>
      <w:r w:rsidR="00FE312B">
        <w:rPr>
          <w:rFonts w:ascii="Arial" w:hAnsi="Arial" w:cs="Arial"/>
          <w:szCs w:val="24"/>
        </w:rPr>
        <w:t>I</w:t>
      </w:r>
      <w:proofErr w:type="gramEnd"/>
      <w:r w:rsidR="00FE312B">
        <w:rPr>
          <w:rFonts w:ascii="Arial" w:hAnsi="Arial" w:cs="Arial"/>
          <w:szCs w:val="24"/>
        </w:rPr>
        <w:t>&amp;D</w:t>
      </w:r>
      <w:r>
        <w:rPr>
          <w:rFonts w:ascii="Arial" w:hAnsi="Arial" w:cs="Arial"/>
          <w:szCs w:val="24"/>
        </w:rPr>
        <w:t xml:space="preserve"> </w:t>
      </w:r>
      <w:r w:rsidRPr="007A3B72">
        <w:rPr>
          <w:rFonts w:ascii="Arial" w:hAnsi="Arial" w:cs="Arial"/>
          <w:szCs w:val="24"/>
        </w:rPr>
        <w:t>reserve to</w:t>
      </w:r>
      <w:r>
        <w:rPr>
          <w:rFonts w:ascii="Arial" w:hAnsi="Arial" w:cs="Arial"/>
          <w:szCs w:val="24"/>
        </w:rPr>
        <w:t xml:space="preserve"> </w:t>
      </w:r>
      <w:r w:rsidRPr="007A3B72">
        <w:rPr>
          <w:rFonts w:ascii="Arial" w:hAnsi="Arial" w:cs="Arial"/>
          <w:szCs w:val="24"/>
        </w:rPr>
        <w:t xml:space="preserve">protect the </w:t>
      </w:r>
      <w:r w:rsidR="00D4420B">
        <w:rPr>
          <w:rFonts w:ascii="Arial" w:hAnsi="Arial" w:cs="Arial"/>
          <w:szCs w:val="24"/>
        </w:rPr>
        <w:t>Company</w:t>
      </w:r>
      <w:r w:rsidR="00D4420B" w:rsidRPr="007A3B72">
        <w:rPr>
          <w:rFonts w:ascii="Arial" w:hAnsi="Arial" w:cs="Arial"/>
          <w:szCs w:val="24"/>
        </w:rPr>
        <w:t xml:space="preserve"> </w:t>
      </w:r>
      <w:r w:rsidRPr="007A3B72">
        <w:rPr>
          <w:rFonts w:ascii="Arial" w:hAnsi="Arial" w:cs="Arial"/>
          <w:szCs w:val="24"/>
        </w:rPr>
        <w:t xml:space="preserve">against </w:t>
      </w:r>
      <w:r w:rsidR="00FE312B">
        <w:rPr>
          <w:rFonts w:ascii="Arial" w:hAnsi="Arial" w:cs="Arial"/>
          <w:szCs w:val="24"/>
        </w:rPr>
        <w:t>I&amp;D</w:t>
      </w:r>
      <w:r w:rsidRPr="007A3B72">
        <w:rPr>
          <w:rFonts w:ascii="Arial" w:hAnsi="Arial" w:cs="Arial"/>
          <w:szCs w:val="24"/>
        </w:rPr>
        <w:t xml:space="preserve"> claims </w:t>
      </w:r>
      <w:r w:rsidR="00D4420B">
        <w:rPr>
          <w:rFonts w:ascii="Arial" w:hAnsi="Arial" w:cs="Arial"/>
          <w:szCs w:val="24"/>
        </w:rPr>
        <w:t>by</w:t>
      </w:r>
      <w:r w:rsidR="00D4420B" w:rsidRPr="007A3B72">
        <w:rPr>
          <w:rFonts w:ascii="Arial" w:hAnsi="Arial" w:cs="Arial"/>
          <w:szCs w:val="24"/>
        </w:rPr>
        <w:t xml:space="preserve"> </w:t>
      </w:r>
      <w:r w:rsidRPr="007A3B72">
        <w:rPr>
          <w:rFonts w:ascii="Arial" w:hAnsi="Arial" w:cs="Arial"/>
          <w:szCs w:val="24"/>
        </w:rPr>
        <w:t>employees or others</w:t>
      </w:r>
      <w:r>
        <w:rPr>
          <w:rFonts w:ascii="Arial" w:hAnsi="Arial" w:cs="Arial"/>
          <w:szCs w:val="24"/>
        </w:rPr>
        <w:t xml:space="preserve"> </w:t>
      </w:r>
      <w:r w:rsidR="00D4420B">
        <w:rPr>
          <w:rFonts w:ascii="Arial" w:hAnsi="Arial" w:cs="Arial"/>
          <w:szCs w:val="24"/>
        </w:rPr>
        <w:t>that are</w:t>
      </w:r>
      <w:r w:rsidRPr="007A3B72">
        <w:rPr>
          <w:rFonts w:ascii="Arial" w:hAnsi="Arial" w:cs="Arial"/>
          <w:szCs w:val="24"/>
        </w:rPr>
        <w:t xml:space="preserve"> not covered by</w:t>
      </w:r>
      <w:r>
        <w:rPr>
          <w:rFonts w:ascii="Arial" w:hAnsi="Arial" w:cs="Arial"/>
          <w:szCs w:val="24"/>
        </w:rPr>
        <w:t xml:space="preserve"> </w:t>
      </w:r>
      <w:r w:rsidRPr="007A3B72">
        <w:rPr>
          <w:rFonts w:ascii="Arial" w:hAnsi="Arial" w:cs="Arial"/>
          <w:szCs w:val="24"/>
        </w:rPr>
        <w:t>insurance</w:t>
      </w:r>
      <w:r>
        <w:rPr>
          <w:rFonts w:ascii="Arial" w:hAnsi="Arial" w:cs="Arial"/>
          <w:szCs w:val="24"/>
        </w:rPr>
        <w:t xml:space="preserve">.  </w:t>
      </w:r>
      <w:r w:rsidR="00FE312B">
        <w:rPr>
          <w:rFonts w:ascii="Arial" w:hAnsi="Arial" w:cs="Arial"/>
          <w:szCs w:val="24"/>
        </w:rPr>
        <w:t>I&amp;D</w:t>
      </w:r>
      <w:r>
        <w:rPr>
          <w:rFonts w:ascii="Arial" w:hAnsi="Arial" w:cs="Arial"/>
          <w:szCs w:val="24"/>
        </w:rPr>
        <w:t xml:space="preserve"> costs also include </w:t>
      </w:r>
      <w:r w:rsidRPr="007A3B72">
        <w:rPr>
          <w:rFonts w:ascii="Arial" w:hAnsi="Arial" w:cs="Arial"/>
          <w:szCs w:val="24"/>
        </w:rPr>
        <w:t>the cost of labor and expenses incurred in</w:t>
      </w:r>
      <w:r>
        <w:rPr>
          <w:rFonts w:ascii="Arial" w:hAnsi="Arial" w:cs="Arial"/>
          <w:szCs w:val="24"/>
        </w:rPr>
        <w:t xml:space="preserve"> </w:t>
      </w:r>
      <w:r w:rsidR="00FE312B">
        <w:rPr>
          <w:rFonts w:ascii="Arial" w:hAnsi="Arial" w:cs="Arial"/>
          <w:szCs w:val="24"/>
        </w:rPr>
        <w:t>I&amp;D</w:t>
      </w:r>
      <w:r w:rsidRPr="007A3B72">
        <w:rPr>
          <w:rFonts w:ascii="Arial" w:hAnsi="Arial" w:cs="Arial"/>
          <w:szCs w:val="24"/>
        </w:rPr>
        <w:t xml:space="preserve"> activities.</w:t>
      </w:r>
      <w:r>
        <w:rPr>
          <w:rFonts w:ascii="Arial" w:hAnsi="Arial" w:cs="Arial"/>
          <w:szCs w:val="24"/>
        </w:rPr>
        <w:t xml:space="preserve">  For e</w:t>
      </w:r>
      <w:r>
        <w:rPr>
          <w:rFonts w:ascii="Arial" w:hAnsi="Arial"/>
        </w:rPr>
        <w:t xml:space="preserve">xample, expenses for the Company’s public liability policy are included in </w:t>
      </w:r>
      <w:r w:rsidR="00FE312B">
        <w:rPr>
          <w:rFonts w:ascii="Arial" w:hAnsi="Arial"/>
        </w:rPr>
        <w:t>I&amp;D</w:t>
      </w:r>
      <w:r>
        <w:rPr>
          <w:rFonts w:ascii="Arial" w:hAnsi="Arial"/>
        </w:rPr>
        <w:t xml:space="preserve"> costs.  </w:t>
      </w:r>
      <w:r w:rsidRPr="00672EE1">
        <w:rPr>
          <w:rFonts w:ascii="Arial" w:hAnsi="Arial" w:cs="Arial"/>
          <w:szCs w:val="24"/>
        </w:rPr>
        <w:t>This policy covers third party bodily injury and property damage resulting from most company operations.</w:t>
      </w:r>
      <w:r w:rsidRPr="00672EE1">
        <w:rPr>
          <w:rFonts w:ascii="Arial" w:hAnsi="Arial" w:cs="Arial"/>
          <w:color w:val="0000FF"/>
          <w:szCs w:val="24"/>
        </w:rPr>
        <w:t xml:space="preserve">  </w:t>
      </w:r>
      <w:proofErr w:type="gramStart"/>
      <w:r w:rsidRPr="00672EE1">
        <w:rPr>
          <w:rFonts w:ascii="Arial" w:hAnsi="Arial" w:cs="Arial"/>
        </w:rPr>
        <w:t>The</w:t>
      </w:r>
      <w:r>
        <w:rPr>
          <w:rFonts w:ascii="Arial" w:hAnsi="Arial"/>
        </w:rPr>
        <w:t xml:space="preserve"> </w:t>
      </w:r>
      <w:r w:rsidR="00FE312B">
        <w:rPr>
          <w:rFonts w:ascii="Arial" w:hAnsi="Arial"/>
        </w:rPr>
        <w:t>I</w:t>
      </w:r>
      <w:proofErr w:type="gramEnd"/>
      <w:r w:rsidR="00FE312B">
        <w:rPr>
          <w:rFonts w:ascii="Arial" w:hAnsi="Arial"/>
        </w:rPr>
        <w:t>&amp;D</w:t>
      </w:r>
      <w:r>
        <w:rPr>
          <w:rFonts w:ascii="Arial" w:hAnsi="Arial"/>
        </w:rPr>
        <w:t xml:space="preserve"> reserve is used to cover </w:t>
      </w:r>
      <w:r w:rsidR="00FE312B">
        <w:rPr>
          <w:rFonts w:ascii="Arial" w:hAnsi="Arial"/>
        </w:rPr>
        <w:t>I&amp;D</w:t>
      </w:r>
      <w:r>
        <w:rPr>
          <w:rFonts w:ascii="Arial" w:hAnsi="Arial"/>
        </w:rPr>
        <w:t xml:space="preserve"> costs not covered by insurance and insurance policy deductibles.  This reserve balance is based on an annual accrual of $1,600,000 less charges against the reserve.  The annual accrual amount was approved by the FPSC in Order No. PSC-04-</w:t>
      </w:r>
      <w:r w:rsidR="005F3B63">
        <w:rPr>
          <w:rFonts w:ascii="Arial" w:hAnsi="Arial"/>
        </w:rPr>
        <w:t>0453-PAA</w:t>
      </w:r>
      <w:r w:rsidR="008577C5">
        <w:rPr>
          <w:rFonts w:ascii="Arial" w:hAnsi="Arial"/>
        </w:rPr>
        <w:t>-EI</w:t>
      </w:r>
      <w:r>
        <w:rPr>
          <w:rFonts w:ascii="Arial" w:hAnsi="Arial"/>
        </w:rPr>
        <w:t>, Docket No. 040218-EI.</w:t>
      </w:r>
    </w:p>
    <w:p w:rsidR="009B5B7D" w:rsidRDefault="009B5B7D" w:rsidP="00DE7D73">
      <w:pPr>
        <w:autoSpaceDE w:val="0"/>
        <w:autoSpaceDN w:val="0"/>
        <w:adjustRightInd w:val="0"/>
        <w:spacing w:line="480" w:lineRule="atLeast"/>
        <w:ind w:left="720"/>
        <w:rPr>
          <w:rFonts w:ascii="Arial" w:hAnsi="Arial" w:cs="Arial"/>
          <w:szCs w:val="24"/>
        </w:rPr>
      </w:pPr>
    </w:p>
    <w:p w:rsidR="009B5B7D" w:rsidRDefault="003E373B" w:rsidP="00DE7D73">
      <w:pPr>
        <w:spacing w:line="480" w:lineRule="atLeast"/>
        <w:ind w:left="720" w:hanging="720"/>
        <w:rPr>
          <w:rFonts w:ascii="Arial" w:hAnsi="Arial"/>
        </w:rPr>
      </w:pPr>
      <w:r>
        <w:rPr>
          <w:rFonts w:ascii="Arial" w:hAnsi="Arial"/>
        </w:rPr>
        <w:t>Q.</w:t>
      </w:r>
      <w:r>
        <w:rPr>
          <w:rFonts w:ascii="Arial" w:hAnsi="Arial"/>
        </w:rPr>
        <w:tab/>
      </w:r>
      <w:r w:rsidR="00E17041">
        <w:rPr>
          <w:rFonts w:ascii="Arial" w:hAnsi="Arial"/>
        </w:rPr>
        <w:t>Please address why Gulf’s 2012</w:t>
      </w:r>
      <w:r>
        <w:rPr>
          <w:rFonts w:ascii="Arial" w:hAnsi="Arial"/>
        </w:rPr>
        <w:t xml:space="preserve"> property damage insurance</w:t>
      </w:r>
      <w:r w:rsidR="00E17041">
        <w:rPr>
          <w:rFonts w:ascii="Arial" w:hAnsi="Arial"/>
        </w:rPr>
        <w:t xml:space="preserve"> expense</w:t>
      </w:r>
      <w:r>
        <w:rPr>
          <w:rFonts w:ascii="Arial" w:hAnsi="Arial"/>
        </w:rPr>
        <w:t xml:space="preserve"> </w:t>
      </w:r>
      <w:r w:rsidR="00E17041">
        <w:rPr>
          <w:rFonts w:ascii="Arial" w:hAnsi="Arial"/>
        </w:rPr>
        <w:t>of $4,407,000 exceeds</w:t>
      </w:r>
      <w:r w:rsidR="00210010">
        <w:rPr>
          <w:rFonts w:ascii="Arial" w:hAnsi="Arial"/>
        </w:rPr>
        <w:t xml:space="preserve"> the property damage i</w:t>
      </w:r>
      <w:r w:rsidR="00E17041">
        <w:rPr>
          <w:rFonts w:ascii="Arial" w:hAnsi="Arial"/>
        </w:rPr>
        <w:t xml:space="preserve">nsurance benchmark </w:t>
      </w:r>
      <w:r w:rsidR="00417CC4">
        <w:rPr>
          <w:rFonts w:ascii="Arial" w:hAnsi="Arial"/>
        </w:rPr>
        <w:t>by $</w:t>
      </w:r>
      <w:r w:rsidR="00E17041">
        <w:rPr>
          <w:rFonts w:ascii="Arial" w:hAnsi="Arial"/>
        </w:rPr>
        <w:t>2,389,000.</w:t>
      </w:r>
    </w:p>
    <w:p w:rsidR="0072435D" w:rsidRDefault="0072435D" w:rsidP="00DE7D73">
      <w:pPr>
        <w:spacing w:line="480" w:lineRule="atLeast"/>
        <w:ind w:left="720" w:hanging="720"/>
        <w:rPr>
          <w:rFonts w:ascii="Arial" w:hAnsi="Arial"/>
        </w:rPr>
      </w:pPr>
    </w:p>
    <w:p w:rsidR="00361458" w:rsidRDefault="003E373B" w:rsidP="00361458">
      <w:pPr>
        <w:tabs>
          <w:tab w:val="left" w:pos="1170"/>
        </w:tabs>
        <w:spacing w:line="480" w:lineRule="atLeast"/>
        <w:ind w:left="720" w:hanging="720"/>
        <w:rPr>
          <w:rFonts w:ascii="Arial" w:hAnsi="Arial"/>
        </w:rPr>
      </w:pPr>
      <w:r>
        <w:rPr>
          <w:rFonts w:ascii="Arial" w:hAnsi="Arial" w:cs="Arial"/>
        </w:rPr>
        <w:lastRenderedPageBreak/>
        <w:t>A.</w:t>
      </w:r>
      <w:r>
        <w:rPr>
          <w:rFonts w:ascii="Arial" w:hAnsi="Arial" w:cs="Arial"/>
        </w:rPr>
        <w:tab/>
        <w:t>T</w:t>
      </w:r>
      <w:r w:rsidRPr="00276674">
        <w:rPr>
          <w:rFonts w:ascii="Arial" w:hAnsi="Arial" w:cs="Arial"/>
        </w:rPr>
        <w:t xml:space="preserve">he increase in </w:t>
      </w:r>
      <w:r>
        <w:rPr>
          <w:rFonts w:ascii="Arial" w:hAnsi="Arial" w:cs="Arial"/>
        </w:rPr>
        <w:t xml:space="preserve">the Company’s property insurance </w:t>
      </w:r>
      <w:r w:rsidRPr="00276674">
        <w:rPr>
          <w:rFonts w:ascii="Arial" w:hAnsi="Arial" w:cs="Arial"/>
        </w:rPr>
        <w:t>costs</w:t>
      </w:r>
      <w:r>
        <w:rPr>
          <w:rFonts w:ascii="Arial" w:hAnsi="Arial" w:cs="Arial"/>
        </w:rPr>
        <w:t>, excluding the annual property damage</w:t>
      </w:r>
      <w:r w:rsidR="00D4420B">
        <w:rPr>
          <w:rFonts w:ascii="Arial" w:hAnsi="Arial" w:cs="Arial"/>
        </w:rPr>
        <w:t xml:space="preserve"> reserve</w:t>
      </w:r>
      <w:r>
        <w:rPr>
          <w:rFonts w:ascii="Arial" w:hAnsi="Arial" w:cs="Arial"/>
        </w:rPr>
        <w:t xml:space="preserve"> accrual,</w:t>
      </w:r>
      <w:r w:rsidRPr="00276674">
        <w:rPr>
          <w:rFonts w:ascii="Arial" w:hAnsi="Arial" w:cs="Arial"/>
        </w:rPr>
        <w:t xml:space="preserve"> </w:t>
      </w:r>
      <w:r>
        <w:rPr>
          <w:rFonts w:ascii="Arial" w:hAnsi="Arial" w:cs="Arial"/>
        </w:rPr>
        <w:t>is</w:t>
      </w:r>
      <w:r w:rsidRPr="00276674">
        <w:rPr>
          <w:rFonts w:ascii="Arial" w:hAnsi="Arial" w:cs="Arial"/>
        </w:rPr>
        <w:t xml:space="preserve"> primarily driven by </w:t>
      </w:r>
      <w:r>
        <w:rPr>
          <w:rFonts w:ascii="Arial" w:hAnsi="Arial" w:cs="Arial"/>
        </w:rPr>
        <w:t xml:space="preserve">the events of September 11, 2001 and the </w:t>
      </w:r>
      <w:r w:rsidRPr="00276674">
        <w:rPr>
          <w:rFonts w:ascii="Arial" w:hAnsi="Arial" w:cs="Arial"/>
        </w:rPr>
        <w:t xml:space="preserve">natural </w:t>
      </w:r>
      <w:r>
        <w:rPr>
          <w:rFonts w:ascii="Arial" w:hAnsi="Arial" w:cs="Arial"/>
        </w:rPr>
        <w:t>disaster</w:t>
      </w:r>
      <w:r w:rsidRPr="00276674">
        <w:rPr>
          <w:rFonts w:ascii="Arial" w:hAnsi="Arial" w:cs="Arial"/>
        </w:rPr>
        <w:t xml:space="preserve"> events </w:t>
      </w:r>
      <w:r>
        <w:rPr>
          <w:rFonts w:ascii="Arial" w:hAnsi="Arial" w:cs="Arial"/>
        </w:rPr>
        <w:t xml:space="preserve">(hurricanes) </w:t>
      </w:r>
      <w:r w:rsidRPr="00276674">
        <w:rPr>
          <w:rFonts w:ascii="Arial" w:hAnsi="Arial" w:cs="Arial"/>
        </w:rPr>
        <w:t>in 2004</w:t>
      </w:r>
      <w:r>
        <w:rPr>
          <w:rFonts w:ascii="Arial" w:hAnsi="Arial" w:cs="Arial"/>
        </w:rPr>
        <w:t xml:space="preserve"> and</w:t>
      </w:r>
      <w:r w:rsidRPr="00276674">
        <w:rPr>
          <w:rFonts w:ascii="Arial" w:hAnsi="Arial" w:cs="Arial"/>
        </w:rPr>
        <w:t xml:space="preserve"> </w:t>
      </w:r>
      <w:r>
        <w:rPr>
          <w:rFonts w:ascii="Arial" w:hAnsi="Arial" w:cs="Arial"/>
        </w:rPr>
        <w:t>20</w:t>
      </w:r>
      <w:r w:rsidRPr="00276674">
        <w:rPr>
          <w:rFonts w:ascii="Arial" w:hAnsi="Arial" w:cs="Arial"/>
        </w:rPr>
        <w:t>05</w:t>
      </w:r>
      <w:r>
        <w:rPr>
          <w:rFonts w:ascii="Arial" w:hAnsi="Arial" w:cs="Arial"/>
        </w:rPr>
        <w:t xml:space="preserve">, which caused major property damage in Gulf’s service </w:t>
      </w:r>
      <w:r w:rsidR="00D4420B">
        <w:rPr>
          <w:rFonts w:ascii="Arial" w:hAnsi="Arial" w:cs="Arial"/>
        </w:rPr>
        <w:t>area</w:t>
      </w:r>
      <w:r>
        <w:rPr>
          <w:rFonts w:ascii="Arial" w:hAnsi="Arial" w:cs="Arial"/>
        </w:rPr>
        <w:t xml:space="preserve">.  Additionally, the </w:t>
      </w:r>
      <w:r w:rsidR="00E17041">
        <w:rPr>
          <w:rFonts w:ascii="Arial" w:hAnsi="Arial" w:cs="Arial"/>
        </w:rPr>
        <w:t xml:space="preserve">particularly severe </w:t>
      </w:r>
      <w:r>
        <w:rPr>
          <w:rFonts w:ascii="Arial" w:hAnsi="Arial" w:cs="Arial"/>
        </w:rPr>
        <w:t xml:space="preserve">2004 and 2005 </w:t>
      </w:r>
      <w:r w:rsidR="00D4420B">
        <w:rPr>
          <w:rFonts w:ascii="Arial" w:hAnsi="Arial" w:cs="Arial"/>
        </w:rPr>
        <w:t xml:space="preserve">hurricane </w:t>
      </w:r>
      <w:r w:rsidR="00E17041">
        <w:rPr>
          <w:rFonts w:ascii="Arial" w:hAnsi="Arial" w:cs="Arial"/>
        </w:rPr>
        <w:t xml:space="preserve">seasons </w:t>
      </w:r>
      <w:r>
        <w:rPr>
          <w:rFonts w:ascii="Arial" w:hAnsi="Arial"/>
        </w:rPr>
        <w:t xml:space="preserve">highlighted to insurers the risk of the potential loss for </w:t>
      </w:r>
      <w:r w:rsidRPr="00276674">
        <w:rPr>
          <w:rFonts w:ascii="Arial" w:hAnsi="Arial" w:cs="Arial"/>
        </w:rPr>
        <w:t>coastal companies w</w:t>
      </w:r>
      <w:r>
        <w:rPr>
          <w:rFonts w:ascii="Arial" w:hAnsi="Arial" w:cs="Arial"/>
        </w:rPr>
        <w:t xml:space="preserve">ho have </w:t>
      </w:r>
      <w:r w:rsidRPr="00276674">
        <w:rPr>
          <w:rFonts w:ascii="Arial" w:hAnsi="Arial" w:cs="Arial"/>
        </w:rPr>
        <w:t xml:space="preserve">assets exposed to wind and storm surge. </w:t>
      </w:r>
      <w:r>
        <w:rPr>
          <w:rFonts w:ascii="Arial" w:hAnsi="Arial" w:cs="Arial"/>
        </w:rPr>
        <w:t xml:space="preserve">As a result, insurance premiums have </w:t>
      </w:r>
      <w:r w:rsidR="00E17041">
        <w:rPr>
          <w:rFonts w:ascii="Arial" w:hAnsi="Arial" w:cs="Arial"/>
        </w:rPr>
        <w:t>surged</w:t>
      </w:r>
      <w:r>
        <w:rPr>
          <w:rFonts w:ascii="Arial" w:hAnsi="Arial" w:cs="Arial"/>
        </w:rPr>
        <w:t>.  These increases</w:t>
      </w:r>
      <w:r>
        <w:rPr>
          <w:rFonts w:ascii="Arial" w:hAnsi="Arial"/>
        </w:rPr>
        <w:t xml:space="preserve"> </w:t>
      </w:r>
      <w:r w:rsidR="00E17041">
        <w:rPr>
          <w:rFonts w:ascii="Arial" w:hAnsi="Arial"/>
        </w:rPr>
        <w:t>far exceed</w:t>
      </w:r>
      <w:r>
        <w:rPr>
          <w:rFonts w:ascii="Arial" w:hAnsi="Arial"/>
        </w:rPr>
        <w:t xml:space="preserve"> customer growth and the rate of inflation</w:t>
      </w:r>
      <w:r w:rsidR="00E17041">
        <w:rPr>
          <w:rFonts w:ascii="Arial" w:hAnsi="Arial"/>
        </w:rPr>
        <w:t>.  They</w:t>
      </w:r>
      <w:r>
        <w:rPr>
          <w:rFonts w:ascii="Arial" w:hAnsi="Arial"/>
        </w:rPr>
        <w:t xml:space="preserve"> are impacted more by actual losses and potential risks</w:t>
      </w:r>
      <w:r w:rsidR="00B96678">
        <w:rPr>
          <w:rFonts w:ascii="Arial" w:hAnsi="Arial"/>
        </w:rPr>
        <w:t>,</w:t>
      </w:r>
      <w:r>
        <w:rPr>
          <w:rFonts w:ascii="Arial" w:hAnsi="Arial"/>
        </w:rPr>
        <w:t xml:space="preserve"> which impact the property insurance market in general.  </w:t>
      </w:r>
    </w:p>
    <w:p w:rsidR="009B5B7D" w:rsidRDefault="009B5B7D" w:rsidP="00DE7D73">
      <w:pPr>
        <w:tabs>
          <w:tab w:val="left" w:pos="1170"/>
        </w:tabs>
        <w:spacing w:line="480" w:lineRule="atLeast"/>
        <w:ind w:left="720"/>
        <w:jc w:val="both"/>
        <w:rPr>
          <w:rFonts w:ascii="Arial" w:hAnsi="Arial" w:cs="Arial"/>
          <w:i/>
        </w:rPr>
      </w:pPr>
    </w:p>
    <w:p w:rsidR="009B5B7D" w:rsidRDefault="003E373B" w:rsidP="00DE7D73">
      <w:pPr>
        <w:spacing w:line="480" w:lineRule="atLeast"/>
        <w:ind w:left="720" w:hanging="720"/>
        <w:rPr>
          <w:rFonts w:ascii="Arial" w:hAnsi="Arial" w:cs="Arial"/>
        </w:rPr>
      </w:pPr>
      <w:r>
        <w:rPr>
          <w:rFonts w:ascii="Arial" w:hAnsi="Arial"/>
        </w:rPr>
        <w:t>Q.</w:t>
      </w:r>
      <w:r>
        <w:rPr>
          <w:rFonts w:ascii="Arial" w:hAnsi="Arial"/>
        </w:rPr>
        <w:tab/>
      </w:r>
      <w:r w:rsidR="00E17041">
        <w:rPr>
          <w:rFonts w:ascii="Arial" w:hAnsi="Arial"/>
        </w:rPr>
        <w:t>What, if anything</w:t>
      </w:r>
      <w:r w:rsidR="00417CC4">
        <w:rPr>
          <w:rFonts w:ascii="Arial" w:hAnsi="Arial"/>
        </w:rPr>
        <w:t>, has</w:t>
      </w:r>
      <w:r w:rsidR="00E17041">
        <w:rPr>
          <w:rFonts w:ascii="Arial" w:hAnsi="Arial"/>
        </w:rPr>
        <w:t xml:space="preserve"> Gulf done in the face of surging property damage insurance costs to mitigate their impact? </w:t>
      </w:r>
    </w:p>
    <w:p w:rsidR="009B5B7D" w:rsidRDefault="003E373B" w:rsidP="00345156">
      <w:pPr>
        <w:spacing w:line="480" w:lineRule="atLeast"/>
        <w:ind w:left="720" w:hanging="720"/>
        <w:rPr>
          <w:rFonts w:ascii="Arial" w:hAnsi="Arial" w:cs="Arial"/>
        </w:rPr>
      </w:pPr>
      <w:r>
        <w:rPr>
          <w:rFonts w:ascii="Arial" w:hAnsi="Arial"/>
        </w:rPr>
        <w:t>A.</w:t>
      </w:r>
      <w:r>
        <w:rPr>
          <w:rFonts w:ascii="Arial" w:hAnsi="Arial"/>
        </w:rPr>
        <w:tab/>
        <w:t>Gulf use</w:t>
      </w:r>
      <w:r w:rsidR="00E17041">
        <w:rPr>
          <w:rFonts w:ascii="Arial" w:hAnsi="Arial"/>
        </w:rPr>
        <w:t>d and continues to use</w:t>
      </w:r>
      <w:r>
        <w:rPr>
          <w:rFonts w:ascii="Arial" w:hAnsi="Arial"/>
        </w:rPr>
        <w:t xml:space="preserve"> i</w:t>
      </w:r>
      <w:r w:rsidRPr="001E2536">
        <w:rPr>
          <w:rFonts w:ascii="Arial" w:hAnsi="Arial" w:cs="Arial"/>
        </w:rPr>
        <w:t xml:space="preserve">nsurance brokers </w:t>
      </w:r>
      <w:r>
        <w:rPr>
          <w:rFonts w:ascii="Arial" w:hAnsi="Arial" w:cs="Arial"/>
        </w:rPr>
        <w:t xml:space="preserve">to </w:t>
      </w:r>
      <w:r w:rsidRPr="001E2536">
        <w:rPr>
          <w:rFonts w:ascii="Arial" w:hAnsi="Arial" w:cs="Arial"/>
        </w:rPr>
        <w:t xml:space="preserve">search the insurance market for premium savings. </w:t>
      </w:r>
      <w:r w:rsidR="00E17041">
        <w:rPr>
          <w:rFonts w:ascii="Arial" w:hAnsi="Arial" w:cs="Arial"/>
        </w:rPr>
        <w:t xml:space="preserve">As a result, </w:t>
      </w:r>
      <w:r>
        <w:rPr>
          <w:rFonts w:ascii="Arial" w:hAnsi="Arial" w:cs="Arial"/>
        </w:rPr>
        <w:t xml:space="preserve">Gulf </w:t>
      </w:r>
      <w:r w:rsidRPr="001E2536">
        <w:rPr>
          <w:rFonts w:ascii="Arial" w:hAnsi="Arial" w:cs="Arial"/>
        </w:rPr>
        <w:t>made changes in our panel of insurers in pursuit of premium savings.</w:t>
      </w:r>
      <w:r>
        <w:t xml:space="preserve"> </w:t>
      </w:r>
      <w:r w:rsidR="00E13EF5" w:rsidRPr="00E13EF5">
        <w:rPr>
          <w:rFonts w:ascii="Arial" w:hAnsi="Arial" w:cs="Arial"/>
        </w:rPr>
        <w:t>Additional s</w:t>
      </w:r>
      <w:r w:rsidRPr="00D4420B">
        <w:rPr>
          <w:rFonts w:ascii="Arial" w:hAnsi="Arial" w:cs="Arial"/>
        </w:rPr>
        <w:t>teps</w:t>
      </w:r>
      <w:r w:rsidRPr="00A82787">
        <w:rPr>
          <w:rFonts w:ascii="Arial" w:hAnsi="Arial" w:cs="Arial"/>
        </w:rPr>
        <w:t xml:space="preserve"> </w:t>
      </w:r>
      <w:r w:rsidR="008E3C62">
        <w:rPr>
          <w:rFonts w:ascii="Arial" w:hAnsi="Arial" w:cs="Arial"/>
        </w:rPr>
        <w:t xml:space="preserve">Gulf has </w:t>
      </w:r>
      <w:r w:rsidRPr="00A82787">
        <w:rPr>
          <w:rFonts w:ascii="Arial" w:hAnsi="Arial" w:cs="Arial"/>
        </w:rPr>
        <w:t>taken</w:t>
      </w:r>
      <w:r>
        <w:rPr>
          <w:rFonts w:ascii="Arial" w:hAnsi="Arial" w:cs="Arial"/>
        </w:rPr>
        <w:t xml:space="preserve"> to ensure </w:t>
      </w:r>
      <w:r w:rsidRPr="00E135EF">
        <w:rPr>
          <w:rFonts w:ascii="Arial" w:hAnsi="Arial" w:cs="Arial"/>
        </w:rPr>
        <w:t xml:space="preserve">the competitiveness of </w:t>
      </w:r>
      <w:r w:rsidR="008E3C62">
        <w:rPr>
          <w:rFonts w:ascii="Arial" w:hAnsi="Arial" w:cs="Arial"/>
        </w:rPr>
        <w:t xml:space="preserve">property damage </w:t>
      </w:r>
      <w:r w:rsidRPr="00E135EF">
        <w:rPr>
          <w:rFonts w:ascii="Arial" w:hAnsi="Arial" w:cs="Arial"/>
        </w:rPr>
        <w:t>insurance cost</w:t>
      </w:r>
      <w:r>
        <w:rPr>
          <w:rFonts w:ascii="Arial" w:hAnsi="Arial" w:cs="Arial"/>
        </w:rPr>
        <w:t>s include:</w:t>
      </w:r>
    </w:p>
    <w:p w:rsidR="009B5B7D" w:rsidRDefault="003E373B" w:rsidP="00DE7D73">
      <w:pPr>
        <w:pStyle w:val="ListParagraph"/>
        <w:numPr>
          <w:ilvl w:val="0"/>
          <w:numId w:val="5"/>
        </w:numPr>
        <w:tabs>
          <w:tab w:val="left" w:pos="540"/>
          <w:tab w:val="left" w:pos="1170"/>
        </w:tabs>
        <w:spacing w:after="0" w:line="480" w:lineRule="atLeast"/>
        <w:jc w:val="both"/>
        <w:rPr>
          <w:rFonts w:ascii="Arial" w:hAnsi="Arial" w:cs="Arial"/>
          <w:sz w:val="24"/>
          <w:szCs w:val="24"/>
        </w:rPr>
      </w:pPr>
      <w:r w:rsidRPr="00284DD1">
        <w:rPr>
          <w:rFonts w:ascii="Arial" w:hAnsi="Arial" w:cs="Arial"/>
          <w:sz w:val="24"/>
          <w:szCs w:val="24"/>
        </w:rPr>
        <w:t>Benchmarking with industry peers</w:t>
      </w:r>
      <w:r w:rsidR="008E3C62">
        <w:rPr>
          <w:rFonts w:ascii="Arial" w:hAnsi="Arial" w:cs="Arial"/>
          <w:sz w:val="24"/>
          <w:szCs w:val="24"/>
        </w:rPr>
        <w:t>;</w:t>
      </w:r>
    </w:p>
    <w:p w:rsidR="009B5B7D" w:rsidRDefault="003E373B" w:rsidP="00DE7D73">
      <w:pPr>
        <w:pStyle w:val="ListParagraph"/>
        <w:numPr>
          <w:ilvl w:val="0"/>
          <w:numId w:val="5"/>
        </w:numPr>
        <w:tabs>
          <w:tab w:val="left" w:pos="540"/>
          <w:tab w:val="left" w:pos="1170"/>
        </w:tabs>
        <w:spacing w:after="0" w:line="480" w:lineRule="atLeast"/>
        <w:jc w:val="both"/>
        <w:rPr>
          <w:rFonts w:ascii="Arial" w:hAnsi="Arial" w:cs="Arial"/>
          <w:szCs w:val="24"/>
        </w:rPr>
      </w:pPr>
      <w:r w:rsidRPr="0005037A">
        <w:rPr>
          <w:rFonts w:ascii="Arial" w:hAnsi="Arial" w:cs="Arial"/>
          <w:sz w:val="24"/>
          <w:szCs w:val="24"/>
        </w:rPr>
        <w:t>Broker reports on current market conditions, recent placements and coverage cost comparisons with other client companies</w:t>
      </w:r>
      <w:r w:rsidR="008E3C62">
        <w:rPr>
          <w:rFonts w:ascii="Arial" w:hAnsi="Arial" w:cs="Arial"/>
          <w:sz w:val="24"/>
          <w:szCs w:val="24"/>
        </w:rPr>
        <w:t>;</w:t>
      </w:r>
    </w:p>
    <w:p w:rsidR="009B5B7D" w:rsidRDefault="003E373B" w:rsidP="00DE7D73">
      <w:pPr>
        <w:pStyle w:val="ListParagraph"/>
        <w:numPr>
          <w:ilvl w:val="0"/>
          <w:numId w:val="5"/>
        </w:numPr>
        <w:tabs>
          <w:tab w:val="left" w:pos="540"/>
          <w:tab w:val="left" w:pos="1170"/>
        </w:tabs>
        <w:spacing w:after="0" w:line="480" w:lineRule="atLeast"/>
        <w:jc w:val="both"/>
        <w:rPr>
          <w:rFonts w:ascii="Arial" w:hAnsi="Arial" w:cs="Arial"/>
          <w:szCs w:val="24"/>
        </w:rPr>
      </w:pPr>
      <w:r w:rsidRPr="00956E58">
        <w:rPr>
          <w:rFonts w:ascii="Arial" w:hAnsi="Arial" w:cs="Arial"/>
          <w:sz w:val="24"/>
          <w:szCs w:val="24"/>
        </w:rPr>
        <w:t>Competitive bids among insurers</w:t>
      </w:r>
      <w:r w:rsidR="008E3C62">
        <w:rPr>
          <w:rFonts w:ascii="Arial" w:hAnsi="Arial" w:cs="Arial"/>
          <w:sz w:val="24"/>
          <w:szCs w:val="24"/>
        </w:rPr>
        <w:t>;</w:t>
      </w:r>
    </w:p>
    <w:p w:rsidR="009B5B7D" w:rsidRDefault="003E373B" w:rsidP="00DE7D73">
      <w:pPr>
        <w:pStyle w:val="ListParagraph"/>
        <w:numPr>
          <w:ilvl w:val="0"/>
          <w:numId w:val="5"/>
        </w:numPr>
        <w:tabs>
          <w:tab w:val="left" w:pos="1170"/>
        </w:tabs>
        <w:spacing w:after="0" w:line="480" w:lineRule="atLeast"/>
        <w:jc w:val="both"/>
        <w:rPr>
          <w:rFonts w:ascii="Arial" w:hAnsi="Arial" w:cs="Arial"/>
          <w:sz w:val="24"/>
          <w:szCs w:val="24"/>
        </w:rPr>
      </w:pPr>
      <w:r w:rsidRPr="00956E58">
        <w:rPr>
          <w:rFonts w:ascii="Arial" w:hAnsi="Arial" w:cs="Arial"/>
          <w:sz w:val="24"/>
          <w:szCs w:val="24"/>
        </w:rPr>
        <w:t>Benchmark comparison of broker compensation</w:t>
      </w:r>
      <w:r w:rsidR="00B96678">
        <w:rPr>
          <w:rFonts w:ascii="Arial" w:hAnsi="Arial" w:cs="Arial"/>
          <w:sz w:val="24"/>
          <w:szCs w:val="24"/>
        </w:rPr>
        <w:t>;</w:t>
      </w:r>
      <w:r w:rsidR="00234AF5">
        <w:rPr>
          <w:rFonts w:ascii="Arial" w:hAnsi="Arial" w:cs="Arial"/>
          <w:sz w:val="24"/>
          <w:szCs w:val="24"/>
        </w:rPr>
        <w:t xml:space="preserve"> and</w:t>
      </w:r>
    </w:p>
    <w:p w:rsidR="0072435D" w:rsidRDefault="0072435D" w:rsidP="0072435D">
      <w:pPr>
        <w:pStyle w:val="ListParagraph"/>
        <w:tabs>
          <w:tab w:val="left" w:pos="1170"/>
        </w:tabs>
        <w:spacing w:after="0" w:line="480" w:lineRule="atLeast"/>
        <w:ind w:left="1440"/>
        <w:jc w:val="both"/>
        <w:rPr>
          <w:rFonts w:ascii="Arial" w:hAnsi="Arial" w:cs="Arial"/>
          <w:sz w:val="24"/>
          <w:szCs w:val="24"/>
        </w:rPr>
      </w:pPr>
    </w:p>
    <w:p w:rsidR="009B5B7D" w:rsidRDefault="003E373B" w:rsidP="00DE7D73">
      <w:pPr>
        <w:pStyle w:val="ListParagraph"/>
        <w:numPr>
          <w:ilvl w:val="0"/>
          <w:numId w:val="5"/>
        </w:numPr>
        <w:tabs>
          <w:tab w:val="left" w:pos="1170"/>
        </w:tabs>
        <w:spacing w:after="0" w:line="480" w:lineRule="atLeast"/>
        <w:jc w:val="both"/>
        <w:rPr>
          <w:rFonts w:ascii="Arial" w:hAnsi="Arial" w:cs="Arial"/>
          <w:sz w:val="24"/>
          <w:szCs w:val="24"/>
        </w:rPr>
      </w:pPr>
      <w:r w:rsidRPr="00956E58">
        <w:rPr>
          <w:rFonts w:ascii="Arial" w:hAnsi="Arial" w:cs="Arial"/>
          <w:sz w:val="24"/>
          <w:szCs w:val="24"/>
        </w:rPr>
        <w:lastRenderedPageBreak/>
        <w:t>Periodic evaluation of program structures to explore possible premium savings</w:t>
      </w:r>
      <w:r w:rsidR="008D3EFD">
        <w:rPr>
          <w:rFonts w:ascii="Arial" w:hAnsi="Arial" w:cs="Arial"/>
          <w:sz w:val="24"/>
          <w:szCs w:val="24"/>
        </w:rPr>
        <w:t>.</w:t>
      </w:r>
    </w:p>
    <w:p w:rsidR="009B5B7D" w:rsidRDefault="009B5B7D" w:rsidP="00DE7D73">
      <w:pPr>
        <w:pStyle w:val="ListParagraph"/>
        <w:tabs>
          <w:tab w:val="left" w:pos="1170"/>
        </w:tabs>
        <w:spacing w:after="0" w:line="480" w:lineRule="atLeast"/>
        <w:ind w:left="0"/>
        <w:jc w:val="both"/>
        <w:rPr>
          <w:rFonts w:ascii="Arial" w:hAnsi="Arial" w:cs="Arial"/>
          <w:sz w:val="24"/>
          <w:szCs w:val="24"/>
        </w:rPr>
      </w:pPr>
    </w:p>
    <w:p w:rsidR="00361458" w:rsidRDefault="008E3C62" w:rsidP="00361458">
      <w:pPr>
        <w:pStyle w:val="ListParagraph"/>
        <w:spacing w:after="0" w:line="480" w:lineRule="atLeast"/>
        <w:rPr>
          <w:rFonts w:ascii="Arial" w:hAnsi="Arial" w:cs="Arial"/>
          <w:sz w:val="24"/>
          <w:szCs w:val="24"/>
        </w:rPr>
      </w:pPr>
      <w:r>
        <w:rPr>
          <w:rFonts w:ascii="Arial" w:hAnsi="Arial" w:cs="Arial"/>
          <w:sz w:val="24"/>
          <w:szCs w:val="24"/>
        </w:rPr>
        <w:t xml:space="preserve">Even with these significant efforts to mitigate costs, Gulf has experienced property damage insurance expense growth in excess of </w:t>
      </w:r>
      <w:r w:rsidR="00E13EF5" w:rsidRPr="00E13EF5">
        <w:rPr>
          <w:rFonts w:ascii="Arial" w:hAnsi="Arial"/>
          <w:sz w:val="24"/>
        </w:rPr>
        <w:t xml:space="preserve">the </w:t>
      </w:r>
      <w:r>
        <w:rPr>
          <w:rFonts w:ascii="Arial" w:hAnsi="Arial" w:cs="Arial"/>
          <w:sz w:val="24"/>
          <w:szCs w:val="24"/>
        </w:rPr>
        <w:t xml:space="preserve">O&amp;M benchmark.  This is </w:t>
      </w:r>
      <w:r w:rsidR="00D4420B">
        <w:rPr>
          <w:rFonts w:ascii="Arial" w:hAnsi="Arial" w:cs="Arial"/>
          <w:sz w:val="24"/>
          <w:szCs w:val="24"/>
        </w:rPr>
        <w:t>simply</w:t>
      </w:r>
      <w:r>
        <w:rPr>
          <w:rFonts w:ascii="Arial" w:hAnsi="Arial" w:cs="Arial"/>
          <w:sz w:val="24"/>
          <w:szCs w:val="24"/>
        </w:rPr>
        <w:t xml:space="preserve"> an area where the O&amp;M benchmark does not capture the causes underlying the growth of the expense.</w:t>
      </w:r>
    </w:p>
    <w:p w:rsidR="000F5FA6" w:rsidRDefault="000F5FA6" w:rsidP="00DE7D73">
      <w:pPr>
        <w:pStyle w:val="ListParagraph"/>
        <w:spacing w:after="0" w:line="480" w:lineRule="atLeast"/>
        <w:jc w:val="both"/>
        <w:rPr>
          <w:rFonts w:ascii="Arial" w:hAnsi="Arial" w:cs="Arial"/>
          <w:sz w:val="24"/>
          <w:szCs w:val="24"/>
        </w:rPr>
      </w:pPr>
    </w:p>
    <w:p w:rsidR="009B5B7D" w:rsidRDefault="003E373B" w:rsidP="00DE7D73">
      <w:pPr>
        <w:spacing w:line="480" w:lineRule="atLeast"/>
        <w:ind w:left="720" w:hanging="720"/>
        <w:rPr>
          <w:rFonts w:ascii="Arial" w:hAnsi="Arial"/>
        </w:rPr>
      </w:pPr>
      <w:r>
        <w:rPr>
          <w:rFonts w:ascii="Arial" w:hAnsi="Arial"/>
        </w:rPr>
        <w:t>Q.</w:t>
      </w:r>
      <w:r>
        <w:rPr>
          <w:rFonts w:ascii="Arial" w:hAnsi="Arial"/>
        </w:rPr>
        <w:tab/>
        <w:t xml:space="preserve">Why is the cost for </w:t>
      </w:r>
      <w:proofErr w:type="gramStart"/>
      <w:r w:rsidR="00FE312B">
        <w:rPr>
          <w:rFonts w:ascii="Arial" w:hAnsi="Arial"/>
        </w:rPr>
        <w:t>I&amp;D</w:t>
      </w:r>
      <w:proofErr w:type="gramEnd"/>
      <w:r>
        <w:rPr>
          <w:rFonts w:ascii="Arial" w:hAnsi="Arial"/>
        </w:rPr>
        <w:t xml:space="preserve"> contributing to the benchmark variance?</w:t>
      </w:r>
    </w:p>
    <w:p w:rsidR="009B5B7D" w:rsidRDefault="003E373B" w:rsidP="00DE7D73">
      <w:pPr>
        <w:spacing w:line="480" w:lineRule="atLeast"/>
        <w:ind w:left="720" w:hanging="720"/>
        <w:rPr>
          <w:rFonts w:ascii="Arial" w:hAnsi="Arial"/>
        </w:rPr>
      </w:pPr>
      <w:r>
        <w:rPr>
          <w:rFonts w:ascii="Arial" w:hAnsi="Arial"/>
        </w:rPr>
        <w:t>A.</w:t>
      </w:r>
      <w:r>
        <w:rPr>
          <w:rFonts w:ascii="Arial" w:hAnsi="Arial"/>
        </w:rPr>
        <w:tab/>
      </w:r>
      <w:r>
        <w:rPr>
          <w:rFonts w:ascii="Arial" w:hAnsi="Arial" w:cs="Arial"/>
        </w:rPr>
        <w:t>T</w:t>
      </w:r>
      <w:r w:rsidRPr="00276674">
        <w:rPr>
          <w:rFonts w:ascii="Arial" w:hAnsi="Arial" w:cs="Arial"/>
        </w:rPr>
        <w:t>he increase in Gulf</w:t>
      </w:r>
      <w:r>
        <w:rPr>
          <w:rFonts w:ascii="Arial" w:hAnsi="Arial" w:cs="Arial"/>
        </w:rPr>
        <w:t>’</w:t>
      </w:r>
      <w:r w:rsidRPr="00276674">
        <w:rPr>
          <w:rFonts w:ascii="Arial" w:hAnsi="Arial" w:cs="Arial"/>
        </w:rPr>
        <w:t xml:space="preserve">s </w:t>
      </w:r>
      <w:r>
        <w:rPr>
          <w:rFonts w:ascii="Arial" w:hAnsi="Arial" w:cs="Arial"/>
        </w:rPr>
        <w:t xml:space="preserve">insurance costs related to </w:t>
      </w:r>
      <w:r w:rsidR="00FE312B">
        <w:rPr>
          <w:rFonts w:ascii="Arial" w:hAnsi="Arial" w:cs="Arial"/>
        </w:rPr>
        <w:t>I&amp;D</w:t>
      </w:r>
      <w:r>
        <w:rPr>
          <w:rFonts w:ascii="Arial" w:hAnsi="Arial" w:cs="Arial"/>
        </w:rPr>
        <w:t xml:space="preserve"> is</w:t>
      </w:r>
      <w:r w:rsidRPr="00276674">
        <w:rPr>
          <w:rFonts w:ascii="Arial" w:hAnsi="Arial" w:cs="Arial"/>
        </w:rPr>
        <w:t xml:space="preserve"> primarily driven by </w:t>
      </w:r>
      <w:r>
        <w:rPr>
          <w:rFonts w:ascii="Arial" w:hAnsi="Arial" w:cs="Arial"/>
        </w:rPr>
        <w:t xml:space="preserve">the events of September 11, 2001. This event highlighted the risk </w:t>
      </w:r>
      <w:r w:rsidR="002431C5">
        <w:rPr>
          <w:rFonts w:ascii="Arial" w:hAnsi="Arial" w:cs="Arial"/>
        </w:rPr>
        <w:t xml:space="preserve">with insurers </w:t>
      </w:r>
      <w:r>
        <w:rPr>
          <w:rFonts w:ascii="Arial" w:hAnsi="Arial" w:cs="Arial"/>
        </w:rPr>
        <w:t xml:space="preserve">of the potential public liability.  As a result, </w:t>
      </w:r>
      <w:r w:rsidR="008E3C62">
        <w:rPr>
          <w:rFonts w:ascii="Arial" w:hAnsi="Arial" w:cs="Arial"/>
        </w:rPr>
        <w:t xml:space="preserve">I&amp;D </w:t>
      </w:r>
      <w:r>
        <w:rPr>
          <w:rFonts w:ascii="Arial" w:hAnsi="Arial" w:cs="Arial"/>
        </w:rPr>
        <w:t>insurance premiums have increased.  These increases</w:t>
      </w:r>
      <w:r>
        <w:rPr>
          <w:rFonts w:ascii="Arial" w:hAnsi="Arial"/>
        </w:rPr>
        <w:t xml:space="preserve"> do not track customer growth and the rate of inflation</w:t>
      </w:r>
      <w:r w:rsidR="00926B2E">
        <w:rPr>
          <w:rFonts w:ascii="Arial" w:hAnsi="Arial"/>
        </w:rPr>
        <w:t>,</w:t>
      </w:r>
      <w:r>
        <w:rPr>
          <w:rFonts w:ascii="Arial" w:hAnsi="Arial"/>
        </w:rPr>
        <w:t xml:space="preserve"> as premiums are impacted more by </w:t>
      </w:r>
      <w:r w:rsidR="00B85BCC">
        <w:rPr>
          <w:rFonts w:ascii="Arial" w:hAnsi="Arial"/>
        </w:rPr>
        <w:t xml:space="preserve">actual </w:t>
      </w:r>
      <w:r>
        <w:rPr>
          <w:rFonts w:ascii="Arial" w:hAnsi="Arial"/>
        </w:rPr>
        <w:t xml:space="preserve">losses and </w:t>
      </w:r>
      <w:r w:rsidR="00B85BCC">
        <w:rPr>
          <w:rFonts w:ascii="Arial" w:hAnsi="Arial"/>
        </w:rPr>
        <w:t xml:space="preserve">potential </w:t>
      </w:r>
      <w:r>
        <w:rPr>
          <w:rFonts w:ascii="Arial" w:hAnsi="Arial"/>
        </w:rPr>
        <w:t>risks which impact the insurance market in general.</w:t>
      </w:r>
      <w:r w:rsidR="00EB38F2">
        <w:rPr>
          <w:rFonts w:ascii="Arial" w:hAnsi="Arial"/>
        </w:rPr>
        <w:t xml:space="preserve">  The cost for </w:t>
      </w:r>
      <w:proofErr w:type="gramStart"/>
      <w:r w:rsidR="00EB38F2">
        <w:rPr>
          <w:rFonts w:ascii="Arial" w:hAnsi="Arial"/>
        </w:rPr>
        <w:t>I&amp;D</w:t>
      </w:r>
      <w:proofErr w:type="gramEnd"/>
      <w:r w:rsidR="00EB38F2">
        <w:rPr>
          <w:rFonts w:ascii="Arial" w:hAnsi="Arial"/>
        </w:rPr>
        <w:t xml:space="preserve"> insurance has exceeded the O&amp;M benchmark by $457,000.</w:t>
      </w:r>
    </w:p>
    <w:p w:rsidR="009B5B7D" w:rsidRDefault="009B5B7D" w:rsidP="00DE7D73">
      <w:pPr>
        <w:spacing w:line="480" w:lineRule="atLeast"/>
        <w:ind w:left="720" w:hanging="720"/>
        <w:rPr>
          <w:rFonts w:ascii="Arial" w:hAnsi="Arial"/>
        </w:rPr>
      </w:pPr>
    </w:p>
    <w:p w:rsidR="008E3C62" w:rsidRDefault="008E3C62" w:rsidP="00DE7D73">
      <w:pPr>
        <w:spacing w:line="480" w:lineRule="atLeast"/>
        <w:ind w:left="720" w:hanging="720"/>
        <w:rPr>
          <w:rFonts w:ascii="Arial" w:hAnsi="Arial"/>
        </w:rPr>
      </w:pPr>
      <w:r>
        <w:rPr>
          <w:rFonts w:ascii="Arial" w:hAnsi="Arial"/>
        </w:rPr>
        <w:t>Q.</w:t>
      </w:r>
      <w:r>
        <w:rPr>
          <w:rFonts w:ascii="Arial" w:hAnsi="Arial"/>
        </w:rPr>
        <w:tab/>
        <w:t xml:space="preserve">What actions has Gulf undertaken to mitigate the cost of </w:t>
      </w:r>
      <w:proofErr w:type="gramStart"/>
      <w:r w:rsidR="005C3045">
        <w:rPr>
          <w:rFonts w:ascii="Arial" w:hAnsi="Arial"/>
        </w:rPr>
        <w:t>its</w:t>
      </w:r>
      <w:proofErr w:type="gramEnd"/>
      <w:r>
        <w:rPr>
          <w:rFonts w:ascii="Arial" w:hAnsi="Arial"/>
        </w:rPr>
        <w:t xml:space="preserve"> I&amp;D insurance coverage?</w:t>
      </w:r>
    </w:p>
    <w:p w:rsidR="008E3C62" w:rsidRDefault="008E3C62" w:rsidP="00DE7D73">
      <w:pPr>
        <w:spacing w:line="480" w:lineRule="atLeast"/>
        <w:ind w:left="720" w:hanging="720"/>
        <w:rPr>
          <w:rFonts w:ascii="Arial" w:hAnsi="Arial"/>
        </w:rPr>
      </w:pPr>
      <w:r>
        <w:rPr>
          <w:rFonts w:ascii="Arial" w:hAnsi="Arial"/>
        </w:rPr>
        <w:t>A.</w:t>
      </w:r>
      <w:r>
        <w:rPr>
          <w:rFonts w:ascii="Arial" w:hAnsi="Arial"/>
        </w:rPr>
        <w:tab/>
        <w:t xml:space="preserve">Gulf has taken the same steps for I&amp;D coverage as it has taken for property damage coverage.  However, even with these </w:t>
      </w:r>
      <w:r w:rsidR="00417CC4">
        <w:rPr>
          <w:rFonts w:ascii="Arial" w:hAnsi="Arial"/>
        </w:rPr>
        <w:t>significant</w:t>
      </w:r>
      <w:r>
        <w:rPr>
          <w:rFonts w:ascii="Arial" w:hAnsi="Arial"/>
        </w:rPr>
        <w:t xml:space="preserve"> efforts, the cost of this insurance has outpaced the combined </w:t>
      </w:r>
      <w:r w:rsidR="00D4420B">
        <w:rPr>
          <w:rFonts w:ascii="Arial" w:hAnsi="Arial"/>
        </w:rPr>
        <w:t>rate</w:t>
      </w:r>
      <w:r>
        <w:rPr>
          <w:rFonts w:ascii="Arial" w:hAnsi="Arial"/>
        </w:rPr>
        <w:t xml:space="preserve"> of customer growth and inflation.</w:t>
      </w:r>
    </w:p>
    <w:p w:rsidR="00625F02" w:rsidRDefault="00625F02" w:rsidP="00DE7D73">
      <w:pPr>
        <w:spacing w:line="480" w:lineRule="atLeast"/>
        <w:ind w:left="720" w:hanging="720"/>
        <w:rPr>
          <w:rFonts w:ascii="Arial" w:hAnsi="Arial"/>
        </w:rPr>
      </w:pPr>
    </w:p>
    <w:p w:rsidR="0072435D" w:rsidRDefault="0072435D" w:rsidP="00DE7D73">
      <w:pPr>
        <w:spacing w:line="480" w:lineRule="atLeast"/>
        <w:ind w:left="720" w:hanging="720"/>
        <w:rPr>
          <w:rFonts w:ascii="Arial" w:hAnsi="Arial"/>
        </w:rPr>
      </w:pPr>
    </w:p>
    <w:p w:rsidR="009B5B7D" w:rsidRDefault="00625F02" w:rsidP="00DE7D73">
      <w:pPr>
        <w:spacing w:line="480" w:lineRule="atLeast"/>
        <w:ind w:left="720" w:hanging="720"/>
        <w:rPr>
          <w:rFonts w:ascii="Arial" w:hAnsi="Arial"/>
        </w:rPr>
      </w:pPr>
      <w:r>
        <w:rPr>
          <w:rFonts w:ascii="Arial" w:hAnsi="Arial"/>
        </w:rPr>
        <w:lastRenderedPageBreak/>
        <w:t>Q.</w:t>
      </w:r>
      <w:r>
        <w:rPr>
          <w:rFonts w:ascii="Arial" w:hAnsi="Arial"/>
        </w:rPr>
        <w:tab/>
        <w:t>Of Gulf’s $4,648</w:t>
      </w:r>
      <w:r w:rsidR="00210010">
        <w:rPr>
          <w:rFonts w:ascii="Arial" w:hAnsi="Arial"/>
        </w:rPr>
        <w:t>,000</w:t>
      </w:r>
      <w:r>
        <w:rPr>
          <w:rFonts w:ascii="Arial" w:hAnsi="Arial"/>
        </w:rPr>
        <w:t xml:space="preserve"> Insurance expenses O&amp;M benchmark variance, what portion is associated with the property damage reserve accrual?</w:t>
      </w:r>
    </w:p>
    <w:p w:rsidR="009B5B7D" w:rsidRDefault="00625F02" w:rsidP="00B96678">
      <w:pPr>
        <w:spacing w:line="480" w:lineRule="atLeast"/>
        <w:ind w:left="720" w:hanging="720"/>
        <w:rPr>
          <w:rFonts w:ascii="Arial" w:hAnsi="Arial"/>
        </w:rPr>
      </w:pPr>
      <w:r>
        <w:rPr>
          <w:rFonts w:ascii="Arial" w:hAnsi="Arial"/>
        </w:rPr>
        <w:t>A.</w:t>
      </w:r>
      <w:r>
        <w:rPr>
          <w:rFonts w:ascii="Arial" w:hAnsi="Arial"/>
        </w:rPr>
        <w:tab/>
      </w:r>
      <w:r w:rsidR="00210010">
        <w:rPr>
          <w:rFonts w:ascii="Arial" w:hAnsi="Arial"/>
        </w:rPr>
        <w:t xml:space="preserve">The projected cost for the Company’s annual accrual to the property damage reserve is $6,800,000, which exceeds the benchmark by $1,802,000.  </w:t>
      </w:r>
      <w:r w:rsidR="0094650A">
        <w:rPr>
          <w:rFonts w:ascii="Arial" w:hAnsi="Arial"/>
        </w:rPr>
        <w:t xml:space="preserve">As I discuss later in my testimony, this annual accrual level is the level of the expected average annual loss to be covered by the reserve </w:t>
      </w:r>
      <w:r w:rsidR="003F2747">
        <w:rPr>
          <w:rFonts w:ascii="Arial" w:hAnsi="Arial"/>
        </w:rPr>
        <w:t>as determined in</w:t>
      </w:r>
      <w:r w:rsidR="0094650A">
        <w:rPr>
          <w:rFonts w:ascii="Arial" w:hAnsi="Arial"/>
        </w:rPr>
        <w:t xml:space="preserve"> Gulf’s </w:t>
      </w:r>
      <w:r w:rsidR="007038DC">
        <w:rPr>
          <w:rFonts w:ascii="Arial" w:hAnsi="Arial"/>
        </w:rPr>
        <w:t xml:space="preserve">2011 </w:t>
      </w:r>
      <w:r w:rsidR="0094650A">
        <w:rPr>
          <w:rFonts w:ascii="Arial" w:hAnsi="Arial"/>
        </w:rPr>
        <w:t xml:space="preserve">Hurricane Loss and Reserve Performance Analysis.   Maintenance of a </w:t>
      </w:r>
      <w:r w:rsidR="00463F79">
        <w:rPr>
          <w:rFonts w:ascii="Arial" w:hAnsi="Arial"/>
        </w:rPr>
        <w:t>property damage</w:t>
      </w:r>
      <w:r w:rsidR="0094650A">
        <w:rPr>
          <w:rFonts w:ascii="Arial" w:hAnsi="Arial"/>
        </w:rPr>
        <w:t xml:space="preserve"> reserve that can handle a </w:t>
      </w:r>
      <w:r w:rsidR="00417CC4">
        <w:rPr>
          <w:rFonts w:ascii="Arial" w:hAnsi="Arial"/>
        </w:rPr>
        <w:t>significant</w:t>
      </w:r>
      <w:r w:rsidR="0094650A">
        <w:rPr>
          <w:rFonts w:ascii="Arial" w:hAnsi="Arial"/>
        </w:rPr>
        <w:t xml:space="preserve"> but not catastrophic storm spreads the cost of storms out to each generation of Gulf</w:t>
      </w:r>
      <w:r w:rsidR="003F2747">
        <w:rPr>
          <w:rFonts w:ascii="Arial" w:hAnsi="Arial"/>
        </w:rPr>
        <w:t>’s</w:t>
      </w:r>
      <w:r w:rsidR="0094650A">
        <w:rPr>
          <w:rFonts w:ascii="Arial" w:hAnsi="Arial"/>
        </w:rPr>
        <w:t xml:space="preserve"> customers and helps avoid</w:t>
      </w:r>
      <w:r w:rsidR="003F2747">
        <w:rPr>
          <w:rFonts w:ascii="Arial" w:hAnsi="Arial"/>
        </w:rPr>
        <w:t xml:space="preserve"> the situation in which</w:t>
      </w:r>
      <w:r w:rsidR="0094650A">
        <w:rPr>
          <w:rFonts w:ascii="Arial" w:hAnsi="Arial"/>
        </w:rPr>
        <w:t xml:space="preserve"> customers who happen to be served during a storm event or shortly </w:t>
      </w:r>
      <w:r w:rsidR="00417CC4">
        <w:rPr>
          <w:rFonts w:ascii="Arial" w:hAnsi="Arial"/>
        </w:rPr>
        <w:t>thereafter</w:t>
      </w:r>
      <w:r w:rsidR="0094650A">
        <w:rPr>
          <w:rFonts w:ascii="Arial" w:hAnsi="Arial"/>
        </w:rPr>
        <w:t xml:space="preserve"> hav</w:t>
      </w:r>
      <w:r w:rsidR="003F2747">
        <w:rPr>
          <w:rFonts w:ascii="Arial" w:hAnsi="Arial"/>
        </w:rPr>
        <w:t xml:space="preserve">e </w:t>
      </w:r>
      <w:r w:rsidR="0094650A">
        <w:rPr>
          <w:rFonts w:ascii="Arial" w:hAnsi="Arial"/>
        </w:rPr>
        <w:t xml:space="preserve">to absorb all or the </w:t>
      </w:r>
      <w:r w:rsidR="00417CC4">
        <w:rPr>
          <w:rFonts w:ascii="Arial" w:hAnsi="Arial"/>
        </w:rPr>
        <w:t>bulk</w:t>
      </w:r>
      <w:r w:rsidR="0094650A">
        <w:rPr>
          <w:rFonts w:ascii="Arial" w:hAnsi="Arial"/>
        </w:rPr>
        <w:t xml:space="preserve"> of a storm’s cost through a storm surcharge.</w:t>
      </w:r>
    </w:p>
    <w:p w:rsidR="003E373B" w:rsidRDefault="003E373B" w:rsidP="00DE7D73">
      <w:pPr>
        <w:spacing w:line="480" w:lineRule="atLeast"/>
        <w:ind w:left="720" w:hanging="720"/>
        <w:rPr>
          <w:rFonts w:ascii="Arial" w:hAnsi="Arial"/>
        </w:rPr>
      </w:pPr>
    </w:p>
    <w:p w:rsidR="00361458" w:rsidRDefault="007038DC" w:rsidP="00361458">
      <w:pPr>
        <w:spacing w:line="480" w:lineRule="atLeast"/>
        <w:ind w:left="720"/>
        <w:jc w:val="center"/>
        <w:rPr>
          <w:rFonts w:ascii="Arial" w:hAnsi="Arial"/>
        </w:rPr>
      </w:pPr>
      <w:r>
        <w:rPr>
          <w:rFonts w:ascii="Arial" w:hAnsi="Arial"/>
        </w:rPr>
        <w:t>B. Duplicate Charges</w:t>
      </w:r>
    </w:p>
    <w:p w:rsidR="00D7061B" w:rsidRDefault="00521A10" w:rsidP="00D7061B">
      <w:pPr>
        <w:spacing w:line="480" w:lineRule="atLeast"/>
        <w:ind w:left="720" w:hanging="720"/>
        <w:rPr>
          <w:rFonts w:ascii="Arial" w:hAnsi="Arial" w:cs="Arial"/>
        </w:rPr>
      </w:pPr>
      <w:r>
        <w:rPr>
          <w:rFonts w:ascii="Arial" w:hAnsi="Arial" w:cs="Arial"/>
        </w:rPr>
        <w:t>Q.</w:t>
      </w:r>
      <w:r>
        <w:rPr>
          <w:rFonts w:ascii="Arial" w:hAnsi="Arial" w:cs="Arial"/>
        </w:rPr>
        <w:tab/>
      </w:r>
      <w:r w:rsidR="00D7061B">
        <w:rPr>
          <w:rFonts w:ascii="Arial" w:hAnsi="Arial" w:cs="Arial"/>
        </w:rPr>
        <w:t xml:space="preserve">Your next category of A&amp;G O&amp;M benchmark justification is in the area of Duplicate Charges.  Please explain Duplicate Charges and the benchmark variance in that account.  </w:t>
      </w:r>
    </w:p>
    <w:p w:rsidR="00D7061B" w:rsidRDefault="00D7061B" w:rsidP="00D7061B">
      <w:pPr>
        <w:spacing w:line="480" w:lineRule="atLeast"/>
        <w:ind w:left="720" w:hanging="720"/>
        <w:rPr>
          <w:rFonts w:ascii="Arial" w:hAnsi="Arial" w:cs="Arial"/>
        </w:rPr>
      </w:pPr>
      <w:r>
        <w:rPr>
          <w:rFonts w:ascii="Arial" w:hAnsi="Arial" w:cs="Arial"/>
        </w:rPr>
        <w:t>A.</w:t>
      </w:r>
      <w:r>
        <w:rPr>
          <w:rFonts w:ascii="Arial" w:hAnsi="Arial" w:cs="Arial"/>
        </w:rPr>
        <w:tab/>
        <w:t xml:space="preserve">FERC Account 929, duplicate charges, is a credit A&amp;G expense account </w:t>
      </w:r>
      <w:r w:rsidRPr="009B11CD">
        <w:rPr>
          <w:rFonts w:ascii="Arial" w:hAnsi="Arial" w:cs="Arial"/>
        </w:rPr>
        <w:t xml:space="preserve">used as an offset to </w:t>
      </w:r>
      <w:r>
        <w:rPr>
          <w:rFonts w:ascii="Arial" w:hAnsi="Arial" w:cs="Arial"/>
        </w:rPr>
        <w:t>other A&amp;G</w:t>
      </w:r>
      <w:r w:rsidRPr="009B11CD">
        <w:rPr>
          <w:rFonts w:ascii="Arial" w:hAnsi="Arial" w:cs="Arial"/>
        </w:rPr>
        <w:t xml:space="preserve"> </w:t>
      </w:r>
      <w:r>
        <w:rPr>
          <w:rFonts w:ascii="Arial" w:hAnsi="Arial" w:cs="Arial"/>
        </w:rPr>
        <w:t xml:space="preserve">expense </w:t>
      </w:r>
      <w:r w:rsidRPr="009B11CD">
        <w:rPr>
          <w:rFonts w:ascii="Arial" w:hAnsi="Arial" w:cs="Arial"/>
        </w:rPr>
        <w:t>accounts.</w:t>
      </w:r>
      <w:r>
        <w:rPr>
          <w:rFonts w:ascii="Arial" w:hAnsi="Arial" w:cs="Arial"/>
        </w:rPr>
        <w:t xml:space="preserve">  FERC defines this account in the Code of Federal Regulations as an account that “shall include concurrent credits for charges which may be made to operating expenses or to other accounts for the use of utility service from its own supply.  Include, also, offsetting credits for any other charges made to operating expenses for which there is no direct money outlay.”  The credit </w:t>
      </w:r>
      <w:r>
        <w:rPr>
          <w:rFonts w:ascii="Arial" w:hAnsi="Arial" w:cs="Arial"/>
        </w:rPr>
        <w:lastRenderedPageBreak/>
        <w:t>included in the test year is $1,095,000.  This exceeds the benchmark calculation by $1,689,000.  There are two reasons for this variance:  a decline in office space used by non-Gulf employees and an accounting change implemented in May 2010.</w:t>
      </w:r>
    </w:p>
    <w:p w:rsidR="00D7061B" w:rsidRDefault="00D7061B" w:rsidP="00D7061B">
      <w:pPr>
        <w:spacing w:line="480" w:lineRule="atLeast"/>
        <w:ind w:left="720" w:hanging="720"/>
        <w:rPr>
          <w:rFonts w:ascii="Arial" w:hAnsi="Arial" w:cs="Arial"/>
        </w:rPr>
      </w:pPr>
      <w:r>
        <w:rPr>
          <w:rFonts w:ascii="Arial" w:hAnsi="Arial" w:cs="Arial"/>
        </w:rPr>
        <w:t xml:space="preserve">  </w:t>
      </w:r>
    </w:p>
    <w:p w:rsidR="00D7061B" w:rsidRDefault="00D7061B" w:rsidP="00D7061B">
      <w:pPr>
        <w:spacing w:line="480" w:lineRule="atLeast"/>
        <w:ind w:left="720" w:hanging="720"/>
        <w:rPr>
          <w:rFonts w:ascii="Arial" w:hAnsi="Arial" w:cs="Arial"/>
        </w:rPr>
      </w:pPr>
      <w:r>
        <w:rPr>
          <w:rFonts w:ascii="Arial" w:hAnsi="Arial" w:cs="Arial"/>
        </w:rPr>
        <w:t>Q.</w:t>
      </w:r>
      <w:r>
        <w:rPr>
          <w:rFonts w:ascii="Arial" w:hAnsi="Arial" w:cs="Arial"/>
        </w:rPr>
        <w:tab/>
      </w:r>
      <w:r w:rsidRPr="009B11CD">
        <w:rPr>
          <w:rFonts w:ascii="Arial" w:hAnsi="Arial" w:cs="Arial"/>
        </w:rPr>
        <w:t xml:space="preserve"> Can you provide an example</w:t>
      </w:r>
      <w:r>
        <w:rPr>
          <w:rFonts w:ascii="Arial" w:hAnsi="Arial" w:cs="Arial"/>
        </w:rPr>
        <w:t xml:space="preserve"> of credits charged to the duplicate charges account</w:t>
      </w:r>
      <w:r w:rsidRPr="009B11CD">
        <w:rPr>
          <w:rFonts w:ascii="Arial" w:hAnsi="Arial" w:cs="Arial"/>
        </w:rPr>
        <w:t>?</w:t>
      </w:r>
    </w:p>
    <w:p w:rsidR="00D7061B" w:rsidRDefault="00D7061B" w:rsidP="00D7061B">
      <w:pPr>
        <w:spacing w:line="480" w:lineRule="atLeast"/>
        <w:ind w:left="720" w:hanging="720"/>
        <w:rPr>
          <w:rFonts w:ascii="Arial" w:hAnsi="Arial" w:cs="Arial"/>
        </w:rPr>
      </w:pPr>
      <w:r>
        <w:rPr>
          <w:rFonts w:ascii="Arial" w:hAnsi="Arial" w:cs="Arial"/>
        </w:rPr>
        <w:t>A.</w:t>
      </w:r>
      <w:r>
        <w:rPr>
          <w:rFonts w:ascii="Arial" w:hAnsi="Arial" w:cs="Arial"/>
        </w:rPr>
        <w:tab/>
        <w:t xml:space="preserve">When Gulf provides assistance to another electric utility in a storm situation, the costs are billed out to the other utility.  Some of those costs are A&amp;G costs.  When the other utility pays Gulf for the costs of its crews, these payments are not treated as revenues; they are treated as a credit to expenses.  The credit to A&amp;G expenses </w:t>
      </w:r>
      <w:r w:rsidR="00234AF5">
        <w:rPr>
          <w:rFonts w:ascii="Arial" w:hAnsi="Arial" w:cs="Arial"/>
        </w:rPr>
        <w:t>is</w:t>
      </w:r>
      <w:r>
        <w:rPr>
          <w:rFonts w:ascii="Arial" w:hAnsi="Arial" w:cs="Arial"/>
        </w:rPr>
        <w:t xml:space="preserve"> booked to FERC Account 929.  </w:t>
      </w:r>
    </w:p>
    <w:p w:rsidR="00D7061B" w:rsidRPr="009B11CD" w:rsidRDefault="00D7061B" w:rsidP="00D7061B">
      <w:pPr>
        <w:tabs>
          <w:tab w:val="left" w:pos="720"/>
        </w:tabs>
        <w:spacing w:line="480" w:lineRule="atLeast"/>
        <w:ind w:left="720" w:hanging="720"/>
        <w:rPr>
          <w:rFonts w:ascii="Arial" w:hAnsi="Arial" w:cs="Arial"/>
        </w:rPr>
      </w:pPr>
    </w:p>
    <w:p w:rsidR="00D7061B" w:rsidRDefault="00D7061B" w:rsidP="00D7061B">
      <w:pPr>
        <w:spacing w:line="480" w:lineRule="atLeast"/>
        <w:ind w:left="720" w:hanging="720"/>
        <w:rPr>
          <w:rFonts w:ascii="Arial" w:hAnsi="Arial" w:cs="Arial"/>
        </w:rPr>
      </w:pPr>
      <w:r>
        <w:rPr>
          <w:rFonts w:ascii="Arial" w:hAnsi="Arial" w:cs="Arial"/>
        </w:rPr>
        <w:t>Q.</w:t>
      </w:r>
      <w:r>
        <w:rPr>
          <w:rFonts w:ascii="Arial" w:hAnsi="Arial" w:cs="Arial"/>
        </w:rPr>
        <w:tab/>
        <w:t>Can you explain what you mean by the decline in office space used by non-Gulf employees?</w:t>
      </w:r>
    </w:p>
    <w:p w:rsidR="00A9518E" w:rsidRDefault="00D7061B" w:rsidP="00D7061B">
      <w:pPr>
        <w:spacing w:line="480" w:lineRule="atLeast"/>
        <w:ind w:left="720" w:hanging="720"/>
        <w:rPr>
          <w:rFonts w:ascii="Arial" w:hAnsi="Arial" w:cs="Arial"/>
        </w:rPr>
      </w:pPr>
      <w:r>
        <w:rPr>
          <w:rFonts w:ascii="Arial" w:hAnsi="Arial" w:cs="Arial"/>
        </w:rPr>
        <w:t>A.</w:t>
      </w:r>
      <w:r>
        <w:rPr>
          <w:rFonts w:ascii="Arial" w:hAnsi="Arial" w:cs="Arial"/>
        </w:rPr>
        <w:tab/>
        <w:t xml:space="preserve">When non-Gulf employees use Gulf’s office space, they are charged an occupancy expense based on actual costs.  The 929 account gets credited for this charge.  Since 2002, billings for the use of space in Gulf’s offices have declined due to a decrease in the amount of space being used by others from 38,000 square feet to 17,000 square feet. Billings for office space included in the 2002 test year were $1,239,000.   Actual billings for office space credited to the 929 account were $591,000 in 2010.  In 2012, Gulf expects to bill $612,000 for office space.   This is </w:t>
      </w:r>
    </w:p>
    <w:p w:rsidR="00A9518E" w:rsidRDefault="00A9518E" w:rsidP="00D7061B">
      <w:pPr>
        <w:spacing w:line="480" w:lineRule="atLeast"/>
        <w:ind w:left="720" w:hanging="720"/>
        <w:rPr>
          <w:rFonts w:ascii="Arial" w:hAnsi="Arial" w:cs="Arial"/>
        </w:rPr>
      </w:pPr>
    </w:p>
    <w:p w:rsidR="00D7061B" w:rsidRDefault="00A9518E" w:rsidP="00D7061B">
      <w:pPr>
        <w:spacing w:line="480" w:lineRule="atLeast"/>
        <w:ind w:left="720" w:hanging="720"/>
        <w:rPr>
          <w:rFonts w:ascii="Arial" w:hAnsi="Arial" w:cs="Arial"/>
        </w:rPr>
      </w:pPr>
      <w:r>
        <w:rPr>
          <w:rFonts w:ascii="Arial" w:hAnsi="Arial" w:cs="Arial"/>
        </w:rPr>
        <w:lastRenderedPageBreak/>
        <w:tab/>
      </w:r>
      <w:proofErr w:type="gramStart"/>
      <w:r w:rsidR="00D7061B">
        <w:rPr>
          <w:rFonts w:ascii="Arial" w:hAnsi="Arial" w:cs="Arial"/>
        </w:rPr>
        <w:t>reasonable</w:t>
      </w:r>
      <w:proofErr w:type="gramEnd"/>
      <w:r w:rsidR="00D7061B">
        <w:rPr>
          <w:rFonts w:ascii="Arial" w:hAnsi="Arial" w:cs="Arial"/>
        </w:rPr>
        <w:t xml:space="preserve"> based on the actual billings from 2010.  This decline in space occupied by others accounts for $1,158,000 of the benchmark variance.  </w:t>
      </w:r>
    </w:p>
    <w:p w:rsidR="00D7061B" w:rsidRDefault="00D7061B" w:rsidP="00D7061B">
      <w:pPr>
        <w:spacing w:line="480" w:lineRule="atLeast"/>
        <w:ind w:left="720" w:hanging="720"/>
        <w:rPr>
          <w:rFonts w:ascii="Arial" w:hAnsi="Arial" w:cs="Arial"/>
        </w:rPr>
      </w:pPr>
    </w:p>
    <w:p w:rsidR="00D7061B" w:rsidRPr="009B11CD" w:rsidRDefault="00D7061B" w:rsidP="00D7061B">
      <w:pPr>
        <w:spacing w:line="480" w:lineRule="atLeast"/>
        <w:ind w:left="720" w:hanging="720"/>
        <w:rPr>
          <w:rFonts w:ascii="Arial" w:hAnsi="Arial" w:cs="Arial"/>
        </w:rPr>
      </w:pPr>
      <w:r>
        <w:rPr>
          <w:rFonts w:ascii="Arial" w:hAnsi="Arial" w:cs="Arial"/>
        </w:rPr>
        <w:t>Q.</w:t>
      </w:r>
      <w:r>
        <w:rPr>
          <w:rFonts w:ascii="Arial" w:hAnsi="Arial" w:cs="Arial"/>
        </w:rPr>
        <w:tab/>
        <w:t xml:space="preserve">Earlier you mentioned there had been an accounting change in May 2010 for Account 929.  Please explain that accounting change.  </w:t>
      </w:r>
    </w:p>
    <w:p w:rsidR="00D7061B" w:rsidRDefault="00D7061B" w:rsidP="00D7061B">
      <w:pPr>
        <w:spacing w:line="480" w:lineRule="atLeast"/>
        <w:ind w:left="720" w:hanging="720"/>
        <w:rPr>
          <w:rFonts w:ascii="Arial" w:hAnsi="Arial" w:cs="Arial"/>
        </w:rPr>
      </w:pPr>
      <w:r>
        <w:rPr>
          <w:rFonts w:ascii="Arial" w:hAnsi="Arial" w:cs="Arial"/>
        </w:rPr>
        <w:t>A.</w:t>
      </w:r>
      <w:r>
        <w:rPr>
          <w:rFonts w:ascii="Arial" w:hAnsi="Arial" w:cs="Arial"/>
        </w:rPr>
        <w:tab/>
      </w:r>
      <w:r w:rsidRPr="009B11CD">
        <w:rPr>
          <w:rFonts w:ascii="Arial" w:hAnsi="Arial" w:cs="Arial"/>
        </w:rPr>
        <w:t xml:space="preserve">Prior to May 2010, the benefits </w:t>
      </w:r>
      <w:r>
        <w:rPr>
          <w:rFonts w:ascii="Arial" w:hAnsi="Arial" w:cs="Arial"/>
        </w:rPr>
        <w:t xml:space="preserve">costs </w:t>
      </w:r>
      <w:r w:rsidRPr="009B11CD">
        <w:rPr>
          <w:rFonts w:ascii="Arial" w:hAnsi="Arial" w:cs="Arial"/>
        </w:rPr>
        <w:t>associated with the billin</w:t>
      </w:r>
      <w:r>
        <w:rPr>
          <w:rFonts w:ascii="Arial" w:hAnsi="Arial" w:cs="Arial"/>
        </w:rPr>
        <w:t>gs of the Gulf employees</w:t>
      </w:r>
      <w:r w:rsidR="00234AF5">
        <w:rPr>
          <w:rFonts w:ascii="Arial" w:hAnsi="Arial" w:cs="Arial"/>
        </w:rPr>
        <w:t xml:space="preserve"> working on storm restoration for another utility</w:t>
      </w:r>
      <w:r>
        <w:rPr>
          <w:rFonts w:ascii="Arial" w:hAnsi="Arial" w:cs="Arial"/>
        </w:rPr>
        <w:t xml:space="preserve"> were credited to the duplicate charges account, Account 929.  Since May 2010, these </w:t>
      </w:r>
      <w:r w:rsidRPr="009B11CD">
        <w:rPr>
          <w:rFonts w:ascii="Arial" w:hAnsi="Arial" w:cs="Arial"/>
        </w:rPr>
        <w:t>benefit</w:t>
      </w:r>
      <w:r>
        <w:rPr>
          <w:rFonts w:ascii="Arial" w:hAnsi="Arial" w:cs="Arial"/>
        </w:rPr>
        <w:t>s,</w:t>
      </w:r>
      <w:r w:rsidRPr="009B11CD">
        <w:rPr>
          <w:rFonts w:ascii="Arial" w:hAnsi="Arial" w:cs="Arial"/>
        </w:rPr>
        <w:t xml:space="preserve"> </w:t>
      </w:r>
      <w:r w:rsidRPr="00053DA4">
        <w:rPr>
          <w:rFonts w:ascii="Arial" w:hAnsi="Arial" w:cs="Arial"/>
        </w:rPr>
        <w:t>including pensions</w:t>
      </w:r>
      <w:r>
        <w:rPr>
          <w:rFonts w:ascii="Arial" w:hAnsi="Arial" w:cs="Arial"/>
        </w:rPr>
        <w:t xml:space="preserve"> and</w:t>
      </w:r>
      <w:r w:rsidRPr="00053DA4">
        <w:rPr>
          <w:rFonts w:ascii="Arial" w:hAnsi="Arial" w:cs="Arial"/>
        </w:rPr>
        <w:t xml:space="preserve"> </w:t>
      </w:r>
      <w:r>
        <w:rPr>
          <w:rFonts w:ascii="Arial" w:hAnsi="Arial" w:cs="Arial"/>
        </w:rPr>
        <w:t xml:space="preserve">employee </w:t>
      </w:r>
      <w:r w:rsidRPr="00053DA4">
        <w:rPr>
          <w:rFonts w:ascii="Arial" w:hAnsi="Arial" w:cs="Arial"/>
        </w:rPr>
        <w:t xml:space="preserve">insurance, </w:t>
      </w:r>
      <w:r>
        <w:rPr>
          <w:rFonts w:ascii="Arial" w:hAnsi="Arial" w:cs="Arial"/>
        </w:rPr>
        <w:t>are</w:t>
      </w:r>
      <w:r w:rsidRPr="009B11CD">
        <w:rPr>
          <w:rFonts w:ascii="Arial" w:hAnsi="Arial" w:cs="Arial"/>
        </w:rPr>
        <w:t xml:space="preserve"> now being credited to the</w:t>
      </w:r>
      <w:r>
        <w:rPr>
          <w:rFonts w:ascii="Arial" w:hAnsi="Arial" w:cs="Arial"/>
        </w:rPr>
        <w:t xml:space="preserve"> </w:t>
      </w:r>
      <w:r w:rsidRPr="009B11CD">
        <w:rPr>
          <w:rFonts w:ascii="Arial" w:hAnsi="Arial" w:cs="Arial"/>
        </w:rPr>
        <w:t>benefit accounts</w:t>
      </w:r>
      <w:r w:rsidR="00234AF5">
        <w:rPr>
          <w:rFonts w:ascii="Arial" w:hAnsi="Arial" w:cs="Arial"/>
        </w:rPr>
        <w:t xml:space="preserve"> rather than to duplicate charges</w:t>
      </w:r>
      <w:r>
        <w:rPr>
          <w:rFonts w:ascii="Arial" w:hAnsi="Arial" w:cs="Arial"/>
        </w:rPr>
        <w:t>.  This accounting change results in an equal offset between these accounts.</w:t>
      </w:r>
    </w:p>
    <w:p w:rsidR="00D7061B" w:rsidRDefault="00D7061B" w:rsidP="00D7061B">
      <w:pPr>
        <w:spacing w:line="480" w:lineRule="atLeast"/>
        <w:rPr>
          <w:rFonts w:ascii="Arial" w:hAnsi="Arial" w:cs="Arial"/>
        </w:rPr>
      </w:pPr>
    </w:p>
    <w:p w:rsidR="00D7061B" w:rsidRPr="009B11CD" w:rsidRDefault="00D7061B" w:rsidP="00D7061B">
      <w:pPr>
        <w:spacing w:line="480" w:lineRule="atLeast"/>
        <w:rPr>
          <w:rFonts w:ascii="Arial" w:hAnsi="Arial" w:cs="Arial"/>
        </w:rPr>
      </w:pPr>
      <w:r>
        <w:rPr>
          <w:rFonts w:ascii="Arial" w:hAnsi="Arial" w:cs="Arial"/>
        </w:rPr>
        <w:t>Q.</w:t>
      </w:r>
      <w:r>
        <w:rPr>
          <w:rFonts w:ascii="Arial" w:hAnsi="Arial" w:cs="Arial"/>
        </w:rPr>
        <w:tab/>
      </w:r>
      <w:r w:rsidRPr="009B11CD">
        <w:rPr>
          <w:rFonts w:ascii="Arial" w:hAnsi="Arial" w:cs="Arial"/>
        </w:rPr>
        <w:t xml:space="preserve">How has this </w:t>
      </w:r>
      <w:r>
        <w:rPr>
          <w:rFonts w:ascii="Arial" w:hAnsi="Arial" w:cs="Arial"/>
        </w:rPr>
        <w:t xml:space="preserve">accounting </w:t>
      </w:r>
      <w:r w:rsidRPr="009B11CD">
        <w:rPr>
          <w:rFonts w:ascii="Arial" w:hAnsi="Arial" w:cs="Arial"/>
        </w:rPr>
        <w:t xml:space="preserve">change impacted the </w:t>
      </w:r>
      <w:r>
        <w:rPr>
          <w:rFonts w:ascii="Arial" w:hAnsi="Arial" w:cs="Arial"/>
        </w:rPr>
        <w:t>d</w:t>
      </w:r>
      <w:r w:rsidRPr="009B11CD">
        <w:rPr>
          <w:rFonts w:ascii="Arial" w:hAnsi="Arial" w:cs="Arial"/>
        </w:rPr>
        <w:t xml:space="preserve">uplicate </w:t>
      </w:r>
      <w:r>
        <w:rPr>
          <w:rFonts w:ascii="Arial" w:hAnsi="Arial" w:cs="Arial"/>
        </w:rPr>
        <w:t>c</w:t>
      </w:r>
      <w:r w:rsidRPr="009B11CD">
        <w:rPr>
          <w:rFonts w:ascii="Arial" w:hAnsi="Arial" w:cs="Arial"/>
        </w:rPr>
        <w:t>harges account?</w:t>
      </w:r>
    </w:p>
    <w:p w:rsidR="00D7061B" w:rsidRDefault="00D7061B" w:rsidP="00D7061B">
      <w:pPr>
        <w:spacing w:line="480" w:lineRule="atLeast"/>
        <w:ind w:left="720" w:hanging="720"/>
        <w:rPr>
          <w:rFonts w:ascii="Arial" w:hAnsi="Arial" w:cs="Arial"/>
        </w:rPr>
      </w:pPr>
      <w:r>
        <w:rPr>
          <w:rFonts w:ascii="Arial" w:hAnsi="Arial" w:cs="Arial"/>
        </w:rPr>
        <w:t>A.</w:t>
      </w:r>
      <w:r>
        <w:rPr>
          <w:rFonts w:ascii="Arial" w:hAnsi="Arial" w:cs="Arial"/>
        </w:rPr>
        <w:tab/>
      </w:r>
      <w:r w:rsidRPr="009B11CD">
        <w:rPr>
          <w:rFonts w:ascii="Arial" w:hAnsi="Arial" w:cs="Arial"/>
        </w:rPr>
        <w:t>The credits goin</w:t>
      </w:r>
      <w:r>
        <w:rPr>
          <w:rFonts w:ascii="Arial" w:hAnsi="Arial" w:cs="Arial"/>
        </w:rPr>
        <w:t xml:space="preserve">g to the duplicate charges account are </w:t>
      </w:r>
      <w:r w:rsidRPr="009B11CD">
        <w:rPr>
          <w:rFonts w:ascii="Arial" w:hAnsi="Arial" w:cs="Arial"/>
        </w:rPr>
        <w:t xml:space="preserve">now </w:t>
      </w:r>
      <w:r>
        <w:rPr>
          <w:rFonts w:ascii="Arial" w:hAnsi="Arial" w:cs="Arial"/>
        </w:rPr>
        <w:t xml:space="preserve">less </w:t>
      </w:r>
      <w:r w:rsidRPr="009B11CD">
        <w:rPr>
          <w:rFonts w:ascii="Arial" w:hAnsi="Arial" w:cs="Arial"/>
        </w:rPr>
        <w:t>than</w:t>
      </w:r>
      <w:r>
        <w:rPr>
          <w:rFonts w:ascii="Arial" w:hAnsi="Arial" w:cs="Arial"/>
        </w:rPr>
        <w:t xml:space="preserve"> they were</w:t>
      </w:r>
      <w:r w:rsidRPr="009B11CD">
        <w:rPr>
          <w:rFonts w:ascii="Arial" w:hAnsi="Arial" w:cs="Arial"/>
        </w:rPr>
        <w:t xml:space="preserve"> </w:t>
      </w:r>
      <w:r>
        <w:rPr>
          <w:rFonts w:ascii="Arial" w:hAnsi="Arial" w:cs="Arial"/>
        </w:rPr>
        <w:t xml:space="preserve">prior to May 2010.  Since the credit to duplicate charges in 2012 is smaller than the benchmark credit, this appears as an increase to non-employee A&amp;G expenses, when it is merely an accounting change.  This accounting change accounts for $505,000 of the benchmark variance.  </w:t>
      </w:r>
    </w:p>
    <w:p w:rsidR="00D7061B" w:rsidRPr="009B11CD" w:rsidRDefault="00D7061B" w:rsidP="00D7061B">
      <w:pPr>
        <w:spacing w:line="480" w:lineRule="atLeast"/>
        <w:ind w:left="720" w:hanging="720"/>
        <w:rPr>
          <w:rFonts w:ascii="Arial" w:hAnsi="Arial" w:cs="Arial"/>
        </w:rPr>
      </w:pPr>
    </w:p>
    <w:p w:rsidR="00D7061B" w:rsidRPr="009B11CD" w:rsidRDefault="00D7061B" w:rsidP="00D7061B">
      <w:pPr>
        <w:tabs>
          <w:tab w:val="left" w:pos="630"/>
        </w:tabs>
        <w:spacing w:line="480" w:lineRule="atLeast"/>
        <w:ind w:left="720" w:hanging="720"/>
        <w:rPr>
          <w:rFonts w:ascii="Arial" w:hAnsi="Arial" w:cs="Arial"/>
        </w:rPr>
      </w:pPr>
      <w:r>
        <w:rPr>
          <w:rFonts w:ascii="Arial" w:hAnsi="Arial" w:cs="Arial"/>
        </w:rPr>
        <w:t>Q.</w:t>
      </w:r>
      <w:r>
        <w:rPr>
          <w:rFonts w:ascii="Arial" w:hAnsi="Arial" w:cs="Arial"/>
        </w:rPr>
        <w:tab/>
      </w:r>
      <w:r w:rsidRPr="009B11CD">
        <w:rPr>
          <w:rFonts w:ascii="Arial" w:hAnsi="Arial" w:cs="Arial"/>
        </w:rPr>
        <w:t xml:space="preserve"> Is the </w:t>
      </w:r>
      <w:r>
        <w:rPr>
          <w:rFonts w:ascii="Arial" w:hAnsi="Arial" w:cs="Arial"/>
        </w:rPr>
        <w:t xml:space="preserve">total </w:t>
      </w:r>
      <w:r w:rsidRPr="009B11CD">
        <w:rPr>
          <w:rFonts w:ascii="Arial" w:hAnsi="Arial" w:cs="Arial"/>
        </w:rPr>
        <w:t xml:space="preserve">amount of the </w:t>
      </w:r>
      <w:r>
        <w:rPr>
          <w:rFonts w:ascii="Arial" w:hAnsi="Arial" w:cs="Arial"/>
        </w:rPr>
        <w:t>d</w:t>
      </w:r>
      <w:r w:rsidRPr="009B11CD">
        <w:rPr>
          <w:rFonts w:ascii="Arial" w:hAnsi="Arial" w:cs="Arial"/>
        </w:rPr>
        <w:t xml:space="preserve">uplicate </w:t>
      </w:r>
      <w:r>
        <w:rPr>
          <w:rFonts w:ascii="Arial" w:hAnsi="Arial" w:cs="Arial"/>
        </w:rPr>
        <w:t>c</w:t>
      </w:r>
      <w:r w:rsidRPr="009B11CD">
        <w:rPr>
          <w:rFonts w:ascii="Arial" w:hAnsi="Arial" w:cs="Arial"/>
        </w:rPr>
        <w:t>harges credit Gulf has in this test year reasonable?</w:t>
      </w:r>
    </w:p>
    <w:p w:rsidR="00D7061B" w:rsidRDefault="00D7061B" w:rsidP="00D7061B">
      <w:pPr>
        <w:spacing w:line="480" w:lineRule="atLeast"/>
        <w:ind w:left="720" w:hanging="720"/>
      </w:pPr>
      <w:r>
        <w:rPr>
          <w:rFonts w:ascii="Arial" w:hAnsi="Arial" w:cs="Arial"/>
        </w:rPr>
        <w:t>A.</w:t>
      </w:r>
      <w:r>
        <w:rPr>
          <w:rFonts w:ascii="Arial" w:hAnsi="Arial" w:cs="Arial"/>
        </w:rPr>
        <w:tab/>
      </w:r>
      <w:r w:rsidRPr="009B11CD">
        <w:rPr>
          <w:rFonts w:ascii="Arial" w:hAnsi="Arial" w:cs="Arial"/>
        </w:rPr>
        <w:t>Yes.</w:t>
      </w:r>
      <w:r>
        <w:rPr>
          <w:rFonts w:ascii="Arial" w:hAnsi="Arial" w:cs="Arial"/>
        </w:rPr>
        <w:t xml:space="preserve">  </w:t>
      </w:r>
    </w:p>
    <w:p w:rsidR="009B5B7D" w:rsidRDefault="009B5B7D" w:rsidP="00DE7D73">
      <w:pPr>
        <w:spacing w:line="480" w:lineRule="atLeast"/>
        <w:ind w:left="720" w:hanging="720"/>
        <w:rPr>
          <w:rFonts w:ascii="Arial" w:hAnsi="Arial" w:cs="Arial"/>
        </w:rPr>
      </w:pPr>
    </w:p>
    <w:p w:rsidR="00DB2C5E" w:rsidRDefault="00DB2C5E" w:rsidP="00DE7D73">
      <w:pPr>
        <w:spacing w:line="480" w:lineRule="atLeast"/>
        <w:ind w:left="720" w:hanging="720"/>
        <w:rPr>
          <w:rFonts w:ascii="Arial" w:hAnsi="Arial" w:cs="Arial"/>
        </w:rPr>
      </w:pPr>
    </w:p>
    <w:p w:rsidR="00361458" w:rsidRDefault="00264685" w:rsidP="00361458">
      <w:pPr>
        <w:spacing w:line="480" w:lineRule="atLeast"/>
        <w:ind w:left="720"/>
        <w:jc w:val="center"/>
        <w:rPr>
          <w:rFonts w:ascii="Arial" w:hAnsi="Arial" w:cs="Arial"/>
        </w:rPr>
      </w:pPr>
      <w:r>
        <w:rPr>
          <w:rFonts w:ascii="Arial" w:hAnsi="Arial" w:cs="Arial"/>
        </w:rPr>
        <w:lastRenderedPageBreak/>
        <w:t>C. External Audit / Internal Controls</w:t>
      </w:r>
    </w:p>
    <w:p w:rsidR="009B5B7D" w:rsidRDefault="003E373B" w:rsidP="00DE7D73">
      <w:pPr>
        <w:spacing w:line="480" w:lineRule="atLeast"/>
        <w:ind w:left="720" w:hanging="720"/>
        <w:rPr>
          <w:rFonts w:ascii="Arial" w:hAnsi="Arial" w:cs="Arial"/>
          <w:szCs w:val="24"/>
        </w:rPr>
      </w:pPr>
      <w:r w:rsidRPr="0075549A">
        <w:rPr>
          <w:rFonts w:ascii="Arial" w:hAnsi="Arial" w:cs="Arial"/>
          <w:szCs w:val="24"/>
        </w:rPr>
        <w:t>Q.</w:t>
      </w:r>
      <w:r w:rsidRPr="0075549A">
        <w:rPr>
          <w:rFonts w:ascii="Arial" w:hAnsi="Arial" w:cs="Arial"/>
          <w:szCs w:val="24"/>
        </w:rPr>
        <w:tab/>
        <w:t>Please address</w:t>
      </w:r>
      <w:r>
        <w:rPr>
          <w:rFonts w:ascii="Arial" w:hAnsi="Arial" w:cs="Arial"/>
          <w:szCs w:val="24"/>
        </w:rPr>
        <w:t xml:space="preserve"> the </w:t>
      </w:r>
      <w:r w:rsidR="00BF4457">
        <w:rPr>
          <w:rFonts w:ascii="Arial" w:hAnsi="Arial" w:cs="Arial"/>
          <w:szCs w:val="24"/>
        </w:rPr>
        <w:t xml:space="preserve">A&amp;G </w:t>
      </w:r>
      <w:r>
        <w:rPr>
          <w:rFonts w:ascii="Arial" w:hAnsi="Arial" w:cs="Arial"/>
          <w:szCs w:val="24"/>
        </w:rPr>
        <w:t xml:space="preserve">benchmark variance for the </w:t>
      </w:r>
      <w:r w:rsidR="003126DF">
        <w:rPr>
          <w:rFonts w:ascii="Arial" w:hAnsi="Arial" w:cs="Arial"/>
          <w:szCs w:val="24"/>
        </w:rPr>
        <w:t xml:space="preserve">External Audit / Internal Controls </w:t>
      </w:r>
      <w:r>
        <w:rPr>
          <w:rFonts w:ascii="Arial" w:hAnsi="Arial" w:cs="Arial"/>
          <w:szCs w:val="24"/>
        </w:rPr>
        <w:t>expense</w:t>
      </w:r>
      <w:r w:rsidRPr="0075549A">
        <w:rPr>
          <w:rFonts w:ascii="Arial" w:hAnsi="Arial" w:cs="Arial"/>
          <w:szCs w:val="24"/>
        </w:rPr>
        <w:t>.</w:t>
      </w:r>
    </w:p>
    <w:p w:rsidR="009B5B7D" w:rsidRDefault="003E373B" w:rsidP="00DE7D73">
      <w:pPr>
        <w:spacing w:line="480" w:lineRule="atLeast"/>
        <w:ind w:left="720" w:hanging="720"/>
        <w:rPr>
          <w:rFonts w:ascii="Arial" w:hAnsi="Arial"/>
        </w:rPr>
      </w:pPr>
      <w:r>
        <w:rPr>
          <w:rFonts w:ascii="Arial" w:hAnsi="Arial" w:cs="Arial"/>
          <w:szCs w:val="24"/>
        </w:rPr>
        <w:t>A</w:t>
      </w:r>
      <w:r w:rsidRPr="007E0F07">
        <w:rPr>
          <w:rFonts w:ascii="Arial" w:hAnsi="Arial" w:cs="Arial"/>
          <w:szCs w:val="24"/>
        </w:rPr>
        <w:t>.</w:t>
      </w:r>
      <w:r w:rsidRPr="007E0F07">
        <w:rPr>
          <w:rFonts w:ascii="Arial" w:hAnsi="Arial" w:cs="Arial"/>
          <w:szCs w:val="24"/>
        </w:rPr>
        <w:tab/>
        <w:t>The projected cos</w:t>
      </w:r>
      <w:r>
        <w:rPr>
          <w:rFonts w:ascii="Arial" w:hAnsi="Arial" w:cs="Arial"/>
          <w:szCs w:val="24"/>
        </w:rPr>
        <w:t>t for external audit fees is $1,</w:t>
      </w:r>
      <w:r w:rsidRPr="007E0F07">
        <w:rPr>
          <w:rFonts w:ascii="Arial" w:hAnsi="Arial" w:cs="Arial"/>
          <w:szCs w:val="24"/>
        </w:rPr>
        <w:t>301</w:t>
      </w:r>
      <w:r>
        <w:rPr>
          <w:rFonts w:ascii="Arial" w:hAnsi="Arial" w:cs="Arial"/>
          <w:szCs w:val="24"/>
        </w:rPr>
        <w:t>,000 in 2012</w:t>
      </w:r>
      <w:r w:rsidR="00300A35">
        <w:rPr>
          <w:rFonts w:ascii="Arial" w:hAnsi="Arial" w:cs="Arial"/>
          <w:szCs w:val="24"/>
        </w:rPr>
        <w:t>,</w:t>
      </w:r>
      <w:r w:rsidRPr="007E0F07">
        <w:rPr>
          <w:rFonts w:ascii="Arial" w:hAnsi="Arial" w:cs="Arial"/>
          <w:szCs w:val="24"/>
        </w:rPr>
        <w:t xml:space="preserve"> which exceeds the benchmark by $1</w:t>
      </w:r>
      <w:r>
        <w:rPr>
          <w:rFonts w:ascii="Arial" w:hAnsi="Arial" w:cs="Arial"/>
          <w:szCs w:val="24"/>
        </w:rPr>
        <w:t>,</w:t>
      </w:r>
      <w:r w:rsidRPr="007E0F07">
        <w:rPr>
          <w:rFonts w:ascii="Arial" w:hAnsi="Arial" w:cs="Arial"/>
          <w:szCs w:val="24"/>
        </w:rPr>
        <w:t>031</w:t>
      </w:r>
      <w:r>
        <w:rPr>
          <w:rFonts w:ascii="Arial" w:hAnsi="Arial" w:cs="Arial"/>
          <w:szCs w:val="24"/>
        </w:rPr>
        <w:t>,000</w:t>
      </w:r>
      <w:r w:rsidRPr="007E0F07">
        <w:rPr>
          <w:rFonts w:ascii="Arial" w:hAnsi="Arial" w:cs="Arial"/>
          <w:szCs w:val="24"/>
        </w:rPr>
        <w:t xml:space="preserve">.  The projected </w:t>
      </w:r>
      <w:r w:rsidR="00EB38F2">
        <w:rPr>
          <w:rFonts w:ascii="Arial" w:hAnsi="Arial" w:cs="Arial"/>
          <w:szCs w:val="24"/>
        </w:rPr>
        <w:t>internal controls expenses</w:t>
      </w:r>
      <w:r w:rsidRPr="007E0F07">
        <w:rPr>
          <w:rFonts w:ascii="Arial" w:hAnsi="Arial" w:cs="Arial"/>
          <w:szCs w:val="24"/>
        </w:rPr>
        <w:t xml:space="preserve"> </w:t>
      </w:r>
      <w:r w:rsidR="00416DD8">
        <w:rPr>
          <w:rFonts w:ascii="Arial" w:hAnsi="Arial" w:cs="Arial"/>
          <w:szCs w:val="24"/>
        </w:rPr>
        <w:t xml:space="preserve">of $422,000 </w:t>
      </w:r>
      <w:r w:rsidR="00281D46">
        <w:rPr>
          <w:rFonts w:ascii="Arial" w:hAnsi="Arial" w:cs="Arial"/>
          <w:szCs w:val="24"/>
        </w:rPr>
        <w:t xml:space="preserve">are </w:t>
      </w:r>
      <w:r w:rsidR="00926B2E">
        <w:rPr>
          <w:rFonts w:ascii="Arial" w:hAnsi="Arial" w:cs="Arial"/>
          <w:szCs w:val="24"/>
        </w:rPr>
        <w:t xml:space="preserve">necessary </w:t>
      </w:r>
      <w:r w:rsidRPr="007E0F07">
        <w:rPr>
          <w:rFonts w:ascii="Arial" w:hAnsi="Arial" w:cs="Arial"/>
          <w:szCs w:val="24"/>
        </w:rPr>
        <w:t>for the Company</w:t>
      </w:r>
      <w:r>
        <w:rPr>
          <w:rFonts w:ascii="Arial" w:hAnsi="Arial" w:cs="Arial"/>
          <w:szCs w:val="24"/>
        </w:rPr>
        <w:t xml:space="preserve"> to comply with </w:t>
      </w:r>
      <w:r w:rsidR="00281D46">
        <w:rPr>
          <w:rFonts w:ascii="Arial" w:hAnsi="Arial" w:cs="Arial"/>
          <w:szCs w:val="24"/>
        </w:rPr>
        <w:t xml:space="preserve">the financial reporting and internal controls components of </w:t>
      </w:r>
      <w:r>
        <w:rPr>
          <w:rFonts w:ascii="Arial" w:hAnsi="Arial" w:cs="Arial"/>
          <w:szCs w:val="24"/>
        </w:rPr>
        <w:t>the Sarbanes-Oxley Act</w:t>
      </w:r>
      <w:r w:rsidR="00416DD8">
        <w:rPr>
          <w:rFonts w:ascii="Arial" w:hAnsi="Arial" w:cs="Arial"/>
          <w:szCs w:val="24"/>
        </w:rPr>
        <w:t>.</w:t>
      </w:r>
      <w:r w:rsidRPr="007E0F07">
        <w:rPr>
          <w:rFonts w:ascii="Arial" w:hAnsi="Arial" w:cs="Arial"/>
          <w:szCs w:val="24"/>
        </w:rPr>
        <w:t xml:space="preserve">  There is no benchmark</w:t>
      </w:r>
      <w:r w:rsidR="00300A35">
        <w:rPr>
          <w:rFonts w:ascii="Arial" w:hAnsi="Arial" w:cs="Arial"/>
          <w:szCs w:val="24"/>
        </w:rPr>
        <w:t xml:space="preserve"> amount</w:t>
      </w:r>
      <w:r w:rsidRPr="007E0F07">
        <w:rPr>
          <w:rFonts w:ascii="Arial" w:hAnsi="Arial" w:cs="Arial"/>
          <w:szCs w:val="24"/>
        </w:rPr>
        <w:t xml:space="preserve"> for </w:t>
      </w:r>
      <w:r w:rsidR="00AD0A4C">
        <w:rPr>
          <w:rFonts w:ascii="Arial" w:hAnsi="Arial" w:cs="Arial"/>
          <w:szCs w:val="24"/>
        </w:rPr>
        <w:t>the projected internal controls</w:t>
      </w:r>
      <w:r w:rsidRPr="007E0F07">
        <w:rPr>
          <w:rFonts w:ascii="Arial" w:hAnsi="Arial" w:cs="Arial"/>
          <w:szCs w:val="24"/>
        </w:rPr>
        <w:t xml:space="preserve"> </w:t>
      </w:r>
      <w:r w:rsidR="008D3EFD">
        <w:rPr>
          <w:rFonts w:ascii="Arial" w:hAnsi="Arial" w:cs="Arial"/>
          <w:szCs w:val="24"/>
        </w:rPr>
        <w:t xml:space="preserve">expenses </w:t>
      </w:r>
      <w:r w:rsidRPr="007E0F07">
        <w:rPr>
          <w:rFonts w:ascii="Arial" w:hAnsi="Arial" w:cs="Arial"/>
          <w:szCs w:val="24"/>
        </w:rPr>
        <w:t>since the</w:t>
      </w:r>
      <w:r>
        <w:rPr>
          <w:rFonts w:ascii="Arial" w:hAnsi="Arial" w:cs="Arial"/>
          <w:szCs w:val="24"/>
        </w:rPr>
        <w:t xml:space="preserve"> Sarbanes-Oxley Act was passed</w:t>
      </w:r>
      <w:r w:rsidRPr="007E0F07">
        <w:rPr>
          <w:rFonts w:ascii="Arial" w:hAnsi="Arial" w:cs="Arial"/>
          <w:szCs w:val="24"/>
        </w:rPr>
        <w:t xml:space="preserve"> subsequent to the Company’s last base rate case.  </w:t>
      </w:r>
      <w:r>
        <w:rPr>
          <w:rFonts w:ascii="Arial" w:hAnsi="Arial" w:cs="Arial"/>
          <w:szCs w:val="24"/>
        </w:rPr>
        <w:t xml:space="preserve">Both benchmark variances </w:t>
      </w:r>
      <w:r w:rsidR="00EB38F2">
        <w:rPr>
          <w:rFonts w:ascii="Arial" w:hAnsi="Arial" w:cs="Arial"/>
          <w:szCs w:val="24"/>
        </w:rPr>
        <w:t>total to $1,45</w:t>
      </w:r>
      <w:r w:rsidR="00D7287D">
        <w:rPr>
          <w:rFonts w:ascii="Arial" w:hAnsi="Arial" w:cs="Arial"/>
          <w:szCs w:val="24"/>
        </w:rPr>
        <w:t>3</w:t>
      </w:r>
      <w:r w:rsidR="00EB38F2">
        <w:rPr>
          <w:rFonts w:ascii="Arial" w:hAnsi="Arial" w:cs="Arial"/>
          <w:szCs w:val="24"/>
        </w:rPr>
        <w:t xml:space="preserve">,000 and </w:t>
      </w:r>
      <w:r>
        <w:rPr>
          <w:rFonts w:ascii="Arial" w:hAnsi="Arial" w:cs="Arial"/>
          <w:szCs w:val="24"/>
        </w:rPr>
        <w:t xml:space="preserve">are predominately </w:t>
      </w:r>
      <w:r>
        <w:rPr>
          <w:rFonts w:ascii="Arial" w:hAnsi="Arial" w:cs="Arial"/>
        </w:rPr>
        <w:t xml:space="preserve">due to new compliance requirements resulting from </w:t>
      </w:r>
      <w:r>
        <w:rPr>
          <w:rFonts w:ascii="Arial" w:hAnsi="Arial"/>
        </w:rPr>
        <w:t>the passage of the Sarbanes-Oxley Act</w:t>
      </w:r>
      <w:r w:rsidR="00264685">
        <w:rPr>
          <w:rFonts w:ascii="Arial" w:hAnsi="Arial"/>
        </w:rPr>
        <w:t>.</w:t>
      </w:r>
      <w:r>
        <w:rPr>
          <w:rFonts w:ascii="Arial" w:hAnsi="Arial"/>
        </w:rPr>
        <w:t xml:space="preserve">  </w:t>
      </w:r>
    </w:p>
    <w:p w:rsidR="009B5B7D" w:rsidRDefault="009B5B7D" w:rsidP="00DE7D73">
      <w:pPr>
        <w:spacing w:line="480" w:lineRule="atLeast"/>
        <w:ind w:left="720" w:hanging="540"/>
        <w:rPr>
          <w:rFonts w:ascii="Arial" w:hAnsi="Arial"/>
        </w:rPr>
      </w:pPr>
    </w:p>
    <w:p w:rsidR="009B5B7D" w:rsidRDefault="003E373B" w:rsidP="00DE7D73">
      <w:pPr>
        <w:spacing w:line="480" w:lineRule="atLeast"/>
        <w:ind w:left="720" w:hanging="720"/>
        <w:rPr>
          <w:rFonts w:ascii="Arial" w:hAnsi="Arial"/>
        </w:rPr>
      </w:pPr>
      <w:r>
        <w:rPr>
          <w:rFonts w:ascii="Arial" w:hAnsi="Arial"/>
        </w:rPr>
        <w:t>Q.</w:t>
      </w:r>
      <w:r>
        <w:rPr>
          <w:rFonts w:ascii="Arial" w:hAnsi="Arial"/>
        </w:rPr>
        <w:tab/>
        <w:t>Please discuss the key requirements mandated by the passage of the Sarbanes-Oxley Act.</w:t>
      </w:r>
    </w:p>
    <w:p w:rsidR="00BF4457" w:rsidRDefault="003E373B" w:rsidP="00DE7D73">
      <w:pPr>
        <w:spacing w:line="480" w:lineRule="atLeast"/>
        <w:ind w:left="720" w:hanging="720"/>
        <w:rPr>
          <w:rFonts w:ascii="Arial" w:hAnsi="Arial" w:cs="Arial"/>
        </w:rPr>
      </w:pPr>
      <w:r>
        <w:rPr>
          <w:rFonts w:ascii="Arial" w:hAnsi="Arial"/>
        </w:rPr>
        <w:t>A.</w:t>
      </w:r>
      <w:r>
        <w:rPr>
          <w:rFonts w:ascii="Arial" w:hAnsi="Arial"/>
        </w:rPr>
        <w:tab/>
        <w:t>Sections 302 and 404 of the Sarbanes-Oxley Act of 2002 (the Act) directly impacted the Company’s financial reporting and internal control requirements.  Section 302 requires the Company’s Chief Executive Officer (CEO) and Chief Financial Officer (CFO) to certify in the Company’s periodic Securities and Exchange Act filings that the information material to the Company’s filing has been properly disclosed and the effectiveness of the Company’s internal controls have been evaluated and properly communicated.  Section 404 requires the</w:t>
      </w:r>
      <w:r w:rsidR="00A9518E">
        <w:rPr>
          <w:rFonts w:ascii="Arial" w:hAnsi="Arial"/>
        </w:rPr>
        <w:t xml:space="preserve"> </w:t>
      </w:r>
      <w:r>
        <w:rPr>
          <w:rFonts w:ascii="Arial" w:hAnsi="Arial" w:cs="Arial"/>
        </w:rPr>
        <w:t>Company’s</w:t>
      </w:r>
      <w:r w:rsidRPr="00B0615C">
        <w:rPr>
          <w:rFonts w:ascii="Arial" w:hAnsi="Arial" w:cs="Arial"/>
        </w:rPr>
        <w:t xml:space="preserve"> </w:t>
      </w:r>
      <w:r>
        <w:rPr>
          <w:rFonts w:ascii="Arial" w:hAnsi="Arial" w:cs="Arial"/>
        </w:rPr>
        <w:t>CEO and CFO</w:t>
      </w:r>
      <w:r w:rsidRPr="00B0615C">
        <w:rPr>
          <w:rFonts w:ascii="Arial" w:hAnsi="Arial" w:cs="Arial"/>
        </w:rPr>
        <w:t xml:space="preserve"> to attest to the </w:t>
      </w:r>
      <w:r>
        <w:rPr>
          <w:rFonts w:ascii="Arial" w:hAnsi="Arial" w:cs="Arial"/>
        </w:rPr>
        <w:t xml:space="preserve">design and </w:t>
      </w:r>
      <w:r w:rsidRPr="00B0615C">
        <w:rPr>
          <w:rFonts w:ascii="Arial" w:hAnsi="Arial" w:cs="Arial"/>
        </w:rPr>
        <w:t xml:space="preserve">effectiveness of </w:t>
      </w:r>
      <w:r>
        <w:rPr>
          <w:rFonts w:ascii="Arial" w:hAnsi="Arial" w:cs="Arial"/>
        </w:rPr>
        <w:t>the Company’s</w:t>
      </w:r>
      <w:r w:rsidRPr="00B0615C">
        <w:rPr>
          <w:rFonts w:ascii="Arial" w:hAnsi="Arial" w:cs="Arial"/>
        </w:rPr>
        <w:t xml:space="preserve"> internal controls over financial reporting.</w:t>
      </w:r>
    </w:p>
    <w:p w:rsidR="003E373B" w:rsidRDefault="003E373B" w:rsidP="00A9518E">
      <w:pPr>
        <w:spacing w:line="480" w:lineRule="atLeast"/>
        <w:rPr>
          <w:rFonts w:ascii="Arial" w:hAnsi="Arial" w:cs="Arial"/>
        </w:rPr>
      </w:pPr>
      <w:r>
        <w:rPr>
          <w:rFonts w:ascii="Arial" w:hAnsi="Arial" w:cs="Arial"/>
        </w:rPr>
        <w:lastRenderedPageBreak/>
        <w:t>Q.</w:t>
      </w:r>
      <w:r>
        <w:rPr>
          <w:rFonts w:ascii="Arial" w:hAnsi="Arial" w:cs="Arial"/>
        </w:rPr>
        <w:tab/>
        <w:t xml:space="preserve">What has </w:t>
      </w:r>
      <w:r w:rsidR="00264685">
        <w:rPr>
          <w:rFonts w:ascii="Arial" w:hAnsi="Arial" w:cs="Arial"/>
        </w:rPr>
        <w:t>been</w:t>
      </w:r>
      <w:r>
        <w:rPr>
          <w:rFonts w:ascii="Arial" w:hAnsi="Arial" w:cs="Arial"/>
        </w:rPr>
        <w:t xml:space="preserve"> the impact </w:t>
      </w:r>
      <w:r w:rsidR="00264685">
        <w:rPr>
          <w:rFonts w:ascii="Arial" w:hAnsi="Arial" w:cs="Arial"/>
        </w:rPr>
        <w:t>on Gulf</w:t>
      </w:r>
      <w:r>
        <w:rPr>
          <w:rFonts w:ascii="Arial" w:hAnsi="Arial" w:cs="Arial"/>
        </w:rPr>
        <w:t xml:space="preserve"> of Sarbanes-Oxley </w:t>
      </w:r>
      <w:r w:rsidR="00BF4457">
        <w:rPr>
          <w:rFonts w:ascii="Arial" w:hAnsi="Arial" w:cs="Arial"/>
        </w:rPr>
        <w:t xml:space="preserve">Act </w:t>
      </w:r>
      <w:r>
        <w:rPr>
          <w:rFonts w:ascii="Arial" w:hAnsi="Arial" w:cs="Arial"/>
        </w:rPr>
        <w:t>compliance?</w:t>
      </w:r>
    </w:p>
    <w:p w:rsidR="000F5FA6" w:rsidRDefault="003E373B" w:rsidP="008E7024">
      <w:pPr>
        <w:spacing w:line="480" w:lineRule="atLeast"/>
        <w:ind w:left="720" w:hanging="720"/>
        <w:rPr>
          <w:rFonts w:ascii="Arial" w:hAnsi="Arial" w:cs="Arial"/>
        </w:rPr>
      </w:pPr>
      <w:r>
        <w:rPr>
          <w:rFonts w:ascii="Arial" w:hAnsi="Arial" w:cs="Arial"/>
        </w:rPr>
        <w:t>A.</w:t>
      </w:r>
      <w:r>
        <w:rPr>
          <w:rFonts w:ascii="Arial" w:hAnsi="Arial" w:cs="Arial"/>
        </w:rPr>
        <w:tab/>
        <w:t>C</w:t>
      </w:r>
      <w:r w:rsidRPr="00B0615C">
        <w:rPr>
          <w:rFonts w:ascii="Arial" w:hAnsi="Arial" w:cs="Arial"/>
        </w:rPr>
        <w:t xml:space="preserve">ompliance with the Act has </w:t>
      </w:r>
      <w:r>
        <w:rPr>
          <w:rFonts w:ascii="Arial" w:hAnsi="Arial" w:cs="Arial"/>
        </w:rPr>
        <w:t>i</w:t>
      </w:r>
      <w:r w:rsidRPr="00B0615C">
        <w:rPr>
          <w:rFonts w:ascii="Arial" w:hAnsi="Arial" w:cs="Arial"/>
        </w:rPr>
        <w:t>ncreased costs for Gulf Power</w:t>
      </w:r>
      <w:r>
        <w:rPr>
          <w:rFonts w:ascii="Arial" w:hAnsi="Arial" w:cs="Arial"/>
        </w:rPr>
        <w:t>.</w:t>
      </w:r>
      <w:r w:rsidR="005F3B63">
        <w:rPr>
          <w:rFonts w:ascii="Arial" w:hAnsi="Arial" w:cs="Arial"/>
        </w:rPr>
        <w:t xml:space="preserve">  </w:t>
      </w:r>
      <w:r>
        <w:rPr>
          <w:rFonts w:ascii="Arial" w:hAnsi="Arial" w:cs="Arial"/>
        </w:rPr>
        <w:t>E</w:t>
      </w:r>
      <w:r w:rsidRPr="00B0615C">
        <w:rPr>
          <w:rFonts w:ascii="Arial" w:hAnsi="Arial" w:cs="Arial"/>
        </w:rPr>
        <w:t xml:space="preserve">xternal audit </w:t>
      </w:r>
      <w:r>
        <w:rPr>
          <w:rFonts w:ascii="Arial" w:hAnsi="Arial" w:cs="Arial"/>
        </w:rPr>
        <w:t xml:space="preserve">hours and resulting </w:t>
      </w:r>
      <w:r w:rsidRPr="00B0615C">
        <w:rPr>
          <w:rFonts w:ascii="Arial" w:hAnsi="Arial" w:cs="Arial"/>
        </w:rPr>
        <w:t xml:space="preserve">fees </w:t>
      </w:r>
      <w:r>
        <w:rPr>
          <w:rFonts w:ascii="Arial" w:hAnsi="Arial" w:cs="Arial"/>
        </w:rPr>
        <w:t xml:space="preserve">have increased as the Act, along with other regulatory requirements, increased the amount of work required by the Company’s external auditors to issue an opinion on the Company’s financial statements.  Since 2001, auditors have lowered materiality thresholds and put an increased focus on internal controls and </w:t>
      </w:r>
      <w:r w:rsidR="008E7024">
        <w:rPr>
          <w:rFonts w:ascii="Arial" w:hAnsi="Arial" w:cs="Arial"/>
        </w:rPr>
        <w:t>r</w:t>
      </w:r>
      <w:r>
        <w:rPr>
          <w:rFonts w:ascii="Arial" w:hAnsi="Arial" w:cs="Arial"/>
        </w:rPr>
        <w:t xml:space="preserve">equirements to comply with new auditing standards.  The creation of the Public Company Accounting Oversight Board (PCAOB) has increased the cost of external audits as auditors now </w:t>
      </w:r>
      <w:r w:rsidR="00300A35">
        <w:rPr>
          <w:rFonts w:ascii="Arial" w:hAnsi="Arial" w:cs="Arial"/>
        </w:rPr>
        <w:t xml:space="preserve">must </w:t>
      </w:r>
      <w:r>
        <w:rPr>
          <w:rFonts w:ascii="Arial" w:hAnsi="Arial" w:cs="Arial"/>
        </w:rPr>
        <w:t>comply with additional regulatory requirements based on standards issued by PCAOB.  Finally, when performing audits, the Company’s external auditors must consider numerous complex accounting standards that have been issued since 2001.</w:t>
      </w:r>
      <w:r w:rsidR="00D23153">
        <w:rPr>
          <w:rFonts w:ascii="Arial" w:hAnsi="Arial" w:cs="Arial"/>
        </w:rPr>
        <w:t xml:space="preserve">  As previously noted, these significant additional outside auditor requirements associated with Sarbanes-Oxley compliance have resulted in an O&amp;M benchmark variance of </w:t>
      </w:r>
      <w:r w:rsidR="00D23153" w:rsidRPr="007E0F07">
        <w:rPr>
          <w:rFonts w:ascii="Arial" w:hAnsi="Arial" w:cs="Arial"/>
          <w:szCs w:val="24"/>
        </w:rPr>
        <w:t>$1</w:t>
      </w:r>
      <w:r w:rsidR="00D23153">
        <w:rPr>
          <w:rFonts w:ascii="Arial" w:hAnsi="Arial" w:cs="Arial"/>
          <w:szCs w:val="24"/>
        </w:rPr>
        <w:t>,</w:t>
      </w:r>
      <w:r w:rsidR="00D23153" w:rsidRPr="007E0F07">
        <w:rPr>
          <w:rFonts w:ascii="Arial" w:hAnsi="Arial" w:cs="Arial"/>
          <w:szCs w:val="24"/>
        </w:rPr>
        <w:t>031</w:t>
      </w:r>
      <w:r w:rsidR="00D23153">
        <w:rPr>
          <w:rFonts w:ascii="Arial" w:hAnsi="Arial" w:cs="Arial"/>
          <w:szCs w:val="24"/>
        </w:rPr>
        <w:t xml:space="preserve">,000.  </w:t>
      </w:r>
      <w:r w:rsidR="003126DF">
        <w:rPr>
          <w:rFonts w:ascii="Arial" w:hAnsi="Arial" w:cs="Arial"/>
          <w:szCs w:val="24"/>
        </w:rPr>
        <w:t xml:space="preserve">This compliance results in additional assurance regarding financial data for customers, regulators, and investors.  </w:t>
      </w:r>
      <w:r w:rsidR="00D23153">
        <w:rPr>
          <w:rFonts w:ascii="Arial" w:hAnsi="Arial" w:cs="Arial"/>
          <w:szCs w:val="24"/>
        </w:rPr>
        <w:t>These additional costs above the O&amp;M benchmark are entirely justified.</w:t>
      </w:r>
    </w:p>
    <w:p w:rsidR="000F5FA6" w:rsidRDefault="000F5FA6" w:rsidP="00DE7D73">
      <w:pPr>
        <w:spacing w:line="480" w:lineRule="atLeast"/>
        <w:ind w:left="720"/>
        <w:rPr>
          <w:rFonts w:ascii="Arial" w:hAnsi="Arial" w:cs="Arial"/>
        </w:rPr>
      </w:pPr>
    </w:p>
    <w:p w:rsidR="00361458" w:rsidRDefault="003E373B" w:rsidP="00AD0A4C">
      <w:pPr>
        <w:spacing w:line="480" w:lineRule="atLeast"/>
        <w:ind w:left="720"/>
        <w:rPr>
          <w:rFonts w:ascii="Arial" w:hAnsi="Arial" w:cs="Arial"/>
        </w:rPr>
      </w:pPr>
      <w:r>
        <w:rPr>
          <w:rFonts w:ascii="Arial" w:hAnsi="Arial" w:cs="Arial"/>
        </w:rPr>
        <w:t xml:space="preserve">Additional resources, primarily labor, have been put in place at Gulf to ensure compliance with the Act.  These resources are used to determine compliance requirements of the Act, provide guidance and assistance in monitoring to meet those requirements and provide an overall evaluation of the design and operating effectiveness of Gulf’s internal controls </w:t>
      </w:r>
      <w:r w:rsidR="00281D46">
        <w:rPr>
          <w:rFonts w:ascii="Arial" w:hAnsi="Arial" w:cs="Arial"/>
        </w:rPr>
        <w:t xml:space="preserve">over </w:t>
      </w:r>
      <w:r w:rsidR="00281D46">
        <w:rPr>
          <w:rFonts w:ascii="Arial" w:hAnsi="Arial" w:cs="Arial"/>
        </w:rPr>
        <w:lastRenderedPageBreak/>
        <w:t xml:space="preserve">financial reporting as </w:t>
      </w:r>
      <w:r>
        <w:rPr>
          <w:rFonts w:ascii="Arial" w:hAnsi="Arial" w:cs="Arial"/>
        </w:rPr>
        <w:t xml:space="preserve">required under the Act. </w:t>
      </w:r>
      <w:r w:rsidR="00D23153">
        <w:rPr>
          <w:rFonts w:ascii="Arial" w:hAnsi="Arial" w:cs="Arial"/>
        </w:rPr>
        <w:t xml:space="preserve"> As previously noted, these additional Gulf </w:t>
      </w:r>
      <w:r w:rsidR="003126DF">
        <w:rPr>
          <w:rFonts w:ascii="Arial" w:hAnsi="Arial" w:cs="Arial"/>
        </w:rPr>
        <w:t>resources</w:t>
      </w:r>
      <w:r w:rsidR="00D23153">
        <w:rPr>
          <w:rFonts w:ascii="Arial" w:hAnsi="Arial" w:cs="Arial"/>
        </w:rPr>
        <w:t xml:space="preserve"> associated with Sarbanes-Oxley compliance have resulted in an O&amp;M benchmark variance of </w:t>
      </w:r>
      <w:r w:rsidR="00D23153" w:rsidRPr="007E0F07">
        <w:rPr>
          <w:rFonts w:ascii="Arial" w:hAnsi="Arial" w:cs="Arial"/>
          <w:szCs w:val="24"/>
        </w:rPr>
        <w:t>$</w:t>
      </w:r>
      <w:r w:rsidR="00D23153">
        <w:rPr>
          <w:rFonts w:ascii="Arial" w:hAnsi="Arial" w:cs="Arial"/>
          <w:szCs w:val="24"/>
        </w:rPr>
        <w:t>422,000.  These additional costs above the O&amp;M benchmark are entirely justified.</w:t>
      </w:r>
    </w:p>
    <w:p w:rsidR="003E373B" w:rsidRDefault="003E373B" w:rsidP="00DE7D73">
      <w:pPr>
        <w:spacing w:line="480" w:lineRule="atLeast"/>
        <w:rPr>
          <w:rFonts w:ascii="Arial" w:hAnsi="Arial" w:cs="Arial"/>
          <w:szCs w:val="24"/>
        </w:rPr>
      </w:pPr>
    </w:p>
    <w:p w:rsidR="00361458" w:rsidRDefault="00413932" w:rsidP="00361458">
      <w:pPr>
        <w:spacing w:line="480" w:lineRule="atLeast"/>
        <w:ind w:left="720"/>
        <w:jc w:val="center"/>
        <w:rPr>
          <w:rFonts w:ascii="Arial" w:hAnsi="Arial" w:cs="Arial"/>
          <w:szCs w:val="24"/>
        </w:rPr>
      </w:pPr>
      <w:r>
        <w:rPr>
          <w:rFonts w:ascii="Arial" w:hAnsi="Arial" w:cs="Arial"/>
          <w:szCs w:val="24"/>
        </w:rPr>
        <w:t>D</w:t>
      </w:r>
      <w:r w:rsidR="00264685">
        <w:rPr>
          <w:rFonts w:ascii="Arial" w:hAnsi="Arial" w:cs="Arial"/>
          <w:szCs w:val="24"/>
        </w:rPr>
        <w:t>. Treasury Costs</w:t>
      </w:r>
    </w:p>
    <w:p w:rsidR="003E373B" w:rsidRDefault="003E373B" w:rsidP="00DE7D73">
      <w:pPr>
        <w:spacing w:line="480" w:lineRule="atLeast"/>
        <w:ind w:left="720" w:hanging="720"/>
        <w:rPr>
          <w:rFonts w:ascii="Arial" w:hAnsi="Arial" w:cs="Arial"/>
        </w:rPr>
      </w:pPr>
      <w:r>
        <w:rPr>
          <w:rFonts w:ascii="Arial" w:hAnsi="Arial" w:cs="Arial"/>
        </w:rPr>
        <w:t>Q.</w:t>
      </w:r>
      <w:r>
        <w:rPr>
          <w:rFonts w:ascii="Arial" w:hAnsi="Arial" w:cs="Arial"/>
        </w:rPr>
        <w:tab/>
        <w:t xml:space="preserve">Please </w:t>
      </w:r>
      <w:r w:rsidR="00D23153">
        <w:rPr>
          <w:rFonts w:ascii="Arial" w:hAnsi="Arial" w:cs="Arial"/>
        </w:rPr>
        <w:t>address</w:t>
      </w:r>
      <w:r>
        <w:rPr>
          <w:rFonts w:ascii="Arial" w:hAnsi="Arial" w:cs="Arial"/>
        </w:rPr>
        <w:t xml:space="preserve"> the </w:t>
      </w:r>
      <w:r w:rsidR="00D23153">
        <w:rPr>
          <w:rFonts w:ascii="Arial" w:hAnsi="Arial" w:cs="Arial"/>
        </w:rPr>
        <w:t xml:space="preserve">A&amp;G </w:t>
      </w:r>
      <w:r>
        <w:rPr>
          <w:rFonts w:ascii="Arial" w:hAnsi="Arial" w:cs="Arial"/>
        </w:rPr>
        <w:t>benchmark variance for Treasury Costs.</w:t>
      </w:r>
    </w:p>
    <w:p w:rsidR="00DB2C5E" w:rsidRDefault="003E373B">
      <w:pPr>
        <w:spacing w:line="480" w:lineRule="atLeast"/>
        <w:ind w:left="720" w:hanging="720"/>
        <w:rPr>
          <w:rFonts w:ascii="Arial" w:hAnsi="Arial" w:cs="Arial"/>
        </w:rPr>
      </w:pPr>
      <w:r>
        <w:rPr>
          <w:rFonts w:ascii="Arial" w:hAnsi="Arial" w:cs="Arial"/>
        </w:rPr>
        <w:t>A.</w:t>
      </w:r>
      <w:r>
        <w:rPr>
          <w:rFonts w:ascii="Arial" w:hAnsi="Arial" w:cs="Arial"/>
        </w:rPr>
        <w:tab/>
        <w:t>The projected Treasury Costs for 2012 is $1,077,000</w:t>
      </w:r>
      <w:r w:rsidR="005E0A33">
        <w:rPr>
          <w:rFonts w:ascii="Arial" w:hAnsi="Arial" w:cs="Arial"/>
        </w:rPr>
        <w:t>,</w:t>
      </w:r>
      <w:r>
        <w:rPr>
          <w:rFonts w:ascii="Arial" w:hAnsi="Arial" w:cs="Arial"/>
        </w:rPr>
        <w:t xml:space="preserve"> which is $976,000 above the benchmark</w:t>
      </w:r>
      <w:r w:rsidR="00AD0A4C">
        <w:rPr>
          <w:rFonts w:ascii="Arial" w:hAnsi="Arial" w:cs="Arial"/>
        </w:rPr>
        <w:t xml:space="preserve">.  </w:t>
      </w:r>
      <w:r>
        <w:rPr>
          <w:rFonts w:ascii="Arial" w:hAnsi="Arial" w:cs="Arial"/>
        </w:rPr>
        <w:t xml:space="preserve">Treasury Costs include rating agency fees and commitment fees for lines of credit.  Rating agency fees are assessed by each of the three major rating agencies, Moody’s, Fitch, and Standard &amp; Poor’s.  Each of the rating agencies has a different formula for the calculation of fees, but </w:t>
      </w:r>
      <w:r w:rsidR="00361458" w:rsidRPr="00AD0A4C">
        <w:rPr>
          <w:rFonts w:ascii="Arial" w:hAnsi="Arial" w:cs="Arial"/>
        </w:rPr>
        <w:t>essentially they are based on annual</w:t>
      </w:r>
      <w:r w:rsidR="00FE7BAA">
        <w:rPr>
          <w:rFonts w:ascii="Arial" w:hAnsi="Arial" w:cs="Arial"/>
        </w:rPr>
        <w:t xml:space="preserve"> </w:t>
      </w:r>
      <w:r>
        <w:rPr>
          <w:rFonts w:ascii="Arial" w:hAnsi="Arial" w:cs="Arial"/>
        </w:rPr>
        <w:t xml:space="preserve">debt issuance activity (both bonds and commercial paper) and total outstanding debt.  Commitment fees are charged by banks for entering into a credit facility agreement with the Company (a committed line of credit).  Commitment fees are market driven and based on </w:t>
      </w:r>
      <w:r w:rsidR="00361458" w:rsidRPr="00AD0A4C">
        <w:rPr>
          <w:rFonts w:ascii="Arial" w:hAnsi="Arial" w:cs="Arial"/>
        </w:rPr>
        <w:t>the amount</w:t>
      </w:r>
      <w:r w:rsidR="00FE7BAA">
        <w:rPr>
          <w:rFonts w:ascii="Arial" w:hAnsi="Arial" w:cs="Arial"/>
        </w:rPr>
        <w:t xml:space="preserve"> </w:t>
      </w:r>
      <w:r>
        <w:rPr>
          <w:rFonts w:ascii="Arial" w:hAnsi="Arial" w:cs="Arial"/>
        </w:rPr>
        <w:t>of the line of credit.</w:t>
      </w:r>
    </w:p>
    <w:p w:rsidR="009B5B7D" w:rsidRDefault="009B5B7D" w:rsidP="00DE7D73">
      <w:pPr>
        <w:spacing w:line="480" w:lineRule="atLeast"/>
        <w:ind w:left="720" w:hanging="720"/>
        <w:rPr>
          <w:rFonts w:ascii="Arial" w:hAnsi="Arial" w:cs="Arial"/>
        </w:rPr>
      </w:pPr>
    </w:p>
    <w:p w:rsidR="009B5B7D" w:rsidRDefault="003E373B" w:rsidP="00DE7D73">
      <w:pPr>
        <w:spacing w:line="480" w:lineRule="atLeast"/>
        <w:ind w:left="720" w:hanging="720"/>
        <w:rPr>
          <w:rFonts w:ascii="Arial" w:hAnsi="Arial" w:cs="Arial"/>
        </w:rPr>
      </w:pPr>
      <w:r>
        <w:rPr>
          <w:rFonts w:ascii="Arial" w:hAnsi="Arial" w:cs="Arial"/>
        </w:rPr>
        <w:t>Q.</w:t>
      </w:r>
      <w:r>
        <w:rPr>
          <w:rFonts w:ascii="Arial" w:hAnsi="Arial" w:cs="Arial"/>
        </w:rPr>
        <w:tab/>
        <w:t>What is the benchmark variance associated with rating agency fees?</w:t>
      </w:r>
    </w:p>
    <w:p w:rsidR="009B5B7D" w:rsidRDefault="003E373B" w:rsidP="00DE7D73">
      <w:pPr>
        <w:spacing w:line="480" w:lineRule="atLeast"/>
        <w:ind w:left="720" w:hanging="720"/>
        <w:rPr>
          <w:rFonts w:ascii="Arial" w:hAnsi="Arial" w:cs="Arial"/>
        </w:rPr>
      </w:pPr>
      <w:r>
        <w:rPr>
          <w:rFonts w:ascii="Arial" w:hAnsi="Arial" w:cs="Arial"/>
        </w:rPr>
        <w:t>A.</w:t>
      </w:r>
      <w:r>
        <w:rPr>
          <w:rFonts w:ascii="Arial" w:hAnsi="Arial" w:cs="Arial"/>
        </w:rPr>
        <w:tab/>
        <w:t>The projected cost for rating agency fees is $227,000</w:t>
      </w:r>
      <w:r w:rsidR="002470FD">
        <w:rPr>
          <w:rFonts w:ascii="Arial" w:hAnsi="Arial" w:cs="Arial"/>
        </w:rPr>
        <w:t>,</w:t>
      </w:r>
      <w:r>
        <w:rPr>
          <w:rFonts w:ascii="Arial" w:hAnsi="Arial" w:cs="Arial"/>
        </w:rPr>
        <w:t xml:space="preserve"> which is $205,000 over the benchmark.</w:t>
      </w:r>
    </w:p>
    <w:p w:rsidR="009B5B7D" w:rsidRDefault="009B5B7D" w:rsidP="00DE7D73">
      <w:pPr>
        <w:spacing w:line="480" w:lineRule="atLeast"/>
        <w:ind w:left="720" w:hanging="720"/>
        <w:rPr>
          <w:rFonts w:ascii="Arial" w:hAnsi="Arial" w:cs="Arial"/>
        </w:rPr>
      </w:pPr>
    </w:p>
    <w:p w:rsidR="009B5B7D" w:rsidRDefault="003E373B" w:rsidP="00DE7D73">
      <w:pPr>
        <w:spacing w:line="480" w:lineRule="atLeast"/>
        <w:ind w:left="720" w:hanging="720"/>
        <w:rPr>
          <w:rFonts w:ascii="Arial" w:hAnsi="Arial" w:cs="Arial"/>
          <w:szCs w:val="24"/>
        </w:rPr>
      </w:pPr>
      <w:r>
        <w:rPr>
          <w:rFonts w:ascii="Arial" w:hAnsi="Arial" w:cs="Arial"/>
        </w:rPr>
        <w:t>Q.</w:t>
      </w:r>
      <w:r>
        <w:rPr>
          <w:rFonts w:ascii="Arial" w:hAnsi="Arial" w:cs="Arial"/>
        </w:rPr>
        <w:tab/>
      </w:r>
      <w:r w:rsidRPr="00345346">
        <w:rPr>
          <w:rFonts w:ascii="Arial" w:hAnsi="Arial" w:cs="Arial"/>
          <w:szCs w:val="24"/>
        </w:rPr>
        <w:t xml:space="preserve">Why are </w:t>
      </w:r>
      <w:r>
        <w:rPr>
          <w:rFonts w:ascii="Arial" w:hAnsi="Arial" w:cs="Arial"/>
          <w:szCs w:val="24"/>
        </w:rPr>
        <w:t>r</w:t>
      </w:r>
      <w:r w:rsidRPr="00345346">
        <w:rPr>
          <w:rFonts w:ascii="Arial" w:hAnsi="Arial" w:cs="Arial"/>
          <w:szCs w:val="24"/>
        </w:rPr>
        <w:t xml:space="preserve">ating </w:t>
      </w:r>
      <w:r>
        <w:rPr>
          <w:rFonts w:ascii="Arial" w:hAnsi="Arial" w:cs="Arial"/>
          <w:szCs w:val="24"/>
        </w:rPr>
        <w:t>a</w:t>
      </w:r>
      <w:r w:rsidRPr="00345346">
        <w:rPr>
          <w:rFonts w:ascii="Arial" w:hAnsi="Arial" w:cs="Arial"/>
          <w:szCs w:val="24"/>
        </w:rPr>
        <w:t xml:space="preserve">gency </w:t>
      </w:r>
      <w:r>
        <w:rPr>
          <w:rFonts w:ascii="Arial" w:hAnsi="Arial" w:cs="Arial"/>
          <w:szCs w:val="24"/>
        </w:rPr>
        <w:t>f</w:t>
      </w:r>
      <w:r w:rsidRPr="00345346">
        <w:rPr>
          <w:rFonts w:ascii="Arial" w:hAnsi="Arial" w:cs="Arial"/>
          <w:szCs w:val="24"/>
        </w:rPr>
        <w:t>ees contributing to the benchmark variance?</w:t>
      </w:r>
    </w:p>
    <w:p w:rsidR="002470FD" w:rsidRPr="00AD0A4C" w:rsidRDefault="003E373B" w:rsidP="00DE7D73">
      <w:pPr>
        <w:spacing w:line="480" w:lineRule="atLeast"/>
        <w:ind w:left="720" w:hanging="720"/>
        <w:rPr>
          <w:rFonts w:ascii="Arial" w:hAnsi="Arial" w:cs="Arial"/>
          <w:szCs w:val="24"/>
        </w:rPr>
      </w:pPr>
      <w:r>
        <w:rPr>
          <w:rFonts w:ascii="Arial" w:hAnsi="Arial" w:cs="Arial"/>
          <w:szCs w:val="24"/>
        </w:rPr>
        <w:t>A.</w:t>
      </w:r>
      <w:r>
        <w:rPr>
          <w:rFonts w:ascii="Arial" w:hAnsi="Arial" w:cs="Arial"/>
          <w:szCs w:val="24"/>
        </w:rPr>
        <w:tab/>
      </w:r>
      <w:r w:rsidR="0051403E" w:rsidRPr="00AD0A4C">
        <w:rPr>
          <w:rFonts w:ascii="Arial" w:hAnsi="Arial" w:cs="Arial"/>
          <w:szCs w:val="24"/>
        </w:rPr>
        <w:t xml:space="preserve">The rating agencies’ services are essential for Gulf to be able to raise capital.  </w:t>
      </w:r>
      <w:r w:rsidR="00361458" w:rsidRPr="00AD0A4C">
        <w:rPr>
          <w:rFonts w:ascii="Arial" w:hAnsi="Arial" w:cs="Arial"/>
          <w:szCs w:val="24"/>
        </w:rPr>
        <w:t xml:space="preserve">All three rating agencies have increased their fees significantly in </w:t>
      </w:r>
      <w:r w:rsidR="00361458" w:rsidRPr="00AD0A4C">
        <w:rPr>
          <w:rFonts w:ascii="Arial" w:hAnsi="Arial" w:cs="Arial"/>
          <w:szCs w:val="24"/>
        </w:rPr>
        <w:lastRenderedPageBreak/>
        <w:t xml:space="preserve">recent years.  Since 2003, their fee rates have grown between 50 and 75 percent.   The rating agencies’ services, and therefore the fees, are necessary for Gulf to be able to raise capital.  These fees have risen faster than the combined rate of CPI plus customer growth. </w:t>
      </w:r>
    </w:p>
    <w:p w:rsidR="002470FD" w:rsidRPr="00AD0A4C" w:rsidRDefault="002470FD" w:rsidP="00DE7D73">
      <w:pPr>
        <w:spacing w:line="480" w:lineRule="atLeast"/>
        <w:ind w:left="720" w:hanging="720"/>
        <w:rPr>
          <w:rFonts w:ascii="Arial" w:hAnsi="Arial" w:cs="Arial"/>
          <w:szCs w:val="24"/>
        </w:rPr>
      </w:pPr>
    </w:p>
    <w:p w:rsidR="00FE7BAA" w:rsidRDefault="00361458" w:rsidP="00FE7BAA">
      <w:pPr>
        <w:spacing w:line="480" w:lineRule="atLeast"/>
        <w:ind w:left="720"/>
        <w:rPr>
          <w:rFonts w:ascii="Arial" w:hAnsi="Arial" w:cs="Arial"/>
          <w:szCs w:val="24"/>
        </w:rPr>
      </w:pPr>
      <w:r w:rsidRPr="00AD0A4C">
        <w:rPr>
          <w:rFonts w:ascii="Arial" w:hAnsi="Arial" w:cs="Arial"/>
          <w:szCs w:val="24"/>
        </w:rPr>
        <w:t>In addition, in</w:t>
      </w:r>
      <w:r w:rsidR="003E373B" w:rsidRPr="00345346">
        <w:rPr>
          <w:rFonts w:ascii="Arial" w:hAnsi="Arial" w:cs="Arial"/>
          <w:szCs w:val="24"/>
        </w:rPr>
        <w:t xml:space="preserve"> 2010 Gulf made an account</w:t>
      </w:r>
      <w:r w:rsidR="003E373B">
        <w:rPr>
          <w:rFonts w:ascii="Arial" w:hAnsi="Arial" w:cs="Arial"/>
          <w:szCs w:val="24"/>
        </w:rPr>
        <w:t>ing change in its treatment of r</w:t>
      </w:r>
      <w:r w:rsidR="003E373B" w:rsidRPr="00345346">
        <w:rPr>
          <w:rFonts w:ascii="Arial" w:hAnsi="Arial" w:cs="Arial"/>
          <w:szCs w:val="24"/>
        </w:rPr>
        <w:t xml:space="preserve">ating </w:t>
      </w:r>
      <w:r w:rsidR="003E373B">
        <w:rPr>
          <w:rFonts w:ascii="Arial" w:hAnsi="Arial" w:cs="Arial"/>
          <w:szCs w:val="24"/>
        </w:rPr>
        <w:t>a</w:t>
      </w:r>
      <w:r w:rsidR="003E373B" w:rsidRPr="00345346">
        <w:rPr>
          <w:rFonts w:ascii="Arial" w:hAnsi="Arial" w:cs="Arial"/>
          <w:szCs w:val="24"/>
        </w:rPr>
        <w:t xml:space="preserve">gency </w:t>
      </w:r>
      <w:r w:rsidR="003E373B">
        <w:rPr>
          <w:rFonts w:ascii="Arial" w:hAnsi="Arial" w:cs="Arial"/>
          <w:szCs w:val="24"/>
        </w:rPr>
        <w:t>f</w:t>
      </w:r>
      <w:r w:rsidR="003E373B" w:rsidRPr="00345346">
        <w:rPr>
          <w:rFonts w:ascii="Arial" w:hAnsi="Arial" w:cs="Arial"/>
          <w:szCs w:val="24"/>
        </w:rPr>
        <w:t xml:space="preserve">ees.  Prior to that time, </w:t>
      </w:r>
      <w:r w:rsidR="00483BFD">
        <w:rPr>
          <w:rFonts w:ascii="Arial" w:hAnsi="Arial" w:cs="Arial"/>
          <w:szCs w:val="24"/>
        </w:rPr>
        <w:t xml:space="preserve">most of the </w:t>
      </w:r>
      <w:r w:rsidR="003E373B">
        <w:rPr>
          <w:rFonts w:ascii="Arial" w:hAnsi="Arial" w:cs="Arial"/>
          <w:szCs w:val="24"/>
        </w:rPr>
        <w:t>r</w:t>
      </w:r>
      <w:r w:rsidR="003E373B" w:rsidRPr="00345346">
        <w:rPr>
          <w:rFonts w:ascii="Arial" w:hAnsi="Arial" w:cs="Arial"/>
          <w:szCs w:val="24"/>
        </w:rPr>
        <w:t xml:space="preserve">ating </w:t>
      </w:r>
      <w:r w:rsidR="003E373B">
        <w:rPr>
          <w:rFonts w:ascii="Arial" w:hAnsi="Arial" w:cs="Arial"/>
          <w:szCs w:val="24"/>
        </w:rPr>
        <w:t>a</w:t>
      </w:r>
      <w:r w:rsidR="003E373B" w:rsidRPr="00345346">
        <w:rPr>
          <w:rFonts w:ascii="Arial" w:hAnsi="Arial" w:cs="Arial"/>
          <w:szCs w:val="24"/>
        </w:rPr>
        <w:t xml:space="preserve">gency </w:t>
      </w:r>
      <w:r w:rsidR="003E373B">
        <w:rPr>
          <w:rFonts w:ascii="Arial" w:hAnsi="Arial" w:cs="Arial"/>
          <w:szCs w:val="24"/>
        </w:rPr>
        <w:t>f</w:t>
      </w:r>
      <w:r w:rsidR="003E373B" w:rsidRPr="00345346">
        <w:rPr>
          <w:rFonts w:ascii="Arial" w:hAnsi="Arial" w:cs="Arial"/>
          <w:szCs w:val="24"/>
        </w:rPr>
        <w:t xml:space="preserve">ees were capitalized and then amortized </w:t>
      </w:r>
      <w:r w:rsidR="003E373B">
        <w:rPr>
          <w:rFonts w:ascii="Arial" w:hAnsi="Arial" w:cs="Arial"/>
          <w:szCs w:val="24"/>
        </w:rPr>
        <w:t xml:space="preserve">to interest expense </w:t>
      </w:r>
      <w:r w:rsidR="003E373B" w:rsidRPr="00345346">
        <w:rPr>
          <w:rFonts w:ascii="Arial" w:hAnsi="Arial" w:cs="Arial"/>
          <w:szCs w:val="24"/>
        </w:rPr>
        <w:t>over the life of debt issues</w:t>
      </w:r>
      <w:r w:rsidR="003E373B">
        <w:rPr>
          <w:rFonts w:ascii="Arial" w:hAnsi="Arial" w:cs="Arial"/>
          <w:szCs w:val="24"/>
        </w:rPr>
        <w:t>.</w:t>
      </w:r>
      <w:r w:rsidR="003E373B" w:rsidRPr="00345346">
        <w:rPr>
          <w:rFonts w:ascii="Arial" w:hAnsi="Arial" w:cs="Arial"/>
          <w:szCs w:val="24"/>
        </w:rPr>
        <w:t xml:space="preserve">  After a review of the FERC classification of accounts, it was determined that the part of the fees that are related to commercial paper activity and total outstanding debt </w:t>
      </w:r>
      <w:r w:rsidR="003E373B">
        <w:rPr>
          <w:rFonts w:ascii="Arial" w:hAnsi="Arial" w:cs="Arial"/>
          <w:szCs w:val="24"/>
        </w:rPr>
        <w:t>should be expensed as incurred</w:t>
      </w:r>
      <w:r w:rsidRPr="0051403E">
        <w:rPr>
          <w:rFonts w:ascii="Arial" w:hAnsi="Arial" w:cs="Arial"/>
          <w:szCs w:val="24"/>
        </w:rPr>
        <w:t>.</w:t>
      </w:r>
    </w:p>
    <w:p w:rsidR="009B5B7D" w:rsidRDefault="009B5B7D" w:rsidP="00DE7D73">
      <w:pPr>
        <w:spacing w:line="480" w:lineRule="atLeast"/>
        <w:ind w:left="720" w:hanging="720"/>
        <w:rPr>
          <w:rFonts w:ascii="Arial" w:hAnsi="Arial" w:cs="Arial"/>
          <w:szCs w:val="24"/>
        </w:rPr>
      </w:pPr>
    </w:p>
    <w:p w:rsidR="009B5B7D" w:rsidRDefault="003E373B" w:rsidP="00DE7D73">
      <w:pPr>
        <w:spacing w:line="480" w:lineRule="atLeast"/>
        <w:ind w:left="720" w:hanging="720"/>
        <w:rPr>
          <w:rFonts w:ascii="Arial" w:hAnsi="Arial" w:cs="Arial"/>
          <w:szCs w:val="24"/>
        </w:rPr>
      </w:pPr>
      <w:r>
        <w:rPr>
          <w:rFonts w:ascii="Arial" w:hAnsi="Arial" w:cs="Arial"/>
          <w:szCs w:val="24"/>
        </w:rPr>
        <w:t>Q.</w:t>
      </w:r>
      <w:r>
        <w:rPr>
          <w:rFonts w:ascii="Arial" w:hAnsi="Arial" w:cs="Arial"/>
          <w:szCs w:val="24"/>
        </w:rPr>
        <w:tab/>
      </w:r>
      <w:r w:rsidRPr="00345346">
        <w:rPr>
          <w:rFonts w:ascii="Arial" w:hAnsi="Arial" w:cs="Arial"/>
          <w:szCs w:val="24"/>
        </w:rPr>
        <w:t xml:space="preserve">What is the </w:t>
      </w:r>
      <w:r w:rsidR="002470FD">
        <w:rPr>
          <w:rFonts w:ascii="Arial" w:hAnsi="Arial" w:cs="Arial"/>
          <w:szCs w:val="24"/>
        </w:rPr>
        <w:t xml:space="preserve">A&amp;G </w:t>
      </w:r>
      <w:r w:rsidRPr="00345346">
        <w:rPr>
          <w:rFonts w:ascii="Arial" w:hAnsi="Arial" w:cs="Arial"/>
          <w:szCs w:val="24"/>
        </w:rPr>
        <w:t xml:space="preserve">benchmark variance associated with </w:t>
      </w:r>
      <w:r>
        <w:rPr>
          <w:rFonts w:ascii="Arial" w:hAnsi="Arial" w:cs="Arial"/>
          <w:szCs w:val="24"/>
        </w:rPr>
        <w:t>c</w:t>
      </w:r>
      <w:r w:rsidRPr="00345346">
        <w:rPr>
          <w:rFonts w:ascii="Arial" w:hAnsi="Arial" w:cs="Arial"/>
          <w:szCs w:val="24"/>
        </w:rPr>
        <w:t xml:space="preserve">ommitment </w:t>
      </w:r>
      <w:r>
        <w:rPr>
          <w:rFonts w:ascii="Arial" w:hAnsi="Arial" w:cs="Arial"/>
          <w:szCs w:val="24"/>
        </w:rPr>
        <w:t>f</w:t>
      </w:r>
      <w:r w:rsidRPr="00345346">
        <w:rPr>
          <w:rFonts w:ascii="Arial" w:hAnsi="Arial" w:cs="Arial"/>
          <w:szCs w:val="24"/>
        </w:rPr>
        <w:t>ees?</w:t>
      </w:r>
    </w:p>
    <w:p w:rsidR="003E373B" w:rsidRDefault="003E373B" w:rsidP="00DE7D73">
      <w:pPr>
        <w:spacing w:line="480" w:lineRule="atLeast"/>
        <w:ind w:left="720" w:hanging="720"/>
        <w:rPr>
          <w:rFonts w:ascii="Arial" w:hAnsi="Arial" w:cs="Arial"/>
          <w:szCs w:val="24"/>
        </w:rPr>
      </w:pPr>
      <w:r>
        <w:rPr>
          <w:rFonts w:ascii="Arial" w:hAnsi="Arial" w:cs="Arial"/>
          <w:szCs w:val="24"/>
        </w:rPr>
        <w:t>A.</w:t>
      </w:r>
      <w:r>
        <w:rPr>
          <w:rFonts w:ascii="Arial" w:hAnsi="Arial" w:cs="Arial"/>
          <w:szCs w:val="24"/>
        </w:rPr>
        <w:tab/>
        <w:t xml:space="preserve">The projected cost for commitment fees </w:t>
      </w:r>
      <w:r w:rsidR="00434A44">
        <w:rPr>
          <w:rFonts w:ascii="Arial" w:hAnsi="Arial" w:cs="Arial"/>
          <w:szCs w:val="24"/>
        </w:rPr>
        <w:t>is</w:t>
      </w:r>
      <w:r>
        <w:rPr>
          <w:rFonts w:ascii="Arial" w:hAnsi="Arial" w:cs="Arial"/>
          <w:szCs w:val="24"/>
        </w:rPr>
        <w:t xml:space="preserve"> $850,000</w:t>
      </w:r>
      <w:r w:rsidR="005E0A33">
        <w:rPr>
          <w:rFonts w:ascii="Arial" w:hAnsi="Arial" w:cs="Arial"/>
          <w:szCs w:val="24"/>
        </w:rPr>
        <w:t>,</w:t>
      </w:r>
      <w:r>
        <w:rPr>
          <w:rFonts w:ascii="Arial" w:hAnsi="Arial" w:cs="Arial"/>
          <w:szCs w:val="24"/>
        </w:rPr>
        <w:t xml:space="preserve"> which is $771,000 over the benchmark.</w:t>
      </w:r>
    </w:p>
    <w:p w:rsidR="004F3C52" w:rsidRDefault="004F3C52" w:rsidP="00DE7D73">
      <w:pPr>
        <w:spacing w:line="480" w:lineRule="atLeast"/>
        <w:ind w:left="720" w:hanging="720"/>
        <w:rPr>
          <w:rFonts w:ascii="Arial" w:hAnsi="Arial" w:cs="Arial"/>
          <w:szCs w:val="24"/>
        </w:rPr>
      </w:pPr>
    </w:p>
    <w:p w:rsidR="009B5B7D" w:rsidRDefault="003E373B" w:rsidP="00DE7D73">
      <w:pPr>
        <w:spacing w:line="480" w:lineRule="atLeast"/>
        <w:ind w:left="720" w:hanging="720"/>
        <w:rPr>
          <w:rFonts w:ascii="Arial" w:hAnsi="Arial" w:cs="Arial"/>
          <w:szCs w:val="24"/>
        </w:rPr>
      </w:pPr>
      <w:r>
        <w:rPr>
          <w:rFonts w:ascii="Arial" w:hAnsi="Arial" w:cs="Arial"/>
          <w:szCs w:val="24"/>
        </w:rPr>
        <w:t>Q.</w:t>
      </w:r>
      <w:r>
        <w:rPr>
          <w:rFonts w:ascii="Arial" w:hAnsi="Arial" w:cs="Arial"/>
          <w:szCs w:val="24"/>
        </w:rPr>
        <w:tab/>
      </w:r>
      <w:r w:rsidRPr="00345346">
        <w:rPr>
          <w:rFonts w:ascii="Arial" w:hAnsi="Arial" w:cs="Arial"/>
          <w:szCs w:val="24"/>
        </w:rPr>
        <w:t xml:space="preserve">Why are </w:t>
      </w:r>
      <w:r>
        <w:rPr>
          <w:rFonts w:ascii="Arial" w:hAnsi="Arial" w:cs="Arial"/>
          <w:szCs w:val="24"/>
        </w:rPr>
        <w:t>c</w:t>
      </w:r>
      <w:r w:rsidRPr="00345346">
        <w:rPr>
          <w:rFonts w:ascii="Arial" w:hAnsi="Arial" w:cs="Arial"/>
          <w:szCs w:val="24"/>
        </w:rPr>
        <w:t xml:space="preserve">ommitment </w:t>
      </w:r>
      <w:r>
        <w:rPr>
          <w:rFonts w:ascii="Arial" w:hAnsi="Arial" w:cs="Arial"/>
          <w:szCs w:val="24"/>
        </w:rPr>
        <w:t>f</w:t>
      </w:r>
      <w:r w:rsidRPr="00345346">
        <w:rPr>
          <w:rFonts w:ascii="Arial" w:hAnsi="Arial" w:cs="Arial"/>
          <w:szCs w:val="24"/>
        </w:rPr>
        <w:t>ees contributing to the benchmark variance?</w:t>
      </w:r>
    </w:p>
    <w:p w:rsidR="009B5B7D" w:rsidRDefault="003E373B" w:rsidP="00DE7D73">
      <w:pPr>
        <w:spacing w:line="480" w:lineRule="atLeast"/>
        <w:ind w:left="720" w:hanging="720"/>
        <w:rPr>
          <w:rFonts w:ascii="Arial" w:hAnsi="Arial" w:cs="Arial"/>
          <w:szCs w:val="24"/>
        </w:rPr>
      </w:pPr>
      <w:r>
        <w:rPr>
          <w:rFonts w:ascii="Arial" w:hAnsi="Arial" w:cs="Arial"/>
          <w:szCs w:val="24"/>
        </w:rPr>
        <w:t>A.</w:t>
      </w:r>
      <w:r>
        <w:rPr>
          <w:rFonts w:ascii="Arial" w:hAnsi="Arial" w:cs="Arial"/>
          <w:szCs w:val="24"/>
        </w:rPr>
        <w:tab/>
      </w:r>
      <w:r w:rsidRPr="00345346">
        <w:rPr>
          <w:rFonts w:ascii="Arial" w:hAnsi="Arial" w:cs="Arial"/>
          <w:szCs w:val="24"/>
        </w:rPr>
        <w:t xml:space="preserve">The increase in </w:t>
      </w:r>
      <w:r>
        <w:rPr>
          <w:rFonts w:ascii="Arial" w:hAnsi="Arial" w:cs="Arial"/>
          <w:szCs w:val="24"/>
        </w:rPr>
        <w:t>c</w:t>
      </w:r>
      <w:r w:rsidRPr="00345346">
        <w:rPr>
          <w:rFonts w:ascii="Arial" w:hAnsi="Arial" w:cs="Arial"/>
          <w:szCs w:val="24"/>
        </w:rPr>
        <w:t xml:space="preserve">ommitment </w:t>
      </w:r>
      <w:r>
        <w:rPr>
          <w:rFonts w:ascii="Arial" w:hAnsi="Arial" w:cs="Arial"/>
          <w:szCs w:val="24"/>
        </w:rPr>
        <w:t>f</w:t>
      </w:r>
      <w:r w:rsidRPr="00345346">
        <w:rPr>
          <w:rFonts w:ascii="Arial" w:hAnsi="Arial" w:cs="Arial"/>
          <w:szCs w:val="24"/>
        </w:rPr>
        <w:t xml:space="preserve">ees is a result of two factors.  These factors </w:t>
      </w:r>
      <w:r>
        <w:rPr>
          <w:rFonts w:ascii="Arial" w:hAnsi="Arial" w:cs="Arial"/>
          <w:szCs w:val="24"/>
        </w:rPr>
        <w:t>include</w:t>
      </w:r>
      <w:r w:rsidRPr="00345346">
        <w:rPr>
          <w:rFonts w:ascii="Arial" w:hAnsi="Arial" w:cs="Arial"/>
          <w:szCs w:val="24"/>
        </w:rPr>
        <w:t xml:space="preserve"> an increase in the total lines of credit and an increase in the fees charged by banks for the lines of credit.</w:t>
      </w:r>
    </w:p>
    <w:p w:rsidR="009B5B7D" w:rsidRDefault="009B5B7D" w:rsidP="00DE7D73">
      <w:pPr>
        <w:spacing w:line="480" w:lineRule="atLeast"/>
        <w:ind w:left="720" w:hanging="720"/>
        <w:rPr>
          <w:rFonts w:ascii="Arial" w:hAnsi="Arial" w:cs="Arial"/>
          <w:szCs w:val="24"/>
        </w:rPr>
      </w:pPr>
    </w:p>
    <w:p w:rsidR="009B5B7D" w:rsidRDefault="003E373B" w:rsidP="00DE7D73">
      <w:pPr>
        <w:spacing w:line="480" w:lineRule="atLeast"/>
        <w:ind w:left="720" w:hanging="720"/>
        <w:rPr>
          <w:rFonts w:ascii="Arial" w:hAnsi="Arial" w:cs="Arial"/>
          <w:szCs w:val="24"/>
        </w:rPr>
      </w:pPr>
      <w:r>
        <w:rPr>
          <w:rFonts w:ascii="Arial" w:hAnsi="Arial" w:cs="Arial"/>
          <w:szCs w:val="24"/>
        </w:rPr>
        <w:t>Q.</w:t>
      </w:r>
      <w:r>
        <w:rPr>
          <w:rFonts w:ascii="Arial" w:hAnsi="Arial" w:cs="Arial"/>
          <w:szCs w:val="24"/>
        </w:rPr>
        <w:tab/>
      </w:r>
      <w:r w:rsidRPr="00345346">
        <w:rPr>
          <w:rFonts w:ascii="Arial" w:hAnsi="Arial" w:cs="Arial"/>
          <w:szCs w:val="24"/>
        </w:rPr>
        <w:t xml:space="preserve">Please explain why Gulf has increased the total lines of credit since the </w:t>
      </w:r>
      <w:r>
        <w:rPr>
          <w:rFonts w:ascii="Arial" w:hAnsi="Arial" w:cs="Arial"/>
          <w:szCs w:val="24"/>
        </w:rPr>
        <w:t xml:space="preserve">prior </w:t>
      </w:r>
      <w:r w:rsidRPr="00345346">
        <w:rPr>
          <w:rFonts w:ascii="Arial" w:hAnsi="Arial" w:cs="Arial"/>
          <w:szCs w:val="24"/>
        </w:rPr>
        <w:t>test year.</w:t>
      </w:r>
    </w:p>
    <w:p w:rsidR="009413ED" w:rsidRDefault="003E373B" w:rsidP="00DE7D73">
      <w:pPr>
        <w:spacing w:line="480" w:lineRule="atLeast"/>
        <w:ind w:left="720" w:hanging="720"/>
        <w:rPr>
          <w:rFonts w:ascii="Arial" w:hAnsi="Arial" w:cs="Arial"/>
          <w:szCs w:val="24"/>
        </w:rPr>
      </w:pPr>
      <w:r>
        <w:rPr>
          <w:rFonts w:ascii="Arial" w:hAnsi="Arial" w:cs="Arial"/>
        </w:rPr>
        <w:t>A.</w:t>
      </w:r>
      <w:r>
        <w:rPr>
          <w:rFonts w:ascii="Arial" w:hAnsi="Arial" w:cs="Arial"/>
        </w:rPr>
        <w:tab/>
      </w:r>
      <w:r w:rsidRPr="00345346">
        <w:rPr>
          <w:rFonts w:ascii="Arial" w:hAnsi="Arial" w:cs="Arial"/>
          <w:szCs w:val="24"/>
        </w:rPr>
        <w:t>Gulf currently has $240</w:t>
      </w:r>
      <w:r w:rsidR="00B22F95">
        <w:rPr>
          <w:rFonts w:ascii="Arial" w:hAnsi="Arial" w:cs="Arial"/>
          <w:szCs w:val="24"/>
        </w:rPr>
        <w:t xml:space="preserve"> million</w:t>
      </w:r>
      <w:r w:rsidRPr="00345346">
        <w:rPr>
          <w:rFonts w:ascii="Arial" w:hAnsi="Arial" w:cs="Arial"/>
          <w:szCs w:val="24"/>
        </w:rPr>
        <w:t xml:space="preserve"> in committed lines of credit.  In April 2003, Gulf had $66</w:t>
      </w:r>
      <w:r w:rsidR="00B22F95">
        <w:rPr>
          <w:rFonts w:ascii="Arial" w:hAnsi="Arial" w:cs="Arial"/>
          <w:szCs w:val="24"/>
        </w:rPr>
        <w:t xml:space="preserve"> million </w:t>
      </w:r>
      <w:r w:rsidRPr="00345346">
        <w:rPr>
          <w:rFonts w:ascii="Arial" w:hAnsi="Arial" w:cs="Arial"/>
          <w:szCs w:val="24"/>
        </w:rPr>
        <w:t xml:space="preserve">in committed lines of credit. This is an increase of </w:t>
      </w:r>
      <w:r w:rsidRPr="00345346">
        <w:rPr>
          <w:rFonts w:ascii="Arial" w:hAnsi="Arial" w:cs="Arial"/>
          <w:szCs w:val="24"/>
        </w:rPr>
        <w:lastRenderedPageBreak/>
        <w:t>$174</w:t>
      </w:r>
      <w:r w:rsidR="00B22F95">
        <w:rPr>
          <w:rFonts w:ascii="Arial" w:hAnsi="Arial" w:cs="Arial"/>
          <w:szCs w:val="24"/>
        </w:rPr>
        <w:t xml:space="preserve"> million </w:t>
      </w:r>
      <w:r w:rsidRPr="00345346">
        <w:rPr>
          <w:rFonts w:ascii="Arial" w:hAnsi="Arial" w:cs="Arial"/>
          <w:szCs w:val="24"/>
        </w:rPr>
        <w:t xml:space="preserve">since 2003.  The Company has obtained additional lines of credit for </w:t>
      </w:r>
      <w:r w:rsidR="00434A44" w:rsidRPr="00345346">
        <w:rPr>
          <w:rFonts w:ascii="Arial" w:hAnsi="Arial" w:cs="Arial"/>
          <w:szCs w:val="24"/>
        </w:rPr>
        <w:t>three</w:t>
      </w:r>
      <w:r w:rsidRPr="00345346">
        <w:rPr>
          <w:rFonts w:ascii="Arial" w:hAnsi="Arial" w:cs="Arial"/>
          <w:szCs w:val="24"/>
        </w:rPr>
        <w:t xml:space="preserve"> reasons.  </w:t>
      </w:r>
    </w:p>
    <w:p w:rsidR="009413ED" w:rsidRDefault="009413ED" w:rsidP="00DE7D73">
      <w:pPr>
        <w:spacing w:line="480" w:lineRule="atLeast"/>
        <w:ind w:left="720" w:hanging="720"/>
        <w:rPr>
          <w:rFonts w:ascii="Arial" w:hAnsi="Arial" w:cs="Arial"/>
          <w:szCs w:val="24"/>
        </w:rPr>
      </w:pPr>
    </w:p>
    <w:p w:rsidR="00361458" w:rsidRDefault="003E373B" w:rsidP="0051403E">
      <w:pPr>
        <w:spacing w:line="480" w:lineRule="atLeast"/>
        <w:ind w:left="720"/>
        <w:rPr>
          <w:rFonts w:ascii="Arial" w:hAnsi="Arial" w:cs="Arial"/>
          <w:szCs w:val="24"/>
        </w:rPr>
      </w:pPr>
      <w:r w:rsidRPr="00345346">
        <w:rPr>
          <w:rFonts w:ascii="Arial" w:hAnsi="Arial" w:cs="Arial"/>
          <w:szCs w:val="24"/>
        </w:rPr>
        <w:t xml:space="preserve">First, lines of credit are required to provide </w:t>
      </w:r>
      <w:r w:rsidR="00361458" w:rsidRPr="0051403E">
        <w:rPr>
          <w:rFonts w:ascii="Arial" w:hAnsi="Arial" w:cs="Arial"/>
          <w:szCs w:val="24"/>
        </w:rPr>
        <w:t>back-up</w:t>
      </w:r>
      <w:r w:rsidR="00FE7BAA" w:rsidRPr="00345346">
        <w:rPr>
          <w:rFonts w:ascii="Arial" w:hAnsi="Arial" w:cs="Arial"/>
          <w:szCs w:val="24"/>
        </w:rPr>
        <w:t xml:space="preserve"> </w:t>
      </w:r>
      <w:r w:rsidRPr="00345346">
        <w:rPr>
          <w:rFonts w:ascii="Arial" w:hAnsi="Arial" w:cs="Arial"/>
          <w:szCs w:val="24"/>
        </w:rPr>
        <w:t xml:space="preserve">support for </w:t>
      </w:r>
      <w:bookmarkStart w:id="0" w:name="_Hlk294536397"/>
      <w:r w:rsidR="00DB2C5E">
        <w:rPr>
          <w:rFonts w:ascii="Arial" w:hAnsi="Arial" w:cs="Arial"/>
          <w:szCs w:val="24"/>
        </w:rPr>
        <w:t xml:space="preserve">          </w:t>
      </w:r>
      <w:r w:rsidRPr="00345346">
        <w:rPr>
          <w:rFonts w:ascii="Arial" w:hAnsi="Arial" w:cs="Arial"/>
          <w:szCs w:val="24"/>
        </w:rPr>
        <w:t>$65</w:t>
      </w:r>
      <w:r w:rsidR="00B22F95">
        <w:rPr>
          <w:rFonts w:ascii="Arial" w:hAnsi="Arial" w:cs="Arial"/>
          <w:szCs w:val="24"/>
        </w:rPr>
        <w:t>.</w:t>
      </w:r>
      <w:r>
        <w:rPr>
          <w:rFonts w:ascii="Arial" w:hAnsi="Arial" w:cs="Arial"/>
          <w:szCs w:val="24"/>
        </w:rPr>
        <w:t>4</w:t>
      </w:r>
      <w:r w:rsidR="00B22F95">
        <w:rPr>
          <w:rFonts w:ascii="Arial" w:hAnsi="Arial" w:cs="Arial"/>
          <w:szCs w:val="24"/>
        </w:rPr>
        <w:t xml:space="preserve"> million</w:t>
      </w:r>
      <w:bookmarkEnd w:id="0"/>
      <w:r w:rsidRPr="00345346">
        <w:rPr>
          <w:rFonts w:ascii="Arial" w:hAnsi="Arial" w:cs="Arial"/>
          <w:szCs w:val="24"/>
        </w:rPr>
        <w:t xml:space="preserve"> in daily rate Pollution Control Revenue Bonds (PCBs) that were issued in 2009.  These PCBs are marketed daily at rates that </w:t>
      </w:r>
      <w:r w:rsidR="0056135D">
        <w:rPr>
          <w:rFonts w:ascii="Arial" w:hAnsi="Arial" w:cs="Arial"/>
          <w:szCs w:val="24"/>
        </w:rPr>
        <w:t xml:space="preserve">are </w:t>
      </w:r>
      <w:r w:rsidRPr="00345346">
        <w:rPr>
          <w:rFonts w:ascii="Arial" w:hAnsi="Arial" w:cs="Arial"/>
          <w:szCs w:val="24"/>
        </w:rPr>
        <w:t>considerably less than Gulf’s fixed rate outstanding long-term debt.</w:t>
      </w:r>
      <w:r w:rsidR="003126DF">
        <w:rPr>
          <w:rFonts w:ascii="Arial" w:hAnsi="Arial" w:cs="Arial"/>
          <w:szCs w:val="24"/>
        </w:rPr>
        <w:t xml:space="preserve">  These lower </w:t>
      </w:r>
      <w:r w:rsidR="00EE430B">
        <w:rPr>
          <w:rFonts w:ascii="Arial" w:hAnsi="Arial" w:cs="Arial"/>
          <w:szCs w:val="24"/>
        </w:rPr>
        <w:t xml:space="preserve">interest </w:t>
      </w:r>
      <w:r w:rsidR="003126DF">
        <w:rPr>
          <w:rFonts w:ascii="Arial" w:hAnsi="Arial" w:cs="Arial"/>
          <w:szCs w:val="24"/>
        </w:rPr>
        <w:t>rates</w:t>
      </w:r>
      <w:r w:rsidR="00EE430B">
        <w:rPr>
          <w:rFonts w:ascii="Arial" w:hAnsi="Arial" w:cs="Arial"/>
          <w:szCs w:val="24"/>
        </w:rPr>
        <w:t xml:space="preserve"> more than offset the commitment fees associated with the lines of credit,</w:t>
      </w:r>
      <w:r w:rsidR="003126DF">
        <w:rPr>
          <w:rFonts w:ascii="Arial" w:hAnsi="Arial" w:cs="Arial"/>
          <w:szCs w:val="24"/>
        </w:rPr>
        <w:t xml:space="preserve"> result</w:t>
      </w:r>
      <w:r w:rsidR="00EE430B">
        <w:rPr>
          <w:rFonts w:ascii="Arial" w:hAnsi="Arial" w:cs="Arial"/>
          <w:szCs w:val="24"/>
        </w:rPr>
        <w:t>ing</w:t>
      </w:r>
      <w:r w:rsidR="003126DF">
        <w:rPr>
          <w:rFonts w:ascii="Arial" w:hAnsi="Arial" w:cs="Arial"/>
          <w:szCs w:val="24"/>
        </w:rPr>
        <w:t xml:space="preserve"> in lower overall </w:t>
      </w:r>
      <w:r w:rsidR="00413932">
        <w:rPr>
          <w:rFonts w:ascii="Arial" w:hAnsi="Arial" w:cs="Arial"/>
          <w:szCs w:val="24"/>
        </w:rPr>
        <w:t>capital costs</w:t>
      </w:r>
      <w:r w:rsidR="00EE430B">
        <w:rPr>
          <w:rFonts w:ascii="Arial" w:hAnsi="Arial" w:cs="Arial"/>
          <w:szCs w:val="24"/>
        </w:rPr>
        <w:t xml:space="preserve"> which benefits customers</w:t>
      </w:r>
      <w:r w:rsidR="003126DF">
        <w:rPr>
          <w:rFonts w:ascii="Arial" w:hAnsi="Arial" w:cs="Arial"/>
          <w:szCs w:val="24"/>
        </w:rPr>
        <w:t>.</w:t>
      </w:r>
    </w:p>
    <w:p w:rsidR="000F5FA6" w:rsidRDefault="000F5FA6" w:rsidP="00DE7D73">
      <w:pPr>
        <w:spacing w:line="480" w:lineRule="atLeast"/>
        <w:ind w:left="720"/>
        <w:rPr>
          <w:rFonts w:ascii="Arial" w:hAnsi="Arial" w:cs="Arial"/>
          <w:szCs w:val="24"/>
        </w:rPr>
      </w:pPr>
    </w:p>
    <w:p w:rsidR="0072435D" w:rsidRDefault="003E373B" w:rsidP="0051403E">
      <w:pPr>
        <w:spacing w:line="480" w:lineRule="atLeast"/>
        <w:ind w:left="720"/>
        <w:rPr>
          <w:rFonts w:ascii="Arial" w:hAnsi="Arial" w:cs="Arial"/>
          <w:szCs w:val="24"/>
        </w:rPr>
      </w:pPr>
      <w:r w:rsidRPr="00345346">
        <w:rPr>
          <w:rFonts w:ascii="Arial" w:hAnsi="Arial" w:cs="Arial"/>
          <w:szCs w:val="24"/>
        </w:rPr>
        <w:t>Second, Gulf’s commercial paper program has increased in size from</w:t>
      </w:r>
      <w:r w:rsidR="00DB2C5E">
        <w:rPr>
          <w:rFonts w:ascii="Arial" w:hAnsi="Arial" w:cs="Arial"/>
          <w:szCs w:val="24"/>
        </w:rPr>
        <w:t xml:space="preserve">  </w:t>
      </w:r>
      <w:r w:rsidRPr="00345346">
        <w:rPr>
          <w:rFonts w:ascii="Arial" w:hAnsi="Arial" w:cs="Arial"/>
          <w:szCs w:val="24"/>
        </w:rPr>
        <w:t xml:space="preserve"> $60</w:t>
      </w:r>
      <w:r w:rsidR="00B22F95">
        <w:rPr>
          <w:rFonts w:ascii="Arial" w:hAnsi="Arial" w:cs="Arial"/>
          <w:szCs w:val="24"/>
        </w:rPr>
        <w:t xml:space="preserve"> million</w:t>
      </w:r>
      <w:r w:rsidRPr="00345346">
        <w:rPr>
          <w:rFonts w:ascii="Arial" w:hAnsi="Arial" w:cs="Arial"/>
          <w:szCs w:val="24"/>
        </w:rPr>
        <w:t xml:space="preserve"> when it was originally </w:t>
      </w:r>
      <w:r w:rsidR="00483BFD">
        <w:rPr>
          <w:rFonts w:ascii="Arial" w:hAnsi="Arial" w:cs="Arial"/>
          <w:szCs w:val="24"/>
        </w:rPr>
        <w:t>established</w:t>
      </w:r>
      <w:r w:rsidR="00483BFD" w:rsidRPr="00345346">
        <w:rPr>
          <w:rFonts w:ascii="Arial" w:hAnsi="Arial" w:cs="Arial"/>
          <w:szCs w:val="24"/>
        </w:rPr>
        <w:t xml:space="preserve"> </w:t>
      </w:r>
      <w:r w:rsidRPr="00345346">
        <w:rPr>
          <w:rFonts w:ascii="Arial" w:hAnsi="Arial" w:cs="Arial"/>
          <w:szCs w:val="24"/>
        </w:rPr>
        <w:t>in 2001 to $150</w:t>
      </w:r>
      <w:r w:rsidR="00B22F95">
        <w:rPr>
          <w:rFonts w:ascii="Arial" w:hAnsi="Arial" w:cs="Arial"/>
          <w:szCs w:val="24"/>
        </w:rPr>
        <w:t xml:space="preserve"> million</w:t>
      </w:r>
      <w:r w:rsidRPr="00345346">
        <w:rPr>
          <w:rFonts w:ascii="Arial" w:hAnsi="Arial" w:cs="Arial"/>
          <w:szCs w:val="24"/>
        </w:rPr>
        <w:t xml:space="preserve"> in 20</w:t>
      </w:r>
      <w:r>
        <w:rPr>
          <w:rFonts w:ascii="Arial" w:hAnsi="Arial" w:cs="Arial"/>
          <w:szCs w:val="24"/>
        </w:rPr>
        <w:t>10</w:t>
      </w:r>
      <w:r w:rsidRPr="00345346">
        <w:rPr>
          <w:rFonts w:ascii="Arial" w:hAnsi="Arial" w:cs="Arial"/>
          <w:szCs w:val="24"/>
        </w:rPr>
        <w:t>.  The commercial paper program allows Gulf to borrow funds for the short-term at competitive rates</w:t>
      </w:r>
      <w:r w:rsidR="00361458" w:rsidRPr="0051403E">
        <w:rPr>
          <w:rFonts w:ascii="Arial" w:hAnsi="Arial" w:cs="Arial"/>
          <w:szCs w:val="24"/>
        </w:rPr>
        <w:t>, and lines of credit are required as back-up support for the program.  G</w:t>
      </w:r>
      <w:r w:rsidR="00264685">
        <w:rPr>
          <w:rFonts w:ascii="Arial" w:hAnsi="Arial" w:cs="Arial"/>
          <w:szCs w:val="24"/>
        </w:rPr>
        <w:t>ulf’s t</w:t>
      </w:r>
      <w:r w:rsidR="00434A44" w:rsidRPr="00345346">
        <w:rPr>
          <w:rFonts w:ascii="Arial" w:hAnsi="Arial" w:cs="Arial"/>
          <w:szCs w:val="24"/>
        </w:rPr>
        <w:t>otal</w:t>
      </w:r>
      <w:r w:rsidRPr="00345346">
        <w:rPr>
          <w:rFonts w:ascii="Arial" w:hAnsi="Arial" w:cs="Arial"/>
          <w:szCs w:val="24"/>
        </w:rPr>
        <w:t xml:space="preserve"> capitalization has increased from $</w:t>
      </w:r>
      <w:r w:rsidR="00B22F95">
        <w:rPr>
          <w:rFonts w:ascii="Arial" w:hAnsi="Arial" w:cs="Arial"/>
          <w:szCs w:val="24"/>
        </w:rPr>
        <w:t>1.4 billion</w:t>
      </w:r>
      <w:r>
        <w:rPr>
          <w:rFonts w:ascii="Arial" w:hAnsi="Arial" w:cs="Arial"/>
          <w:szCs w:val="24"/>
        </w:rPr>
        <w:t xml:space="preserve"> </w:t>
      </w:r>
      <w:r w:rsidRPr="00345346">
        <w:rPr>
          <w:rFonts w:ascii="Arial" w:hAnsi="Arial" w:cs="Arial"/>
          <w:szCs w:val="24"/>
        </w:rPr>
        <w:t>in the previous test year to $</w:t>
      </w:r>
      <w:r>
        <w:rPr>
          <w:rFonts w:ascii="Arial" w:hAnsi="Arial" w:cs="Arial"/>
          <w:szCs w:val="24"/>
        </w:rPr>
        <w:t>3</w:t>
      </w:r>
      <w:r w:rsidR="00B22F95">
        <w:rPr>
          <w:rFonts w:ascii="Arial" w:hAnsi="Arial" w:cs="Arial"/>
          <w:szCs w:val="24"/>
        </w:rPr>
        <w:t>.2 billion</w:t>
      </w:r>
      <w:r w:rsidRPr="00345346">
        <w:rPr>
          <w:rFonts w:ascii="Arial" w:hAnsi="Arial" w:cs="Arial"/>
          <w:szCs w:val="24"/>
        </w:rPr>
        <w:t xml:space="preserve"> </w:t>
      </w:r>
      <w:r w:rsidR="0056135D">
        <w:rPr>
          <w:rFonts w:ascii="Arial" w:hAnsi="Arial" w:cs="Arial"/>
          <w:szCs w:val="24"/>
        </w:rPr>
        <w:t>in</w:t>
      </w:r>
      <w:r w:rsidRPr="00345346">
        <w:rPr>
          <w:rFonts w:ascii="Arial" w:hAnsi="Arial" w:cs="Arial"/>
          <w:szCs w:val="24"/>
        </w:rPr>
        <w:t xml:space="preserve"> the 2012 test year.  </w:t>
      </w:r>
      <w:r w:rsidR="00483BFD">
        <w:rPr>
          <w:rFonts w:ascii="Arial" w:hAnsi="Arial" w:cs="Arial"/>
          <w:szCs w:val="24"/>
        </w:rPr>
        <w:t>With this</w:t>
      </w:r>
      <w:r w:rsidR="00483BFD" w:rsidRPr="00345346">
        <w:rPr>
          <w:rFonts w:ascii="Arial" w:hAnsi="Arial" w:cs="Arial"/>
          <w:szCs w:val="24"/>
        </w:rPr>
        <w:t xml:space="preserve"> </w:t>
      </w:r>
      <w:r w:rsidRPr="00345346">
        <w:rPr>
          <w:rFonts w:ascii="Arial" w:hAnsi="Arial" w:cs="Arial"/>
          <w:szCs w:val="24"/>
        </w:rPr>
        <w:t xml:space="preserve">increase in total capitalization </w:t>
      </w:r>
      <w:r w:rsidR="00483BFD">
        <w:rPr>
          <w:rFonts w:ascii="Arial" w:hAnsi="Arial" w:cs="Arial"/>
          <w:szCs w:val="24"/>
        </w:rPr>
        <w:t>comes</w:t>
      </w:r>
      <w:r w:rsidRPr="00345346">
        <w:rPr>
          <w:rFonts w:ascii="Arial" w:hAnsi="Arial" w:cs="Arial"/>
          <w:szCs w:val="24"/>
        </w:rPr>
        <w:t xml:space="preserve"> the need for an increase in the amount of short-term debt </w:t>
      </w:r>
      <w:r w:rsidR="00483BFD">
        <w:rPr>
          <w:rFonts w:ascii="Arial" w:hAnsi="Arial" w:cs="Arial"/>
          <w:szCs w:val="24"/>
        </w:rPr>
        <w:t xml:space="preserve">that the Company may issue, </w:t>
      </w:r>
      <w:r w:rsidRPr="00345346">
        <w:rPr>
          <w:rFonts w:ascii="Arial" w:hAnsi="Arial" w:cs="Arial"/>
          <w:szCs w:val="24"/>
        </w:rPr>
        <w:t>and thus a larger commercial paper program.</w:t>
      </w:r>
      <w:r w:rsidR="000E4A5D">
        <w:rPr>
          <w:rFonts w:ascii="Arial" w:hAnsi="Arial" w:cs="Arial"/>
          <w:szCs w:val="24"/>
        </w:rPr>
        <w:t xml:space="preserve">  </w:t>
      </w:r>
      <w:r w:rsidR="0056135D">
        <w:rPr>
          <w:rFonts w:ascii="Arial" w:hAnsi="Arial" w:cs="Arial"/>
          <w:szCs w:val="24"/>
        </w:rPr>
        <w:t>Including an appropriate amount of</w:t>
      </w:r>
    </w:p>
    <w:p w:rsidR="00361458" w:rsidRDefault="0056135D" w:rsidP="0051403E">
      <w:pPr>
        <w:spacing w:line="480" w:lineRule="atLeast"/>
        <w:ind w:left="720"/>
        <w:rPr>
          <w:rFonts w:ascii="Arial" w:hAnsi="Arial" w:cs="Arial"/>
          <w:szCs w:val="24"/>
        </w:rPr>
      </w:pPr>
      <w:proofErr w:type="gramStart"/>
      <w:r>
        <w:rPr>
          <w:rFonts w:ascii="Arial" w:hAnsi="Arial" w:cs="Arial"/>
          <w:szCs w:val="24"/>
        </w:rPr>
        <w:t>short-term</w:t>
      </w:r>
      <w:proofErr w:type="gramEnd"/>
      <w:r>
        <w:rPr>
          <w:rFonts w:ascii="Arial" w:hAnsi="Arial" w:cs="Arial"/>
          <w:szCs w:val="24"/>
        </w:rPr>
        <w:t xml:space="preserve"> debt in the capital structure results in lower overall interest costs compared to the use of only debt with longer maturities.</w:t>
      </w:r>
    </w:p>
    <w:p w:rsidR="000F5FA6" w:rsidRDefault="000F5FA6" w:rsidP="00DE7D73">
      <w:pPr>
        <w:spacing w:line="480" w:lineRule="atLeast"/>
        <w:ind w:left="720"/>
        <w:rPr>
          <w:rFonts w:ascii="Arial" w:hAnsi="Arial" w:cs="Arial"/>
          <w:szCs w:val="24"/>
        </w:rPr>
      </w:pPr>
    </w:p>
    <w:p w:rsidR="00361458" w:rsidRDefault="00483BFD" w:rsidP="0051403E">
      <w:pPr>
        <w:spacing w:line="480" w:lineRule="atLeast"/>
        <w:ind w:left="720"/>
        <w:rPr>
          <w:rFonts w:ascii="Arial" w:hAnsi="Arial" w:cs="Arial"/>
          <w:szCs w:val="24"/>
        </w:rPr>
      </w:pPr>
      <w:r>
        <w:rPr>
          <w:rFonts w:ascii="Arial" w:hAnsi="Arial" w:cs="Arial"/>
          <w:szCs w:val="24"/>
        </w:rPr>
        <w:t>Third</w:t>
      </w:r>
      <w:r w:rsidR="003E373B" w:rsidRPr="00345346">
        <w:rPr>
          <w:rFonts w:ascii="Arial" w:hAnsi="Arial" w:cs="Arial"/>
          <w:szCs w:val="24"/>
        </w:rPr>
        <w:t xml:space="preserve">, due to the instability in the financial markets since 2008, Gulf has </w:t>
      </w:r>
      <w:r w:rsidR="00B640A6">
        <w:rPr>
          <w:rFonts w:ascii="Arial" w:hAnsi="Arial" w:cs="Arial"/>
          <w:szCs w:val="24"/>
        </w:rPr>
        <w:t xml:space="preserve">increased its liquidity protection by obtaining additional </w:t>
      </w:r>
      <w:r w:rsidR="00361458" w:rsidRPr="0051403E">
        <w:rPr>
          <w:rFonts w:ascii="Arial" w:hAnsi="Arial" w:cs="Arial"/>
          <w:szCs w:val="24"/>
        </w:rPr>
        <w:t>lines of credit.</w:t>
      </w:r>
    </w:p>
    <w:p w:rsidR="009B5B7D" w:rsidRDefault="003E373B" w:rsidP="00DE7D73">
      <w:pPr>
        <w:spacing w:line="480" w:lineRule="atLeast"/>
        <w:ind w:left="720" w:hanging="720"/>
        <w:rPr>
          <w:rFonts w:ascii="Arial" w:hAnsi="Arial" w:cs="Arial"/>
          <w:szCs w:val="24"/>
        </w:rPr>
      </w:pPr>
      <w:r>
        <w:rPr>
          <w:rFonts w:ascii="Arial" w:hAnsi="Arial" w:cs="Arial"/>
          <w:szCs w:val="24"/>
        </w:rPr>
        <w:lastRenderedPageBreak/>
        <w:t>Q.</w:t>
      </w:r>
      <w:r>
        <w:rPr>
          <w:rFonts w:ascii="Arial" w:hAnsi="Arial" w:cs="Arial"/>
          <w:szCs w:val="24"/>
        </w:rPr>
        <w:tab/>
      </w:r>
      <w:r w:rsidRPr="00345346">
        <w:rPr>
          <w:rFonts w:ascii="Arial" w:hAnsi="Arial" w:cs="Arial"/>
          <w:szCs w:val="24"/>
        </w:rPr>
        <w:t xml:space="preserve">How are </w:t>
      </w:r>
      <w:proofErr w:type="gramStart"/>
      <w:r>
        <w:rPr>
          <w:rFonts w:ascii="Arial" w:hAnsi="Arial" w:cs="Arial"/>
          <w:szCs w:val="24"/>
        </w:rPr>
        <w:t>c</w:t>
      </w:r>
      <w:r w:rsidRPr="00345346">
        <w:rPr>
          <w:rFonts w:ascii="Arial" w:hAnsi="Arial" w:cs="Arial"/>
          <w:szCs w:val="24"/>
        </w:rPr>
        <w:t>ommitment</w:t>
      </w:r>
      <w:proofErr w:type="gramEnd"/>
      <w:r w:rsidRPr="00345346">
        <w:rPr>
          <w:rFonts w:ascii="Arial" w:hAnsi="Arial" w:cs="Arial"/>
          <w:szCs w:val="24"/>
        </w:rPr>
        <w:t xml:space="preserve"> fees calculated and priced?</w:t>
      </w:r>
    </w:p>
    <w:p w:rsidR="009413ED" w:rsidRDefault="003E373B" w:rsidP="00DE7D73">
      <w:pPr>
        <w:spacing w:line="480" w:lineRule="atLeast"/>
        <w:ind w:left="720" w:hanging="720"/>
        <w:rPr>
          <w:rFonts w:ascii="Arial" w:hAnsi="Arial" w:cs="Arial"/>
          <w:szCs w:val="24"/>
        </w:rPr>
      </w:pPr>
      <w:r>
        <w:rPr>
          <w:rFonts w:ascii="Arial" w:hAnsi="Arial" w:cs="Arial"/>
          <w:szCs w:val="24"/>
        </w:rPr>
        <w:t>A.</w:t>
      </w:r>
      <w:r>
        <w:rPr>
          <w:rFonts w:ascii="Arial" w:hAnsi="Arial" w:cs="Arial"/>
          <w:szCs w:val="24"/>
        </w:rPr>
        <w:tab/>
      </w:r>
      <w:r w:rsidRPr="00345346">
        <w:rPr>
          <w:rFonts w:ascii="Arial" w:hAnsi="Arial" w:cs="Arial"/>
          <w:szCs w:val="24"/>
        </w:rPr>
        <w:t xml:space="preserve">Commitment fees are generally comprised of two components, an upfront fee for entering into the agreement and an unused fee (a fee for the bank’s commitment to make the credit available).  Both </w:t>
      </w:r>
      <w:r w:rsidR="009413ED">
        <w:rPr>
          <w:rFonts w:ascii="Arial" w:hAnsi="Arial" w:cs="Arial"/>
          <w:szCs w:val="24"/>
        </w:rPr>
        <w:t xml:space="preserve">components </w:t>
      </w:r>
      <w:r w:rsidRPr="00345346">
        <w:rPr>
          <w:rFonts w:ascii="Arial" w:hAnsi="Arial" w:cs="Arial"/>
          <w:szCs w:val="24"/>
        </w:rPr>
        <w:t>are typically calculated as a percentage of the committed line of credit.</w:t>
      </w:r>
    </w:p>
    <w:p w:rsidR="009413ED" w:rsidRDefault="009413ED" w:rsidP="00DE7D73">
      <w:pPr>
        <w:spacing w:line="480" w:lineRule="atLeast"/>
        <w:ind w:left="720" w:hanging="720"/>
        <w:rPr>
          <w:rFonts w:ascii="Arial" w:hAnsi="Arial" w:cs="Arial"/>
          <w:szCs w:val="24"/>
        </w:rPr>
      </w:pPr>
    </w:p>
    <w:p w:rsidR="00361458" w:rsidRDefault="003E373B" w:rsidP="0051403E">
      <w:pPr>
        <w:spacing w:line="480" w:lineRule="atLeast"/>
        <w:ind w:left="720"/>
        <w:rPr>
          <w:rFonts w:ascii="Arial" w:hAnsi="Arial" w:cs="Arial"/>
          <w:szCs w:val="24"/>
        </w:rPr>
      </w:pPr>
      <w:r w:rsidRPr="00345346">
        <w:rPr>
          <w:rFonts w:ascii="Arial" w:hAnsi="Arial" w:cs="Arial"/>
          <w:szCs w:val="24"/>
        </w:rPr>
        <w:t>Commitment fees are market driven</w:t>
      </w:r>
      <w:r w:rsidR="00361458" w:rsidRPr="0051403E">
        <w:rPr>
          <w:rFonts w:ascii="Arial" w:hAnsi="Arial" w:cs="Arial"/>
          <w:szCs w:val="24"/>
        </w:rPr>
        <w:t xml:space="preserve">, and since the financial crisis they have been volatile, reaching 1.0 </w:t>
      </w:r>
      <w:r w:rsidR="00B640A6">
        <w:rPr>
          <w:rFonts w:ascii="Arial" w:hAnsi="Arial" w:cs="Arial"/>
          <w:szCs w:val="24"/>
        </w:rPr>
        <w:t>percent</w:t>
      </w:r>
      <w:r w:rsidR="00B640A6" w:rsidRPr="0051403E">
        <w:rPr>
          <w:rFonts w:ascii="Arial" w:hAnsi="Arial" w:cs="Arial"/>
          <w:szCs w:val="24"/>
        </w:rPr>
        <w:t xml:space="preserve"> </w:t>
      </w:r>
      <w:r w:rsidR="00361458" w:rsidRPr="0051403E">
        <w:rPr>
          <w:rFonts w:ascii="Arial" w:hAnsi="Arial" w:cs="Arial"/>
          <w:szCs w:val="24"/>
        </w:rPr>
        <w:t xml:space="preserve">at one stage compared with 0.075 percent in 2003.  Gulf’s current expectation for the test year is that commitments fees will be approximately </w:t>
      </w:r>
      <w:r w:rsidR="00A1030F" w:rsidRPr="0051403E">
        <w:rPr>
          <w:rFonts w:ascii="Arial" w:hAnsi="Arial" w:cs="Arial"/>
          <w:szCs w:val="24"/>
        </w:rPr>
        <w:t>0.33</w:t>
      </w:r>
      <w:r w:rsidR="0051403E">
        <w:rPr>
          <w:rFonts w:ascii="Arial" w:hAnsi="Arial" w:cs="Arial"/>
          <w:szCs w:val="24"/>
        </w:rPr>
        <w:t xml:space="preserve"> </w:t>
      </w:r>
      <w:r w:rsidR="00361458" w:rsidRPr="0051403E">
        <w:rPr>
          <w:rFonts w:ascii="Arial" w:hAnsi="Arial" w:cs="Arial"/>
          <w:szCs w:val="24"/>
        </w:rPr>
        <w:t>percent, an almost five fold increase.</w:t>
      </w:r>
    </w:p>
    <w:p w:rsidR="009B5B7D" w:rsidRDefault="009B5B7D" w:rsidP="00DE7D73">
      <w:pPr>
        <w:spacing w:line="480" w:lineRule="atLeast"/>
        <w:ind w:left="720" w:hanging="720"/>
        <w:rPr>
          <w:rFonts w:ascii="Arial" w:hAnsi="Arial"/>
        </w:rPr>
      </w:pPr>
    </w:p>
    <w:p w:rsidR="00361458" w:rsidRDefault="00EE430B" w:rsidP="00361458">
      <w:pPr>
        <w:spacing w:line="480" w:lineRule="atLeast"/>
        <w:ind w:left="720"/>
        <w:jc w:val="center"/>
        <w:rPr>
          <w:rFonts w:ascii="Arial" w:hAnsi="Arial" w:cs="Arial"/>
        </w:rPr>
      </w:pPr>
      <w:r>
        <w:rPr>
          <w:rFonts w:ascii="Arial" w:hAnsi="Arial" w:cs="Arial"/>
        </w:rPr>
        <w:t>E</w:t>
      </w:r>
      <w:r w:rsidR="00264685">
        <w:rPr>
          <w:rFonts w:ascii="Arial" w:hAnsi="Arial" w:cs="Arial"/>
        </w:rPr>
        <w:t>. Joint Ownership</w:t>
      </w:r>
    </w:p>
    <w:p w:rsidR="00A97C74" w:rsidRDefault="00A97C74" w:rsidP="00DE7D73">
      <w:pPr>
        <w:spacing w:line="480" w:lineRule="atLeast"/>
        <w:ind w:left="720" w:hanging="720"/>
        <w:rPr>
          <w:rFonts w:ascii="Arial" w:hAnsi="Arial" w:cs="Arial"/>
        </w:rPr>
      </w:pPr>
      <w:r>
        <w:rPr>
          <w:rFonts w:ascii="Arial" w:hAnsi="Arial" w:cs="Arial"/>
        </w:rPr>
        <w:t>Q.</w:t>
      </w:r>
      <w:r>
        <w:rPr>
          <w:rFonts w:ascii="Arial" w:hAnsi="Arial" w:cs="Arial"/>
        </w:rPr>
        <w:tab/>
        <w:t>Your next area of A&amp;G O&amp;M benchmark variance justification on Exhibit CJE-</w:t>
      </w:r>
      <w:r w:rsidR="00EC4EEE">
        <w:rPr>
          <w:rFonts w:ascii="Arial" w:hAnsi="Arial" w:cs="Arial"/>
        </w:rPr>
        <w:t xml:space="preserve">1, Schedule </w:t>
      </w:r>
      <w:r>
        <w:rPr>
          <w:rFonts w:ascii="Arial" w:hAnsi="Arial" w:cs="Arial"/>
        </w:rPr>
        <w:t>3 is shown as “Joint Ownership.”  Please explain what is included in Joint Ownership and address the associated A&amp;G benchmark variance.</w:t>
      </w:r>
    </w:p>
    <w:p w:rsidR="00A97C74" w:rsidRDefault="00A97C74" w:rsidP="00DE7D73">
      <w:pPr>
        <w:spacing w:line="480" w:lineRule="atLeast"/>
        <w:ind w:left="720" w:hanging="720"/>
        <w:rPr>
          <w:rFonts w:ascii="Arial" w:hAnsi="Arial" w:cs="Arial"/>
        </w:rPr>
      </w:pPr>
      <w:r>
        <w:rPr>
          <w:rFonts w:ascii="Arial" w:hAnsi="Arial" w:cs="Arial"/>
        </w:rPr>
        <w:t>A.</w:t>
      </w:r>
      <w:r>
        <w:rPr>
          <w:rFonts w:ascii="Arial" w:hAnsi="Arial" w:cs="Arial"/>
        </w:rPr>
        <w:tab/>
        <w:t>Joint Ownership refers to Gulf’s share of the A&amp;G expenses associated with Mississippi Power’s coal-fired units at Plant Daniel.  The Plant Daniel units, which are located in Mississippi, are jointly owned by Mississippi Power and Gulf Power.  Mississippi Power operates the jointly owned Plant Daniel units, and Gulf shares the cost of the units’ operation.  The 2012 projected costs of Joint Ownership, Gulf’s share of the A&amp;G expenses associated with the operation of Plant Daniel, is $4,184,000, which exceeds the benchmark by $874,000</w:t>
      </w:r>
      <w:r w:rsidR="007565EB">
        <w:rPr>
          <w:rFonts w:ascii="Arial" w:hAnsi="Arial" w:cs="Arial"/>
        </w:rPr>
        <w:t xml:space="preserve">.  </w:t>
      </w:r>
      <w:r w:rsidR="00264685">
        <w:rPr>
          <w:rFonts w:ascii="Arial" w:hAnsi="Arial" w:cs="Arial"/>
        </w:rPr>
        <w:t>T</w:t>
      </w:r>
      <w:r>
        <w:rPr>
          <w:rFonts w:ascii="Arial" w:hAnsi="Arial" w:cs="Arial"/>
        </w:rPr>
        <w:t xml:space="preserve">he A&amp;G benchmark </w:t>
      </w:r>
      <w:r>
        <w:rPr>
          <w:rFonts w:ascii="Arial" w:hAnsi="Arial" w:cs="Arial"/>
        </w:rPr>
        <w:lastRenderedPageBreak/>
        <w:t xml:space="preserve">variance for Joint Ownership is </w:t>
      </w:r>
      <w:r w:rsidR="00462772">
        <w:rPr>
          <w:rFonts w:ascii="Arial" w:hAnsi="Arial" w:cs="Arial"/>
        </w:rPr>
        <w:t xml:space="preserve">primarily </w:t>
      </w:r>
      <w:r>
        <w:rPr>
          <w:rFonts w:ascii="Arial" w:hAnsi="Arial" w:cs="Arial"/>
        </w:rPr>
        <w:t xml:space="preserve">associated with employee </w:t>
      </w:r>
      <w:r w:rsidR="00C02667">
        <w:rPr>
          <w:rFonts w:ascii="Arial" w:hAnsi="Arial" w:cs="Arial"/>
        </w:rPr>
        <w:t>benefits</w:t>
      </w:r>
      <w:r w:rsidR="00AA4DFD">
        <w:rPr>
          <w:rFonts w:ascii="Arial" w:hAnsi="Arial" w:cs="Arial"/>
        </w:rPr>
        <w:t>.</w:t>
      </w:r>
      <w:r w:rsidR="00042F10">
        <w:rPr>
          <w:rFonts w:ascii="Arial" w:hAnsi="Arial" w:cs="Arial"/>
        </w:rPr>
        <w:t xml:space="preserve">  M</w:t>
      </w:r>
      <w:r w:rsidR="00AA4DFD">
        <w:rPr>
          <w:rFonts w:ascii="Arial" w:hAnsi="Arial" w:cs="Arial"/>
        </w:rPr>
        <w:t>r. Twery and Ms</w:t>
      </w:r>
      <w:r w:rsidR="00AC600C">
        <w:rPr>
          <w:rFonts w:ascii="Arial" w:hAnsi="Arial" w:cs="Arial"/>
        </w:rPr>
        <w:t xml:space="preserve">. </w:t>
      </w:r>
      <w:r w:rsidR="00AA4DFD">
        <w:rPr>
          <w:rFonts w:ascii="Arial" w:hAnsi="Arial" w:cs="Arial"/>
        </w:rPr>
        <w:t xml:space="preserve">Crumlish will address the </w:t>
      </w:r>
      <w:r w:rsidR="00B640A6">
        <w:rPr>
          <w:rFonts w:ascii="Arial" w:hAnsi="Arial" w:cs="Arial"/>
        </w:rPr>
        <w:t xml:space="preserve">benchmark </w:t>
      </w:r>
      <w:r w:rsidR="00C97F19">
        <w:rPr>
          <w:rFonts w:ascii="Arial" w:hAnsi="Arial" w:cs="Arial"/>
        </w:rPr>
        <w:t>variances</w:t>
      </w:r>
      <w:r w:rsidR="00AA4DFD">
        <w:rPr>
          <w:rFonts w:ascii="Arial" w:hAnsi="Arial" w:cs="Arial"/>
        </w:rPr>
        <w:t xml:space="preserve"> </w:t>
      </w:r>
      <w:r w:rsidR="00B640A6">
        <w:rPr>
          <w:rFonts w:ascii="Arial" w:hAnsi="Arial" w:cs="Arial"/>
        </w:rPr>
        <w:t xml:space="preserve">associated with </w:t>
      </w:r>
      <w:r w:rsidR="00AA4DFD">
        <w:rPr>
          <w:rFonts w:ascii="Arial" w:hAnsi="Arial" w:cs="Arial"/>
        </w:rPr>
        <w:t>employee benefits.</w:t>
      </w:r>
    </w:p>
    <w:p w:rsidR="00A97C74" w:rsidRDefault="00A97C74" w:rsidP="00DE7D73">
      <w:pPr>
        <w:spacing w:line="480" w:lineRule="atLeast"/>
        <w:ind w:left="720" w:hanging="720"/>
        <w:rPr>
          <w:rFonts w:ascii="Arial" w:hAnsi="Arial"/>
        </w:rPr>
      </w:pPr>
    </w:p>
    <w:p w:rsidR="00021799" w:rsidRDefault="00EE430B">
      <w:pPr>
        <w:spacing w:line="480" w:lineRule="atLeast"/>
        <w:ind w:left="720"/>
        <w:jc w:val="center"/>
        <w:rPr>
          <w:rFonts w:ascii="Arial" w:hAnsi="Arial"/>
        </w:rPr>
      </w:pPr>
      <w:r>
        <w:rPr>
          <w:rFonts w:ascii="Arial" w:hAnsi="Arial"/>
        </w:rPr>
        <w:t>F</w:t>
      </w:r>
      <w:r w:rsidR="00FD5723">
        <w:rPr>
          <w:rFonts w:ascii="Arial" w:hAnsi="Arial"/>
        </w:rPr>
        <w:t>. Software Systems</w:t>
      </w:r>
    </w:p>
    <w:p w:rsidR="009B5B7D" w:rsidRDefault="003E373B" w:rsidP="00DE7D73">
      <w:pPr>
        <w:spacing w:line="480" w:lineRule="atLeast"/>
        <w:ind w:left="720" w:hanging="720"/>
        <w:rPr>
          <w:rFonts w:ascii="Arial" w:hAnsi="Arial"/>
        </w:rPr>
      </w:pPr>
      <w:r>
        <w:rPr>
          <w:rFonts w:ascii="Arial" w:hAnsi="Arial"/>
        </w:rPr>
        <w:t>Q.</w:t>
      </w:r>
      <w:r>
        <w:rPr>
          <w:rFonts w:ascii="Arial" w:hAnsi="Arial"/>
        </w:rPr>
        <w:tab/>
      </w:r>
      <w:r w:rsidR="009413ED">
        <w:rPr>
          <w:rFonts w:ascii="Arial" w:hAnsi="Arial"/>
        </w:rPr>
        <w:t>Your next A&amp;G benchmark justification shown on Exhibit CJE-</w:t>
      </w:r>
      <w:r w:rsidR="00EC4EEE">
        <w:rPr>
          <w:rFonts w:ascii="Arial" w:hAnsi="Arial"/>
        </w:rPr>
        <w:t>1,</w:t>
      </w:r>
      <w:r w:rsidR="00235B37">
        <w:rPr>
          <w:rFonts w:ascii="Arial" w:hAnsi="Arial"/>
        </w:rPr>
        <w:t xml:space="preserve"> </w:t>
      </w:r>
      <w:r w:rsidR="00EC4EEE">
        <w:rPr>
          <w:rFonts w:ascii="Arial" w:hAnsi="Arial"/>
        </w:rPr>
        <w:t xml:space="preserve">Schedule </w:t>
      </w:r>
      <w:r w:rsidR="009413ED">
        <w:rPr>
          <w:rFonts w:ascii="Arial" w:hAnsi="Arial"/>
        </w:rPr>
        <w:t xml:space="preserve">3 is shown as </w:t>
      </w:r>
      <w:r w:rsidR="00AE30F3">
        <w:rPr>
          <w:rFonts w:ascii="Arial" w:hAnsi="Arial"/>
        </w:rPr>
        <w:t>accounting, supply chain, and work order management</w:t>
      </w:r>
      <w:r w:rsidR="00E863C3">
        <w:rPr>
          <w:rFonts w:ascii="Arial" w:hAnsi="Arial"/>
        </w:rPr>
        <w:t xml:space="preserve"> systems</w:t>
      </w:r>
      <w:r w:rsidR="00AE30F3">
        <w:rPr>
          <w:rFonts w:ascii="Arial" w:hAnsi="Arial"/>
        </w:rPr>
        <w:t>.</w:t>
      </w:r>
      <w:r w:rsidR="009413ED">
        <w:rPr>
          <w:rFonts w:ascii="Arial" w:hAnsi="Arial"/>
        </w:rPr>
        <w:t xml:space="preserve">  </w:t>
      </w:r>
      <w:r>
        <w:rPr>
          <w:rFonts w:ascii="Arial" w:hAnsi="Arial"/>
        </w:rPr>
        <w:t xml:space="preserve">Please explain what is included in </w:t>
      </w:r>
      <w:r w:rsidR="00AE30F3">
        <w:rPr>
          <w:rFonts w:ascii="Arial" w:hAnsi="Arial"/>
        </w:rPr>
        <w:t>accounting, supply chain, and work order management</w:t>
      </w:r>
      <w:r>
        <w:rPr>
          <w:rFonts w:ascii="Arial" w:hAnsi="Arial"/>
        </w:rPr>
        <w:t xml:space="preserve"> </w:t>
      </w:r>
      <w:r w:rsidR="00583C0D">
        <w:rPr>
          <w:rFonts w:ascii="Arial" w:hAnsi="Arial"/>
        </w:rPr>
        <w:t xml:space="preserve">systems </w:t>
      </w:r>
      <w:r>
        <w:rPr>
          <w:rFonts w:ascii="Arial" w:hAnsi="Arial"/>
        </w:rPr>
        <w:t>and address the</w:t>
      </w:r>
      <w:r w:rsidR="008A2FFA">
        <w:rPr>
          <w:rFonts w:ascii="Arial" w:hAnsi="Arial"/>
        </w:rPr>
        <w:t xml:space="preserve"> related A&amp;G </w:t>
      </w:r>
      <w:r w:rsidR="00417CC4">
        <w:rPr>
          <w:rFonts w:ascii="Arial" w:hAnsi="Arial"/>
        </w:rPr>
        <w:t>benchmark</w:t>
      </w:r>
      <w:r>
        <w:rPr>
          <w:rFonts w:ascii="Arial" w:hAnsi="Arial"/>
        </w:rPr>
        <w:t xml:space="preserve"> variance.</w:t>
      </w:r>
    </w:p>
    <w:p w:rsidR="009B5B7D" w:rsidRDefault="003E373B" w:rsidP="00DE7D73">
      <w:pPr>
        <w:spacing w:line="480" w:lineRule="atLeast"/>
        <w:ind w:left="720" w:hanging="720"/>
        <w:rPr>
          <w:rFonts w:ascii="Arial" w:hAnsi="Arial"/>
        </w:rPr>
      </w:pPr>
      <w:r>
        <w:rPr>
          <w:rFonts w:ascii="Arial" w:hAnsi="Arial"/>
        </w:rPr>
        <w:t>A.</w:t>
      </w:r>
      <w:r>
        <w:rPr>
          <w:rFonts w:ascii="Arial" w:hAnsi="Arial"/>
        </w:rPr>
        <w:tab/>
      </w:r>
      <w:r w:rsidR="00583C0D">
        <w:rPr>
          <w:rFonts w:ascii="Arial" w:hAnsi="Arial"/>
        </w:rPr>
        <w:t xml:space="preserve">Gulf has implemented new software upgrades to its accounting, supply chain and work order management systems since its last rate case.  These upgrades were made under the project name </w:t>
      </w:r>
      <w:r>
        <w:rPr>
          <w:rFonts w:ascii="Arial" w:hAnsi="Arial"/>
        </w:rPr>
        <w:t>Enterprise Solutions</w:t>
      </w:r>
      <w:r w:rsidR="00583C0D">
        <w:rPr>
          <w:rFonts w:ascii="Arial" w:hAnsi="Arial"/>
        </w:rPr>
        <w:t xml:space="preserve">.  The </w:t>
      </w:r>
      <w:r w:rsidR="00AE4D7B">
        <w:rPr>
          <w:rFonts w:ascii="Arial" w:hAnsi="Arial"/>
        </w:rPr>
        <w:t xml:space="preserve">variance for the software upgrades </w:t>
      </w:r>
      <w:r w:rsidR="00FD5723">
        <w:rPr>
          <w:rFonts w:ascii="Arial" w:hAnsi="Arial"/>
        </w:rPr>
        <w:t>represents</w:t>
      </w:r>
      <w:r w:rsidR="00AE4D7B">
        <w:rPr>
          <w:rFonts w:ascii="Arial" w:hAnsi="Arial"/>
        </w:rPr>
        <w:t xml:space="preserve"> </w:t>
      </w:r>
      <w:r>
        <w:rPr>
          <w:rFonts w:ascii="Arial" w:hAnsi="Arial"/>
        </w:rPr>
        <w:t xml:space="preserve">ongoing operating expenses </w:t>
      </w:r>
      <w:r w:rsidR="0017586A">
        <w:rPr>
          <w:rFonts w:ascii="Arial" w:hAnsi="Arial"/>
        </w:rPr>
        <w:t xml:space="preserve">such as licensing fees, maintenance, and support costs </w:t>
      </w:r>
      <w:r>
        <w:rPr>
          <w:rFonts w:ascii="Arial" w:hAnsi="Arial"/>
        </w:rPr>
        <w:t xml:space="preserve">associated with Gulf’s recently implemented </w:t>
      </w:r>
      <w:r w:rsidR="00AE4D7B">
        <w:rPr>
          <w:rFonts w:ascii="Arial" w:hAnsi="Arial"/>
        </w:rPr>
        <w:t>accounting, supply chain, and work order management systems</w:t>
      </w:r>
      <w:r>
        <w:rPr>
          <w:rFonts w:ascii="Arial" w:hAnsi="Arial"/>
        </w:rPr>
        <w:t>.</w:t>
      </w:r>
      <w:r w:rsidR="00AE4D7B">
        <w:rPr>
          <w:rFonts w:ascii="Arial" w:hAnsi="Arial"/>
        </w:rPr>
        <w:t xml:space="preserve">  </w:t>
      </w:r>
      <w:r>
        <w:rPr>
          <w:rFonts w:ascii="Arial" w:hAnsi="Arial"/>
        </w:rPr>
        <w:t xml:space="preserve">The </w:t>
      </w:r>
      <w:r w:rsidR="008A2FFA">
        <w:rPr>
          <w:rFonts w:ascii="Arial" w:hAnsi="Arial"/>
        </w:rPr>
        <w:t>2012</w:t>
      </w:r>
      <w:r>
        <w:rPr>
          <w:rFonts w:ascii="Arial" w:hAnsi="Arial"/>
        </w:rPr>
        <w:t xml:space="preserve"> operational costs associated with the</w:t>
      </w:r>
      <w:r w:rsidR="008A2FFA">
        <w:rPr>
          <w:rFonts w:ascii="Arial" w:hAnsi="Arial"/>
        </w:rPr>
        <w:t>se</w:t>
      </w:r>
      <w:r>
        <w:rPr>
          <w:rFonts w:ascii="Arial" w:hAnsi="Arial"/>
        </w:rPr>
        <w:t xml:space="preserve"> new </w:t>
      </w:r>
      <w:r w:rsidR="008A2FFA">
        <w:rPr>
          <w:rFonts w:ascii="Arial" w:hAnsi="Arial"/>
        </w:rPr>
        <w:t>systems</w:t>
      </w:r>
      <w:r>
        <w:rPr>
          <w:rFonts w:ascii="Arial" w:hAnsi="Arial"/>
        </w:rPr>
        <w:t xml:space="preserve"> are </w:t>
      </w:r>
      <w:r w:rsidR="008A2FFA">
        <w:rPr>
          <w:rFonts w:ascii="Arial" w:hAnsi="Arial"/>
        </w:rPr>
        <w:t xml:space="preserve">$1,959,000, which is </w:t>
      </w:r>
      <w:r>
        <w:rPr>
          <w:rFonts w:ascii="Arial" w:hAnsi="Arial"/>
        </w:rPr>
        <w:t>$546,000 above the</w:t>
      </w:r>
      <w:r w:rsidR="00A9518E">
        <w:rPr>
          <w:rFonts w:ascii="Arial" w:hAnsi="Arial"/>
        </w:rPr>
        <w:t xml:space="preserve"> </w:t>
      </w:r>
      <w:r>
        <w:rPr>
          <w:rFonts w:ascii="Arial" w:hAnsi="Arial"/>
        </w:rPr>
        <w:t>benchmark.  Technology replacements or upgrades are not tied to customer growth or inflation.</w:t>
      </w:r>
    </w:p>
    <w:p w:rsidR="009B5B7D" w:rsidRDefault="009B5B7D" w:rsidP="00DE7D73">
      <w:pPr>
        <w:spacing w:line="480" w:lineRule="atLeast"/>
        <w:ind w:left="720" w:hanging="720"/>
        <w:rPr>
          <w:rFonts w:ascii="Arial" w:hAnsi="Arial"/>
        </w:rPr>
      </w:pPr>
    </w:p>
    <w:p w:rsidR="009B5B7D" w:rsidRDefault="003E373B" w:rsidP="00DE7D73">
      <w:pPr>
        <w:spacing w:line="480" w:lineRule="atLeast"/>
        <w:ind w:left="720" w:hanging="720"/>
        <w:rPr>
          <w:rFonts w:ascii="Arial" w:hAnsi="Arial" w:cs="Arial"/>
        </w:rPr>
      </w:pPr>
      <w:r>
        <w:rPr>
          <w:rFonts w:ascii="Arial" w:hAnsi="Arial" w:cs="Arial"/>
        </w:rPr>
        <w:t xml:space="preserve">Q. </w:t>
      </w:r>
      <w:r>
        <w:rPr>
          <w:rFonts w:ascii="Arial" w:hAnsi="Arial" w:cs="Arial"/>
        </w:rPr>
        <w:tab/>
        <w:t xml:space="preserve">Can you describe the Enterprise Solutions </w:t>
      </w:r>
      <w:r w:rsidR="00EE430B">
        <w:rPr>
          <w:rFonts w:ascii="Arial" w:hAnsi="Arial" w:cs="Arial"/>
        </w:rPr>
        <w:t>p</w:t>
      </w:r>
      <w:r>
        <w:rPr>
          <w:rFonts w:ascii="Arial" w:hAnsi="Arial" w:cs="Arial"/>
        </w:rPr>
        <w:t>roject?</w:t>
      </w:r>
    </w:p>
    <w:p w:rsidR="008A2FFA" w:rsidRDefault="003E373B" w:rsidP="00DE7D73">
      <w:pPr>
        <w:spacing w:line="480" w:lineRule="atLeast"/>
        <w:ind w:left="720" w:hanging="720"/>
        <w:rPr>
          <w:rFonts w:ascii="Arial" w:hAnsi="Arial" w:cs="Arial"/>
        </w:rPr>
      </w:pPr>
      <w:r>
        <w:rPr>
          <w:rFonts w:ascii="Arial" w:hAnsi="Arial" w:cs="Arial"/>
        </w:rPr>
        <w:t>A.</w:t>
      </w:r>
      <w:r>
        <w:rPr>
          <w:rFonts w:ascii="Arial" w:hAnsi="Arial" w:cs="Arial"/>
        </w:rPr>
        <w:tab/>
        <w:t xml:space="preserve">The </w:t>
      </w:r>
      <w:r w:rsidRPr="00032DA7">
        <w:rPr>
          <w:rFonts w:ascii="Arial" w:hAnsi="Arial" w:cs="Arial"/>
        </w:rPr>
        <w:t xml:space="preserve">Enterprise Solutions project </w:t>
      </w:r>
      <w:r>
        <w:rPr>
          <w:rFonts w:ascii="Arial" w:hAnsi="Arial" w:cs="Arial"/>
        </w:rPr>
        <w:t>consisted of the installation of Oracle</w:t>
      </w:r>
      <w:r w:rsidR="00042F10">
        <w:rPr>
          <w:rFonts w:ascii="Arial" w:hAnsi="Arial" w:cs="Arial"/>
        </w:rPr>
        <w:t xml:space="preserve">, </w:t>
      </w:r>
      <w:proofErr w:type="gramStart"/>
      <w:r w:rsidR="00042F10">
        <w:rPr>
          <w:rFonts w:ascii="Arial" w:hAnsi="Arial" w:cs="Arial"/>
        </w:rPr>
        <w:t>an integrated</w:t>
      </w:r>
      <w:proofErr w:type="gramEnd"/>
      <w:r w:rsidR="00042F10">
        <w:rPr>
          <w:rFonts w:ascii="Arial" w:hAnsi="Arial" w:cs="Arial"/>
        </w:rPr>
        <w:t xml:space="preserve"> business software,</w:t>
      </w:r>
      <w:r>
        <w:rPr>
          <w:rFonts w:ascii="Arial" w:hAnsi="Arial" w:cs="Arial"/>
        </w:rPr>
        <w:t xml:space="preserve"> and </w:t>
      </w:r>
      <w:proofErr w:type="spellStart"/>
      <w:r>
        <w:rPr>
          <w:rFonts w:ascii="Arial" w:hAnsi="Arial" w:cs="Arial"/>
        </w:rPr>
        <w:t>Maximo</w:t>
      </w:r>
      <w:proofErr w:type="spellEnd"/>
      <w:r w:rsidR="00042F10">
        <w:rPr>
          <w:rFonts w:ascii="Arial" w:hAnsi="Arial" w:cs="Arial"/>
        </w:rPr>
        <w:t>, an asset management software,</w:t>
      </w:r>
      <w:r w:rsidRPr="00032DA7">
        <w:rPr>
          <w:rFonts w:ascii="Arial" w:hAnsi="Arial" w:cs="Arial"/>
        </w:rPr>
        <w:t xml:space="preserve"> to replace the </w:t>
      </w:r>
      <w:r>
        <w:rPr>
          <w:rFonts w:ascii="Arial" w:hAnsi="Arial" w:cs="Arial"/>
        </w:rPr>
        <w:t xml:space="preserve">aging accounting, supply chain, and </w:t>
      </w:r>
      <w:r w:rsidR="00AE4D7B">
        <w:rPr>
          <w:rFonts w:ascii="Arial" w:hAnsi="Arial" w:cs="Arial"/>
        </w:rPr>
        <w:t xml:space="preserve">work order </w:t>
      </w:r>
      <w:r w:rsidR="00AE4D7B">
        <w:rPr>
          <w:rFonts w:ascii="Arial" w:hAnsi="Arial" w:cs="Arial"/>
        </w:rPr>
        <w:lastRenderedPageBreak/>
        <w:t>manag</w:t>
      </w:r>
      <w:r w:rsidR="00D7287D">
        <w:rPr>
          <w:rFonts w:ascii="Arial" w:hAnsi="Arial" w:cs="Arial"/>
        </w:rPr>
        <w:t>e</w:t>
      </w:r>
      <w:r w:rsidR="00AE4D7B">
        <w:rPr>
          <w:rFonts w:ascii="Arial" w:hAnsi="Arial" w:cs="Arial"/>
        </w:rPr>
        <w:t xml:space="preserve">ment </w:t>
      </w:r>
      <w:r w:rsidRPr="00032DA7">
        <w:rPr>
          <w:rFonts w:ascii="Arial" w:hAnsi="Arial" w:cs="Arial"/>
        </w:rPr>
        <w:t>systems</w:t>
      </w:r>
      <w:r>
        <w:rPr>
          <w:rFonts w:ascii="Arial" w:hAnsi="Arial" w:cs="Arial"/>
        </w:rPr>
        <w:t xml:space="preserve"> that were</w:t>
      </w:r>
      <w:r w:rsidRPr="00032DA7">
        <w:rPr>
          <w:rFonts w:ascii="Arial" w:hAnsi="Arial" w:cs="Arial"/>
        </w:rPr>
        <w:t xml:space="preserve"> in use</w:t>
      </w:r>
      <w:r>
        <w:rPr>
          <w:rFonts w:ascii="Arial" w:hAnsi="Arial" w:cs="Arial"/>
        </w:rPr>
        <w:t xml:space="preserve">. Oracle and </w:t>
      </w:r>
      <w:proofErr w:type="spellStart"/>
      <w:r>
        <w:rPr>
          <w:rFonts w:ascii="Arial" w:hAnsi="Arial" w:cs="Arial"/>
        </w:rPr>
        <w:t>Maximo</w:t>
      </w:r>
      <w:proofErr w:type="spellEnd"/>
      <w:r>
        <w:rPr>
          <w:rFonts w:ascii="Arial" w:hAnsi="Arial" w:cs="Arial"/>
        </w:rPr>
        <w:t xml:space="preserve"> replaced several IT applications in the accounting, supply chain, and generation areas that were used to input, process, and summarize accounting information, procure and pay for materials and services, and manage work orders.</w:t>
      </w:r>
    </w:p>
    <w:p w:rsidR="009B5B7D" w:rsidRDefault="003E373B" w:rsidP="00DE7D73">
      <w:pPr>
        <w:spacing w:line="480" w:lineRule="atLeast"/>
        <w:ind w:left="720" w:hanging="720"/>
        <w:rPr>
          <w:rFonts w:ascii="Arial" w:hAnsi="Arial" w:cs="Arial"/>
        </w:rPr>
      </w:pPr>
      <w:r>
        <w:rPr>
          <w:rFonts w:ascii="Arial" w:hAnsi="Arial" w:cs="Arial"/>
        </w:rPr>
        <w:t xml:space="preserve"> </w:t>
      </w:r>
    </w:p>
    <w:p w:rsidR="00361458" w:rsidRDefault="003E373B" w:rsidP="00042F10">
      <w:pPr>
        <w:spacing w:line="480" w:lineRule="atLeast"/>
        <w:ind w:left="720"/>
        <w:rPr>
          <w:rFonts w:ascii="Arial" w:hAnsi="Arial" w:cs="Arial"/>
        </w:rPr>
      </w:pPr>
      <w:r w:rsidRPr="00032DA7">
        <w:rPr>
          <w:rFonts w:ascii="Arial" w:hAnsi="Arial" w:cs="Arial"/>
        </w:rPr>
        <w:t xml:space="preserve">Enterprise Solutions leveraged technology </w:t>
      </w:r>
      <w:r w:rsidR="00042F10">
        <w:rPr>
          <w:rFonts w:ascii="Arial" w:hAnsi="Arial" w:cs="Arial"/>
        </w:rPr>
        <w:t>to continue</w:t>
      </w:r>
      <w:r w:rsidRPr="00032DA7">
        <w:rPr>
          <w:rFonts w:ascii="Arial" w:hAnsi="Arial" w:cs="Arial"/>
        </w:rPr>
        <w:t xml:space="preserve"> providing high reliability and customer service. </w:t>
      </w:r>
      <w:r>
        <w:rPr>
          <w:rFonts w:ascii="Arial" w:hAnsi="Arial" w:cs="Arial"/>
        </w:rPr>
        <w:t xml:space="preserve"> </w:t>
      </w:r>
      <w:r w:rsidRPr="00032DA7">
        <w:rPr>
          <w:rFonts w:ascii="Arial" w:hAnsi="Arial" w:cs="Arial"/>
        </w:rPr>
        <w:t>These new tools provide increased automation</w:t>
      </w:r>
      <w:r>
        <w:rPr>
          <w:rFonts w:ascii="Arial" w:hAnsi="Arial" w:cs="Arial"/>
        </w:rPr>
        <w:t xml:space="preserve"> and</w:t>
      </w:r>
      <w:r w:rsidRPr="00032DA7">
        <w:rPr>
          <w:rFonts w:ascii="Arial" w:hAnsi="Arial" w:cs="Arial"/>
        </w:rPr>
        <w:t xml:space="preserve"> use of electronic routing and approvals </w:t>
      </w:r>
      <w:r>
        <w:rPr>
          <w:rFonts w:ascii="Arial" w:hAnsi="Arial" w:cs="Arial"/>
        </w:rPr>
        <w:t xml:space="preserve">to </w:t>
      </w:r>
      <w:r w:rsidRPr="00032DA7">
        <w:rPr>
          <w:rFonts w:ascii="Arial" w:hAnsi="Arial" w:cs="Arial"/>
        </w:rPr>
        <w:t>reduc</w:t>
      </w:r>
      <w:r>
        <w:rPr>
          <w:rFonts w:ascii="Arial" w:hAnsi="Arial" w:cs="Arial"/>
        </w:rPr>
        <w:t>e</w:t>
      </w:r>
      <w:r w:rsidRPr="00032DA7">
        <w:rPr>
          <w:rFonts w:ascii="Arial" w:hAnsi="Arial" w:cs="Arial"/>
        </w:rPr>
        <w:t xml:space="preserve"> </w:t>
      </w:r>
      <w:r>
        <w:rPr>
          <w:rFonts w:ascii="Arial" w:hAnsi="Arial" w:cs="Arial"/>
        </w:rPr>
        <w:t>the likelihood of human error</w:t>
      </w:r>
      <w:r w:rsidR="00042F10">
        <w:rPr>
          <w:rFonts w:ascii="Arial" w:hAnsi="Arial" w:cs="Arial"/>
        </w:rPr>
        <w:t>.  They</w:t>
      </w:r>
      <w:r>
        <w:rPr>
          <w:rFonts w:ascii="Arial" w:hAnsi="Arial" w:cs="Arial"/>
        </w:rPr>
        <w:t xml:space="preserve"> also facilitate the use of automated internal controls. </w:t>
      </w:r>
      <w:r w:rsidRPr="00032DA7">
        <w:rPr>
          <w:rFonts w:ascii="Arial" w:hAnsi="Arial" w:cs="Arial"/>
        </w:rPr>
        <w:t xml:space="preserve"> </w:t>
      </w:r>
    </w:p>
    <w:p w:rsidR="000F5FA6" w:rsidRDefault="000F5FA6" w:rsidP="00DE7D73">
      <w:pPr>
        <w:spacing w:line="480" w:lineRule="atLeast"/>
        <w:ind w:left="720"/>
        <w:rPr>
          <w:rFonts w:ascii="Arial" w:hAnsi="Arial" w:cs="Arial"/>
        </w:rPr>
      </w:pPr>
    </w:p>
    <w:p w:rsidR="00361458" w:rsidRDefault="003E373B" w:rsidP="00042F10">
      <w:pPr>
        <w:spacing w:line="480" w:lineRule="atLeast"/>
        <w:ind w:left="720"/>
        <w:rPr>
          <w:rFonts w:ascii="Arial" w:hAnsi="Arial" w:cs="Arial"/>
        </w:rPr>
      </w:pPr>
      <w:r w:rsidRPr="00032DA7">
        <w:rPr>
          <w:rFonts w:ascii="Arial" w:hAnsi="Arial" w:cs="Arial"/>
        </w:rPr>
        <w:t xml:space="preserve">Many of the </w:t>
      </w:r>
      <w:r>
        <w:rPr>
          <w:rFonts w:ascii="Arial" w:hAnsi="Arial" w:cs="Arial"/>
        </w:rPr>
        <w:t xml:space="preserve">previous </w:t>
      </w:r>
      <w:r w:rsidRPr="00032DA7">
        <w:rPr>
          <w:rFonts w:ascii="Arial" w:hAnsi="Arial" w:cs="Arial"/>
        </w:rPr>
        <w:t xml:space="preserve">systems were </w:t>
      </w:r>
      <w:r>
        <w:rPr>
          <w:rFonts w:ascii="Arial" w:hAnsi="Arial" w:cs="Arial"/>
        </w:rPr>
        <w:t>very old</w:t>
      </w:r>
      <w:r w:rsidR="008D3EFD">
        <w:rPr>
          <w:rFonts w:ascii="Arial" w:hAnsi="Arial" w:cs="Arial"/>
        </w:rPr>
        <w:t xml:space="preserve"> and</w:t>
      </w:r>
      <w:r>
        <w:rPr>
          <w:rFonts w:ascii="Arial" w:hAnsi="Arial" w:cs="Arial"/>
        </w:rPr>
        <w:t xml:space="preserve"> </w:t>
      </w:r>
      <w:r w:rsidRPr="00032DA7">
        <w:rPr>
          <w:rFonts w:ascii="Arial" w:hAnsi="Arial" w:cs="Arial"/>
        </w:rPr>
        <w:t>highly customized</w:t>
      </w:r>
      <w:r w:rsidR="00042F10">
        <w:rPr>
          <w:rFonts w:ascii="Arial" w:hAnsi="Arial" w:cs="Arial"/>
        </w:rPr>
        <w:t xml:space="preserve">.  They </w:t>
      </w:r>
      <w:r>
        <w:rPr>
          <w:rFonts w:ascii="Arial" w:hAnsi="Arial" w:cs="Arial"/>
        </w:rPr>
        <w:t xml:space="preserve">were becoming increasingly </w:t>
      </w:r>
      <w:r w:rsidR="00D268AA">
        <w:rPr>
          <w:rFonts w:ascii="Arial" w:hAnsi="Arial" w:cs="Arial"/>
        </w:rPr>
        <w:t>difficult</w:t>
      </w:r>
      <w:r w:rsidRPr="00032DA7">
        <w:rPr>
          <w:rFonts w:ascii="Arial" w:hAnsi="Arial" w:cs="Arial"/>
        </w:rPr>
        <w:t xml:space="preserve"> to maintain.</w:t>
      </w:r>
      <w:r>
        <w:rPr>
          <w:rFonts w:ascii="Arial" w:hAnsi="Arial" w:cs="Arial"/>
        </w:rPr>
        <w:t xml:space="preserve">  Some of the application systems had been in place since 1985.  The previous General Ledger System was no longer supported by the vendor. Gulf delayed implementing new technology for as long as reasonably possible. Further delaying the implementation of the new system would have prolonged Gulf’s dependence on old, unsupported technology, which </w:t>
      </w:r>
      <w:r w:rsidR="00D268AA">
        <w:rPr>
          <w:rFonts w:ascii="Arial" w:hAnsi="Arial" w:cs="Arial"/>
        </w:rPr>
        <w:t xml:space="preserve">would have </w:t>
      </w:r>
      <w:r>
        <w:rPr>
          <w:rFonts w:ascii="Arial" w:hAnsi="Arial" w:cs="Arial"/>
        </w:rPr>
        <w:t>led to increased risk associated with the timely procurement of essential materials</w:t>
      </w:r>
      <w:r w:rsidR="00042F10">
        <w:rPr>
          <w:rFonts w:ascii="Arial" w:hAnsi="Arial" w:cs="Arial"/>
        </w:rPr>
        <w:t xml:space="preserve"> </w:t>
      </w:r>
      <w:r w:rsidR="00EE430B">
        <w:rPr>
          <w:rFonts w:ascii="Arial" w:hAnsi="Arial" w:cs="Arial"/>
        </w:rPr>
        <w:t>and</w:t>
      </w:r>
      <w:r>
        <w:rPr>
          <w:rFonts w:ascii="Arial" w:hAnsi="Arial" w:cs="Arial"/>
        </w:rPr>
        <w:t xml:space="preserve"> services</w:t>
      </w:r>
      <w:r w:rsidR="00EE430B">
        <w:rPr>
          <w:rFonts w:ascii="Arial" w:hAnsi="Arial" w:cs="Arial"/>
        </w:rPr>
        <w:t>,</w:t>
      </w:r>
      <w:r>
        <w:rPr>
          <w:rFonts w:ascii="Arial" w:hAnsi="Arial" w:cs="Arial"/>
        </w:rPr>
        <w:t xml:space="preserve"> and the accurate booking of related costs.</w:t>
      </w:r>
    </w:p>
    <w:p w:rsidR="009B5B7D" w:rsidRDefault="003E373B" w:rsidP="00DE7D73">
      <w:pPr>
        <w:spacing w:line="480" w:lineRule="atLeast"/>
        <w:ind w:left="720"/>
        <w:rPr>
          <w:rFonts w:ascii="Arial" w:hAnsi="Arial" w:cs="Arial"/>
        </w:rPr>
      </w:pPr>
      <w:r>
        <w:rPr>
          <w:rFonts w:ascii="Arial" w:hAnsi="Arial" w:cs="Arial"/>
        </w:rPr>
        <w:t xml:space="preserve"> </w:t>
      </w:r>
    </w:p>
    <w:p w:rsidR="00A9518E" w:rsidRDefault="003E373B" w:rsidP="00042F10">
      <w:pPr>
        <w:spacing w:line="480" w:lineRule="atLeast"/>
        <w:ind w:left="720"/>
        <w:rPr>
          <w:rFonts w:ascii="Arial" w:hAnsi="Arial" w:cs="Arial"/>
        </w:rPr>
      </w:pPr>
      <w:r>
        <w:rPr>
          <w:rFonts w:ascii="Arial" w:hAnsi="Arial" w:cs="Arial"/>
        </w:rPr>
        <w:t xml:space="preserve">In today’s world, changes in our industry are occurring much faster than </w:t>
      </w:r>
      <w:r w:rsidR="005A15BB">
        <w:rPr>
          <w:rFonts w:ascii="Arial" w:hAnsi="Arial" w:cs="Arial"/>
        </w:rPr>
        <w:t xml:space="preserve">ever </w:t>
      </w:r>
      <w:r>
        <w:rPr>
          <w:rFonts w:ascii="Arial" w:hAnsi="Arial" w:cs="Arial"/>
        </w:rPr>
        <w:t xml:space="preserve">before. Gulf’s goal is to provide a high level of customer service and </w:t>
      </w:r>
    </w:p>
    <w:p w:rsidR="00A9518E" w:rsidRDefault="00A9518E" w:rsidP="00042F10">
      <w:pPr>
        <w:spacing w:line="480" w:lineRule="atLeast"/>
        <w:ind w:left="720"/>
        <w:rPr>
          <w:rFonts w:ascii="Arial" w:hAnsi="Arial" w:cs="Arial"/>
        </w:rPr>
      </w:pPr>
    </w:p>
    <w:p w:rsidR="00361458" w:rsidRDefault="005A15BB" w:rsidP="00042F10">
      <w:pPr>
        <w:spacing w:line="480" w:lineRule="atLeast"/>
        <w:ind w:left="720"/>
        <w:rPr>
          <w:rFonts w:ascii="Arial" w:hAnsi="Arial" w:cs="Arial"/>
        </w:rPr>
      </w:pPr>
      <w:proofErr w:type="gramStart"/>
      <w:r>
        <w:rPr>
          <w:rFonts w:ascii="Arial" w:hAnsi="Arial" w:cs="Arial"/>
        </w:rPr>
        <w:lastRenderedPageBreak/>
        <w:t>to</w:t>
      </w:r>
      <w:proofErr w:type="gramEnd"/>
      <w:r>
        <w:rPr>
          <w:rFonts w:ascii="Arial" w:hAnsi="Arial" w:cs="Arial"/>
        </w:rPr>
        <w:t xml:space="preserve"> </w:t>
      </w:r>
      <w:r w:rsidR="003E373B">
        <w:rPr>
          <w:rFonts w:ascii="Arial" w:hAnsi="Arial" w:cs="Arial"/>
        </w:rPr>
        <w:t xml:space="preserve">operate in </w:t>
      </w:r>
      <w:r w:rsidR="00AE30F3">
        <w:rPr>
          <w:rFonts w:ascii="Arial" w:hAnsi="Arial" w:cs="Arial"/>
        </w:rPr>
        <w:t>an</w:t>
      </w:r>
      <w:r w:rsidR="003E373B">
        <w:rPr>
          <w:rFonts w:ascii="Arial" w:hAnsi="Arial" w:cs="Arial"/>
        </w:rPr>
        <w:t xml:space="preserve"> efficient manner. </w:t>
      </w:r>
      <w:r w:rsidR="00D87B8A">
        <w:rPr>
          <w:rFonts w:ascii="Arial" w:hAnsi="Arial" w:cs="Arial"/>
        </w:rPr>
        <w:t>Accomplishing</w:t>
      </w:r>
      <w:r w:rsidR="003E373B">
        <w:rPr>
          <w:rFonts w:ascii="Arial" w:hAnsi="Arial" w:cs="Arial"/>
        </w:rPr>
        <w:t xml:space="preserve"> this goal requires appropriate technology for the long term.</w:t>
      </w:r>
    </w:p>
    <w:p w:rsidR="000F5FA6" w:rsidRDefault="000F5FA6" w:rsidP="00DE7D73">
      <w:pPr>
        <w:spacing w:line="480" w:lineRule="atLeast"/>
        <w:ind w:left="720"/>
        <w:rPr>
          <w:rFonts w:ascii="Arial" w:hAnsi="Arial" w:cs="Arial"/>
        </w:rPr>
      </w:pPr>
    </w:p>
    <w:p w:rsidR="009B5B7D" w:rsidRDefault="006F2D93" w:rsidP="00DE7D73">
      <w:pPr>
        <w:spacing w:line="480" w:lineRule="atLeast"/>
        <w:ind w:left="720" w:hanging="720"/>
        <w:rPr>
          <w:rFonts w:ascii="Arial" w:hAnsi="Arial" w:cs="Arial"/>
        </w:rPr>
      </w:pPr>
      <w:r>
        <w:rPr>
          <w:rFonts w:ascii="Arial" w:hAnsi="Arial" w:cs="Arial"/>
        </w:rPr>
        <w:t>Q.</w:t>
      </w:r>
      <w:r>
        <w:rPr>
          <w:rFonts w:ascii="Arial" w:hAnsi="Arial" w:cs="Arial"/>
        </w:rPr>
        <w:tab/>
        <w:t>Please describe the process that was used to arrive at the solution</w:t>
      </w:r>
      <w:r w:rsidR="007565EB">
        <w:rPr>
          <w:rFonts w:ascii="Arial" w:hAnsi="Arial" w:cs="Arial"/>
        </w:rPr>
        <w:t xml:space="preserve">s that </w:t>
      </w:r>
      <w:r w:rsidR="00FD5723">
        <w:rPr>
          <w:rFonts w:ascii="Arial" w:hAnsi="Arial" w:cs="Arial"/>
        </w:rPr>
        <w:t>Gulf chose</w:t>
      </w:r>
      <w:r w:rsidR="007565EB">
        <w:rPr>
          <w:rFonts w:ascii="Arial" w:hAnsi="Arial" w:cs="Arial"/>
        </w:rPr>
        <w:t xml:space="preserve"> to implement.</w:t>
      </w:r>
    </w:p>
    <w:p w:rsidR="009B5B7D" w:rsidRDefault="006F2D93" w:rsidP="00DE7D73">
      <w:pPr>
        <w:spacing w:line="480" w:lineRule="atLeast"/>
        <w:ind w:left="720" w:hanging="720"/>
        <w:rPr>
          <w:rFonts w:ascii="Arial" w:hAnsi="Arial" w:cs="Arial"/>
        </w:rPr>
      </w:pPr>
      <w:r>
        <w:rPr>
          <w:rFonts w:ascii="Arial" w:hAnsi="Arial" w:cs="Arial"/>
        </w:rPr>
        <w:t>A.</w:t>
      </w:r>
      <w:r>
        <w:rPr>
          <w:rFonts w:ascii="Arial" w:hAnsi="Arial" w:cs="Arial"/>
        </w:rPr>
        <w:tab/>
        <w:t>A diverse team of IT, accounting, supply chain</w:t>
      </w:r>
      <w:r w:rsidR="00661F51">
        <w:rPr>
          <w:rFonts w:ascii="Arial" w:hAnsi="Arial" w:cs="Arial"/>
        </w:rPr>
        <w:t>, and generation</w:t>
      </w:r>
      <w:r>
        <w:rPr>
          <w:rFonts w:ascii="Arial" w:hAnsi="Arial" w:cs="Arial"/>
        </w:rPr>
        <w:t xml:space="preserve"> personnel was formed to make a recommendation </w:t>
      </w:r>
      <w:r w:rsidR="00661F51">
        <w:rPr>
          <w:rFonts w:ascii="Arial" w:hAnsi="Arial" w:cs="Arial"/>
        </w:rPr>
        <w:t xml:space="preserve">to executive management </w:t>
      </w:r>
      <w:r>
        <w:rPr>
          <w:rFonts w:ascii="Arial" w:hAnsi="Arial" w:cs="Arial"/>
        </w:rPr>
        <w:t>on the software to replace the systems that were outdated and unsupported.</w:t>
      </w:r>
    </w:p>
    <w:p w:rsidR="007A5EB9" w:rsidRDefault="006F2D93" w:rsidP="00DE7D73">
      <w:pPr>
        <w:spacing w:line="480" w:lineRule="atLeast"/>
        <w:ind w:left="720" w:hanging="720"/>
        <w:rPr>
          <w:rFonts w:ascii="Arial" w:hAnsi="Arial" w:cs="Arial"/>
        </w:rPr>
      </w:pPr>
      <w:r>
        <w:rPr>
          <w:rFonts w:ascii="Arial" w:hAnsi="Arial" w:cs="Arial"/>
        </w:rPr>
        <w:tab/>
        <w:t>The team contacted twelve utilities to review the systems they used and discuss their experience with those systems for work management, materials management, procurement, general ledger and accounts payable.  The team also sought the advice from vendors and consultants, as well as hosting vendor demos for their products.</w:t>
      </w:r>
    </w:p>
    <w:p w:rsidR="00A923B8" w:rsidRDefault="00A923B8" w:rsidP="00DE7D73">
      <w:pPr>
        <w:spacing w:line="480" w:lineRule="atLeast"/>
        <w:ind w:left="720" w:hanging="720"/>
        <w:rPr>
          <w:rFonts w:ascii="Arial" w:hAnsi="Arial" w:cs="Arial"/>
        </w:rPr>
      </w:pPr>
    </w:p>
    <w:p w:rsidR="00361458" w:rsidRDefault="006F2D93" w:rsidP="00042F10">
      <w:pPr>
        <w:spacing w:line="480" w:lineRule="atLeast"/>
        <w:ind w:left="720"/>
        <w:rPr>
          <w:rFonts w:ascii="Arial" w:hAnsi="Arial" w:cs="Arial"/>
        </w:rPr>
      </w:pPr>
      <w:r>
        <w:rPr>
          <w:rFonts w:ascii="Arial" w:hAnsi="Arial" w:cs="Arial"/>
        </w:rPr>
        <w:t>Three alternatives were chosen to evaluate replacing our materials management, procurement, accounts payable and general ledger systems.  The three alternatives were:</w:t>
      </w:r>
    </w:p>
    <w:p w:rsidR="009B5B7D" w:rsidRDefault="00E13EF5" w:rsidP="00DE7D73">
      <w:pPr>
        <w:pStyle w:val="ListParagraph"/>
        <w:numPr>
          <w:ilvl w:val="0"/>
          <w:numId w:val="8"/>
        </w:numPr>
        <w:spacing w:after="0" w:line="480" w:lineRule="atLeast"/>
        <w:rPr>
          <w:rFonts w:ascii="Arial" w:hAnsi="Arial" w:cs="Arial"/>
          <w:szCs w:val="24"/>
        </w:rPr>
      </w:pPr>
      <w:r w:rsidRPr="00E13EF5">
        <w:rPr>
          <w:rFonts w:ascii="Arial" w:hAnsi="Arial" w:cs="Arial"/>
          <w:sz w:val="24"/>
          <w:szCs w:val="24"/>
        </w:rPr>
        <w:t xml:space="preserve">A combination of </w:t>
      </w:r>
      <w:proofErr w:type="spellStart"/>
      <w:r w:rsidRPr="00E13EF5">
        <w:rPr>
          <w:rFonts w:ascii="Arial" w:hAnsi="Arial" w:cs="Arial"/>
          <w:sz w:val="24"/>
          <w:szCs w:val="24"/>
        </w:rPr>
        <w:t>Maximo</w:t>
      </w:r>
      <w:proofErr w:type="spellEnd"/>
      <w:r w:rsidRPr="00E13EF5">
        <w:rPr>
          <w:rFonts w:ascii="Arial" w:hAnsi="Arial" w:cs="Arial"/>
          <w:sz w:val="24"/>
          <w:szCs w:val="24"/>
        </w:rPr>
        <w:t xml:space="preserve"> for materials and procurement with Oracle for accounts payable and general ledger.</w:t>
      </w:r>
    </w:p>
    <w:p w:rsidR="009B5B7D" w:rsidRDefault="00E13EF5" w:rsidP="00DE7D73">
      <w:pPr>
        <w:pStyle w:val="ListParagraph"/>
        <w:numPr>
          <w:ilvl w:val="0"/>
          <w:numId w:val="8"/>
        </w:numPr>
        <w:spacing w:after="0" w:line="480" w:lineRule="atLeast"/>
        <w:rPr>
          <w:rFonts w:ascii="Arial" w:hAnsi="Arial" w:cs="Arial"/>
          <w:szCs w:val="24"/>
        </w:rPr>
      </w:pPr>
      <w:r w:rsidRPr="00E13EF5">
        <w:rPr>
          <w:rFonts w:ascii="Arial" w:hAnsi="Arial" w:cs="Arial"/>
          <w:sz w:val="24"/>
          <w:szCs w:val="24"/>
        </w:rPr>
        <w:t>Oracle for all applications.</w:t>
      </w:r>
    </w:p>
    <w:p w:rsidR="009B5B7D" w:rsidRDefault="00E13EF5" w:rsidP="00DE7D73">
      <w:pPr>
        <w:pStyle w:val="ListParagraph"/>
        <w:numPr>
          <w:ilvl w:val="0"/>
          <w:numId w:val="8"/>
        </w:numPr>
        <w:spacing w:after="0" w:line="480" w:lineRule="atLeast"/>
        <w:rPr>
          <w:rFonts w:ascii="Arial" w:hAnsi="Arial" w:cs="Arial"/>
          <w:szCs w:val="24"/>
        </w:rPr>
      </w:pPr>
      <w:r w:rsidRPr="00E13EF5">
        <w:rPr>
          <w:rFonts w:ascii="Arial" w:hAnsi="Arial" w:cs="Arial"/>
          <w:sz w:val="24"/>
          <w:szCs w:val="24"/>
        </w:rPr>
        <w:t>Systems, Applications, and Products in Data Processing (SAP) for all applications.</w:t>
      </w:r>
    </w:p>
    <w:p w:rsidR="00D87B8A" w:rsidRDefault="00D87B8A" w:rsidP="007565EB">
      <w:pPr>
        <w:spacing w:line="480" w:lineRule="atLeast"/>
        <w:ind w:left="720"/>
        <w:rPr>
          <w:rFonts w:ascii="Arial" w:hAnsi="Arial" w:cs="Arial"/>
        </w:rPr>
      </w:pPr>
    </w:p>
    <w:p w:rsidR="00361458" w:rsidRDefault="00A543E5" w:rsidP="00042F10">
      <w:pPr>
        <w:spacing w:line="480" w:lineRule="atLeast"/>
        <w:ind w:left="720"/>
        <w:rPr>
          <w:rFonts w:ascii="Arial" w:hAnsi="Arial" w:cs="Arial"/>
        </w:rPr>
      </w:pPr>
      <w:r>
        <w:rPr>
          <w:rFonts w:ascii="Arial" w:hAnsi="Arial" w:cs="Arial"/>
        </w:rPr>
        <w:t>There were pluses and minuses for all three alternatives</w:t>
      </w:r>
      <w:r w:rsidR="007A5EB9">
        <w:rPr>
          <w:rFonts w:ascii="Arial" w:hAnsi="Arial" w:cs="Arial"/>
        </w:rPr>
        <w:t>,</w:t>
      </w:r>
      <w:r>
        <w:rPr>
          <w:rFonts w:ascii="Arial" w:hAnsi="Arial" w:cs="Arial"/>
        </w:rPr>
        <w:t xml:space="preserve"> but functionality, cost and strategic fit were the drivers that led to the decision to replace our </w:t>
      </w:r>
      <w:r>
        <w:rPr>
          <w:rFonts w:ascii="Arial" w:hAnsi="Arial" w:cs="Arial"/>
        </w:rPr>
        <w:lastRenderedPageBreak/>
        <w:t xml:space="preserve">systems with a combination of </w:t>
      </w:r>
      <w:proofErr w:type="spellStart"/>
      <w:r>
        <w:rPr>
          <w:rFonts w:ascii="Arial" w:hAnsi="Arial" w:cs="Arial"/>
        </w:rPr>
        <w:t>Maximo</w:t>
      </w:r>
      <w:proofErr w:type="spellEnd"/>
      <w:r>
        <w:rPr>
          <w:rFonts w:ascii="Arial" w:hAnsi="Arial" w:cs="Arial"/>
        </w:rPr>
        <w:t xml:space="preserve"> and Oracle.  </w:t>
      </w:r>
      <w:proofErr w:type="spellStart"/>
      <w:r>
        <w:rPr>
          <w:rFonts w:ascii="Arial" w:hAnsi="Arial" w:cs="Arial"/>
        </w:rPr>
        <w:t>Maximo</w:t>
      </w:r>
      <w:proofErr w:type="spellEnd"/>
      <w:r>
        <w:rPr>
          <w:rFonts w:ascii="Arial" w:hAnsi="Arial" w:cs="Arial"/>
        </w:rPr>
        <w:t xml:space="preserve"> also provided a work order management solution </w:t>
      </w:r>
      <w:r w:rsidR="007A5EB9">
        <w:rPr>
          <w:rFonts w:ascii="Arial" w:hAnsi="Arial" w:cs="Arial"/>
        </w:rPr>
        <w:t>that</w:t>
      </w:r>
      <w:r>
        <w:rPr>
          <w:rFonts w:ascii="Arial" w:hAnsi="Arial" w:cs="Arial"/>
        </w:rPr>
        <w:t xml:space="preserve"> was also included in the </w:t>
      </w:r>
      <w:r w:rsidR="00042F10">
        <w:rPr>
          <w:rFonts w:ascii="Arial" w:hAnsi="Arial" w:cs="Arial"/>
        </w:rPr>
        <w:t xml:space="preserve">scope of the </w:t>
      </w:r>
      <w:r>
        <w:rPr>
          <w:rFonts w:ascii="Arial" w:hAnsi="Arial" w:cs="Arial"/>
        </w:rPr>
        <w:t xml:space="preserve">project.  Oracle also has a customer service </w:t>
      </w:r>
      <w:r w:rsidR="00E24203">
        <w:rPr>
          <w:rFonts w:ascii="Arial" w:hAnsi="Arial" w:cs="Arial"/>
        </w:rPr>
        <w:t>module that may be viable for our needs if a decision is made in the future to replace our Customer Service System (CSS) system.</w:t>
      </w:r>
    </w:p>
    <w:p w:rsidR="009B5B7D" w:rsidRDefault="009B5B7D" w:rsidP="00DE7D73">
      <w:pPr>
        <w:spacing w:line="480" w:lineRule="atLeast"/>
        <w:ind w:left="720" w:hanging="720"/>
        <w:rPr>
          <w:rFonts w:ascii="Arial" w:hAnsi="Arial" w:cs="Arial"/>
        </w:rPr>
      </w:pPr>
    </w:p>
    <w:p w:rsidR="00361458" w:rsidRDefault="00EE430B" w:rsidP="00361458">
      <w:pPr>
        <w:spacing w:line="480" w:lineRule="atLeast"/>
        <w:ind w:left="720"/>
        <w:jc w:val="center"/>
        <w:rPr>
          <w:rFonts w:ascii="Arial" w:hAnsi="Arial" w:cs="Arial"/>
        </w:rPr>
      </w:pPr>
      <w:r>
        <w:rPr>
          <w:rFonts w:ascii="Arial" w:hAnsi="Arial" w:cs="Arial"/>
        </w:rPr>
        <w:t>G</w:t>
      </w:r>
      <w:r w:rsidR="00FD5723">
        <w:rPr>
          <w:rFonts w:ascii="Arial" w:hAnsi="Arial" w:cs="Arial"/>
        </w:rPr>
        <w:t>. Rate Case Expense</w:t>
      </w:r>
    </w:p>
    <w:p w:rsidR="009B5B7D" w:rsidRDefault="003E373B" w:rsidP="00DE7D73">
      <w:pPr>
        <w:spacing w:line="480" w:lineRule="atLeast"/>
        <w:ind w:left="720" w:hanging="720"/>
        <w:rPr>
          <w:rFonts w:ascii="Arial" w:hAnsi="Arial" w:cs="Arial"/>
        </w:rPr>
      </w:pPr>
      <w:r>
        <w:rPr>
          <w:rFonts w:ascii="Arial" w:hAnsi="Arial" w:cs="Arial"/>
        </w:rPr>
        <w:t>Q.</w:t>
      </w:r>
      <w:r>
        <w:rPr>
          <w:rFonts w:ascii="Arial" w:hAnsi="Arial" w:cs="Arial"/>
        </w:rPr>
        <w:tab/>
      </w:r>
      <w:r w:rsidR="00D43C5D">
        <w:rPr>
          <w:rFonts w:ascii="Arial" w:hAnsi="Arial" w:cs="Arial"/>
        </w:rPr>
        <w:t xml:space="preserve">The next category of A&amp;G </w:t>
      </w:r>
      <w:r w:rsidR="00417CC4">
        <w:rPr>
          <w:rFonts w:ascii="Arial" w:hAnsi="Arial" w:cs="Arial"/>
        </w:rPr>
        <w:t>expense</w:t>
      </w:r>
      <w:r w:rsidR="00D43C5D">
        <w:rPr>
          <w:rFonts w:ascii="Arial" w:hAnsi="Arial" w:cs="Arial"/>
        </w:rPr>
        <w:t xml:space="preserve"> that you </w:t>
      </w:r>
      <w:r w:rsidR="005A15BB">
        <w:rPr>
          <w:rFonts w:ascii="Arial" w:hAnsi="Arial" w:cs="Arial"/>
        </w:rPr>
        <w:t xml:space="preserve">have </w:t>
      </w:r>
      <w:r w:rsidR="00D43C5D">
        <w:rPr>
          <w:rFonts w:ascii="Arial" w:hAnsi="Arial" w:cs="Arial"/>
        </w:rPr>
        <w:t>shown as an A&amp;G O&amp;M benchmark justification on Exhibit CJE-</w:t>
      </w:r>
      <w:r w:rsidR="00790D7B">
        <w:rPr>
          <w:rFonts w:ascii="Arial" w:hAnsi="Arial" w:cs="Arial"/>
        </w:rPr>
        <w:t xml:space="preserve">1, </w:t>
      </w:r>
      <w:r w:rsidR="00B640A6">
        <w:rPr>
          <w:rFonts w:ascii="Arial" w:hAnsi="Arial" w:cs="Arial"/>
        </w:rPr>
        <w:t>Schedule 3</w:t>
      </w:r>
      <w:r w:rsidR="00D43C5D">
        <w:rPr>
          <w:rFonts w:ascii="Arial" w:hAnsi="Arial" w:cs="Arial"/>
        </w:rPr>
        <w:t xml:space="preserve"> is rate case expense.  </w:t>
      </w:r>
      <w:r>
        <w:rPr>
          <w:rFonts w:ascii="Arial" w:hAnsi="Arial" w:cs="Arial"/>
        </w:rPr>
        <w:t xml:space="preserve">Please explain what is included in rate case expense and </w:t>
      </w:r>
      <w:r w:rsidR="00D43C5D">
        <w:rPr>
          <w:rFonts w:ascii="Arial" w:hAnsi="Arial" w:cs="Arial"/>
        </w:rPr>
        <w:t>justify</w:t>
      </w:r>
      <w:r>
        <w:rPr>
          <w:rFonts w:ascii="Arial" w:hAnsi="Arial" w:cs="Arial"/>
        </w:rPr>
        <w:t xml:space="preserve"> the benchmark variance</w:t>
      </w:r>
      <w:r w:rsidR="00D43C5D">
        <w:rPr>
          <w:rFonts w:ascii="Arial" w:hAnsi="Arial" w:cs="Arial"/>
        </w:rPr>
        <w:t xml:space="preserve"> for this category of expense</w:t>
      </w:r>
      <w:r>
        <w:rPr>
          <w:rFonts w:ascii="Arial" w:hAnsi="Arial" w:cs="Arial"/>
        </w:rPr>
        <w:t>.</w:t>
      </w:r>
    </w:p>
    <w:p w:rsidR="00C31494" w:rsidRDefault="003E373B" w:rsidP="00DE7D73">
      <w:pPr>
        <w:spacing w:line="480" w:lineRule="atLeast"/>
        <w:ind w:left="720" w:hanging="720"/>
        <w:rPr>
          <w:rFonts w:ascii="Arial" w:hAnsi="Arial" w:cs="Arial"/>
        </w:rPr>
      </w:pPr>
      <w:r>
        <w:rPr>
          <w:rFonts w:ascii="Arial" w:hAnsi="Arial" w:cs="Arial"/>
        </w:rPr>
        <w:t>A.</w:t>
      </w:r>
      <w:r>
        <w:rPr>
          <w:rFonts w:ascii="Arial" w:hAnsi="Arial" w:cs="Arial"/>
        </w:rPr>
        <w:tab/>
        <w:t>The Company did not include rate case expenses in its 2012 budget</w:t>
      </w:r>
      <w:r w:rsidR="005A15BB">
        <w:rPr>
          <w:rFonts w:ascii="Arial" w:hAnsi="Arial" w:cs="Arial"/>
        </w:rPr>
        <w:t>; therefore</w:t>
      </w:r>
      <w:r w:rsidR="00D7287D">
        <w:rPr>
          <w:rFonts w:ascii="Arial" w:hAnsi="Arial" w:cs="Arial"/>
        </w:rPr>
        <w:t>,</w:t>
      </w:r>
      <w:r w:rsidR="005A15BB">
        <w:rPr>
          <w:rFonts w:ascii="Arial" w:hAnsi="Arial" w:cs="Arial"/>
        </w:rPr>
        <w:t xml:space="preserve"> </w:t>
      </w:r>
      <w:r w:rsidR="007565EB">
        <w:rPr>
          <w:rFonts w:ascii="Arial" w:hAnsi="Arial" w:cs="Arial"/>
        </w:rPr>
        <w:t>Mr.</w:t>
      </w:r>
      <w:r w:rsidR="005A15BB">
        <w:rPr>
          <w:rFonts w:ascii="Arial" w:hAnsi="Arial" w:cs="Arial"/>
        </w:rPr>
        <w:t xml:space="preserve"> McMillan has made </w:t>
      </w:r>
      <w:r>
        <w:rPr>
          <w:rFonts w:ascii="Arial" w:hAnsi="Arial" w:cs="Arial"/>
        </w:rPr>
        <w:t>adjustment</w:t>
      </w:r>
      <w:r w:rsidR="005A15BB">
        <w:rPr>
          <w:rFonts w:ascii="Arial" w:hAnsi="Arial" w:cs="Arial"/>
        </w:rPr>
        <w:t>s to net operating income and rate base</w:t>
      </w:r>
      <w:r>
        <w:rPr>
          <w:rFonts w:ascii="Arial" w:hAnsi="Arial" w:cs="Arial"/>
        </w:rPr>
        <w:t xml:space="preserve"> </w:t>
      </w:r>
      <w:r w:rsidR="00D87B8A">
        <w:rPr>
          <w:rFonts w:ascii="Arial" w:hAnsi="Arial" w:cs="Arial"/>
        </w:rPr>
        <w:t>in</w:t>
      </w:r>
      <w:r w:rsidR="005A15BB">
        <w:rPr>
          <w:rFonts w:ascii="Arial" w:hAnsi="Arial" w:cs="Arial"/>
        </w:rPr>
        <w:t xml:space="preserve"> his exhibit </w:t>
      </w:r>
      <w:r>
        <w:rPr>
          <w:rFonts w:ascii="Arial" w:hAnsi="Arial" w:cs="Arial"/>
        </w:rPr>
        <w:t xml:space="preserve">necessary to include the </w:t>
      </w:r>
      <w:r w:rsidR="005A15BB">
        <w:rPr>
          <w:rFonts w:ascii="Arial" w:hAnsi="Arial" w:cs="Arial"/>
        </w:rPr>
        <w:t xml:space="preserve">13-month average unamortized balance of 2011 rate case expense in rate base and the </w:t>
      </w:r>
      <w:r>
        <w:rPr>
          <w:rFonts w:ascii="Arial" w:hAnsi="Arial" w:cs="Arial"/>
        </w:rPr>
        <w:t xml:space="preserve">amortization of </w:t>
      </w:r>
      <w:r w:rsidR="005A15BB">
        <w:rPr>
          <w:rFonts w:ascii="Arial" w:hAnsi="Arial" w:cs="Arial"/>
        </w:rPr>
        <w:t>these</w:t>
      </w:r>
      <w:r>
        <w:rPr>
          <w:rFonts w:ascii="Arial" w:hAnsi="Arial" w:cs="Arial"/>
        </w:rPr>
        <w:t xml:space="preserve"> rate case expenses in</w:t>
      </w:r>
      <w:r w:rsidR="005A15BB">
        <w:rPr>
          <w:rFonts w:ascii="Arial" w:hAnsi="Arial" w:cs="Arial"/>
        </w:rPr>
        <w:t xml:space="preserve"> O&amp;M expense in</w:t>
      </w:r>
      <w:r>
        <w:rPr>
          <w:rFonts w:ascii="Arial" w:hAnsi="Arial" w:cs="Arial"/>
        </w:rPr>
        <w:t xml:space="preserve"> the test year. The </w:t>
      </w:r>
      <w:r w:rsidR="005A15BB">
        <w:rPr>
          <w:rFonts w:ascii="Arial" w:hAnsi="Arial" w:cs="Arial"/>
        </w:rPr>
        <w:t xml:space="preserve">majority of the </w:t>
      </w:r>
      <w:r>
        <w:rPr>
          <w:rFonts w:ascii="Arial" w:hAnsi="Arial" w:cs="Arial"/>
        </w:rPr>
        <w:t>incremental expense</w:t>
      </w:r>
      <w:r w:rsidR="005A15BB">
        <w:rPr>
          <w:rFonts w:ascii="Arial" w:hAnsi="Arial" w:cs="Arial"/>
        </w:rPr>
        <w:t>s</w:t>
      </w:r>
      <w:r>
        <w:rPr>
          <w:rFonts w:ascii="Arial" w:hAnsi="Arial" w:cs="Arial"/>
        </w:rPr>
        <w:t xml:space="preserve"> associated with this rate case will be incurred in 2011</w:t>
      </w:r>
      <w:r w:rsidR="00C31494">
        <w:rPr>
          <w:rFonts w:ascii="Arial" w:hAnsi="Arial" w:cs="Arial"/>
        </w:rPr>
        <w:t>,</w:t>
      </w:r>
      <w:r>
        <w:rPr>
          <w:rFonts w:ascii="Arial" w:hAnsi="Arial" w:cs="Arial"/>
        </w:rPr>
        <w:t xml:space="preserve"> but </w:t>
      </w:r>
      <w:r w:rsidR="00C31494">
        <w:rPr>
          <w:rFonts w:ascii="Arial" w:hAnsi="Arial" w:cs="Arial"/>
        </w:rPr>
        <w:t xml:space="preserve">will be </w:t>
      </w:r>
      <w:r>
        <w:rPr>
          <w:rFonts w:ascii="Arial" w:hAnsi="Arial" w:cs="Arial"/>
        </w:rPr>
        <w:t xml:space="preserve">deferred </w:t>
      </w:r>
      <w:r w:rsidR="00C31494">
        <w:rPr>
          <w:rFonts w:ascii="Arial" w:hAnsi="Arial" w:cs="Arial"/>
        </w:rPr>
        <w:t xml:space="preserve">and amortized </w:t>
      </w:r>
      <w:r>
        <w:rPr>
          <w:rFonts w:ascii="Arial" w:hAnsi="Arial" w:cs="Arial"/>
        </w:rPr>
        <w:t xml:space="preserve">to better match a longer period of time that new rates will be in effect. </w:t>
      </w:r>
    </w:p>
    <w:p w:rsidR="00C31494" w:rsidRDefault="00C31494" w:rsidP="00DE7D73">
      <w:pPr>
        <w:spacing w:line="480" w:lineRule="atLeast"/>
        <w:ind w:left="720" w:hanging="720"/>
        <w:rPr>
          <w:rFonts w:ascii="Arial" w:hAnsi="Arial" w:cs="Arial"/>
        </w:rPr>
      </w:pPr>
    </w:p>
    <w:p w:rsidR="00A9518E" w:rsidRDefault="003E373B" w:rsidP="008111DA">
      <w:pPr>
        <w:spacing w:line="480" w:lineRule="atLeast"/>
        <w:ind w:left="720"/>
        <w:rPr>
          <w:rFonts w:ascii="Arial" w:hAnsi="Arial" w:cs="Arial"/>
        </w:rPr>
      </w:pPr>
      <w:r>
        <w:rPr>
          <w:rFonts w:ascii="Arial" w:hAnsi="Arial" w:cs="Arial"/>
        </w:rPr>
        <w:t>The Company estimates rate case expenses to be $2,800,000</w:t>
      </w:r>
      <w:r w:rsidR="00C31494">
        <w:rPr>
          <w:rFonts w:ascii="Arial" w:hAnsi="Arial" w:cs="Arial"/>
        </w:rPr>
        <w:t>.  Gulf</w:t>
      </w:r>
      <w:r>
        <w:rPr>
          <w:rFonts w:ascii="Arial" w:hAnsi="Arial" w:cs="Arial"/>
        </w:rPr>
        <w:t xml:space="preserve"> is proposing to amortize the</w:t>
      </w:r>
      <w:r w:rsidR="00C31494">
        <w:rPr>
          <w:rFonts w:ascii="Arial" w:hAnsi="Arial" w:cs="Arial"/>
        </w:rPr>
        <w:t>se rate case</w:t>
      </w:r>
      <w:r>
        <w:rPr>
          <w:rFonts w:ascii="Arial" w:hAnsi="Arial" w:cs="Arial"/>
        </w:rPr>
        <w:t xml:space="preserve"> expenses over a four-year period beginning in 2012. The jurisdictional </w:t>
      </w:r>
      <w:r w:rsidR="00431CDA">
        <w:rPr>
          <w:rFonts w:ascii="Arial" w:hAnsi="Arial" w:cs="Arial"/>
        </w:rPr>
        <w:t xml:space="preserve">net </w:t>
      </w:r>
      <w:r>
        <w:rPr>
          <w:rFonts w:ascii="Arial" w:hAnsi="Arial" w:cs="Arial"/>
        </w:rPr>
        <w:t xml:space="preserve">operating income adjustment is an increase in </w:t>
      </w:r>
      <w:r w:rsidR="00C31494">
        <w:rPr>
          <w:rFonts w:ascii="Arial" w:hAnsi="Arial" w:cs="Arial"/>
        </w:rPr>
        <w:t xml:space="preserve">2012 </w:t>
      </w:r>
      <w:r>
        <w:rPr>
          <w:rFonts w:ascii="Arial" w:hAnsi="Arial" w:cs="Arial"/>
        </w:rPr>
        <w:t xml:space="preserve">expenses of $700,000. This is $249,000 above the </w:t>
      </w:r>
    </w:p>
    <w:p w:rsidR="00A9518E" w:rsidRDefault="00A9518E" w:rsidP="008111DA">
      <w:pPr>
        <w:spacing w:line="480" w:lineRule="atLeast"/>
        <w:ind w:left="720"/>
        <w:rPr>
          <w:rFonts w:ascii="Arial" w:hAnsi="Arial" w:cs="Arial"/>
        </w:rPr>
      </w:pPr>
    </w:p>
    <w:p w:rsidR="00361458" w:rsidRDefault="003E373B" w:rsidP="008111DA">
      <w:pPr>
        <w:spacing w:line="480" w:lineRule="atLeast"/>
        <w:ind w:left="720"/>
        <w:rPr>
          <w:rFonts w:ascii="Arial" w:hAnsi="Arial" w:cs="Arial"/>
        </w:rPr>
      </w:pPr>
      <w:proofErr w:type="gramStart"/>
      <w:r>
        <w:rPr>
          <w:rFonts w:ascii="Arial" w:hAnsi="Arial" w:cs="Arial"/>
        </w:rPr>
        <w:lastRenderedPageBreak/>
        <w:t>benchmark</w:t>
      </w:r>
      <w:proofErr w:type="gramEnd"/>
      <w:r>
        <w:rPr>
          <w:rFonts w:ascii="Arial" w:hAnsi="Arial" w:cs="Arial"/>
        </w:rPr>
        <w:t>. The jurisdictional rate base adjustment for working capital to reflect the unamortized balance is an increase of $2,</w:t>
      </w:r>
      <w:r w:rsidR="00EE430B">
        <w:rPr>
          <w:rFonts w:ascii="Arial" w:hAnsi="Arial" w:cs="Arial"/>
        </w:rPr>
        <w:t>450</w:t>
      </w:r>
      <w:r>
        <w:rPr>
          <w:rFonts w:ascii="Arial" w:hAnsi="Arial" w:cs="Arial"/>
        </w:rPr>
        <w:t>,000.</w:t>
      </w:r>
    </w:p>
    <w:p w:rsidR="000F5FA6" w:rsidRDefault="000F5FA6" w:rsidP="00DE7D73">
      <w:pPr>
        <w:spacing w:line="480" w:lineRule="atLeast"/>
        <w:ind w:left="720"/>
        <w:rPr>
          <w:rFonts w:ascii="Arial" w:hAnsi="Arial" w:cs="Arial"/>
        </w:rPr>
      </w:pPr>
    </w:p>
    <w:p w:rsidR="00361458" w:rsidRDefault="00C31494" w:rsidP="008111DA">
      <w:pPr>
        <w:spacing w:line="480" w:lineRule="atLeast"/>
        <w:ind w:left="720"/>
        <w:rPr>
          <w:rFonts w:ascii="Arial" w:hAnsi="Arial" w:cs="Arial"/>
        </w:rPr>
      </w:pPr>
      <w:r>
        <w:rPr>
          <w:rFonts w:ascii="Arial" w:hAnsi="Arial" w:cs="Arial"/>
        </w:rPr>
        <w:t xml:space="preserve">In the decade since Gulf’s last rate case, the cost of rate cases has increased markedly.  </w:t>
      </w:r>
      <w:r w:rsidR="00EC4EEE">
        <w:rPr>
          <w:rFonts w:ascii="Arial" w:hAnsi="Arial" w:cs="Arial"/>
        </w:rPr>
        <w:t xml:space="preserve">A review of </w:t>
      </w:r>
      <w:r>
        <w:rPr>
          <w:rFonts w:ascii="Arial" w:hAnsi="Arial" w:cs="Arial"/>
        </w:rPr>
        <w:t xml:space="preserve">the </w:t>
      </w:r>
      <w:r w:rsidR="00431CDA">
        <w:rPr>
          <w:rFonts w:ascii="Arial" w:hAnsi="Arial" w:cs="Arial"/>
        </w:rPr>
        <w:t xml:space="preserve">recent </w:t>
      </w:r>
      <w:r>
        <w:rPr>
          <w:rFonts w:ascii="Arial" w:hAnsi="Arial" w:cs="Arial"/>
        </w:rPr>
        <w:t xml:space="preserve">rate case </w:t>
      </w:r>
      <w:r w:rsidR="00417CC4">
        <w:rPr>
          <w:rFonts w:ascii="Arial" w:hAnsi="Arial" w:cs="Arial"/>
        </w:rPr>
        <w:t>experience</w:t>
      </w:r>
      <w:r>
        <w:rPr>
          <w:rFonts w:ascii="Arial" w:hAnsi="Arial" w:cs="Arial"/>
        </w:rPr>
        <w:t xml:space="preserve"> of other Florida investor owned electric utilities</w:t>
      </w:r>
      <w:r w:rsidR="00EC4EEE">
        <w:rPr>
          <w:rFonts w:ascii="Arial" w:hAnsi="Arial" w:cs="Arial"/>
        </w:rPr>
        <w:t xml:space="preserve"> indicates</w:t>
      </w:r>
      <w:r>
        <w:rPr>
          <w:rFonts w:ascii="Arial" w:hAnsi="Arial" w:cs="Arial"/>
        </w:rPr>
        <w:t xml:space="preserve"> more </w:t>
      </w:r>
      <w:proofErr w:type="spellStart"/>
      <w:r>
        <w:rPr>
          <w:rFonts w:ascii="Arial" w:hAnsi="Arial" w:cs="Arial"/>
        </w:rPr>
        <w:t>intervenors</w:t>
      </w:r>
      <w:proofErr w:type="spellEnd"/>
      <w:r>
        <w:rPr>
          <w:rFonts w:ascii="Arial" w:hAnsi="Arial" w:cs="Arial"/>
        </w:rPr>
        <w:t xml:space="preserve">, more discovery, more contested issues and more witnesses than Gulf experienced in its last rate case.  </w:t>
      </w:r>
      <w:r w:rsidR="00AE30F3">
        <w:rPr>
          <w:rFonts w:ascii="Arial" w:hAnsi="Arial" w:cs="Arial"/>
        </w:rPr>
        <w:t>W</w:t>
      </w:r>
      <w:r>
        <w:rPr>
          <w:rFonts w:ascii="Arial" w:hAnsi="Arial" w:cs="Arial"/>
        </w:rPr>
        <w:t xml:space="preserve">hen putting together its </w:t>
      </w:r>
      <w:r w:rsidR="00417CC4">
        <w:rPr>
          <w:rFonts w:ascii="Arial" w:hAnsi="Arial" w:cs="Arial"/>
        </w:rPr>
        <w:t>anticipated</w:t>
      </w:r>
      <w:r>
        <w:rPr>
          <w:rFonts w:ascii="Arial" w:hAnsi="Arial" w:cs="Arial"/>
        </w:rPr>
        <w:t xml:space="preserve"> rate case budget</w:t>
      </w:r>
      <w:r w:rsidR="008111DA">
        <w:rPr>
          <w:rFonts w:ascii="Arial" w:hAnsi="Arial" w:cs="Arial"/>
        </w:rPr>
        <w:t>,</w:t>
      </w:r>
      <w:r>
        <w:rPr>
          <w:rFonts w:ascii="Arial" w:hAnsi="Arial" w:cs="Arial"/>
        </w:rPr>
        <w:t xml:space="preserve"> Gulf assumed it would have a similar experience.</w:t>
      </w:r>
      <w:r w:rsidR="000077FF">
        <w:rPr>
          <w:rFonts w:ascii="Arial" w:hAnsi="Arial" w:cs="Arial"/>
        </w:rPr>
        <w:t xml:space="preserve">  To address these additional anticipated demands, Gulf will have to spend more on incremental internal resources as well as additional outside consulting and legal fees than it did in its last rate case </w:t>
      </w:r>
      <w:r w:rsidR="00EC4EEE">
        <w:rPr>
          <w:rFonts w:ascii="Arial" w:hAnsi="Arial" w:cs="Arial"/>
        </w:rPr>
        <w:t xml:space="preserve">as </w:t>
      </w:r>
      <w:r w:rsidR="000077FF">
        <w:rPr>
          <w:rFonts w:ascii="Arial" w:hAnsi="Arial" w:cs="Arial"/>
        </w:rPr>
        <w:t xml:space="preserve">escalated by CPI and customer growth.   </w:t>
      </w:r>
      <w:r w:rsidR="00EC4EEE">
        <w:rPr>
          <w:rFonts w:ascii="Arial" w:hAnsi="Arial" w:cs="Arial"/>
        </w:rPr>
        <w:t>T</w:t>
      </w:r>
      <w:r w:rsidR="000077FF">
        <w:rPr>
          <w:rFonts w:ascii="Arial" w:hAnsi="Arial" w:cs="Arial"/>
        </w:rPr>
        <w:t>he $2,800,000 level of expenses budgeted and amortized over four years at $700,000 per year is both reasonable and prudent, even though it exceeds the A&amp;G O&amp;M benchmark calculation by $249,000 annually.</w:t>
      </w:r>
    </w:p>
    <w:p w:rsidR="009B5B7D" w:rsidRDefault="009B5B7D" w:rsidP="00DE7D73">
      <w:pPr>
        <w:spacing w:line="480" w:lineRule="atLeast"/>
        <w:ind w:left="720" w:hanging="720"/>
        <w:rPr>
          <w:rFonts w:ascii="Arial" w:hAnsi="Arial" w:cs="Arial"/>
        </w:rPr>
      </w:pPr>
    </w:p>
    <w:p w:rsidR="00361458" w:rsidRDefault="00EE430B" w:rsidP="00361458">
      <w:pPr>
        <w:spacing w:line="480" w:lineRule="atLeast"/>
        <w:ind w:left="720"/>
        <w:jc w:val="center"/>
        <w:rPr>
          <w:rFonts w:ascii="Arial" w:hAnsi="Arial" w:cs="Arial"/>
        </w:rPr>
      </w:pPr>
      <w:r>
        <w:rPr>
          <w:rFonts w:ascii="Arial" w:hAnsi="Arial" w:cs="Arial"/>
        </w:rPr>
        <w:t>H</w:t>
      </w:r>
      <w:r w:rsidR="00FD5723">
        <w:rPr>
          <w:rFonts w:ascii="Arial" w:hAnsi="Arial" w:cs="Arial"/>
        </w:rPr>
        <w:t>. Rent</w:t>
      </w:r>
    </w:p>
    <w:p w:rsidR="001C55EB" w:rsidRDefault="001C55EB" w:rsidP="001C55EB">
      <w:pPr>
        <w:spacing w:line="480" w:lineRule="atLeast"/>
        <w:ind w:left="720" w:hanging="720"/>
        <w:rPr>
          <w:rFonts w:ascii="Arial" w:hAnsi="Arial" w:cs="Arial"/>
        </w:rPr>
      </w:pPr>
      <w:r>
        <w:rPr>
          <w:rFonts w:ascii="Arial" w:hAnsi="Arial" w:cs="Arial"/>
        </w:rPr>
        <w:t>Q.</w:t>
      </w:r>
      <w:r>
        <w:rPr>
          <w:rFonts w:ascii="Arial" w:hAnsi="Arial" w:cs="Arial"/>
        </w:rPr>
        <w:tab/>
        <w:t>Your last category of A&amp;G O&amp;M benchmark justification is rent.  Please explain what is included in rent on Exhibit CJE-1, Schedule 3 and address the associated benchmark variance.</w:t>
      </w:r>
    </w:p>
    <w:p w:rsidR="001C55EB" w:rsidRDefault="001C55EB" w:rsidP="001C55EB">
      <w:pPr>
        <w:pStyle w:val="PlainText"/>
        <w:spacing w:line="480" w:lineRule="atLeast"/>
        <w:ind w:left="720" w:hanging="720"/>
        <w:rPr>
          <w:rFonts w:ascii="Arial" w:hAnsi="Arial" w:cs="Arial"/>
          <w:color w:val="000000"/>
        </w:rPr>
      </w:pPr>
      <w:r>
        <w:rPr>
          <w:rFonts w:ascii="Arial" w:hAnsi="Arial" w:cs="Arial"/>
        </w:rPr>
        <w:t>A.</w:t>
      </w:r>
      <w:r>
        <w:rPr>
          <w:rFonts w:ascii="Arial" w:hAnsi="Arial" w:cs="Arial"/>
        </w:rPr>
        <w:tab/>
        <w:t>R</w:t>
      </w:r>
      <w:r>
        <w:rPr>
          <w:rFonts w:ascii="Arial" w:hAnsi="Arial" w:cs="Arial"/>
          <w:color w:val="000000"/>
        </w:rPr>
        <w:t xml:space="preserve">ent includes the rental costs for </w:t>
      </w:r>
      <w:r w:rsidRPr="00A558E3">
        <w:rPr>
          <w:rFonts w:ascii="Arial" w:hAnsi="Arial" w:cs="Arial"/>
          <w:color w:val="000000"/>
        </w:rPr>
        <w:t xml:space="preserve">property </w:t>
      </w:r>
      <w:r>
        <w:rPr>
          <w:rFonts w:ascii="Arial" w:hAnsi="Arial" w:cs="Arial"/>
          <w:color w:val="000000"/>
        </w:rPr>
        <w:t>that Gulf does not own but</w:t>
      </w:r>
      <w:r w:rsidRPr="00A558E3">
        <w:rPr>
          <w:rFonts w:ascii="Arial" w:hAnsi="Arial" w:cs="Arial"/>
          <w:color w:val="000000"/>
        </w:rPr>
        <w:t xml:space="preserve"> uses, </w:t>
      </w:r>
      <w:r>
        <w:rPr>
          <w:rFonts w:ascii="Arial" w:hAnsi="Arial" w:cs="Arial"/>
          <w:color w:val="000000"/>
        </w:rPr>
        <w:t>occupies, or operates</w:t>
      </w:r>
      <w:r w:rsidRPr="00A558E3">
        <w:rPr>
          <w:rFonts w:ascii="Arial" w:hAnsi="Arial" w:cs="Arial"/>
          <w:color w:val="000000"/>
        </w:rPr>
        <w:t xml:space="preserve"> in connection w</w:t>
      </w:r>
      <w:r>
        <w:rPr>
          <w:rFonts w:ascii="Arial" w:hAnsi="Arial" w:cs="Arial"/>
          <w:color w:val="000000"/>
        </w:rPr>
        <w:t xml:space="preserve">ith electric operations </w:t>
      </w:r>
      <w:r w:rsidRPr="00A558E3">
        <w:rPr>
          <w:rFonts w:ascii="Arial" w:hAnsi="Arial" w:cs="Arial"/>
          <w:color w:val="000000"/>
        </w:rPr>
        <w:t xml:space="preserve">of the </w:t>
      </w:r>
      <w:r>
        <w:rPr>
          <w:rFonts w:ascii="Arial" w:hAnsi="Arial" w:cs="Arial"/>
          <w:color w:val="000000"/>
        </w:rPr>
        <w:t>C</w:t>
      </w:r>
      <w:r w:rsidRPr="00A558E3">
        <w:rPr>
          <w:rFonts w:ascii="Arial" w:hAnsi="Arial" w:cs="Arial"/>
          <w:color w:val="000000"/>
        </w:rPr>
        <w:t>ompany.</w:t>
      </w:r>
      <w:r>
        <w:rPr>
          <w:rFonts w:ascii="Arial" w:hAnsi="Arial" w:cs="Arial"/>
          <w:color w:val="000000"/>
        </w:rPr>
        <w:t xml:space="preserve"> Gulf is requesting $294,000 in the test year for the ongoing rent expenses for facilities the Company leases. This exceeds the benchmark </w:t>
      </w:r>
      <w:r>
        <w:rPr>
          <w:rFonts w:ascii="Arial" w:hAnsi="Arial" w:cs="Arial"/>
          <w:color w:val="000000"/>
        </w:rPr>
        <w:lastRenderedPageBreak/>
        <w:t>calculation by $247,000.  This entire benchmark variance is related to the Pensacola Customer Service Office facility discussed below.</w:t>
      </w:r>
    </w:p>
    <w:p w:rsidR="001C55EB" w:rsidRDefault="001C55EB" w:rsidP="001C55EB">
      <w:pPr>
        <w:pStyle w:val="PlainText"/>
        <w:spacing w:line="480" w:lineRule="atLeast"/>
        <w:ind w:left="720" w:hanging="720"/>
        <w:rPr>
          <w:rFonts w:ascii="Arial" w:hAnsi="Arial" w:cs="Arial"/>
          <w:color w:val="000000"/>
        </w:rPr>
      </w:pPr>
    </w:p>
    <w:p w:rsidR="001C55EB" w:rsidRDefault="001C55EB" w:rsidP="001C55EB">
      <w:pPr>
        <w:spacing w:line="480" w:lineRule="atLeast"/>
        <w:ind w:left="720" w:hanging="720"/>
        <w:rPr>
          <w:rFonts w:ascii="Arial" w:hAnsi="Arial" w:cs="Arial"/>
        </w:rPr>
      </w:pPr>
      <w:r>
        <w:rPr>
          <w:rFonts w:ascii="Arial" w:hAnsi="Arial" w:cs="Arial"/>
        </w:rPr>
        <w:t>Q.</w:t>
      </w:r>
      <w:r>
        <w:rPr>
          <w:rFonts w:ascii="Arial" w:hAnsi="Arial" w:cs="Arial"/>
        </w:rPr>
        <w:tab/>
        <w:t>What has changed since the last rate case to create a need for additional rent expense?</w:t>
      </w:r>
    </w:p>
    <w:p w:rsidR="001C55EB" w:rsidRDefault="001C55EB" w:rsidP="001C55EB">
      <w:pPr>
        <w:spacing w:line="480" w:lineRule="atLeast"/>
        <w:ind w:left="720" w:hanging="720"/>
        <w:rPr>
          <w:rFonts w:ascii="Arial" w:hAnsi="Arial" w:cs="Arial"/>
        </w:rPr>
      </w:pPr>
      <w:r>
        <w:rPr>
          <w:rFonts w:ascii="Arial" w:hAnsi="Arial" w:cs="Arial"/>
        </w:rPr>
        <w:t>A.</w:t>
      </w:r>
      <w:r>
        <w:rPr>
          <w:rFonts w:ascii="Arial" w:hAnsi="Arial" w:cs="Arial"/>
        </w:rPr>
        <w:tab/>
        <w:t>In 2008, we moved out of our Pace Boulevard building that housed</w:t>
      </w:r>
      <w:r w:rsidR="002D0299">
        <w:rPr>
          <w:rFonts w:ascii="Arial" w:hAnsi="Arial" w:cs="Arial"/>
        </w:rPr>
        <w:t>, among other departments,</w:t>
      </w:r>
      <w:r>
        <w:rPr>
          <w:rFonts w:ascii="Arial" w:hAnsi="Arial" w:cs="Arial"/>
        </w:rPr>
        <w:t xml:space="preserve"> our Pensacola Customer Service Office – where customers come in to pay their bills, sign up for energy efficiency programs and do other business with the Company.  We relocated </w:t>
      </w:r>
      <w:r w:rsidR="00084C1F">
        <w:rPr>
          <w:rFonts w:ascii="Arial" w:hAnsi="Arial" w:cs="Arial"/>
        </w:rPr>
        <w:t>the Pensacola Customer Service O</w:t>
      </w:r>
      <w:r>
        <w:rPr>
          <w:rFonts w:ascii="Arial" w:hAnsi="Arial" w:cs="Arial"/>
        </w:rPr>
        <w:t xml:space="preserve">ffice to a new location selected with customer convenience and access in mind.  It is next to a public bus route stop; it has 100 parking spaces; and it is accessible on the ground floor.  </w:t>
      </w:r>
    </w:p>
    <w:p w:rsidR="001C55EB" w:rsidRDefault="001C55EB" w:rsidP="001C55EB">
      <w:pPr>
        <w:spacing w:line="480" w:lineRule="atLeast"/>
        <w:ind w:left="720" w:hanging="720"/>
        <w:rPr>
          <w:rFonts w:ascii="Arial" w:hAnsi="Arial" w:cs="Arial"/>
        </w:rPr>
      </w:pPr>
    </w:p>
    <w:p w:rsidR="001C55EB" w:rsidRDefault="001C55EB" w:rsidP="001C55EB">
      <w:pPr>
        <w:spacing w:line="480" w:lineRule="atLeast"/>
        <w:ind w:left="720"/>
        <w:rPr>
          <w:rFonts w:ascii="Arial" w:hAnsi="Arial" w:cs="Arial"/>
        </w:rPr>
      </w:pPr>
      <w:r>
        <w:rPr>
          <w:rFonts w:ascii="Arial" w:hAnsi="Arial" w:cs="Arial"/>
        </w:rPr>
        <w:t>The new rental property required improvements to make it suitable for the customer operations.  These leasehold improvements were capitalized and are being expensed over the life of the lease.  The lease payments and the additional amount for the leasehold improvements are charged to A&amp;G expense in the rent category.  The total expense for this facility in the test year is $252,000.</w:t>
      </w:r>
    </w:p>
    <w:p w:rsidR="001C55EB" w:rsidRDefault="001C55EB" w:rsidP="001C55EB">
      <w:pPr>
        <w:spacing w:line="480" w:lineRule="atLeast"/>
        <w:ind w:left="720" w:hanging="720"/>
        <w:rPr>
          <w:rFonts w:ascii="Arial" w:hAnsi="Arial" w:cs="Arial"/>
        </w:rPr>
      </w:pPr>
    </w:p>
    <w:p w:rsidR="001C55EB" w:rsidRDefault="001C55EB" w:rsidP="001C55EB">
      <w:pPr>
        <w:spacing w:line="480" w:lineRule="atLeast"/>
        <w:ind w:left="720" w:hanging="720"/>
        <w:rPr>
          <w:rFonts w:ascii="Arial" w:hAnsi="Arial" w:cs="Arial"/>
        </w:rPr>
      </w:pPr>
      <w:r>
        <w:rPr>
          <w:rFonts w:ascii="Arial" w:hAnsi="Arial" w:cs="Arial"/>
        </w:rPr>
        <w:t>Q.</w:t>
      </w:r>
      <w:r>
        <w:rPr>
          <w:rFonts w:ascii="Arial" w:hAnsi="Arial" w:cs="Arial"/>
        </w:rPr>
        <w:tab/>
        <w:t>What led to the decision to move out of the Pace Boulevard building?</w:t>
      </w:r>
    </w:p>
    <w:p w:rsidR="001C55EB" w:rsidRDefault="001C55EB" w:rsidP="001C55EB">
      <w:pPr>
        <w:spacing w:line="480" w:lineRule="atLeast"/>
        <w:ind w:left="720" w:hanging="720"/>
        <w:rPr>
          <w:rFonts w:ascii="Arial" w:hAnsi="Arial" w:cs="Arial"/>
        </w:rPr>
      </w:pPr>
      <w:r>
        <w:rPr>
          <w:rFonts w:ascii="Arial" w:hAnsi="Arial" w:cs="Arial"/>
        </w:rPr>
        <w:t>A.</w:t>
      </w:r>
      <w:r>
        <w:rPr>
          <w:rFonts w:ascii="Arial" w:hAnsi="Arial" w:cs="Arial"/>
        </w:rPr>
        <w:tab/>
        <w:t xml:space="preserve">One of the departments located at the Pace Boulevard building was Gulf’s Distribution Operations Center (DOC).  In 2004 the Pace Boulevard facility incurred damage that included blown out windows and minor water damage as a result of Hurricane Ivan.  After Hurricane Katrina, Gulf </w:t>
      </w:r>
      <w:r>
        <w:rPr>
          <w:rFonts w:ascii="Arial" w:hAnsi="Arial" w:cs="Arial"/>
        </w:rPr>
        <w:lastRenderedPageBreak/>
        <w:t xml:space="preserve">assessed the likelihood of a flooded building if a similar storm surge was experienced like the one in Mississippi during Hurricane Katrina.  Gulf decided to relocate the DOC to a more inland Company owned facility.  </w:t>
      </w:r>
    </w:p>
    <w:p w:rsidR="001C55EB" w:rsidRDefault="001C55EB" w:rsidP="001C55EB">
      <w:pPr>
        <w:spacing w:line="480" w:lineRule="atLeast"/>
        <w:ind w:left="720" w:hanging="720"/>
        <w:rPr>
          <w:rFonts w:ascii="Arial" w:hAnsi="Arial" w:cs="Arial"/>
        </w:rPr>
      </w:pPr>
    </w:p>
    <w:p w:rsidR="001C55EB" w:rsidRDefault="001C55EB" w:rsidP="001C55EB">
      <w:pPr>
        <w:spacing w:line="480" w:lineRule="atLeast"/>
        <w:ind w:left="720"/>
        <w:rPr>
          <w:rFonts w:ascii="Arial" w:hAnsi="Arial" w:cs="Arial"/>
        </w:rPr>
      </w:pPr>
      <w:r>
        <w:rPr>
          <w:rFonts w:ascii="Arial" w:hAnsi="Arial" w:cs="Arial"/>
        </w:rPr>
        <w:t>In addition, the Pace Boulevard building was built in 1957 and had increasing O&amp;M costs associated with its upkeep.  The majority of the remaining departments in the building were reloc</w:t>
      </w:r>
      <w:r w:rsidR="00C33FE5">
        <w:rPr>
          <w:rFonts w:ascii="Arial" w:hAnsi="Arial" w:cs="Arial"/>
        </w:rPr>
        <w:t>ated to other Company facilities</w:t>
      </w:r>
      <w:r w:rsidR="00084C1F">
        <w:rPr>
          <w:rFonts w:ascii="Arial" w:hAnsi="Arial" w:cs="Arial"/>
        </w:rPr>
        <w:t>;</w:t>
      </w:r>
      <w:r>
        <w:rPr>
          <w:rFonts w:ascii="Arial" w:hAnsi="Arial" w:cs="Arial"/>
        </w:rPr>
        <w:t xml:space="preserve"> </w:t>
      </w:r>
      <w:r w:rsidR="00C33FE5">
        <w:rPr>
          <w:rFonts w:ascii="Arial" w:hAnsi="Arial" w:cs="Arial"/>
        </w:rPr>
        <w:t>h</w:t>
      </w:r>
      <w:r>
        <w:rPr>
          <w:rFonts w:ascii="Arial" w:hAnsi="Arial" w:cs="Arial"/>
        </w:rPr>
        <w:t xml:space="preserve">owever, none of </w:t>
      </w:r>
      <w:r w:rsidR="00C33FE5">
        <w:rPr>
          <w:rFonts w:ascii="Arial" w:hAnsi="Arial" w:cs="Arial"/>
        </w:rPr>
        <w:t>these other Company facilities</w:t>
      </w:r>
      <w:r>
        <w:rPr>
          <w:rFonts w:ascii="Arial" w:hAnsi="Arial" w:cs="Arial"/>
        </w:rPr>
        <w:t xml:space="preserve"> had the parking, bus route proximity and customer access attributes necessary for convenient Customer Service functions.</w:t>
      </w:r>
    </w:p>
    <w:p w:rsidR="001C55EB" w:rsidRDefault="001C55EB" w:rsidP="001C55EB">
      <w:pPr>
        <w:spacing w:line="480" w:lineRule="atLeast"/>
        <w:ind w:left="720" w:hanging="720"/>
        <w:rPr>
          <w:rFonts w:ascii="Arial" w:hAnsi="Arial" w:cs="Arial"/>
        </w:rPr>
      </w:pPr>
      <w:r>
        <w:rPr>
          <w:rFonts w:ascii="Arial" w:hAnsi="Arial" w:cs="Arial"/>
        </w:rPr>
        <w:t xml:space="preserve">  </w:t>
      </w:r>
    </w:p>
    <w:p w:rsidR="001C55EB" w:rsidRDefault="001C55EB" w:rsidP="001C55EB">
      <w:pPr>
        <w:spacing w:line="480" w:lineRule="atLeast"/>
        <w:ind w:left="720" w:hanging="720"/>
        <w:rPr>
          <w:rFonts w:ascii="Arial" w:hAnsi="Arial" w:cs="Arial"/>
        </w:rPr>
      </w:pPr>
      <w:r>
        <w:rPr>
          <w:rFonts w:ascii="Arial" w:hAnsi="Arial" w:cs="Arial"/>
        </w:rPr>
        <w:t>Q.</w:t>
      </w:r>
      <w:r>
        <w:rPr>
          <w:rFonts w:ascii="Arial" w:hAnsi="Arial" w:cs="Arial"/>
        </w:rPr>
        <w:tab/>
        <w:t>Is the amount included in the test year 2012 for the rent of the Customer Service Office facility reasonable?</w:t>
      </w:r>
    </w:p>
    <w:p w:rsidR="001C55EB" w:rsidRDefault="001C55EB" w:rsidP="001C55EB">
      <w:pPr>
        <w:spacing w:line="480" w:lineRule="atLeast"/>
        <w:ind w:left="720" w:hanging="720"/>
        <w:rPr>
          <w:rFonts w:ascii="Arial" w:hAnsi="Arial" w:cs="Arial"/>
        </w:rPr>
      </w:pPr>
      <w:r>
        <w:rPr>
          <w:rFonts w:ascii="Arial" w:hAnsi="Arial" w:cs="Arial"/>
        </w:rPr>
        <w:t>A.</w:t>
      </w:r>
      <w:r>
        <w:rPr>
          <w:rFonts w:ascii="Arial" w:hAnsi="Arial" w:cs="Arial"/>
        </w:rPr>
        <w:tab/>
        <w:t xml:space="preserve">Yes.  The $18 per square foot rental fee is reasonable.  Gulf compared rents in the downtown area for class “A/B” space.  The comparable rents were in the $16 to $24 per square foot range.  </w:t>
      </w:r>
    </w:p>
    <w:p w:rsidR="009B5B7D" w:rsidRDefault="003E373B" w:rsidP="00DE7D73">
      <w:pPr>
        <w:spacing w:line="480" w:lineRule="atLeast"/>
        <w:ind w:left="720"/>
        <w:rPr>
          <w:rFonts w:ascii="Arial" w:hAnsi="Arial"/>
        </w:rPr>
      </w:pPr>
      <w:r>
        <w:rPr>
          <w:rFonts w:ascii="Arial" w:hAnsi="Arial"/>
        </w:rPr>
        <w:t xml:space="preserve">  </w:t>
      </w:r>
    </w:p>
    <w:p w:rsidR="002D0630" w:rsidRDefault="002D0630" w:rsidP="00DE7D73">
      <w:pPr>
        <w:spacing w:line="480" w:lineRule="atLeast"/>
        <w:ind w:left="720"/>
        <w:rPr>
          <w:rFonts w:ascii="Arial" w:hAnsi="Arial"/>
        </w:rPr>
      </w:pPr>
    </w:p>
    <w:p w:rsidR="009B5B7D" w:rsidRDefault="003E373B" w:rsidP="00DE7D73">
      <w:pPr>
        <w:spacing w:line="480" w:lineRule="atLeast"/>
        <w:ind w:left="720"/>
        <w:jc w:val="center"/>
        <w:rPr>
          <w:rFonts w:ascii="Arial" w:hAnsi="Arial"/>
          <w:b/>
        </w:rPr>
      </w:pPr>
      <w:r w:rsidRPr="002D0630">
        <w:rPr>
          <w:rFonts w:ascii="Arial" w:hAnsi="Arial"/>
          <w:b/>
        </w:rPr>
        <w:t>II. PROPERTY DAMAGE ACCRUAL</w:t>
      </w:r>
    </w:p>
    <w:p w:rsidR="002D0630" w:rsidRPr="002D0630" w:rsidRDefault="002D0630" w:rsidP="00DE7D73">
      <w:pPr>
        <w:spacing w:line="480" w:lineRule="atLeast"/>
        <w:ind w:left="720"/>
        <w:jc w:val="center"/>
        <w:rPr>
          <w:rFonts w:ascii="Arial" w:hAnsi="Arial"/>
          <w:b/>
        </w:rPr>
      </w:pPr>
    </w:p>
    <w:p w:rsidR="009B5B7D" w:rsidRDefault="003E373B" w:rsidP="00DE7D73">
      <w:pPr>
        <w:spacing w:line="480" w:lineRule="atLeast"/>
        <w:ind w:left="720" w:hanging="540"/>
        <w:rPr>
          <w:rFonts w:ascii="Arial" w:hAnsi="Arial"/>
        </w:rPr>
      </w:pPr>
      <w:r>
        <w:rPr>
          <w:rFonts w:ascii="Arial" w:hAnsi="Arial"/>
        </w:rPr>
        <w:t>Q.</w:t>
      </w:r>
      <w:r>
        <w:rPr>
          <w:rFonts w:ascii="Arial" w:hAnsi="Arial"/>
        </w:rPr>
        <w:tab/>
        <w:t xml:space="preserve"> What property damage accrual has been included in the projected test year?</w:t>
      </w:r>
    </w:p>
    <w:p w:rsidR="007A5EB9" w:rsidRDefault="003E373B" w:rsidP="00970E0D">
      <w:pPr>
        <w:spacing w:line="480" w:lineRule="atLeast"/>
        <w:ind w:left="720" w:hanging="540"/>
        <w:rPr>
          <w:rFonts w:ascii="Arial" w:hAnsi="Arial"/>
        </w:rPr>
      </w:pPr>
      <w:r>
        <w:rPr>
          <w:rFonts w:ascii="Arial" w:hAnsi="Arial"/>
        </w:rPr>
        <w:t>A.</w:t>
      </w:r>
      <w:r>
        <w:rPr>
          <w:rFonts w:ascii="Arial" w:hAnsi="Arial"/>
        </w:rPr>
        <w:tab/>
        <w:t>Gulf has included a property damage accrual of $6,800,000</w:t>
      </w:r>
      <w:r w:rsidR="00B640A6">
        <w:rPr>
          <w:rFonts w:ascii="Arial" w:hAnsi="Arial"/>
        </w:rPr>
        <w:t xml:space="preserve"> in the 2012 test year</w:t>
      </w:r>
      <w:r w:rsidR="00FD5723">
        <w:rPr>
          <w:rFonts w:ascii="Arial" w:hAnsi="Arial"/>
        </w:rPr>
        <w:t>.</w:t>
      </w:r>
      <w:r>
        <w:rPr>
          <w:rFonts w:ascii="Arial" w:hAnsi="Arial"/>
        </w:rPr>
        <w:t xml:space="preserve">  This represents an increase from Gulf’s current accrual of $3,500,000 per year </w:t>
      </w:r>
      <w:r w:rsidR="00431CDA">
        <w:rPr>
          <w:rFonts w:ascii="Arial" w:hAnsi="Arial"/>
        </w:rPr>
        <w:t>as</w:t>
      </w:r>
      <w:r>
        <w:rPr>
          <w:rFonts w:ascii="Arial" w:hAnsi="Arial"/>
        </w:rPr>
        <w:t xml:space="preserve"> approved </w:t>
      </w:r>
      <w:r w:rsidR="00431CDA">
        <w:rPr>
          <w:rFonts w:ascii="Arial" w:hAnsi="Arial"/>
        </w:rPr>
        <w:t xml:space="preserve">by the FPSC </w:t>
      </w:r>
      <w:r>
        <w:rPr>
          <w:rFonts w:ascii="Arial" w:hAnsi="Arial"/>
        </w:rPr>
        <w:t xml:space="preserve">in the Company’s last rate </w:t>
      </w:r>
      <w:r>
        <w:rPr>
          <w:rFonts w:ascii="Arial" w:hAnsi="Arial"/>
        </w:rPr>
        <w:lastRenderedPageBreak/>
        <w:t>case</w:t>
      </w:r>
      <w:r w:rsidR="00FD5723">
        <w:rPr>
          <w:rFonts w:ascii="Arial" w:hAnsi="Arial"/>
        </w:rPr>
        <w:t xml:space="preserve"> and results in an NOI adjustment of $3,300,000 for the test year</w:t>
      </w:r>
      <w:r w:rsidR="00E60B6B">
        <w:rPr>
          <w:rFonts w:ascii="Arial" w:hAnsi="Arial"/>
        </w:rPr>
        <w:t xml:space="preserve"> as discussed in Mr. McMillan’s testimony</w:t>
      </w:r>
      <w:r>
        <w:rPr>
          <w:rFonts w:ascii="Arial" w:hAnsi="Arial"/>
        </w:rPr>
        <w:t xml:space="preserve">.  </w:t>
      </w:r>
      <w:r w:rsidR="003955FE">
        <w:rPr>
          <w:rFonts w:ascii="Arial" w:hAnsi="Arial"/>
        </w:rPr>
        <w:t xml:space="preserve">If the $3,500,000 annual expense allowed in Gulf’s last rate case were escalated for CPI and customer growth, that </w:t>
      </w:r>
      <w:r w:rsidR="00417CC4">
        <w:rPr>
          <w:rFonts w:ascii="Arial" w:hAnsi="Arial"/>
        </w:rPr>
        <w:t>accrual</w:t>
      </w:r>
      <w:r w:rsidR="003955FE">
        <w:rPr>
          <w:rFonts w:ascii="Arial" w:hAnsi="Arial"/>
        </w:rPr>
        <w:t xml:space="preserve"> would be approximately $5,000,000 per year.  However, Gulf proposes an annual accrual of $6,800,000 per year.</w:t>
      </w:r>
    </w:p>
    <w:p w:rsidR="007A5EB9" w:rsidRDefault="007A5EB9" w:rsidP="00970E0D">
      <w:pPr>
        <w:spacing w:line="480" w:lineRule="atLeast"/>
        <w:ind w:left="720" w:hanging="540"/>
        <w:rPr>
          <w:rFonts w:ascii="Arial" w:hAnsi="Arial"/>
        </w:rPr>
      </w:pPr>
    </w:p>
    <w:p w:rsidR="00361458" w:rsidRDefault="003E373B" w:rsidP="005441BD">
      <w:pPr>
        <w:spacing w:line="480" w:lineRule="atLeast"/>
        <w:ind w:left="720"/>
        <w:rPr>
          <w:rFonts w:ascii="Arial" w:hAnsi="Arial"/>
        </w:rPr>
      </w:pPr>
      <w:r>
        <w:rPr>
          <w:rFonts w:ascii="Arial" w:hAnsi="Arial"/>
        </w:rPr>
        <w:t xml:space="preserve">The $6,800,000 represents the expected </w:t>
      </w:r>
      <w:r w:rsidR="003955FE">
        <w:rPr>
          <w:rFonts w:ascii="Arial" w:hAnsi="Arial"/>
        </w:rPr>
        <w:t xml:space="preserve">average </w:t>
      </w:r>
      <w:r>
        <w:rPr>
          <w:rFonts w:ascii="Arial" w:hAnsi="Arial"/>
        </w:rPr>
        <w:t xml:space="preserve">annual </w:t>
      </w:r>
      <w:r w:rsidR="007565EB">
        <w:rPr>
          <w:rFonts w:ascii="Arial" w:hAnsi="Arial"/>
        </w:rPr>
        <w:t xml:space="preserve">storm </w:t>
      </w:r>
      <w:r>
        <w:rPr>
          <w:rFonts w:ascii="Arial" w:hAnsi="Arial"/>
        </w:rPr>
        <w:t xml:space="preserve">loss to be </w:t>
      </w:r>
      <w:r w:rsidR="007565EB">
        <w:rPr>
          <w:rFonts w:ascii="Arial" w:hAnsi="Arial"/>
        </w:rPr>
        <w:t>charged to</w:t>
      </w:r>
      <w:r>
        <w:rPr>
          <w:rFonts w:ascii="Arial" w:hAnsi="Arial"/>
        </w:rPr>
        <w:t xml:space="preserve"> the reserve </w:t>
      </w:r>
      <w:r w:rsidR="00C72893">
        <w:rPr>
          <w:rFonts w:ascii="Arial" w:hAnsi="Arial"/>
        </w:rPr>
        <w:t xml:space="preserve">according to </w:t>
      </w:r>
      <w:r>
        <w:rPr>
          <w:rFonts w:ascii="Arial" w:hAnsi="Arial"/>
        </w:rPr>
        <w:t xml:space="preserve">Gulf’s </w:t>
      </w:r>
      <w:r w:rsidR="00FD5723">
        <w:rPr>
          <w:rFonts w:ascii="Arial" w:hAnsi="Arial"/>
        </w:rPr>
        <w:t xml:space="preserve">2011 </w:t>
      </w:r>
      <w:r>
        <w:rPr>
          <w:rFonts w:ascii="Arial" w:hAnsi="Arial"/>
        </w:rPr>
        <w:t>Hurricane Loss and Reserve Performance Analysis (Storm Study)</w:t>
      </w:r>
      <w:r w:rsidR="003955FE">
        <w:rPr>
          <w:rFonts w:ascii="Arial" w:hAnsi="Arial"/>
        </w:rPr>
        <w:t>. Gulf’s Storm Study, which is required pursuant to FPSC Rule 25-6.0143, is attached to my testimony as</w:t>
      </w:r>
      <w:r>
        <w:rPr>
          <w:rFonts w:ascii="Arial" w:hAnsi="Arial"/>
        </w:rPr>
        <w:t xml:space="preserve"> Exhibit CJE-</w:t>
      </w:r>
      <w:r w:rsidR="00EC4EEE">
        <w:rPr>
          <w:rFonts w:ascii="Arial" w:hAnsi="Arial"/>
        </w:rPr>
        <w:t>1, Schedule</w:t>
      </w:r>
      <w:r w:rsidR="00E60B6B">
        <w:rPr>
          <w:rFonts w:ascii="Arial" w:hAnsi="Arial"/>
        </w:rPr>
        <w:t xml:space="preserve"> 5</w:t>
      </w:r>
      <w:r w:rsidR="003955FE">
        <w:rPr>
          <w:rFonts w:ascii="Arial" w:hAnsi="Arial"/>
        </w:rPr>
        <w:t xml:space="preserve">.  The expected </w:t>
      </w:r>
      <w:r w:rsidR="00417CC4">
        <w:rPr>
          <w:rFonts w:ascii="Arial" w:hAnsi="Arial"/>
        </w:rPr>
        <w:t>average</w:t>
      </w:r>
      <w:r w:rsidR="003955FE">
        <w:rPr>
          <w:rFonts w:ascii="Arial" w:hAnsi="Arial"/>
        </w:rPr>
        <w:t xml:space="preserve"> annual loss to be covered by the reserve</w:t>
      </w:r>
      <w:r>
        <w:rPr>
          <w:rFonts w:ascii="Arial" w:hAnsi="Arial"/>
        </w:rPr>
        <w:t xml:space="preserve"> i</w:t>
      </w:r>
      <w:r w:rsidR="003955FE">
        <w:rPr>
          <w:rFonts w:ascii="Arial" w:hAnsi="Arial"/>
        </w:rPr>
        <w:t>s shown on</w:t>
      </w:r>
      <w:r>
        <w:rPr>
          <w:rFonts w:ascii="Arial" w:hAnsi="Arial"/>
        </w:rPr>
        <w:t xml:space="preserve"> page 20 of </w:t>
      </w:r>
      <w:r w:rsidR="00C72893">
        <w:rPr>
          <w:rFonts w:ascii="Arial" w:hAnsi="Arial"/>
        </w:rPr>
        <w:t xml:space="preserve">the </w:t>
      </w:r>
      <w:r>
        <w:rPr>
          <w:rFonts w:ascii="Arial" w:hAnsi="Arial"/>
        </w:rPr>
        <w:t>Study</w:t>
      </w:r>
      <w:r w:rsidR="003955FE">
        <w:rPr>
          <w:rFonts w:ascii="Arial" w:hAnsi="Arial"/>
        </w:rPr>
        <w:t>.</w:t>
      </w:r>
      <w:r>
        <w:rPr>
          <w:rFonts w:ascii="Arial" w:hAnsi="Arial"/>
        </w:rPr>
        <w:t xml:space="preserve"> </w:t>
      </w:r>
    </w:p>
    <w:p w:rsidR="009B5B7D" w:rsidRDefault="009B5B7D" w:rsidP="00DE7D73">
      <w:pPr>
        <w:spacing w:line="480" w:lineRule="atLeast"/>
        <w:ind w:left="720" w:hanging="540"/>
        <w:rPr>
          <w:rFonts w:ascii="Arial" w:hAnsi="Arial"/>
        </w:rPr>
      </w:pPr>
    </w:p>
    <w:p w:rsidR="009B5B7D" w:rsidRDefault="003E373B" w:rsidP="00DE7D73">
      <w:pPr>
        <w:spacing w:line="480" w:lineRule="atLeast"/>
        <w:ind w:left="720" w:hanging="540"/>
        <w:rPr>
          <w:rFonts w:ascii="Arial" w:hAnsi="Arial"/>
        </w:rPr>
      </w:pPr>
      <w:r>
        <w:rPr>
          <w:rFonts w:ascii="Arial" w:hAnsi="Arial"/>
        </w:rPr>
        <w:t>Q.</w:t>
      </w:r>
      <w:r>
        <w:rPr>
          <w:rFonts w:ascii="Arial" w:hAnsi="Arial"/>
        </w:rPr>
        <w:tab/>
        <w:t>What is the current balance in Gulf’s property damage reserve?</w:t>
      </w:r>
    </w:p>
    <w:p w:rsidR="0072435D" w:rsidRDefault="003E373B" w:rsidP="00DE7D73">
      <w:pPr>
        <w:spacing w:line="480" w:lineRule="atLeast"/>
        <w:ind w:left="720" w:hanging="540"/>
        <w:rPr>
          <w:rFonts w:ascii="Arial" w:hAnsi="Arial"/>
        </w:rPr>
      </w:pPr>
      <w:r>
        <w:rPr>
          <w:rFonts w:ascii="Arial" w:hAnsi="Arial"/>
        </w:rPr>
        <w:t>A.</w:t>
      </w:r>
      <w:r>
        <w:rPr>
          <w:rFonts w:ascii="Arial" w:hAnsi="Arial"/>
        </w:rPr>
        <w:tab/>
        <w:t xml:space="preserve">The balance of the property damage reserve </w:t>
      </w:r>
      <w:r w:rsidR="00431CDA">
        <w:rPr>
          <w:rFonts w:ascii="Arial" w:hAnsi="Arial"/>
        </w:rPr>
        <w:t xml:space="preserve">as of </w:t>
      </w:r>
      <w:r>
        <w:rPr>
          <w:rFonts w:ascii="Arial" w:hAnsi="Arial"/>
        </w:rPr>
        <w:t>December 31, 2010 was $27,593,000.  With the current accrual of $3,500,000 per year, this balance will grow to $31,093,000 by the beginning of the test year, assuming that no property damage is charged to the reserve during 2011</w:t>
      </w:r>
      <w:r w:rsidR="00E45542">
        <w:rPr>
          <w:rFonts w:ascii="Arial" w:hAnsi="Arial"/>
        </w:rPr>
        <w:t xml:space="preserve"> (an optimistic assumption)</w:t>
      </w:r>
      <w:r>
        <w:rPr>
          <w:rFonts w:ascii="Arial" w:hAnsi="Arial"/>
        </w:rPr>
        <w:t>.</w:t>
      </w:r>
      <w:r w:rsidR="004A3A16" w:rsidRPr="004A3A16">
        <w:rPr>
          <w:rFonts w:ascii="Arial" w:hAnsi="Arial"/>
        </w:rPr>
        <w:t xml:space="preserve"> </w:t>
      </w:r>
      <w:r w:rsidR="004A3A16">
        <w:rPr>
          <w:rFonts w:ascii="Arial" w:hAnsi="Arial"/>
        </w:rPr>
        <w:t xml:space="preserve">However, as shown on page 5 of </w:t>
      </w:r>
      <w:r w:rsidR="00925788">
        <w:rPr>
          <w:rFonts w:ascii="Arial" w:hAnsi="Arial"/>
        </w:rPr>
        <w:t>Exhibit</w:t>
      </w:r>
    </w:p>
    <w:p w:rsidR="009B5B7D" w:rsidRDefault="00925788" w:rsidP="0072435D">
      <w:pPr>
        <w:spacing w:line="480" w:lineRule="atLeast"/>
        <w:ind w:left="720"/>
        <w:rPr>
          <w:rFonts w:ascii="Arial" w:hAnsi="Arial"/>
        </w:rPr>
      </w:pPr>
      <w:r>
        <w:rPr>
          <w:rFonts w:ascii="Arial" w:hAnsi="Arial"/>
        </w:rPr>
        <w:t xml:space="preserve"> CJE-</w:t>
      </w:r>
      <w:r w:rsidR="008C3CBE">
        <w:rPr>
          <w:rFonts w:ascii="Arial" w:hAnsi="Arial"/>
        </w:rPr>
        <w:t>1</w:t>
      </w:r>
      <w:r w:rsidR="004A3A16">
        <w:rPr>
          <w:rFonts w:ascii="Arial" w:hAnsi="Arial"/>
        </w:rPr>
        <w:t xml:space="preserve">, </w:t>
      </w:r>
      <w:r w:rsidR="00431CDA">
        <w:rPr>
          <w:rFonts w:ascii="Arial" w:hAnsi="Arial"/>
        </w:rPr>
        <w:t>with</w:t>
      </w:r>
      <w:r w:rsidR="004A3A16">
        <w:rPr>
          <w:rFonts w:ascii="Arial" w:hAnsi="Arial"/>
        </w:rPr>
        <w:t xml:space="preserve"> the current accrual level of $3</w:t>
      </w:r>
      <w:r>
        <w:rPr>
          <w:rFonts w:ascii="Arial" w:hAnsi="Arial"/>
        </w:rPr>
        <w:t>,</w:t>
      </w:r>
      <w:r w:rsidR="004A3A16">
        <w:rPr>
          <w:rFonts w:ascii="Arial" w:hAnsi="Arial"/>
        </w:rPr>
        <w:t>5</w:t>
      </w:r>
      <w:r>
        <w:rPr>
          <w:rFonts w:ascii="Arial" w:hAnsi="Arial"/>
        </w:rPr>
        <w:t>00,000</w:t>
      </w:r>
      <w:r w:rsidR="004A3A16">
        <w:rPr>
          <w:rFonts w:ascii="Arial" w:hAnsi="Arial"/>
        </w:rPr>
        <w:t xml:space="preserve"> </w:t>
      </w:r>
      <w:r w:rsidR="00431CDA">
        <w:rPr>
          <w:rFonts w:ascii="Arial" w:hAnsi="Arial"/>
        </w:rPr>
        <w:t>and estimated annual charges of $</w:t>
      </w:r>
      <w:r>
        <w:rPr>
          <w:rFonts w:ascii="Arial" w:hAnsi="Arial"/>
        </w:rPr>
        <w:t>6</w:t>
      </w:r>
      <w:r w:rsidR="00431CDA">
        <w:rPr>
          <w:rFonts w:ascii="Arial" w:hAnsi="Arial"/>
        </w:rPr>
        <w:t>,</w:t>
      </w:r>
      <w:r>
        <w:rPr>
          <w:rFonts w:ascii="Arial" w:hAnsi="Arial"/>
        </w:rPr>
        <w:t>800</w:t>
      </w:r>
      <w:r w:rsidR="00431CDA">
        <w:rPr>
          <w:rFonts w:ascii="Arial" w:hAnsi="Arial"/>
        </w:rPr>
        <w:t>,000</w:t>
      </w:r>
      <w:r w:rsidR="004A3A16">
        <w:rPr>
          <w:rFonts w:ascii="Arial" w:hAnsi="Arial"/>
        </w:rPr>
        <w:t>, the expected fund balance in five years will decline to $11</w:t>
      </w:r>
      <w:r>
        <w:rPr>
          <w:rFonts w:ascii="Arial" w:hAnsi="Arial"/>
        </w:rPr>
        <w:t>,000,000</w:t>
      </w:r>
      <w:r w:rsidR="00D87B8A">
        <w:rPr>
          <w:rFonts w:ascii="Arial" w:hAnsi="Arial"/>
        </w:rPr>
        <w:t>,</w:t>
      </w:r>
      <w:r w:rsidR="004A3A16">
        <w:rPr>
          <w:rFonts w:ascii="Arial" w:hAnsi="Arial"/>
        </w:rPr>
        <w:t xml:space="preserve"> and there is a 29</w:t>
      </w:r>
      <w:r w:rsidR="00C02667">
        <w:rPr>
          <w:rFonts w:ascii="Arial" w:hAnsi="Arial"/>
        </w:rPr>
        <w:t xml:space="preserve"> percent</w:t>
      </w:r>
      <w:r w:rsidR="004A3A16">
        <w:rPr>
          <w:rFonts w:ascii="Arial" w:hAnsi="Arial"/>
        </w:rPr>
        <w:t xml:space="preserve"> probability that the fund balance will become negative within the next five years.</w:t>
      </w:r>
    </w:p>
    <w:p w:rsidR="009B5B7D" w:rsidRDefault="009B5B7D" w:rsidP="00DE7D73">
      <w:pPr>
        <w:spacing w:line="480" w:lineRule="atLeast"/>
        <w:ind w:left="720" w:hanging="540"/>
        <w:rPr>
          <w:rFonts w:ascii="Arial" w:hAnsi="Arial"/>
        </w:rPr>
      </w:pPr>
    </w:p>
    <w:p w:rsidR="00A9518E" w:rsidRDefault="00A9518E" w:rsidP="00DE7D73">
      <w:pPr>
        <w:spacing w:line="480" w:lineRule="atLeast"/>
        <w:ind w:left="720" w:hanging="540"/>
        <w:rPr>
          <w:rFonts w:ascii="Arial" w:hAnsi="Arial"/>
        </w:rPr>
      </w:pPr>
    </w:p>
    <w:p w:rsidR="009B5B7D" w:rsidRDefault="003E373B" w:rsidP="00DE7D73">
      <w:pPr>
        <w:spacing w:line="480" w:lineRule="atLeast"/>
        <w:ind w:left="720" w:hanging="540"/>
        <w:rPr>
          <w:rFonts w:ascii="Arial" w:hAnsi="Arial"/>
        </w:rPr>
      </w:pPr>
      <w:r>
        <w:rPr>
          <w:rFonts w:ascii="Arial" w:hAnsi="Arial"/>
        </w:rPr>
        <w:lastRenderedPageBreak/>
        <w:t xml:space="preserve"> Q.</w:t>
      </w:r>
      <w:r>
        <w:rPr>
          <w:rFonts w:ascii="Arial" w:hAnsi="Arial"/>
        </w:rPr>
        <w:tab/>
        <w:t>What are the key policy considerations relating to the recovery of property damage costs?</w:t>
      </w:r>
    </w:p>
    <w:p w:rsidR="009B5B7D" w:rsidRDefault="003E373B" w:rsidP="00DE7D73">
      <w:pPr>
        <w:spacing w:line="480" w:lineRule="atLeast"/>
        <w:ind w:left="720" w:hanging="540"/>
        <w:rPr>
          <w:rFonts w:ascii="Arial" w:hAnsi="Arial"/>
        </w:rPr>
      </w:pPr>
      <w:r>
        <w:rPr>
          <w:rFonts w:ascii="Arial" w:hAnsi="Arial"/>
        </w:rPr>
        <w:t>A.</w:t>
      </w:r>
      <w:r>
        <w:rPr>
          <w:rFonts w:ascii="Arial" w:hAnsi="Arial"/>
        </w:rPr>
        <w:tab/>
        <w:t>The Commission has recognized that s</w:t>
      </w:r>
      <w:r w:rsidRPr="00561CBE">
        <w:rPr>
          <w:rFonts w:ascii="Arial" w:hAnsi="Arial"/>
        </w:rPr>
        <w:t>torm restoration is a cost of providing electric service in Florida and</w:t>
      </w:r>
      <w:r>
        <w:rPr>
          <w:rFonts w:ascii="Arial" w:hAnsi="Arial"/>
        </w:rPr>
        <w:t>,</w:t>
      </w:r>
      <w:r w:rsidRPr="00561CBE">
        <w:rPr>
          <w:rFonts w:ascii="Arial" w:hAnsi="Arial"/>
        </w:rPr>
        <w:t xml:space="preserve"> therefore, </w:t>
      </w:r>
      <w:r>
        <w:rPr>
          <w:rFonts w:ascii="Arial" w:hAnsi="Arial"/>
        </w:rPr>
        <w:t xml:space="preserve">is </w:t>
      </w:r>
      <w:r w:rsidRPr="00561CBE">
        <w:rPr>
          <w:rFonts w:ascii="Arial" w:hAnsi="Arial"/>
        </w:rPr>
        <w:t xml:space="preserve">properly recoverable through rates and charges of the Company.  While </w:t>
      </w:r>
      <w:r w:rsidR="007565EB">
        <w:rPr>
          <w:rFonts w:ascii="Arial" w:hAnsi="Arial"/>
        </w:rPr>
        <w:t xml:space="preserve">the exact timing of </w:t>
      </w:r>
      <w:r w:rsidRPr="00561CBE">
        <w:rPr>
          <w:rFonts w:ascii="Arial" w:hAnsi="Arial"/>
        </w:rPr>
        <w:t xml:space="preserve">storms cannot be predicted, it is certain that tropical storms and hurricanes will affect </w:t>
      </w:r>
      <w:r>
        <w:rPr>
          <w:rFonts w:ascii="Arial" w:hAnsi="Arial"/>
        </w:rPr>
        <w:t>Gulf’s system over time</w:t>
      </w:r>
      <w:r w:rsidR="00E45542">
        <w:rPr>
          <w:rFonts w:ascii="Arial" w:hAnsi="Arial"/>
        </w:rPr>
        <w:t>,</w:t>
      </w:r>
      <w:r>
        <w:rPr>
          <w:rFonts w:ascii="Arial" w:hAnsi="Arial"/>
        </w:rPr>
        <w:t xml:space="preserve"> a</w:t>
      </w:r>
      <w:r w:rsidRPr="00561CBE">
        <w:rPr>
          <w:rFonts w:ascii="Arial" w:hAnsi="Arial"/>
        </w:rPr>
        <w:t xml:space="preserve">nd </w:t>
      </w:r>
      <w:r>
        <w:rPr>
          <w:rFonts w:ascii="Arial" w:hAnsi="Arial"/>
        </w:rPr>
        <w:t>the Company</w:t>
      </w:r>
      <w:r w:rsidRPr="00561CBE">
        <w:rPr>
          <w:rFonts w:ascii="Arial" w:hAnsi="Arial"/>
        </w:rPr>
        <w:t xml:space="preserve"> will incur cost</w:t>
      </w:r>
      <w:r w:rsidR="00E45542">
        <w:rPr>
          <w:rFonts w:ascii="Arial" w:hAnsi="Arial"/>
        </w:rPr>
        <w:t>s</w:t>
      </w:r>
      <w:r w:rsidRPr="00561CBE">
        <w:rPr>
          <w:rFonts w:ascii="Arial" w:hAnsi="Arial"/>
        </w:rPr>
        <w:t xml:space="preserve"> for restoring power.</w:t>
      </w:r>
    </w:p>
    <w:p w:rsidR="009B5B7D" w:rsidRDefault="009B5B7D" w:rsidP="00DE7D73">
      <w:pPr>
        <w:spacing w:line="480" w:lineRule="atLeast"/>
        <w:ind w:left="720" w:hanging="540"/>
        <w:rPr>
          <w:rFonts w:ascii="Arial" w:hAnsi="Arial"/>
        </w:rPr>
      </w:pPr>
    </w:p>
    <w:p w:rsidR="00361458" w:rsidRDefault="00925788" w:rsidP="005441BD">
      <w:pPr>
        <w:spacing w:line="480" w:lineRule="atLeast"/>
        <w:ind w:left="720"/>
        <w:rPr>
          <w:rFonts w:ascii="Arial" w:hAnsi="Arial"/>
        </w:rPr>
      </w:pPr>
      <w:r>
        <w:rPr>
          <w:rFonts w:ascii="Arial" w:hAnsi="Arial"/>
        </w:rPr>
        <w:t xml:space="preserve">All </w:t>
      </w:r>
      <w:r w:rsidR="003E373B" w:rsidRPr="00561CBE">
        <w:rPr>
          <w:rFonts w:ascii="Arial" w:hAnsi="Arial"/>
        </w:rPr>
        <w:t xml:space="preserve">customers should contribute to the cost of storm restoration, even if no storm strikes in a particular year.  Since storms will occur and only their timing is uncertain, the true cost of providing electric service should include an allowance for a level of restoration activity that approximates </w:t>
      </w:r>
      <w:r w:rsidR="007A5EB9">
        <w:rPr>
          <w:rFonts w:ascii="Arial" w:hAnsi="Arial"/>
        </w:rPr>
        <w:t xml:space="preserve">at least </w:t>
      </w:r>
      <w:r w:rsidR="003E373B" w:rsidRPr="00561CBE">
        <w:rPr>
          <w:rFonts w:ascii="Arial" w:hAnsi="Arial"/>
        </w:rPr>
        <w:t xml:space="preserve">the </w:t>
      </w:r>
      <w:r w:rsidR="003E373B">
        <w:rPr>
          <w:rFonts w:ascii="Arial" w:hAnsi="Arial"/>
        </w:rPr>
        <w:t xml:space="preserve">average </w:t>
      </w:r>
      <w:r w:rsidR="003E373B" w:rsidRPr="00561CBE">
        <w:rPr>
          <w:rFonts w:ascii="Arial" w:hAnsi="Arial"/>
        </w:rPr>
        <w:t>expected annual storm costs</w:t>
      </w:r>
      <w:r w:rsidR="00431CDA">
        <w:rPr>
          <w:rFonts w:ascii="Arial" w:hAnsi="Arial"/>
        </w:rPr>
        <w:t xml:space="preserve"> over time</w:t>
      </w:r>
      <w:r w:rsidR="003E373B" w:rsidRPr="00561CBE">
        <w:rPr>
          <w:rFonts w:ascii="Arial" w:hAnsi="Arial"/>
        </w:rPr>
        <w:t>.</w:t>
      </w:r>
    </w:p>
    <w:p w:rsidR="009B5B7D" w:rsidRDefault="009B5B7D" w:rsidP="00DE7D73">
      <w:pPr>
        <w:spacing w:line="480" w:lineRule="atLeast"/>
        <w:ind w:left="720" w:hanging="540"/>
        <w:rPr>
          <w:rFonts w:ascii="Arial" w:hAnsi="Arial"/>
        </w:rPr>
      </w:pPr>
    </w:p>
    <w:p w:rsidR="0072435D" w:rsidRDefault="003E373B" w:rsidP="00DE7D73">
      <w:pPr>
        <w:spacing w:line="480" w:lineRule="atLeast"/>
        <w:ind w:left="720" w:hanging="540"/>
        <w:rPr>
          <w:rFonts w:ascii="Arial" w:hAnsi="Arial"/>
        </w:rPr>
      </w:pPr>
      <w:r>
        <w:rPr>
          <w:rFonts w:ascii="Arial" w:hAnsi="Arial"/>
        </w:rPr>
        <w:t>Q.</w:t>
      </w:r>
      <w:r>
        <w:rPr>
          <w:rFonts w:ascii="Arial" w:hAnsi="Arial"/>
        </w:rPr>
        <w:tab/>
        <w:t xml:space="preserve">Please provide a brief history of </w:t>
      </w:r>
      <w:r w:rsidR="00417CC4">
        <w:rPr>
          <w:rFonts w:ascii="Arial" w:hAnsi="Arial"/>
        </w:rPr>
        <w:t>Gulf’s and</w:t>
      </w:r>
      <w:r>
        <w:rPr>
          <w:rFonts w:ascii="Arial" w:hAnsi="Arial"/>
        </w:rPr>
        <w:t xml:space="preserve"> the Commission’s approach to property damage cost recovery.</w:t>
      </w:r>
    </w:p>
    <w:p w:rsidR="009B5B7D" w:rsidRDefault="003E373B" w:rsidP="00DE7D73">
      <w:pPr>
        <w:spacing w:line="480" w:lineRule="atLeast"/>
        <w:ind w:left="720" w:hanging="540"/>
        <w:rPr>
          <w:rFonts w:ascii="Arial" w:hAnsi="Arial"/>
        </w:rPr>
      </w:pPr>
      <w:r>
        <w:rPr>
          <w:rFonts w:ascii="Arial" w:hAnsi="Arial"/>
        </w:rPr>
        <w:t>A.</w:t>
      </w:r>
      <w:r>
        <w:rPr>
          <w:rFonts w:ascii="Arial" w:hAnsi="Arial"/>
        </w:rPr>
        <w:tab/>
        <w:t>P</w:t>
      </w:r>
      <w:r w:rsidRPr="00561CBE">
        <w:rPr>
          <w:rFonts w:ascii="Arial" w:hAnsi="Arial"/>
        </w:rPr>
        <w:t>rior to Hurricane Andrew</w:t>
      </w:r>
      <w:r>
        <w:rPr>
          <w:rFonts w:ascii="Arial" w:hAnsi="Arial"/>
        </w:rPr>
        <w:t xml:space="preserve"> in 1992</w:t>
      </w:r>
      <w:r w:rsidRPr="00561CBE">
        <w:rPr>
          <w:rFonts w:ascii="Arial" w:hAnsi="Arial"/>
        </w:rPr>
        <w:t xml:space="preserve">, Gulf Power maintained commercial insurance coverage for its </w:t>
      </w:r>
      <w:r w:rsidR="007565EB">
        <w:rPr>
          <w:rFonts w:ascii="Arial" w:hAnsi="Arial"/>
        </w:rPr>
        <w:t>T&amp;D</w:t>
      </w:r>
      <w:r w:rsidRPr="00561CBE">
        <w:rPr>
          <w:rFonts w:ascii="Arial" w:hAnsi="Arial"/>
        </w:rPr>
        <w:t xml:space="preserve"> network.  The cost of carrying this insurance was recovered through base rates.  The cost of storm restoration, therefore, was spread out to customers over time</w:t>
      </w:r>
      <w:r>
        <w:rPr>
          <w:rFonts w:ascii="Arial" w:hAnsi="Arial"/>
        </w:rPr>
        <w:t>,</w:t>
      </w:r>
      <w:r w:rsidRPr="00561CBE">
        <w:rPr>
          <w:rFonts w:ascii="Arial" w:hAnsi="Arial"/>
        </w:rPr>
        <w:t xml:space="preserve"> largely through the cost of insurance included in the Company’s base rate charge</w:t>
      </w:r>
      <w:r>
        <w:rPr>
          <w:rFonts w:ascii="Arial" w:hAnsi="Arial"/>
        </w:rPr>
        <w:t>s</w:t>
      </w:r>
      <w:r w:rsidRPr="00561CBE">
        <w:rPr>
          <w:rFonts w:ascii="Arial" w:hAnsi="Arial"/>
        </w:rPr>
        <w:t>.</w:t>
      </w:r>
    </w:p>
    <w:p w:rsidR="009B5B7D" w:rsidRDefault="009B5B7D" w:rsidP="00DE7D73">
      <w:pPr>
        <w:spacing w:line="480" w:lineRule="atLeast"/>
        <w:ind w:left="720" w:hanging="540"/>
        <w:rPr>
          <w:rFonts w:ascii="Arial" w:hAnsi="Arial"/>
        </w:rPr>
      </w:pPr>
    </w:p>
    <w:p w:rsidR="00A9518E" w:rsidRDefault="00A9518E" w:rsidP="00DE7D73">
      <w:pPr>
        <w:spacing w:line="480" w:lineRule="atLeast"/>
        <w:ind w:left="720" w:hanging="540"/>
        <w:rPr>
          <w:rFonts w:ascii="Arial" w:hAnsi="Arial"/>
        </w:rPr>
      </w:pPr>
    </w:p>
    <w:p w:rsidR="00361458" w:rsidRDefault="003E373B" w:rsidP="005441BD">
      <w:pPr>
        <w:spacing w:line="480" w:lineRule="atLeast"/>
        <w:ind w:left="720"/>
        <w:rPr>
          <w:rFonts w:ascii="Arial" w:hAnsi="Arial"/>
        </w:rPr>
      </w:pPr>
      <w:r w:rsidRPr="00561CBE">
        <w:rPr>
          <w:rFonts w:ascii="Arial" w:hAnsi="Arial"/>
        </w:rPr>
        <w:lastRenderedPageBreak/>
        <w:t xml:space="preserve">Following </w:t>
      </w:r>
      <w:r>
        <w:rPr>
          <w:rFonts w:ascii="Arial" w:hAnsi="Arial"/>
        </w:rPr>
        <w:t xml:space="preserve">Hurricane </w:t>
      </w:r>
      <w:r w:rsidRPr="00561CBE">
        <w:rPr>
          <w:rFonts w:ascii="Arial" w:hAnsi="Arial"/>
        </w:rPr>
        <w:t xml:space="preserve">Andrew, commercial insurers withdrew from the </w:t>
      </w:r>
      <w:r w:rsidR="00E45542">
        <w:rPr>
          <w:rFonts w:ascii="Arial" w:hAnsi="Arial"/>
        </w:rPr>
        <w:t xml:space="preserve">T&amp;D insurance </w:t>
      </w:r>
      <w:r w:rsidRPr="00561CBE">
        <w:rPr>
          <w:rFonts w:ascii="Arial" w:hAnsi="Arial"/>
        </w:rPr>
        <w:t>market.  In the absence of commercial coverage, the Company established</w:t>
      </w:r>
      <w:r>
        <w:rPr>
          <w:rFonts w:ascii="Arial" w:hAnsi="Arial"/>
        </w:rPr>
        <w:t>,</w:t>
      </w:r>
      <w:r w:rsidRPr="00561CBE">
        <w:rPr>
          <w:rFonts w:ascii="Arial" w:hAnsi="Arial"/>
        </w:rPr>
        <w:t xml:space="preserve"> and the Commission consistently endorsed</w:t>
      </w:r>
      <w:r>
        <w:rPr>
          <w:rFonts w:ascii="Arial" w:hAnsi="Arial"/>
        </w:rPr>
        <w:t>,</w:t>
      </w:r>
      <w:r w:rsidRPr="00561CBE">
        <w:rPr>
          <w:rFonts w:ascii="Arial" w:hAnsi="Arial"/>
        </w:rPr>
        <w:t xml:space="preserve"> an overall framework which acknowledges that the cost</w:t>
      </w:r>
      <w:r>
        <w:rPr>
          <w:rFonts w:ascii="Arial" w:hAnsi="Arial"/>
        </w:rPr>
        <w:t>s</w:t>
      </w:r>
      <w:r w:rsidRPr="00561CBE">
        <w:rPr>
          <w:rFonts w:ascii="Arial" w:hAnsi="Arial"/>
        </w:rPr>
        <w:t xml:space="preserve"> associated with restoring service after storms are a necessary cost of providing electric service in Florida and as such, are properly recoverable from customer</w:t>
      </w:r>
      <w:r>
        <w:rPr>
          <w:rFonts w:ascii="Arial" w:hAnsi="Arial"/>
        </w:rPr>
        <w:t>s</w:t>
      </w:r>
      <w:r w:rsidRPr="00561CBE">
        <w:rPr>
          <w:rFonts w:ascii="Arial" w:hAnsi="Arial"/>
        </w:rPr>
        <w:t>. The framework consists of three main parts</w:t>
      </w:r>
      <w:r>
        <w:rPr>
          <w:rFonts w:ascii="Arial" w:hAnsi="Arial"/>
        </w:rPr>
        <w:t>:</w:t>
      </w:r>
    </w:p>
    <w:p w:rsidR="00361458" w:rsidRDefault="003E373B" w:rsidP="00361458">
      <w:pPr>
        <w:spacing w:line="480" w:lineRule="atLeast"/>
        <w:ind w:left="1440" w:hanging="720"/>
        <w:rPr>
          <w:rFonts w:ascii="Arial" w:hAnsi="Arial"/>
        </w:rPr>
      </w:pPr>
      <w:r>
        <w:rPr>
          <w:rFonts w:ascii="Arial" w:hAnsi="Arial"/>
        </w:rPr>
        <w:t xml:space="preserve">     </w:t>
      </w:r>
      <w:proofErr w:type="gramStart"/>
      <w:r w:rsidRPr="00561CBE">
        <w:rPr>
          <w:rFonts w:ascii="Arial" w:hAnsi="Arial"/>
        </w:rPr>
        <w:t>a</w:t>
      </w:r>
      <w:proofErr w:type="gramEnd"/>
      <w:r w:rsidRPr="00561CBE">
        <w:rPr>
          <w:rFonts w:ascii="Arial" w:hAnsi="Arial"/>
        </w:rPr>
        <w:t>.</w:t>
      </w:r>
      <w:r>
        <w:rPr>
          <w:rFonts w:ascii="Arial" w:hAnsi="Arial"/>
        </w:rPr>
        <w:t xml:space="preserve">   an a</w:t>
      </w:r>
      <w:r w:rsidRPr="00561CBE">
        <w:rPr>
          <w:rFonts w:ascii="Arial" w:hAnsi="Arial"/>
        </w:rPr>
        <w:t xml:space="preserve">nnual </w:t>
      </w:r>
      <w:r w:rsidR="00463F79">
        <w:rPr>
          <w:rFonts w:ascii="Arial" w:hAnsi="Arial"/>
        </w:rPr>
        <w:t xml:space="preserve">property damage </w:t>
      </w:r>
      <w:r w:rsidRPr="00561CBE">
        <w:rPr>
          <w:rFonts w:ascii="Arial" w:hAnsi="Arial"/>
        </w:rPr>
        <w:t>accrual adjusted over time as circumstances</w:t>
      </w:r>
      <w:r>
        <w:rPr>
          <w:rFonts w:ascii="Arial" w:hAnsi="Arial"/>
        </w:rPr>
        <w:t xml:space="preserve"> </w:t>
      </w:r>
      <w:r w:rsidRPr="00561CBE">
        <w:rPr>
          <w:rFonts w:ascii="Arial" w:hAnsi="Arial"/>
        </w:rPr>
        <w:t>change</w:t>
      </w:r>
      <w:r>
        <w:rPr>
          <w:rFonts w:ascii="Arial" w:hAnsi="Arial"/>
        </w:rPr>
        <w:t>,</w:t>
      </w:r>
    </w:p>
    <w:p w:rsidR="00361458" w:rsidRDefault="003E373B" w:rsidP="00361458">
      <w:pPr>
        <w:spacing w:line="480" w:lineRule="atLeast"/>
        <w:ind w:left="1440" w:hanging="720"/>
        <w:rPr>
          <w:rFonts w:ascii="Arial" w:hAnsi="Arial"/>
        </w:rPr>
      </w:pPr>
      <w:r>
        <w:rPr>
          <w:rFonts w:ascii="Arial" w:hAnsi="Arial"/>
        </w:rPr>
        <w:t xml:space="preserve">     </w:t>
      </w:r>
      <w:proofErr w:type="gramStart"/>
      <w:r w:rsidRPr="00561CBE">
        <w:rPr>
          <w:rFonts w:ascii="Arial" w:hAnsi="Arial"/>
        </w:rPr>
        <w:t>b</w:t>
      </w:r>
      <w:proofErr w:type="gramEnd"/>
      <w:r w:rsidRPr="00561CBE">
        <w:rPr>
          <w:rFonts w:ascii="Arial" w:hAnsi="Arial"/>
        </w:rPr>
        <w:t>.</w:t>
      </w:r>
      <w:r>
        <w:rPr>
          <w:rFonts w:ascii="Arial" w:hAnsi="Arial"/>
        </w:rPr>
        <w:t xml:space="preserve">   a</w:t>
      </w:r>
      <w:r w:rsidRPr="00561CBE">
        <w:rPr>
          <w:rFonts w:ascii="Arial" w:hAnsi="Arial"/>
        </w:rPr>
        <w:t xml:space="preserve"> reserve adequate to accommodate most but not all storm years</w:t>
      </w:r>
      <w:r>
        <w:rPr>
          <w:rFonts w:ascii="Arial" w:hAnsi="Arial"/>
        </w:rPr>
        <w:t>, and</w:t>
      </w:r>
    </w:p>
    <w:p w:rsidR="00361458" w:rsidRDefault="003E373B" w:rsidP="00361458">
      <w:pPr>
        <w:spacing w:line="480" w:lineRule="atLeast"/>
        <w:ind w:left="1440" w:hanging="720"/>
        <w:rPr>
          <w:rFonts w:ascii="Arial" w:hAnsi="Arial"/>
          <w:b/>
        </w:rPr>
      </w:pPr>
      <w:r>
        <w:rPr>
          <w:rFonts w:ascii="Arial" w:hAnsi="Arial"/>
        </w:rPr>
        <w:t xml:space="preserve">     </w:t>
      </w:r>
      <w:proofErr w:type="gramStart"/>
      <w:r w:rsidRPr="00561CBE">
        <w:rPr>
          <w:rFonts w:ascii="Arial" w:hAnsi="Arial"/>
        </w:rPr>
        <w:t>c</w:t>
      </w:r>
      <w:proofErr w:type="gramEnd"/>
      <w:r w:rsidRPr="00561CBE">
        <w:rPr>
          <w:rFonts w:ascii="Arial" w:hAnsi="Arial"/>
        </w:rPr>
        <w:t>.</w:t>
      </w:r>
      <w:r>
        <w:rPr>
          <w:rFonts w:ascii="Arial" w:hAnsi="Arial"/>
        </w:rPr>
        <w:t xml:space="preserve">   a </w:t>
      </w:r>
      <w:r w:rsidRPr="00561CBE">
        <w:rPr>
          <w:rFonts w:ascii="Arial" w:hAnsi="Arial"/>
        </w:rPr>
        <w:t xml:space="preserve">provision for utilities to seek recovery of costs </w:t>
      </w:r>
      <w:r w:rsidR="00417CC4" w:rsidRPr="00561CBE">
        <w:rPr>
          <w:rFonts w:ascii="Arial" w:hAnsi="Arial"/>
        </w:rPr>
        <w:t xml:space="preserve">that </w:t>
      </w:r>
      <w:r w:rsidR="00431CDA">
        <w:rPr>
          <w:rFonts w:ascii="Arial" w:hAnsi="Arial"/>
        </w:rPr>
        <w:t>exceed</w:t>
      </w:r>
      <w:r w:rsidRPr="00561CBE">
        <w:rPr>
          <w:rFonts w:ascii="Arial" w:hAnsi="Arial"/>
        </w:rPr>
        <w:t xml:space="preserve"> the reserve</w:t>
      </w:r>
      <w:r>
        <w:rPr>
          <w:rFonts w:ascii="Arial" w:hAnsi="Arial"/>
        </w:rPr>
        <w:t xml:space="preserve">.  </w:t>
      </w:r>
    </w:p>
    <w:p w:rsidR="009B5B7D" w:rsidRDefault="009B5B7D" w:rsidP="00403A4D">
      <w:pPr>
        <w:spacing w:line="480" w:lineRule="atLeast"/>
        <w:ind w:left="720"/>
        <w:rPr>
          <w:rFonts w:ascii="Arial" w:hAnsi="Arial"/>
        </w:rPr>
      </w:pPr>
    </w:p>
    <w:p w:rsidR="009B5B7D" w:rsidRDefault="003E373B" w:rsidP="00E60B6B">
      <w:pPr>
        <w:spacing w:line="480" w:lineRule="atLeast"/>
        <w:ind w:left="720" w:hanging="540"/>
        <w:rPr>
          <w:rFonts w:ascii="Arial" w:hAnsi="Arial"/>
        </w:rPr>
      </w:pPr>
      <w:r>
        <w:rPr>
          <w:rFonts w:ascii="Arial" w:hAnsi="Arial"/>
        </w:rPr>
        <w:t>Q.</w:t>
      </w:r>
      <w:r>
        <w:rPr>
          <w:rFonts w:ascii="Arial" w:hAnsi="Arial"/>
        </w:rPr>
        <w:tab/>
        <w:t xml:space="preserve">How do these mechanisms enable </w:t>
      </w:r>
      <w:r w:rsidRPr="00561CBE">
        <w:rPr>
          <w:rFonts w:ascii="Arial" w:hAnsi="Arial"/>
        </w:rPr>
        <w:t>Gulf Power to recover the costs of storm restoration while balancing customer interest</w:t>
      </w:r>
      <w:r>
        <w:rPr>
          <w:rFonts w:ascii="Arial" w:hAnsi="Arial"/>
        </w:rPr>
        <w:t>s?</w:t>
      </w:r>
    </w:p>
    <w:p w:rsidR="009B5B7D" w:rsidRDefault="003E373B" w:rsidP="00E60B6B">
      <w:pPr>
        <w:spacing w:line="480" w:lineRule="atLeast"/>
        <w:ind w:left="720" w:hanging="540"/>
        <w:rPr>
          <w:rFonts w:ascii="Arial" w:hAnsi="Arial"/>
        </w:rPr>
      </w:pPr>
      <w:r>
        <w:rPr>
          <w:rFonts w:ascii="Arial" w:hAnsi="Arial"/>
        </w:rPr>
        <w:t>A</w:t>
      </w:r>
      <w:r w:rsidRPr="00561CBE">
        <w:rPr>
          <w:rFonts w:ascii="Arial" w:hAnsi="Arial"/>
        </w:rPr>
        <w:t>.</w:t>
      </w:r>
      <w:r w:rsidRPr="00561CBE">
        <w:rPr>
          <w:rFonts w:ascii="Arial" w:hAnsi="Arial"/>
        </w:rPr>
        <w:tab/>
      </w:r>
      <w:r>
        <w:rPr>
          <w:rFonts w:ascii="Arial" w:hAnsi="Arial"/>
        </w:rPr>
        <w:t xml:space="preserve">These mechanisms allow for on-going recovery of reasonable amounts to provide for the costs of future storms. By spreading the costs over a number of years, rate shock to our customers is minimized. The reserve accrual also </w:t>
      </w:r>
      <w:r w:rsidR="00925788">
        <w:rPr>
          <w:rFonts w:ascii="Arial" w:hAnsi="Arial"/>
        </w:rPr>
        <w:t>ensures</w:t>
      </w:r>
      <w:r>
        <w:rPr>
          <w:rFonts w:ascii="Arial" w:hAnsi="Arial"/>
        </w:rPr>
        <w:t xml:space="preserve"> that all customers contribute to the cost of recovering from storms</w:t>
      </w:r>
      <w:r w:rsidR="00C72893">
        <w:rPr>
          <w:rFonts w:ascii="Arial" w:hAnsi="Arial"/>
        </w:rPr>
        <w:t>,</w:t>
      </w:r>
      <w:r>
        <w:rPr>
          <w:rFonts w:ascii="Arial" w:hAnsi="Arial"/>
        </w:rPr>
        <w:t xml:space="preserve"> whose timing is unknown.</w:t>
      </w:r>
    </w:p>
    <w:p w:rsidR="009B5B7D" w:rsidRDefault="009B5B7D" w:rsidP="00DE7D73">
      <w:pPr>
        <w:spacing w:line="480" w:lineRule="atLeast"/>
        <w:ind w:left="720" w:hanging="540"/>
        <w:rPr>
          <w:rFonts w:ascii="Arial" w:hAnsi="Arial"/>
        </w:rPr>
      </w:pPr>
    </w:p>
    <w:p w:rsidR="009B5B7D" w:rsidRDefault="003E373B" w:rsidP="00DE7D73">
      <w:pPr>
        <w:spacing w:line="480" w:lineRule="atLeast"/>
        <w:ind w:left="720" w:hanging="540"/>
        <w:rPr>
          <w:rFonts w:ascii="Arial" w:hAnsi="Arial"/>
        </w:rPr>
      </w:pPr>
      <w:r>
        <w:rPr>
          <w:rFonts w:ascii="Arial" w:hAnsi="Arial"/>
        </w:rPr>
        <w:t>Q.</w:t>
      </w:r>
      <w:r>
        <w:rPr>
          <w:rFonts w:ascii="Arial" w:hAnsi="Arial"/>
        </w:rPr>
        <w:tab/>
        <w:t>What is the appropriate level for the property damage accrual?</w:t>
      </w:r>
    </w:p>
    <w:p w:rsidR="009B5B7D" w:rsidRDefault="003E373B" w:rsidP="00DE7D73">
      <w:pPr>
        <w:spacing w:line="480" w:lineRule="atLeast"/>
        <w:ind w:left="720" w:hanging="540"/>
        <w:rPr>
          <w:rFonts w:ascii="Arial" w:hAnsi="Arial"/>
        </w:rPr>
      </w:pPr>
      <w:r>
        <w:rPr>
          <w:rFonts w:ascii="Arial" w:hAnsi="Arial"/>
        </w:rPr>
        <w:t>A.</w:t>
      </w:r>
      <w:r>
        <w:rPr>
          <w:rFonts w:ascii="Arial" w:hAnsi="Arial"/>
        </w:rPr>
        <w:tab/>
      </w:r>
      <w:r w:rsidRPr="00561CBE">
        <w:rPr>
          <w:rFonts w:ascii="Arial" w:hAnsi="Arial"/>
        </w:rPr>
        <w:t xml:space="preserve">The </w:t>
      </w:r>
      <w:r>
        <w:rPr>
          <w:rFonts w:ascii="Arial" w:hAnsi="Arial"/>
        </w:rPr>
        <w:t xml:space="preserve">property damage reserve </w:t>
      </w:r>
      <w:r w:rsidRPr="00561CBE">
        <w:rPr>
          <w:rFonts w:ascii="Arial" w:hAnsi="Arial"/>
        </w:rPr>
        <w:t>balance should be sufficient to protect against most years’ storm restoration cost</w:t>
      </w:r>
      <w:r>
        <w:rPr>
          <w:rFonts w:ascii="Arial" w:hAnsi="Arial"/>
        </w:rPr>
        <w:t>s</w:t>
      </w:r>
      <w:r w:rsidRPr="00561CBE">
        <w:rPr>
          <w:rFonts w:ascii="Arial" w:hAnsi="Arial"/>
        </w:rPr>
        <w:t xml:space="preserve"> but not the most extreme </w:t>
      </w:r>
      <w:r w:rsidRPr="00561CBE">
        <w:rPr>
          <w:rFonts w:ascii="Arial" w:hAnsi="Arial"/>
        </w:rPr>
        <w:lastRenderedPageBreak/>
        <w:t>years.  This level should reduce the Company’s dependence on relief mechanism</w:t>
      </w:r>
      <w:r>
        <w:rPr>
          <w:rFonts w:ascii="Arial" w:hAnsi="Arial"/>
        </w:rPr>
        <w:t xml:space="preserve">s </w:t>
      </w:r>
      <w:r w:rsidRPr="00561CBE">
        <w:rPr>
          <w:rFonts w:ascii="Arial" w:hAnsi="Arial"/>
        </w:rPr>
        <w:t xml:space="preserve">such as a </w:t>
      </w:r>
      <w:r w:rsidR="00431CDA">
        <w:rPr>
          <w:rFonts w:ascii="Arial" w:hAnsi="Arial"/>
        </w:rPr>
        <w:t>storm cost recovery surcharge</w:t>
      </w:r>
      <w:r w:rsidRPr="00561CBE">
        <w:rPr>
          <w:rFonts w:ascii="Arial" w:hAnsi="Arial"/>
        </w:rPr>
        <w:t>.  The annual accrual should be set at a level to allow the reserve to build modestly in years of no hurricane activity.</w:t>
      </w:r>
      <w:r>
        <w:rPr>
          <w:rFonts w:ascii="Arial" w:hAnsi="Arial"/>
        </w:rPr>
        <w:t xml:space="preserve">  </w:t>
      </w:r>
    </w:p>
    <w:p w:rsidR="00104113" w:rsidRDefault="00104113" w:rsidP="00DE7D73">
      <w:pPr>
        <w:spacing w:line="480" w:lineRule="atLeast"/>
        <w:ind w:left="720" w:hanging="540"/>
        <w:rPr>
          <w:rFonts w:ascii="Arial" w:hAnsi="Arial"/>
        </w:rPr>
      </w:pPr>
    </w:p>
    <w:p w:rsidR="00361458" w:rsidRDefault="00FD5723" w:rsidP="005441BD">
      <w:pPr>
        <w:spacing w:line="480" w:lineRule="atLeast"/>
        <w:ind w:left="720"/>
        <w:rPr>
          <w:rFonts w:ascii="Arial" w:hAnsi="Arial"/>
        </w:rPr>
      </w:pPr>
      <w:r>
        <w:rPr>
          <w:rFonts w:ascii="Arial" w:hAnsi="Arial"/>
        </w:rPr>
        <w:t xml:space="preserve">At year-end 2003, Gulf’s </w:t>
      </w:r>
      <w:r w:rsidR="00463F79">
        <w:rPr>
          <w:rFonts w:ascii="Arial" w:hAnsi="Arial"/>
        </w:rPr>
        <w:t>property damage</w:t>
      </w:r>
      <w:r>
        <w:rPr>
          <w:rFonts w:ascii="Arial" w:hAnsi="Arial"/>
        </w:rPr>
        <w:t xml:space="preserve"> reserve balance stood at </w:t>
      </w:r>
      <w:r w:rsidR="00790D7B">
        <w:rPr>
          <w:rFonts w:ascii="Arial" w:hAnsi="Arial"/>
        </w:rPr>
        <w:t xml:space="preserve">  </w:t>
      </w:r>
      <w:r>
        <w:rPr>
          <w:rFonts w:ascii="Arial" w:hAnsi="Arial"/>
        </w:rPr>
        <w:t>$</w:t>
      </w:r>
      <w:r w:rsidR="004B34F2">
        <w:rPr>
          <w:rFonts w:ascii="Arial" w:hAnsi="Arial"/>
        </w:rPr>
        <w:t>26</w:t>
      </w:r>
      <w:r w:rsidR="00C72893">
        <w:rPr>
          <w:rFonts w:ascii="Arial" w:hAnsi="Arial"/>
        </w:rPr>
        <w:t>.</w:t>
      </w:r>
      <w:r w:rsidR="004B34F2">
        <w:rPr>
          <w:rFonts w:ascii="Arial" w:hAnsi="Arial"/>
        </w:rPr>
        <w:t>2</w:t>
      </w:r>
      <w:r w:rsidR="00E60B6B">
        <w:rPr>
          <w:rFonts w:ascii="Arial" w:hAnsi="Arial"/>
        </w:rPr>
        <w:t xml:space="preserve"> million</w:t>
      </w:r>
      <w:r>
        <w:rPr>
          <w:rFonts w:ascii="Arial" w:hAnsi="Arial"/>
        </w:rPr>
        <w:t xml:space="preserve">. </w:t>
      </w:r>
      <w:r w:rsidR="003E373B">
        <w:rPr>
          <w:rFonts w:ascii="Arial" w:hAnsi="Arial"/>
        </w:rPr>
        <w:t xml:space="preserve">In 2004 and 2005, Gulf’s system was impacted by </w:t>
      </w:r>
      <w:r w:rsidR="004F7817">
        <w:rPr>
          <w:rFonts w:ascii="Arial" w:hAnsi="Arial"/>
        </w:rPr>
        <w:t>three</w:t>
      </w:r>
      <w:r w:rsidR="003E373B">
        <w:rPr>
          <w:rFonts w:ascii="Arial" w:hAnsi="Arial"/>
        </w:rPr>
        <w:t xml:space="preserve"> </w:t>
      </w:r>
      <w:r w:rsidR="00D87B8A">
        <w:rPr>
          <w:rFonts w:ascii="Arial" w:hAnsi="Arial"/>
        </w:rPr>
        <w:t xml:space="preserve">major </w:t>
      </w:r>
      <w:r w:rsidR="003E373B">
        <w:rPr>
          <w:rFonts w:ascii="Arial" w:hAnsi="Arial"/>
        </w:rPr>
        <w:t>storms</w:t>
      </w:r>
      <w:r w:rsidR="00417CC4">
        <w:rPr>
          <w:rFonts w:ascii="Arial" w:hAnsi="Arial"/>
        </w:rPr>
        <w:t>.</w:t>
      </w:r>
      <w:r w:rsidR="00B717D8">
        <w:rPr>
          <w:rFonts w:ascii="Arial" w:hAnsi="Arial"/>
        </w:rPr>
        <w:t xml:space="preserve"> </w:t>
      </w:r>
      <w:r w:rsidR="003E373B">
        <w:rPr>
          <w:rFonts w:ascii="Arial" w:hAnsi="Arial"/>
        </w:rPr>
        <w:t xml:space="preserve"> Hurricane Ivan, a strong </w:t>
      </w:r>
      <w:r w:rsidR="00C72893">
        <w:rPr>
          <w:rFonts w:ascii="Arial" w:hAnsi="Arial"/>
        </w:rPr>
        <w:t>C</w:t>
      </w:r>
      <w:r w:rsidR="003E373B">
        <w:rPr>
          <w:rFonts w:ascii="Arial" w:hAnsi="Arial"/>
        </w:rPr>
        <w:t>ategory 3 storm</w:t>
      </w:r>
      <w:r w:rsidR="00B717D8">
        <w:rPr>
          <w:rFonts w:ascii="Arial" w:hAnsi="Arial"/>
        </w:rPr>
        <w:t xml:space="preserve"> in 2004</w:t>
      </w:r>
      <w:r w:rsidR="003E373B">
        <w:rPr>
          <w:rFonts w:ascii="Arial" w:hAnsi="Arial"/>
        </w:rPr>
        <w:t xml:space="preserve"> </w:t>
      </w:r>
      <w:r w:rsidR="00417CC4">
        <w:rPr>
          <w:rFonts w:ascii="Arial" w:hAnsi="Arial"/>
        </w:rPr>
        <w:t>caused</w:t>
      </w:r>
      <w:r w:rsidR="00B717D8">
        <w:rPr>
          <w:rFonts w:ascii="Arial" w:hAnsi="Arial"/>
        </w:rPr>
        <w:t xml:space="preserve"> the reserve to be drawn down by</w:t>
      </w:r>
      <w:r w:rsidR="003E373B">
        <w:rPr>
          <w:rFonts w:ascii="Arial" w:hAnsi="Arial"/>
        </w:rPr>
        <w:t xml:space="preserve"> $97</w:t>
      </w:r>
      <w:r w:rsidR="00E60B6B">
        <w:rPr>
          <w:rFonts w:ascii="Arial" w:hAnsi="Arial"/>
        </w:rPr>
        <w:t>.7 million</w:t>
      </w:r>
      <w:r w:rsidR="00B717D8">
        <w:rPr>
          <w:rFonts w:ascii="Arial" w:hAnsi="Arial"/>
        </w:rPr>
        <w:t>.  In 2005</w:t>
      </w:r>
      <w:r w:rsidR="003E373B">
        <w:rPr>
          <w:rFonts w:ascii="Arial" w:hAnsi="Arial"/>
        </w:rPr>
        <w:t xml:space="preserve">, Hurricane Dennis, another </w:t>
      </w:r>
      <w:r w:rsidR="00C72893">
        <w:rPr>
          <w:rFonts w:ascii="Arial" w:hAnsi="Arial"/>
        </w:rPr>
        <w:t>C</w:t>
      </w:r>
      <w:r w:rsidR="003E373B">
        <w:rPr>
          <w:rFonts w:ascii="Arial" w:hAnsi="Arial"/>
        </w:rPr>
        <w:t xml:space="preserve">ategory 3 storm, </w:t>
      </w:r>
      <w:r w:rsidR="00B717D8">
        <w:rPr>
          <w:rFonts w:ascii="Arial" w:hAnsi="Arial"/>
        </w:rPr>
        <w:t>caused the reserve to be drawn down by another</w:t>
      </w:r>
      <w:r w:rsidR="00431CDA">
        <w:rPr>
          <w:rFonts w:ascii="Arial" w:hAnsi="Arial"/>
        </w:rPr>
        <w:t xml:space="preserve"> </w:t>
      </w:r>
      <w:r w:rsidR="003E373B">
        <w:rPr>
          <w:rFonts w:ascii="Arial" w:hAnsi="Arial"/>
        </w:rPr>
        <w:t>$51</w:t>
      </w:r>
      <w:r w:rsidR="00E60B6B">
        <w:rPr>
          <w:rFonts w:ascii="Arial" w:hAnsi="Arial"/>
        </w:rPr>
        <w:t>.7 million</w:t>
      </w:r>
      <w:r w:rsidR="00C313DA">
        <w:rPr>
          <w:rFonts w:ascii="Arial" w:hAnsi="Arial"/>
        </w:rPr>
        <w:t xml:space="preserve">.  These storms resulted in a deficit reserve balance </w:t>
      </w:r>
      <w:r w:rsidR="005441BD">
        <w:rPr>
          <w:rFonts w:ascii="Arial" w:hAnsi="Arial"/>
        </w:rPr>
        <w:t xml:space="preserve">as </w:t>
      </w:r>
      <w:r w:rsidR="00C313DA">
        <w:rPr>
          <w:rFonts w:ascii="Arial" w:hAnsi="Arial"/>
        </w:rPr>
        <w:t xml:space="preserve">high </w:t>
      </w:r>
      <w:r w:rsidR="005441BD">
        <w:rPr>
          <w:rFonts w:ascii="Arial" w:hAnsi="Arial"/>
        </w:rPr>
        <w:t xml:space="preserve">as </w:t>
      </w:r>
      <w:r w:rsidR="00DF436A">
        <w:rPr>
          <w:rFonts w:ascii="Arial" w:hAnsi="Arial"/>
        </w:rPr>
        <w:t>$94</w:t>
      </w:r>
      <w:r w:rsidR="00E60B6B">
        <w:rPr>
          <w:rFonts w:ascii="Arial" w:hAnsi="Arial"/>
        </w:rPr>
        <w:t xml:space="preserve"> million</w:t>
      </w:r>
      <w:r w:rsidR="00C313DA">
        <w:rPr>
          <w:rFonts w:ascii="Arial" w:hAnsi="Arial"/>
        </w:rPr>
        <w:t xml:space="preserve"> in September 2005</w:t>
      </w:r>
      <w:r w:rsidR="00DF436A">
        <w:rPr>
          <w:rFonts w:ascii="Arial" w:hAnsi="Arial"/>
        </w:rPr>
        <w:t xml:space="preserve">.  </w:t>
      </w:r>
      <w:r>
        <w:rPr>
          <w:rFonts w:ascii="Arial" w:hAnsi="Arial"/>
        </w:rPr>
        <w:t>To eliminate this deficit and begin rebuilding the reserve, the Commission authorized</w:t>
      </w:r>
      <w:r w:rsidRPr="00FD5723">
        <w:rPr>
          <w:rFonts w:ascii="Arial" w:hAnsi="Arial"/>
        </w:rPr>
        <w:t xml:space="preserve"> </w:t>
      </w:r>
      <w:r>
        <w:rPr>
          <w:rFonts w:ascii="Arial" w:hAnsi="Arial"/>
        </w:rPr>
        <w:t xml:space="preserve">a monthly residential storm surcharge between $0.00257 and $0.00271 per </w:t>
      </w:r>
      <w:proofErr w:type="spellStart"/>
      <w:proofErr w:type="gramStart"/>
      <w:r>
        <w:rPr>
          <w:rFonts w:ascii="Arial" w:hAnsi="Arial"/>
        </w:rPr>
        <w:t>kwh</w:t>
      </w:r>
      <w:proofErr w:type="spellEnd"/>
      <w:proofErr w:type="gramEnd"/>
      <w:r>
        <w:rPr>
          <w:rFonts w:ascii="Arial" w:hAnsi="Arial"/>
        </w:rPr>
        <w:t xml:space="preserve"> for 51 months. </w:t>
      </w:r>
    </w:p>
    <w:p w:rsidR="009B5B7D" w:rsidRDefault="009B5B7D" w:rsidP="00DE7D73">
      <w:pPr>
        <w:spacing w:line="480" w:lineRule="atLeast"/>
        <w:ind w:left="720" w:hanging="540"/>
        <w:rPr>
          <w:rFonts w:ascii="Arial" w:hAnsi="Arial"/>
        </w:rPr>
      </w:pPr>
    </w:p>
    <w:p w:rsidR="009B5B7D" w:rsidRDefault="003E373B" w:rsidP="00DE7D73">
      <w:pPr>
        <w:spacing w:line="480" w:lineRule="atLeast"/>
        <w:ind w:left="720" w:hanging="540"/>
        <w:rPr>
          <w:rFonts w:ascii="Arial" w:hAnsi="Arial"/>
        </w:rPr>
      </w:pPr>
      <w:r>
        <w:rPr>
          <w:rFonts w:ascii="Arial" w:hAnsi="Arial"/>
        </w:rPr>
        <w:t>Q.</w:t>
      </w:r>
      <w:r>
        <w:rPr>
          <w:rFonts w:ascii="Arial" w:hAnsi="Arial"/>
        </w:rPr>
        <w:tab/>
        <w:t>What is the current target level for the reserve?</w:t>
      </w:r>
    </w:p>
    <w:p w:rsidR="00970E0D" w:rsidRDefault="003E373B" w:rsidP="00DE7D73">
      <w:pPr>
        <w:spacing w:line="480" w:lineRule="atLeast"/>
        <w:ind w:left="720" w:hanging="540"/>
        <w:rPr>
          <w:rFonts w:ascii="Arial" w:hAnsi="Arial"/>
        </w:rPr>
      </w:pPr>
      <w:r>
        <w:rPr>
          <w:rFonts w:ascii="Arial" w:hAnsi="Arial"/>
        </w:rPr>
        <w:t>A.</w:t>
      </w:r>
      <w:r>
        <w:rPr>
          <w:rFonts w:ascii="Arial" w:hAnsi="Arial"/>
        </w:rPr>
        <w:tab/>
        <w:t>The current target level for the reserve is $25</w:t>
      </w:r>
      <w:r w:rsidR="00E60B6B">
        <w:rPr>
          <w:rFonts w:ascii="Arial" w:hAnsi="Arial"/>
        </w:rPr>
        <w:t>.</w:t>
      </w:r>
      <w:r>
        <w:rPr>
          <w:rFonts w:ascii="Arial" w:hAnsi="Arial"/>
        </w:rPr>
        <w:t>1</w:t>
      </w:r>
      <w:r w:rsidR="00E60B6B">
        <w:rPr>
          <w:rFonts w:ascii="Arial" w:hAnsi="Arial"/>
        </w:rPr>
        <w:t xml:space="preserve"> million</w:t>
      </w:r>
      <w:r>
        <w:rPr>
          <w:rFonts w:ascii="Arial" w:hAnsi="Arial"/>
        </w:rPr>
        <w:t xml:space="preserve"> to $36</w:t>
      </w:r>
      <w:r w:rsidR="00E60B6B">
        <w:rPr>
          <w:rFonts w:ascii="Arial" w:hAnsi="Arial"/>
        </w:rPr>
        <w:t xml:space="preserve"> million</w:t>
      </w:r>
      <w:r>
        <w:rPr>
          <w:rFonts w:ascii="Arial" w:hAnsi="Arial"/>
        </w:rPr>
        <w:t>, as approved</w:t>
      </w:r>
      <w:r w:rsidR="009D290F">
        <w:rPr>
          <w:rFonts w:ascii="Arial" w:hAnsi="Arial"/>
        </w:rPr>
        <w:t xml:space="preserve"> by the Commission in Docket No. 951433-EI, Order No. PSC-96-1334-FOF-EI, and affirmed</w:t>
      </w:r>
      <w:r>
        <w:rPr>
          <w:rFonts w:ascii="Arial" w:hAnsi="Arial"/>
        </w:rPr>
        <w:t xml:space="preserve"> in the Company’s last rate case. </w:t>
      </w:r>
      <w:r w:rsidR="004A3A16">
        <w:rPr>
          <w:rFonts w:ascii="Arial" w:hAnsi="Arial"/>
        </w:rPr>
        <w:t>The storm study shows that with the current accrual level, the balance in the fund is expected to decrease, rather than increase</w:t>
      </w:r>
      <w:r w:rsidR="00D87B8A">
        <w:rPr>
          <w:rFonts w:ascii="Arial" w:hAnsi="Arial"/>
        </w:rPr>
        <w:t>,</w:t>
      </w:r>
      <w:r w:rsidR="004A3A16">
        <w:rPr>
          <w:rFonts w:ascii="Arial" w:hAnsi="Arial"/>
        </w:rPr>
        <w:t xml:space="preserve"> over the next five years.  </w:t>
      </w:r>
      <w:r>
        <w:rPr>
          <w:rFonts w:ascii="Arial" w:hAnsi="Arial"/>
        </w:rPr>
        <w:t xml:space="preserve"> </w:t>
      </w:r>
      <w:r w:rsidR="00417CC4">
        <w:rPr>
          <w:rFonts w:ascii="Arial" w:hAnsi="Arial"/>
        </w:rPr>
        <w:t>I</w:t>
      </w:r>
      <w:r w:rsidR="00417CC4" w:rsidRPr="00561CBE">
        <w:rPr>
          <w:rFonts w:ascii="Arial" w:hAnsi="Arial"/>
        </w:rPr>
        <w:t>ncreasi</w:t>
      </w:r>
      <w:r w:rsidR="00417CC4">
        <w:rPr>
          <w:rFonts w:ascii="Arial" w:hAnsi="Arial"/>
        </w:rPr>
        <w:t>ng</w:t>
      </w:r>
      <w:r w:rsidRPr="00561CBE">
        <w:rPr>
          <w:rFonts w:ascii="Arial" w:hAnsi="Arial"/>
        </w:rPr>
        <w:t xml:space="preserve"> </w:t>
      </w:r>
      <w:r>
        <w:rPr>
          <w:rFonts w:ascii="Arial" w:hAnsi="Arial"/>
        </w:rPr>
        <w:t>the annual accrual to $</w:t>
      </w:r>
      <w:r w:rsidR="00B640A6">
        <w:rPr>
          <w:rFonts w:ascii="Arial" w:hAnsi="Arial"/>
        </w:rPr>
        <w:t>6,800,000</w:t>
      </w:r>
      <w:r>
        <w:rPr>
          <w:rFonts w:ascii="Arial" w:hAnsi="Arial"/>
        </w:rPr>
        <w:t xml:space="preserve"> with a targeted reserve balance between $52</w:t>
      </w:r>
      <w:r w:rsidR="00E60B6B">
        <w:rPr>
          <w:rFonts w:ascii="Arial" w:hAnsi="Arial"/>
        </w:rPr>
        <w:t xml:space="preserve"> million</w:t>
      </w:r>
      <w:r>
        <w:rPr>
          <w:rFonts w:ascii="Arial" w:hAnsi="Arial"/>
        </w:rPr>
        <w:t xml:space="preserve"> and $98</w:t>
      </w:r>
      <w:r w:rsidR="00E60B6B">
        <w:rPr>
          <w:rFonts w:ascii="Arial" w:hAnsi="Arial"/>
        </w:rPr>
        <w:t xml:space="preserve"> million</w:t>
      </w:r>
      <w:r>
        <w:rPr>
          <w:rFonts w:ascii="Arial" w:hAnsi="Arial"/>
        </w:rPr>
        <w:t xml:space="preserve"> </w:t>
      </w:r>
      <w:r w:rsidRPr="00561CBE">
        <w:rPr>
          <w:rFonts w:ascii="Arial" w:hAnsi="Arial"/>
        </w:rPr>
        <w:t xml:space="preserve">will provide our customers </w:t>
      </w:r>
      <w:r w:rsidR="009D290F">
        <w:rPr>
          <w:rFonts w:ascii="Arial" w:hAnsi="Arial"/>
        </w:rPr>
        <w:t xml:space="preserve">with </w:t>
      </w:r>
      <w:r w:rsidRPr="00561CBE">
        <w:rPr>
          <w:rFonts w:ascii="Arial" w:hAnsi="Arial"/>
        </w:rPr>
        <w:t>the best long term solution to storm restoration.</w:t>
      </w:r>
      <w:r>
        <w:rPr>
          <w:rFonts w:ascii="Arial" w:hAnsi="Arial"/>
        </w:rPr>
        <w:t xml:space="preserve">  This reserve band </w:t>
      </w:r>
      <w:r>
        <w:rPr>
          <w:rFonts w:ascii="Arial" w:hAnsi="Arial"/>
        </w:rPr>
        <w:lastRenderedPageBreak/>
        <w:t xml:space="preserve">replicates Gulf’s </w:t>
      </w:r>
      <w:r w:rsidR="00942E7A">
        <w:rPr>
          <w:rFonts w:ascii="Arial" w:hAnsi="Arial"/>
        </w:rPr>
        <w:t xml:space="preserve">expenses associated with </w:t>
      </w:r>
      <w:r>
        <w:rPr>
          <w:rFonts w:ascii="Arial" w:hAnsi="Arial"/>
        </w:rPr>
        <w:t>most recent significant storm</w:t>
      </w:r>
      <w:r w:rsidR="00B717D8">
        <w:rPr>
          <w:rFonts w:ascii="Arial" w:hAnsi="Arial"/>
        </w:rPr>
        <w:t xml:space="preserve"> damage charged to the reserve</w:t>
      </w:r>
      <w:r w:rsidR="00E622E1">
        <w:rPr>
          <w:rFonts w:ascii="Arial" w:hAnsi="Arial"/>
        </w:rPr>
        <w:t xml:space="preserve"> and would reduce the likelihood of a significant storm cost recovery surcharge in the event of a large storm</w:t>
      </w:r>
      <w:r>
        <w:rPr>
          <w:rFonts w:ascii="Arial" w:hAnsi="Arial"/>
        </w:rPr>
        <w:t>.</w:t>
      </w:r>
    </w:p>
    <w:p w:rsidR="00ED16A0" w:rsidRDefault="00ED16A0" w:rsidP="00DE7D73">
      <w:pPr>
        <w:spacing w:line="480" w:lineRule="atLeast"/>
        <w:ind w:left="720" w:hanging="540"/>
        <w:rPr>
          <w:rFonts w:ascii="Arial" w:hAnsi="Arial"/>
        </w:rPr>
      </w:pPr>
    </w:p>
    <w:p w:rsidR="00ED16A0" w:rsidRPr="00ED16A0" w:rsidRDefault="00ED16A0" w:rsidP="00ED16A0">
      <w:pPr>
        <w:spacing w:line="480" w:lineRule="atLeast"/>
        <w:ind w:left="720" w:hanging="720"/>
        <w:rPr>
          <w:rFonts w:ascii="Arial" w:hAnsi="Arial" w:cs="Arial"/>
        </w:rPr>
      </w:pPr>
      <w:r w:rsidRPr="00ED16A0">
        <w:rPr>
          <w:rFonts w:ascii="Arial" w:hAnsi="Arial" w:cs="Arial"/>
        </w:rPr>
        <w:t>Q.</w:t>
      </w:r>
      <w:r w:rsidRPr="00ED16A0">
        <w:rPr>
          <w:rFonts w:ascii="Arial" w:hAnsi="Arial" w:cs="Arial"/>
        </w:rPr>
        <w:tab/>
        <w:t>Will an increase in the accrual to $</w:t>
      </w:r>
      <w:r w:rsidR="00B640A6">
        <w:rPr>
          <w:rFonts w:ascii="Arial" w:hAnsi="Arial" w:cs="Arial"/>
        </w:rPr>
        <w:t>6,800,000</w:t>
      </w:r>
      <w:r w:rsidRPr="00ED16A0">
        <w:rPr>
          <w:rFonts w:ascii="Arial" w:hAnsi="Arial" w:cs="Arial"/>
        </w:rPr>
        <w:t xml:space="preserve"> allow Gulf to reach its targeted reserve?</w:t>
      </w:r>
    </w:p>
    <w:p w:rsidR="00ED16A0" w:rsidRPr="00ED16A0" w:rsidRDefault="00ED16A0" w:rsidP="00ED16A0">
      <w:pPr>
        <w:spacing w:line="480" w:lineRule="atLeast"/>
        <w:ind w:left="720" w:hanging="720"/>
        <w:rPr>
          <w:rFonts w:ascii="Arial" w:hAnsi="Arial" w:cs="Arial"/>
        </w:rPr>
      </w:pPr>
      <w:r w:rsidRPr="00ED16A0">
        <w:rPr>
          <w:rFonts w:ascii="Arial" w:hAnsi="Arial" w:cs="Arial"/>
        </w:rPr>
        <w:t>A.</w:t>
      </w:r>
      <w:r w:rsidRPr="00ED16A0">
        <w:rPr>
          <w:rFonts w:ascii="Arial" w:hAnsi="Arial" w:cs="Arial"/>
        </w:rPr>
        <w:tab/>
        <w:t>It is possible but not likely.  The requested accrual is only at the level of the expected average annual loss to be covered by the reserve.  Therefore, if actual losses equal expected losses, the reserve will not increase to its target.  An annual accrual in excess of the expected average annual loss would be required to have an expected increase in the reserve balance over time.</w:t>
      </w:r>
    </w:p>
    <w:p w:rsidR="00ED16A0" w:rsidRPr="00ED16A0" w:rsidRDefault="00ED16A0" w:rsidP="00ED16A0">
      <w:pPr>
        <w:spacing w:line="480" w:lineRule="atLeast"/>
        <w:ind w:left="720" w:hanging="720"/>
        <w:rPr>
          <w:rFonts w:ascii="Arial" w:hAnsi="Arial" w:cs="Arial"/>
        </w:rPr>
      </w:pPr>
    </w:p>
    <w:p w:rsidR="00ED16A0" w:rsidRDefault="00ED16A0" w:rsidP="00ED16A0">
      <w:pPr>
        <w:spacing w:line="480" w:lineRule="atLeast"/>
        <w:ind w:left="720" w:hanging="720"/>
        <w:rPr>
          <w:rFonts w:ascii="Arial" w:hAnsi="Arial" w:cs="Arial"/>
        </w:rPr>
      </w:pPr>
      <w:r w:rsidRPr="00ED16A0">
        <w:rPr>
          <w:rFonts w:ascii="Arial" w:hAnsi="Arial" w:cs="Arial"/>
        </w:rPr>
        <w:t>Q.</w:t>
      </w:r>
      <w:r w:rsidRPr="00ED16A0">
        <w:rPr>
          <w:rFonts w:ascii="Arial" w:hAnsi="Arial" w:cs="Arial"/>
        </w:rPr>
        <w:tab/>
        <w:t>Why is Gulf not requesting an annual accrual in excess of the expected average annual loss?</w:t>
      </w:r>
    </w:p>
    <w:p w:rsidR="00ED16A0" w:rsidRPr="00ED16A0" w:rsidRDefault="00ED16A0" w:rsidP="00ED16A0">
      <w:pPr>
        <w:spacing w:line="480" w:lineRule="atLeast"/>
        <w:ind w:left="720" w:hanging="720"/>
        <w:rPr>
          <w:rFonts w:ascii="Arial" w:hAnsi="Arial" w:cs="Arial"/>
        </w:rPr>
      </w:pPr>
      <w:r w:rsidRPr="00ED16A0">
        <w:rPr>
          <w:rFonts w:ascii="Arial" w:hAnsi="Arial" w:cs="Arial"/>
        </w:rPr>
        <w:t>A.</w:t>
      </w:r>
      <w:r w:rsidRPr="00ED16A0">
        <w:rPr>
          <w:rFonts w:ascii="Arial" w:hAnsi="Arial" w:cs="Arial"/>
        </w:rPr>
        <w:tab/>
      </w:r>
      <w:r>
        <w:rPr>
          <w:rFonts w:ascii="Arial" w:hAnsi="Arial" w:cs="Arial"/>
        </w:rPr>
        <w:t>Gulf</w:t>
      </w:r>
      <w:r w:rsidRPr="00ED16A0">
        <w:rPr>
          <w:rFonts w:ascii="Arial" w:hAnsi="Arial" w:cs="Arial"/>
        </w:rPr>
        <w:t xml:space="preserve"> </w:t>
      </w:r>
      <w:r>
        <w:rPr>
          <w:rFonts w:ascii="Arial" w:hAnsi="Arial" w:cs="Arial"/>
        </w:rPr>
        <w:t>is</w:t>
      </w:r>
      <w:r w:rsidRPr="00ED16A0">
        <w:rPr>
          <w:rFonts w:ascii="Arial" w:hAnsi="Arial" w:cs="Arial"/>
        </w:rPr>
        <w:t xml:space="preserve"> aware of the impact that the requested accrual will have on rates and ha</w:t>
      </w:r>
      <w:r w:rsidR="003155BC">
        <w:rPr>
          <w:rFonts w:ascii="Arial" w:hAnsi="Arial" w:cs="Arial"/>
        </w:rPr>
        <w:t>s</w:t>
      </w:r>
      <w:r w:rsidRPr="00ED16A0">
        <w:rPr>
          <w:rFonts w:ascii="Arial" w:hAnsi="Arial" w:cs="Arial"/>
        </w:rPr>
        <w:t xml:space="preserve"> made a conscious decision to limit the requested accrual to the expected average annual loss.  While this will likely mean that the reserve will not grow as large as our targets, it should be adequate to maintain the reserve at or near existing levels, absent catastrophic storms or a series of storms that exceed the average </w:t>
      </w:r>
      <w:r w:rsidR="00D7287D">
        <w:rPr>
          <w:rFonts w:ascii="Arial" w:hAnsi="Arial" w:cs="Arial"/>
        </w:rPr>
        <w:t xml:space="preserve">annual </w:t>
      </w:r>
      <w:r w:rsidRPr="00ED16A0">
        <w:rPr>
          <w:rFonts w:ascii="Arial" w:hAnsi="Arial" w:cs="Arial"/>
        </w:rPr>
        <w:t>impacts.  Gulf believes that the requested annual accrual is a significant first step in reaching the targeted reserve over the long term.</w:t>
      </w:r>
    </w:p>
    <w:p w:rsidR="00ED16A0" w:rsidRDefault="00ED16A0" w:rsidP="00ED16A0">
      <w:pPr>
        <w:spacing w:line="480" w:lineRule="atLeast"/>
        <w:ind w:left="720" w:hanging="720"/>
        <w:rPr>
          <w:rFonts w:ascii="Arial" w:hAnsi="Arial" w:cs="Arial"/>
        </w:rPr>
      </w:pPr>
    </w:p>
    <w:p w:rsidR="00A9518E" w:rsidRPr="00ED16A0" w:rsidRDefault="00A9518E" w:rsidP="00ED16A0">
      <w:pPr>
        <w:spacing w:line="480" w:lineRule="atLeast"/>
        <w:ind w:left="720" w:hanging="720"/>
        <w:rPr>
          <w:rFonts w:ascii="Arial" w:hAnsi="Arial" w:cs="Arial"/>
        </w:rPr>
      </w:pPr>
    </w:p>
    <w:p w:rsidR="00ED16A0" w:rsidRPr="00ED16A0" w:rsidRDefault="00ED16A0" w:rsidP="00ED16A0">
      <w:pPr>
        <w:spacing w:line="480" w:lineRule="atLeast"/>
        <w:ind w:left="720" w:hanging="540"/>
        <w:rPr>
          <w:rFonts w:ascii="Arial" w:hAnsi="Arial" w:cs="Arial"/>
        </w:rPr>
      </w:pPr>
      <w:r w:rsidRPr="00ED16A0">
        <w:rPr>
          <w:rFonts w:ascii="Arial" w:hAnsi="Arial" w:cs="Arial"/>
        </w:rPr>
        <w:lastRenderedPageBreak/>
        <w:t>Q.</w:t>
      </w:r>
      <w:r w:rsidRPr="00ED16A0">
        <w:rPr>
          <w:rFonts w:ascii="Arial" w:hAnsi="Arial" w:cs="Arial"/>
        </w:rPr>
        <w:tab/>
        <w:t>Why is it important to maintain an adequate reserve?</w:t>
      </w:r>
    </w:p>
    <w:p w:rsidR="00ED16A0" w:rsidRPr="00ED16A0" w:rsidRDefault="00ED16A0" w:rsidP="00ED16A0">
      <w:pPr>
        <w:spacing w:line="480" w:lineRule="atLeast"/>
        <w:ind w:left="720" w:hanging="540"/>
        <w:rPr>
          <w:rFonts w:ascii="Arial" w:hAnsi="Arial" w:cs="Arial"/>
        </w:rPr>
      </w:pPr>
      <w:r w:rsidRPr="00ED16A0">
        <w:rPr>
          <w:rFonts w:ascii="Arial" w:hAnsi="Arial" w:cs="Arial"/>
        </w:rPr>
        <w:t>A.</w:t>
      </w:r>
      <w:r w:rsidRPr="00ED16A0">
        <w:rPr>
          <w:rFonts w:ascii="Arial" w:hAnsi="Arial" w:cs="Arial"/>
        </w:rPr>
        <w:tab/>
        <w:t>There are numerous reasons for maintaining an adequate reserve.  First, an adequate reserve greatly diminishes (but does not eliminate) the likelihood of having to impose surcharges on customers to pay for storm losses.  Avoiding surcharges in a post-storm period is greatly beneficial to customers as they too have to struggle with the challenges of storm recovery.  Second, an adequate reserve acts like an effective insurance policy.  It allows “premiums” in the form of rates to be recovered from all customers a little at a time to cover large losses of an infrequent nature.  Third, an adequate reserve assures that financial resources are available to quickly and efficiently repair damages and restore service to customers.  Fourth, an adequate reserve diminishes the likelihood of the reserve going negative as it did twice in the 2004-</w:t>
      </w:r>
      <w:r w:rsidR="00C02667">
        <w:rPr>
          <w:rFonts w:ascii="Arial" w:hAnsi="Arial" w:cs="Arial"/>
        </w:rPr>
        <w:t>20</w:t>
      </w:r>
      <w:r w:rsidRPr="00ED16A0">
        <w:rPr>
          <w:rFonts w:ascii="Arial" w:hAnsi="Arial" w:cs="Arial"/>
        </w:rPr>
        <w:t xml:space="preserve">05 time period.  And fifth, an adequate reserve allows for insurance deductibles to be met.  The deductible for </w:t>
      </w:r>
      <w:r>
        <w:rPr>
          <w:rFonts w:ascii="Arial" w:hAnsi="Arial" w:cs="Arial"/>
        </w:rPr>
        <w:t>the All Risk policy</w:t>
      </w:r>
      <w:r w:rsidRPr="00ED16A0">
        <w:rPr>
          <w:rFonts w:ascii="Arial" w:hAnsi="Arial" w:cs="Arial"/>
        </w:rPr>
        <w:t xml:space="preserve"> has increased</w:t>
      </w:r>
      <w:r>
        <w:rPr>
          <w:rFonts w:ascii="Arial" w:hAnsi="Arial" w:cs="Arial"/>
        </w:rPr>
        <w:t xml:space="preserve"> from $1</w:t>
      </w:r>
      <w:r w:rsidR="00E60B6B">
        <w:rPr>
          <w:rFonts w:ascii="Arial" w:hAnsi="Arial" w:cs="Arial"/>
        </w:rPr>
        <w:t xml:space="preserve"> million</w:t>
      </w:r>
      <w:r>
        <w:rPr>
          <w:rFonts w:ascii="Arial" w:hAnsi="Arial" w:cs="Arial"/>
        </w:rPr>
        <w:t xml:space="preserve"> to </w:t>
      </w:r>
      <w:r w:rsidR="00790D7B">
        <w:rPr>
          <w:rFonts w:ascii="Arial" w:hAnsi="Arial" w:cs="Arial"/>
        </w:rPr>
        <w:t xml:space="preserve">          </w:t>
      </w:r>
      <w:r>
        <w:rPr>
          <w:rFonts w:ascii="Arial" w:hAnsi="Arial" w:cs="Arial"/>
        </w:rPr>
        <w:t>$10</w:t>
      </w:r>
      <w:r w:rsidR="00E60B6B">
        <w:rPr>
          <w:rFonts w:ascii="Arial" w:hAnsi="Arial" w:cs="Arial"/>
        </w:rPr>
        <w:t xml:space="preserve"> million</w:t>
      </w:r>
      <w:r>
        <w:rPr>
          <w:rFonts w:ascii="Arial" w:hAnsi="Arial" w:cs="Arial"/>
        </w:rPr>
        <w:t xml:space="preserve"> and $25</w:t>
      </w:r>
      <w:r w:rsidR="00E60B6B">
        <w:rPr>
          <w:rFonts w:ascii="Arial" w:hAnsi="Arial" w:cs="Arial"/>
        </w:rPr>
        <w:t xml:space="preserve"> million</w:t>
      </w:r>
      <w:r>
        <w:rPr>
          <w:rFonts w:ascii="Arial" w:hAnsi="Arial" w:cs="Arial"/>
        </w:rPr>
        <w:t xml:space="preserve"> for named windstorm and wind driven water.</w:t>
      </w:r>
    </w:p>
    <w:p w:rsidR="002D0630" w:rsidRDefault="002D0630" w:rsidP="00DE7D73">
      <w:pPr>
        <w:spacing w:line="480" w:lineRule="atLeast"/>
        <w:ind w:left="720"/>
        <w:rPr>
          <w:rFonts w:ascii="Arial" w:hAnsi="Arial"/>
          <w:b/>
        </w:rPr>
      </w:pPr>
    </w:p>
    <w:p w:rsidR="00A9518E" w:rsidRDefault="00A9518E" w:rsidP="00DE7D73">
      <w:pPr>
        <w:spacing w:line="480" w:lineRule="atLeast"/>
        <w:ind w:left="720"/>
        <w:rPr>
          <w:rFonts w:ascii="Arial" w:hAnsi="Arial"/>
          <w:b/>
        </w:rPr>
      </w:pPr>
    </w:p>
    <w:p w:rsidR="009B5B7D" w:rsidRDefault="003E373B" w:rsidP="00DE7D73">
      <w:pPr>
        <w:spacing w:line="480" w:lineRule="atLeast"/>
        <w:ind w:left="720"/>
        <w:jc w:val="center"/>
        <w:rPr>
          <w:rFonts w:ascii="Arial" w:hAnsi="Arial"/>
          <w:b/>
        </w:rPr>
      </w:pPr>
      <w:r w:rsidRPr="002D0630">
        <w:rPr>
          <w:rFonts w:ascii="Arial" w:hAnsi="Arial"/>
          <w:b/>
        </w:rPr>
        <w:t>III. DEPRECIATION</w:t>
      </w:r>
    </w:p>
    <w:p w:rsidR="002D0630" w:rsidRPr="002D0630" w:rsidRDefault="002D0630" w:rsidP="00DE7D73">
      <w:pPr>
        <w:spacing w:line="480" w:lineRule="atLeast"/>
        <w:ind w:left="720"/>
        <w:jc w:val="center"/>
        <w:rPr>
          <w:rFonts w:ascii="Arial" w:hAnsi="Arial"/>
          <w:b/>
        </w:rPr>
      </w:pPr>
    </w:p>
    <w:p w:rsidR="009B5B7D" w:rsidRDefault="003E373B" w:rsidP="00DE7D73">
      <w:pPr>
        <w:spacing w:line="480" w:lineRule="atLeast"/>
        <w:ind w:left="720" w:hanging="540"/>
        <w:rPr>
          <w:rFonts w:ascii="Arial" w:hAnsi="Arial"/>
        </w:rPr>
      </w:pPr>
      <w:r>
        <w:rPr>
          <w:rFonts w:ascii="Arial" w:hAnsi="Arial"/>
        </w:rPr>
        <w:t>Q.</w:t>
      </w:r>
      <w:r>
        <w:rPr>
          <w:rFonts w:ascii="Arial" w:hAnsi="Arial"/>
        </w:rPr>
        <w:tab/>
        <w:t xml:space="preserve">What </w:t>
      </w:r>
      <w:proofErr w:type="gramStart"/>
      <w:r>
        <w:rPr>
          <w:rFonts w:ascii="Arial" w:hAnsi="Arial"/>
        </w:rPr>
        <w:t>are Gulf’s depreciation expense</w:t>
      </w:r>
      <w:proofErr w:type="gramEnd"/>
      <w:r>
        <w:rPr>
          <w:rFonts w:ascii="Arial" w:hAnsi="Arial"/>
        </w:rPr>
        <w:t>, dismantlement accruals, and accumulated depreciation balances for the test year?</w:t>
      </w:r>
    </w:p>
    <w:p w:rsidR="00D563B9" w:rsidRDefault="003E373B" w:rsidP="00DE7D73">
      <w:pPr>
        <w:spacing w:line="480" w:lineRule="atLeast"/>
        <w:ind w:left="720" w:hanging="540"/>
        <w:rPr>
          <w:rFonts w:ascii="Arial" w:hAnsi="Arial"/>
        </w:rPr>
      </w:pPr>
      <w:r>
        <w:rPr>
          <w:rFonts w:ascii="Arial" w:hAnsi="Arial"/>
        </w:rPr>
        <w:t>A.</w:t>
      </w:r>
      <w:r>
        <w:rPr>
          <w:rFonts w:ascii="Arial" w:hAnsi="Arial"/>
        </w:rPr>
        <w:tab/>
        <w:t>Gulf’s depreciation expense, including dismantlement, for the test year is $135,</w:t>
      </w:r>
      <w:r w:rsidR="00386544">
        <w:rPr>
          <w:rFonts w:ascii="Arial" w:hAnsi="Arial"/>
        </w:rPr>
        <w:t>208</w:t>
      </w:r>
      <w:r>
        <w:rPr>
          <w:rFonts w:ascii="Arial" w:hAnsi="Arial"/>
        </w:rPr>
        <w:t>,000</w:t>
      </w:r>
      <w:r w:rsidR="005441BD">
        <w:rPr>
          <w:rFonts w:ascii="Arial" w:hAnsi="Arial"/>
        </w:rPr>
        <w:t>,</w:t>
      </w:r>
      <w:r>
        <w:rPr>
          <w:rFonts w:ascii="Arial" w:hAnsi="Arial"/>
        </w:rPr>
        <w:t xml:space="preserve"> as shown on MFR F-8.  Gulf’s 13</w:t>
      </w:r>
      <w:r w:rsidR="00521A10">
        <w:rPr>
          <w:rFonts w:ascii="Arial" w:hAnsi="Arial"/>
        </w:rPr>
        <w:t>-</w:t>
      </w:r>
      <w:r>
        <w:rPr>
          <w:rFonts w:ascii="Arial" w:hAnsi="Arial"/>
        </w:rPr>
        <w:t xml:space="preserve">month </w:t>
      </w:r>
    </w:p>
    <w:p w:rsidR="00D563B9" w:rsidRDefault="00D563B9" w:rsidP="00DE7D73">
      <w:pPr>
        <w:spacing w:line="480" w:lineRule="atLeast"/>
        <w:ind w:left="720" w:hanging="540"/>
        <w:rPr>
          <w:rFonts w:ascii="Arial" w:hAnsi="Arial"/>
        </w:rPr>
      </w:pPr>
    </w:p>
    <w:p w:rsidR="009B5B7D" w:rsidRDefault="00D563B9" w:rsidP="00DE7D73">
      <w:pPr>
        <w:spacing w:line="480" w:lineRule="atLeast"/>
        <w:ind w:left="720" w:hanging="540"/>
        <w:rPr>
          <w:rFonts w:ascii="Arial" w:hAnsi="Arial"/>
        </w:rPr>
      </w:pPr>
      <w:r>
        <w:rPr>
          <w:rFonts w:ascii="Arial" w:hAnsi="Arial"/>
        </w:rPr>
        <w:lastRenderedPageBreak/>
        <w:tab/>
      </w:r>
      <w:proofErr w:type="gramStart"/>
      <w:r w:rsidR="003E373B">
        <w:rPr>
          <w:rFonts w:ascii="Arial" w:hAnsi="Arial"/>
        </w:rPr>
        <w:t>average</w:t>
      </w:r>
      <w:proofErr w:type="gramEnd"/>
      <w:r w:rsidR="003E373B">
        <w:rPr>
          <w:rFonts w:ascii="Arial" w:hAnsi="Arial"/>
        </w:rPr>
        <w:t xml:space="preserve"> accumulated depreciation balances for the test year, which total $</w:t>
      </w:r>
      <w:r w:rsidR="00417CC4">
        <w:rPr>
          <w:rFonts w:ascii="Arial" w:hAnsi="Arial"/>
        </w:rPr>
        <w:t>1,412,</w:t>
      </w:r>
      <w:r w:rsidR="00B640A6">
        <w:rPr>
          <w:rFonts w:ascii="Arial" w:hAnsi="Arial"/>
        </w:rPr>
        <w:t>339</w:t>
      </w:r>
      <w:r w:rsidR="00417CC4">
        <w:rPr>
          <w:rFonts w:ascii="Arial" w:hAnsi="Arial"/>
        </w:rPr>
        <w:t>,000,</w:t>
      </w:r>
      <w:r w:rsidR="003E373B">
        <w:rPr>
          <w:rFonts w:ascii="Arial" w:hAnsi="Arial"/>
        </w:rPr>
        <w:t xml:space="preserve"> </w:t>
      </w:r>
      <w:r w:rsidR="00790D7B">
        <w:rPr>
          <w:rFonts w:ascii="Arial" w:hAnsi="Arial"/>
        </w:rPr>
        <w:t>is</w:t>
      </w:r>
      <w:r w:rsidR="003E373B">
        <w:rPr>
          <w:rFonts w:ascii="Arial" w:hAnsi="Arial"/>
        </w:rPr>
        <w:t xml:space="preserve"> detailed on MFR</w:t>
      </w:r>
      <w:r w:rsidR="00790D7B">
        <w:rPr>
          <w:rFonts w:ascii="Arial" w:hAnsi="Arial"/>
        </w:rPr>
        <w:t xml:space="preserve"> </w:t>
      </w:r>
      <w:r w:rsidR="003E373B">
        <w:rPr>
          <w:rFonts w:ascii="Arial" w:hAnsi="Arial"/>
        </w:rPr>
        <w:t>B-9.</w:t>
      </w:r>
    </w:p>
    <w:p w:rsidR="009B5B7D" w:rsidRDefault="009B5B7D" w:rsidP="00DE7D73">
      <w:pPr>
        <w:spacing w:line="480" w:lineRule="atLeast"/>
        <w:ind w:left="720" w:hanging="540"/>
        <w:rPr>
          <w:rFonts w:ascii="Arial" w:hAnsi="Arial"/>
        </w:rPr>
      </w:pPr>
    </w:p>
    <w:p w:rsidR="009B5B7D" w:rsidRDefault="003E373B" w:rsidP="00DE7D73">
      <w:pPr>
        <w:spacing w:line="480" w:lineRule="atLeast"/>
        <w:ind w:left="720" w:hanging="540"/>
        <w:rPr>
          <w:rFonts w:ascii="Arial" w:hAnsi="Arial"/>
        </w:rPr>
      </w:pPr>
      <w:r>
        <w:rPr>
          <w:rFonts w:ascii="Arial" w:hAnsi="Arial"/>
        </w:rPr>
        <w:t>Q.</w:t>
      </w:r>
      <w:r>
        <w:rPr>
          <w:rFonts w:ascii="Arial" w:hAnsi="Arial"/>
        </w:rPr>
        <w:tab/>
        <w:t>What is the basis for Gulf’s depreciation expense and dismantlement accruals?</w:t>
      </w:r>
    </w:p>
    <w:p w:rsidR="009B5B7D" w:rsidRDefault="003E373B" w:rsidP="00DE7D73">
      <w:pPr>
        <w:spacing w:line="480" w:lineRule="atLeast"/>
        <w:ind w:left="720" w:hanging="540"/>
        <w:rPr>
          <w:rFonts w:ascii="Arial" w:hAnsi="Arial"/>
        </w:rPr>
      </w:pPr>
      <w:r>
        <w:rPr>
          <w:rFonts w:ascii="Arial" w:hAnsi="Arial"/>
        </w:rPr>
        <w:t>A.</w:t>
      </w:r>
      <w:r>
        <w:rPr>
          <w:rFonts w:ascii="Arial" w:hAnsi="Arial"/>
        </w:rPr>
        <w:tab/>
        <w:t xml:space="preserve">Gulf’s depreciation expense reflects the depreciation rates approved by the Commission in Order No. </w:t>
      </w:r>
      <w:proofErr w:type="gramStart"/>
      <w:r>
        <w:rPr>
          <w:rFonts w:ascii="Arial" w:hAnsi="Arial"/>
        </w:rPr>
        <w:t>PSC-10-0458-PAA-EI, issued on July</w:t>
      </w:r>
      <w:r w:rsidR="0072435D">
        <w:rPr>
          <w:rFonts w:ascii="Arial" w:hAnsi="Arial"/>
        </w:rPr>
        <w:t> </w:t>
      </w:r>
      <w:r>
        <w:rPr>
          <w:rFonts w:ascii="Arial" w:hAnsi="Arial"/>
        </w:rPr>
        <w:t>19,</w:t>
      </w:r>
      <w:r w:rsidR="0072435D">
        <w:rPr>
          <w:rFonts w:ascii="Arial" w:hAnsi="Arial"/>
        </w:rPr>
        <w:t> </w:t>
      </w:r>
      <w:r>
        <w:rPr>
          <w:rFonts w:ascii="Arial" w:hAnsi="Arial"/>
        </w:rPr>
        <w:t>2010 in Docket No. 090319-EI.</w:t>
      </w:r>
      <w:proofErr w:type="gramEnd"/>
      <w:r>
        <w:rPr>
          <w:rFonts w:ascii="Arial" w:hAnsi="Arial"/>
        </w:rPr>
        <w:t xml:space="preserve"> Gulf’s dismantlement accrual was likewise approved in that same </w:t>
      </w:r>
      <w:r w:rsidR="00D563B9">
        <w:rPr>
          <w:rFonts w:ascii="Arial" w:hAnsi="Arial"/>
        </w:rPr>
        <w:t>O</w:t>
      </w:r>
      <w:r>
        <w:rPr>
          <w:rFonts w:ascii="Arial" w:hAnsi="Arial"/>
        </w:rPr>
        <w:t xml:space="preserve">rder.  Pursuant to that </w:t>
      </w:r>
      <w:r w:rsidR="00D563B9">
        <w:rPr>
          <w:rFonts w:ascii="Arial" w:hAnsi="Arial"/>
        </w:rPr>
        <w:t>O</w:t>
      </w:r>
      <w:r>
        <w:rPr>
          <w:rFonts w:ascii="Arial" w:hAnsi="Arial"/>
        </w:rPr>
        <w:t>rder, these newly approved rates were implemented effective January 1, 2010</w:t>
      </w:r>
      <w:r w:rsidR="00E622E1">
        <w:rPr>
          <w:rFonts w:ascii="Arial" w:hAnsi="Arial"/>
        </w:rPr>
        <w:t xml:space="preserve"> and will continue through the 2012 test year</w:t>
      </w:r>
      <w:r>
        <w:rPr>
          <w:rFonts w:ascii="Arial" w:hAnsi="Arial"/>
        </w:rPr>
        <w:t>.</w:t>
      </w:r>
    </w:p>
    <w:p w:rsidR="009B5B7D" w:rsidRDefault="009B5B7D" w:rsidP="00DE7D73">
      <w:pPr>
        <w:spacing w:line="480" w:lineRule="atLeast"/>
        <w:ind w:left="720" w:hanging="540"/>
        <w:rPr>
          <w:rFonts w:ascii="Arial" w:hAnsi="Arial"/>
        </w:rPr>
      </w:pPr>
    </w:p>
    <w:p w:rsidR="009B5B7D" w:rsidRDefault="003E373B" w:rsidP="00DE7D73">
      <w:pPr>
        <w:spacing w:line="480" w:lineRule="atLeast"/>
        <w:ind w:left="720" w:hanging="540"/>
        <w:rPr>
          <w:rFonts w:ascii="Arial" w:hAnsi="Arial"/>
        </w:rPr>
      </w:pPr>
      <w:r>
        <w:rPr>
          <w:rFonts w:ascii="Arial" w:hAnsi="Arial"/>
        </w:rPr>
        <w:t>Q.</w:t>
      </w:r>
      <w:r>
        <w:rPr>
          <w:rFonts w:ascii="Arial" w:hAnsi="Arial"/>
        </w:rPr>
        <w:tab/>
        <w:t xml:space="preserve">How was the </w:t>
      </w:r>
      <w:r w:rsidR="00917CCF">
        <w:rPr>
          <w:rFonts w:ascii="Arial" w:hAnsi="Arial"/>
        </w:rPr>
        <w:t>Advanced</w:t>
      </w:r>
      <w:r>
        <w:rPr>
          <w:rFonts w:ascii="Arial" w:hAnsi="Arial"/>
        </w:rPr>
        <w:t xml:space="preserve"> Metering Infrastructure (AMI) handled in Gulf’s last depreciation study?</w:t>
      </w:r>
    </w:p>
    <w:p w:rsidR="009B5B7D" w:rsidRDefault="003E373B" w:rsidP="00DE7D73">
      <w:pPr>
        <w:spacing w:line="480" w:lineRule="atLeast"/>
        <w:ind w:left="720" w:hanging="540"/>
        <w:rPr>
          <w:rFonts w:ascii="Arial" w:hAnsi="Arial"/>
        </w:rPr>
      </w:pPr>
      <w:r>
        <w:rPr>
          <w:rFonts w:ascii="Arial" w:hAnsi="Arial"/>
        </w:rPr>
        <w:t>A.</w:t>
      </w:r>
      <w:r>
        <w:rPr>
          <w:rFonts w:ascii="Arial" w:hAnsi="Arial"/>
        </w:rPr>
        <w:tab/>
        <w:t>During Gulf’s last depreciation study, Gulf identified meter investments of $12,176,660 that would retire over the 2010-2013 period in connection with its AMI program.  The reserve associated with the near-term retiring investments was estimated at $4,352,459</w:t>
      </w:r>
      <w:r w:rsidR="00ED16A0">
        <w:rPr>
          <w:rFonts w:ascii="Arial" w:hAnsi="Arial"/>
        </w:rPr>
        <w:t>,</w:t>
      </w:r>
      <w:r>
        <w:rPr>
          <w:rFonts w:ascii="Arial" w:hAnsi="Arial"/>
        </w:rPr>
        <w:t xml:space="preserve"> with anticipated removal costs of $1,826,499.  The resulting net investment of $9,650,700 was withdrawn from the meter account </w:t>
      </w:r>
      <w:r w:rsidR="00417CC4">
        <w:rPr>
          <w:rFonts w:ascii="Arial" w:hAnsi="Arial"/>
        </w:rPr>
        <w:t>and placed</w:t>
      </w:r>
      <w:r>
        <w:rPr>
          <w:rFonts w:ascii="Arial" w:hAnsi="Arial"/>
        </w:rPr>
        <w:t xml:space="preserve"> in a separate account.  A reserve transfer of $9,650,700 was made to cover the amortization related to these meters.</w:t>
      </w:r>
    </w:p>
    <w:p w:rsidR="009B5B7D" w:rsidRDefault="009B5B7D" w:rsidP="00DE7D73">
      <w:pPr>
        <w:spacing w:line="480" w:lineRule="atLeast"/>
        <w:ind w:left="720" w:hanging="540"/>
        <w:rPr>
          <w:rFonts w:ascii="Arial" w:hAnsi="Arial"/>
        </w:rPr>
      </w:pPr>
    </w:p>
    <w:p w:rsidR="009B5B7D" w:rsidRDefault="003E373B" w:rsidP="00DE7D73">
      <w:pPr>
        <w:spacing w:line="480" w:lineRule="atLeast"/>
        <w:ind w:left="720" w:hanging="540"/>
        <w:rPr>
          <w:rFonts w:ascii="Arial" w:hAnsi="Arial"/>
        </w:rPr>
      </w:pPr>
      <w:r>
        <w:rPr>
          <w:rFonts w:ascii="Arial" w:hAnsi="Arial"/>
        </w:rPr>
        <w:t>Q.</w:t>
      </w:r>
      <w:r>
        <w:rPr>
          <w:rFonts w:ascii="Arial" w:hAnsi="Arial"/>
        </w:rPr>
        <w:tab/>
        <w:t>Does Gulf propose to change how AMI is handled with regard to depreciation?</w:t>
      </w:r>
    </w:p>
    <w:p w:rsidR="009B5B7D" w:rsidRDefault="003E373B" w:rsidP="00DE7D73">
      <w:pPr>
        <w:spacing w:line="480" w:lineRule="atLeast"/>
        <w:ind w:left="720" w:hanging="540"/>
        <w:rPr>
          <w:rFonts w:ascii="Arial" w:hAnsi="Arial"/>
        </w:rPr>
      </w:pPr>
      <w:r>
        <w:rPr>
          <w:rFonts w:ascii="Arial" w:hAnsi="Arial"/>
        </w:rPr>
        <w:lastRenderedPageBreak/>
        <w:t>A.</w:t>
      </w:r>
      <w:r>
        <w:rPr>
          <w:rFonts w:ascii="Arial" w:hAnsi="Arial"/>
        </w:rPr>
        <w:tab/>
        <w:t>Yes.  There have been significant changes to the AMI project since Gulf’s depreciation study.  The move to AMI metering has progressed at a much faster pace than projected in Gulf’s Depreciation Study and is estimated to be substantially complete by the end of 2012.  This will leave an unrecovered net investment of approximately $7,088,000 as of December</w:t>
      </w:r>
      <w:r w:rsidR="00D563B9">
        <w:rPr>
          <w:rFonts w:ascii="Arial" w:hAnsi="Arial"/>
        </w:rPr>
        <w:t> </w:t>
      </w:r>
      <w:r>
        <w:rPr>
          <w:rFonts w:ascii="Arial" w:hAnsi="Arial"/>
        </w:rPr>
        <w:t>31, 2011.  Gulf proposes a capital recovery schedule to address the $7,088,000 remaining investment</w:t>
      </w:r>
      <w:r w:rsidR="00ED16A0">
        <w:rPr>
          <w:rFonts w:ascii="Arial" w:hAnsi="Arial"/>
        </w:rPr>
        <w:t>,</w:t>
      </w:r>
      <w:r>
        <w:rPr>
          <w:rFonts w:ascii="Arial" w:hAnsi="Arial"/>
        </w:rPr>
        <w:t xml:space="preserve"> which will be amortized over a fo</w:t>
      </w:r>
      <w:r w:rsidR="004B34F2">
        <w:rPr>
          <w:rFonts w:ascii="Arial" w:hAnsi="Arial"/>
        </w:rPr>
        <w:t>ur year period starting in 2012</w:t>
      </w:r>
      <w:r w:rsidR="005441BD">
        <w:rPr>
          <w:rFonts w:ascii="Arial" w:hAnsi="Arial"/>
        </w:rPr>
        <w:t>,</w:t>
      </w:r>
      <w:r w:rsidR="004B34F2">
        <w:rPr>
          <w:rFonts w:ascii="Arial" w:hAnsi="Arial"/>
        </w:rPr>
        <w:t xml:space="preserve"> resulting in $1,772,000 of annual expense</w:t>
      </w:r>
      <w:r w:rsidR="009E491E">
        <w:rPr>
          <w:rFonts w:ascii="Arial" w:hAnsi="Arial"/>
        </w:rPr>
        <w:t xml:space="preserve"> and </w:t>
      </w:r>
      <w:r w:rsidR="00992652">
        <w:rPr>
          <w:rFonts w:ascii="Arial" w:hAnsi="Arial"/>
        </w:rPr>
        <w:t xml:space="preserve">an increase in the </w:t>
      </w:r>
      <w:r w:rsidR="008877CC">
        <w:rPr>
          <w:rFonts w:ascii="Arial" w:hAnsi="Arial"/>
        </w:rPr>
        <w:t>13</w:t>
      </w:r>
      <w:r w:rsidR="00D563B9">
        <w:rPr>
          <w:rFonts w:ascii="Arial" w:hAnsi="Arial"/>
        </w:rPr>
        <w:t>-</w:t>
      </w:r>
      <w:r w:rsidR="008877CC">
        <w:rPr>
          <w:rFonts w:ascii="Arial" w:hAnsi="Arial"/>
        </w:rPr>
        <w:t>month average accumulated depreciation reserve of $886,000 as of December 2012</w:t>
      </w:r>
      <w:r w:rsidR="004B34F2">
        <w:rPr>
          <w:rFonts w:ascii="Arial" w:hAnsi="Arial"/>
        </w:rPr>
        <w:t>.</w:t>
      </w:r>
      <w:r w:rsidR="008877CC">
        <w:rPr>
          <w:rFonts w:ascii="Arial" w:hAnsi="Arial"/>
        </w:rPr>
        <w:t xml:space="preserve">  These amounts were provided to Mr.</w:t>
      </w:r>
      <w:r w:rsidR="0072435D">
        <w:rPr>
          <w:rFonts w:ascii="Arial" w:hAnsi="Arial"/>
        </w:rPr>
        <w:t> </w:t>
      </w:r>
      <w:r w:rsidR="008877CC">
        <w:rPr>
          <w:rFonts w:ascii="Arial" w:hAnsi="Arial"/>
        </w:rPr>
        <w:t>McMillan and are discussed in his testimony.</w:t>
      </w:r>
    </w:p>
    <w:p w:rsidR="009B5B7D" w:rsidRDefault="009B5B7D" w:rsidP="00DE7D73">
      <w:pPr>
        <w:spacing w:line="480" w:lineRule="atLeast"/>
        <w:ind w:left="720" w:hanging="540"/>
        <w:rPr>
          <w:rFonts w:ascii="Arial" w:hAnsi="Arial"/>
        </w:rPr>
      </w:pPr>
    </w:p>
    <w:p w:rsidR="009B5B7D" w:rsidRDefault="003E373B" w:rsidP="00DE7D73">
      <w:pPr>
        <w:spacing w:line="480" w:lineRule="atLeast"/>
        <w:ind w:left="720" w:hanging="540"/>
        <w:rPr>
          <w:rFonts w:ascii="Arial" w:hAnsi="Arial"/>
        </w:rPr>
      </w:pPr>
      <w:r>
        <w:rPr>
          <w:rFonts w:ascii="Arial" w:hAnsi="Arial"/>
        </w:rPr>
        <w:t xml:space="preserve"> Q.</w:t>
      </w:r>
      <w:r>
        <w:rPr>
          <w:rFonts w:ascii="Arial" w:hAnsi="Arial"/>
        </w:rPr>
        <w:tab/>
        <w:t xml:space="preserve">What is the depreciable life Gulf </w:t>
      </w:r>
      <w:r w:rsidR="00E622E1">
        <w:rPr>
          <w:rFonts w:ascii="Arial" w:hAnsi="Arial"/>
        </w:rPr>
        <w:t xml:space="preserve">is proposing to use </w:t>
      </w:r>
      <w:r>
        <w:rPr>
          <w:rFonts w:ascii="Arial" w:hAnsi="Arial"/>
        </w:rPr>
        <w:t>for AMI meters and associated equipment?</w:t>
      </w:r>
    </w:p>
    <w:p w:rsidR="009B5B7D" w:rsidRDefault="003E373B" w:rsidP="00DE7D73">
      <w:pPr>
        <w:spacing w:line="480" w:lineRule="atLeast"/>
        <w:ind w:left="720" w:hanging="540"/>
        <w:rPr>
          <w:rFonts w:ascii="Arial" w:hAnsi="Arial"/>
        </w:rPr>
      </w:pPr>
      <w:r>
        <w:rPr>
          <w:rFonts w:ascii="Arial" w:hAnsi="Arial"/>
        </w:rPr>
        <w:t>A.</w:t>
      </w:r>
      <w:r>
        <w:rPr>
          <w:rFonts w:ascii="Arial" w:hAnsi="Arial"/>
        </w:rPr>
        <w:tab/>
        <w:t>Gulf</w:t>
      </w:r>
      <w:r w:rsidR="00E1668B">
        <w:rPr>
          <w:rFonts w:ascii="Arial" w:hAnsi="Arial"/>
        </w:rPr>
        <w:t xml:space="preserve"> i</w:t>
      </w:r>
      <w:r>
        <w:rPr>
          <w:rFonts w:ascii="Arial" w:hAnsi="Arial"/>
        </w:rPr>
        <w:t xml:space="preserve">s </w:t>
      </w:r>
      <w:r w:rsidR="00E1668B">
        <w:rPr>
          <w:rFonts w:ascii="Arial" w:hAnsi="Arial"/>
        </w:rPr>
        <w:t xml:space="preserve">proposing </w:t>
      </w:r>
      <w:r>
        <w:rPr>
          <w:rFonts w:ascii="Arial" w:hAnsi="Arial"/>
        </w:rPr>
        <w:t>a 15 year life with no net salvage value for the AMI meters and associated equipment</w:t>
      </w:r>
      <w:r w:rsidR="00E1668B">
        <w:rPr>
          <w:rFonts w:ascii="Arial" w:hAnsi="Arial"/>
        </w:rPr>
        <w:t>.  The 15 year life</w:t>
      </w:r>
      <w:r>
        <w:rPr>
          <w:rFonts w:ascii="Arial" w:hAnsi="Arial"/>
        </w:rPr>
        <w:t xml:space="preserve"> was based on discussions with project engineering personnel </w:t>
      </w:r>
      <w:r w:rsidR="00DF436A">
        <w:rPr>
          <w:rFonts w:ascii="Arial" w:hAnsi="Arial"/>
        </w:rPr>
        <w:t xml:space="preserve">and </w:t>
      </w:r>
      <w:r>
        <w:rPr>
          <w:rFonts w:ascii="Arial" w:hAnsi="Arial"/>
        </w:rPr>
        <w:t>consult</w:t>
      </w:r>
      <w:r w:rsidR="00E1668B">
        <w:rPr>
          <w:rFonts w:ascii="Arial" w:hAnsi="Arial"/>
        </w:rPr>
        <w:t>ation</w:t>
      </w:r>
      <w:r>
        <w:rPr>
          <w:rFonts w:ascii="Arial" w:hAnsi="Arial"/>
        </w:rPr>
        <w:t xml:space="preserve"> with our depreciation </w:t>
      </w:r>
      <w:r w:rsidR="00E1668B">
        <w:rPr>
          <w:rFonts w:ascii="Arial" w:hAnsi="Arial"/>
        </w:rPr>
        <w:t>expert,</w:t>
      </w:r>
      <w:r>
        <w:rPr>
          <w:rFonts w:ascii="Arial" w:hAnsi="Arial"/>
        </w:rPr>
        <w:t xml:space="preserve"> </w:t>
      </w:r>
      <w:r w:rsidR="00E1668B">
        <w:rPr>
          <w:rFonts w:ascii="Arial" w:hAnsi="Arial"/>
        </w:rPr>
        <w:t>who</w:t>
      </w:r>
      <w:r>
        <w:rPr>
          <w:rFonts w:ascii="Arial" w:hAnsi="Arial"/>
        </w:rPr>
        <w:t xml:space="preserve"> agreed that a 15 year life was reasonable due to the new technology involved.  </w:t>
      </w:r>
      <w:r w:rsidR="00FD5723">
        <w:rPr>
          <w:rFonts w:ascii="Arial" w:hAnsi="Arial"/>
        </w:rPr>
        <w:t xml:space="preserve">Using this proposed </w:t>
      </w:r>
      <w:r w:rsidR="00E1668B">
        <w:rPr>
          <w:rFonts w:ascii="Arial" w:hAnsi="Arial"/>
        </w:rPr>
        <w:t xml:space="preserve">depreciable life </w:t>
      </w:r>
      <w:r>
        <w:rPr>
          <w:rFonts w:ascii="Arial" w:hAnsi="Arial"/>
        </w:rPr>
        <w:t>result</w:t>
      </w:r>
      <w:r w:rsidR="00E1668B">
        <w:rPr>
          <w:rFonts w:ascii="Arial" w:hAnsi="Arial"/>
        </w:rPr>
        <w:t>s</w:t>
      </w:r>
      <w:r>
        <w:rPr>
          <w:rFonts w:ascii="Arial" w:hAnsi="Arial"/>
        </w:rPr>
        <w:t xml:space="preserve"> in an increase of approximately </w:t>
      </w:r>
      <w:r w:rsidR="00F06355">
        <w:rPr>
          <w:rFonts w:ascii="Arial" w:hAnsi="Arial"/>
        </w:rPr>
        <w:t xml:space="preserve">$1,327,000 </w:t>
      </w:r>
      <w:r>
        <w:rPr>
          <w:rFonts w:ascii="Arial" w:hAnsi="Arial"/>
        </w:rPr>
        <w:t>in depreciation expense in 2012</w:t>
      </w:r>
      <w:r w:rsidR="0065661E">
        <w:rPr>
          <w:rFonts w:ascii="Arial" w:hAnsi="Arial"/>
        </w:rPr>
        <w:t xml:space="preserve"> and </w:t>
      </w:r>
      <w:r w:rsidR="00992652">
        <w:rPr>
          <w:rFonts w:ascii="Arial" w:hAnsi="Arial"/>
        </w:rPr>
        <w:t xml:space="preserve">an increase in the </w:t>
      </w:r>
      <w:r w:rsidR="00D563B9">
        <w:rPr>
          <w:rFonts w:ascii="Arial" w:hAnsi="Arial"/>
        </w:rPr>
        <w:t>13-</w:t>
      </w:r>
      <w:r w:rsidR="0065661E">
        <w:rPr>
          <w:rFonts w:ascii="Arial" w:hAnsi="Arial"/>
        </w:rPr>
        <w:t>month average accumulated depreciation reserve of $616,000</w:t>
      </w:r>
      <w:r w:rsidR="009E491E">
        <w:rPr>
          <w:rFonts w:ascii="Arial" w:hAnsi="Arial"/>
        </w:rPr>
        <w:t xml:space="preserve"> as of December 2012</w:t>
      </w:r>
      <w:r>
        <w:rPr>
          <w:rFonts w:ascii="Arial" w:hAnsi="Arial"/>
        </w:rPr>
        <w:t>.</w:t>
      </w:r>
      <w:r w:rsidR="009E491E">
        <w:rPr>
          <w:rFonts w:ascii="Arial" w:hAnsi="Arial"/>
        </w:rPr>
        <w:t xml:space="preserve">  These amounts were provided to Mr. McMillan and are discussed in his testimony.</w:t>
      </w:r>
      <w:r>
        <w:rPr>
          <w:rFonts w:ascii="Arial" w:hAnsi="Arial"/>
        </w:rPr>
        <w:t xml:space="preserve">  Gulf plans to address the net salvage associated with AMI in Gulf’s next depreciation study when actual experience is available to analyze the data.</w:t>
      </w:r>
    </w:p>
    <w:p w:rsidR="009B5B7D" w:rsidRDefault="003E373B" w:rsidP="00DE7D73">
      <w:pPr>
        <w:spacing w:line="480" w:lineRule="atLeast"/>
        <w:ind w:left="720" w:hanging="540"/>
        <w:jc w:val="center"/>
        <w:rPr>
          <w:rFonts w:ascii="Arial" w:hAnsi="Arial"/>
          <w:b/>
        </w:rPr>
      </w:pPr>
      <w:r w:rsidRPr="002D0630">
        <w:rPr>
          <w:rFonts w:ascii="Arial" w:hAnsi="Arial"/>
          <w:b/>
        </w:rPr>
        <w:lastRenderedPageBreak/>
        <w:t>IV. UNCOLLECTIBLE ACCOUNTS</w:t>
      </w:r>
    </w:p>
    <w:p w:rsidR="002D0630" w:rsidRPr="002D0630" w:rsidRDefault="002D0630" w:rsidP="00DE7D73">
      <w:pPr>
        <w:spacing w:line="480" w:lineRule="atLeast"/>
        <w:ind w:left="720" w:hanging="540"/>
        <w:jc w:val="center"/>
        <w:rPr>
          <w:rFonts w:ascii="Arial" w:hAnsi="Arial"/>
          <w:b/>
        </w:rPr>
      </w:pPr>
    </w:p>
    <w:p w:rsidR="002E3C21" w:rsidRDefault="002E3C21" w:rsidP="00DE7D73">
      <w:pPr>
        <w:spacing w:line="480" w:lineRule="atLeast"/>
        <w:ind w:left="720" w:hanging="540"/>
        <w:rPr>
          <w:rFonts w:ascii="Arial" w:hAnsi="Arial"/>
        </w:rPr>
      </w:pPr>
      <w:r>
        <w:rPr>
          <w:rFonts w:ascii="Arial" w:hAnsi="Arial"/>
        </w:rPr>
        <w:t>Q.</w:t>
      </w:r>
      <w:r>
        <w:rPr>
          <w:rFonts w:ascii="Arial" w:hAnsi="Arial"/>
        </w:rPr>
        <w:tab/>
        <w:t>Earlier you stated that your testimony would address Gulf’s 2012 level of Uncollectible Accounts expense.  What level of Uncollectible Accounts expense does Gulf project for 2012?</w:t>
      </w:r>
    </w:p>
    <w:p w:rsidR="002E3C21" w:rsidRDefault="002E3C21" w:rsidP="00DE7D73">
      <w:pPr>
        <w:spacing w:line="480" w:lineRule="atLeast"/>
        <w:ind w:left="720" w:hanging="540"/>
        <w:rPr>
          <w:rFonts w:ascii="Arial" w:hAnsi="Arial"/>
        </w:rPr>
      </w:pPr>
      <w:r>
        <w:rPr>
          <w:rFonts w:ascii="Arial" w:hAnsi="Arial"/>
        </w:rPr>
        <w:t>A.</w:t>
      </w:r>
      <w:r>
        <w:rPr>
          <w:rFonts w:ascii="Arial" w:hAnsi="Arial"/>
        </w:rPr>
        <w:tab/>
        <w:t>Gulf projects an Uncollectible Accounts expense in 2012 of $4,143,000.</w:t>
      </w:r>
    </w:p>
    <w:p w:rsidR="002E3C21" w:rsidRDefault="002E3C21" w:rsidP="00DE7D73">
      <w:pPr>
        <w:spacing w:line="480" w:lineRule="atLeast"/>
        <w:ind w:left="720" w:hanging="540"/>
        <w:rPr>
          <w:rFonts w:ascii="Arial" w:hAnsi="Arial"/>
        </w:rPr>
      </w:pPr>
    </w:p>
    <w:p w:rsidR="002E3C21" w:rsidRDefault="002E3C21" w:rsidP="00DE7D73">
      <w:pPr>
        <w:spacing w:line="480" w:lineRule="atLeast"/>
        <w:ind w:left="720" w:hanging="540"/>
        <w:rPr>
          <w:rFonts w:ascii="Arial" w:hAnsi="Arial"/>
        </w:rPr>
      </w:pPr>
      <w:r>
        <w:rPr>
          <w:rFonts w:ascii="Arial" w:hAnsi="Arial"/>
        </w:rPr>
        <w:t>Q.</w:t>
      </w:r>
      <w:r>
        <w:rPr>
          <w:rFonts w:ascii="Arial" w:hAnsi="Arial"/>
        </w:rPr>
        <w:tab/>
        <w:t>Is Gulf’s projection of 2012 Uncollectible Accounts expense reasonable and prudent?</w:t>
      </w:r>
    </w:p>
    <w:p w:rsidR="002E3C21" w:rsidRDefault="002E3C21" w:rsidP="00DE7D73">
      <w:pPr>
        <w:spacing w:line="480" w:lineRule="atLeast"/>
        <w:ind w:left="720" w:hanging="540"/>
        <w:rPr>
          <w:rFonts w:ascii="Arial" w:hAnsi="Arial"/>
        </w:rPr>
      </w:pPr>
      <w:r>
        <w:rPr>
          <w:rFonts w:ascii="Arial" w:hAnsi="Arial"/>
        </w:rPr>
        <w:t>A.</w:t>
      </w:r>
      <w:r>
        <w:rPr>
          <w:rFonts w:ascii="Arial" w:hAnsi="Arial"/>
        </w:rPr>
        <w:tab/>
        <w:t>Yes.</w:t>
      </w:r>
    </w:p>
    <w:p w:rsidR="002E3C21" w:rsidRDefault="002E3C21" w:rsidP="00DE7D73">
      <w:pPr>
        <w:spacing w:line="480" w:lineRule="atLeast"/>
        <w:ind w:left="720" w:hanging="540"/>
        <w:rPr>
          <w:rFonts w:ascii="Arial" w:hAnsi="Arial"/>
        </w:rPr>
      </w:pPr>
    </w:p>
    <w:p w:rsidR="002E3C21" w:rsidRDefault="002E3C21" w:rsidP="00DE7D73">
      <w:pPr>
        <w:spacing w:line="480" w:lineRule="atLeast"/>
        <w:ind w:left="720" w:hanging="540"/>
        <w:rPr>
          <w:rFonts w:ascii="Arial" w:hAnsi="Arial"/>
        </w:rPr>
      </w:pPr>
      <w:r>
        <w:rPr>
          <w:rFonts w:ascii="Arial" w:hAnsi="Arial"/>
        </w:rPr>
        <w:t>Q</w:t>
      </w:r>
      <w:r>
        <w:rPr>
          <w:rFonts w:ascii="Arial" w:hAnsi="Arial"/>
        </w:rPr>
        <w:tab/>
        <w:t xml:space="preserve">Is Gulf’s projection of 2012 </w:t>
      </w:r>
      <w:r w:rsidR="00417CC4">
        <w:rPr>
          <w:rFonts w:ascii="Arial" w:hAnsi="Arial"/>
        </w:rPr>
        <w:t>Uncollectible</w:t>
      </w:r>
      <w:r>
        <w:rPr>
          <w:rFonts w:ascii="Arial" w:hAnsi="Arial"/>
        </w:rPr>
        <w:t xml:space="preserve"> Acco</w:t>
      </w:r>
      <w:r w:rsidR="004F0D51">
        <w:rPr>
          <w:rFonts w:ascii="Arial" w:hAnsi="Arial"/>
        </w:rPr>
        <w:t>unts expense representative of U</w:t>
      </w:r>
      <w:r>
        <w:rPr>
          <w:rFonts w:ascii="Arial" w:hAnsi="Arial"/>
        </w:rPr>
        <w:t>ncollectible Accounts expense on a going forward basis?</w:t>
      </w:r>
    </w:p>
    <w:p w:rsidR="009B5B7D" w:rsidRDefault="002E3C21" w:rsidP="00DE7D73">
      <w:pPr>
        <w:spacing w:line="480" w:lineRule="atLeast"/>
        <w:ind w:left="720" w:hanging="540"/>
        <w:rPr>
          <w:rFonts w:ascii="Arial" w:hAnsi="Arial"/>
        </w:rPr>
      </w:pPr>
      <w:r>
        <w:rPr>
          <w:rFonts w:ascii="Arial" w:hAnsi="Arial"/>
        </w:rPr>
        <w:t>A.</w:t>
      </w:r>
      <w:r>
        <w:rPr>
          <w:rFonts w:ascii="Arial" w:hAnsi="Arial"/>
        </w:rPr>
        <w:tab/>
        <w:t>Yes.</w:t>
      </w:r>
      <w:r w:rsidR="004F0D51">
        <w:rPr>
          <w:rFonts w:ascii="Arial" w:hAnsi="Arial"/>
        </w:rPr>
        <w:t xml:space="preserve">  This is shown on Exhibit CJE-</w:t>
      </w:r>
      <w:r w:rsidR="00CE531D">
        <w:rPr>
          <w:rFonts w:ascii="Arial" w:hAnsi="Arial"/>
        </w:rPr>
        <w:t xml:space="preserve">1, Schedule </w:t>
      </w:r>
      <w:r w:rsidR="00A75E00">
        <w:rPr>
          <w:rFonts w:ascii="Arial" w:hAnsi="Arial"/>
        </w:rPr>
        <w:t>4</w:t>
      </w:r>
      <w:r w:rsidR="003155BC">
        <w:rPr>
          <w:rFonts w:ascii="Arial" w:hAnsi="Arial"/>
        </w:rPr>
        <w:t>,</w:t>
      </w:r>
      <w:r w:rsidR="004F0D51">
        <w:rPr>
          <w:rFonts w:ascii="Arial" w:hAnsi="Arial"/>
        </w:rPr>
        <w:t xml:space="preserve"> which shows Gulf’s </w:t>
      </w:r>
      <w:r w:rsidR="00DF436A">
        <w:rPr>
          <w:rFonts w:ascii="Arial" w:hAnsi="Arial"/>
        </w:rPr>
        <w:t xml:space="preserve">revenue and </w:t>
      </w:r>
      <w:r w:rsidR="004F0D51">
        <w:rPr>
          <w:rFonts w:ascii="Arial" w:hAnsi="Arial"/>
        </w:rPr>
        <w:t xml:space="preserve">projected </w:t>
      </w:r>
      <w:r w:rsidR="00C934A8">
        <w:rPr>
          <w:rFonts w:ascii="Arial" w:hAnsi="Arial"/>
        </w:rPr>
        <w:t xml:space="preserve">bad debt factor </w:t>
      </w:r>
      <w:r w:rsidR="004F0D51">
        <w:rPr>
          <w:rFonts w:ascii="Arial" w:hAnsi="Arial"/>
        </w:rPr>
        <w:t>for every year, 2011</w:t>
      </w:r>
      <w:r w:rsidR="00790D7B">
        <w:rPr>
          <w:rFonts w:ascii="Arial" w:hAnsi="Arial"/>
        </w:rPr>
        <w:t xml:space="preserve"> </w:t>
      </w:r>
      <w:r w:rsidR="00B640A6">
        <w:rPr>
          <w:rFonts w:ascii="Arial" w:hAnsi="Arial"/>
        </w:rPr>
        <w:t xml:space="preserve">through </w:t>
      </w:r>
      <w:r w:rsidR="004F0D51">
        <w:rPr>
          <w:rFonts w:ascii="Arial" w:hAnsi="Arial"/>
        </w:rPr>
        <w:t>2015</w:t>
      </w:r>
      <w:r w:rsidR="00417CC4">
        <w:rPr>
          <w:rFonts w:ascii="Arial" w:hAnsi="Arial"/>
        </w:rPr>
        <w:t>, in</w:t>
      </w:r>
      <w:r w:rsidR="004F0D51">
        <w:rPr>
          <w:rFonts w:ascii="Arial" w:hAnsi="Arial"/>
        </w:rPr>
        <w:t xml:space="preserve"> the O&amp;M budget that was the basis for the Company’s 2012 test year Uncollectible Accounts expense.</w:t>
      </w:r>
    </w:p>
    <w:p w:rsidR="004F0D51" w:rsidRDefault="004F0D51" w:rsidP="00DE7D73">
      <w:pPr>
        <w:spacing w:line="480" w:lineRule="atLeast"/>
        <w:ind w:left="720" w:hanging="540"/>
        <w:rPr>
          <w:rFonts w:ascii="Arial" w:hAnsi="Arial"/>
        </w:rPr>
      </w:pPr>
    </w:p>
    <w:p w:rsidR="004F0D51" w:rsidRDefault="004F0D51" w:rsidP="00DE7D73">
      <w:pPr>
        <w:spacing w:line="480" w:lineRule="atLeast"/>
        <w:ind w:left="720" w:hanging="540"/>
        <w:rPr>
          <w:rFonts w:ascii="Arial" w:hAnsi="Arial"/>
        </w:rPr>
      </w:pPr>
      <w:r>
        <w:rPr>
          <w:rFonts w:ascii="Arial" w:hAnsi="Arial"/>
        </w:rPr>
        <w:t>Q.</w:t>
      </w:r>
      <w:r>
        <w:rPr>
          <w:rFonts w:ascii="Arial" w:hAnsi="Arial"/>
        </w:rPr>
        <w:tab/>
        <w:t xml:space="preserve">In Gulf’s last rate case, what </w:t>
      </w:r>
      <w:r w:rsidR="00C934A8">
        <w:rPr>
          <w:rFonts w:ascii="Arial" w:hAnsi="Arial"/>
        </w:rPr>
        <w:t xml:space="preserve">approved write-off rate for </w:t>
      </w:r>
      <w:r>
        <w:rPr>
          <w:rFonts w:ascii="Arial" w:hAnsi="Arial"/>
        </w:rPr>
        <w:t>Uncollectible Account</w:t>
      </w:r>
      <w:r w:rsidR="007565EB">
        <w:rPr>
          <w:rFonts w:ascii="Arial" w:hAnsi="Arial"/>
        </w:rPr>
        <w:t>s</w:t>
      </w:r>
      <w:r>
        <w:rPr>
          <w:rFonts w:ascii="Arial" w:hAnsi="Arial"/>
        </w:rPr>
        <w:t xml:space="preserve"> expense was allowed?</w:t>
      </w:r>
    </w:p>
    <w:p w:rsidR="004F0D51" w:rsidRDefault="004F0D51" w:rsidP="00DE7D73">
      <w:pPr>
        <w:spacing w:line="480" w:lineRule="atLeast"/>
        <w:ind w:left="720" w:hanging="540"/>
        <w:rPr>
          <w:rFonts w:ascii="Arial" w:hAnsi="Arial"/>
        </w:rPr>
      </w:pPr>
      <w:r>
        <w:rPr>
          <w:rFonts w:ascii="Arial" w:hAnsi="Arial"/>
        </w:rPr>
        <w:t>A.</w:t>
      </w:r>
      <w:r>
        <w:rPr>
          <w:rFonts w:ascii="Arial" w:hAnsi="Arial"/>
        </w:rPr>
        <w:tab/>
      </w:r>
      <w:r w:rsidR="00C934A8">
        <w:rPr>
          <w:rFonts w:ascii="Arial" w:hAnsi="Arial"/>
        </w:rPr>
        <w:t xml:space="preserve"> In 2002, the approved write-off rate was </w:t>
      </w:r>
      <w:r w:rsidR="0017586A">
        <w:rPr>
          <w:rFonts w:ascii="Arial" w:hAnsi="Arial"/>
        </w:rPr>
        <w:t>0</w:t>
      </w:r>
      <w:r w:rsidR="00C934A8">
        <w:rPr>
          <w:rFonts w:ascii="Arial" w:hAnsi="Arial"/>
        </w:rPr>
        <w:t>.24</w:t>
      </w:r>
      <w:r w:rsidR="004D2535">
        <w:rPr>
          <w:rFonts w:ascii="Arial" w:hAnsi="Arial"/>
        </w:rPr>
        <w:t xml:space="preserve"> percent</w:t>
      </w:r>
      <w:r w:rsidR="00C934A8">
        <w:rPr>
          <w:rFonts w:ascii="Arial" w:hAnsi="Arial"/>
        </w:rPr>
        <w:t xml:space="preserve">.  Write-offs as a percent </w:t>
      </w:r>
      <w:r w:rsidR="007565EB">
        <w:rPr>
          <w:rFonts w:ascii="Arial" w:hAnsi="Arial"/>
        </w:rPr>
        <w:t>of</w:t>
      </w:r>
      <w:r w:rsidR="00C934A8">
        <w:rPr>
          <w:rFonts w:ascii="Arial" w:hAnsi="Arial"/>
        </w:rPr>
        <w:t xml:space="preserve"> revenue is an industry standard for measuring bad debt performance.</w:t>
      </w:r>
    </w:p>
    <w:p w:rsidR="00C934A8" w:rsidRDefault="00C934A8" w:rsidP="00DE7D73">
      <w:pPr>
        <w:spacing w:line="480" w:lineRule="atLeast"/>
        <w:ind w:left="720" w:hanging="540"/>
        <w:rPr>
          <w:rFonts w:ascii="Arial" w:hAnsi="Arial"/>
        </w:rPr>
      </w:pPr>
    </w:p>
    <w:p w:rsidR="00A9518E" w:rsidRDefault="00A9518E" w:rsidP="00DE7D73">
      <w:pPr>
        <w:spacing w:line="480" w:lineRule="atLeast"/>
        <w:ind w:left="720" w:hanging="540"/>
        <w:rPr>
          <w:rFonts w:ascii="Arial" w:hAnsi="Arial"/>
        </w:rPr>
      </w:pPr>
    </w:p>
    <w:p w:rsidR="00C934A8" w:rsidRDefault="00C934A8" w:rsidP="00DE7D73">
      <w:pPr>
        <w:spacing w:line="480" w:lineRule="atLeast"/>
        <w:ind w:left="720" w:hanging="540"/>
        <w:rPr>
          <w:rFonts w:ascii="Arial" w:hAnsi="Arial"/>
        </w:rPr>
      </w:pPr>
      <w:r>
        <w:rPr>
          <w:rFonts w:ascii="Arial" w:hAnsi="Arial"/>
        </w:rPr>
        <w:lastRenderedPageBreak/>
        <w:t>Q.</w:t>
      </w:r>
      <w:r>
        <w:rPr>
          <w:rFonts w:ascii="Arial" w:hAnsi="Arial"/>
        </w:rPr>
        <w:tab/>
        <w:t>How does Gulf’s bad debt expense compare to other utilities?</w:t>
      </w:r>
    </w:p>
    <w:p w:rsidR="00C934A8" w:rsidRDefault="00C934A8" w:rsidP="00DE7D73">
      <w:pPr>
        <w:spacing w:line="480" w:lineRule="atLeast"/>
        <w:ind w:left="720" w:hanging="540"/>
        <w:rPr>
          <w:rFonts w:ascii="Arial" w:hAnsi="Arial"/>
        </w:rPr>
      </w:pPr>
      <w:r>
        <w:rPr>
          <w:rFonts w:ascii="Arial" w:hAnsi="Arial"/>
        </w:rPr>
        <w:t>A.</w:t>
      </w:r>
      <w:r>
        <w:rPr>
          <w:rFonts w:ascii="Arial" w:hAnsi="Arial"/>
        </w:rPr>
        <w:tab/>
        <w:t xml:space="preserve">In the 2010 Edison Electric Institute (EEI) and American Gas Association (AGA) </w:t>
      </w:r>
      <w:proofErr w:type="spellStart"/>
      <w:r>
        <w:rPr>
          <w:rFonts w:ascii="Arial" w:hAnsi="Arial"/>
        </w:rPr>
        <w:t>DataSource</w:t>
      </w:r>
      <w:proofErr w:type="spellEnd"/>
      <w:r>
        <w:rPr>
          <w:rFonts w:ascii="Arial" w:hAnsi="Arial"/>
        </w:rPr>
        <w:t xml:space="preserve"> benchmarking study using 2009 data, the electric company average net write-off percentage of revenue was </w:t>
      </w:r>
      <w:r w:rsidR="0017586A">
        <w:rPr>
          <w:rFonts w:ascii="Arial" w:hAnsi="Arial"/>
        </w:rPr>
        <w:t>0</w:t>
      </w:r>
      <w:r>
        <w:rPr>
          <w:rFonts w:ascii="Arial" w:hAnsi="Arial"/>
        </w:rPr>
        <w:t>.61</w:t>
      </w:r>
      <w:r w:rsidR="004D2535">
        <w:rPr>
          <w:rFonts w:ascii="Arial" w:hAnsi="Arial"/>
        </w:rPr>
        <w:t xml:space="preserve"> percent</w:t>
      </w:r>
      <w:r>
        <w:rPr>
          <w:rFonts w:ascii="Arial" w:hAnsi="Arial"/>
        </w:rPr>
        <w:t xml:space="preserve">.  Gulf’s 2009 net write-offs was </w:t>
      </w:r>
      <w:r w:rsidR="0017586A">
        <w:rPr>
          <w:rFonts w:ascii="Arial" w:hAnsi="Arial"/>
        </w:rPr>
        <w:t>0</w:t>
      </w:r>
      <w:r>
        <w:rPr>
          <w:rFonts w:ascii="Arial" w:hAnsi="Arial"/>
        </w:rPr>
        <w:t>.33</w:t>
      </w:r>
      <w:r w:rsidR="004D2535">
        <w:rPr>
          <w:rFonts w:ascii="Arial" w:hAnsi="Arial"/>
        </w:rPr>
        <w:t xml:space="preserve"> percent</w:t>
      </w:r>
      <w:r>
        <w:rPr>
          <w:rFonts w:ascii="Arial" w:hAnsi="Arial"/>
        </w:rPr>
        <w:t>.</w:t>
      </w:r>
    </w:p>
    <w:p w:rsidR="00C934A8" w:rsidRDefault="00C934A8" w:rsidP="00DE7D73">
      <w:pPr>
        <w:spacing w:line="480" w:lineRule="atLeast"/>
        <w:ind w:left="720" w:hanging="540"/>
        <w:rPr>
          <w:rFonts w:ascii="Arial" w:hAnsi="Arial"/>
        </w:rPr>
      </w:pPr>
    </w:p>
    <w:p w:rsidR="00C934A8" w:rsidRDefault="00C934A8" w:rsidP="00DE7D73">
      <w:pPr>
        <w:spacing w:line="480" w:lineRule="atLeast"/>
        <w:ind w:left="720" w:hanging="540"/>
        <w:rPr>
          <w:rFonts w:ascii="Arial" w:hAnsi="Arial"/>
        </w:rPr>
      </w:pPr>
      <w:r>
        <w:rPr>
          <w:rFonts w:ascii="Arial" w:hAnsi="Arial"/>
        </w:rPr>
        <w:t>Q.</w:t>
      </w:r>
      <w:r>
        <w:rPr>
          <w:rFonts w:ascii="Arial" w:hAnsi="Arial"/>
        </w:rPr>
        <w:tab/>
        <w:t>What level of write-offs does Gulf pro</w:t>
      </w:r>
      <w:r w:rsidR="007565EB">
        <w:rPr>
          <w:rFonts w:ascii="Arial" w:hAnsi="Arial"/>
        </w:rPr>
        <w:t>j</w:t>
      </w:r>
      <w:r>
        <w:rPr>
          <w:rFonts w:ascii="Arial" w:hAnsi="Arial"/>
        </w:rPr>
        <w:t>ect in 2012?</w:t>
      </w:r>
    </w:p>
    <w:p w:rsidR="003324FB" w:rsidRDefault="00C934A8" w:rsidP="00226B88">
      <w:pPr>
        <w:spacing w:line="480" w:lineRule="atLeast"/>
        <w:ind w:left="720" w:hanging="540"/>
        <w:rPr>
          <w:rFonts w:ascii="Arial" w:hAnsi="Arial"/>
        </w:rPr>
      </w:pPr>
      <w:r>
        <w:rPr>
          <w:rFonts w:ascii="Arial" w:hAnsi="Arial"/>
        </w:rPr>
        <w:t>A.</w:t>
      </w:r>
      <w:r>
        <w:rPr>
          <w:rFonts w:ascii="Arial" w:hAnsi="Arial"/>
        </w:rPr>
        <w:tab/>
        <w:t>Gulf projects write-off</w:t>
      </w:r>
      <w:r w:rsidR="008424D4">
        <w:rPr>
          <w:rFonts w:ascii="Arial" w:hAnsi="Arial"/>
        </w:rPr>
        <w:t xml:space="preserve">s for 2012 to be </w:t>
      </w:r>
      <w:r w:rsidR="0017586A">
        <w:rPr>
          <w:rFonts w:ascii="Arial" w:hAnsi="Arial"/>
        </w:rPr>
        <w:t>0</w:t>
      </w:r>
      <w:r w:rsidR="008424D4">
        <w:rPr>
          <w:rFonts w:ascii="Arial" w:hAnsi="Arial"/>
        </w:rPr>
        <w:t>.3</w:t>
      </w:r>
      <w:r w:rsidR="00CD6590">
        <w:rPr>
          <w:rFonts w:ascii="Arial" w:hAnsi="Arial"/>
        </w:rPr>
        <w:t>2</w:t>
      </w:r>
      <w:r w:rsidR="004D2535">
        <w:rPr>
          <w:rFonts w:ascii="Arial" w:hAnsi="Arial"/>
        </w:rPr>
        <w:t xml:space="preserve"> percent</w:t>
      </w:r>
      <w:r w:rsidR="00ED16A0">
        <w:rPr>
          <w:rFonts w:ascii="Arial" w:hAnsi="Arial"/>
        </w:rPr>
        <w:t>,</w:t>
      </w:r>
      <w:r w:rsidR="008424D4">
        <w:rPr>
          <w:rFonts w:ascii="Arial" w:hAnsi="Arial"/>
        </w:rPr>
        <w:t xml:space="preserve"> which is slightly lower than 2009 actual and considerably less than the EEI and AGA </w:t>
      </w:r>
      <w:proofErr w:type="spellStart"/>
      <w:r w:rsidR="008424D4">
        <w:rPr>
          <w:rFonts w:ascii="Arial" w:hAnsi="Arial"/>
        </w:rPr>
        <w:t>DataSource</w:t>
      </w:r>
      <w:proofErr w:type="spellEnd"/>
      <w:r w:rsidR="008424D4">
        <w:rPr>
          <w:rFonts w:ascii="Arial" w:hAnsi="Arial"/>
        </w:rPr>
        <w:t xml:space="preserve"> benchmarking electric company average.</w:t>
      </w:r>
      <w:r w:rsidR="00226B88">
        <w:rPr>
          <w:rFonts w:ascii="Arial" w:hAnsi="Arial"/>
        </w:rPr>
        <w:t xml:space="preserve">  </w:t>
      </w:r>
      <w:r w:rsidR="003324FB">
        <w:rPr>
          <w:rFonts w:ascii="Arial" w:hAnsi="Arial"/>
        </w:rPr>
        <w:t xml:space="preserve">Gulf made a $206,000 </w:t>
      </w:r>
      <w:r w:rsidR="00226B88">
        <w:rPr>
          <w:rFonts w:ascii="Arial" w:hAnsi="Arial"/>
        </w:rPr>
        <w:t xml:space="preserve">NOI </w:t>
      </w:r>
      <w:r w:rsidR="003324FB">
        <w:rPr>
          <w:rFonts w:ascii="Arial" w:hAnsi="Arial"/>
        </w:rPr>
        <w:t>adjustment</w:t>
      </w:r>
      <w:r w:rsidR="00226B88">
        <w:rPr>
          <w:rFonts w:ascii="Arial" w:hAnsi="Arial"/>
        </w:rPr>
        <w:t xml:space="preserve">, as discussed in Mr. McMillan’s and Ms. </w:t>
      </w:r>
      <w:proofErr w:type="spellStart"/>
      <w:r w:rsidR="00226B88">
        <w:rPr>
          <w:rFonts w:ascii="Arial" w:hAnsi="Arial"/>
        </w:rPr>
        <w:t>Neyman’s</w:t>
      </w:r>
      <w:proofErr w:type="spellEnd"/>
      <w:r w:rsidR="00226B88">
        <w:rPr>
          <w:rFonts w:ascii="Arial" w:hAnsi="Arial"/>
        </w:rPr>
        <w:t xml:space="preserve"> testimony,</w:t>
      </w:r>
      <w:r w:rsidR="003324FB">
        <w:rPr>
          <w:rFonts w:ascii="Arial" w:hAnsi="Arial"/>
        </w:rPr>
        <w:t xml:space="preserve"> to write-offs </w:t>
      </w:r>
      <w:r w:rsidR="005441BD">
        <w:rPr>
          <w:rFonts w:ascii="Arial" w:hAnsi="Arial"/>
        </w:rPr>
        <w:t>based on a plan for increased collection efforts by Gulf’s</w:t>
      </w:r>
      <w:r w:rsidR="003324FB">
        <w:rPr>
          <w:rFonts w:ascii="Arial" w:hAnsi="Arial"/>
        </w:rPr>
        <w:t xml:space="preserve"> Field Service Representative</w:t>
      </w:r>
      <w:r w:rsidR="008D3EFD">
        <w:rPr>
          <w:rFonts w:ascii="Arial" w:hAnsi="Arial"/>
        </w:rPr>
        <w:t>s</w:t>
      </w:r>
      <w:r w:rsidR="003324FB">
        <w:rPr>
          <w:rFonts w:ascii="Arial" w:hAnsi="Arial"/>
        </w:rPr>
        <w:t>.</w:t>
      </w:r>
    </w:p>
    <w:p w:rsidR="008424D4" w:rsidRDefault="008424D4" w:rsidP="00DE7D73">
      <w:pPr>
        <w:spacing w:line="480" w:lineRule="atLeast"/>
        <w:ind w:left="720" w:hanging="540"/>
        <w:rPr>
          <w:rFonts w:ascii="Arial" w:hAnsi="Arial"/>
        </w:rPr>
      </w:pPr>
    </w:p>
    <w:p w:rsidR="008424D4" w:rsidRDefault="008424D4" w:rsidP="00DE7D73">
      <w:pPr>
        <w:spacing w:line="480" w:lineRule="atLeast"/>
        <w:ind w:left="720" w:hanging="540"/>
        <w:rPr>
          <w:rFonts w:ascii="Arial" w:hAnsi="Arial"/>
        </w:rPr>
      </w:pPr>
      <w:r>
        <w:rPr>
          <w:rFonts w:ascii="Arial" w:hAnsi="Arial"/>
        </w:rPr>
        <w:t>Q.</w:t>
      </w:r>
      <w:r>
        <w:rPr>
          <w:rFonts w:ascii="Arial" w:hAnsi="Arial"/>
        </w:rPr>
        <w:tab/>
        <w:t>What is driving the increased write-off rate?</w:t>
      </w:r>
    </w:p>
    <w:p w:rsidR="008424D4" w:rsidRDefault="008424D4" w:rsidP="00DE7D73">
      <w:pPr>
        <w:spacing w:line="480" w:lineRule="atLeast"/>
        <w:ind w:left="720" w:hanging="540"/>
        <w:rPr>
          <w:rFonts w:ascii="Arial" w:hAnsi="Arial"/>
        </w:rPr>
      </w:pPr>
      <w:r>
        <w:rPr>
          <w:rFonts w:ascii="Arial" w:hAnsi="Arial"/>
        </w:rPr>
        <w:t>A.</w:t>
      </w:r>
      <w:r>
        <w:rPr>
          <w:rFonts w:ascii="Arial" w:hAnsi="Arial"/>
        </w:rPr>
        <w:tab/>
        <w:t xml:space="preserve">As individuals </w:t>
      </w:r>
      <w:proofErr w:type="gramStart"/>
      <w:r>
        <w:rPr>
          <w:rFonts w:ascii="Arial" w:hAnsi="Arial"/>
        </w:rPr>
        <w:t>are</w:t>
      </w:r>
      <w:proofErr w:type="gramEnd"/>
      <w:r>
        <w:rPr>
          <w:rFonts w:ascii="Arial" w:hAnsi="Arial"/>
        </w:rPr>
        <w:t xml:space="preserve"> unemployed, under-employed, facing foreclosure, or under other financial stress, utility bills can remain unpaid.  The effect of the weak economy has resulted in an incr</w:t>
      </w:r>
      <w:r w:rsidR="007565EB">
        <w:rPr>
          <w:rFonts w:ascii="Arial" w:hAnsi="Arial"/>
        </w:rPr>
        <w:t xml:space="preserve">ease in Gulf’s actual write-offs </w:t>
      </w:r>
      <w:r>
        <w:rPr>
          <w:rFonts w:ascii="Arial" w:hAnsi="Arial"/>
        </w:rPr>
        <w:t>factor for 2008, 2009 and 2010 as reflected on MFR C-11.</w:t>
      </w:r>
    </w:p>
    <w:p w:rsidR="008424D4" w:rsidRDefault="008424D4" w:rsidP="00DE7D73">
      <w:pPr>
        <w:spacing w:line="480" w:lineRule="atLeast"/>
        <w:ind w:left="720" w:hanging="540"/>
        <w:rPr>
          <w:rFonts w:ascii="Arial" w:hAnsi="Arial"/>
        </w:rPr>
      </w:pPr>
    </w:p>
    <w:p w:rsidR="008424D4" w:rsidRDefault="008424D4" w:rsidP="00DE7D73">
      <w:pPr>
        <w:spacing w:line="480" w:lineRule="atLeast"/>
        <w:ind w:left="720" w:hanging="540"/>
        <w:rPr>
          <w:rFonts w:ascii="Arial" w:hAnsi="Arial"/>
        </w:rPr>
      </w:pPr>
      <w:r>
        <w:rPr>
          <w:rFonts w:ascii="Arial" w:hAnsi="Arial"/>
        </w:rPr>
        <w:t>Q.</w:t>
      </w:r>
      <w:r>
        <w:rPr>
          <w:rFonts w:ascii="Arial" w:hAnsi="Arial"/>
        </w:rPr>
        <w:tab/>
        <w:t>How does Gulf manage its collection process to minimize write-off</w:t>
      </w:r>
      <w:r w:rsidR="00D7287D">
        <w:rPr>
          <w:rFonts w:ascii="Arial" w:hAnsi="Arial"/>
        </w:rPr>
        <w:t>s</w:t>
      </w:r>
      <w:r>
        <w:rPr>
          <w:rFonts w:ascii="Arial" w:hAnsi="Arial"/>
        </w:rPr>
        <w:t>?</w:t>
      </w:r>
    </w:p>
    <w:p w:rsidR="00667292" w:rsidRDefault="008424D4" w:rsidP="00DE7D73">
      <w:pPr>
        <w:spacing w:line="480" w:lineRule="atLeast"/>
        <w:ind w:left="720" w:hanging="540"/>
        <w:rPr>
          <w:rFonts w:ascii="Arial" w:hAnsi="Arial"/>
        </w:rPr>
      </w:pPr>
      <w:r>
        <w:rPr>
          <w:rFonts w:ascii="Arial" w:hAnsi="Arial"/>
        </w:rPr>
        <w:t>A.</w:t>
      </w:r>
      <w:r>
        <w:rPr>
          <w:rFonts w:ascii="Arial" w:hAnsi="Arial"/>
        </w:rPr>
        <w:tab/>
        <w:t xml:space="preserve">Gulf has worked diligently to minimize write-offs through the use of consistent policies to assess and mitigate risk.  Credit scoring is the resource used to assist in the identification and risk assessment of a new residential customer.  Deposits are collected for residential, commercial </w:t>
      </w:r>
      <w:r>
        <w:rPr>
          <w:rFonts w:ascii="Arial" w:hAnsi="Arial"/>
        </w:rPr>
        <w:lastRenderedPageBreak/>
        <w:t>and industrial classes of service based on creditworthiness.  Pro-active outbound calling is used to notify customers that payment is necessary to avoid disconnection of service</w:t>
      </w:r>
      <w:r w:rsidR="00667292">
        <w:rPr>
          <w:rFonts w:ascii="Arial" w:hAnsi="Arial"/>
        </w:rPr>
        <w:t>.  Management monitors collection</w:t>
      </w:r>
      <w:r w:rsidR="009D290F">
        <w:rPr>
          <w:rFonts w:ascii="Arial" w:hAnsi="Arial"/>
        </w:rPr>
        <w:t>-</w:t>
      </w:r>
      <w:r w:rsidR="00667292">
        <w:rPr>
          <w:rFonts w:ascii="Arial" w:hAnsi="Arial"/>
        </w:rPr>
        <w:t xml:space="preserve">related statistics and </w:t>
      </w:r>
      <w:r w:rsidR="00FD5723">
        <w:rPr>
          <w:rFonts w:ascii="Arial" w:hAnsi="Arial"/>
        </w:rPr>
        <w:t>has</w:t>
      </w:r>
      <w:r w:rsidR="00667292">
        <w:rPr>
          <w:rFonts w:ascii="Arial" w:hAnsi="Arial"/>
        </w:rPr>
        <w:t xml:space="preserve"> established performance indicators that prompt further evaluation and action.</w:t>
      </w:r>
    </w:p>
    <w:p w:rsidR="00667292" w:rsidRDefault="00667292" w:rsidP="00DE7D73">
      <w:pPr>
        <w:spacing w:line="480" w:lineRule="atLeast"/>
        <w:ind w:left="720" w:hanging="540"/>
        <w:rPr>
          <w:rFonts w:ascii="Arial" w:hAnsi="Arial"/>
        </w:rPr>
      </w:pPr>
    </w:p>
    <w:p w:rsidR="00667292" w:rsidRDefault="00667292" w:rsidP="00DE7D73">
      <w:pPr>
        <w:spacing w:line="480" w:lineRule="atLeast"/>
        <w:ind w:left="720" w:hanging="540"/>
        <w:rPr>
          <w:rFonts w:ascii="Arial" w:hAnsi="Arial"/>
        </w:rPr>
      </w:pPr>
      <w:r>
        <w:rPr>
          <w:rFonts w:ascii="Arial" w:hAnsi="Arial"/>
        </w:rPr>
        <w:t>Q.</w:t>
      </w:r>
      <w:r>
        <w:rPr>
          <w:rFonts w:ascii="Arial" w:hAnsi="Arial"/>
        </w:rPr>
        <w:tab/>
        <w:t>Please summarize your justification of Gulf’s Uncollectible Accounts expense.</w:t>
      </w:r>
    </w:p>
    <w:p w:rsidR="00C934A8" w:rsidRDefault="00667292" w:rsidP="00DE7D73">
      <w:pPr>
        <w:spacing w:line="480" w:lineRule="atLeast"/>
        <w:ind w:left="720" w:hanging="540"/>
        <w:rPr>
          <w:rFonts w:ascii="Arial" w:hAnsi="Arial"/>
        </w:rPr>
      </w:pPr>
      <w:r>
        <w:rPr>
          <w:rFonts w:ascii="Arial" w:hAnsi="Arial"/>
        </w:rPr>
        <w:t>A.</w:t>
      </w:r>
      <w:r>
        <w:rPr>
          <w:rFonts w:ascii="Arial" w:hAnsi="Arial"/>
        </w:rPr>
        <w:tab/>
        <w:t xml:space="preserve">Uncollectible Accounts expenses do not track with CPI but are </w:t>
      </w:r>
      <w:r w:rsidR="0017586A">
        <w:rPr>
          <w:rFonts w:ascii="Arial" w:hAnsi="Arial"/>
        </w:rPr>
        <w:t xml:space="preserve">generally determined as </w:t>
      </w:r>
      <w:r>
        <w:rPr>
          <w:rFonts w:ascii="Arial" w:hAnsi="Arial"/>
        </w:rPr>
        <w:t xml:space="preserve">a percentage of revenues.  Gulf’s write-off percentage </w:t>
      </w:r>
      <w:r w:rsidR="0017586A">
        <w:rPr>
          <w:rFonts w:ascii="Arial" w:hAnsi="Arial"/>
        </w:rPr>
        <w:t>of 0.3</w:t>
      </w:r>
      <w:r w:rsidR="005441BD">
        <w:rPr>
          <w:rFonts w:ascii="Arial" w:hAnsi="Arial"/>
        </w:rPr>
        <w:t>2</w:t>
      </w:r>
      <w:r w:rsidR="004D2535">
        <w:rPr>
          <w:rFonts w:ascii="Arial" w:hAnsi="Arial"/>
        </w:rPr>
        <w:t xml:space="preserve"> percent</w:t>
      </w:r>
      <w:r w:rsidR="0017586A">
        <w:rPr>
          <w:rFonts w:ascii="Arial" w:hAnsi="Arial"/>
        </w:rPr>
        <w:t xml:space="preserve"> </w:t>
      </w:r>
      <w:r>
        <w:rPr>
          <w:rFonts w:ascii="Arial" w:hAnsi="Arial"/>
        </w:rPr>
        <w:t xml:space="preserve">for the test year is </w:t>
      </w:r>
      <w:r w:rsidR="005441BD">
        <w:rPr>
          <w:rFonts w:ascii="Arial" w:hAnsi="Arial"/>
        </w:rPr>
        <w:t>slightly below the level</w:t>
      </w:r>
      <w:r>
        <w:rPr>
          <w:rFonts w:ascii="Arial" w:hAnsi="Arial"/>
        </w:rPr>
        <w:t xml:space="preserve"> experienced by Gulf in 2009.</w:t>
      </w:r>
      <w:r w:rsidR="00C934A8">
        <w:rPr>
          <w:rFonts w:ascii="Arial" w:hAnsi="Arial"/>
        </w:rPr>
        <w:t xml:space="preserve"> </w:t>
      </w:r>
    </w:p>
    <w:p w:rsidR="0093525B" w:rsidRDefault="0093525B" w:rsidP="00DE7D73">
      <w:pPr>
        <w:spacing w:line="480" w:lineRule="atLeast"/>
        <w:ind w:left="720" w:hanging="540"/>
        <w:rPr>
          <w:rFonts w:ascii="Arial" w:hAnsi="Arial"/>
        </w:rPr>
      </w:pPr>
    </w:p>
    <w:p w:rsidR="002D0630" w:rsidRDefault="002D0630" w:rsidP="00DE7D73">
      <w:pPr>
        <w:spacing w:line="480" w:lineRule="atLeast"/>
        <w:ind w:left="720" w:hanging="540"/>
        <w:rPr>
          <w:rFonts w:ascii="Arial" w:hAnsi="Arial"/>
        </w:rPr>
      </w:pPr>
    </w:p>
    <w:p w:rsidR="004A3A16" w:rsidRPr="002D0630" w:rsidRDefault="004A3A16" w:rsidP="00DE7D73">
      <w:pPr>
        <w:spacing w:line="480" w:lineRule="atLeast"/>
        <w:ind w:left="720" w:hanging="540"/>
        <w:jc w:val="center"/>
        <w:rPr>
          <w:rFonts w:ascii="Arial" w:hAnsi="Arial"/>
          <w:b/>
        </w:rPr>
      </w:pPr>
      <w:r>
        <w:rPr>
          <w:rFonts w:ascii="Arial" w:hAnsi="Arial"/>
        </w:rPr>
        <w:t xml:space="preserve"> </w:t>
      </w:r>
      <w:r w:rsidRPr="002D0630">
        <w:rPr>
          <w:rFonts w:ascii="Arial" w:hAnsi="Arial"/>
          <w:b/>
        </w:rPr>
        <w:t>V. INCOME TAX EXPENSE</w:t>
      </w:r>
    </w:p>
    <w:p w:rsidR="002D0630" w:rsidRDefault="002D0630" w:rsidP="00DE7D73">
      <w:pPr>
        <w:spacing w:line="480" w:lineRule="atLeast"/>
        <w:ind w:left="720" w:hanging="540"/>
        <w:jc w:val="center"/>
        <w:rPr>
          <w:rFonts w:ascii="Arial" w:hAnsi="Arial"/>
        </w:rPr>
      </w:pPr>
    </w:p>
    <w:p w:rsidR="004A3A16" w:rsidRDefault="004A3A16" w:rsidP="00DE7D73">
      <w:pPr>
        <w:spacing w:line="480" w:lineRule="atLeast"/>
        <w:ind w:left="720" w:hanging="540"/>
        <w:rPr>
          <w:rFonts w:ascii="Arial" w:hAnsi="Arial"/>
        </w:rPr>
      </w:pPr>
      <w:r>
        <w:rPr>
          <w:rFonts w:ascii="Arial" w:hAnsi="Arial"/>
        </w:rPr>
        <w:t>Q.</w:t>
      </w:r>
      <w:r>
        <w:rPr>
          <w:rFonts w:ascii="Arial" w:hAnsi="Arial"/>
        </w:rPr>
        <w:tab/>
        <w:t>What amount of income tax expense i</w:t>
      </w:r>
      <w:r w:rsidR="007565EB">
        <w:rPr>
          <w:rFonts w:ascii="Arial" w:hAnsi="Arial"/>
        </w:rPr>
        <w:t>s</w:t>
      </w:r>
      <w:r>
        <w:rPr>
          <w:rFonts w:ascii="Arial" w:hAnsi="Arial"/>
        </w:rPr>
        <w:t xml:space="preserve"> included for the 2012 test year?</w:t>
      </w:r>
    </w:p>
    <w:p w:rsidR="004A3A16" w:rsidRDefault="004A3A16" w:rsidP="00DE7D73">
      <w:pPr>
        <w:spacing w:line="480" w:lineRule="atLeast"/>
        <w:ind w:left="720" w:hanging="540"/>
        <w:rPr>
          <w:rFonts w:ascii="Arial" w:hAnsi="Arial"/>
        </w:rPr>
      </w:pPr>
      <w:r>
        <w:rPr>
          <w:rFonts w:ascii="Arial" w:hAnsi="Arial"/>
        </w:rPr>
        <w:t>A.</w:t>
      </w:r>
      <w:r>
        <w:rPr>
          <w:rFonts w:ascii="Arial" w:hAnsi="Arial"/>
        </w:rPr>
        <w:tab/>
        <w:t xml:space="preserve">Total federal and state income tax </w:t>
      </w:r>
      <w:r w:rsidR="00667292">
        <w:rPr>
          <w:rFonts w:ascii="Arial" w:hAnsi="Arial"/>
        </w:rPr>
        <w:t xml:space="preserve">provision </w:t>
      </w:r>
      <w:r>
        <w:rPr>
          <w:rFonts w:ascii="Arial" w:hAnsi="Arial"/>
        </w:rPr>
        <w:t>for the test year is $</w:t>
      </w:r>
      <w:r w:rsidR="00667292">
        <w:rPr>
          <w:rFonts w:ascii="Arial" w:hAnsi="Arial"/>
        </w:rPr>
        <w:t>63</w:t>
      </w:r>
      <w:r>
        <w:rPr>
          <w:rFonts w:ascii="Arial" w:hAnsi="Arial"/>
        </w:rPr>
        <w:t>,</w:t>
      </w:r>
      <w:r w:rsidR="00667292">
        <w:rPr>
          <w:rFonts w:ascii="Arial" w:hAnsi="Arial"/>
        </w:rPr>
        <w:t>241</w:t>
      </w:r>
      <w:r>
        <w:rPr>
          <w:rFonts w:ascii="Arial" w:hAnsi="Arial"/>
        </w:rPr>
        <w:t>,</w:t>
      </w:r>
      <w:r w:rsidR="00667292">
        <w:rPr>
          <w:rFonts w:ascii="Arial" w:hAnsi="Arial"/>
        </w:rPr>
        <w:t>000</w:t>
      </w:r>
      <w:r>
        <w:rPr>
          <w:rFonts w:ascii="Arial" w:hAnsi="Arial"/>
        </w:rPr>
        <w:t xml:space="preserve"> as shown on MFR</w:t>
      </w:r>
      <w:r w:rsidR="00CE531D">
        <w:rPr>
          <w:rFonts w:ascii="Arial" w:hAnsi="Arial"/>
        </w:rPr>
        <w:t xml:space="preserve"> C</w:t>
      </w:r>
      <w:r>
        <w:rPr>
          <w:rFonts w:ascii="Arial" w:hAnsi="Arial"/>
        </w:rPr>
        <w:t>-</w:t>
      </w:r>
      <w:r w:rsidR="00667292">
        <w:rPr>
          <w:rFonts w:ascii="Arial" w:hAnsi="Arial"/>
        </w:rPr>
        <w:t>22</w:t>
      </w:r>
      <w:r>
        <w:rPr>
          <w:rFonts w:ascii="Arial" w:hAnsi="Arial"/>
        </w:rPr>
        <w:t>.</w:t>
      </w:r>
    </w:p>
    <w:p w:rsidR="00D7287D" w:rsidRDefault="00D7287D" w:rsidP="00DE7D73">
      <w:pPr>
        <w:spacing w:line="480" w:lineRule="atLeast"/>
        <w:ind w:left="720" w:hanging="540"/>
        <w:rPr>
          <w:rFonts w:ascii="Arial" w:hAnsi="Arial"/>
        </w:rPr>
      </w:pPr>
    </w:p>
    <w:p w:rsidR="004A3A16" w:rsidRDefault="004A3A16" w:rsidP="00DE7D73">
      <w:pPr>
        <w:spacing w:line="480" w:lineRule="atLeast"/>
        <w:ind w:left="720" w:hanging="540"/>
        <w:rPr>
          <w:rFonts w:ascii="Arial" w:hAnsi="Arial"/>
        </w:rPr>
      </w:pPr>
      <w:r>
        <w:rPr>
          <w:rFonts w:ascii="Arial" w:hAnsi="Arial"/>
        </w:rPr>
        <w:t>Q.</w:t>
      </w:r>
      <w:r>
        <w:rPr>
          <w:rFonts w:ascii="Arial" w:hAnsi="Arial"/>
        </w:rPr>
        <w:tab/>
        <w:t>How was this amount calculated?</w:t>
      </w:r>
    </w:p>
    <w:p w:rsidR="004A3A16" w:rsidRDefault="004A3A16" w:rsidP="00DE7D73">
      <w:pPr>
        <w:spacing w:line="480" w:lineRule="atLeast"/>
        <w:ind w:left="720" w:hanging="540"/>
        <w:rPr>
          <w:rFonts w:ascii="Arial" w:hAnsi="Arial"/>
        </w:rPr>
      </w:pPr>
      <w:r>
        <w:rPr>
          <w:rFonts w:ascii="Arial" w:hAnsi="Arial"/>
        </w:rPr>
        <w:t>A.</w:t>
      </w:r>
      <w:r>
        <w:rPr>
          <w:rFonts w:ascii="Arial" w:hAnsi="Arial"/>
        </w:rPr>
        <w:tab/>
        <w:t xml:space="preserve">The income tax expense was calculated in accordance with </w:t>
      </w:r>
      <w:r w:rsidR="00667292">
        <w:rPr>
          <w:rFonts w:ascii="Arial" w:hAnsi="Arial"/>
        </w:rPr>
        <w:t>GAAP</w:t>
      </w:r>
      <w:r w:rsidR="004C4B6B">
        <w:rPr>
          <w:rFonts w:ascii="Arial" w:hAnsi="Arial"/>
        </w:rPr>
        <w:t xml:space="preserve">. </w:t>
      </w:r>
      <w:r w:rsidR="00E467C0">
        <w:rPr>
          <w:rFonts w:ascii="Arial" w:hAnsi="Arial"/>
        </w:rPr>
        <w:t xml:space="preserve"> </w:t>
      </w:r>
    </w:p>
    <w:p w:rsidR="003E373B" w:rsidRDefault="003E373B" w:rsidP="00DE7D73">
      <w:pPr>
        <w:spacing w:line="480" w:lineRule="atLeast"/>
        <w:ind w:left="720" w:hanging="540"/>
        <w:jc w:val="center"/>
        <w:rPr>
          <w:rFonts w:ascii="Arial" w:hAnsi="Arial"/>
        </w:rPr>
      </w:pPr>
    </w:p>
    <w:p w:rsidR="00A9518E" w:rsidRDefault="00A9518E" w:rsidP="00DE7D73">
      <w:pPr>
        <w:spacing w:line="480" w:lineRule="atLeast"/>
        <w:ind w:left="720" w:hanging="540"/>
        <w:jc w:val="center"/>
        <w:rPr>
          <w:rFonts w:ascii="Arial" w:hAnsi="Arial"/>
        </w:rPr>
      </w:pPr>
    </w:p>
    <w:p w:rsidR="005B123E" w:rsidRDefault="005B123E" w:rsidP="00DE7D73">
      <w:pPr>
        <w:spacing w:line="480" w:lineRule="atLeast"/>
        <w:ind w:left="720" w:hanging="540"/>
        <w:jc w:val="center"/>
        <w:rPr>
          <w:rFonts w:ascii="Arial" w:hAnsi="Arial"/>
        </w:rPr>
      </w:pPr>
    </w:p>
    <w:p w:rsidR="009B5B7D" w:rsidRPr="002D0630" w:rsidRDefault="003E373B" w:rsidP="00DE7D73">
      <w:pPr>
        <w:spacing w:line="480" w:lineRule="atLeast"/>
        <w:ind w:left="720" w:hanging="540"/>
        <w:jc w:val="center"/>
        <w:rPr>
          <w:rFonts w:ascii="Arial" w:hAnsi="Arial"/>
          <w:b/>
        </w:rPr>
      </w:pPr>
      <w:r w:rsidRPr="002D0630">
        <w:rPr>
          <w:rFonts w:ascii="Arial" w:hAnsi="Arial"/>
          <w:b/>
        </w:rPr>
        <w:lastRenderedPageBreak/>
        <w:t>V</w:t>
      </w:r>
      <w:r w:rsidR="00113F9E" w:rsidRPr="002D0630">
        <w:rPr>
          <w:rFonts w:ascii="Arial" w:hAnsi="Arial"/>
          <w:b/>
        </w:rPr>
        <w:t>I</w:t>
      </w:r>
      <w:r w:rsidRPr="002D0630">
        <w:rPr>
          <w:rFonts w:ascii="Arial" w:hAnsi="Arial"/>
          <w:b/>
        </w:rPr>
        <w:t>. SUMMARY</w:t>
      </w:r>
    </w:p>
    <w:p w:rsidR="002D0630" w:rsidRDefault="002D0630" w:rsidP="00DE7D73">
      <w:pPr>
        <w:spacing w:line="480" w:lineRule="atLeast"/>
        <w:ind w:left="720" w:hanging="540"/>
        <w:jc w:val="center"/>
        <w:rPr>
          <w:rFonts w:ascii="Arial" w:hAnsi="Arial"/>
        </w:rPr>
      </w:pPr>
    </w:p>
    <w:p w:rsidR="009B5B7D" w:rsidRDefault="003E373B" w:rsidP="00DE7D73">
      <w:pPr>
        <w:spacing w:line="480" w:lineRule="atLeast"/>
        <w:ind w:left="720" w:hanging="540"/>
        <w:rPr>
          <w:rFonts w:ascii="Arial" w:hAnsi="Arial"/>
        </w:rPr>
      </w:pPr>
      <w:r>
        <w:rPr>
          <w:rFonts w:ascii="Arial" w:hAnsi="Arial"/>
        </w:rPr>
        <w:t>Q.</w:t>
      </w:r>
      <w:r>
        <w:rPr>
          <w:rFonts w:ascii="Arial" w:hAnsi="Arial"/>
        </w:rPr>
        <w:tab/>
        <w:t>Please summarize your testimony.</w:t>
      </w:r>
    </w:p>
    <w:p w:rsidR="009B5B7D" w:rsidRDefault="003E373B" w:rsidP="007565EB">
      <w:pPr>
        <w:spacing w:line="480" w:lineRule="atLeast"/>
        <w:ind w:left="720" w:hanging="540"/>
        <w:rPr>
          <w:rFonts w:ascii="Arial" w:hAnsi="Arial"/>
        </w:rPr>
      </w:pPr>
      <w:r>
        <w:rPr>
          <w:rFonts w:ascii="Arial" w:hAnsi="Arial"/>
        </w:rPr>
        <w:t>A.</w:t>
      </w:r>
      <w:r>
        <w:rPr>
          <w:rFonts w:ascii="Arial" w:hAnsi="Arial"/>
        </w:rPr>
        <w:tab/>
        <w:t xml:space="preserve">The level of </w:t>
      </w:r>
      <w:r w:rsidR="00FE312B">
        <w:rPr>
          <w:rFonts w:ascii="Arial" w:hAnsi="Arial"/>
        </w:rPr>
        <w:t>A&amp;G</w:t>
      </w:r>
      <w:r>
        <w:rPr>
          <w:rFonts w:ascii="Arial" w:hAnsi="Arial"/>
        </w:rPr>
        <w:t xml:space="preserve"> expenses requested in this case is reasonable</w:t>
      </w:r>
      <w:r w:rsidR="009A436E">
        <w:rPr>
          <w:rFonts w:ascii="Arial" w:hAnsi="Arial"/>
        </w:rPr>
        <w:t>,</w:t>
      </w:r>
      <w:r>
        <w:rPr>
          <w:rFonts w:ascii="Arial" w:hAnsi="Arial"/>
        </w:rPr>
        <w:t xml:space="preserve"> prudent and necessary to enable Gulf to continue to provide high quality, reliable electric service</w:t>
      </w:r>
      <w:r w:rsidR="009D290F">
        <w:rPr>
          <w:rFonts w:ascii="Arial" w:hAnsi="Arial"/>
        </w:rPr>
        <w:t xml:space="preserve"> to our customers</w:t>
      </w:r>
      <w:r>
        <w:rPr>
          <w:rFonts w:ascii="Arial" w:hAnsi="Arial"/>
        </w:rPr>
        <w:t xml:space="preserve">. Although some of these costs have grown more rapidly than the </w:t>
      </w:r>
      <w:r w:rsidR="00FE312B">
        <w:rPr>
          <w:rFonts w:ascii="Arial" w:hAnsi="Arial"/>
        </w:rPr>
        <w:t>O&amp;M</w:t>
      </w:r>
      <w:r>
        <w:rPr>
          <w:rFonts w:ascii="Arial" w:hAnsi="Arial"/>
        </w:rPr>
        <w:t xml:space="preserve"> benchmark, I</w:t>
      </w:r>
      <w:r w:rsidR="009D290F">
        <w:rPr>
          <w:rFonts w:ascii="Arial" w:hAnsi="Arial"/>
        </w:rPr>
        <w:t>, along with</w:t>
      </w:r>
      <w:r w:rsidR="009E5622">
        <w:rPr>
          <w:rFonts w:ascii="Arial" w:hAnsi="Arial"/>
        </w:rPr>
        <w:t xml:space="preserve"> </w:t>
      </w:r>
      <w:r w:rsidR="004F3C52">
        <w:rPr>
          <w:rFonts w:ascii="Arial" w:hAnsi="Arial"/>
        </w:rPr>
        <w:t>M</w:t>
      </w:r>
      <w:r w:rsidR="00E467C0">
        <w:rPr>
          <w:rFonts w:ascii="Arial" w:hAnsi="Arial"/>
        </w:rPr>
        <w:t xml:space="preserve">r. Twery </w:t>
      </w:r>
      <w:r w:rsidR="00A75E00">
        <w:rPr>
          <w:rFonts w:ascii="Arial" w:hAnsi="Arial"/>
        </w:rPr>
        <w:t>and Ms. Crumlish</w:t>
      </w:r>
      <w:r w:rsidR="009D290F">
        <w:rPr>
          <w:rFonts w:ascii="Arial" w:hAnsi="Arial"/>
        </w:rPr>
        <w:t>,</w:t>
      </w:r>
      <w:r w:rsidR="00A75E00">
        <w:rPr>
          <w:rFonts w:ascii="Arial" w:hAnsi="Arial"/>
        </w:rPr>
        <w:t xml:space="preserve"> </w:t>
      </w:r>
      <w:r>
        <w:rPr>
          <w:rFonts w:ascii="Arial" w:hAnsi="Arial"/>
        </w:rPr>
        <w:t>have explained how these variances were influenced by other factors outside the control of the Company</w:t>
      </w:r>
      <w:r w:rsidR="009A436E">
        <w:rPr>
          <w:rFonts w:ascii="Arial" w:hAnsi="Arial"/>
        </w:rPr>
        <w:t xml:space="preserve"> and justified their levels</w:t>
      </w:r>
      <w:r>
        <w:rPr>
          <w:rFonts w:ascii="Arial" w:hAnsi="Arial"/>
        </w:rPr>
        <w:t>.</w:t>
      </w:r>
    </w:p>
    <w:p w:rsidR="007565EB" w:rsidRDefault="007565EB" w:rsidP="007565EB">
      <w:pPr>
        <w:spacing w:line="480" w:lineRule="atLeast"/>
        <w:ind w:left="720" w:hanging="540"/>
        <w:rPr>
          <w:rFonts w:ascii="Arial" w:hAnsi="Arial"/>
        </w:rPr>
      </w:pPr>
    </w:p>
    <w:p w:rsidR="00361458" w:rsidRDefault="009A436E" w:rsidP="00501586">
      <w:pPr>
        <w:spacing w:line="480" w:lineRule="atLeast"/>
        <w:ind w:left="720"/>
        <w:rPr>
          <w:rFonts w:ascii="Arial" w:hAnsi="Arial"/>
        </w:rPr>
      </w:pPr>
      <w:r>
        <w:rPr>
          <w:rFonts w:ascii="Arial" w:hAnsi="Arial"/>
        </w:rPr>
        <w:t>Gulf’s</w:t>
      </w:r>
      <w:r w:rsidR="003E373B">
        <w:rPr>
          <w:rFonts w:ascii="Arial" w:hAnsi="Arial"/>
        </w:rPr>
        <w:t xml:space="preserve"> requested property damage accrual is an appropriate amount that balances the interests of the Company and </w:t>
      </w:r>
      <w:r w:rsidR="008B527D">
        <w:rPr>
          <w:rFonts w:ascii="Arial" w:hAnsi="Arial"/>
        </w:rPr>
        <w:t xml:space="preserve">our </w:t>
      </w:r>
      <w:r w:rsidR="003E373B">
        <w:rPr>
          <w:rFonts w:ascii="Arial" w:hAnsi="Arial"/>
        </w:rPr>
        <w:t>customers in accordance with established Commission policy.</w:t>
      </w:r>
    </w:p>
    <w:p w:rsidR="0072435D" w:rsidRDefault="0072435D" w:rsidP="00DE7D73">
      <w:pPr>
        <w:spacing w:line="480" w:lineRule="atLeast"/>
        <w:ind w:left="720"/>
        <w:rPr>
          <w:rFonts w:ascii="Arial" w:hAnsi="Arial"/>
        </w:rPr>
      </w:pPr>
    </w:p>
    <w:p w:rsidR="00361458" w:rsidRDefault="003E373B" w:rsidP="00501586">
      <w:pPr>
        <w:spacing w:line="480" w:lineRule="atLeast"/>
        <w:ind w:left="720"/>
        <w:rPr>
          <w:rFonts w:ascii="Arial" w:hAnsi="Arial"/>
        </w:rPr>
      </w:pPr>
      <w:r>
        <w:rPr>
          <w:rFonts w:ascii="Arial" w:hAnsi="Arial"/>
        </w:rPr>
        <w:t>The requested levels of uncollectible account</w:t>
      </w:r>
      <w:r w:rsidR="00D563B9">
        <w:rPr>
          <w:rFonts w:ascii="Arial" w:hAnsi="Arial"/>
        </w:rPr>
        <w:t>s</w:t>
      </w:r>
      <w:r>
        <w:rPr>
          <w:rFonts w:ascii="Arial" w:hAnsi="Arial"/>
        </w:rPr>
        <w:t xml:space="preserve"> and depreciation and amortization expense are reasonable, prudent and necessary.  The test year income tax expense has been calculated appropriately.</w:t>
      </w:r>
    </w:p>
    <w:p w:rsidR="009B5B7D" w:rsidRDefault="003E373B" w:rsidP="00DE7D73">
      <w:pPr>
        <w:spacing w:line="480" w:lineRule="atLeast"/>
        <w:ind w:left="720"/>
        <w:rPr>
          <w:rFonts w:ascii="Arial" w:hAnsi="Arial"/>
        </w:rPr>
      </w:pPr>
      <w:r>
        <w:rPr>
          <w:rFonts w:ascii="Arial" w:hAnsi="Arial"/>
        </w:rPr>
        <w:t xml:space="preserve"> </w:t>
      </w:r>
    </w:p>
    <w:p w:rsidR="009B5B7D" w:rsidRDefault="003E373B" w:rsidP="00DE7D73">
      <w:pPr>
        <w:spacing w:line="480" w:lineRule="atLeast"/>
        <w:ind w:left="720" w:hanging="540"/>
        <w:rPr>
          <w:rFonts w:ascii="Arial" w:hAnsi="Arial"/>
        </w:rPr>
      </w:pPr>
      <w:r>
        <w:rPr>
          <w:rFonts w:ascii="Arial" w:hAnsi="Arial"/>
        </w:rPr>
        <w:t>Q.</w:t>
      </w:r>
      <w:r>
        <w:rPr>
          <w:rFonts w:ascii="Arial" w:hAnsi="Arial"/>
        </w:rPr>
        <w:tab/>
        <w:t>Does this conclude your testimony?</w:t>
      </w:r>
    </w:p>
    <w:p w:rsidR="0072435D" w:rsidRDefault="003E373B" w:rsidP="007565EB">
      <w:pPr>
        <w:spacing w:line="480" w:lineRule="atLeast"/>
        <w:ind w:left="720" w:hanging="540"/>
        <w:rPr>
          <w:rFonts w:ascii="Arial" w:hAnsi="Arial"/>
        </w:rPr>
      </w:pPr>
      <w:r>
        <w:rPr>
          <w:rFonts w:ascii="Arial" w:hAnsi="Arial"/>
        </w:rPr>
        <w:t>A.</w:t>
      </w:r>
      <w:r>
        <w:rPr>
          <w:rFonts w:ascii="Arial" w:hAnsi="Arial"/>
        </w:rPr>
        <w:tab/>
        <w:t>Yes.</w:t>
      </w:r>
    </w:p>
    <w:p w:rsidR="0072435D" w:rsidRDefault="0072435D" w:rsidP="007565EB">
      <w:pPr>
        <w:spacing w:line="480" w:lineRule="atLeast"/>
        <w:ind w:left="720" w:hanging="540"/>
        <w:rPr>
          <w:rFonts w:ascii="Arial" w:hAnsi="Arial"/>
        </w:rPr>
      </w:pPr>
    </w:p>
    <w:p w:rsidR="0072435D" w:rsidRDefault="0072435D" w:rsidP="007565EB">
      <w:pPr>
        <w:spacing w:line="480" w:lineRule="atLeast"/>
        <w:ind w:left="720" w:hanging="540"/>
        <w:rPr>
          <w:rFonts w:ascii="Arial" w:hAnsi="Arial"/>
        </w:rPr>
      </w:pPr>
    </w:p>
    <w:p w:rsidR="0072435D" w:rsidRDefault="0072435D" w:rsidP="007565EB">
      <w:pPr>
        <w:spacing w:line="480" w:lineRule="atLeast"/>
        <w:ind w:left="720" w:hanging="540"/>
        <w:rPr>
          <w:rFonts w:ascii="Arial" w:hAnsi="Arial"/>
        </w:rPr>
      </w:pPr>
    </w:p>
    <w:p w:rsidR="0072435D" w:rsidRDefault="0072435D" w:rsidP="007565EB">
      <w:pPr>
        <w:spacing w:line="480" w:lineRule="atLeast"/>
        <w:ind w:left="720" w:hanging="540"/>
        <w:rPr>
          <w:rFonts w:ascii="Arial" w:hAnsi="Arial"/>
        </w:rPr>
      </w:pPr>
    </w:p>
    <w:p w:rsidR="009B5B7D" w:rsidRDefault="003E373B" w:rsidP="007565EB">
      <w:pPr>
        <w:spacing w:line="480" w:lineRule="atLeast"/>
        <w:ind w:left="720" w:hanging="540"/>
        <w:rPr>
          <w:rFonts w:ascii="Arial" w:hAnsi="Arial"/>
        </w:rPr>
      </w:pPr>
      <w:r>
        <w:rPr>
          <w:rFonts w:ascii="Arial" w:hAnsi="Arial"/>
        </w:rPr>
        <w:br w:type="page"/>
      </w:r>
    </w:p>
    <w:p w:rsidR="00905321" w:rsidRDefault="00905321" w:rsidP="003E373B">
      <w:pPr>
        <w:tabs>
          <w:tab w:val="left" w:pos="1440"/>
        </w:tabs>
        <w:rPr>
          <w:rFonts w:ascii="Arial" w:hAnsi="Arial"/>
        </w:rPr>
        <w:sectPr w:rsidR="00905321" w:rsidSect="00DE7D73">
          <w:headerReference w:type="default" r:id="rId13"/>
          <w:footerReference w:type="default" r:id="rId14"/>
          <w:headerReference w:type="first" r:id="rId15"/>
          <w:footerReference w:type="first" r:id="rId16"/>
          <w:type w:val="continuous"/>
          <w:pgSz w:w="12240" w:h="15840" w:code="1"/>
          <w:pgMar w:top="1800" w:right="1440" w:bottom="1800" w:left="2160" w:header="720" w:footer="720" w:gutter="0"/>
          <w:lnNumType w:countBy="1"/>
          <w:cols w:space="720"/>
          <w:titlePg/>
          <w:docGrid w:linePitch="326"/>
        </w:sectPr>
      </w:pPr>
    </w:p>
    <w:p w:rsidR="008B527D" w:rsidRDefault="003E373B" w:rsidP="008B527D">
      <w:pPr>
        <w:tabs>
          <w:tab w:val="left" w:pos="1440"/>
        </w:tabs>
        <w:rPr>
          <w:rFonts w:ascii="Arial" w:hAnsi="Arial"/>
          <w:sz w:val="20"/>
        </w:rPr>
      </w:pPr>
      <w:r>
        <w:rPr>
          <w:rFonts w:ascii="Arial" w:hAnsi="Arial"/>
        </w:rPr>
        <w:lastRenderedPageBreak/>
        <w:tab/>
      </w:r>
      <w:r>
        <w:rPr>
          <w:rFonts w:ascii="Arial" w:hAnsi="Arial"/>
        </w:rPr>
        <w:tab/>
      </w:r>
      <w:r>
        <w:rPr>
          <w:rFonts w:ascii="Arial" w:hAnsi="Arial"/>
        </w:rPr>
        <w:tab/>
      </w:r>
      <w:r>
        <w:rPr>
          <w:rFonts w:ascii="Arial" w:hAnsi="Arial"/>
        </w:rPr>
        <w:tab/>
      </w:r>
    </w:p>
    <w:p w:rsidR="0072435D" w:rsidRPr="008C1964" w:rsidRDefault="0072435D" w:rsidP="0072435D">
      <w:pPr>
        <w:jc w:val="center"/>
        <w:rPr>
          <w:rFonts w:ascii="Arial" w:hAnsi="Arial"/>
        </w:rPr>
      </w:pPr>
      <w:r>
        <w:rPr>
          <w:rFonts w:ascii="Arial" w:hAnsi="Arial"/>
        </w:rPr>
        <w:t>AFFIDAVIT</w:t>
      </w:r>
    </w:p>
    <w:p w:rsidR="0072435D" w:rsidRPr="008C1964" w:rsidRDefault="0072435D" w:rsidP="0072435D">
      <w:pPr>
        <w:rPr>
          <w:rFonts w:ascii="Arial" w:hAnsi="Arial"/>
        </w:rPr>
      </w:pPr>
    </w:p>
    <w:p w:rsidR="0072435D" w:rsidRPr="008C1964" w:rsidRDefault="0072435D" w:rsidP="0072435D">
      <w:pPr>
        <w:rPr>
          <w:rFonts w:ascii="Arial" w:hAnsi="Arial"/>
        </w:rPr>
      </w:pPr>
    </w:p>
    <w:p w:rsidR="0072435D" w:rsidRPr="008C1964" w:rsidRDefault="0072435D" w:rsidP="0072435D">
      <w:pPr>
        <w:rPr>
          <w:rFonts w:ascii="Arial" w:hAnsi="Arial"/>
        </w:rPr>
      </w:pPr>
      <w:r>
        <w:rPr>
          <w:rFonts w:ascii="Arial" w:hAnsi="Arial"/>
        </w:rPr>
        <w:t xml:space="preserve">STATE OF FLORIDA   </w:t>
      </w:r>
      <w:r>
        <w:rPr>
          <w:rFonts w:ascii="Arial" w:hAnsi="Arial"/>
        </w:rPr>
        <w:tab/>
        <w:t>)</w:t>
      </w:r>
      <w:r>
        <w:rPr>
          <w:rFonts w:ascii="Arial" w:hAnsi="Arial"/>
        </w:rPr>
        <w:tab/>
      </w:r>
      <w:r>
        <w:rPr>
          <w:rFonts w:ascii="Arial" w:hAnsi="Arial"/>
        </w:rPr>
        <w:tab/>
      </w:r>
      <w:r>
        <w:rPr>
          <w:rFonts w:ascii="Arial" w:hAnsi="Arial"/>
        </w:rPr>
        <w:tab/>
      </w:r>
      <w:r>
        <w:rPr>
          <w:rFonts w:ascii="Arial" w:hAnsi="Arial"/>
        </w:rPr>
        <w:tab/>
        <w:t>Docket No. 110138</w:t>
      </w:r>
      <w:r w:rsidRPr="008C1964">
        <w:rPr>
          <w:rFonts w:ascii="Arial" w:hAnsi="Arial"/>
        </w:rPr>
        <w:t>-EI</w:t>
      </w:r>
    </w:p>
    <w:p w:rsidR="0072435D" w:rsidRPr="008C1964" w:rsidRDefault="0072435D" w:rsidP="0072435D">
      <w:pPr>
        <w:ind w:firstLine="720"/>
        <w:rPr>
          <w:rFonts w:ascii="Arial" w:hAnsi="Arial"/>
        </w:rPr>
      </w:pPr>
      <w:r w:rsidRPr="008C1964">
        <w:rPr>
          <w:rFonts w:ascii="Arial" w:hAnsi="Arial"/>
        </w:rPr>
        <w:tab/>
      </w:r>
      <w:r w:rsidRPr="008C1964">
        <w:rPr>
          <w:rFonts w:ascii="Arial" w:hAnsi="Arial"/>
        </w:rPr>
        <w:tab/>
      </w:r>
      <w:r w:rsidRPr="008C1964">
        <w:rPr>
          <w:rFonts w:ascii="Arial" w:hAnsi="Arial"/>
        </w:rPr>
        <w:tab/>
        <w:t>)</w:t>
      </w:r>
    </w:p>
    <w:p w:rsidR="0072435D" w:rsidRPr="008C1964" w:rsidRDefault="0072435D" w:rsidP="0072435D">
      <w:pPr>
        <w:rPr>
          <w:rFonts w:ascii="Arial" w:hAnsi="Arial"/>
        </w:rPr>
      </w:pPr>
      <w:r w:rsidRPr="008C1964">
        <w:rPr>
          <w:rFonts w:ascii="Arial" w:hAnsi="Arial"/>
        </w:rPr>
        <w:t xml:space="preserve">COUNTY OF ESCAMBIA </w:t>
      </w:r>
      <w:r w:rsidRPr="008C1964">
        <w:rPr>
          <w:rFonts w:ascii="Arial" w:hAnsi="Arial"/>
        </w:rPr>
        <w:tab/>
        <w:t>)</w:t>
      </w:r>
    </w:p>
    <w:p w:rsidR="0072435D" w:rsidRPr="008C1964" w:rsidRDefault="0072435D" w:rsidP="0072435D">
      <w:pPr>
        <w:rPr>
          <w:rFonts w:ascii="Arial" w:hAnsi="Arial"/>
        </w:rPr>
      </w:pPr>
    </w:p>
    <w:p w:rsidR="0072435D" w:rsidRPr="008C1964" w:rsidRDefault="0072435D" w:rsidP="0072435D">
      <w:pPr>
        <w:rPr>
          <w:rFonts w:ascii="Arial" w:hAnsi="Arial"/>
        </w:rPr>
      </w:pPr>
    </w:p>
    <w:p w:rsidR="0072435D" w:rsidRPr="008C1964" w:rsidRDefault="0072435D" w:rsidP="0072435D">
      <w:pPr>
        <w:rPr>
          <w:rFonts w:ascii="Arial" w:hAnsi="Arial"/>
        </w:rPr>
      </w:pPr>
    </w:p>
    <w:p w:rsidR="0072435D" w:rsidRPr="008C1964" w:rsidRDefault="0072435D" w:rsidP="0072435D">
      <w:pPr>
        <w:spacing w:line="480" w:lineRule="auto"/>
        <w:rPr>
          <w:rFonts w:ascii="Arial" w:hAnsi="Arial"/>
        </w:rPr>
      </w:pPr>
      <w:r>
        <w:rPr>
          <w:rFonts w:ascii="Arial" w:hAnsi="Arial"/>
        </w:rPr>
        <w:tab/>
        <w:t>Before me the undersigned authority, personally appeared Constance J. Erickson</w:t>
      </w:r>
      <w:r w:rsidRPr="008C1964">
        <w:rPr>
          <w:rFonts w:ascii="Arial" w:hAnsi="Arial"/>
        </w:rPr>
        <w:t xml:space="preserve">, who being first duly sworn, deposes, and says that </w:t>
      </w:r>
      <w:r>
        <w:rPr>
          <w:rFonts w:ascii="Arial" w:hAnsi="Arial"/>
        </w:rPr>
        <w:t>she</w:t>
      </w:r>
      <w:r w:rsidRPr="008C1964">
        <w:rPr>
          <w:rFonts w:ascii="Arial" w:hAnsi="Arial"/>
        </w:rPr>
        <w:t xml:space="preserve"> is the </w:t>
      </w:r>
      <w:r>
        <w:rPr>
          <w:rFonts w:ascii="Arial" w:hAnsi="Arial"/>
        </w:rPr>
        <w:t>Comptroller</w:t>
      </w:r>
      <w:r w:rsidRPr="008C1964">
        <w:rPr>
          <w:rFonts w:ascii="Arial" w:hAnsi="Arial"/>
        </w:rPr>
        <w:t xml:space="preserve"> of Gulf Power Company, a </w:t>
      </w:r>
      <w:r>
        <w:rPr>
          <w:rFonts w:ascii="Arial" w:hAnsi="Arial"/>
        </w:rPr>
        <w:t>Florida</w:t>
      </w:r>
      <w:r w:rsidRPr="008C1964">
        <w:rPr>
          <w:rFonts w:ascii="Arial" w:hAnsi="Arial"/>
        </w:rPr>
        <w:t xml:space="preserve"> corporation, </w:t>
      </w:r>
      <w:r>
        <w:rPr>
          <w:rFonts w:ascii="Arial" w:hAnsi="Arial"/>
        </w:rPr>
        <w:t xml:space="preserve">and </w:t>
      </w:r>
      <w:r w:rsidRPr="008C1964">
        <w:rPr>
          <w:rFonts w:ascii="Arial" w:hAnsi="Arial"/>
        </w:rPr>
        <w:t xml:space="preserve">that the foregoing is true and correct to the best of </w:t>
      </w:r>
      <w:r>
        <w:rPr>
          <w:rFonts w:ascii="Arial" w:hAnsi="Arial"/>
        </w:rPr>
        <w:t>her</w:t>
      </w:r>
      <w:r w:rsidRPr="008C1964">
        <w:rPr>
          <w:rFonts w:ascii="Arial" w:hAnsi="Arial"/>
        </w:rPr>
        <w:t xml:space="preserve"> knowledge, information, and belief.  </w:t>
      </w:r>
      <w:r>
        <w:rPr>
          <w:rFonts w:ascii="Arial" w:hAnsi="Arial"/>
        </w:rPr>
        <w:t>She</w:t>
      </w:r>
      <w:r w:rsidRPr="008C1964">
        <w:rPr>
          <w:rFonts w:ascii="Arial" w:hAnsi="Arial"/>
        </w:rPr>
        <w:t xml:space="preserve"> is personally known to me.</w:t>
      </w:r>
    </w:p>
    <w:p w:rsidR="0072435D" w:rsidRPr="008C1964" w:rsidRDefault="0072435D" w:rsidP="0072435D">
      <w:pPr>
        <w:rPr>
          <w:rFonts w:ascii="Arial" w:hAnsi="Arial"/>
        </w:rPr>
      </w:pPr>
    </w:p>
    <w:p w:rsidR="004778E7" w:rsidRDefault="004778E7" w:rsidP="004778E7">
      <w:pPr>
        <w:pStyle w:val="s2"/>
        <w:spacing w:before="0" w:beforeAutospacing="0" w:after="0" w:afterAutospacing="0" w:line="252" w:lineRule="atLeast"/>
        <w:ind w:left="3600"/>
        <w:rPr>
          <w:rStyle w:val="s4"/>
          <w:rFonts w:ascii="Arial" w:hAnsi="Arial" w:cs="Arial"/>
        </w:rPr>
      </w:pPr>
      <w:r w:rsidRPr="00D73DAE">
        <w:rPr>
          <w:rStyle w:val="s4"/>
          <w:rFonts w:ascii="Arial" w:hAnsi="Arial" w:cs="Arial"/>
        </w:rPr>
        <w:t>The signed</w:t>
      </w:r>
      <w:r>
        <w:rPr>
          <w:rStyle w:val="s4"/>
          <w:rFonts w:ascii="Arial" w:hAnsi="Arial" w:cs="Arial"/>
        </w:rPr>
        <w:t xml:space="preserve"> original affidavit is attached t</w:t>
      </w:r>
      <w:r w:rsidRPr="00D73DAE">
        <w:rPr>
          <w:rStyle w:val="s4"/>
          <w:rFonts w:ascii="Arial" w:hAnsi="Arial" w:cs="Arial"/>
        </w:rPr>
        <w:t>o the</w:t>
      </w:r>
      <w:r>
        <w:rPr>
          <w:rStyle w:val="s4"/>
          <w:rFonts w:ascii="Arial" w:hAnsi="Arial" w:cs="Arial"/>
        </w:rPr>
        <w:t xml:space="preserve"> </w:t>
      </w:r>
    </w:p>
    <w:p w:rsidR="004778E7" w:rsidRPr="00D73DAE" w:rsidRDefault="004778E7" w:rsidP="004778E7">
      <w:pPr>
        <w:pStyle w:val="s2"/>
        <w:spacing w:before="0" w:beforeAutospacing="0" w:after="0" w:afterAutospacing="0" w:line="252" w:lineRule="atLeast"/>
        <w:rPr>
          <w:rFonts w:ascii="Times" w:hAnsi="Times" w:cs="Times"/>
        </w:rPr>
      </w:pPr>
      <w:r>
        <w:rPr>
          <w:rStyle w:val="s4"/>
          <w:rFonts w:ascii="Arial" w:hAnsi="Arial" w:cs="Arial"/>
        </w:rPr>
        <w:tab/>
      </w:r>
      <w:r>
        <w:rPr>
          <w:rStyle w:val="s4"/>
          <w:rFonts w:ascii="Arial" w:hAnsi="Arial" w:cs="Arial"/>
        </w:rPr>
        <w:tab/>
      </w:r>
      <w:r>
        <w:rPr>
          <w:rStyle w:val="s4"/>
          <w:rFonts w:ascii="Arial" w:hAnsi="Arial" w:cs="Arial"/>
        </w:rPr>
        <w:tab/>
      </w:r>
      <w:r>
        <w:rPr>
          <w:rStyle w:val="s4"/>
          <w:rFonts w:ascii="Arial" w:hAnsi="Arial" w:cs="Arial"/>
        </w:rPr>
        <w:tab/>
      </w:r>
      <w:r>
        <w:rPr>
          <w:rStyle w:val="s4"/>
          <w:rFonts w:ascii="Arial" w:hAnsi="Arial" w:cs="Arial"/>
        </w:rPr>
        <w:tab/>
      </w:r>
      <w:proofErr w:type="gramStart"/>
      <w:r w:rsidRPr="00D73DAE">
        <w:rPr>
          <w:rStyle w:val="s4"/>
          <w:rFonts w:ascii="Arial" w:hAnsi="Arial" w:cs="Arial"/>
        </w:rPr>
        <w:t>original</w:t>
      </w:r>
      <w:proofErr w:type="gramEnd"/>
      <w:r w:rsidRPr="00D73DAE">
        <w:rPr>
          <w:rStyle w:val="s4"/>
          <w:rFonts w:ascii="Arial" w:hAnsi="Arial" w:cs="Arial"/>
        </w:rPr>
        <w:t xml:space="preserve"> testimony on file with the FPSC.</w:t>
      </w:r>
    </w:p>
    <w:p w:rsidR="0072435D" w:rsidRPr="008C1964" w:rsidRDefault="0072435D" w:rsidP="0072435D">
      <w:pPr>
        <w:rPr>
          <w:rFonts w:ascii="Arial" w:hAnsi="Arial"/>
        </w:rPr>
      </w:pPr>
    </w:p>
    <w:p w:rsidR="0072435D" w:rsidRPr="008C1964" w:rsidRDefault="0072435D" w:rsidP="0072435D">
      <w:pPr>
        <w:rPr>
          <w:rFonts w:ascii="Arial" w:hAnsi="Arial"/>
        </w:rPr>
      </w:pPr>
    </w:p>
    <w:p w:rsidR="0072435D" w:rsidRPr="008C1964" w:rsidRDefault="004778E7" w:rsidP="0072435D">
      <w:pPr>
        <w:ind w:right="-756"/>
        <w:rPr>
          <w:rFonts w:ascii="Arial" w:hAnsi="Arial"/>
        </w:rPr>
      </w:pPr>
      <w:r>
        <w:rPr>
          <w:rFonts w:ascii="Arial" w:hAnsi="Arial"/>
        </w:rPr>
        <w:tab/>
      </w:r>
      <w:r w:rsidR="0072435D">
        <w:rPr>
          <w:rFonts w:ascii="Arial" w:hAnsi="Arial"/>
        </w:rPr>
        <w:tab/>
      </w:r>
      <w:r w:rsidR="0072435D">
        <w:rPr>
          <w:rFonts w:ascii="Arial" w:hAnsi="Arial"/>
        </w:rPr>
        <w:tab/>
      </w:r>
      <w:r w:rsidR="0072435D">
        <w:rPr>
          <w:rFonts w:ascii="Arial" w:hAnsi="Arial"/>
        </w:rPr>
        <w:tab/>
      </w:r>
      <w:r w:rsidR="0072435D">
        <w:rPr>
          <w:rFonts w:ascii="Arial" w:hAnsi="Arial"/>
        </w:rPr>
        <w:tab/>
        <w:t xml:space="preserve">     </w:t>
      </w:r>
      <w:proofErr w:type="gramStart"/>
      <w:r>
        <w:rPr>
          <w:rFonts w:ascii="Arial" w:hAnsi="Arial"/>
        </w:rPr>
        <w:t>s</w:t>
      </w:r>
      <w:proofErr w:type="gramEnd"/>
      <w:r>
        <w:rPr>
          <w:rFonts w:ascii="Arial" w:hAnsi="Arial"/>
        </w:rPr>
        <w:t>/</w:t>
      </w:r>
      <w:r w:rsidR="0072435D">
        <w:rPr>
          <w:rFonts w:ascii="Arial" w:hAnsi="Arial"/>
        </w:rPr>
        <w:t>___________________________________</w:t>
      </w:r>
    </w:p>
    <w:p w:rsidR="0072435D" w:rsidRPr="008C1964" w:rsidRDefault="0072435D" w:rsidP="0072435D">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Constance J. Erickson</w:t>
      </w:r>
    </w:p>
    <w:p w:rsidR="0072435D" w:rsidRPr="008C1964" w:rsidRDefault="0072435D" w:rsidP="0072435D">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Comptroller</w:t>
      </w:r>
    </w:p>
    <w:p w:rsidR="0072435D" w:rsidRPr="008C1964" w:rsidRDefault="0072435D" w:rsidP="0072435D">
      <w:pPr>
        <w:ind w:right="-576"/>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72435D" w:rsidRPr="008C1964" w:rsidRDefault="0072435D" w:rsidP="0072435D">
      <w:pPr>
        <w:rPr>
          <w:rFonts w:ascii="Arial" w:hAnsi="Arial"/>
        </w:rPr>
      </w:pPr>
    </w:p>
    <w:p w:rsidR="0072435D" w:rsidRPr="008C1964" w:rsidRDefault="0072435D" w:rsidP="0072435D">
      <w:pPr>
        <w:rPr>
          <w:rFonts w:ascii="Arial" w:hAnsi="Arial"/>
        </w:rPr>
      </w:pPr>
    </w:p>
    <w:p w:rsidR="0072435D" w:rsidRPr="008C1964" w:rsidRDefault="0072435D" w:rsidP="0072435D">
      <w:pPr>
        <w:spacing w:line="480" w:lineRule="auto"/>
        <w:ind w:right="-576"/>
        <w:rPr>
          <w:rFonts w:ascii="Arial" w:hAnsi="Arial"/>
        </w:rPr>
      </w:pPr>
      <w:r>
        <w:rPr>
          <w:rFonts w:ascii="Arial" w:hAnsi="Arial"/>
        </w:rPr>
        <w:tab/>
        <w:t>Sworn to and subscribed before me this ______ day of _____________, 2011</w:t>
      </w:r>
      <w:r w:rsidRPr="008C1964">
        <w:rPr>
          <w:rFonts w:ascii="Arial" w:hAnsi="Arial"/>
        </w:rPr>
        <w:t>.</w:t>
      </w:r>
    </w:p>
    <w:p w:rsidR="0072435D" w:rsidRPr="008C1964" w:rsidRDefault="0072435D" w:rsidP="0072435D">
      <w:pPr>
        <w:rPr>
          <w:rFonts w:ascii="Arial" w:hAnsi="Arial"/>
        </w:rPr>
      </w:pPr>
    </w:p>
    <w:p w:rsidR="0072435D" w:rsidRPr="008C1964" w:rsidRDefault="0072435D" w:rsidP="0072435D">
      <w:pPr>
        <w:rPr>
          <w:rFonts w:ascii="Arial" w:hAnsi="Arial"/>
        </w:rPr>
      </w:pPr>
      <w:r w:rsidRPr="008C1964">
        <w:rPr>
          <w:rFonts w:ascii="Arial" w:hAnsi="Arial"/>
        </w:rPr>
        <w:t>________________________________________</w:t>
      </w:r>
    </w:p>
    <w:p w:rsidR="0072435D" w:rsidRPr="008C1964" w:rsidRDefault="0072435D" w:rsidP="0072435D">
      <w:pPr>
        <w:rPr>
          <w:rFonts w:ascii="Arial" w:hAnsi="Arial"/>
        </w:rPr>
      </w:pPr>
      <w:r w:rsidRPr="008C1964">
        <w:rPr>
          <w:rFonts w:ascii="Arial" w:hAnsi="Arial"/>
        </w:rPr>
        <w:t>Notary Public, State of Florida at Large</w:t>
      </w:r>
    </w:p>
    <w:p w:rsidR="0072435D" w:rsidRPr="008C1964" w:rsidRDefault="0072435D" w:rsidP="0072435D">
      <w:pPr>
        <w:rPr>
          <w:rFonts w:ascii="Arial" w:hAnsi="Arial"/>
        </w:rPr>
      </w:pPr>
    </w:p>
    <w:p w:rsidR="0072435D" w:rsidRDefault="0072435D" w:rsidP="0072435D">
      <w:pPr>
        <w:rPr>
          <w:rFonts w:ascii="Arial" w:hAnsi="Arial"/>
        </w:rPr>
      </w:pPr>
      <w:r>
        <w:rPr>
          <w:rFonts w:ascii="Arial" w:hAnsi="Arial"/>
        </w:rPr>
        <w:t>Commission No. ___________________________</w:t>
      </w:r>
    </w:p>
    <w:p w:rsidR="0072435D" w:rsidRDefault="0072435D" w:rsidP="0072435D">
      <w:pPr>
        <w:rPr>
          <w:rFonts w:ascii="Arial" w:hAnsi="Arial"/>
        </w:rPr>
      </w:pPr>
    </w:p>
    <w:p w:rsidR="0072435D" w:rsidRDefault="0072435D" w:rsidP="0072435D">
      <w:pPr>
        <w:rPr>
          <w:rFonts w:ascii="Arial" w:hAnsi="Arial"/>
        </w:rPr>
      </w:pPr>
      <w:r>
        <w:rPr>
          <w:rFonts w:ascii="Arial" w:hAnsi="Arial"/>
        </w:rPr>
        <w:t xml:space="preserve">My Commission </w:t>
      </w:r>
      <w:proofErr w:type="gramStart"/>
      <w:r>
        <w:rPr>
          <w:rFonts w:ascii="Arial" w:hAnsi="Arial"/>
        </w:rPr>
        <w:t>Expires</w:t>
      </w:r>
      <w:proofErr w:type="gramEnd"/>
      <w:r>
        <w:rPr>
          <w:rFonts w:ascii="Arial" w:hAnsi="Arial"/>
        </w:rPr>
        <w:t xml:space="preserve"> _____________________</w:t>
      </w:r>
    </w:p>
    <w:p w:rsidR="0072435D" w:rsidRDefault="0072435D">
      <w:pPr>
        <w:rPr>
          <w:rFonts w:ascii="Arial" w:hAnsi="Arial"/>
        </w:rPr>
      </w:pPr>
      <w:r>
        <w:rPr>
          <w:rFonts w:ascii="Arial" w:hAnsi="Arial"/>
        </w:rPr>
        <w:br w:type="page"/>
      </w:r>
    </w:p>
    <w:p w:rsidR="0072435D" w:rsidRDefault="0072435D" w:rsidP="0072435D">
      <w:pPr>
        <w:rPr>
          <w:rFonts w:ascii="Arial" w:hAnsi="Arial"/>
        </w:rPr>
      </w:pPr>
    </w:p>
    <w:p w:rsidR="00361458" w:rsidRDefault="008B527D" w:rsidP="00361458">
      <w:pPr>
        <w:tabs>
          <w:tab w:val="left" w:pos="1440"/>
        </w:tabs>
        <w:ind w:left="4320"/>
        <w:rPr>
          <w:rFonts w:ascii="Arial" w:hAnsi="Arial"/>
        </w:rPr>
      </w:pPr>
      <w:r>
        <w:rPr>
          <w:rFonts w:ascii="Arial" w:hAnsi="Arial"/>
        </w:rPr>
        <w:t>Florida Public Service Commission</w:t>
      </w:r>
    </w:p>
    <w:p w:rsidR="00361458" w:rsidRDefault="008B527D" w:rsidP="00361458">
      <w:pPr>
        <w:tabs>
          <w:tab w:val="left" w:pos="1440"/>
        </w:tabs>
        <w:ind w:left="4320"/>
        <w:rPr>
          <w:rFonts w:ascii="Arial" w:hAnsi="Arial"/>
        </w:rPr>
      </w:pPr>
      <w:r>
        <w:rPr>
          <w:rFonts w:ascii="Arial" w:hAnsi="Arial"/>
        </w:rPr>
        <w:t>Docket No.: 110138-EI</w:t>
      </w:r>
    </w:p>
    <w:p w:rsidR="00361458" w:rsidRDefault="008B527D" w:rsidP="00361458">
      <w:pPr>
        <w:tabs>
          <w:tab w:val="left" w:pos="1440"/>
        </w:tabs>
        <w:ind w:left="4320"/>
        <w:rPr>
          <w:rFonts w:ascii="Arial" w:hAnsi="Arial"/>
        </w:rPr>
      </w:pPr>
      <w:r>
        <w:rPr>
          <w:rFonts w:ascii="Arial" w:hAnsi="Arial"/>
        </w:rPr>
        <w:t>GULF POWER COMPANY</w:t>
      </w:r>
    </w:p>
    <w:p w:rsidR="00361458" w:rsidRDefault="008B527D" w:rsidP="00361458">
      <w:pPr>
        <w:tabs>
          <w:tab w:val="left" w:pos="1440"/>
        </w:tabs>
        <w:ind w:left="4320"/>
        <w:rPr>
          <w:rFonts w:ascii="Arial" w:hAnsi="Arial"/>
        </w:rPr>
      </w:pPr>
      <w:r>
        <w:rPr>
          <w:rFonts w:ascii="Arial" w:hAnsi="Arial"/>
        </w:rPr>
        <w:t>Witness:  C. J. Erickson</w:t>
      </w:r>
    </w:p>
    <w:p w:rsidR="00361458" w:rsidRDefault="008B527D" w:rsidP="00361458">
      <w:pPr>
        <w:tabs>
          <w:tab w:val="left" w:pos="1440"/>
        </w:tabs>
        <w:ind w:left="4320"/>
        <w:rPr>
          <w:rFonts w:ascii="Arial" w:hAnsi="Arial"/>
        </w:rPr>
      </w:pPr>
      <w:r>
        <w:rPr>
          <w:rFonts w:ascii="Arial" w:hAnsi="Arial"/>
        </w:rPr>
        <w:t>Exhibit No. ____ (CJE-1)</w:t>
      </w:r>
    </w:p>
    <w:p w:rsidR="00361458" w:rsidRDefault="008B527D" w:rsidP="00361458">
      <w:pPr>
        <w:tabs>
          <w:tab w:val="left" w:pos="1440"/>
        </w:tabs>
        <w:ind w:left="4320"/>
        <w:rPr>
          <w:rFonts w:ascii="Arial" w:hAnsi="Arial"/>
        </w:rPr>
      </w:pPr>
      <w:r>
        <w:rPr>
          <w:rFonts w:ascii="Arial" w:hAnsi="Arial"/>
        </w:rPr>
        <w:t>Schedule 1</w:t>
      </w:r>
    </w:p>
    <w:p w:rsidR="00361458" w:rsidRDefault="008B527D" w:rsidP="00361458">
      <w:pPr>
        <w:tabs>
          <w:tab w:val="left" w:pos="1440"/>
        </w:tabs>
        <w:ind w:left="4320"/>
        <w:rPr>
          <w:rFonts w:ascii="Arial" w:hAnsi="Arial"/>
          <w:sz w:val="20"/>
        </w:rPr>
      </w:pPr>
      <w:r>
        <w:rPr>
          <w:rFonts w:ascii="Arial" w:hAnsi="Arial"/>
        </w:rPr>
        <w:t>Page 1 of 2</w:t>
      </w:r>
    </w:p>
    <w:p w:rsidR="003E373B" w:rsidRDefault="003E373B" w:rsidP="003E373B">
      <w:pPr>
        <w:tabs>
          <w:tab w:val="left" w:pos="1440"/>
        </w:tabs>
        <w:rPr>
          <w:rFonts w:ascii="Arial" w:hAnsi="Arial"/>
        </w:rPr>
      </w:pPr>
    </w:p>
    <w:p w:rsidR="004A0E4D" w:rsidRDefault="004A0E4D" w:rsidP="003E373B">
      <w:pPr>
        <w:tabs>
          <w:tab w:val="left" w:pos="1440"/>
        </w:tabs>
        <w:rPr>
          <w:rFonts w:ascii="Arial" w:hAnsi="Arial"/>
        </w:rPr>
      </w:pPr>
    </w:p>
    <w:p w:rsidR="00DB2C5E" w:rsidRDefault="004A0E4D">
      <w:pPr>
        <w:tabs>
          <w:tab w:val="left" w:pos="1440"/>
        </w:tabs>
        <w:jc w:val="center"/>
        <w:rPr>
          <w:rFonts w:ascii="Arial" w:hAnsi="Arial"/>
        </w:rPr>
      </w:pPr>
      <w:r>
        <w:rPr>
          <w:rFonts w:ascii="Arial" w:hAnsi="Arial"/>
        </w:rPr>
        <w:t>Responsibility for Minimum Filing Requirements</w:t>
      </w:r>
    </w:p>
    <w:p w:rsidR="004A0E4D" w:rsidRDefault="004A0E4D" w:rsidP="003E373B">
      <w:pPr>
        <w:tabs>
          <w:tab w:val="left" w:pos="1440"/>
        </w:tabs>
        <w:rPr>
          <w:rFonts w:ascii="Arial" w:hAnsi="Arial"/>
        </w:rPr>
      </w:pPr>
    </w:p>
    <w:p w:rsidR="003E373B" w:rsidRDefault="004A0E4D" w:rsidP="003E373B">
      <w:pPr>
        <w:spacing w:line="480" w:lineRule="atLeast"/>
        <w:ind w:left="720" w:hanging="540"/>
        <w:rPr>
          <w:rFonts w:ascii="Arial" w:hAnsi="Arial"/>
        </w:rPr>
      </w:pPr>
      <w:r>
        <w:rPr>
          <w:rFonts w:ascii="Arial" w:hAnsi="Arial"/>
          <w:u w:val="single"/>
        </w:rPr>
        <w:t>Schedule</w:t>
      </w:r>
      <w:r w:rsidR="003E373B">
        <w:rPr>
          <w:rFonts w:ascii="Arial" w:hAnsi="Arial"/>
        </w:rPr>
        <w:tab/>
      </w:r>
      <w:r w:rsidR="003E373B">
        <w:rPr>
          <w:rFonts w:ascii="Arial" w:hAnsi="Arial"/>
        </w:rPr>
        <w:tab/>
      </w:r>
      <w:r w:rsidR="003E373B">
        <w:rPr>
          <w:rFonts w:ascii="Arial" w:hAnsi="Arial"/>
        </w:rPr>
        <w:tab/>
      </w:r>
      <w:r w:rsidR="003E373B">
        <w:rPr>
          <w:rFonts w:ascii="Arial" w:hAnsi="Arial"/>
        </w:rPr>
        <w:tab/>
      </w:r>
      <w:r w:rsidR="003E373B">
        <w:rPr>
          <w:rFonts w:ascii="Arial" w:hAnsi="Arial"/>
          <w:u w:val="single"/>
        </w:rPr>
        <w:t>Title</w:t>
      </w:r>
    </w:p>
    <w:p w:rsidR="00226B88" w:rsidRDefault="00226B88" w:rsidP="003E373B">
      <w:pPr>
        <w:spacing w:line="480" w:lineRule="atLeast"/>
        <w:ind w:left="720" w:hanging="540"/>
        <w:rPr>
          <w:rFonts w:ascii="Arial" w:hAnsi="Arial"/>
        </w:rPr>
      </w:pPr>
      <w:r>
        <w:rPr>
          <w:rFonts w:ascii="Arial" w:hAnsi="Arial"/>
        </w:rPr>
        <w:t>B-4</w:t>
      </w:r>
      <w:proofErr w:type="gramStart"/>
      <w:r>
        <w:rPr>
          <w:rFonts w:ascii="Arial" w:hAnsi="Arial"/>
        </w:rPr>
        <w:tab/>
      </w:r>
      <w:r>
        <w:rPr>
          <w:rFonts w:ascii="Arial" w:hAnsi="Arial"/>
        </w:rPr>
        <w:tab/>
        <w:t>Two Year Historical Balance Sheet</w:t>
      </w:r>
      <w:proofErr w:type="gramEnd"/>
    </w:p>
    <w:p w:rsidR="003E373B" w:rsidRDefault="003E373B" w:rsidP="003E373B">
      <w:pPr>
        <w:spacing w:line="480" w:lineRule="atLeast"/>
        <w:ind w:left="720" w:hanging="540"/>
        <w:rPr>
          <w:rFonts w:ascii="Arial" w:hAnsi="Arial"/>
        </w:rPr>
      </w:pPr>
      <w:r>
        <w:rPr>
          <w:rFonts w:ascii="Arial" w:hAnsi="Arial"/>
        </w:rPr>
        <w:t>B-21</w:t>
      </w:r>
      <w:r>
        <w:rPr>
          <w:rFonts w:ascii="Arial" w:hAnsi="Arial"/>
        </w:rPr>
        <w:tab/>
      </w:r>
      <w:r>
        <w:rPr>
          <w:rFonts w:ascii="Arial" w:hAnsi="Arial"/>
        </w:rPr>
        <w:tab/>
        <w:t>Accumulated Provision Accounts- 228.1, 228.2 and 228.4</w:t>
      </w:r>
    </w:p>
    <w:p w:rsidR="003E373B" w:rsidRDefault="003E373B" w:rsidP="003E373B">
      <w:pPr>
        <w:spacing w:line="480" w:lineRule="atLeast"/>
        <w:ind w:left="720" w:hanging="540"/>
        <w:rPr>
          <w:rFonts w:ascii="Arial" w:hAnsi="Arial"/>
        </w:rPr>
      </w:pPr>
      <w:r>
        <w:rPr>
          <w:rFonts w:ascii="Arial" w:hAnsi="Arial"/>
        </w:rPr>
        <w:t>B-22</w:t>
      </w:r>
      <w:r>
        <w:rPr>
          <w:rFonts w:ascii="Arial" w:hAnsi="Arial"/>
        </w:rPr>
        <w:tab/>
      </w:r>
      <w:r>
        <w:rPr>
          <w:rFonts w:ascii="Arial" w:hAnsi="Arial"/>
        </w:rPr>
        <w:tab/>
        <w:t>Total Accumulated Deferred Income Taxes</w:t>
      </w:r>
    </w:p>
    <w:p w:rsidR="003E373B" w:rsidRDefault="003E373B" w:rsidP="003E373B">
      <w:pPr>
        <w:spacing w:line="480" w:lineRule="atLeast"/>
        <w:ind w:left="720" w:hanging="540"/>
        <w:rPr>
          <w:rFonts w:ascii="Arial" w:hAnsi="Arial"/>
        </w:rPr>
      </w:pPr>
      <w:r>
        <w:rPr>
          <w:rFonts w:ascii="Arial" w:hAnsi="Arial"/>
        </w:rPr>
        <w:t>B-23</w:t>
      </w:r>
      <w:r>
        <w:rPr>
          <w:rFonts w:ascii="Arial" w:hAnsi="Arial"/>
        </w:rPr>
        <w:tab/>
      </w:r>
      <w:r>
        <w:rPr>
          <w:rFonts w:ascii="Arial" w:hAnsi="Arial"/>
        </w:rPr>
        <w:tab/>
        <w:t>Investment Tax Credits – Annual Analysis</w:t>
      </w:r>
    </w:p>
    <w:p w:rsidR="00226B88" w:rsidRDefault="00226B88" w:rsidP="003E373B">
      <w:pPr>
        <w:spacing w:line="480" w:lineRule="atLeast"/>
        <w:ind w:left="720" w:hanging="540"/>
        <w:rPr>
          <w:rFonts w:ascii="Arial" w:hAnsi="Arial"/>
        </w:rPr>
      </w:pPr>
      <w:r>
        <w:rPr>
          <w:rFonts w:ascii="Arial" w:hAnsi="Arial"/>
        </w:rPr>
        <w:t>B-25</w:t>
      </w:r>
      <w:r>
        <w:rPr>
          <w:rFonts w:ascii="Arial" w:hAnsi="Arial"/>
        </w:rPr>
        <w:tab/>
      </w:r>
      <w:r>
        <w:rPr>
          <w:rFonts w:ascii="Arial" w:hAnsi="Arial"/>
        </w:rPr>
        <w:tab/>
        <w:t>Accounting Policy Changes Affecting Rate Base</w:t>
      </w:r>
    </w:p>
    <w:p w:rsidR="003E373B" w:rsidRDefault="003E373B" w:rsidP="003E373B">
      <w:pPr>
        <w:spacing w:line="480" w:lineRule="atLeast"/>
        <w:ind w:left="720" w:hanging="540"/>
        <w:rPr>
          <w:rFonts w:ascii="Arial" w:hAnsi="Arial"/>
        </w:rPr>
      </w:pPr>
      <w:r>
        <w:rPr>
          <w:rFonts w:ascii="Arial" w:hAnsi="Arial"/>
        </w:rPr>
        <w:t>C-6</w:t>
      </w:r>
      <w:r>
        <w:rPr>
          <w:rFonts w:ascii="Arial" w:hAnsi="Arial"/>
        </w:rPr>
        <w:tab/>
      </w:r>
      <w:r>
        <w:rPr>
          <w:rFonts w:ascii="Arial" w:hAnsi="Arial"/>
        </w:rPr>
        <w:tab/>
        <w:t>Budgeted Versus Actual Operating Revenues and Expenses</w:t>
      </w:r>
    </w:p>
    <w:p w:rsidR="003E373B" w:rsidRDefault="003E373B" w:rsidP="003E373B">
      <w:pPr>
        <w:spacing w:line="480" w:lineRule="atLeast"/>
        <w:ind w:left="720" w:hanging="540"/>
        <w:rPr>
          <w:rFonts w:ascii="Arial" w:hAnsi="Arial"/>
        </w:rPr>
      </w:pPr>
      <w:r>
        <w:rPr>
          <w:rFonts w:ascii="Arial" w:hAnsi="Arial"/>
        </w:rPr>
        <w:t>C-8</w:t>
      </w:r>
      <w:r>
        <w:rPr>
          <w:rFonts w:ascii="Arial" w:hAnsi="Arial"/>
        </w:rPr>
        <w:tab/>
      </w:r>
      <w:r>
        <w:rPr>
          <w:rFonts w:ascii="Arial" w:hAnsi="Arial"/>
        </w:rPr>
        <w:tab/>
        <w:t>Detail of Changes in Expenses</w:t>
      </w:r>
    </w:p>
    <w:p w:rsidR="003E373B" w:rsidRDefault="003E373B" w:rsidP="003E373B">
      <w:pPr>
        <w:spacing w:line="480" w:lineRule="atLeast"/>
        <w:ind w:left="720" w:hanging="540"/>
        <w:rPr>
          <w:rFonts w:ascii="Arial" w:hAnsi="Arial"/>
        </w:rPr>
      </w:pPr>
      <w:r>
        <w:rPr>
          <w:rFonts w:ascii="Arial" w:hAnsi="Arial"/>
        </w:rPr>
        <w:t>C-9</w:t>
      </w:r>
      <w:r>
        <w:rPr>
          <w:rFonts w:ascii="Arial" w:hAnsi="Arial"/>
        </w:rPr>
        <w:tab/>
      </w:r>
      <w:r>
        <w:rPr>
          <w:rFonts w:ascii="Arial" w:hAnsi="Arial"/>
        </w:rPr>
        <w:tab/>
        <w:t>Five Year Analysis – Change in Cost</w:t>
      </w:r>
    </w:p>
    <w:p w:rsidR="00A27A1E" w:rsidRDefault="00A27A1E" w:rsidP="003E373B">
      <w:pPr>
        <w:spacing w:line="480" w:lineRule="atLeast"/>
        <w:ind w:left="720" w:hanging="540"/>
        <w:rPr>
          <w:rFonts w:ascii="Arial" w:hAnsi="Arial"/>
        </w:rPr>
      </w:pPr>
      <w:r>
        <w:rPr>
          <w:rFonts w:ascii="Arial" w:hAnsi="Arial"/>
        </w:rPr>
        <w:t>C-10</w:t>
      </w:r>
      <w:r>
        <w:rPr>
          <w:rFonts w:ascii="Arial" w:hAnsi="Arial"/>
        </w:rPr>
        <w:tab/>
      </w:r>
      <w:r>
        <w:rPr>
          <w:rFonts w:ascii="Arial" w:hAnsi="Arial"/>
        </w:rPr>
        <w:tab/>
        <w:t>Detail of Rate Case Expenses for Outside Consultants</w:t>
      </w:r>
    </w:p>
    <w:p w:rsidR="00226B88" w:rsidRDefault="00226B88" w:rsidP="003E373B">
      <w:pPr>
        <w:spacing w:line="480" w:lineRule="atLeast"/>
        <w:ind w:left="720" w:hanging="540"/>
        <w:rPr>
          <w:rFonts w:ascii="Arial" w:hAnsi="Arial"/>
        </w:rPr>
      </w:pPr>
      <w:r>
        <w:rPr>
          <w:rFonts w:ascii="Arial" w:hAnsi="Arial"/>
        </w:rPr>
        <w:t>C-11</w:t>
      </w:r>
      <w:r>
        <w:rPr>
          <w:rFonts w:ascii="Arial" w:hAnsi="Arial"/>
        </w:rPr>
        <w:tab/>
      </w:r>
      <w:r>
        <w:rPr>
          <w:rFonts w:ascii="Arial" w:hAnsi="Arial"/>
        </w:rPr>
        <w:tab/>
        <w:t>Uncollectible Account</w:t>
      </w:r>
      <w:r w:rsidR="00B640A6">
        <w:rPr>
          <w:rFonts w:ascii="Arial" w:hAnsi="Arial"/>
        </w:rPr>
        <w:t>s</w:t>
      </w:r>
    </w:p>
    <w:p w:rsidR="00226B88" w:rsidRDefault="00226B88" w:rsidP="003E373B">
      <w:pPr>
        <w:spacing w:line="480" w:lineRule="atLeast"/>
        <w:ind w:left="720" w:hanging="540"/>
        <w:rPr>
          <w:rFonts w:ascii="Arial" w:hAnsi="Arial"/>
        </w:rPr>
      </w:pPr>
      <w:r>
        <w:rPr>
          <w:rFonts w:ascii="Arial" w:hAnsi="Arial"/>
        </w:rPr>
        <w:t>C-12</w:t>
      </w:r>
      <w:r>
        <w:rPr>
          <w:rFonts w:ascii="Arial" w:hAnsi="Arial"/>
        </w:rPr>
        <w:tab/>
      </w:r>
      <w:r>
        <w:rPr>
          <w:rFonts w:ascii="Arial" w:hAnsi="Arial"/>
        </w:rPr>
        <w:tab/>
        <w:t>Administrative Expenses</w:t>
      </w:r>
    </w:p>
    <w:p w:rsidR="003E373B" w:rsidRDefault="003E373B" w:rsidP="003E373B">
      <w:pPr>
        <w:spacing w:line="480" w:lineRule="atLeast"/>
        <w:ind w:left="720" w:hanging="540"/>
        <w:rPr>
          <w:rFonts w:ascii="Arial" w:hAnsi="Arial"/>
        </w:rPr>
      </w:pPr>
      <w:r>
        <w:rPr>
          <w:rFonts w:ascii="Arial" w:hAnsi="Arial"/>
        </w:rPr>
        <w:t>C-13</w:t>
      </w:r>
      <w:r>
        <w:rPr>
          <w:rFonts w:ascii="Arial" w:hAnsi="Arial"/>
        </w:rPr>
        <w:tab/>
      </w:r>
      <w:r>
        <w:rPr>
          <w:rFonts w:ascii="Arial" w:hAnsi="Arial"/>
        </w:rPr>
        <w:tab/>
        <w:t>Miscellaneous General Expenses</w:t>
      </w:r>
    </w:p>
    <w:p w:rsidR="002D0299" w:rsidRDefault="002D0299" w:rsidP="003E373B">
      <w:pPr>
        <w:spacing w:line="480" w:lineRule="atLeast"/>
        <w:ind w:left="720" w:hanging="540"/>
        <w:rPr>
          <w:rFonts w:ascii="Arial" w:hAnsi="Arial"/>
        </w:rPr>
      </w:pPr>
      <w:r>
        <w:rPr>
          <w:rFonts w:ascii="Arial" w:hAnsi="Arial"/>
        </w:rPr>
        <w:t>C-17</w:t>
      </w:r>
      <w:r>
        <w:rPr>
          <w:rFonts w:ascii="Arial" w:hAnsi="Arial"/>
        </w:rPr>
        <w:tab/>
      </w:r>
      <w:r>
        <w:rPr>
          <w:rFonts w:ascii="Arial" w:hAnsi="Arial"/>
        </w:rPr>
        <w:tab/>
        <w:t>Pension Cost</w:t>
      </w:r>
    </w:p>
    <w:p w:rsidR="00226B88" w:rsidRDefault="00226B88" w:rsidP="003E373B">
      <w:pPr>
        <w:spacing w:line="480" w:lineRule="atLeast"/>
        <w:ind w:left="720" w:hanging="540"/>
        <w:rPr>
          <w:rFonts w:ascii="Arial" w:hAnsi="Arial"/>
        </w:rPr>
      </w:pPr>
      <w:r>
        <w:rPr>
          <w:rFonts w:ascii="Arial" w:hAnsi="Arial"/>
        </w:rPr>
        <w:t>C-19</w:t>
      </w:r>
      <w:r>
        <w:rPr>
          <w:rFonts w:ascii="Arial" w:hAnsi="Arial"/>
        </w:rPr>
        <w:tab/>
      </w:r>
      <w:r>
        <w:rPr>
          <w:rFonts w:ascii="Arial" w:hAnsi="Arial"/>
        </w:rPr>
        <w:tab/>
        <w:t>Amortization/Recovery Schedule-12 Months</w:t>
      </w:r>
    </w:p>
    <w:p w:rsidR="003E373B" w:rsidRDefault="003E373B" w:rsidP="003E373B">
      <w:pPr>
        <w:spacing w:line="480" w:lineRule="atLeast"/>
        <w:ind w:left="720" w:hanging="540"/>
        <w:rPr>
          <w:rFonts w:ascii="Arial" w:hAnsi="Arial"/>
        </w:rPr>
      </w:pPr>
      <w:r>
        <w:rPr>
          <w:rFonts w:ascii="Arial" w:hAnsi="Arial"/>
        </w:rPr>
        <w:t>C-20</w:t>
      </w:r>
      <w:r>
        <w:rPr>
          <w:rFonts w:ascii="Arial" w:hAnsi="Arial"/>
        </w:rPr>
        <w:tab/>
      </w:r>
      <w:r>
        <w:rPr>
          <w:rFonts w:ascii="Arial" w:hAnsi="Arial"/>
        </w:rPr>
        <w:tab/>
        <w:t>Taxes Other than Income Taxes</w:t>
      </w:r>
    </w:p>
    <w:p w:rsidR="003E373B" w:rsidRDefault="003E373B" w:rsidP="003E373B">
      <w:pPr>
        <w:spacing w:line="480" w:lineRule="atLeast"/>
        <w:ind w:left="720" w:hanging="540"/>
        <w:rPr>
          <w:rFonts w:ascii="Arial" w:hAnsi="Arial"/>
        </w:rPr>
      </w:pPr>
      <w:r>
        <w:rPr>
          <w:rFonts w:ascii="Arial" w:hAnsi="Arial"/>
        </w:rPr>
        <w:t>C-21</w:t>
      </w:r>
      <w:r>
        <w:rPr>
          <w:rFonts w:ascii="Arial" w:hAnsi="Arial"/>
        </w:rPr>
        <w:tab/>
      </w:r>
      <w:r>
        <w:rPr>
          <w:rFonts w:ascii="Arial" w:hAnsi="Arial"/>
        </w:rPr>
        <w:tab/>
        <w:t>Revenue Taxes</w:t>
      </w:r>
    </w:p>
    <w:p w:rsidR="003E373B" w:rsidRDefault="003E373B" w:rsidP="00A27A1E">
      <w:pPr>
        <w:spacing w:line="480" w:lineRule="atLeast"/>
        <w:ind w:left="720" w:hanging="540"/>
        <w:rPr>
          <w:rFonts w:ascii="Arial" w:hAnsi="Arial"/>
        </w:rPr>
      </w:pPr>
      <w:r>
        <w:rPr>
          <w:rFonts w:ascii="Arial" w:hAnsi="Arial"/>
        </w:rPr>
        <w:t>C-22</w:t>
      </w:r>
      <w:r>
        <w:rPr>
          <w:rFonts w:ascii="Arial" w:hAnsi="Arial"/>
        </w:rPr>
        <w:tab/>
      </w:r>
      <w:r>
        <w:rPr>
          <w:rFonts w:ascii="Arial" w:hAnsi="Arial"/>
        </w:rPr>
        <w:tab/>
        <w:t>State and Federal Income Tax Calculation</w:t>
      </w:r>
    </w:p>
    <w:p w:rsidR="00963D95" w:rsidRDefault="00963D95" w:rsidP="003E373B">
      <w:pPr>
        <w:tabs>
          <w:tab w:val="left" w:pos="1440"/>
        </w:tabs>
        <w:rPr>
          <w:rFonts w:ascii="Arial" w:hAnsi="Arial"/>
          <w:sz w:val="20"/>
        </w:rPr>
        <w:sectPr w:rsidR="00963D95" w:rsidSect="00905321">
          <w:footerReference w:type="default" r:id="rId17"/>
          <w:footerReference w:type="first" r:id="rId18"/>
          <w:pgSz w:w="12240" w:h="15840" w:code="1"/>
          <w:pgMar w:top="1800" w:right="1440" w:bottom="1800" w:left="2160" w:header="720" w:footer="720" w:gutter="0"/>
          <w:cols w:space="720"/>
          <w:titlePg/>
          <w:docGrid w:linePitch="326"/>
        </w:sectPr>
      </w:pPr>
    </w:p>
    <w:p w:rsidR="003E373B" w:rsidRDefault="003E373B" w:rsidP="003E373B">
      <w:pPr>
        <w:tabs>
          <w:tab w:val="left" w:pos="1440"/>
        </w:tabs>
        <w:rPr>
          <w:rFonts w:ascii="Arial" w:hAnsi="Arial"/>
          <w:sz w:val="20"/>
        </w:rPr>
      </w:pPr>
      <w:r>
        <w:rPr>
          <w:rFonts w:ascii="Arial" w:hAnsi="Arial"/>
          <w:sz w:val="20"/>
        </w:rPr>
        <w:lastRenderedPageBreak/>
        <w:tab/>
      </w:r>
      <w:r>
        <w:rPr>
          <w:rFonts w:ascii="Arial" w:hAnsi="Arial"/>
          <w:sz w:val="20"/>
        </w:rPr>
        <w:tab/>
      </w:r>
      <w:r>
        <w:rPr>
          <w:rFonts w:ascii="Arial" w:hAnsi="Arial"/>
          <w:sz w:val="20"/>
        </w:rPr>
        <w:tab/>
      </w:r>
      <w:r>
        <w:rPr>
          <w:rFonts w:ascii="Arial" w:hAnsi="Arial"/>
          <w:sz w:val="20"/>
        </w:rPr>
        <w:tab/>
      </w:r>
      <w:r>
        <w:rPr>
          <w:rFonts w:ascii="Arial" w:hAnsi="Arial"/>
          <w:sz w:val="20"/>
        </w:rPr>
        <w:tab/>
      </w:r>
    </w:p>
    <w:p w:rsidR="00501586" w:rsidRDefault="00501586" w:rsidP="00501586">
      <w:pPr>
        <w:tabs>
          <w:tab w:val="left" w:pos="1440"/>
        </w:tabs>
        <w:ind w:left="4320"/>
        <w:rPr>
          <w:rFonts w:ascii="Arial" w:hAnsi="Arial"/>
        </w:rPr>
      </w:pPr>
      <w:r>
        <w:rPr>
          <w:rFonts w:ascii="Arial" w:hAnsi="Arial"/>
        </w:rPr>
        <w:t>Florida Public Service Commission</w:t>
      </w:r>
    </w:p>
    <w:p w:rsidR="00501586" w:rsidRDefault="00501586" w:rsidP="00501586">
      <w:pPr>
        <w:tabs>
          <w:tab w:val="left" w:pos="1440"/>
        </w:tabs>
        <w:ind w:left="4320"/>
        <w:rPr>
          <w:rFonts w:ascii="Arial" w:hAnsi="Arial"/>
        </w:rPr>
      </w:pPr>
      <w:r>
        <w:rPr>
          <w:rFonts w:ascii="Arial" w:hAnsi="Arial"/>
        </w:rPr>
        <w:t>Docket No.: 110138-EI</w:t>
      </w:r>
    </w:p>
    <w:p w:rsidR="00501586" w:rsidRDefault="00501586" w:rsidP="00501586">
      <w:pPr>
        <w:tabs>
          <w:tab w:val="left" w:pos="1440"/>
        </w:tabs>
        <w:ind w:left="4320"/>
        <w:rPr>
          <w:rFonts w:ascii="Arial" w:hAnsi="Arial"/>
        </w:rPr>
      </w:pPr>
      <w:r>
        <w:rPr>
          <w:rFonts w:ascii="Arial" w:hAnsi="Arial"/>
        </w:rPr>
        <w:t>GULF POWER COMPANY</w:t>
      </w:r>
    </w:p>
    <w:p w:rsidR="00501586" w:rsidRDefault="00501586" w:rsidP="00501586">
      <w:pPr>
        <w:tabs>
          <w:tab w:val="left" w:pos="1440"/>
        </w:tabs>
        <w:ind w:left="4320"/>
        <w:rPr>
          <w:rFonts w:ascii="Arial" w:hAnsi="Arial"/>
        </w:rPr>
      </w:pPr>
      <w:r>
        <w:rPr>
          <w:rFonts w:ascii="Arial" w:hAnsi="Arial"/>
        </w:rPr>
        <w:t>Witness:  C. J. Erickson</w:t>
      </w:r>
    </w:p>
    <w:p w:rsidR="00501586" w:rsidRDefault="00501586" w:rsidP="00501586">
      <w:pPr>
        <w:tabs>
          <w:tab w:val="left" w:pos="1440"/>
        </w:tabs>
        <w:ind w:left="4320"/>
        <w:rPr>
          <w:rFonts w:ascii="Arial" w:hAnsi="Arial"/>
        </w:rPr>
      </w:pPr>
      <w:r>
        <w:rPr>
          <w:rFonts w:ascii="Arial" w:hAnsi="Arial"/>
        </w:rPr>
        <w:t>Exhibit No. ____ (CJE-1)</w:t>
      </w:r>
    </w:p>
    <w:p w:rsidR="00501586" w:rsidRDefault="00501586" w:rsidP="00501586">
      <w:pPr>
        <w:tabs>
          <w:tab w:val="left" w:pos="1440"/>
        </w:tabs>
        <w:ind w:left="4320"/>
        <w:rPr>
          <w:rFonts w:ascii="Arial" w:hAnsi="Arial"/>
        </w:rPr>
      </w:pPr>
      <w:r>
        <w:rPr>
          <w:rFonts w:ascii="Arial" w:hAnsi="Arial"/>
        </w:rPr>
        <w:t>Schedule 1</w:t>
      </w:r>
    </w:p>
    <w:p w:rsidR="00501586" w:rsidRDefault="00501586" w:rsidP="00501586">
      <w:pPr>
        <w:tabs>
          <w:tab w:val="left" w:pos="1440"/>
        </w:tabs>
        <w:ind w:left="4320"/>
        <w:rPr>
          <w:rFonts w:ascii="Arial" w:hAnsi="Arial"/>
          <w:sz w:val="20"/>
        </w:rPr>
      </w:pPr>
      <w:r>
        <w:rPr>
          <w:rFonts w:ascii="Arial" w:hAnsi="Arial"/>
        </w:rPr>
        <w:t>Page 2 of 2</w:t>
      </w:r>
    </w:p>
    <w:p w:rsidR="003E373B" w:rsidRPr="000C5DE9" w:rsidRDefault="003E373B" w:rsidP="00501586">
      <w:pPr>
        <w:tabs>
          <w:tab w:val="left" w:pos="1440"/>
        </w:tabs>
        <w:rPr>
          <w:rFonts w:ascii="Arial" w:hAnsi="Arial"/>
          <w:sz w:val="20"/>
        </w:rPr>
      </w:pPr>
    </w:p>
    <w:p w:rsidR="003E373B" w:rsidRDefault="003E373B" w:rsidP="003E373B">
      <w:pPr>
        <w:spacing w:line="480" w:lineRule="atLeast"/>
        <w:ind w:left="720" w:hanging="540"/>
        <w:rPr>
          <w:rFonts w:ascii="Arial" w:hAnsi="Arial"/>
        </w:rPr>
      </w:pPr>
    </w:p>
    <w:p w:rsidR="004A0E4D" w:rsidRDefault="004A0E4D" w:rsidP="004A0E4D">
      <w:pPr>
        <w:tabs>
          <w:tab w:val="left" w:pos="1440"/>
        </w:tabs>
        <w:jc w:val="center"/>
        <w:rPr>
          <w:rFonts w:ascii="Arial" w:hAnsi="Arial"/>
        </w:rPr>
      </w:pPr>
      <w:r>
        <w:rPr>
          <w:rFonts w:ascii="Arial" w:hAnsi="Arial"/>
        </w:rPr>
        <w:t>Responsibility for Minimum Filing Requirements</w:t>
      </w:r>
    </w:p>
    <w:p w:rsidR="004A0E4D" w:rsidRDefault="004A0E4D" w:rsidP="004A0E4D">
      <w:pPr>
        <w:tabs>
          <w:tab w:val="left" w:pos="1440"/>
        </w:tabs>
        <w:rPr>
          <w:rFonts w:ascii="Arial" w:hAnsi="Arial"/>
        </w:rPr>
      </w:pPr>
    </w:p>
    <w:p w:rsidR="004A0E4D" w:rsidRDefault="004A0E4D" w:rsidP="004A0E4D">
      <w:pPr>
        <w:spacing w:line="480" w:lineRule="atLeast"/>
        <w:ind w:left="720" w:hanging="540"/>
        <w:rPr>
          <w:rFonts w:ascii="Arial" w:hAnsi="Arial"/>
        </w:rPr>
      </w:pPr>
      <w:r>
        <w:rPr>
          <w:rFonts w:ascii="Arial" w:hAnsi="Arial"/>
          <w:u w:val="single"/>
        </w:rPr>
        <w:t>Schedule</w:t>
      </w:r>
      <w:r>
        <w:rPr>
          <w:rFonts w:ascii="Arial" w:hAnsi="Arial"/>
        </w:rPr>
        <w:tab/>
      </w:r>
      <w:r>
        <w:rPr>
          <w:rFonts w:ascii="Arial" w:hAnsi="Arial"/>
        </w:rPr>
        <w:tab/>
      </w:r>
      <w:r>
        <w:rPr>
          <w:rFonts w:ascii="Arial" w:hAnsi="Arial"/>
        </w:rPr>
        <w:tab/>
      </w:r>
      <w:r>
        <w:rPr>
          <w:rFonts w:ascii="Arial" w:hAnsi="Arial"/>
        </w:rPr>
        <w:tab/>
      </w:r>
      <w:r>
        <w:rPr>
          <w:rFonts w:ascii="Arial" w:hAnsi="Arial"/>
          <w:u w:val="single"/>
        </w:rPr>
        <w:t>Title</w:t>
      </w:r>
    </w:p>
    <w:p w:rsidR="00A27A1E" w:rsidRDefault="00A27A1E" w:rsidP="00A27A1E">
      <w:pPr>
        <w:spacing w:line="480" w:lineRule="atLeast"/>
        <w:ind w:left="720" w:hanging="540"/>
        <w:rPr>
          <w:rFonts w:ascii="Arial" w:hAnsi="Arial"/>
        </w:rPr>
      </w:pPr>
      <w:r>
        <w:rPr>
          <w:rFonts w:ascii="Arial" w:hAnsi="Arial"/>
        </w:rPr>
        <w:t>C-25</w:t>
      </w:r>
      <w:r>
        <w:rPr>
          <w:rFonts w:ascii="Arial" w:hAnsi="Arial"/>
        </w:rPr>
        <w:tab/>
      </w:r>
      <w:r>
        <w:rPr>
          <w:rFonts w:ascii="Arial" w:hAnsi="Arial"/>
        </w:rPr>
        <w:tab/>
        <w:t>Deferred Tax Adjustment</w:t>
      </w:r>
    </w:p>
    <w:p w:rsidR="004A0E4D" w:rsidRDefault="004A0E4D" w:rsidP="004A0E4D">
      <w:pPr>
        <w:spacing w:line="480" w:lineRule="atLeast"/>
        <w:ind w:left="720" w:hanging="540"/>
        <w:rPr>
          <w:rFonts w:ascii="Arial" w:hAnsi="Arial"/>
        </w:rPr>
      </w:pPr>
      <w:r>
        <w:rPr>
          <w:rFonts w:ascii="Arial" w:hAnsi="Arial"/>
        </w:rPr>
        <w:t>C-26</w:t>
      </w:r>
      <w:r>
        <w:rPr>
          <w:rFonts w:ascii="Arial" w:hAnsi="Arial"/>
        </w:rPr>
        <w:tab/>
      </w:r>
      <w:r>
        <w:rPr>
          <w:rFonts w:ascii="Arial" w:hAnsi="Arial"/>
        </w:rPr>
        <w:tab/>
        <w:t>Income Tax Returns</w:t>
      </w:r>
    </w:p>
    <w:p w:rsidR="00226B88" w:rsidRDefault="00226B88" w:rsidP="00226B88">
      <w:pPr>
        <w:spacing w:line="480" w:lineRule="atLeast"/>
        <w:ind w:left="720" w:hanging="540"/>
        <w:rPr>
          <w:rFonts w:ascii="Arial" w:hAnsi="Arial"/>
        </w:rPr>
      </w:pPr>
      <w:r>
        <w:rPr>
          <w:rFonts w:ascii="Arial" w:hAnsi="Arial"/>
        </w:rPr>
        <w:t>C-27</w:t>
      </w:r>
      <w:r>
        <w:rPr>
          <w:rFonts w:ascii="Arial" w:hAnsi="Arial"/>
        </w:rPr>
        <w:tab/>
      </w:r>
      <w:r>
        <w:rPr>
          <w:rFonts w:ascii="Arial" w:hAnsi="Arial"/>
        </w:rPr>
        <w:tab/>
        <w:t>Consolidated Tax Information</w:t>
      </w:r>
    </w:p>
    <w:p w:rsidR="00226B88" w:rsidRDefault="00226B88" w:rsidP="00226B88">
      <w:pPr>
        <w:spacing w:line="480" w:lineRule="atLeast"/>
        <w:ind w:left="720" w:hanging="540"/>
        <w:rPr>
          <w:rFonts w:ascii="Arial" w:hAnsi="Arial"/>
        </w:rPr>
      </w:pPr>
      <w:r>
        <w:rPr>
          <w:rFonts w:ascii="Arial" w:hAnsi="Arial"/>
        </w:rPr>
        <w:t>C-28</w:t>
      </w:r>
      <w:r>
        <w:rPr>
          <w:rFonts w:ascii="Arial" w:hAnsi="Arial"/>
        </w:rPr>
        <w:tab/>
      </w:r>
      <w:r>
        <w:rPr>
          <w:rFonts w:ascii="Arial" w:hAnsi="Arial"/>
        </w:rPr>
        <w:tab/>
        <w:t>Miscellaneous Tax Information</w:t>
      </w:r>
    </w:p>
    <w:p w:rsidR="00226B88" w:rsidRDefault="00226B88" w:rsidP="00226B88">
      <w:pPr>
        <w:spacing w:line="480" w:lineRule="atLeast"/>
        <w:ind w:left="720" w:hanging="540"/>
        <w:rPr>
          <w:rFonts w:ascii="Arial" w:hAnsi="Arial"/>
        </w:rPr>
      </w:pPr>
      <w:r>
        <w:rPr>
          <w:rFonts w:ascii="Arial" w:hAnsi="Arial"/>
        </w:rPr>
        <w:t>C-29</w:t>
      </w:r>
      <w:r>
        <w:rPr>
          <w:rFonts w:ascii="Arial" w:hAnsi="Arial"/>
        </w:rPr>
        <w:tab/>
      </w:r>
      <w:r>
        <w:rPr>
          <w:rFonts w:ascii="Arial" w:hAnsi="Arial"/>
        </w:rPr>
        <w:tab/>
        <w:t>Gains and Losses on Disposition of Plant and Property</w:t>
      </w:r>
    </w:p>
    <w:p w:rsidR="00226B88" w:rsidRDefault="00226B88" w:rsidP="00226B88">
      <w:pPr>
        <w:spacing w:line="480" w:lineRule="atLeast"/>
        <w:ind w:left="720" w:hanging="540"/>
        <w:rPr>
          <w:rFonts w:ascii="Arial" w:hAnsi="Arial"/>
        </w:rPr>
      </w:pPr>
      <w:r>
        <w:rPr>
          <w:rFonts w:ascii="Arial" w:hAnsi="Arial"/>
        </w:rPr>
        <w:t>C-30</w:t>
      </w:r>
      <w:r>
        <w:rPr>
          <w:rFonts w:ascii="Arial" w:hAnsi="Arial"/>
        </w:rPr>
        <w:tab/>
      </w:r>
      <w:r>
        <w:rPr>
          <w:rFonts w:ascii="Arial" w:hAnsi="Arial"/>
        </w:rPr>
        <w:tab/>
        <w:t>Transactions with Affiliated Companies</w:t>
      </w:r>
    </w:p>
    <w:p w:rsidR="00226B88" w:rsidRDefault="00226B88" w:rsidP="00226B88">
      <w:pPr>
        <w:spacing w:line="480" w:lineRule="atLeast"/>
        <w:ind w:left="720" w:hanging="540"/>
        <w:rPr>
          <w:rFonts w:ascii="Arial" w:hAnsi="Arial"/>
        </w:rPr>
      </w:pPr>
      <w:r>
        <w:rPr>
          <w:rFonts w:ascii="Arial" w:hAnsi="Arial"/>
        </w:rPr>
        <w:t>C-31</w:t>
      </w:r>
      <w:r>
        <w:rPr>
          <w:rFonts w:ascii="Arial" w:hAnsi="Arial"/>
        </w:rPr>
        <w:tab/>
      </w:r>
      <w:r>
        <w:rPr>
          <w:rFonts w:ascii="Arial" w:hAnsi="Arial"/>
        </w:rPr>
        <w:tab/>
        <w:t>Affiliated Company Relationships</w:t>
      </w:r>
    </w:p>
    <w:p w:rsidR="002D0299" w:rsidRDefault="002D0299" w:rsidP="00226B88">
      <w:pPr>
        <w:spacing w:line="480" w:lineRule="atLeast"/>
        <w:ind w:left="720" w:hanging="540"/>
        <w:rPr>
          <w:rFonts w:ascii="Arial" w:hAnsi="Arial"/>
        </w:rPr>
      </w:pPr>
      <w:r>
        <w:rPr>
          <w:rFonts w:ascii="Arial" w:hAnsi="Arial"/>
        </w:rPr>
        <w:t>C-35</w:t>
      </w:r>
      <w:r>
        <w:rPr>
          <w:rFonts w:ascii="Arial" w:hAnsi="Arial"/>
        </w:rPr>
        <w:tab/>
      </w:r>
      <w:r>
        <w:rPr>
          <w:rFonts w:ascii="Arial" w:hAnsi="Arial"/>
        </w:rPr>
        <w:tab/>
        <w:t>Payroll and Fringe Benefit Increases Compared to CPI</w:t>
      </w:r>
    </w:p>
    <w:p w:rsidR="00226B88" w:rsidRDefault="00226B88" w:rsidP="00226B88">
      <w:pPr>
        <w:spacing w:line="480" w:lineRule="atLeast"/>
        <w:ind w:left="720" w:hanging="540"/>
        <w:rPr>
          <w:rFonts w:ascii="Arial" w:hAnsi="Arial"/>
        </w:rPr>
      </w:pPr>
      <w:r>
        <w:rPr>
          <w:rFonts w:ascii="Arial" w:hAnsi="Arial"/>
        </w:rPr>
        <w:t>C-41</w:t>
      </w:r>
      <w:r>
        <w:rPr>
          <w:rFonts w:ascii="Arial" w:hAnsi="Arial"/>
        </w:rPr>
        <w:tab/>
      </w:r>
      <w:r>
        <w:rPr>
          <w:rFonts w:ascii="Arial" w:hAnsi="Arial"/>
        </w:rPr>
        <w:tab/>
        <w:t>O&amp;M Benchmark Variance by Function</w:t>
      </w:r>
    </w:p>
    <w:p w:rsidR="00E71127" w:rsidRDefault="00E71127" w:rsidP="00226B88">
      <w:pPr>
        <w:spacing w:line="480" w:lineRule="atLeast"/>
        <w:ind w:left="720" w:hanging="540"/>
        <w:rPr>
          <w:rFonts w:ascii="Arial" w:hAnsi="Arial"/>
        </w:rPr>
      </w:pPr>
      <w:r>
        <w:rPr>
          <w:rFonts w:ascii="Arial" w:hAnsi="Arial"/>
        </w:rPr>
        <w:t>C-43</w:t>
      </w:r>
      <w:r>
        <w:rPr>
          <w:rFonts w:ascii="Arial" w:hAnsi="Arial"/>
        </w:rPr>
        <w:tab/>
      </w:r>
      <w:r>
        <w:rPr>
          <w:rFonts w:ascii="Arial" w:hAnsi="Arial"/>
        </w:rPr>
        <w:tab/>
        <w:t>Security Costs</w:t>
      </w:r>
    </w:p>
    <w:p w:rsidR="00E71127" w:rsidRDefault="00E71127" w:rsidP="00226B88">
      <w:pPr>
        <w:spacing w:line="480" w:lineRule="atLeast"/>
        <w:ind w:left="720" w:hanging="540"/>
        <w:rPr>
          <w:rFonts w:ascii="Arial" w:hAnsi="Arial"/>
        </w:rPr>
      </w:pPr>
      <w:r>
        <w:rPr>
          <w:rFonts w:ascii="Arial" w:hAnsi="Arial"/>
        </w:rPr>
        <w:t>F-1</w:t>
      </w:r>
      <w:r>
        <w:rPr>
          <w:rFonts w:ascii="Arial" w:hAnsi="Arial"/>
        </w:rPr>
        <w:tab/>
      </w:r>
      <w:r>
        <w:rPr>
          <w:rFonts w:ascii="Arial" w:hAnsi="Arial"/>
        </w:rPr>
        <w:tab/>
        <w:t>Annual and Quarterly Reports to Shareholders</w:t>
      </w:r>
    </w:p>
    <w:p w:rsidR="00963D95" w:rsidRDefault="00E71127" w:rsidP="00963D95">
      <w:pPr>
        <w:spacing w:line="480" w:lineRule="atLeast"/>
        <w:ind w:left="720" w:hanging="540"/>
        <w:rPr>
          <w:rFonts w:ascii="Arial" w:hAnsi="Arial"/>
        </w:rPr>
      </w:pPr>
      <w:r>
        <w:rPr>
          <w:rFonts w:ascii="Arial" w:hAnsi="Arial"/>
        </w:rPr>
        <w:t>F-2</w:t>
      </w:r>
      <w:r>
        <w:rPr>
          <w:rFonts w:ascii="Arial" w:hAnsi="Arial"/>
        </w:rPr>
        <w:tab/>
      </w:r>
      <w:r>
        <w:rPr>
          <w:rFonts w:ascii="Arial" w:hAnsi="Arial"/>
        </w:rPr>
        <w:tab/>
        <w:t>SEC Reports</w:t>
      </w:r>
    </w:p>
    <w:p w:rsidR="008B527D" w:rsidRDefault="003E373B" w:rsidP="00963D95">
      <w:pPr>
        <w:spacing w:line="480" w:lineRule="atLeast"/>
        <w:ind w:left="720" w:hanging="540"/>
        <w:rPr>
          <w:rFonts w:ascii="Arial" w:hAnsi="Arial"/>
        </w:rPr>
      </w:pPr>
      <w:r>
        <w:rPr>
          <w:rFonts w:ascii="Arial" w:hAnsi="Arial"/>
        </w:rPr>
        <w:t>F-8</w:t>
      </w:r>
      <w:r>
        <w:rPr>
          <w:rFonts w:ascii="Arial" w:hAnsi="Arial"/>
        </w:rPr>
        <w:tab/>
      </w:r>
      <w:r>
        <w:rPr>
          <w:rFonts w:ascii="Arial" w:hAnsi="Arial"/>
        </w:rPr>
        <w:tab/>
        <w:t>Assumptions</w:t>
      </w:r>
    </w:p>
    <w:p w:rsidR="00FE7BAA" w:rsidRDefault="00FE7BAA" w:rsidP="008B527D">
      <w:pPr>
        <w:rPr>
          <w:rFonts w:ascii="Arial" w:hAnsi="Arial"/>
        </w:rPr>
        <w:sectPr w:rsidR="00FE7BAA" w:rsidSect="00905321">
          <w:pgSz w:w="12240" w:h="15840" w:code="1"/>
          <w:pgMar w:top="1800" w:right="1440" w:bottom="1800" w:left="2160" w:header="720" w:footer="720" w:gutter="0"/>
          <w:cols w:space="720"/>
          <w:titlePg/>
          <w:docGrid w:linePitch="326"/>
        </w:sectPr>
      </w:pPr>
    </w:p>
    <w:p w:rsidR="003070BE" w:rsidRDefault="00E477D6" w:rsidP="00EE69DE">
      <w:pPr>
        <w:tabs>
          <w:tab w:val="left" w:pos="1440"/>
        </w:tabs>
        <w:rPr>
          <w:rFonts w:ascii="Arial" w:hAnsi="Arial"/>
          <w:sz w:val="20"/>
        </w:rPr>
        <w:sectPr w:rsidR="003070BE" w:rsidSect="005735FD">
          <w:pgSz w:w="15840" w:h="12240" w:orient="landscape" w:code="1"/>
          <w:pgMar w:top="2160" w:right="1440" w:bottom="1440" w:left="1440" w:header="720" w:footer="720" w:gutter="0"/>
          <w:cols w:space="720"/>
          <w:titlePg/>
          <w:docGrid w:linePitch="326"/>
        </w:sectPr>
      </w:pPr>
      <w:r w:rsidRPr="00E477D6">
        <w:rPr>
          <w:noProof/>
        </w:rPr>
        <w:lastRenderedPageBreak/>
        <w:drawing>
          <wp:inline distT="0" distB="0" distL="0" distR="0">
            <wp:extent cx="7639050" cy="494347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a:stretch>
                      <a:fillRect/>
                    </a:stretch>
                  </pic:blipFill>
                  <pic:spPr bwMode="auto">
                    <a:xfrm>
                      <a:off x="0" y="0"/>
                      <a:ext cx="7639050" cy="4943475"/>
                    </a:xfrm>
                    <a:prstGeom prst="rect">
                      <a:avLst/>
                    </a:prstGeom>
                    <a:noFill/>
                    <a:ln w="9525">
                      <a:noFill/>
                      <a:miter lim="800000"/>
                      <a:headEnd/>
                      <a:tailEnd/>
                    </a:ln>
                  </pic:spPr>
                </pic:pic>
              </a:graphicData>
            </a:graphic>
          </wp:inline>
        </w:drawing>
      </w:r>
    </w:p>
    <w:p w:rsidR="000C770C" w:rsidRDefault="000C770C" w:rsidP="000C770C">
      <w:pPr>
        <w:tabs>
          <w:tab w:val="left" w:pos="1440"/>
        </w:tabs>
        <w:ind w:left="4320"/>
        <w:rPr>
          <w:rFonts w:ascii="Arial" w:hAnsi="Arial"/>
        </w:rPr>
      </w:pPr>
      <w:r>
        <w:rPr>
          <w:rFonts w:ascii="Arial" w:hAnsi="Arial"/>
        </w:rPr>
        <w:lastRenderedPageBreak/>
        <w:t>Florida Public Service Commission</w:t>
      </w:r>
    </w:p>
    <w:p w:rsidR="000C770C" w:rsidRDefault="000C770C" w:rsidP="000C770C">
      <w:pPr>
        <w:tabs>
          <w:tab w:val="left" w:pos="1440"/>
        </w:tabs>
        <w:ind w:left="4320"/>
        <w:rPr>
          <w:rFonts w:ascii="Arial" w:hAnsi="Arial"/>
        </w:rPr>
      </w:pPr>
      <w:r>
        <w:rPr>
          <w:rFonts w:ascii="Arial" w:hAnsi="Arial"/>
        </w:rPr>
        <w:t>Docket No.: 110138-EI</w:t>
      </w:r>
    </w:p>
    <w:p w:rsidR="000C770C" w:rsidRDefault="000C770C" w:rsidP="000C770C">
      <w:pPr>
        <w:tabs>
          <w:tab w:val="left" w:pos="1440"/>
        </w:tabs>
        <w:ind w:left="4320"/>
        <w:rPr>
          <w:rFonts w:ascii="Arial" w:hAnsi="Arial"/>
        </w:rPr>
      </w:pPr>
      <w:r>
        <w:rPr>
          <w:rFonts w:ascii="Arial" w:hAnsi="Arial"/>
        </w:rPr>
        <w:t>GULF POWER COMPANY</w:t>
      </w:r>
    </w:p>
    <w:p w:rsidR="000C770C" w:rsidRDefault="000C770C" w:rsidP="000C770C">
      <w:pPr>
        <w:tabs>
          <w:tab w:val="left" w:pos="1440"/>
        </w:tabs>
        <w:ind w:left="4320"/>
        <w:rPr>
          <w:rFonts w:ascii="Arial" w:hAnsi="Arial"/>
        </w:rPr>
      </w:pPr>
      <w:r>
        <w:rPr>
          <w:rFonts w:ascii="Arial" w:hAnsi="Arial"/>
        </w:rPr>
        <w:t>Witness:  C. J. Erickson</w:t>
      </w:r>
    </w:p>
    <w:p w:rsidR="000C770C" w:rsidRDefault="000C770C" w:rsidP="000C770C">
      <w:pPr>
        <w:tabs>
          <w:tab w:val="left" w:pos="1440"/>
        </w:tabs>
        <w:ind w:left="4320"/>
        <w:rPr>
          <w:rFonts w:ascii="Arial" w:hAnsi="Arial"/>
        </w:rPr>
      </w:pPr>
      <w:r>
        <w:rPr>
          <w:rFonts w:ascii="Arial" w:hAnsi="Arial"/>
        </w:rPr>
        <w:t>Exhibit No. ____ (CJE-1)</w:t>
      </w:r>
    </w:p>
    <w:p w:rsidR="000C770C" w:rsidRDefault="000C770C" w:rsidP="000C770C">
      <w:pPr>
        <w:tabs>
          <w:tab w:val="left" w:pos="1440"/>
        </w:tabs>
        <w:ind w:left="4320"/>
        <w:rPr>
          <w:rFonts w:ascii="Arial" w:hAnsi="Arial"/>
        </w:rPr>
      </w:pPr>
      <w:r>
        <w:rPr>
          <w:rFonts w:ascii="Arial" w:hAnsi="Arial"/>
        </w:rPr>
        <w:t xml:space="preserve">Schedule </w:t>
      </w:r>
      <w:r w:rsidR="00101BA5">
        <w:rPr>
          <w:rFonts w:ascii="Arial" w:hAnsi="Arial"/>
        </w:rPr>
        <w:t>3</w:t>
      </w:r>
    </w:p>
    <w:p w:rsidR="000C770C" w:rsidRDefault="000C770C" w:rsidP="000C770C">
      <w:pPr>
        <w:tabs>
          <w:tab w:val="left" w:pos="1440"/>
        </w:tabs>
        <w:ind w:left="4320"/>
        <w:rPr>
          <w:rFonts w:ascii="Arial" w:hAnsi="Arial"/>
        </w:rPr>
      </w:pPr>
      <w:r>
        <w:rPr>
          <w:rFonts w:ascii="Arial" w:hAnsi="Arial"/>
        </w:rPr>
        <w:t xml:space="preserve">Page </w:t>
      </w:r>
      <w:r w:rsidR="00101BA5">
        <w:rPr>
          <w:rFonts w:ascii="Arial" w:hAnsi="Arial"/>
        </w:rPr>
        <w:t>1</w:t>
      </w:r>
      <w:r>
        <w:rPr>
          <w:rFonts w:ascii="Arial" w:hAnsi="Arial"/>
        </w:rPr>
        <w:t xml:space="preserve"> of </w:t>
      </w:r>
      <w:r w:rsidR="00715FC5">
        <w:rPr>
          <w:rFonts w:ascii="Arial" w:hAnsi="Arial"/>
        </w:rPr>
        <w:t>1</w:t>
      </w:r>
    </w:p>
    <w:p w:rsidR="00101BA5" w:rsidRDefault="00101BA5" w:rsidP="000C770C">
      <w:pPr>
        <w:tabs>
          <w:tab w:val="left" w:pos="1440"/>
        </w:tabs>
        <w:ind w:left="4320"/>
        <w:rPr>
          <w:rFonts w:ascii="Arial" w:hAnsi="Arial"/>
          <w:sz w:val="20"/>
        </w:rPr>
      </w:pPr>
    </w:p>
    <w:p w:rsidR="003E373B" w:rsidRDefault="00A70F8A" w:rsidP="003E373B">
      <w:pPr>
        <w:tabs>
          <w:tab w:val="left" w:pos="1440"/>
        </w:tabs>
        <w:rPr>
          <w:rFonts w:ascii="Arial" w:hAnsi="Arial"/>
          <w:sz w:val="20"/>
        </w:rPr>
      </w:pPr>
      <w:r w:rsidRPr="00A70F8A">
        <w:rPr>
          <w:noProof/>
        </w:rPr>
        <w:drawing>
          <wp:inline distT="0" distB="0" distL="0" distR="0">
            <wp:extent cx="5486400" cy="5295900"/>
            <wp:effectExtent l="1905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srcRect/>
                    <a:stretch>
                      <a:fillRect/>
                    </a:stretch>
                  </pic:blipFill>
                  <pic:spPr bwMode="auto">
                    <a:xfrm>
                      <a:off x="0" y="0"/>
                      <a:ext cx="5486400" cy="5295900"/>
                    </a:xfrm>
                    <a:prstGeom prst="rect">
                      <a:avLst/>
                    </a:prstGeom>
                    <a:noFill/>
                    <a:ln w="9525">
                      <a:noFill/>
                      <a:miter lim="800000"/>
                      <a:headEnd/>
                      <a:tailEnd/>
                    </a:ln>
                  </pic:spPr>
                </pic:pic>
              </a:graphicData>
            </a:graphic>
          </wp:inline>
        </w:drawing>
      </w:r>
    </w:p>
    <w:p w:rsidR="00FF5B60" w:rsidRDefault="00FF5B60" w:rsidP="003E373B">
      <w:pPr>
        <w:tabs>
          <w:tab w:val="left" w:pos="1440"/>
        </w:tabs>
        <w:rPr>
          <w:rFonts w:ascii="Arial" w:hAnsi="Arial"/>
          <w:sz w:val="20"/>
        </w:rPr>
      </w:pPr>
    </w:p>
    <w:p w:rsidR="00905321" w:rsidRDefault="00905321" w:rsidP="003E373B">
      <w:pPr>
        <w:tabs>
          <w:tab w:val="left" w:pos="1440"/>
        </w:tabs>
        <w:rPr>
          <w:rFonts w:ascii="Arial" w:hAnsi="Arial"/>
          <w:sz w:val="20"/>
        </w:rPr>
      </w:pPr>
    </w:p>
    <w:p w:rsidR="003070BE" w:rsidRDefault="003070BE" w:rsidP="003E373B">
      <w:pPr>
        <w:tabs>
          <w:tab w:val="left" w:pos="1440"/>
        </w:tabs>
        <w:rPr>
          <w:rFonts w:ascii="Arial" w:hAnsi="Arial"/>
          <w:sz w:val="20"/>
        </w:rPr>
      </w:pPr>
    </w:p>
    <w:p w:rsidR="003070BE" w:rsidRDefault="003070BE" w:rsidP="003E373B">
      <w:pPr>
        <w:tabs>
          <w:tab w:val="left" w:pos="1440"/>
        </w:tabs>
        <w:rPr>
          <w:rFonts w:ascii="Arial" w:hAnsi="Arial"/>
          <w:sz w:val="20"/>
        </w:rPr>
      </w:pPr>
    </w:p>
    <w:p w:rsidR="003070BE" w:rsidRDefault="003070BE" w:rsidP="003E373B">
      <w:pPr>
        <w:tabs>
          <w:tab w:val="left" w:pos="1440"/>
        </w:tabs>
        <w:rPr>
          <w:rFonts w:ascii="Arial" w:hAnsi="Arial"/>
          <w:sz w:val="20"/>
        </w:rPr>
      </w:pPr>
    </w:p>
    <w:p w:rsidR="00905321" w:rsidRDefault="00905321" w:rsidP="003E373B">
      <w:pPr>
        <w:tabs>
          <w:tab w:val="left" w:pos="1440"/>
        </w:tabs>
        <w:rPr>
          <w:rFonts w:ascii="Arial" w:hAnsi="Arial"/>
          <w:sz w:val="20"/>
        </w:rPr>
      </w:pPr>
    </w:p>
    <w:p w:rsidR="008B6799" w:rsidRDefault="008B6799" w:rsidP="003E373B">
      <w:pPr>
        <w:tabs>
          <w:tab w:val="left" w:pos="1440"/>
        </w:tabs>
        <w:rPr>
          <w:rFonts w:ascii="Arial" w:hAnsi="Arial"/>
          <w:sz w:val="20"/>
        </w:rPr>
        <w:sectPr w:rsidR="008B6799" w:rsidSect="003070BE">
          <w:pgSz w:w="12240" w:h="15840" w:code="1"/>
          <w:pgMar w:top="1440" w:right="1440" w:bottom="1440" w:left="2160" w:header="720" w:footer="720" w:gutter="0"/>
          <w:cols w:space="720"/>
          <w:titlePg/>
          <w:docGrid w:linePitch="326"/>
        </w:sectPr>
      </w:pPr>
    </w:p>
    <w:p w:rsidR="00E0408E" w:rsidRPr="00295DC7" w:rsidRDefault="00174227" w:rsidP="00295DC7">
      <w:pPr>
        <w:tabs>
          <w:tab w:val="left" w:pos="1440"/>
        </w:tabs>
        <w:rPr>
          <w:rFonts w:ascii="Arial" w:hAnsi="Arial"/>
          <w:sz w:val="20"/>
        </w:rPr>
      </w:pPr>
      <w:r w:rsidRPr="00174227">
        <w:rPr>
          <w:noProof/>
        </w:rPr>
        <w:lastRenderedPageBreak/>
        <w:drawing>
          <wp:inline distT="0" distB="0" distL="0" distR="0">
            <wp:extent cx="6362700" cy="4962525"/>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srcRect/>
                    <a:stretch>
                      <a:fillRect/>
                    </a:stretch>
                  </pic:blipFill>
                  <pic:spPr bwMode="auto">
                    <a:xfrm>
                      <a:off x="0" y="0"/>
                      <a:ext cx="6362700" cy="4962525"/>
                    </a:xfrm>
                    <a:prstGeom prst="rect">
                      <a:avLst/>
                    </a:prstGeom>
                    <a:noFill/>
                    <a:ln w="9525">
                      <a:noFill/>
                      <a:miter lim="800000"/>
                      <a:headEnd/>
                      <a:tailEnd/>
                    </a:ln>
                  </pic:spPr>
                </pic:pic>
              </a:graphicData>
            </a:graphic>
          </wp:inline>
        </w:drawing>
      </w:r>
    </w:p>
    <w:sectPr w:rsidR="00E0408E" w:rsidRPr="00295DC7" w:rsidSect="00013C6E">
      <w:pgSz w:w="15840" w:h="12240" w:orient="landscape" w:code="1"/>
      <w:pgMar w:top="2160" w:right="1440" w:bottom="1440" w:left="1440"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41A4" w:rsidRDefault="00A841A4" w:rsidP="003E373B">
      <w:r>
        <w:separator/>
      </w:r>
    </w:p>
  </w:endnote>
  <w:endnote w:type="continuationSeparator" w:id="0">
    <w:p w:rsidR="00A841A4" w:rsidRDefault="00A841A4" w:rsidP="003E373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2A1" w:rsidRDefault="00B852A1">
    <w:pPr>
      <w:pStyle w:val="Footer"/>
      <w:rPr>
        <w:rFonts w:ascii="Arial" w:hAnsi="Arial" w:cs="Arial"/>
        <w:sz w:val="22"/>
      </w:rPr>
    </w:pPr>
    <w:r>
      <w:rPr>
        <w:rFonts w:ascii="Arial" w:hAnsi="Arial" w:cs="Arial"/>
        <w:sz w:val="22"/>
      </w:rPr>
      <w:t>Docket No. XXXXXX-EI</w:t>
    </w:r>
    <w:r>
      <w:rPr>
        <w:rFonts w:ascii="Arial" w:hAnsi="Arial" w:cs="Arial"/>
        <w:sz w:val="22"/>
      </w:rPr>
      <w:tab/>
      <w:t xml:space="preserve">Page </w:t>
    </w:r>
    <w:r w:rsidR="00004524">
      <w:rPr>
        <w:rStyle w:val="PageNumber"/>
        <w:rFonts w:ascii="Arial" w:hAnsi="Arial" w:cs="Arial"/>
        <w:sz w:val="22"/>
      </w:rPr>
      <w:fldChar w:fldCharType="begin"/>
    </w:r>
    <w:r>
      <w:rPr>
        <w:rStyle w:val="PageNumber"/>
        <w:rFonts w:ascii="Arial" w:hAnsi="Arial" w:cs="Arial"/>
        <w:sz w:val="22"/>
      </w:rPr>
      <w:instrText xml:space="preserve"> PAGE </w:instrText>
    </w:r>
    <w:r w:rsidR="00004524">
      <w:rPr>
        <w:rStyle w:val="PageNumber"/>
        <w:rFonts w:ascii="Arial" w:hAnsi="Arial" w:cs="Arial"/>
        <w:sz w:val="22"/>
      </w:rPr>
      <w:fldChar w:fldCharType="separate"/>
    </w:r>
    <w:r w:rsidR="00442788">
      <w:rPr>
        <w:rStyle w:val="PageNumber"/>
        <w:rFonts w:ascii="Arial" w:hAnsi="Arial" w:cs="Arial"/>
        <w:noProof/>
        <w:sz w:val="22"/>
      </w:rPr>
      <w:t>2</w:t>
    </w:r>
    <w:r w:rsidR="00004524">
      <w:rPr>
        <w:rStyle w:val="PageNumber"/>
        <w:rFonts w:ascii="Arial" w:hAnsi="Arial" w:cs="Arial"/>
        <w:sz w:val="22"/>
      </w:rPr>
      <w:fldChar w:fldCharType="end"/>
    </w:r>
    <w:r>
      <w:rPr>
        <w:rStyle w:val="PageNumber"/>
        <w:rFonts w:ascii="Arial" w:hAnsi="Arial" w:cs="Arial"/>
        <w:sz w:val="22"/>
      </w:rPr>
      <w:tab/>
      <w:t>Witness:  Susan D. Ritenour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2A1" w:rsidRDefault="00B852A1">
    <w:pPr>
      <w:pStyle w:val="Footer"/>
      <w:rPr>
        <w:rStyle w:val="PageNumber"/>
        <w:rFonts w:ascii="Arial" w:hAnsi="Arial"/>
        <w:sz w:val="22"/>
      </w:rPr>
    </w:pPr>
    <w:r>
      <w:rPr>
        <w:rFonts w:ascii="Arial" w:hAnsi="Arial" w:cs="Arial"/>
        <w:sz w:val="22"/>
      </w:rPr>
      <w:t>Docket No. 110138-EI</w:t>
    </w:r>
    <w:r>
      <w:rPr>
        <w:rFonts w:ascii="Arial" w:hAnsi="Arial" w:cs="Arial"/>
        <w:sz w:val="22"/>
      </w:rPr>
      <w:tab/>
      <w:t xml:space="preserve">Page </w:t>
    </w:r>
    <w:r w:rsidR="00004524">
      <w:rPr>
        <w:rStyle w:val="PageNumber"/>
        <w:rFonts w:ascii="Arial" w:hAnsi="Arial" w:cs="Arial"/>
        <w:sz w:val="22"/>
      </w:rPr>
      <w:fldChar w:fldCharType="begin"/>
    </w:r>
    <w:r>
      <w:rPr>
        <w:rStyle w:val="PageNumber"/>
        <w:rFonts w:ascii="Arial" w:hAnsi="Arial" w:cs="Arial"/>
        <w:sz w:val="22"/>
      </w:rPr>
      <w:instrText xml:space="preserve"> PAGE </w:instrText>
    </w:r>
    <w:r w:rsidR="00004524">
      <w:rPr>
        <w:rStyle w:val="PageNumber"/>
        <w:rFonts w:ascii="Arial" w:hAnsi="Arial" w:cs="Arial"/>
        <w:sz w:val="22"/>
      </w:rPr>
      <w:fldChar w:fldCharType="separate"/>
    </w:r>
    <w:r w:rsidR="00A27A1E">
      <w:rPr>
        <w:rStyle w:val="PageNumber"/>
        <w:rFonts w:ascii="Arial" w:hAnsi="Arial" w:cs="Arial"/>
        <w:noProof/>
        <w:sz w:val="22"/>
      </w:rPr>
      <w:t>40</w:t>
    </w:r>
    <w:r w:rsidR="00004524">
      <w:rPr>
        <w:rStyle w:val="PageNumber"/>
        <w:rFonts w:ascii="Arial" w:hAnsi="Arial" w:cs="Arial"/>
        <w:sz w:val="22"/>
      </w:rPr>
      <w:fldChar w:fldCharType="end"/>
    </w:r>
    <w:r>
      <w:rPr>
        <w:rStyle w:val="PageNumber"/>
        <w:rFonts w:ascii="Arial" w:hAnsi="Arial" w:cs="Arial"/>
        <w:sz w:val="22"/>
      </w:rPr>
      <w:tab/>
      <w:t>Witness:  Constance J. Erickson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2A1" w:rsidRDefault="00B852A1" w:rsidP="00BB476F">
    <w:pPr>
      <w:pStyle w:val="Footer"/>
      <w:rPr>
        <w:rStyle w:val="PageNumber"/>
        <w:rFonts w:ascii="Arial" w:hAnsi="Arial"/>
        <w:sz w:val="22"/>
      </w:rPr>
    </w:pPr>
    <w:r>
      <w:rPr>
        <w:rFonts w:ascii="Arial" w:hAnsi="Arial" w:cs="Arial"/>
        <w:sz w:val="22"/>
      </w:rPr>
      <w:t>Docket No. 110138-EI</w:t>
    </w:r>
    <w:r>
      <w:rPr>
        <w:rFonts w:ascii="Arial" w:hAnsi="Arial" w:cs="Arial"/>
        <w:sz w:val="22"/>
      </w:rPr>
      <w:tab/>
      <w:t xml:space="preserve">Page </w:t>
    </w:r>
    <w:r w:rsidR="00004524">
      <w:rPr>
        <w:rStyle w:val="PageNumber"/>
        <w:rFonts w:ascii="Arial" w:hAnsi="Arial" w:cs="Arial"/>
        <w:sz w:val="22"/>
      </w:rPr>
      <w:fldChar w:fldCharType="begin"/>
    </w:r>
    <w:r>
      <w:rPr>
        <w:rStyle w:val="PageNumber"/>
        <w:rFonts w:ascii="Arial" w:hAnsi="Arial" w:cs="Arial"/>
        <w:sz w:val="22"/>
      </w:rPr>
      <w:instrText xml:space="preserve"> PAGE </w:instrText>
    </w:r>
    <w:r w:rsidR="00004524">
      <w:rPr>
        <w:rStyle w:val="PageNumber"/>
        <w:rFonts w:ascii="Arial" w:hAnsi="Arial" w:cs="Arial"/>
        <w:sz w:val="22"/>
      </w:rPr>
      <w:fldChar w:fldCharType="separate"/>
    </w:r>
    <w:r w:rsidR="00A27A1E">
      <w:rPr>
        <w:rStyle w:val="PageNumber"/>
        <w:rFonts w:ascii="Arial" w:hAnsi="Arial" w:cs="Arial"/>
        <w:noProof/>
        <w:sz w:val="22"/>
      </w:rPr>
      <w:t>2</w:t>
    </w:r>
    <w:r w:rsidR="00004524">
      <w:rPr>
        <w:rStyle w:val="PageNumber"/>
        <w:rFonts w:ascii="Arial" w:hAnsi="Arial" w:cs="Arial"/>
        <w:sz w:val="22"/>
      </w:rPr>
      <w:fldChar w:fldCharType="end"/>
    </w:r>
    <w:r>
      <w:rPr>
        <w:rStyle w:val="PageNumber"/>
        <w:rFonts w:ascii="Arial" w:hAnsi="Arial" w:cs="Arial"/>
        <w:sz w:val="22"/>
      </w:rPr>
      <w:tab/>
      <w:t>Witness:  Constance J. Erickson</w:t>
    </w:r>
  </w:p>
  <w:p w:rsidR="00B852A1" w:rsidRDefault="00B852A1">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2A1" w:rsidRPr="004778E7" w:rsidRDefault="00B852A1" w:rsidP="004778E7">
    <w:pPr>
      <w:pStyle w:val="Footer"/>
      <w:rPr>
        <w:rStyle w:val="PageNumber"/>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2A1" w:rsidRDefault="00B852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41A4" w:rsidRDefault="00A841A4" w:rsidP="003E373B">
      <w:r>
        <w:separator/>
      </w:r>
    </w:p>
  </w:footnote>
  <w:footnote w:type="continuationSeparator" w:id="0">
    <w:p w:rsidR="00A841A4" w:rsidRDefault="00A841A4" w:rsidP="003E37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5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10"/>
    </w:tblGrid>
    <w:tr w:rsidR="00B852A1">
      <w:tc>
        <w:tcPr>
          <w:tcW w:w="3510" w:type="dxa"/>
        </w:tcPr>
        <w:p w:rsidR="00B852A1" w:rsidRDefault="00B852A1">
          <w:pPr>
            <w:pStyle w:val="Header"/>
            <w:rPr>
              <w:sz w:val="20"/>
            </w:rPr>
          </w:pPr>
          <w:r>
            <w:rPr>
              <w:sz w:val="20"/>
            </w:rPr>
            <w:t>CONFIDENTIAL AND PRIVILEGED</w:t>
          </w:r>
        </w:p>
        <w:p w:rsidR="00B852A1" w:rsidRDefault="00B852A1">
          <w:pPr>
            <w:pStyle w:val="Header"/>
            <w:rPr>
              <w:sz w:val="20"/>
            </w:rPr>
          </w:pPr>
          <w:r>
            <w:rPr>
              <w:sz w:val="20"/>
            </w:rPr>
            <w:t>ATTORNEY WORK PRODUCT</w:t>
          </w:r>
        </w:p>
        <w:p w:rsidR="00B852A1" w:rsidRDefault="00B852A1">
          <w:pPr>
            <w:pStyle w:val="Header"/>
            <w:rPr>
              <w:sz w:val="20"/>
            </w:rPr>
          </w:pPr>
          <w:r>
            <w:rPr>
              <w:sz w:val="20"/>
            </w:rPr>
            <w:t>DRAFT ##   4/18/01  8:38 AM</w:t>
          </w:r>
        </w:p>
      </w:tc>
    </w:tr>
  </w:tbl>
  <w:p w:rsidR="00B852A1" w:rsidRDefault="00B852A1">
    <w:pPr>
      <w:pStyle w:val="Header"/>
      <w:rPr>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2A1" w:rsidRDefault="00B852A1">
    <w:pPr>
      <w:pStyle w:val="Header"/>
      <w:rPr>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2A1" w:rsidRDefault="00B852A1" w:rsidP="00434AAD">
    <w:pPr>
      <w:pStyle w:val="Header"/>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91233"/>
    <w:multiLevelType w:val="hybridMultilevel"/>
    <w:tmpl w:val="E33CF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7A7F4F"/>
    <w:multiLevelType w:val="hybridMultilevel"/>
    <w:tmpl w:val="AB7EAA8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1A0727B7"/>
    <w:multiLevelType w:val="hybridMultilevel"/>
    <w:tmpl w:val="A594CCCC"/>
    <w:lvl w:ilvl="0" w:tplc="04090001">
      <w:start w:val="1"/>
      <w:numFmt w:val="bullet"/>
      <w:lvlText w:val=""/>
      <w:lvlJc w:val="left"/>
      <w:pPr>
        <w:tabs>
          <w:tab w:val="num" w:pos="540"/>
        </w:tabs>
        <w:ind w:left="5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29376F65"/>
    <w:multiLevelType w:val="hybridMultilevel"/>
    <w:tmpl w:val="EFFEA0F6"/>
    <w:lvl w:ilvl="0" w:tplc="B568E5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ED26F70"/>
    <w:multiLevelType w:val="hybridMultilevel"/>
    <w:tmpl w:val="F06051F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nsid w:val="3C26489D"/>
    <w:multiLevelType w:val="hybridMultilevel"/>
    <w:tmpl w:val="A89295E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5E86A23"/>
    <w:multiLevelType w:val="hybridMultilevel"/>
    <w:tmpl w:val="421473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
    <w:nsid w:val="64D912B8"/>
    <w:multiLevelType w:val="hybridMultilevel"/>
    <w:tmpl w:val="17E2B6C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5"/>
  </w:num>
  <w:num w:numId="5">
    <w:abstractNumId w:val="7"/>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docVars>
    <w:docVar w:name="85TrailerDate" w:val="0"/>
    <w:docVar w:name="85TrailerDateField" w:val="0"/>
    <w:docVar w:name="85TrailerDraft" w:val="0"/>
    <w:docVar w:name="85TrailerTime" w:val="0"/>
    <w:docVar w:name="85TrailerType" w:val="102"/>
    <w:docVar w:name="MPDocID" w:val="TAL 2339.1"/>
    <w:docVar w:name="MPDocIDTemplate" w:val="%l |%n|.%v|"/>
    <w:docVar w:name="MPDocIDTemplateDefault" w:val="%l |%n|.%v|"/>
    <w:docVar w:name="NewDocStampType" w:val="7"/>
  </w:docVars>
  <w:rsids>
    <w:rsidRoot w:val="003E373B"/>
    <w:rsid w:val="00000DE4"/>
    <w:rsid w:val="000014A2"/>
    <w:rsid w:val="000019E4"/>
    <w:rsid w:val="00004524"/>
    <w:rsid w:val="00004EB9"/>
    <w:rsid w:val="0000596F"/>
    <w:rsid w:val="000077FF"/>
    <w:rsid w:val="00007F48"/>
    <w:rsid w:val="00011B97"/>
    <w:rsid w:val="00012D12"/>
    <w:rsid w:val="00013C6E"/>
    <w:rsid w:val="000141C7"/>
    <w:rsid w:val="0001517E"/>
    <w:rsid w:val="0001762F"/>
    <w:rsid w:val="00021799"/>
    <w:rsid w:val="00022F05"/>
    <w:rsid w:val="00023D1B"/>
    <w:rsid w:val="00026024"/>
    <w:rsid w:val="00027491"/>
    <w:rsid w:val="00031C46"/>
    <w:rsid w:val="0003304A"/>
    <w:rsid w:val="00040582"/>
    <w:rsid w:val="000415CD"/>
    <w:rsid w:val="0004212D"/>
    <w:rsid w:val="00042A7B"/>
    <w:rsid w:val="00042F10"/>
    <w:rsid w:val="00044039"/>
    <w:rsid w:val="00050327"/>
    <w:rsid w:val="000529FD"/>
    <w:rsid w:val="00053DA4"/>
    <w:rsid w:val="000546CC"/>
    <w:rsid w:val="00056049"/>
    <w:rsid w:val="00056C12"/>
    <w:rsid w:val="0005775A"/>
    <w:rsid w:val="00064847"/>
    <w:rsid w:val="000649A0"/>
    <w:rsid w:val="00071ADF"/>
    <w:rsid w:val="00074ECF"/>
    <w:rsid w:val="00077899"/>
    <w:rsid w:val="00077F99"/>
    <w:rsid w:val="000820AD"/>
    <w:rsid w:val="00082E08"/>
    <w:rsid w:val="00084A81"/>
    <w:rsid w:val="00084C1F"/>
    <w:rsid w:val="000877EF"/>
    <w:rsid w:val="000908E1"/>
    <w:rsid w:val="00091F7D"/>
    <w:rsid w:val="000926AF"/>
    <w:rsid w:val="0009346C"/>
    <w:rsid w:val="00093665"/>
    <w:rsid w:val="0009484C"/>
    <w:rsid w:val="0009713A"/>
    <w:rsid w:val="000A1067"/>
    <w:rsid w:val="000A2619"/>
    <w:rsid w:val="000A5F50"/>
    <w:rsid w:val="000A7CB3"/>
    <w:rsid w:val="000A7F94"/>
    <w:rsid w:val="000B05F7"/>
    <w:rsid w:val="000B100C"/>
    <w:rsid w:val="000B1DD7"/>
    <w:rsid w:val="000B21AB"/>
    <w:rsid w:val="000B3E93"/>
    <w:rsid w:val="000B5F00"/>
    <w:rsid w:val="000B6BD4"/>
    <w:rsid w:val="000B6D3A"/>
    <w:rsid w:val="000C25C1"/>
    <w:rsid w:val="000C30CB"/>
    <w:rsid w:val="000C5DE9"/>
    <w:rsid w:val="000C6C34"/>
    <w:rsid w:val="000C6D41"/>
    <w:rsid w:val="000C770C"/>
    <w:rsid w:val="000D103A"/>
    <w:rsid w:val="000D5234"/>
    <w:rsid w:val="000D5512"/>
    <w:rsid w:val="000D6457"/>
    <w:rsid w:val="000D7004"/>
    <w:rsid w:val="000E0984"/>
    <w:rsid w:val="000E1639"/>
    <w:rsid w:val="000E2049"/>
    <w:rsid w:val="000E3DAF"/>
    <w:rsid w:val="000E4A5D"/>
    <w:rsid w:val="000E4A80"/>
    <w:rsid w:val="000E4C92"/>
    <w:rsid w:val="000E4FEA"/>
    <w:rsid w:val="000E5A77"/>
    <w:rsid w:val="000F1E8F"/>
    <w:rsid w:val="000F5FA6"/>
    <w:rsid w:val="000F631D"/>
    <w:rsid w:val="00100D1B"/>
    <w:rsid w:val="001012EE"/>
    <w:rsid w:val="00101BA5"/>
    <w:rsid w:val="00103144"/>
    <w:rsid w:val="001032A4"/>
    <w:rsid w:val="00104113"/>
    <w:rsid w:val="00104B47"/>
    <w:rsid w:val="00111C3B"/>
    <w:rsid w:val="0011314E"/>
    <w:rsid w:val="00113F9E"/>
    <w:rsid w:val="0011415F"/>
    <w:rsid w:val="00114E72"/>
    <w:rsid w:val="00115BD0"/>
    <w:rsid w:val="00115DF5"/>
    <w:rsid w:val="00116C8A"/>
    <w:rsid w:val="001204BE"/>
    <w:rsid w:val="00121F64"/>
    <w:rsid w:val="0012313F"/>
    <w:rsid w:val="001302CA"/>
    <w:rsid w:val="00130551"/>
    <w:rsid w:val="00130823"/>
    <w:rsid w:val="001331D4"/>
    <w:rsid w:val="0013551F"/>
    <w:rsid w:val="001357FD"/>
    <w:rsid w:val="00137DA3"/>
    <w:rsid w:val="00142857"/>
    <w:rsid w:val="001433B4"/>
    <w:rsid w:val="00143BCD"/>
    <w:rsid w:val="001444C2"/>
    <w:rsid w:val="0015007A"/>
    <w:rsid w:val="001507FE"/>
    <w:rsid w:val="001508FD"/>
    <w:rsid w:val="0015358B"/>
    <w:rsid w:val="00156E60"/>
    <w:rsid w:val="00161BC8"/>
    <w:rsid w:val="00161D14"/>
    <w:rsid w:val="00163485"/>
    <w:rsid w:val="0016761F"/>
    <w:rsid w:val="001712E7"/>
    <w:rsid w:val="00173F18"/>
    <w:rsid w:val="00174227"/>
    <w:rsid w:val="0017586A"/>
    <w:rsid w:val="00181D86"/>
    <w:rsid w:val="00184DA1"/>
    <w:rsid w:val="00185B9C"/>
    <w:rsid w:val="001862E3"/>
    <w:rsid w:val="001874CC"/>
    <w:rsid w:val="001908E6"/>
    <w:rsid w:val="00191738"/>
    <w:rsid w:val="00192253"/>
    <w:rsid w:val="00195823"/>
    <w:rsid w:val="00195833"/>
    <w:rsid w:val="00195855"/>
    <w:rsid w:val="00195A61"/>
    <w:rsid w:val="00197339"/>
    <w:rsid w:val="001A2492"/>
    <w:rsid w:val="001A3DE9"/>
    <w:rsid w:val="001A4CAF"/>
    <w:rsid w:val="001B01FE"/>
    <w:rsid w:val="001B0477"/>
    <w:rsid w:val="001B08C7"/>
    <w:rsid w:val="001B16B2"/>
    <w:rsid w:val="001B16ED"/>
    <w:rsid w:val="001B35DA"/>
    <w:rsid w:val="001B743D"/>
    <w:rsid w:val="001B7E0E"/>
    <w:rsid w:val="001C0D3F"/>
    <w:rsid w:val="001C1B25"/>
    <w:rsid w:val="001C1CDF"/>
    <w:rsid w:val="001C54D4"/>
    <w:rsid w:val="001C55EB"/>
    <w:rsid w:val="001D0E5A"/>
    <w:rsid w:val="001D1929"/>
    <w:rsid w:val="001D289A"/>
    <w:rsid w:val="001E133B"/>
    <w:rsid w:val="001E20F2"/>
    <w:rsid w:val="001E36C1"/>
    <w:rsid w:val="001E5600"/>
    <w:rsid w:val="001E7843"/>
    <w:rsid w:val="001E7A62"/>
    <w:rsid w:val="001E7AF4"/>
    <w:rsid w:val="001F100C"/>
    <w:rsid w:val="001F14D9"/>
    <w:rsid w:val="001F55AD"/>
    <w:rsid w:val="001F608F"/>
    <w:rsid w:val="001F6A7C"/>
    <w:rsid w:val="001F7D06"/>
    <w:rsid w:val="0020199E"/>
    <w:rsid w:val="00203EBA"/>
    <w:rsid w:val="00210010"/>
    <w:rsid w:val="00210581"/>
    <w:rsid w:val="002117EC"/>
    <w:rsid w:val="002121F5"/>
    <w:rsid w:val="0021395F"/>
    <w:rsid w:val="00215A4C"/>
    <w:rsid w:val="00217A2C"/>
    <w:rsid w:val="00220008"/>
    <w:rsid w:val="00220112"/>
    <w:rsid w:val="00222265"/>
    <w:rsid w:val="0022680F"/>
    <w:rsid w:val="00226B88"/>
    <w:rsid w:val="002301D6"/>
    <w:rsid w:val="00230D54"/>
    <w:rsid w:val="00231D17"/>
    <w:rsid w:val="00234AF5"/>
    <w:rsid w:val="00234F42"/>
    <w:rsid w:val="00235B37"/>
    <w:rsid w:val="00236E6C"/>
    <w:rsid w:val="00237CB7"/>
    <w:rsid w:val="00242440"/>
    <w:rsid w:val="002431C5"/>
    <w:rsid w:val="00244798"/>
    <w:rsid w:val="002453F3"/>
    <w:rsid w:val="00246DFB"/>
    <w:rsid w:val="002470FD"/>
    <w:rsid w:val="00251AFC"/>
    <w:rsid w:val="00251D5D"/>
    <w:rsid w:val="00253105"/>
    <w:rsid w:val="00255691"/>
    <w:rsid w:val="0025664B"/>
    <w:rsid w:val="002567FB"/>
    <w:rsid w:val="00257D33"/>
    <w:rsid w:val="00260CC3"/>
    <w:rsid w:val="00261DDA"/>
    <w:rsid w:val="0026239E"/>
    <w:rsid w:val="0026364D"/>
    <w:rsid w:val="00263EA9"/>
    <w:rsid w:val="00264685"/>
    <w:rsid w:val="00264697"/>
    <w:rsid w:val="00265C88"/>
    <w:rsid w:val="00266222"/>
    <w:rsid w:val="002678AC"/>
    <w:rsid w:val="0027489F"/>
    <w:rsid w:val="00275560"/>
    <w:rsid w:val="00276442"/>
    <w:rsid w:val="002773C6"/>
    <w:rsid w:val="002778C6"/>
    <w:rsid w:val="00277F9A"/>
    <w:rsid w:val="00280229"/>
    <w:rsid w:val="00281935"/>
    <w:rsid w:val="00281D46"/>
    <w:rsid w:val="00283180"/>
    <w:rsid w:val="00284338"/>
    <w:rsid w:val="00287D94"/>
    <w:rsid w:val="002936FE"/>
    <w:rsid w:val="00295DC7"/>
    <w:rsid w:val="002979AF"/>
    <w:rsid w:val="002A07A9"/>
    <w:rsid w:val="002A2067"/>
    <w:rsid w:val="002A51C4"/>
    <w:rsid w:val="002A6FC3"/>
    <w:rsid w:val="002A713B"/>
    <w:rsid w:val="002B7B1F"/>
    <w:rsid w:val="002C10F9"/>
    <w:rsid w:val="002C3B95"/>
    <w:rsid w:val="002C40F4"/>
    <w:rsid w:val="002C697D"/>
    <w:rsid w:val="002C6A81"/>
    <w:rsid w:val="002C786E"/>
    <w:rsid w:val="002D0299"/>
    <w:rsid w:val="002D0630"/>
    <w:rsid w:val="002D3F10"/>
    <w:rsid w:val="002D7B89"/>
    <w:rsid w:val="002E005D"/>
    <w:rsid w:val="002E07B2"/>
    <w:rsid w:val="002E3C21"/>
    <w:rsid w:val="002E47AA"/>
    <w:rsid w:val="002E5DA9"/>
    <w:rsid w:val="002F1B09"/>
    <w:rsid w:val="002F4637"/>
    <w:rsid w:val="002F6376"/>
    <w:rsid w:val="002F6614"/>
    <w:rsid w:val="00300A35"/>
    <w:rsid w:val="00301D29"/>
    <w:rsid w:val="00301EC9"/>
    <w:rsid w:val="00303EA3"/>
    <w:rsid w:val="003045D6"/>
    <w:rsid w:val="00304BC1"/>
    <w:rsid w:val="00304E4B"/>
    <w:rsid w:val="003070BE"/>
    <w:rsid w:val="00311638"/>
    <w:rsid w:val="003126DF"/>
    <w:rsid w:val="003155BC"/>
    <w:rsid w:val="00315F3F"/>
    <w:rsid w:val="0031794A"/>
    <w:rsid w:val="003204AE"/>
    <w:rsid w:val="00323B1A"/>
    <w:rsid w:val="00324637"/>
    <w:rsid w:val="00324835"/>
    <w:rsid w:val="0032529F"/>
    <w:rsid w:val="00325B99"/>
    <w:rsid w:val="003265B8"/>
    <w:rsid w:val="0032794A"/>
    <w:rsid w:val="003308D9"/>
    <w:rsid w:val="003318A3"/>
    <w:rsid w:val="003324FB"/>
    <w:rsid w:val="00332BAC"/>
    <w:rsid w:val="00333AC3"/>
    <w:rsid w:val="0033641B"/>
    <w:rsid w:val="003368DD"/>
    <w:rsid w:val="00336B4A"/>
    <w:rsid w:val="00337415"/>
    <w:rsid w:val="003410D8"/>
    <w:rsid w:val="00345156"/>
    <w:rsid w:val="00347BDE"/>
    <w:rsid w:val="00350B70"/>
    <w:rsid w:val="00357179"/>
    <w:rsid w:val="00360970"/>
    <w:rsid w:val="00361458"/>
    <w:rsid w:val="003632C4"/>
    <w:rsid w:val="00365948"/>
    <w:rsid w:val="0036608B"/>
    <w:rsid w:val="003668CD"/>
    <w:rsid w:val="00370CA7"/>
    <w:rsid w:val="00372F14"/>
    <w:rsid w:val="00375DFA"/>
    <w:rsid w:val="003765ED"/>
    <w:rsid w:val="00380B0B"/>
    <w:rsid w:val="00384AA0"/>
    <w:rsid w:val="003855C9"/>
    <w:rsid w:val="00386303"/>
    <w:rsid w:val="00386544"/>
    <w:rsid w:val="00387E26"/>
    <w:rsid w:val="003906FD"/>
    <w:rsid w:val="00390CA7"/>
    <w:rsid w:val="003910C4"/>
    <w:rsid w:val="00391A98"/>
    <w:rsid w:val="003921F9"/>
    <w:rsid w:val="00393DBB"/>
    <w:rsid w:val="003955FE"/>
    <w:rsid w:val="00396D00"/>
    <w:rsid w:val="003A1014"/>
    <w:rsid w:val="003A3880"/>
    <w:rsid w:val="003A3B3C"/>
    <w:rsid w:val="003A56E1"/>
    <w:rsid w:val="003A5B8B"/>
    <w:rsid w:val="003A795C"/>
    <w:rsid w:val="003A7BE9"/>
    <w:rsid w:val="003B0168"/>
    <w:rsid w:val="003B19C6"/>
    <w:rsid w:val="003B25EA"/>
    <w:rsid w:val="003B45A2"/>
    <w:rsid w:val="003B4F47"/>
    <w:rsid w:val="003B6591"/>
    <w:rsid w:val="003B7008"/>
    <w:rsid w:val="003B73CF"/>
    <w:rsid w:val="003B7682"/>
    <w:rsid w:val="003C1E4C"/>
    <w:rsid w:val="003C4B33"/>
    <w:rsid w:val="003C5B89"/>
    <w:rsid w:val="003D08BA"/>
    <w:rsid w:val="003D1D13"/>
    <w:rsid w:val="003D1E44"/>
    <w:rsid w:val="003D1F45"/>
    <w:rsid w:val="003D26B7"/>
    <w:rsid w:val="003D30DE"/>
    <w:rsid w:val="003D5F4E"/>
    <w:rsid w:val="003D7C18"/>
    <w:rsid w:val="003D7E97"/>
    <w:rsid w:val="003E01A7"/>
    <w:rsid w:val="003E2E16"/>
    <w:rsid w:val="003E373B"/>
    <w:rsid w:val="003E3D44"/>
    <w:rsid w:val="003E631C"/>
    <w:rsid w:val="003F100C"/>
    <w:rsid w:val="003F13B7"/>
    <w:rsid w:val="003F2747"/>
    <w:rsid w:val="003F3A62"/>
    <w:rsid w:val="003F3AA4"/>
    <w:rsid w:val="003F47D6"/>
    <w:rsid w:val="00402358"/>
    <w:rsid w:val="004037F2"/>
    <w:rsid w:val="00403A4D"/>
    <w:rsid w:val="00403EBC"/>
    <w:rsid w:val="00404418"/>
    <w:rsid w:val="0040497B"/>
    <w:rsid w:val="00404F7A"/>
    <w:rsid w:val="00405AB7"/>
    <w:rsid w:val="00407CD4"/>
    <w:rsid w:val="00411507"/>
    <w:rsid w:val="00411EA0"/>
    <w:rsid w:val="00413932"/>
    <w:rsid w:val="00414AA8"/>
    <w:rsid w:val="00416DD8"/>
    <w:rsid w:val="00417CC4"/>
    <w:rsid w:val="00420CFB"/>
    <w:rsid w:val="0042621F"/>
    <w:rsid w:val="00426831"/>
    <w:rsid w:val="00427D81"/>
    <w:rsid w:val="00430B36"/>
    <w:rsid w:val="00431CDA"/>
    <w:rsid w:val="00432E6A"/>
    <w:rsid w:val="00434425"/>
    <w:rsid w:val="00434A44"/>
    <w:rsid w:val="00434AAD"/>
    <w:rsid w:val="00434F2A"/>
    <w:rsid w:val="00436FD9"/>
    <w:rsid w:val="0044144B"/>
    <w:rsid w:val="00442788"/>
    <w:rsid w:val="00442971"/>
    <w:rsid w:val="0044300B"/>
    <w:rsid w:val="00444CC4"/>
    <w:rsid w:val="00445EBB"/>
    <w:rsid w:val="0044628B"/>
    <w:rsid w:val="00446855"/>
    <w:rsid w:val="004469B8"/>
    <w:rsid w:val="00446E67"/>
    <w:rsid w:val="00447680"/>
    <w:rsid w:val="00451537"/>
    <w:rsid w:val="00451CF4"/>
    <w:rsid w:val="00452F24"/>
    <w:rsid w:val="00453369"/>
    <w:rsid w:val="00453F7B"/>
    <w:rsid w:val="0045573D"/>
    <w:rsid w:val="004563EA"/>
    <w:rsid w:val="004564A3"/>
    <w:rsid w:val="00456F09"/>
    <w:rsid w:val="00461F98"/>
    <w:rsid w:val="004621F9"/>
    <w:rsid w:val="00462772"/>
    <w:rsid w:val="004634B5"/>
    <w:rsid w:val="00463F79"/>
    <w:rsid w:val="004641E4"/>
    <w:rsid w:val="004673F8"/>
    <w:rsid w:val="00470297"/>
    <w:rsid w:val="004709B0"/>
    <w:rsid w:val="00470E22"/>
    <w:rsid w:val="0047381D"/>
    <w:rsid w:val="004744DE"/>
    <w:rsid w:val="004748D3"/>
    <w:rsid w:val="00477110"/>
    <w:rsid w:val="004778E7"/>
    <w:rsid w:val="004800B4"/>
    <w:rsid w:val="00483BFD"/>
    <w:rsid w:val="004849F7"/>
    <w:rsid w:val="00486665"/>
    <w:rsid w:val="0049187C"/>
    <w:rsid w:val="00492F13"/>
    <w:rsid w:val="00494DE9"/>
    <w:rsid w:val="004964C9"/>
    <w:rsid w:val="00496A43"/>
    <w:rsid w:val="00496BF2"/>
    <w:rsid w:val="004A0379"/>
    <w:rsid w:val="004A0E4D"/>
    <w:rsid w:val="004A3A16"/>
    <w:rsid w:val="004A3E13"/>
    <w:rsid w:val="004A4E10"/>
    <w:rsid w:val="004A6117"/>
    <w:rsid w:val="004B1AA9"/>
    <w:rsid w:val="004B1C4B"/>
    <w:rsid w:val="004B34F2"/>
    <w:rsid w:val="004B49FF"/>
    <w:rsid w:val="004B709D"/>
    <w:rsid w:val="004B7726"/>
    <w:rsid w:val="004B785A"/>
    <w:rsid w:val="004C08B8"/>
    <w:rsid w:val="004C2B77"/>
    <w:rsid w:val="004C448C"/>
    <w:rsid w:val="004C4B6B"/>
    <w:rsid w:val="004C61F6"/>
    <w:rsid w:val="004C7264"/>
    <w:rsid w:val="004C7D0D"/>
    <w:rsid w:val="004D0621"/>
    <w:rsid w:val="004D17BD"/>
    <w:rsid w:val="004D2365"/>
    <w:rsid w:val="004D2535"/>
    <w:rsid w:val="004D2E96"/>
    <w:rsid w:val="004D5165"/>
    <w:rsid w:val="004D6C74"/>
    <w:rsid w:val="004E122B"/>
    <w:rsid w:val="004E3202"/>
    <w:rsid w:val="004E618F"/>
    <w:rsid w:val="004E6562"/>
    <w:rsid w:val="004E671A"/>
    <w:rsid w:val="004F0D51"/>
    <w:rsid w:val="004F10FA"/>
    <w:rsid w:val="004F28C5"/>
    <w:rsid w:val="004F35C3"/>
    <w:rsid w:val="004F3C52"/>
    <w:rsid w:val="004F4CE2"/>
    <w:rsid w:val="004F66A4"/>
    <w:rsid w:val="004F7817"/>
    <w:rsid w:val="00501586"/>
    <w:rsid w:val="00505DD1"/>
    <w:rsid w:val="0051136D"/>
    <w:rsid w:val="00511EE5"/>
    <w:rsid w:val="0051403E"/>
    <w:rsid w:val="00516922"/>
    <w:rsid w:val="0051692C"/>
    <w:rsid w:val="00520172"/>
    <w:rsid w:val="00521A10"/>
    <w:rsid w:val="00521B0F"/>
    <w:rsid w:val="00522496"/>
    <w:rsid w:val="0052413C"/>
    <w:rsid w:val="00525590"/>
    <w:rsid w:val="00525730"/>
    <w:rsid w:val="00536CE0"/>
    <w:rsid w:val="005441BD"/>
    <w:rsid w:val="00544F2B"/>
    <w:rsid w:val="0054745A"/>
    <w:rsid w:val="005476D0"/>
    <w:rsid w:val="00547A20"/>
    <w:rsid w:val="00551C85"/>
    <w:rsid w:val="005559AF"/>
    <w:rsid w:val="005575B2"/>
    <w:rsid w:val="00557628"/>
    <w:rsid w:val="00557A30"/>
    <w:rsid w:val="0056135D"/>
    <w:rsid w:val="00566637"/>
    <w:rsid w:val="0057137C"/>
    <w:rsid w:val="00572999"/>
    <w:rsid w:val="00572FA0"/>
    <w:rsid w:val="005735FD"/>
    <w:rsid w:val="0057534F"/>
    <w:rsid w:val="0057662C"/>
    <w:rsid w:val="005768DB"/>
    <w:rsid w:val="00577294"/>
    <w:rsid w:val="00577584"/>
    <w:rsid w:val="0057794A"/>
    <w:rsid w:val="00580B84"/>
    <w:rsid w:val="0058197B"/>
    <w:rsid w:val="00583C0D"/>
    <w:rsid w:val="005844D0"/>
    <w:rsid w:val="005859E2"/>
    <w:rsid w:val="005865E5"/>
    <w:rsid w:val="00586E15"/>
    <w:rsid w:val="005903C4"/>
    <w:rsid w:val="005910D4"/>
    <w:rsid w:val="005928C1"/>
    <w:rsid w:val="00592E82"/>
    <w:rsid w:val="00594526"/>
    <w:rsid w:val="0059499C"/>
    <w:rsid w:val="00595806"/>
    <w:rsid w:val="005A02DD"/>
    <w:rsid w:val="005A15BB"/>
    <w:rsid w:val="005A1A55"/>
    <w:rsid w:val="005A2AE5"/>
    <w:rsid w:val="005A2C9E"/>
    <w:rsid w:val="005A3C0B"/>
    <w:rsid w:val="005A5856"/>
    <w:rsid w:val="005A6950"/>
    <w:rsid w:val="005A762F"/>
    <w:rsid w:val="005A7A32"/>
    <w:rsid w:val="005B00EB"/>
    <w:rsid w:val="005B0EE5"/>
    <w:rsid w:val="005B123E"/>
    <w:rsid w:val="005B23FC"/>
    <w:rsid w:val="005B319A"/>
    <w:rsid w:val="005B35DA"/>
    <w:rsid w:val="005B40CE"/>
    <w:rsid w:val="005B6285"/>
    <w:rsid w:val="005C18EB"/>
    <w:rsid w:val="005C2401"/>
    <w:rsid w:val="005C3045"/>
    <w:rsid w:val="005C344B"/>
    <w:rsid w:val="005C3C28"/>
    <w:rsid w:val="005C51F3"/>
    <w:rsid w:val="005C605E"/>
    <w:rsid w:val="005C7C78"/>
    <w:rsid w:val="005D577E"/>
    <w:rsid w:val="005D64BA"/>
    <w:rsid w:val="005D7B4A"/>
    <w:rsid w:val="005E0A33"/>
    <w:rsid w:val="005E0E80"/>
    <w:rsid w:val="005E1145"/>
    <w:rsid w:val="005E7785"/>
    <w:rsid w:val="005E7BCE"/>
    <w:rsid w:val="005F0722"/>
    <w:rsid w:val="005F0790"/>
    <w:rsid w:val="005F0A03"/>
    <w:rsid w:val="005F3B63"/>
    <w:rsid w:val="005F5F89"/>
    <w:rsid w:val="005F7FF8"/>
    <w:rsid w:val="0060091B"/>
    <w:rsid w:val="00602A2F"/>
    <w:rsid w:val="00605F98"/>
    <w:rsid w:val="006117B2"/>
    <w:rsid w:val="006126B7"/>
    <w:rsid w:val="00613FC4"/>
    <w:rsid w:val="00616948"/>
    <w:rsid w:val="00616AA1"/>
    <w:rsid w:val="00620594"/>
    <w:rsid w:val="00620D3D"/>
    <w:rsid w:val="00621428"/>
    <w:rsid w:val="00625F02"/>
    <w:rsid w:val="00625FE1"/>
    <w:rsid w:val="00626635"/>
    <w:rsid w:val="00627268"/>
    <w:rsid w:val="00627859"/>
    <w:rsid w:val="00632DEA"/>
    <w:rsid w:val="00633B3A"/>
    <w:rsid w:val="006359F7"/>
    <w:rsid w:val="00636124"/>
    <w:rsid w:val="00636861"/>
    <w:rsid w:val="00637EDE"/>
    <w:rsid w:val="00644336"/>
    <w:rsid w:val="00646002"/>
    <w:rsid w:val="006502B4"/>
    <w:rsid w:val="006528FE"/>
    <w:rsid w:val="0065619D"/>
    <w:rsid w:val="0065661E"/>
    <w:rsid w:val="00657ABF"/>
    <w:rsid w:val="00657AEF"/>
    <w:rsid w:val="006610D2"/>
    <w:rsid w:val="00661F51"/>
    <w:rsid w:val="00665FD1"/>
    <w:rsid w:val="00667031"/>
    <w:rsid w:val="00667292"/>
    <w:rsid w:val="00670A9D"/>
    <w:rsid w:val="00670B5F"/>
    <w:rsid w:val="006727BD"/>
    <w:rsid w:val="00672EE1"/>
    <w:rsid w:val="0067420D"/>
    <w:rsid w:val="00676D96"/>
    <w:rsid w:val="006822D5"/>
    <w:rsid w:val="0068357E"/>
    <w:rsid w:val="0068667E"/>
    <w:rsid w:val="00691F22"/>
    <w:rsid w:val="00695520"/>
    <w:rsid w:val="006958FF"/>
    <w:rsid w:val="006A04A5"/>
    <w:rsid w:val="006A146F"/>
    <w:rsid w:val="006A1524"/>
    <w:rsid w:val="006A1597"/>
    <w:rsid w:val="006A1AAD"/>
    <w:rsid w:val="006A32CC"/>
    <w:rsid w:val="006A47F8"/>
    <w:rsid w:val="006B07BD"/>
    <w:rsid w:val="006B37D3"/>
    <w:rsid w:val="006C01C2"/>
    <w:rsid w:val="006C03A8"/>
    <w:rsid w:val="006C11CE"/>
    <w:rsid w:val="006C280E"/>
    <w:rsid w:val="006C28EB"/>
    <w:rsid w:val="006C451A"/>
    <w:rsid w:val="006C5BEC"/>
    <w:rsid w:val="006C6DAA"/>
    <w:rsid w:val="006C718E"/>
    <w:rsid w:val="006D2D64"/>
    <w:rsid w:val="006D58D2"/>
    <w:rsid w:val="006D597E"/>
    <w:rsid w:val="006D62D3"/>
    <w:rsid w:val="006E1C41"/>
    <w:rsid w:val="006E28ED"/>
    <w:rsid w:val="006E4B88"/>
    <w:rsid w:val="006E7E1F"/>
    <w:rsid w:val="006F07A2"/>
    <w:rsid w:val="006F1C47"/>
    <w:rsid w:val="006F2B46"/>
    <w:rsid w:val="006F2D93"/>
    <w:rsid w:val="006F3CD5"/>
    <w:rsid w:val="006F43CA"/>
    <w:rsid w:val="006F542F"/>
    <w:rsid w:val="006F698B"/>
    <w:rsid w:val="006F698F"/>
    <w:rsid w:val="00700DBA"/>
    <w:rsid w:val="007022CE"/>
    <w:rsid w:val="0070350D"/>
    <w:rsid w:val="007038DC"/>
    <w:rsid w:val="0070396C"/>
    <w:rsid w:val="00706269"/>
    <w:rsid w:val="00707125"/>
    <w:rsid w:val="0071195D"/>
    <w:rsid w:val="00712383"/>
    <w:rsid w:val="007145E6"/>
    <w:rsid w:val="00715334"/>
    <w:rsid w:val="00715FC5"/>
    <w:rsid w:val="007170D5"/>
    <w:rsid w:val="00717539"/>
    <w:rsid w:val="007201E4"/>
    <w:rsid w:val="00722318"/>
    <w:rsid w:val="0072435D"/>
    <w:rsid w:val="007252B7"/>
    <w:rsid w:val="00726080"/>
    <w:rsid w:val="00727CB2"/>
    <w:rsid w:val="00732441"/>
    <w:rsid w:val="00732483"/>
    <w:rsid w:val="00734214"/>
    <w:rsid w:val="00736077"/>
    <w:rsid w:val="00737443"/>
    <w:rsid w:val="00737647"/>
    <w:rsid w:val="007404AF"/>
    <w:rsid w:val="0074116F"/>
    <w:rsid w:val="007441C7"/>
    <w:rsid w:val="007476B5"/>
    <w:rsid w:val="00747FAE"/>
    <w:rsid w:val="00751411"/>
    <w:rsid w:val="00751430"/>
    <w:rsid w:val="00752150"/>
    <w:rsid w:val="00752794"/>
    <w:rsid w:val="0075285A"/>
    <w:rsid w:val="00753519"/>
    <w:rsid w:val="007538FE"/>
    <w:rsid w:val="007565EB"/>
    <w:rsid w:val="00756C02"/>
    <w:rsid w:val="007572BD"/>
    <w:rsid w:val="00760CA9"/>
    <w:rsid w:val="00761B9D"/>
    <w:rsid w:val="007623C8"/>
    <w:rsid w:val="007637CF"/>
    <w:rsid w:val="00763C5A"/>
    <w:rsid w:val="00764F65"/>
    <w:rsid w:val="007656AE"/>
    <w:rsid w:val="00767F3D"/>
    <w:rsid w:val="00771244"/>
    <w:rsid w:val="00771ED4"/>
    <w:rsid w:val="00776B25"/>
    <w:rsid w:val="00777CC6"/>
    <w:rsid w:val="00781459"/>
    <w:rsid w:val="0078235B"/>
    <w:rsid w:val="007825A7"/>
    <w:rsid w:val="007834FD"/>
    <w:rsid w:val="00783F37"/>
    <w:rsid w:val="0078474A"/>
    <w:rsid w:val="00784AB1"/>
    <w:rsid w:val="00784C17"/>
    <w:rsid w:val="00785215"/>
    <w:rsid w:val="007852E6"/>
    <w:rsid w:val="007859A8"/>
    <w:rsid w:val="00785BDD"/>
    <w:rsid w:val="00787987"/>
    <w:rsid w:val="00790D7B"/>
    <w:rsid w:val="00792DAD"/>
    <w:rsid w:val="0079372A"/>
    <w:rsid w:val="007937DB"/>
    <w:rsid w:val="00793B0C"/>
    <w:rsid w:val="00796509"/>
    <w:rsid w:val="007A060D"/>
    <w:rsid w:val="007A0A13"/>
    <w:rsid w:val="007A134F"/>
    <w:rsid w:val="007A14C0"/>
    <w:rsid w:val="007A37A8"/>
    <w:rsid w:val="007A4A4D"/>
    <w:rsid w:val="007A5EB9"/>
    <w:rsid w:val="007B35DA"/>
    <w:rsid w:val="007B4E69"/>
    <w:rsid w:val="007B603D"/>
    <w:rsid w:val="007C30A0"/>
    <w:rsid w:val="007C35BB"/>
    <w:rsid w:val="007D1067"/>
    <w:rsid w:val="007D1B70"/>
    <w:rsid w:val="007D53CB"/>
    <w:rsid w:val="007D548F"/>
    <w:rsid w:val="007D5609"/>
    <w:rsid w:val="007D5817"/>
    <w:rsid w:val="007E2EFC"/>
    <w:rsid w:val="007E55C0"/>
    <w:rsid w:val="007F1C85"/>
    <w:rsid w:val="007F5C09"/>
    <w:rsid w:val="007F7724"/>
    <w:rsid w:val="007F79CA"/>
    <w:rsid w:val="0080166D"/>
    <w:rsid w:val="00805A9B"/>
    <w:rsid w:val="00810C0C"/>
    <w:rsid w:val="008111DA"/>
    <w:rsid w:val="00815242"/>
    <w:rsid w:val="00820A17"/>
    <w:rsid w:val="00821298"/>
    <w:rsid w:val="00822A60"/>
    <w:rsid w:val="0082367E"/>
    <w:rsid w:val="0082446E"/>
    <w:rsid w:val="00824E6B"/>
    <w:rsid w:val="008266B3"/>
    <w:rsid w:val="00827707"/>
    <w:rsid w:val="00827E3B"/>
    <w:rsid w:val="008309C5"/>
    <w:rsid w:val="008322F4"/>
    <w:rsid w:val="008335D8"/>
    <w:rsid w:val="00834216"/>
    <w:rsid w:val="008409F0"/>
    <w:rsid w:val="00841805"/>
    <w:rsid w:val="008424D4"/>
    <w:rsid w:val="00842920"/>
    <w:rsid w:val="00844FEE"/>
    <w:rsid w:val="0084515B"/>
    <w:rsid w:val="00846EF5"/>
    <w:rsid w:val="008513FB"/>
    <w:rsid w:val="00853262"/>
    <w:rsid w:val="008577C5"/>
    <w:rsid w:val="00857BF4"/>
    <w:rsid w:val="00860CB5"/>
    <w:rsid w:val="00862A26"/>
    <w:rsid w:val="008641F7"/>
    <w:rsid w:val="008674B0"/>
    <w:rsid w:val="00867DAF"/>
    <w:rsid w:val="008707BE"/>
    <w:rsid w:val="00870EA2"/>
    <w:rsid w:val="008723E4"/>
    <w:rsid w:val="00873472"/>
    <w:rsid w:val="00873D52"/>
    <w:rsid w:val="00874F82"/>
    <w:rsid w:val="00875782"/>
    <w:rsid w:val="008768A5"/>
    <w:rsid w:val="008803F6"/>
    <w:rsid w:val="00881735"/>
    <w:rsid w:val="00882A78"/>
    <w:rsid w:val="00886AD4"/>
    <w:rsid w:val="00887106"/>
    <w:rsid w:val="008877CC"/>
    <w:rsid w:val="00892316"/>
    <w:rsid w:val="00892CFF"/>
    <w:rsid w:val="00895567"/>
    <w:rsid w:val="008A01C2"/>
    <w:rsid w:val="008A2FFA"/>
    <w:rsid w:val="008A4AF5"/>
    <w:rsid w:val="008A57A8"/>
    <w:rsid w:val="008A6BBB"/>
    <w:rsid w:val="008B10D6"/>
    <w:rsid w:val="008B1340"/>
    <w:rsid w:val="008B1418"/>
    <w:rsid w:val="008B282A"/>
    <w:rsid w:val="008B3A1C"/>
    <w:rsid w:val="008B527D"/>
    <w:rsid w:val="008B5FA5"/>
    <w:rsid w:val="008B6799"/>
    <w:rsid w:val="008B6892"/>
    <w:rsid w:val="008B6F9B"/>
    <w:rsid w:val="008C0BC6"/>
    <w:rsid w:val="008C157F"/>
    <w:rsid w:val="008C3CBE"/>
    <w:rsid w:val="008C4949"/>
    <w:rsid w:val="008C6008"/>
    <w:rsid w:val="008D05FB"/>
    <w:rsid w:val="008D1A28"/>
    <w:rsid w:val="008D2C27"/>
    <w:rsid w:val="008D379C"/>
    <w:rsid w:val="008D3EFD"/>
    <w:rsid w:val="008D48C3"/>
    <w:rsid w:val="008E0B32"/>
    <w:rsid w:val="008E3C62"/>
    <w:rsid w:val="008E515A"/>
    <w:rsid w:val="008E5BA5"/>
    <w:rsid w:val="008E7024"/>
    <w:rsid w:val="008F42D0"/>
    <w:rsid w:val="008F69A8"/>
    <w:rsid w:val="00902755"/>
    <w:rsid w:val="00905321"/>
    <w:rsid w:val="00913B2B"/>
    <w:rsid w:val="00916012"/>
    <w:rsid w:val="00917CCF"/>
    <w:rsid w:val="00922072"/>
    <w:rsid w:val="00922298"/>
    <w:rsid w:val="00922E81"/>
    <w:rsid w:val="00923401"/>
    <w:rsid w:val="009240D0"/>
    <w:rsid w:val="00925788"/>
    <w:rsid w:val="00926B2E"/>
    <w:rsid w:val="00931786"/>
    <w:rsid w:val="00932219"/>
    <w:rsid w:val="00932C25"/>
    <w:rsid w:val="009343FA"/>
    <w:rsid w:val="0093525B"/>
    <w:rsid w:val="009413ED"/>
    <w:rsid w:val="00942416"/>
    <w:rsid w:val="00942E7A"/>
    <w:rsid w:val="00943B1A"/>
    <w:rsid w:val="0094650A"/>
    <w:rsid w:val="009515BA"/>
    <w:rsid w:val="009544E7"/>
    <w:rsid w:val="00955225"/>
    <w:rsid w:val="00956C17"/>
    <w:rsid w:val="00956E58"/>
    <w:rsid w:val="00957F75"/>
    <w:rsid w:val="00960105"/>
    <w:rsid w:val="009607B4"/>
    <w:rsid w:val="00960E2D"/>
    <w:rsid w:val="00963D95"/>
    <w:rsid w:val="00966050"/>
    <w:rsid w:val="009666FA"/>
    <w:rsid w:val="009704CB"/>
    <w:rsid w:val="00970E0D"/>
    <w:rsid w:val="009717E0"/>
    <w:rsid w:val="00972BA9"/>
    <w:rsid w:val="009731EB"/>
    <w:rsid w:val="0097379B"/>
    <w:rsid w:val="009800EA"/>
    <w:rsid w:val="0098101B"/>
    <w:rsid w:val="00981454"/>
    <w:rsid w:val="00981489"/>
    <w:rsid w:val="009819B7"/>
    <w:rsid w:val="009821DC"/>
    <w:rsid w:val="00990C1B"/>
    <w:rsid w:val="009922A0"/>
    <w:rsid w:val="00992652"/>
    <w:rsid w:val="00993B64"/>
    <w:rsid w:val="00997C92"/>
    <w:rsid w:val="009A0A82"/>
    <w:rsid w:val="009A3B7B"/>
    <w:rsid w:val="009A42A6"/>
    <w:rsid w:val="009A436E"/>
    <w:rsid w:val="009A4B62"/>
    <w:rsid w:val="009B2215"/>
    <w:rsid w:val="009B2352"/>
    <w:rsid w:val="009B4953"/>
    <w:rsid w:val="009B5B57"/>
    <w:rsid w:val="009B5B7D"/>
    <w:rsid w:val="009B6223"/>
    <w:rsid w:val="009B6A05"/>
    <w:rsid w:val="009C0331"/>
    <w:rsid w:val="009C069F"/>
    <w:rsid w:val="009C1778"/>
    <w:rsid w:val="009C79EA"/>
    <w:rsid w:val="009D1D27"/>
    <w:rsid w:val="009D1FAF"/>
    <w:rsid w:val="009D290F"/>
    <w:rsid w:val="009D3265"/>
    <w:rsid w:val="009D36F3"/>
    <w:rsid w:val="009D4ECA"/>
    <w:rsid w:val="009D5C20"/>
    <w:rsid w:val="009E0BFE"/>
    <w:rsid w:val="009E120C"/>
    <w:rsid w:val="009E3DF3"/>
    <w:rsid w:val="009E419C"/>
    <w:rsid w:val="009E491E"/>
    <w:rsid w:val="009E5622"/>
    <w:rsid w:val="009F0227"/>
    <w:rsid w:val="009F0411"/>
    <w:rsid w:val="009F4559"/>
    <w:rsid w:val="009F5045"/>
    <w:rsid w:val="009F5D50"/>
    <w:rsid w:val="00A018EA"/>
    <w:rsid w:val="00A0299A"/>
    <w:rsid w:val="00A03B92"/>
    <w:rsid w:val="00A04F19"/>
    <w:rsid w:val="00A053E5"/>
    <w:rsid w:val="00A1030F"/>
    <w:rsid w:val="00A10882"/>
    <w:rsid w:val="00A147B7"/>
    <w:rsid w:val="00A158DD"/>
    <w:rsid w:val="00A167CD"/>
    <w:rsid w:val="00A22892"/>
    <w:rsid w:val="00A23217"/>
    <w:rsid w:val="00A245B7"/>
    <w:rsid w:val="00A24B74"/>
    <w:rsid w:val="00A27A1E"/>
    <w:rsid w:val="00A3270E"/>
    <w:rsid w:val="00A32B9E"/>
    <w:rsid w:val="00A3453C"/>
    <w:rsid w:val="00A3519D"/>
    <w:rsid w:val="00A43BEC"/>
    <w:rsid w:val="00A44212"/>
    <w:rsid w:val="00A45676"/>
    <w:rsid w:val="00A45999"/>
    <w:rsid w:val="00A471A2"/>
    <w:rsid w:val="00A47923"/>
    <w:rsid w:val="00A50CE7"/>
    <w:rsid w:val="00A52EA2"/>
    <w:rsid w:val="00A53D42"/>
    <w:rsid w:val="00A543E5"/>
    <w:rsid w:val="00A55C63"/>
    <w:rsid w:val="00A55EB4"/>
    <w:rsid w:val="00A62080"/>
    <w:rsid w:val="00A625A3"/>
    <w:rsid w:val="00A62ACF"/>
    <w:rsid w:val="00A648DE"/>
    <w:rsid w:val="00A64C9F"/>
    <w:rsid w:val="00A65F00"/>
    <w:rsid w:val="00A66892"/>
    <w:rsid w:val="00A67E9C"/>
    <w:rsid w:val="00A70F8A"/>
    <w:rsid w:val="00A752F5"/>
    <w:rsid w:val="00A75B61"/>
    <w:rsid w:val="00A75E00"/>
    <w:rsid w:val="00A7603A"/>
    <w:rsid w:val="00A77492"/>
    <w:rsid w:val="00A82787"/>
    <w:rsid w:val="00A841A4"/>
    <w:rsid w:val="00A85098"/>
    <w:rsid w:val="00A850B6"/>
    <w:rsid w:val="00A85643"/>
    <w:rsid w:val="00A85A73"/>
    <w:rsid w:val="00A8746B"/>
    <w:rsid w:val="00A901BC"/>
    <w:rsid w:val="00A91CC1"/>
    <w:rsid w:val="00A923B8"/>
    <w:rsid w:val="00A94F04"/>
    <w:rsid w:val="00A9518E"/>
    <w:rsid w:val="00A966AD"/>
    <w:rsid w:val="00A96F31"/>
    <w:rsid w:val="00A97247"/>
    <w:rsid w:val="00A97C74"/>
    <w:rsid w:val="00AA0C88"/>
    <w:rsid w:val="00AA4DFD"/>
    <w:rsid w:val="00AA5851"/>
    <w:rsid w:val="00AB0357"/>
    <w:rsid w:val="00AB31FA"/>
    <w:rsid w:val="00AB4DAE"/>
    <w:rsid w:val="00AB4E1C"/>
    <w:rsid w:val="00AC0073"/>
    <w:rsid w:val="00AC2ED9"/>
    <w:rsid w:val="00AC5F7A"/>
    <w:rsid w:val="00AC600C"/>
    <w:rsid w:val="00AD0360"/>
    <w:rsid w:val="00AD07A5"/>
    <w:rsid w:val="00AD0A4C"/>
    <w:rsid w:val="00AD16DD"/>
    <w:rsid w:val="00AD44FD"/>
    <w:rsid w:val="00AD6E07"/>
    <w:rsid w:val="00AE2304"/>
    <w:rsid w:val="00AE30F3"/>
    <w:rsid w:val="00AE4D7B"/>
    <w:rsid w:val="00AE7438"/>
    <w:rsid w:val="00AE7FC9"/>
    <w:rsid w:val="00AF31C5"/>
    <w:rsid w:val="00AF650F"/>
    <w:rsid w:val="00AF6906"/>
    <w:rsid w:val="00AF76BE"/>
    <w:rsid w:val="00AF7773"/>
    <w:rsid w:val="00AF7E83"/>
    <w:rsid w:val="00B04453"/>
    <w:rsid w:val="00B05643"/>
    <w:rsid w:val="00B1075C"/>
    <w:rsid w:val="00B129AC"/>
    <w:rsid w:val="00B13C80"/>
    <w:rsid w:val="00B14522"/>
    <w:rsid w:val="00B1703A"/>
    <w:rsid w:val="00B1774B"/>
    <w:rsid w:val="00B17F0F"/>
    <w:rsid w:val="00B20640"/>
    <w:rsid w:val="00B2275E"/>
    <w:rsid w:val="00B22F95"/>
    <w:rsid w:val="00B25113"/>
    <w:rsid w:val="00B257F8"/>
    <w:rsid w:val="00B276DF"/>
    <w:rsid w:val="00B309BF"/>
    <w:rsid w:val="00B3519B"/>
    <w:rsid w:val="00B36A20"/>
    <w:rsid w:val="00B37402"/>
    <w:rsid w:val="00B44622"/>
    <w:rsid w:val="00B464F7"/>
    <w:rsid w:val="00B5112C"/>
    <w:rsid w:val="00B511DD"/>
    <w:rsid w:val="00B54AE6"/>
    <w:rsid w:val="00B563EF"/>
    <w:rsid w:val="00B56C51"/>
    <w:rsid w:val="00B576E9"/>
    <w:rsid w:val="00B612B1"/>
    <w:rsid w:val="00B6174A"/>
    <w:rsid w:val="00B622B3"/>
    <w:rsid w:val="00B62B3A"/>
    <w:rsid w:val="00B640A6"/>
    <w:rsid w:val="00B65287"/>
    <w:rsid w:val="00B66C60"/>
    <w:rsid w:val="00B66F08"/>
    <w:rsid w:val="00B67EA9"/>
    <w:rsid w:val="00B7112C"/>
    <w:rsid w:val="00B717D8"/>
    <w:rsid w:val="00B7635B"/>
    <w:rsid w:val="00B769E4"/>
    <w:rsid w:val="00B7707F"/>
    <w:rsid w:val="00B805F6"/>
    <w:rsid w:val="00B82561"/>
    <w:rsid w:val="00B83CDA"/>
    <w:rsid w:val="00B852A1"/>
    <w:rsid w:val="00B85BCC"/>
    <w:rsid w:val="00B87E67"/>
    <w:rsid w:val="00B9205D"/>
    <w:rsid w:val="00B95A17"/>
    <w:rsid w:val="00B96678"/>
    <w:rsid w:val="00BA380D"/>
    <w:rsid w:val="00BA3BD6"/>
    <w:rsid w:val="00BA51BC"/>
    <w:rsid w:val="00BA752C"/>
    <w:rsid w:val="00BA7C3F"/>
    <w:rsid w:val="00BB0CB4"/>
    <w:rsid w:val="00BB0FE4"/>
    <w:rsid w:val="00BB14F9"/>
    <w:rsid w:val="00BB189A"/>
    <w:rsid w:val="00BB476F"/>
    <w:rsid w:val="00BB5657"/>
    <w:rsid w:val="00BB5858"/>
    <w:rsid w:val="00BB79E6"/>
    <w:rsid w:val="00BC1002"/>
    <w:rsid w:val="00BC29EA"/>
    <w:rsid w:val="00BC3C29"/>
    <w:rsid w:val="00BD0A92"/>
    <w:rsid w:val="00BD1BB0"/>
    <w:rsid w:val="00BD20B7"/>
    <w:rsid w:val="00BD359C"/>
    <w:rsid w:val="00BE1388"/>
    <w:rsid w:val="00BE5874"/>
    <w:rsid w:val="00BE596D"/>
    <w:rsid w:val="00BF1B20"/>
    <w:rsid w:val="00BF3250"/>
    <w:rsid w:val="00BF4457"/>
    <w:rsid w:val="00BF7D07"/>
    <w:rsid w:val="00C008BD"/>
    <w:rsid w:val="00C01983"/>
    <w:rsid w:val="00C02667"/>
    <w:rsid w:val="00C04D47"/>
    <w:rsid w:val="00C11911"/>
    <w:rsid w:val="00C129BE"/>
    <w:rsid w:val="00C13866"/>
    <w:rsid w:val="00C13F92"/>
    <w:rsid w:val="00C15E38"/>
    <w:rsid w:val="00C2120F"/>
    <w:rsid w:val="00C22988"/>
    <w:rsid w:val="00C24777"/>
    <w:rsid w:val="00C2686C"/>
    <w:rsid w:val="00C27190"/>
    <w:rsid w:val="00C27406"/>
    <w:rsid w:val="00C277CE"/>
    <w:rsid w:val="00C313DA"/>
    <w:rsid w:val="00C31494"/>
    <w:rsid w:val="00C33B13"/>
    <w:rsid w:val="00C33FE5"/>
    <w:rsid w:val="00C3605D"/>
    <w:rsid w:val="00C36916"/>
    <w:rsid w:val="00C36F17"/>
    <w:rsid w:val="00C37DDC"/>
    <w:rsid w:val="00C42858"/>
    <w:rsid w:val="00C42EB2"/>
    <w:rsid w:val="00C436C2"/>
    <w:rsid w:val="00C447F1"/>
    <w:rsid w:val="00C44A34"/>
    <w:rsid w:val="00C4637A"/>
    <w:rsid w:val="00C4718E"/>
    <w:rsid w:val="00C476F5"/>
    <w:rsid w:val="00C51A21"/>
    <w:rsid w:val="00C51DCA"/>
    <w:rsid w:val="00C638C5"/>
    <w:rsid w:val="00C64502"/>
    <w:rsid w:val="00C647B3"/>
    <w:rsid w:val="00C65B30"/>
    <w:rsid w:val="00C65B98"/>
    <w:rsid w:val="00C671D4"/>
    <w:rsid w:val="00C67365"/>
    <w:rsid w:val="00C7086A"/>
    <w:rsid w:val="00C70FBB"/>
    <w:rsid w:val="00C71CD1"/>
    <w:rsid w:val="00C72893"/>
    <w:rsid w:val="00C74A2D"/>
    <w:rsid w:val="00C74CC7"/>
    <w:rsid w:val="00C812B6"/>
    <w:rsid w:val="00C81326"/>
    <w:rsid w:val="00C82BCA"/>
    <w:rsid w:val="00C845DD"/>
    <w:rsid w:val="00C84909"/>
    <w:rsid w:val="00C85492"/>
    <w:rsid w:val="00C86BF3"/>
    <w:rsid w:val="00C875DF"/>
    <w:rsid w:val="00C91C6B"/>
    <w:rsid w:val="00C934A8"/>
    <w:rsid w:val="00C963F0"/>
    <w:rsid w:val="00C97CF1"/>
    <w:rsid w:val="00C97F19"/>
    <w:rsid w:val="00CA1B76"/>
    <w:rsid w:val="00CA2FD9"/>
    <w:rsid w:val="00CA4531"/>
    <w:rsid w:val="00CA7F52"/>
    <w:rsid w:val="00CB124B"/>
    <w:rsid w:val="00CB4628"/>
    <w:rsid w:val="00CB6C87"/>
    <w:rsid w:val="00CB7021"/>
    <w:rsid w:val="00CC0821"/>
    <w:rsid w:val="00CC0C09"/>
    <w:rsid w:val="00CD1882"/>
    <w:rsid w:val="00CD1EF1"/>
    <w:rsid w:val="00CD34AD"/>
    <w:rsid w:val="00CD5D7E"/>
    <w:rsid w:val="00CD6197"/>
    <w:rsid w:val="00CD6590"/>
    <w:rsid w:val="00CE22F9"/>
    <w:rsid w:val="00CE3C13"/>
    <w:rsid w:val="00CE531D"/>
    <w:rsid w:val="00CF0110"/>
    <w:rsid w:val="00CF2464"/>
    <w:rsid w:val="00CF4B74"/>
    <w:rsid w:val="00D00AFC"/>
    <w:rsid w:val="00D01F70"/>
    <w:rsid w:val="00D02636"/>
    <w:rsid w:val="00D05B68"/>
    <w:rsid w:val="00D11B82"/>
    <w:rsid w:val="00D1366E"/>
    <w:rsid w:val="00D14B89"/>
    <w:rsid w:val="00D201BA"/>
    <w:rsid w:val="00D223C3"/>
    <w:rsid w:val="00D22666"/>
    <w:rsid w:val="00D23153"/>
    <w:rsid w:val="00D266A8"/>
    <w:rsid w:val="00D268AA"/>
    <w:rsid w:val="00D272BE"/>
    <w:rsid w:val="00D30618"/>
    <w:rsid w:val="00D32149"/>
    <w:rsid w:val="00D322AE"/>
    <w:rsid w:val="00D33C72"/>
    <w:rsid w:val="00D34071"/>
    <w:rsid w:val="00D34770"/>
    <w:rsid w:val="00D40F28"/>
    <w:rsid w:val="00D4246B"/>
    <w:rsid w:val="00D43C5D"/>
    <w:rsid w:val="00D4420B"/>
    <w:rsid w:val="00D454A9"/>
    <w:rsid w:val="00D4579A"/>
    <w:rsid w:val="00D46F3A"/>
    <w:rsid w:val="00D46FD8"/>
    <w:rsid w:val="00D50565"/>
    <w:rsid w:val="00D51090"/>
    <w:rsid w:val="00D51B0B"/>
    <w:rsid w:val="00D51C0C"/>
    <w:rsid w:val="00D51C81"/>
    <w:rsid w:val="00D52EA6"/>
    <w:rsid w:val="00D54607"/>
    <w:rsid w:val="00D55151"/>
    <w:rsid w:val="00D563B9"/>
    <w:rsid w:val="00D62CB9"/>
    <w:rsid w:val="00D62D23"/>
    <w:rsid w:val="00D63B31"/>
    <w:rsid w:val="00D6484E"/>
    <w:rsid w:val="00D65149"/>
    <w:rsid w:val="00D6524F"/>
    <w:rsid w:val="00D6527B"/>
    <w:rsid w:val="00D664F7"/>
    <w:rsid w:val="00D6674D"/>
    <w:rsid w:val="00D66930"/>
    <w:rsid w:val="00D6793E"/>
    <w:rsid w:val="00D67B09"/>
    <w:rsid w:val="00D7061B"/>
    <w:rsid w:val="00D7194B"/>
    <w:rsid w:val="00D7287D"/>
    <w:rsid w:val="00D72E6D"/>
    <w:rsid w:val="00D7420B"/>
    <w:rsid w:val="00D75F72"/>
    <w:rsid w:val="00D81577"/>
    <w:rsid w:val="00D81D2C"/>
    <w:rsid w:val="00D825A3"/>
    <w:rsid w:val="00D82913"/>
    <w:rsid w:val="00D82936"/>
    <w:rsid w:val="00D82C18"/>
    <w:rsid w:val="00D82E11"/>
    <w:rsid w:val="00D875A6"/>
    <w:rsid w:val="00D87B8A"/>
    <w:rsid w:val="00D919E6"/>
    <w:rsid w:val="00D92B04"/>
    <w:rsid w:val="00D94154"/>
    <w:rsid w:val="00D951E9"/>
    <w:rsid w:val="00D95351"/>
    <w:rsid w:val="00DA2C3A"/>
    <w:rsid w:val="00DA7F0A"/>
    <w:rsid w:val="00DB12DD"/>
    <w:rsid w:val="00DB206B"/>
    <w:rsid w:val="00DB2B00"/>
    <w:rsid w:val="00DB2C5E"/>
    <w:rsid w:val="00DB57C1"/>
    <w:rsid w:val="00DC2736"/>
    <w:rsid w:val="00DC2A3A"/>
    <w:rsid w:val="00DC2DD4"/>
    <w:rsid w:val="00DC3B1B"/>
    <w:rsid w:val="00DC584C"/>
    <w:rsid w:val="00DC5C21"/>
    <w:rsid w:val="00DD15EC"/>
    <w:rsid w:val="00DD4159"/>
    <w:rsid w:val="00DD51A7"/>
    <w:rsid w:val="00DE094F"/>
    <w:rsid w:val="00DE43DC"/>
    <w:rsid w:val="00DE7D73"/>
    <w:rsid w:val="00DF17FC"/>
    <w:rsid w:val="00DF3E48"/>
    <w:rsid w:val="00DF436A"/>
    <w:rsid w:val="00DF5404"/>
    <w:rsid w:val="00DF5774"/>
    <w:rsid w:val="00DF5A5D"/>
    <w:rsid w:val="00DF6050"/>
    <w:rsid w:val="00DF672F"/>
    <w:rsid w:val="00E0408E"/>
    <w:rsid w:val="00E06D44"/>
    <w:rsid w:val="00E073F5"/>
    <w:rsid w:val="00E10CBC"/>
    <w:rsid w:val="00E12191"/>
    <w:rsid w:val="00E129E2"/>
    <w:rsid w:val="00E134E6"/>
    <w:rsid w:val="00E13EF5"/>
    <w:rsid w:val="00E145F6"/>
    <w:rsid w:val="00E1668B"/>
    <w:rsid w:val="00E17041"/>
    <w:rsid w:val="00E1711F"/>
    <w:rsid w:val="00E17454"/>
    <w:rsid w:val="00E20144"/>
    <w:rsid w:val="00E20514"/>
    <w:rsid w:val="00E20DFE"/>
    <w:rsid w:val="00E214FA"/>
    <w:rsid w:val="00E24203"/>
    <w:rsid w:val="00E2469C"/>
    <w:rsid w:val="00E25099"/>
    <w:rsid w:val="00E279D5"/>
    <w:rsid w:val="00E27C02"/>
    <w:rsid w:val="00E3140B"/>
    <w:rsid w:val="00E318CC"/>
    <w:rsid w:val="00E32F16"/>
    <w:rsid w:val="00E3485C"/>
    <w:rsid w:val="00E352C3"/>
    <w:rsid w:val="00E36F70"/>
    <w:rsid w:val="00E402C7"/>
    <w:rsid w:val="00E4231F"/>
    <w:rsid w:val="00E44393"/>
    <w:rsid w:val="00E44D7D"/>
    <w:rsid w:val="00E44E33"/>
    <w:rsid w:val="00E45542"/>
    <w:rsid w:val="00E4611A"/>
    <w:rsid w:val="00E467C0"/>
    <w:rsid w:val="00E47729"/>
    <w:rsid w:val="00E477D6"/>
    <w:rsid w:val="00E50DBF"/>
    <w:rsid w:val="00E55BFD"/>
    <w:rsid w:val="00E56247"/>
    <w:rsid w:val="00E569DE"/>
    <w:rsid w:val="00E57A73"/>
    <w:rsid w:val="00E60B6B"/>
    <w:rsid w:val="00E61227"/>
    <w:rsid w:val="00E622E1"/>
    <w:rsid w:val="00E62353"/>
    <w:rsid w:val="00E6543D"/>
    <w:rsid w:val="00E66785"/>
    <w:rsid w:val="00E673B6"/>
    <w:rsid w:val="00E70AC6"/>
    <w:rsid w:val="00E71127"/>
    <w:rsid w:val="00E715A8"/>
    <w:rsid w:val="00E71FDF"/>
    <w:rsid w:val="00E738A1"/>
    <w:rsid w:val="00E76477"/>
    <w:rsid w:val="00E81A07"/>
    <w:rsid w:val="00E82251"/>
    <w:rsid w:val="00E8227A"/>
    <w:rsid w:val="00E83286"/>
    <w:rsid w:val="00E8530F"/>
    <w:rsid w:val="00E863C3"/>
    <w:rsid w:val="00E9495A"/>
    <w:rsid w:val="00E97B1B"/>
    <w:rsid w:val="00E97C12"/>
    <w:rsid w:val="00EA1BC3"/>
    <w:rsid w:val="00EB04D0"/>
    <w:rsid w:val="00EB276C"/>
    <w:rsid w:val="00EB3678"/>
    <w:rsid w:val="00EB38F2"/>
    <w:rsid w:val="00EC0B80"/>
    <w:rsid w:val="00EC1674"/>
    <w:rsid w:val="00EC23C0"/>
    <w:rsid w:val="00EC288A"/>
    <w:rsid w:val="00EC2BBC"/>
    <w:rsid w:val="00EC4EEE"/>
    <w:rsid w:val="00EC5219"/>
    <w:rsid w:val="00ED16A0"/>
    <w:rsid w:val="00ED1789"/>
    <w:rsid w:val="00ED495D"/>
    <w:rsid w:val="00ED5D39"/>
    <w:rsid w:val="00ED7134"/>
    <w:rsid w:val="00EE0C76"/>
    <w:rsid w:val="00EE19AD"/>
    <w:rsid w:val="00EE3B5F"/>
    <w:rsid w:val="00EE430B"/>
    <w:rsid w:val="00EE6984"/>
    <w:rsid w:val="00EE69DE"/>
    <w:rsid w:val="00EF23E5"/>
    <w:rsid w:val="00EF4EC9"/>
    <w:rsid w:val="00EF6C73"/>
    <w:rsid w:val="00F06355"/>
    <w:rsid w:val="00F07258"/>
    <w:rsid w:val="00F07E7A"/>
    <w:rsid w:val="00F13CC7"/>
    <w:rsid w:val="00F15B83"/>
    <w:rsid w:val="00F20321"/>
    <w:rsid w:val="00F24B16"/>
    <w:rsid w:val="00F2588C"/>
    <w:rsid w:val="00F27708"/>
    <w:rsid w:val="00F27A32"/>
    <w:rsid w:val="00F27CF2"/>
    <w:rsid w:val="00F31581"/>
    <w:rsid w:val="00F32338"/>
    <w:rsid w:val="00F36E6D"/>
    <w:rsid w:val="00F3734E"/>
    <w:rsid w:val="00F37AC3"/>
    <w:rsid w:val="00F40534"/>
    <w:rsid w:val="00F41260"/>
    <w:rsid w:val="00F4195C"/>
    <w:rsid w:val="00F41ED0"/>
    <w:rsid w:val="00F4603B"/>
    <w:rsid w:val="00F46382"/>
    <w:rsid w:val="00F46C6B"/>
    <w:rsid w:val="00F51446"/>
    <w:rsid w:val="00F51C26"/>
    <w:rsid w:val="00F530F6"/>
    <w:rsid w:val="00F567F7"/>
    <w:rsid w:val="00F56DBE"/>
    <w:rsid w:val="00F6069E"/>
    <w:rsid w:val="00F61206"/>
    <w:rsid w:val="00F63040"/>
    <w:rsid w:val="00F66FDA"/>
    <w:rsid w:val="00F704CB"/>
    <w:rsid w:val="00F707BB"/>
    <w:rsid w:val="00F70EB6"/>
    <w:rsid w:val="00F7117A"/>
    <w:rsid w:val="00F71705"/>
    <w:rsid w:val="00F71B37"/>
    <w:rsid w:val="00F72027"/>
    <w:rsid w:val="00F729E5"/>
    <w:rsid w:val="00F74588"/>
    <w:rsid w:val="00F76DA6"/>
    <w:rsid w:val="00F779F8"/>
    <w:rsid w:val="00F80B37"/>
    <w:rsid w:val="00F80DC4"/>
    <w:rsid w:val="00F81D75"/>
    <w:rsid w:val="00F83684"/>
    <w:rsid w:val="00F83AA1"/>
    <w:rsid w:val="00F84A01"/>
    <w:rsid w:val="00F863F0"/>
    <w:rsid w:val="00F86B6D"/>
    <w:rsid w:val="00F87145"/>
    <w:rsid w:val="00F87527"/>
    <w:rsid w:val="00F90204"/>
    <w:rsid w:val="00F97115"/>
    <w:rsid w:val="00F97252"/>
    <w:rsid w:val="00F97329"/>
    <w:rsid w:val="00F97F0F"/>
    <w:rsid w:val="00FA1B0B"/>
    <w:rsid w:val="00FA3D8C"/>
    <w:rsid w:val="00FA4D72"/>
    <w:rsid w:val="00FB32A6"/>
    <w:rsid w:val="00FB686B"/>
    <w:rsid w:val="00FB6A23"/>
    <w:rsid w:val="00FB7A62"/>
    <w:rsid w:val="00FB7D0B"/>
    <w:rsid w:val="00FC0B0E"/>
    <w:rsid w:val="00FC0F75"/>
    <w:rsid w:val="00FC3EF6"/>
    <w:rsid w:val="00FC4D37"/>
    <w:rsid w:val="00FC53DA"/>
    <w:rsid w:val="00FC749A"/>
    <w:rsid w:val="00FC75DB"/>
    <w:rsid w:val="00FD0AE2"/>
    <w:rsid w:val="00FD1859"/>
    <w:rsid w:val="00FD2726"/>
    <w:rsid w:val="00FD5723"/>
    <w:rsid w:val="00FD593F"/>
    <w:rsid w:val="00FE312B"/>
    <w:rsid w:val="00FE3382"/>
    <w:rsid w:val="00FE3485"/>
    <w:rsid w:val="00FE3589"/>
    <w:rsid w:val="00FE4F94"/>
    <w:rsid w:val="00FE6142"/>
    <w:rsid w:val="00FE7BAA"/>
    <w:rsid w:val="00FE7CFC"/>
    <w:rsid w:val="00FE7E21"/>
    <w:rsid w:val="00FF06E7"/>
    <w:rsid w:val="00FF5B60"/>
    <w:rsid w:val="00FF5C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373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F69A8"/>
    <w:pPr>
      <w:widowControl w:val="0"/>
      <w:spacing w:after="240"/>
      <w:ind w:firstLine="720"/>
    </w:pPr>
  </w:style>
  <w:style w:type="character" w:customStyle="1" w:styleId="BodyTextChar">
    <w:name w:val="Body Text Char"/>
    <w:basedOn w:val="DefaultParagraphFont"/>
    <w:link w:val="BodyText"/>
    <w:rsid w:val="00AF31C5"/>
    <w:rPr>
      <w:sz w:val="24"/>
      <w:szCs w:val="24"/>
      <w:lang w:eastAsia="en-US"/>
    </w:rPr>
  </w:style>
  <w:style w:type="paragraph" w:customStyle="1" w:styleId="BodyTextContinued">
    <w:name w:val="Body Text Continued"/>
    <w:basedOn w:val="BodyText"/>
    <w:next w:val="BodyText"/>
    <w:rsid w:val="008F69A8"/>
    <w:pPr>
      <w:ind w:firstLine="0"/>
    </w:pPr>
  </w:style>
  <w:style w:type="paragraph" w:styleId="Quote">
    <w:name w:val="Quote"/>
    <w:basedOn w:val="Normal"/>
    <w:next w:val="BodyTextContinued"/>
    <w:link w:val="QuoteChar"/>
    <w:qFormat/>
    <w:rsid w:val="008F69A8"/>
    <w:pPr>
      <w:spacing w:after="240"/>
      <w:ind w:left="1440" w:right="1440"/>
    </w:pPr>
  </w:style>
  <w:style w:type="character" w:customStyle="1" w:styleId="QuoteChar">
    <w:name w:val="Quote Char"/>
    <w:basedOn w:val="DefaultParagraphFont"/>
    <w:link w:val="Quote"/>
    <w:rsid w:val="00AF31C5"/>
    <w:rPr>
      <w:sz w:val="24"/>
      <w:lang w:eastAsia="en-US"/>
    </w:rPr>
  </w:style>
  <w:style w:type="paragraph" w:styleId="Header">
    <w:name w:val="header"/>
    <w:basedOn w:val="Normal"/>
    <w:link w:val="HeaderChar"/>
    <w:rsid w:val="008F69A8"/>
    <w:pPr>
      <w:tabs>
        <w:tab w:val="center" w:pos="4680"/>
        <w:tab w:val="right" w:pos="9360"/>
      </w:tabs>
    </w:pPr>
  </w:style>
  <w:style w:type="character" w:customStyle="1" w:styleId="HeaderChar">
    <w:name w:val="Header Char"/>
    <w:basedOn w:val="DefaultParagraphFont"/>
    <w:link w:val="Header"/>
    <w:rsid w:val="00AF31C5"/>
    <w:rPr>
      <w:sz w:val="24"/>
      <w:szCs w:val="24"/>
      <w:lang w:eastAsia="en-US"/>
    </w:rPr>
  </w:style>
  <w:style w:type="paragraph" w:styleId="Footer">
    <w:name w:val="footer"/>
    <w:basedOn w:val="Normal"/>
    <w:link w:val="FooterChar"/>
    <w:rsid w:val="008F69A8"/>
    <w:pPr>
      <w:tabs>
        <w:tab w:val="center" w:pos="4680"/>
        <w:tab w:val="right" w:pos="9360"/>
      </w:tabs>
    </w:pPr>
  </w:style>
  <w:style w:type="character" w:customStyle="1" w:styleId="FooterChar">
    <w:name w:val="Footer Char"/>
    <w:basedOn w:val="DefaultParagraphFont"/>
    <w:link w:val="Footer"/>
    <w:rsid w:val="00AF31C5"/>
    <w:rPr>
      <w:sz w:val="24"/>
      <w:szCs w:val="24"/>
      <w:lang w:eastAsia="en-US"/>
    </w:rPr>
  </w:style>
  <w:style w:type="character" w:styleId="PageNumber">
    <w:name w:val="page number"/>
    <w:basedOn w:val="DefaultParagraphFont"/>
    <w:rsid w:val="008F69A8"/>
  </w:style>
  <w:style w:type="paragraph" w:styleId="ListParagraph">
    <w:name w:val="List Paragraph"/>
    <w:basedOn w:val="Normal"/>
    <w:uiPriority w:val="34"/>
    <w:qFormat/>
    <w:rsid w:val="003E373B"/>
    <w:pPr>
      <w:spacing w:after="200" w:line="276" w:lineRule="auto"/>
      <w:ind w:left="720"/>
      <w:contextualSpacing/>
    </w:pPr>
    <w:rPr>
      <w:rFonts w:ascii="Calibri" w:eastAsia="Calibri" w:hAnsi="Calibri"/>
      <w:sz w:val="22"/>
      <w:szCs w:val="22"/>
    </w:rPr>
  </w:style>
  <w:style w:type="character" w:styleId="CommentReference">
    <w:name w:val="annotation reference"/>
    <w:basedOn w:val="DefaultParagraphFont"/>
    <w:rsid w:val="003E373B"/>
    <w:rPr>
      <w:sz w:val="16"/>
      <w:szCs w:val="16"/>
    </w:rPr>
  </w:style>
  <w:style w:type="paragraph" w:styleId="CommentText">
    <w:name w:val="annotation text"/>
    <w:basedOn w:val="Normal"/>
    <w:link w:val="CommentTextChar1"/>
    <w:rsid w:val="003E373B"/>
    <w:rPr>
      <w:sz w:val="20"/>
    </w:rPr>
  </w:style>
  <w:style w:type="character" w:customStyle="1" w:styleId="CommentTextChar">
    <w:name w:val="Comment Text Char"/>
    <w:basedOn w:val="DefaultParagraphFont"/>
    <w:link w:val="CommentText"/>
    <w:rsid w:val="003E373B"/>
    <w:rPr>
      <w:lang w:eastAsia="en-US"/>
    </w:rPr>
  </w:style>
  <w:style w:type="character" w:customStyle="1" w:styleId="CommentTextChar1">
    <w:name w:val="Comment Text Char1"/>
    <w:basedOn w:val="DefaultParagraphFont"/>
    <w:link w:val="CommentText"/>
    <w:rsid w:val="003E373B"/>
    <w:rPr>
      <w:lang w:eastAsia="en-US"/>
    </w:rPr>
  </w:style>
  <w:style w:type="paragraph" w:styleId="BalloonText">
    <w:name w:val="Balloon Text"/>
    <w:basedOn w:val="Normal"/>
    <w:link w:val="BalloonTextChar"/>
    <w:rsid w:val="003E373B"/>
    <w:rPr>
      <w:rFonts w:ascii="Tahoma" w:hAnsi="Tahoma" w:cs="Tahoma"/>
      <w:sz w:val="16"/>
      <w:szCs w:val="16"/>
    </w:rPr>
  </w:style>
  <w:style w:type="character" w:customStyle="1" w:styleId="BalloonTextChar">
    <w:name w:val="Balloon Text Char"/>
    <w:basedOn w:val="DefaultParagraphFont"/>
    <w:link w:val="BalloonText"/>
    <w:rsid w:val="003E373B"/>
    <w:rPr>
      <w:rFonts w:ascii="Tahoma" w:hAnsi="Tahoma" w:cs="Tahoma"/>
      <w:sz w:val="16"/>
      <w:szCs w:val="16"/>
      <w:lang w:eastAsia="en-US"/>
    </w:rPr>
  </w:style>
  <w:style w:type="character" w:styleId="LineNumber">
    <w:name w:val="line number"/>
    <w:basedOn w:val="DefaultParagraphFont"/>
    <w:rsid w:val="003E373B"/>
  </w:style>
  <w:style w:type="character" w:customStyle="1" w:styleId="zzmpTrailerItem">
    <w:name w:val="zzmpTrailerItem"/>
    <w:basedOn w:val="DefaultParagraphFont"/>
    <w:rsid w:val="008D2C27"/>
    <w:rPr>
      <w:rFonts w:ascii="Times New Roman" w:hAnsi="Times New Roman" w:cs="Times New Roman"/>
      <w:dstrike w:val="0"/>
      <w:noProof/>
      <w:color w:val="auto"/>
      <w:spacing w:val="0"/>
      <w:position w:val="0"/>
      <w:sz w:val="16"/>
      <w:szCs w:val="16"/>
      <w:u w:val="none"/>
      <w:effect w:val="antsRed"/>
      <w:vertAlign w:val="baseline"/>
    </w:rPr>
  </w:style>
  <w:style w:type="paragraph" w:styleId="CommentSubject">
    <w:name w:val="annotation subject"/>
    <w:basedOn w:val="CommentText"/>
    <w:next w:val="CommentText"/>
    <w:link w:val="CommentSubjectChar"/>
    <w:rsid w:val="003E373B"/>
    <w:rPr>
      <w:b/>
      <w:bCs/>
    </w:rPr>
  </w:style>
  <w:style w:type="character" w:customStyle="1" w:styleId="CommentSubjectChar">
    <w:name w:val="Comment Subject Char"/>
    <w:basedOn w:val="CommentTextChar"/>
    <w:link w:val="CommentSubject"/>
    <w:rsid w:val="003E373B"/>
    <w:rPr>
      <w:b/>
      <w:bCs/>
    </w:rPr>
  </w:style>
  <w:style w:type="paragraph" w:styleId="PlainText">
    <w:name w:val="Plain Text"/>
    <w:basedOn w:val="Normal"/>
    <w:link w:val="PlainTextChar"/>
    <w:uiPriority w:val="99"/>
    <w:unhideWhenUsed/>
    <w:rsid w:val="003E373B"/>
    <w:rPr>
      <w:rFonts w:ascii="Courier New" w:eastAsia="Calibri" w:hAnsi="Courier New"/>
      <w:szCs w:val="24"/>
    </w:rPr>
  </w:style>
  <w:style w:type="character" w:customStyle="1" w:styleId="PlainTextChar">
    <w:name w:val="Plain Text Char"/>
    <w:basedOn w:val="DefaultParagraphFont"/>
    <w:link w:val="PlainText"/>
    <w:uiPriority w:val="99"/>
    <w:rsid w:val="003E373B"/>
    <w:rPr>
      <w:rFonts w:ascii="Courier New" w:eastAsia="Calibri" w:hAnsi="Courier New"/>
      <w:sz w:val="24"/>
      <w:szCs w:val="24"/>
      <w:lang w:eastAsia="en-US"/>
    </w:rPr>
  </w:style>
  <w:style w:type="paragraph" w:customStyle="1" w:styleId="s2">
    <w:name w:val="s2"/>
    <w:basedOn w:val="Normal"/>
    <w:rsid w:val="004778E7"/>
    <w:pPr>
      <w:spacing w:before="100" w:beforeAutospacing="1" w:after="100" w:afterAutospacing="1"/>
    </w:pPr>
    <w:rPr>
      <w:rFonts w:eastAsiaTheme="minorHAnsi"/>
      <w:szCs w:val="24"/>
    </w:rPr>
  </w:style>
  <w:style w:type="character" w:customStyle="1" w:styleId="s4">
    <w:name w:val="s4"/>
    <w:basedOn w:val="DefaultParagraphFont"/>
    <w:rsid w:val="004778E7"/>
  </w:style>
</w:styles>
</file>

<file path=word/webSettings.xml><?xml version="1.0" encoding="utf-8"?>
<w:webSettings xmlns:r="http://schemas.openxmlformats.org/officeDocument/2006/relationships" xmlns:w="http://schemas.openxmlformats.org/wordprocessingml/2006/main">
  <w:divs>
    <w:div w:id="123739140">
      <w:bodyDiv w:val="1"/>
      <w:marLeft w:val="0"/>
      <w:marRight w:val="0"/>
      <w:marTop w:val="0"/>
      <w:marBottom w:val="0"/>
      <w:divBdr>
        <w:top w:val="none" w:sz="0" w:space="0" w:color="auto"/>
        <w:left w:val="none" w:sz="0" w:space="0" w:color="auto"/>
        <w:bottom w:val="none" w:sz="0" w:space="0" w:color="auto"/>
        <w:right w:val="none" w:sz="0" w:space="0" w:color="auto"/>
      </w:divBdr>
    </w:div>
    <w:div w:id="144050739">
      <w:bodyDiv w:val="1"/>
      <w:marLeft w:val="0"/>
      <w:marRight w:val="0"/>
      <w:marTop w:val="0"/>
      <w:marBottom w:val="0"/>
      <w:divBdr>
        <w:top w:val="none" w:sz="0" w:space="0" w:color="auto"/>
        <w:left w:val="none" w:sz="0" w:space="0" w:color="auto"/>
        <w:bottom w:val="none" w:sz="0" w:space="0" w:color="auto"/>
        <w:right w:val="none" w:sz="0" w:space="0" w:color="auto"/>
      </w:divBdr>
    </w:div>
    <w:div w:id="146407760">
      <w:bodyDiv w:val="1"/>
      <w:marLeft w:val="0"/>
      <w:marRight w:val="0"/>
      <w:marTop w:val="0"/>
      <w:marBottom w:val="0"/>
      <w:divBdr>
        <w:top w:val="none" w:sz="0" w:space="0" w:color="auto"/>
        <w:left w:val="none" w:sz="0" w:space="0" w:color="auto"/>
        <w:bottom w:val="none" w:sz="0" w:space="0" w:color="auto"/>
        <w:right w:val="none" w:sz="0" w:space="0" w:color="auto"/>
      </w:divBdr>
    </w:div>
    <w:div w:id="365520034">
      <w:bodyDiv w:val="1"/>
      <w:marLeft w:val="0"/>
      <w:marRight w:val="0"/>
      <w:marTop w:val="0"/>
      <w:marBottom w:val="0"/>
      <w:divBdr>
        <w:top w:val="none" w:sz="0" w:space="0" w:color="auto"/>
        <w:left w:val="none" w:sz="0" w:space="0" w:color="auto"/>
        <w:bottom w:val="none" w:sz="0" w:space="0" w:color="auto"/>
        <w:right w:val="none" w:sz="0" w:space="0" w:color="auto"/>
      </w:divBdr>
    </w:div>
    <w:div w:id="390231297">
      <w:bodyDiv w:val="1"/>
      <w:marLeft w:val="0"/>
      <w:marRight w:val="0"/>
      <w:marTop w:val="0"/>
      <w:marBottom w:val="0"/>
      <w:divBdr>
        <w:top w:val="none" w:sz="0" w:space="0" w:color="auto"/>
        <w:left w:val="none" w:sz="0" w:space="0" w:color="auto"/>
        <w:bottom w:val="none" w:sz="0" w:space="0" w:color="auto"/>
        <w:right w:val="none" w:sz="0" w:space="0" w:color="auto"/>
      </w:divBdr>
    </w:div>
    <w:div w:id="513495981">
      <w:bodyDiv w:val="1"/>
      <w:marLeft w:val="0"/>
      <w:marRight w:val="0"/>
      <w:marTop w:val="0"/>
      <w:marBottom w:val="0"/>
      <w:divBdr>
        <w:top w:val="none" w:sz="0" w:space="0" w:color="auto"/>
        <w:left w:val="none" w:sz="0" w:space="0" w:color="auto"/>
        <w:bottom w:val="none" w:sz="0" w:space="0" w:color="auto"/>
        <w:right w:val="none" w:sz="0" w:space="0" w:color="auto"/>
      </w:divBdr>
    </w:div>
    <w:div w:id="595556626">
      <w:bodyDiv w:val="1"/>
      <w:marLeft w:val="0"/>
      <w:marRight w:val="0"/>
      <w:marTop w:val="0"/>
      <w:marBottom w:val="0"/>
      <w:divBdr>
        <w:top w:val="none" w:sz="0" w:space="0" w:color="auto"/>
        <w:left w:val="none" w:sz="0" w:space="0" w:color="auto"/>
        <w:bottom w:val="none" w:sz="0" w:space="0" w:color="auto"/>
        <w:right w:val="none" w:sz="0" w:space="0" w:color="auto"/>
      </w:divBdr>
    </w:div>
    <w:div w:id="597300365">
      <w:bodyDiv w:val="1"/>
      <w:marLeft w:val="0"/>
      <w:marRight w:val="0"/>
      <w:marTop w:val="0"/>
      <w:marBottom w:val="0"/>
      <w:divBdr>
        <w:top w:val="none" w:sz="0" w:space="0" w:color="auto"/>
        <w:left w:val="none" w:sz="0" w:space="0" w:color="auto"/>
        <w:bottom w:val="none" w:sz="0" w:space="0" w:color="auto"/>
        <w:right w:val="none" w:sz="0" w:space="0" w:color="auto"/>
      </w:divBdr>
    </w:div>
    <w:div w:id="603853119">
      <w:bodyDiv w:val="1"/>
      <w:marLeft w:val="0"/>
      <w:marRight w:val="0"/>
      <w:marTop w:val="0"/>
      <w:marBottom w:val="0"/>
      <w:divBdr>
        <w:top w:val="none" w:sz="0" w:space="0" w:color="auto"/>
        <w:left w:val="none" w:sz="0" w:space="0" w:color="auto"/>
        <w:bottom w:val="none" w:sz="0" w:space="0" w:color="auto"/>
        <w:right w:val="none" w:sz="0" w:space="0" w:color="auto"/>
      </w:divBdr>
    </w:div>
    <w:div w:id="710958484">
      <w:bodyDiv w:val="1"/>
      <w:marLeft w:val="0"/>
      <w:marRight w:val="0"/>
      <w:marTop w:val="0"/>
      <w:marBottom w:val="0"/>
      <w:divBdr>
        <w:top w:val="none" w:sz="0" w:space="0" w:color="auto"/>
        <w:left w:val="none" w:sz="0" w:space="0" w:color="auto"/>
        <w:bottom w:val="none" w:sz="0" w:space="0" w:color="auto"/>
        <w:right w:val="none" w:sz="0" w:space="0" w:color="auto"/>
      </w:divBdr>
    </w:div>
    <w:div w:id="726417617">
      <w:bodyDiv w:val="1"/>
      <w:marLeft w:val="0"/>
      <w:marRight w:val="0"/>
      <w:marTop w:val="0"/>
      <w:marBottom w:val="0"/>
      <w:divBdr>
        <w:top w:val="none" w:sz="0" w:space="0" w:color="auto"/>
        <w:left w:val="none" w:sz="0" w:space="0" w:color="auto"/>
        <w:bottom w:val="none" w:sz="0" w:space="0" w:color="auto"/>
        <w:right w:val="none" w:sz="0" w:space="0" w:color="auto"/>
      </w:divBdr>
    </w:div>
    <w:div w:id="893009506">
      <w:bodyDiv w:val="1"/>
      <w:marLeft w:val="0"/>
      <w:marRight w:val="0"/>
      <w:marTop w:val="0"/>
      <w:marBottom w:val="0"/>
      <w:divBdr>
        <w:top w:val="none" w:sz="0" w:space="0" w:color="auto"/>
        <w:left w:val="none" w:sz="0" w:space="0" w:color="auto"/>
        <w:bottom w:val="none" w:sz="0" w:space="0" w:color="auto"/>
        <w:right w:val="none" w:sz="0" w:space="0" w:color="auto"/>
      </w:divBdr>
    </w:div>
    <w:div w:id="985159413">
      <w:bodyDiv w:val="1"/>
      <w:marLeft w:val="0"/>
      <w:marRight w:val="0"/>
      <w:marTop w:val="0"/>
      <w:marBottom w:val="0"/>
      <w:divBdr>
        <w:top w:val="none" w:sz="0" w:space="0" w:color="auto"/>
        <w:left w:val="none" w:sz="0" w:space="0" w:color="auto"/>
        <w:bottom w:val="none" w:sz="0" w:space="0" w:color="auto"/>
        <w:right w:val="none" w:sz="0" w:space="0" w:color="auto"/>
      </w:divBdr>
    </w:div>
    <w:div w:id="1108349984">
      <w:bodyDiv w:val="1"/>
      <w:marLeft w:val="0"/>
      <w:marRight w:val="0"/>
      <w:marTop w:val="0"/>
      <w:marBottom w:val="0"/>
      <w:divBdr>
        <w:top w:val="none" w:sz="0" w:space="0" w:color="auto"/>
        <w:left w:val="none" w:sz="0" w:space="0" w:color="auto"/>
        <w:bottom w:val="none" w:sz="0" w:space="0" w:color="auto"/>
        <w:right w:val="none" w:sz="0" w:space="0" w:color="auto"/>
      </w:divBdr>
    </w:div>
    <w:div w:id="1252348682">
      <w:bodyDiv w:val="1"/>
      <w:marLeft w:val="0"/>
      <w:marRight w:val="0"/>
      <w:marTop w:val="0"/>
      <w:marBottom w:val="0"/>
      <w:divBdr>
        <w:top w:val="none" w:sz="0" w:space="0" w:color="auto"/>
        <w:left w:val="none" w:sz="0" w:space="0" w:color="auto"/>
        <w:bottom w:val="none" w:sz="0" w:space="0" w:color="auto"/>
        <w:right w:val="none" w:sz="0" w:space="0" w:color="auto"/>
      </w:divBdr>
    </w:div>
    <w:div w:id="1412117947">
      <w:bodyDiv w:val="1"/>
      <w:marLeft w:val="0"/>
      <w:marRight w:val="0"/>
      <w:marTop w:val="0"/>
      <w:marBottom w:val="0"/>
      <w:divBdr>
        <w:top w:val="none" w:sz="0" w:space="0" w:color="auto"/>
        <w:left w:val="none" w:sz="0" w:space="0" w:color="auto"/>
        <w:bottom w:val="none" w:sz="0" w:space="0" w:color="auto"/>
        <w:right w:val="none" w:sz="0" w:space="0" w:color="auto"/>
      </w:divBdr>
    </w:div>
    <w:div w:id="1471433938">
      <w:bodyDiv w:val="1"/>
      <w:marLeft w:val="0"/>
      <w:marRight w:val="0"/>
      <w:marTop w:val="0"/>
      <w:marBottom w:val="0"/>
      <w:divBdr>
        <w:top w:val="none" w:sz="0" w:space="0" w:color="auto"/>
        <w:left w:val="none" w:sz="0" w:space="0" w:color="auto"/>
        <w:bottom w:val="none" w:sz="0" w:space="0" w:color="auto"/>
        <w:right w:val="none" w:sz="0" w:space="0" w:color="auto"/>
      </w:divBdr>
    </w:div>
    <w:div w:id="1662418177">
      <w:bodyDiv w:val="1"/>
      <w:marLeft w:val="0"/>
      <w:marRight w:val="0"/>
      <w:marTop w:val="0"/>
      <w:marBottom w:val="0"/>
      <w:divBdr>
        <w:top w:val="none" w:sz="0" w:space="0" w:color="auto"/>
        <w:left w:val="none" w:sz="0" w:space="0" w:color="auto"/>
        <w:bottom w:val="none" w:sz="0" w:space="0" w:color="auto"/>
        <w:right w:val="none" w:sz="0" w:space="0" w:color="auto"/>
      </w:divBdr>
    </w:div>
    <w:div w:id="1833140187">
      <w:bodyDiv w:val="1"/>
      <w:marLeft w:val="0"/>
      <w:marRight w:val="0"/>
      <w:marTop w:val="0"/>
      <w:marBottom w:val="0"/>
      <w:divBdr>
        <w:top w:val="none" w:sz="0" w:space="0" w:color="auto"/>
        <w:left w:val="none" w:sz="0" w:space="0" w:color="auto"/>
        <w:bottom w:val="none" w:sz="0" w:space="0" w:color="auto"/>
        <w:right w:val="none" w:sz="0" w:space="0" w:color="auto"/>
      </w:divBdr>
    </w:div>
    <w:div w:id="1910000186">
      <w:bodyDiv w:val="1"/>
      <w:marLeft w:val="0"/>
      <w:marRight w:val="0"/>
      <w:marTop w:val="0"/>
      <w:marBottom w:val="0"/>
      <w:divBdr>
        <w:top w:val="none" w:sz="0" w:space="0" w:color="auto"/>
        <w:left w:val="none" w:sz="0" w:space="0" w:color="auto"/>
        <w:bottom w:val="none" w:sz="0" w:space="0" w:color="auto"/>
        <w:right w:val="none" w:sz="0" w:space="0" w:color="auto"/>
      </w:divBdr>
    </w:div>
    <w:div w:id="1970744527">
      <w:bodyDiv w:val="1"/>
      <w:marLeft w:val="0"/>
      <w:marRight w:val="0"/>
      <w:marTop w:val="0"/>
      <w:marBottom w:val="0"/>
      <w:divBdr>
        <w:top w:val="none" w:sz="0" w:space="0" w:color="auto"/>
        <w:left w:val="none" w:sz="0" w:space="0" w:color="auto"/>
        <w:bottom w:val="none" w:sz="0" w:space="0" w:color="auto"/>
        <w:right w:val="none" w:sz="0" w:space="0" w:color="auto"/>
      </w:divBdr>
    </w:div>
    <w:div w:id="1992785654">
      <w:bodyDiv w:val="1"/>
      <w:marLeft w:val="0"/>
      <w:marRight w:val="0"/>
      <w:marTop w:val="0"/>
      <w:marBottom w:val="0"/>
      <w:divBdr>
        <w:top w:val="none" w:sz="0" w:space="0" w:color="auto"/>
        <w:left w:val="none" w:sz="0" w:space="0" w:color="auto"/>
        <w:bottom w:val="none" w:sz="0" w:space="0" w:color="auto"/>
        <w:right w:val="none" w:sz="0" w:space="0" w:color="auto"/>
      </w:divBdr>
    </w:div>
    <w:div w:id="2013600520">
      <w:bodyDiv w:val="1"/>
      <w:marLeft w:val="0"/>
      <w:marRight w:val="0"/>
      <w:marTop w:val="0"/>
      <w:marBottom w:val="0"/>
      <w:divBdr>
        <w:top w:val="none" w:sz="0" w:space="0" w:color="auto"/>
        <w:left w:val="none" w:sz="0" w:space="0" w:color="auto"/>
        <w:bottom w:val="none" w:sz="0" w:space="0" w:color="auto"/>
        <w:right w:val="none" w:sz="0" w:space="0" w:color="auto"/>
      </w:divBdr>
    </w:div>
    <w:div w:id="2058965352">
      <w:bodyDiv w:val="1"/>
      <w:marLeft w:val="0"/>
      <w:marRight w:val="0"/>
      <w:marTop w:val="0"/>
      <w:marBottom w:val="0"/>
      <w:divBdr>
        <w:top w:val="none" w:sz="0" w:space="0" w:color="auto"/>
        <w:left w:val="none" w:sz="0" w:space="0" w:color="auto"/>
        <w:bottom w:val="none" w:sz="0" w:space="0" w:color="auto"/>
        <w:right w:val="none" w:sz="0" w:space="0" w:color="auto"/>
      </w:divBdr>
    </w:div>
    <w:div w:id="20960498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3E416-BCFF-4F88-A197-123CC21569A2}">
  <ds:schemaRefs>
    <ds:schemaRef ds:uri="http://schemas.openxmlformats.org/officeDocument/2006/bibliography"/>
  </ds:schemaRefs>
</ds:datastoreItem>
</file>

<file path=customXml/itemProps2.xml><?xml version="1.0" encoding="utf-8"?>
<ds:datastoreItem xmlns:ds="http://schemas.openxmlformats.org/officeDocument/2006/customXml" ds:itemID="{C0709C55-087D-43EC-AE25-B3BEB98664CC}">
  <ds:schemaRefs>
    <ds:schemaRef ds:uri="http://schemas.openxmlformats.org/officeDocument/2006/bibliography"/>
  </ds:schemaRefs>
</ds:datastoreItem>
</file>

<file path=customXml/itemProps3.xml><?xml version="1.0" encoding="utf-8"?>
<ds:datastoreItem xmlns:ds="http://schemas.openxmlformats.org/officeDocument/2006/customXml" ds:itemID="{DAC8837C-C184-4146-BFD5-DD7625098AB8}">
  <ds:schemaRefs>
    <ds:schemaRef ds:uri="http://schemas.openxmlformats.org/officeDocument/2006/bibliography"/>
  </ds:schemaRefs>
</ds:datastoreItem>
</file>

<file path=customXml/itemProps4.xml><?xml version="1.0" encoding="utf-8"?>
<ds:datastoreItem xmlns:ds="http://schemas.openxmlformats.org/officeDocument/2006/customXml" ds:itemID="{A99235C2-A166-486E-8792-BAA5CCB73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46</Pages>
  <Words>8870</Words>
  <Characters>48295</Characters>
  <Application>Microsoft Office Word</Application>
  <DocSecurity>0</DocSecurity>
  <Lines>402</Lines>
  <Paragraphs>114</Paragraphs>
  <ScaleCrop>false</ScaleCrop>
  <HeadingPairs>
    <vt:vector size="2" baseType="variant">
      <vt:variant>
        <vt:lpstr>Title</vt:lpstr>
      </vt:variant>
      <vt:variant>
        <vt:i4>1</vt:i4>
      </vt:variant>
    </vt:vector>
  </HeadingPairs>
  <TitlesOfParts>
    <vt:vector size="1" baseType="lpstr">
      <vt:lpstr/>
    </vt:vector>
  </TitlesOfParts>
  <Company>Gunster</Company>
  <LinksUpToDate>false</LinksUpToDate>
  <CharactersWithSpaces>57051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guycha</dc:creator>
  <cp:keywords/>
  <cp:lastModifiedBy>sdriteno</cp:lastModifiedBy>
  <cp:revision>2</cp:revision>
  <cp:lastPrinted>2011-06-22T16:52:00Z</cp:lastPrinted>
  <dcterms:created xsi:type="dcterms:W3CDTF">2011-07-03T23:44:00Z</dcterms:created>
  <dcterms:modified xsi:type="dcterms:W3CDTF">2011-07-03T23:44:00Z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-1718827318</vt:i4>
  </property>
  <property fmtid="{D5CDD505-2E9C-101B-9397-08002B2CF9AE}" pid="3" name="_NewReviewCycle">
    <vt:lpwstr/>
  </property>
  <property fmtid="{D5CDD505-2E9C-101B-9397-08002B2CF9AE}" pid="4" name="_EmailSubject">
    <vt:lpwstr>Erickson testimony</vt:lpwstr>
  </property>
  <property fmtid="{D5CDD505-2E9C-101B-9397-08002B2CF9AE}" pid="5" name="_AuthorEmail">
    <vt:lpwstr>SDRITENO@southernco.com</vt:lpwstr>
  </property>
  <property fmtid="{D5CDD505-2E9C-101B-9397-08002B2CF9AE}" pid="6" name="_AuthorEmailDisplayName">
    <vt:lpwstr>Ritenour, Susan D.</vt:lpwstr>
  </property>
</Properties>
</file>