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69" w:rsidRDefault="00DC1EAD">
      <w:pPr>
        <w:jc w:val="center"/>
      </w:pPr>
      <w:r>
        <w:t xml:space="preserve"> </w:t>
      </w:r>
      <w:r w:rsidR="004B3369">
        <w:t>BEFORE THE FLORIDA PUBLIC SERVICE COMMISSION</w:t>
      </w:r>
    </w:p>
    <w:p w:rsidR="004B3369" w:rsidRDefault="004B3369">
      <w:pPr>
        <w:jc w:val="center"/>
      </w:pPr>
    </w:p>
    <w:p w:rsidR="004B3369" w:rsidRPr="004F2F21" w:rsidRDefault="004B3369">
      <w:pPr>
        <w:jc w:val="center"/>
      </w:pPr>
    </w:p>
    <w:tbl>
      <w:tblPr>
        <w:tblW w:w="0" w:type="auto"/>
        <w:tblBorders>
          <w:insideV w:val="double" w:sz="4" w:space="0" w:color="auto"/>
        </w:tblBorders>
        <w:tblLook w:val="01E0"/>
      </w:tblPr>
      <w:tblGrid>
        <w:gridCol w:w="4788"/>
        <w:gridCol w:w="4788"/>
      </w:tblGrid>
      <w:tr w:rsidR="004B3369" w:rsidTr="00FF1DAC">
        <w:trPr>
          <w:trHeight w:val="828"/>
        </w:trPr>
        <w:tc>
          <w:tcPr>
            <w:tcW w:w="4788" w:type="dxa"/>
            <w:tcBorders>
              <w:bottom w:val="single" w:sz="8" w:space="0" w:color="auto"/>
              <w:right w:val="double" w:sz="6" w:space="0" w:color="auto"/>
            </w:tcBorders>
          </w:tcPr>
          <w:p w:rsidR="004B3369" w:rsidRDefault="004B3369">
            <w:pPr>
              <w:pStyle w:val="OrderBody"/>
            </w:pPr>
            <w:r>
              <w:t xml:space="preserve">In re: </w:t>
            </w:r>
            <w:bookmarkStart w:id="0" w:name="BM_InRe"/>
            <w:bookmarkEnd w:id="0"/>
            <w:r>
              <w:t>Petition for increase in rates by Florida Power &amp; Light Company.</w:t>
            </w:r>
          </w:p>
        </w:tc>
        <w:tc>
          <w:tcPr>
            <w:tcW w:w="4788" w:type="dxa"/>
            <w:tcBorders>
              <w:left w:val="double" w:sz="6" w:space="0" w:color="auto"/>
            </w:tcBorders>
          </w:tcPr>
          <w:p w:rsidR="004B3369" w:rsidRDefault="004B3369">
            <w:pPr>
              <w:pStyle w:val="OrderBody"/>
            </w:pPr>
            <w:r>
              <w:t xml:space="preserve">DOCKET NO. </w:t>
            </w:r>
            <w:bookmarkStart w:id="1" w:name="BM_Docket"/>
            <w:bookmarkEnd w:id="1"/>
            <w:r>
              <w:t>120015-EI</w:t>
            </w:r>
          </w:p>
          <w:p w:rsidR="004B3369" w:rsidRDefault="004B3369">
            <w:pPr>
              <w:pStyle w:val="OrderBody"/>
            </w:pPr>
          </w:p>
          <w:p w:rsidR="004B3369" w:rsidRDefault="004B3369" w:rsidP="002F19B2">
            <w:pPr>
              <w:pStyle w:val="OrderBody"/>
            </w:pPr>
            <w:r>
              <w:t xml:space="preserve">DATED: </w:t>
            </w:r>
            <w:bookmarkStart w:id="2" w:name="BM_Dated"/>
            <w:bookmarkEnd w:id="2"/>
            <w:r w:rsidR="00AA68E3">
              <w:t>November 8</w:t>
            </w:r>
            <w:r>
              <w:t>, 2012</w:t>
            </w:r>
          </w:p>
        </w:tc>
      </w:tr>
    </w:tbl>
    <w:p w:rsidR="009E3E83" w:rsidRDefault="009E3E83" w:rsidP="00EA29B3">
      <w:pPr>
        <w:pStyle w:val="Heading1"/>
        <w:numPr>
          <w:ilvl w:val="0"/>
          <w:numId w:val="0"/>
        </w:numPr>
        <w:tabs>
          <w:tab w:val="left" w:pos="0"/>
        </w:tabs>
        <w:spacing w:line="240" w:lineRule="auto"/>
      </w:pPr>
    </w:p>
    <w:p w:rsidR="009E3E83" w:rsidRDefault="009E3E83" w:rsidP="00EA29B3">
      <w:pPr>
        <w:pStyle w:val="Heading1"/>
        <w:numPr>
          <w:ilvl w:val="0"/>
          <w:numId w:val="0"/>
        </w:numPr>
        <w:tabs>
          <w:tab w:val="left" w:pos="0"/>
        </w:tabs>
        <w:spacing w:line="240" w:lineRule="auto"/>
      </w:pPr>
    </w:p>
    <w:p w:rsidR="002D4B0E" w:rsidRDefault="002D4B0E" w:rsidP="00EA29B3">
      <w:pPr>
        <w:pStyle w:val="Heading1"/>
        <w:numPr>
          <w:ilvl w:val="0"/>
          <w:numId w:val="0"/>
        </w:numPr>
        <w:tabs>
          <w:tab w:val="left" w:pos="0"/>
        </w:tabs>
        <w:spacing w:line="240" w:lineRule="auto"/>
      </w:pPr>
    </w:p>
    <w:p w:rsidR="002D4B0E" w:rsidRDefault="002D4B0E" w:rsidP="00EA29B3">
      <w:pPr>
        <w:pStyle w:val="Heading1"/>
        <w:numPr>
          <w:ilvl w:val="0"/>
          <w:numId w:val="0"/>
        </w:numPr>
        <w:tabs>
          <w:tab w:val="left" w:pos="0"/>
        </w:tabs>
        <w:spacing w:line="240" w:lineRule="auto"/>
      </w:pPr>
    </w:p>
    <w:p w:rsidR="004B3369" w:rsidRDefault="006516E0" w:rsidP="00EA29B3">
      <w:pPr>
        <w:pStyle w:val="Heading1"/>
        <w:numPr>
          <w:ilvl w:val="0"/>
          <w:numId w:val="0"/>
        </w:numPr>
        <w:tabs>
          <w:tab w:val="left" w:pos="0"/>
        </w:tabs>
        <w:spacing w:line="240" w:lineRule="auto"/>
      </w:pPr>
      <w:r>
        <w:t xml:space="preserve">Proposed Settlement </w:t>
      </w:r>
      <w:r w:rsidR="009E3E83">
        <w:t>Prehearing Statement of John W. Hendricks</w:t>
      </w:r>
    </w:p>
    <w:p w:rsidR="004B3369" w:rsidRDefault="004B3369" w:rsidP="004B3369"/>
    <w:p w:rsidR="00674D9D" w:rsidRDefault="00674D9D" w:rsidP="004B3369"/>
    <w:p w:rsidR="00674D9D" w:rsidRDefault="00674D9D" w:rsidP="004B3369"/>
    <w:p w:rsidR="004B3369" w:rsidRDefault="004B3369" w:rsidP="009E3E83">
      <w:pPr>
        <w:pStyle w:val="InterProdBody"/>
      </w:pPr>
      <w:r>
        <w:tab/>
      </w:r>
      <w:r w:rsidR="00D348FD">
        <w:t>John W. Hendricks</w:t>
      </w:r>
      <w:r w:rsidRPr="002475BC">
        <w:t xml:space="preserve"> </w:t>
      </w:r>
      <w:r w:rsidR="009E3E83">
        <w:t xml:space="preserve">hereby submits this </w:t>
      </w:r>
      <w:r w:rsidR="006516E0">
        <w:t xml:space="preserve">Proposed Settlement </w:t>
      </w:r>
      <w:r w:rsidR="009E3E83">
        <w:t xml:space="preserve">Prehearing Statement.  </w:t>
      </w:r>
    </w:p>
    <w:p w:rsidR="009E3E83" w:rsidRDefault="00B82BE5" w:rsidP="009E3E83">
      <w:pPr>
        <w:pStyle w:val="InterProdBody"/>
      </w:pPr>
      <w:r>
        <w:t>APPEARANCES:</w:t>
      </w:r>
    </w:p>
    <w:p w:rsidR="00B82BE5" w:rsidRDefault="00AA1C92" w:rsidP="009E3E83">
      <w:pPr>
        <w:pStyle w:val="InterProdBody"/>
      </w:pPr>
      <w:r>
        <w:tab/>
        <w:t>John W. Hendricks</w:t>
      </w:r>
    </w:p>
    <w:p w:rsidR="009E3E83" w:rsidRDefault="00FC5DDD" w:rsidP="00AA1C92">
      <w:pPr>
        <w:pStyle w:val="InterProdBody"/>
        <w:numPr>
          <w:ilvl w:val="0"/>
          <w:numId w:val="16"/>
        </w:numPr>
        <w:ind w:left="360"/>
        <w:rPr>
          <w:caps/>
          <w:u w:val="single"/>
        </w:rPr>
      </w:pPr>
      <w:r>
        <w:rPr>
          <w:caps/>
          <w:u w:val="single"/>
        </w:rPr>
        <w:t xml:space="preserve">Wittnesses:  </w:t>
      </w:r>
    </w:p>
    <w:p w:rsidR="00FC5DDD" w:rsidRDefault="00FC5DDD" w:rsidP="00FC5DDD">
      <w:pPr>
        <w:ind w:left="720"/>
      </w:pPr>
      <w:r>
        <w:t>John W. Hendricks</w:t>
      </w:r>
    </w:p>
    <w:p w:rsidR="00FC5DDD" w:rsidRDefault="00FC5DDD" w:rsidP="00FC5DDD">
      <w:pPr>
        <w:ind w:left="720"/>
      </w:pPr>
      <w:r>
        <w:t>367 S Shore Drive</w:t>
      </w:r>
    </w:p>
    <w:p w:rsidR="00FC5DDD" w:rsidRDefault="00FC5DDD" w:rsidP="00FC5DDD">
      <w:pPr>
        <w:ind w:left="720"/>
      </w:pPr>
      <w:r>
        <w:t>Sarasota, Florida 34234</w:t>
      </w:r>
    </w:p>
    <w:p w:rsidR="00FC5DDD" w:rsidRDefault="00FC5DDD" w:rsidP="00FC5DDD">
      <w:pPr>
        <w:ind w:left="720"/>
      </w:pPr>
      <w:r>
        <w:t>Telephone:  (941) 685-0223</w:t>
      </w:r>
    </w:p>
    <w:p w:rsidR="00FC5DDD" w:rsidRDefault="00FC5DDD" w:rsidP="00FC5DDD">
      <w:pPr>
        <w:ind w:left="720"/>
      </w:pPr>
      <w:r>
        <w:t xml:space="preserve">Email:  </w:t>
      </w:r>
      <w:hyperlink r:id="rId8" w:history="1">
        <w:r>
          <w:rPr>
            <w:rStyle w:val="Hyperlink"/>
          </w:rPr>
          <w:t>jwhendricks@sti2.com</w:t>
        </w:r>
      </w:hyperlink>
    </w:p>
    <w:p w:rsidR="009E3E83" w:rsidRDefault="009E3E83" w:rsidP="009E3E83">
      <w:pPr>
        <w:pStyle w:val="InterProdBody"/>
        <w:rPr>
          <w:caps/>
          <w:u w:val="single"/>
        </w:rPr>
      </w:pPr>
    </w:p>
    <w:p w:rsidR="009E3E83" w:rsidRDefault="0080390A" w:rsidP="0080390A">
      <w:pPr>
        <w:pStyle w:val="InterProdBody"/>
        <w:numPr>
          <w:ilvl w:val="0"/>
          <w:numId w:val="16"/>
        </w:numPr>
        <w:ind w:left="360"/>
        <w:rPr>
          <w:caps/>
          <w:u w:val="single"/>
        </w:rPr>
      </w:pPr>
      <w:r>
        <w:rPr>
          <w:caps/>
          <w:u w:val="single"/>
        </w:rPr>
        <w:t xml:space="preserve"> </w:t>
      </w:r>
      <w:r w:rsidR="00FC5DDD">
        <w:rPr>
          <w:caps/>
          <w:u w:val="single"/>
        </w:rPr>
        <w:t xml:space="preserve">Exhibits:  </w:t>
      </w:r>
    </w:p>
    <w:p w:rsidR="0039615C" w:rsidRDefault="0039615C" w:rsidP="003D2C2B"/>
    <w:p w:rsidR="003D2C2B" w:rsidRDefault="003D2C2B" w:rsidP="003D2C2B">
      <w:r>
        <w:t>JWH-7</w:t>
      </w:r>
      <w:r w:rsidR="0039615C">
        <w:tab/>
      </w:r>
      <w:r w:rsidR="0039615C">
        <w:tab/>
      </w:r>
      <w:r w:rsidR="0039615C">
        <w:tab/>
      </w:r>
      <w:r w:rsidR="006516E0">
        <w:t>Tax Efficiency in the GBRA Process</w:t>
      </w:r>
    </w:p>
    <w:p w:rsidR="00FC5DDD" w:rsidRDefault="00FC5DDD" w:rsidP="0080390A">
      <w:pPr>
        <w:pStyle w:val="InterProdBody"/>
        <w:rPr>
          <w:caps/>
          <w:u w:val="single"/>
        </w:rPr>
      </w:pPr>
    </w:p>
    <w:p w:rsidR="00FC5DDD" w:rsidRDefault="009842BC" w:rsidP="0080390A">
      <w:pPr>
        <w:pStyle w:val="InterProdBody"/>
        <w:numPr>
          <w:ilvl w:val="0"/>
          <w:numId w:val="16"/>
        </w:numPr>
        <w:ind w:left="0"/>
        <w:rPr>
          <w:caps/>
          <w:u w:val="single"/>
        </w:rPr>
      </w:pPr>
      <w:r>
        <w:rPr>
          <w:caps/>
          <w:u w:val="single"/>
        </w:rPr>
        <w:br w:type="page"/>
      </w:r>
      <w:r w:rsidR="00FC5DDD">
        <w:rPr>
          <w:caps/>
          <w:u w:val="single"/>
        </w:rPr>
        <w:lastRenderedPageBreak/>
        <w:t>statement of basic position</w:t>
      </w:r>
    </w:p>
    <w:p w:rsidR="007B7D4E" w:rsidRDefault="007F6C26" w:rsidP="009842BC">
      <w:pPr>
        <w:spacing w:line="480" w:lineRule="auto"/>
        <w:ind w:firstLine="720"/>
      </w:pPr>
      <w:r>
        <w:t>The proposed s</w:t>
      </w:r>
      <w:r w:rsidR="00AC6B48">
        <w:t>et</w:t>
      </w:r>
      <w:r w:rsidR="003B74F8">
        <w:t xml:space="preserve">tlement </w:t>
      </w:r>
      <w:r w:rsidR="006D6485">
        <w:t xml:space="preserve">package </w:t>
      </w:r>
      <w:r w:rsidR="003B74F8">
        <w:t>has</w:t>
      </w:r>
      <w:r w:rsidR="006D6485">
        <w:t xml:space="preserve"> some</w:t>
      </w:r>
      <w:r w:rsidR="00E83A8E">
        <w:t xml:space="preserve"> desirable features</w:t>
      </w:r>
      <w:r w:rsidR="00B10CA5">
        <w:t>, such as the GBRA’s administrative efficiency and the Incentive Mechanism’s focus on optimizing power and fuel assets</w:t>
      </w:r>
      <w:r w:rsidR="00255D20">
        <w:t xml:space="preserve"> that are in the rate base.  </w:t>
      </w:r>
      <w:r w:rsidR="00C30452">
        <w:t>Unfortunately, the proposed settlement</w:t>
      </w:r>
      <w:r w:rsidR="00255D20">
        <w:t xml:space="preserve"> also has</w:t>
      </w:r>
      <w:r w:rsidR="006D6485">
        <w:t xml:space="preserve"> </w:t>
      </w:r>
      <w:r w:rsidR="00E83A8E">
        <w:t>critical flaws</w:t>
      </w:r>
      <w:r w:rsidR="00B00066">
        <w:t xml:space="preserve"> which disqualify it from being in the public interest.  </w:t>
      </w:r>
      <w:r w:rsidR="00121503">
        <w:t xml:space="preserve">It is inefficient, </w:t>
      </w:r>
      <w:r w:rsidR="006A6BCE">
        <w:t xml:space="preserve">unbalanced in favor of the </w:t>
      </w:r>
      <w:r w:rsidR="000E0A38">
        <w:t>utility over its ratepayers</w:t>
      </w:r>
      <w:r w:rsidR="00121503">
        <w:t>, and</w:t>
      </w:r>
      <w:r w:rsidR="000E0A38">
        <w:t xml:space="preserve"> </w:t>
      </w:r>
      <w:r w:rsidR="006A6BCE">
        <w:t xml:space="preserve">unbalanced in favor of large </w:t>
      </w:r>
      <w:r w:rsidR="003B74F8">
        <w:t xml:space="preserve">ratepayers over small ones.  </w:t>
      </w:r>
      <w:r w:rsidR="00927FE8">
        <w:t>The most ob</w:t>
      </w:r>
      <w:r w:rsidR="00C211BF">
        <w:t xml:space="preserve">vious symptom of the imbalance is </w:t>
      </w:r>
      <w:r w:rsidR="00410F94">
        <w:t xml:space="preserve">that </w:t>
      </w:r>
      <w:r w:rsidR="00927FE8">
        <w:t>the Office of Public Council</w:t>
      </w:r>
      <w:r>
        <w:t>, representing</w:t>
      </w:r>
      <w:r w:rsidR="00351ED2">
        <w:t xml:space="preserve"> the citizens of Florida, </w:t>
      </w:r>
      <w:r w:rsidR="000E0A38">
        <w:t xml:space="preserve">opposes </w:t>
      </w:r>
      <w:r w:rsidR="00410F94">
        <w:t>the proposed settlement</w:t>
      </w:r>
      <w:r w:rsidR="000E0A38">
        <w:t>,</w:t>
      </w:r>
      <w:r w:rsidR="00410F94">
        <w:t xml:space="preserve"> while the three parties joining FPL </w:t>
      </w:r>
      <w:r w:rsidR="003E2E2A">
        <w:t xml:space="preserve">in support </w:t>
      </w:r>
      <w:r w:rsidR="00410F94">
        <w:t>re</w:t>
      </w:r>
      <w:r w:rsidR="003E2E2A">
        <w:t>present large institutional power users</w:t>
      </w:r>
      <w:r w:rsidR="00C211BF">
        <w:t xml:space="preserve">, who would </w:t>
      </w:r>
      <w:r w:rsidR="003E2E2A">
        <w:t>benefit disproportionately</w:t>
      </w:r>
      <w:r w:rsidR="000E0A38">
        <w:t xml:space="preserve"> as </w:t>
      </w:r>
      <w:r w:rsidR="003E2E2A">
        <w:t xml:space="preserve">the </w:t>
      </w:r>
      <w:r w:rsidR="000E0A38">
        <w:t xml:space="preserve">settlement shifts </w:t>
      </w:r>
      <w:r w:rsidR="003E2E2A">
        <w:t xml:space="preserve">costs to residential and </w:t>
      </w:r>
      <w:r w:rsidR="000E0A38">
        <w:t>other small</w:t>
      </w:r>
      <w:r w:rsidR="003E2E2A">
        <w:t xml:space="preserve"> ratepayers.  </w:t>
      </w:r>
    </w:p>
    <w:p w:rsidR="00BE6BAD" w:rsidRDefault="00E929E8" w:rsidP="009842BC">
      <w:pPr>
        <w:spacing w:line="480" w:lineRule="auto"/>
        <w:ind w:firstLine="720"/>
      </w:pPr>
      <w:r>
        <w:t xml:space="preserve">The </w:t>
      </w:r>
      <w:r w:rsidR="00712989">
        <w:t>four</w:t>
      </w:r>
      <w:r>
        <w:t xml:space="preserve"> issues </w:t>
      </w:r>
      <w:r w:rsidR="00712989">
        <w:t xml:space="preserve">posed </w:t>
      </w:r>
      <w:r>
        <w:t xml:space="preserve">about specific terms of the proposed settlement </w:t>
      </w:r>
      <w:r w:rsidR="00712989">
        <w:t>and the summary issue about the settlement proposal as a whole are all answered in the negative</w:t>
      </w:r>
      <w:r w:rsidR="00974953">
        <w:t xml:space="preserve"> - - </w:t>
      </w:r>
      <w:r w:rsidR="00712989">
        <w:t>they are not in the public interest</w:t>
      </w:r>
      <w:r w:rsidR="00590639">
        <w:t xml:space="preserve">.  </w:t>
      </w:r>
      <w:r w:rsidR="00712989">
        <w:t xml:space="preserve"> </w:t>
      </w:r>
    </w:p>
    <w:p w:rsidR="003B4E7D" w:rsidRDefault="003B4E7D" w:rsidP="003B4E7D">
      <w:pPr>
        <w:spacing w:line="480" w:lineRule="auto"/>
        <w:ind w:firstLine="720"/>
      </w:pPr>
      <w:r>
        <w:t>The GBRA would unnecessarily raise the ratepayer costs for financing about $3billion of new generation</w:t>
      </w:r>
      <w:r w:rsidR="00023879">
        <w:t>.  It</w:t>
      </w:r>
      <w:r>
        <w:t xml:space="preserve"> includes very large tax gross-up costs</w:t>
      </w:r>
      <w:r w:rsidR="00023879">
        <w:t xml:space="preserve"> and an equity ratio above that used in the determination of need</w:t>
      </w:r>
      <w:r>
        <w:t xml:space="preserve">.  The provisions concerning amortization of reserve accounts will increase the likelihood of ROEs above the mid-point and are an inappropriate use of these reserve accounts.  The proposed incentive mechanism’s rewards are unbalanced and have the potential to create windfall profits and blowback.  </w:t>
      </w:r>
      <w:r w:rsidR="00023879">
        <w:t>Approving them as proposed would ignore</w:t>
      </w:r>
      <w:r w:rsidR="00C41CB1">
        <w:t xml:space="preserve"> much of what we know about the role of asymmetric information in regulation.  </w:t>
      </w:r>
    </w:p>
    <w:p w:rsidR="00974953" w:rsidRPr="003B4E7D" w:rsidRDefault="00974953" w:rsidP="003B4E7D">
      <w:pPr>
        <w:spacing w:line="480" w:lineRule="auto"/>
        <w:ind w:firstLine="720"/>
      </w:pPr>
      <w:r>
        <w:t xml:space="preserve">Please consider the potential for </w:t>
      </w:r>
      <w:r w:rsidR="00DF7B73">
        <w:t xml:space="preserve">the Commission to accept some of the terms of the proposed settlement and the original FPL proposal, to modify some of them to achieve a more balanced outcome and to reject those that are clearly not in the public interest.  </w:t>
      </w:r>
      <w:r w:rsidR="00C6748F">
        <w:t xml:space="preserve">All of the parties </w:t>
      </w:r>
      <w:r w:rsidR="00C6748F">
        <w:lastRenderedPageBreak/>
        <w:t>need to get beyond “take it or leave it” attitudes.  We are fortunate to be in a</w:t>
      </w:r>
      <w:r w:rsidR="00787AA5">
        <w:t xml:space="preserve"> very promising position today.  Thanks to the good work of the Commission, FPL,</w:t>
      </w:r>
      <w:r w:rsidR="00C94886">
        <w:t xml:space="preserve"> OPC</w:t>
      </w:r>
      <w:r w:rsidR="00787AA5">
        <w:t xml:space="preserve"> and</w:t>
      </w:r>
      <w:r w:rsidR="007470C6">
        <w:t xml:space="preserve"> the U.S. gas</w:t>
      </w:r>
      <w:r w:rsidR="00787AA5">
        <w:t xml:space="preserve"> industry </w:t>
      </w:r>
      <w:r w:rsidR="007470C6">
        <w:t xml:space="preserve">we are well positioned to have reliable and relatively low cost electricity that </w:t>
      </w:r>
      <w:r w:rsidR="00C94886">
        <w:t xml:space="preserve">many </w:t>
      </w:r>
      <w:r w:rsidR="007470C6">
        <w:t xml:space="preserve">other locations </w:t>
      </w:r>
      <w:r w:rsidR="00C94886">
        <w:t xml:space="preserve">will envy.  </w:t>
      </w:r>
      <w:r w:rsidR="000B79B9">
        <w:t xml:space="preserve">Let’s try to </w:t>
      </w:r>
      <w:r w:rsidR="00340E41">
        <w:t>rebalance the GBRA and Incentive Mechanism proposals</w:t>
      </w:r>
      <w:r w:rsidR="00270D88">
        <w:t>,</w:t>
      </w:r>
      <w:r w:rsidR="00340E41">
        <w:t xml:space="preserve"> and move forward with an agreement that </w:t>
      </w:r>
      <w:r w:rsidR="00270D88">
        <w:t xml:space="preserve">fairly </w:t>
      </w:r>
      <w:r w:rsidR="00340E41">
        <w:t xml:space="preserve">rewards FPL </w:t>
      </w:r>
      <w:r w:rsidR="00270D88">
        <w:t xml:space="preserve">investors </w:t>
      </w:r>
      <w:r w:rsidR="00340E41">
        <w:t>and provides reasonable incentives</w:t>
      </w:r>
      <w:r w:rsidR="00270D88">
        <w:t xml:space="preserve"> for optimizing asset management, but </w:t>
      </w:r>
      <w:r w:rsidR="00442FFC">
        <w:t xml:space="preserve">is also fairer to ratepayers.  The new facilities that FPL is building should be a very good investment for ratepayers, but the proposed </w:t>
      </w:r>
      <w:r w:rsidR="00C41CB1">
        <w:t xml:space="preserve">GBRA </w:t>
      </w:r>
      <w:r w:rsidR="00442FFC">
        <w:t>financing and incentives call that into question</w:t>
      </w:r>
      <w:r w:rsidR="00C41CB1">
        <w:t xml:space="preserve"> that value</w:t>
      </w:r>
      <w:r w:rsidR="00442FFC">
        <w:t xml:space="preserve">.  </w:t>
      </w:r>
    </w:p>
    <w:p w:rsidR="00076975" w:rsidRDefault="00076975" w:rsidP="00442FFC">
      <w:pPr>
        <w:pStyle w:val="ListParagraph"/>
        <w:spacing w:line="480" w:lineRule="auto"/>
      </w:pPr>
    </w:p>
    <w:p w:rsidR="00076975" w:rsidRDefault="00076975" w:rsidP="00E97563">
      <w:pPr>
        <w:pStyle w:val="ListParagraph"/>
        <w:spacing w:line="480" w:lineRule="auto"/>
        <w:ind w:left="0" w:firstLine="720"/>
      </w:pPr>
    </w:p>
    <w:p w:rsidR="0080390A" w:rsidRDefault="00F26656" w:rsidP="00623AA9">
      <w:pPr>
        <w:pStyle w:val="InterProdBody"/>
        <w:rPr>
          <w:caps/>
          <w:u w:val="single"/>
        </w:rPr>
      </w:pPr>
      <w:r>
        <w:rPr>
          <w:caps/>
          <w:u w:val="single"/>
        </w:rPr>
        <w:br w:type="page"/>
      </w:r>
      <w:r w:rsidR="0080390A">
        <w:rPr>
          <w:caps/>
          <w:u w:val="single"/>
        </w:rPr>
        <w:lastRenderedPageBreak/>
        <w:t>statement of factual issues and positions</w:t>
      </w:r>
    </w:p>
    <w:p w:rsidR="00A20557" w:rsidRDefault="00A20557" w:rsidP="00A20557"/>
    <w:p w:rsidR="00E5251D" w:rsidRDefault="00E5251D" w:rsidP="00E5251D">
      <w:pPr>
        <w:ind w:left="1440" w:hanging="1440"/>
        <w:jc w:val="both"/>
        <w:rPr>
          <w:b/>
          <w:u w:val="single"/>
        </w:rPr>
      </w:pPr>
    </w:p>
    <w:p w:rsidR="00780D9F" w:rsidRDefault="00E5251D" w:rsidP="00780D9F">
      <w:pPr>
        <w:ind w:left="1440" w:hanging="1440"/>
        <w:jc w:val="both"/>
      </w:pPr>
      <w:r>
        <w:rPr>
          <w:b/>
          <w:u w:val="single"/>
        </w:rPr>
        <w:t xml:space="preserve">Issue </w:t>
      </w:r>
      <w:r w:rsidRPr="00B37B10">
        <w:rPr>
          <w:b/>
          <w:u w:val="single"/>
        </w:rPr>
        <w:t>1</w:t>
      </w:r>
      <w:r>
        <w:t>:</w:t>
      </w:r>
      <w:r>
        <w:rPr>
          <w:b/>
          <w:bCs/>
        </w:rPr>
        <w:tab/>
      </w:r>
      <w:r w:rsidR="00780D9F" w:rsidRPr="00CA3BFE">
        <w:t>Are the generation base rate adjustments</w:t>
      </w:r>
      <w:r w:rsidR="00561477">
        <w:t xml:space="preserve"> (GBRA)</w:t>
      </w:r>
      <w:r w:rsidR="00780D9F" w:rsidRPr="00CA3BFE">
        <w:t xml:space="preserve"> for the Canaveral Modernization Project, Riviera Beach Modernization Project, and Port Everglades Modernization Project, contained in paragraph 8 of the Stipulation and Settlement, in the public interest?</w:t>
      </w:r>
    </w:p>
    <w:p w:rsidR="00E5251D" w:rsidRDefault="00AE77CE" w:rsidP="004F7DEC">
      <w:pPr>
        <w:spacing w:before="120"/>
        <w:ind w:left="1440" w:hanging="1440"/>
        <w:outlineLvl w:val="0"/>
      </w:pPr>
      <w:r>
        <w:t>JWH:</w:t>
      </w:r>
      <w:r>
        <w:tab/>
        <w:t>No</w:t>
      </w:r>
      <w:r w:rsidR="00E5251D">
        <w:t xml:space="preserve">.  </w:t>
      </w:r>
      <w:r w:rsidR="004627CD">
        <w:t>T</w:t>
      </w:r>
      <w:r w:rsidR="00106854">
        <w:t xml:space="preserve">he GBRA </w:t>
      </w:r>
      <w:r w:rsidR="004627CD">
        <w:t xml:space="preserve">as specified in </w:t>
      </w:r>
      <w:r w:rsidR="0090052C">
        <w:t>this settlement proposal</w:t>
      </w:r>
      <w:r w:rsidR="004627CD">
        <w:t xml:space="preserve"> </w:t>
      </w:r>
      <w:r w:rsidR="00E67687">
        <w:t xml:space="preserve">“short circuits” the </w:t>
      </w:r>
      <w:r w:rsidR="00C82628">
        <w:t>expect</w:t>
      </w:r>
      <w:r w:rsidR="00E67687">
        <w:t xml:space="preserve">ed rate case scrutiny for over $3Billion of new </w:t>
      </w:r>
      <w:r w:rsidR="00C82628">
        <w:t>generation,</w:t>
      </w:r>
      <w:r w:rsidR="00C81C23">
        <w:t xml:space="preserve"> enshrines a</w:t>
      </w:r>
      <w:r w:rsidR="0090052C">
        <w:t xml:space="preserve"> costly and tax-</w:t>
      </w:r>
      <w:r w:rsidR="00C81C23">
        <w:t>inefficient equity</w:t>
      </w:r>
      <w:r w:rsidR="00333E44">
        <w:t xml:space="preserve"> </w:t>
      </w:r>
      <w:r w:rsidR="00C81C23">
        <w:t>ratio</w:t>
      </w:r>
      <w:r w:rsidR="00333E44">
        <w:t xml:space="preserve"> that exceeds the determination of need value</w:t>
      </w:r>
      <w:r w:rsidR="004F4B27">
        <w:t>, could block ratepayers receiving</w:t>
      </w:r>
      <w:r w:rsidR="00185F54">
        <w:t xml:space="preserve"> the benefit of corporate income tax reductions, </w:t>
      </w:r>
      <w:r w:rsidR="00E67687">
        <w:t xml:space="preserve">and </w:t>
      </w:r>
      <w:r w:rsidR="004627CD">
        <w:t xml:space="preserve">cost ratepayers over $300 million by eliminating the typical </w:t>
      </w:r>
      <w:r w:rsidR="0090052C">
        <w:t xml:space="preserve">rate case </w:t>
      </w:r>
      <w:r w:rsidR="004627CD">
        <w:t>regulatory lag</w:t>
      </w:r>
      <w:r w:rsidR="0090052C">
        <w:t xml:space="preserve">.  </w:t>
      </w:r>
      <w:r w:rsidR="00E5251D">
        <w:t xml:space="preserve"> </w:t>
      </w:r>
    </w:p>
    <w:p w:rsidR="00E5251D" w:rsidRPr="004F7DEC" w:rsidRDefault="00E5251D" w:rsidP="004F7DEC">
      <w:pPr>
        <w:spacing w:before="120"/>
        <w:ind w:left="1440" w:hanging="1440"/>
        <w:outlineLvl w:val="0"/>
      </w:pPr>
    </w:p>
    <w:p w:rsidR="00E5251D" w:rsidRDefault="00E5251D" w:rsidP="00E5251D">
      <w:pPr>
        <w:tabs>
          <w:tab w:val="left" w:pos="-1440"/>
        </w:tabs>
        <w:ind w:left="1440" w:hanging="1440"/>
        <w:jc w:val="both"/>
      </w:pPr>
      <w:r>
        <w:rPr>
          <w:b/>
          <w:u w:val="single"/>
        </w:rPr>
        <w:t xml:space="preserve">Issue </w:t>
      </w:r>
      <w:r w:rsidR="00AA68E3">
        <w:rPr>
          <w:b/>
          <w:u w:val="single"/>
        </w:rPr>
        <w:t>2</w:t>
      </w:r>
      <w:r>
        <w:t>:</w:t>
      </w:r>
      <w:r>
        <w:rPr>
          <w:b/>
          <w:bCs/>
        </w:rPr>
        <w:tab/>
      </w:r>
      <w:r w:rsidR="004F7DEC" w:rsidRPr="004F7DEC">
        <w:t>Is the provision contained in paragraph 10(b) of the Stipulation and Settlement, which allows the amortization of a portion of FPL’s Fossil Dismantlement Reserve during the Term, in the public interest?</w:t>
      </w:r>
    </w:p>
    <w:p w:rsidR="00E5251D" w:rsidRDefault="00E5251D" w:rsidP="00E5251D">
      <w:pPr>
        <w:spacing w:before="120"/>
        <w:ind w:left="1440" w:hanging="1440"/>
        <w:outlineLvl w:val="0"/>
      </w:pPr>
      <w:r>
        <w:t>JWH:</w:t>
      </w:r>
      <w:r>
        <w:tab/>
      </w:r>
      <w:r w:rsidR="00AE77CE">
        <w:t>No</w:t>
      </w:r>
      <w:r>
        <w:t xml:space="preserve">.  </w:t>
      </w:r>
      <w:r w:rsidR="00201531">
        <w:t>This provision and the on</w:t>
      </w:r>
      <w:r w:rsidR="00A530EA">
        <w:t xml:space="preserve">e covered by </w:t>
      </w:r>
      <w:r w:rsidR="00201531">
        <w:t xml:space="preserve">Issue 3 below facilitate </w:t>
      </w:r>
      <w:r w:rsidR="00A6498A">
        <w:t xml:space="preserve">the use of </w:t>
      </w:r>
      <w:r w:rsidR="00A530EA">
        <w:t xml:space="preserve">reserve account </w:t>
      </w:r>
      <w:r w:rsidR="00A6498A">
        <w:t xml:space="preserve">amortization as a tool to manage the level of ROE.  </w:t>
      </w:r>
      <w:r w:rsidR="0025730A">
        <w:t>This will enable FPL</w:t>
      </w:r>
      <w:r w:rsidR="005F41E0">
        <w:t xml:space="preserve"> to </w:t>
      </w:r>
      <w:r w:rsidR="00F212E2">
        <w:t>achieve a higher average leve</w:t>
      </w:r>
      <w:r w:rsidR="00F04DB1">
        <w:t xml:space="preserve">l of ROE and </w:t>
      </w:r>
      <w:r w:rsidR="00CE1B23">
        <w:t xml:space="preserve">could be manipulated </w:t>
      </w:r>
      <w:r w:rsidR="00986FB5">
        <w:t xml:space="preserve">to </w:t>
      </w:r>
      <w:r w:rsidR="00500F0F">
        <w:t>reduce the chance of crossing the ROE threshold</w:t>
      </w:r>
      <w:r w:rsidR="00CF477B">
        <w:t xml:space="preserve"> that would enable</w:t>
      </w:r>
      <w:r w:rsidR="00500F0F">
        <w:t xml:space="preserve"> a new rate case, while </w:t>
      </w:r>
      <w:r w:rsidR="00E03F39">
        <w:t>pursuing the highest possi</w:t>
      </w:r>
      <w:r w:rsidR="005A3FCE">
        <w:t>ble average ROE. This is an in</w:t>
      </w:r>
      <w:r w:rsidR="00E03F39">
        <w:t>appropriate use of a reserve account</w:t>
      </w:r>
      <w:r w:rsidR="005A3FCE">
        <w:t xml:space="preserve">.  It </w:t>
      </w:r>
      <w:r w:rsidR="005F4853">
        <w:t>would not be in the public interest</w:t>
      </w:r>
      <w:r w:rsidR="005A3FCE">
        <w:t xml:space="preserve"> to treat a reserve account as a slush fund</w:t>
      </w:r>
      <w:r w:rsidR="001712A5">
        <w:t xml:space="preserve"> to top-</w:t>
      </w:r>
      <w:r w:rsidR="005A3FCE">
        <w:t xml:space="preserve">up </w:t>
      </w:r>
      <w:r w:rsidR="00CF477B">
        <w:t>utility earnings</w:t>
      </w:r>
      <w:r w:rsidR="005F4853">
        <w:t xml:space="preserve">.  </w:t>
      </w:r>
    </w:p>
    <w:p w:rsidR="00E5251D" w:rsidRDefault="00E5251D" w:rsidP="00E5251D"/>
    <w:p w:rsidR="00E5251D" w:rsidRPr="00557737" w:rsidRDefault="00E5251D" w:rsidP="00E5251D">
      <w:pPr>
        <w:tabs>
          <w:tab w:val="left" w:pos="720"/>
          <w:tab w:val="left" w:pos="1440"/>
          <w:tab w:val="left" w:pos="2160"/>
          <w:tab w:val="left" w:pos="2880"/>
          <w:tab w:val="left" w:pos="3600"/>
          <w:tab w:val="left" w:pos="4320"/>
          <w:tab w:val="left" w:pos="5040"/>
          <w:tab w:val="left" w:pos="6192"/>
          <w:tab w:val="left" w:pos="7200"/>
        </w:tabs>
        <w:ind w:left="1440" w:hanging="1440"/>
        <w:jc w:val="both"/>
        <w:rPr>
          <w:rFonts w:cs="Arial"/>
        </w:rPr>
      </w:pPr>
      <w:r>
        <w:rPr>
          <w:b/>
          <w:u w:val="single"/>
        </w:rPr>
        <w:t xml:space="preserve">Issue </w:t>
      </w:r>
      <w:r w:rsidR="00AA68E3">
        <w:rPr>
          <w:b/>
          <w:u w:val="single"/>
        </w:rPr>
        <w:t>3</w:t>
      </w:r>
      <w:r>
        <w:t>:</w:t>
      </w:r>
      <w:r w:rsidRPr="00557737">
        <w:rPr>
          <w:rFonts w:cs="Arial"/>
        </w:rPr>
        <w:tab/>
      </w:r>
      <w:r w:rsidR="004F7DEC" w:rsidRPr="004F7DEC">
        <w:rPr>
          <w:rFonts w:cs="Arial"/>
        </w:rPr>
        <w:t>Is the provision contained in paragraph 11 of the Stipulation and Settlement, which relieves FPL of the requirement to file any depreciation or dismantlement study during the Term, in the public interest?</w:t>
      </w:r>
      <w:r w:rsidR="00F212E2">
        <w:rPr>
          <w:rFonts w:cs="Arial"/>
        </w:rPr>
        <w:t xml:space="preserve">  </w:t>
      </w:r>
    </w:p>
    <w:p w:rsidR="00E5251D" w:rsidRDefault="00AE77CE" w:rsidP="0025730A">
      <w:pPr>
        <w:spacing w:before="120"/>
        <w:ind w:left="1440" w:hanging="1440"/>
        <w:outlineLvl w:val="0"/>
      </w:pPr>
      <w:r>
        <w:t>JWH:</w:t>
      </w:r>
      <w:r>
        <w:tab/>
        <w:t>No</w:t>
      </w:r>
      <w:r w:rsidR="00E5251D">
        <w:t xml:space="preserve">.  </w:t>
      </w:r>
      <w:r w:rsidR="001712A5">
        <w:t xml:space="preserve">This provision would block </w:t>
      </w:r>
      <w:r w:rsidR="004527C8">
        <w:t xml:space="preserve">creating or revising any depreciation or </w:t>
      </w:r>
      <w:r w:rsidR="001712A5">
        <w:t>dismantlement account</w:t>
      </w:r>
      <w:r w:rsidR="004527C8">
        <w:t>s</w:t>
      </w:r>
      <w:r w:rsidR="00C3512C">
        <w:t xml:space="preserve"> to </w:t>
      </w:r>
      <w:r w:rsidR="004527C8">
        <w:t xml:space="preserve">protect the </w:t>
      </w:r>
      <w:r w:rsidR="00E51551">
        <w:t>ROE manage</w:t>
      </w:r>
      <w:r w:rsidR="00C3512C">
        <w:t>ment capability described above.</w:t>
      </w:r>
      <w:r w:rsidR="00E85C56">
        <w:t xml:space="preserve">  It would</w:t>
      </w:r>
      <w:r w:rsidR="00C3512C">
        <w:t xml:space="preserve"> not</w:t>
      </w:r>
      <w:r w:rsidR="00E85C56">
        <w:t xml:space="preserve"> be</w:t>
      </w:r>
      <w:r w:rsidR="00C3512C">
        <w:t xml:space="preserve"> in the public interest because it would</w:t>
      </w:r>
      <w:r w:rsidR="002147F4">
        <w:t xml:space="preserve"> </w:t>
      </w:r>
      <w:r w:rsidR="00E51551">
        <w:t xml:space="preserve">put ratepayers at risk of future rate shocks by blocking </w:t>
      </w:r>
      <w:r w:rsidR="005F26B3">
        <w:t xml:space="preserve">all </w:t>
      </w:r>
      <w:r w:rsidR="00E51551">
        <w:t>studies</w:t>
      </w:r>
      <w:r w:rsidR="005F26B3">
        <w:t>, including those</w:t>
      </w:r>
      <w:r w:rsidR="00E51551">
        <w:t xml:space="preserve"> currently mandated</w:t>
      </w:r>
      <w:r w:rsidR="005F26B3">
        <w:t>,</w:t>
      </w:r>
      <w:r w:rsidR="00E51551">
        <w:t xml:space="preserve"> until after the 4 year term of the </w:t>
      </w:r>
      <w:r w:rsidR="005F26B3">
        <w:t xml:space="preserve">proposed </w:t>
      </w:r>
      <w:r w:rsidR="00E51551">
        <w:t>agreement</w:t>
      </w:r>
      <w:r w:rsidR="005F26B3">
        <w:t xml:space="preserve">.  </w:t>
      </w:r>
      <w:r w:rsidR="00C3512C">
        <w:t>It also contributes to a lack of transparency</w:t>
      </w:r>
      <w:r w:rsidR="005F26B3">
        <w:t xml:space="preserve">.  </w:t>
      </w:r>
      <w:r w:rsidR="00E51551">
        <w:t xml:space="preserve"> </w:t>
      </w:r>
      <w:r w:rsidR="005F26B3">
        <w:t>Also s</w:t>
      </w:r>
      <w:r w:rsidR="0025730A">
        <w:t>ee positi</w:t>
      </w:r>
      <w:r w:rsidR="002147F4">
        <w:t>on statement on Issue 2 above</w:t>
      </w:r>
      <w:r w:rsidR="005F26B3">
        <w:t xml:space="preserve">.  </w:t>
      </w:r>
      <w:r w:rsidR="002147F4">
        <w:t xml:space="preserve"> </w:t>
      </w:r>
    </w:p>
    <w:p w:rsidR="00E5251D" w:rsidRDefault="00E5251D" w:rsidP="00E5251D">
      <w:pPr>
        <w:spacing w:before="120"/>
        <w:ind w:left="1440"/>
        <w:outlineLvl w:val="0"/>
      </w:pPr>
    </w:p>
    <w:p w:rsidR="00E5251D" w:rsidRDefault="00E5251D" w:rsidP="00E5251D">
      <w:pPr>
        <w:ind w:left="1440" w:hanging="1440"/>
        <w:jc w:val="both"/>
      </w:pPr>
      <w:r>
        <w:rPr>
          <w:b/>
          <w:u w:val="single"/>
        </w:rPr>
        <w:t xml:space="preserve">Issue </w:t>
      </w:r>
      <w:r w:rsidRPr="00B37B10">
        <w:rPr>
          <w:b/>
          <w:u w:val="single"/>
        </w:rPr>
        <w:t>4</w:t>
      </w:r>
      <w:r>
        <w:t>:</w:t>
      </w:r>
      <w:r>
        <w:rPr>
          <w:b/>
          <w:bCs/>
        </w:rPr>
        <w:tab/>
      </w:r>
      <w:r w:rsidR="00262C4D" w:rsidRPr="00262C4D">
        <w:t xml:space="preserve">Is the provision contained in paragraph 12 of the Stipulation and Settlement, which creates the “Incentive Mechanism” including the gain sharing thresholds established between customers and FPL, in the public interest? </w:t>
      </w:r>
      <w:r>
        <w:t xml:space="preserve"> </w:t>
      </w:r>
    </w:p>
    <w:p w:rsidR="00E5251D" w:rsidRDefault="00E5251D" w:rsidP="00E5251D">
      <w:pPr>
        <w:spacing w:before="120"/>
        <w:ind w:left="1440" w:hanging="1440"/>
        <w:outlineLvl w:val="0"/>
      </w:pPr>
      <w:r>
        <w:t>JWH:</w:t>
      </w:r>
      <w:r>
        <w:tab/>
        <w:t xml:space="preserve">No.  </w:t>
      </w:r>
      <w:r w:rsidR="00CA26B9">
        <w:t xml:space="preserve">It is highly desirable to </w:t>
      </w:r>
      <w:r w:rsidR="007A5226">
        <w:t xml:space="preserve">financially </w:t>
      </w:r>
      <w:r w:rsidR="00CA26B9">
        <w:t>optimize the efficie</w:t>
      </w:r>
      <w:r w:rsidR="007A5226">
        <w:t>nt use of FPL’s valuable generation, fuel supply, powe</w:t>
      </w:r>
      <w:r w:rsidR="00BB26D8">
        <w:t>r and transmission resources</w:t>
      </w:r>
      <w:r w:rsidR="00842797">
        <w:t xml:space="preserve"> and to exploit all reasonable sources of </w:t>
      </w:r>
      <w:r w:rsidR="0076271C">
        <w:t xml:space="preserve">net </w:t>
      </w:r>
      <w:r w:rsidR="00842797">
        <w:t>revenue</w:t>
      </w:r>
      <w:r w:rsidR="00892347">
        <w:t>.  However, t</w:t>
      </w:r>
      <w:r w:rsidR="00BB26D8">
        <w:t xml:space="preserve">his specific </w:t>
      </w:r>
      <w:r w:rsidR="00A13A09">
        <w:t xml:space="preserve">incentive </w:t>
      </w:r>
      <w:r w:rsidR="00892347">
        <w:t>proposal defines</w:t>
      </w:r>
      <w:r w:rsidR="00A13A09">
        <w:t xml:space="preserve"> threshold values, </w:t>
      </w:r>
      <w:r w:rsidR="00892347">
        <w:t xml:space="preserve">allocation percentages, </w:t>
      </w:r>
      <w:r w:rsidR="008D4DEA">
        <w:t xml:space="preserve">a </w:t>
      </w:r>
      <w:r w:rsidR="00892347">
        <w:t xml:space="preserve">scope of activities covered, and </w:t>
      </w:r>
      <w:r w:rsidR="00892347">
        <w:lastRenderedPageBreak/>
        <w:t xml:space="preserve">contracting/outsourcing provisions that </w:t>
      </w:r>
      <w:r w:rsidR="007E0D4F">
        <w:t xml:space="preserve">appear to be overly </w:t>
      </w:r>
      <w:r w:rsidR="008D4DEA">
        <w:t>generous to the utility and have the potenti</w:t>
      </w:r>
      <w:r w:rsidR="00087147">
        <w:t xml:space="preserve">al to create windfall profits.  The large quantity of new </w:t>
      </w:r>
      <w:r w:rsidR="006D23A5">
        <w:t>highly efficient</w:t>
      </w:r>
      <w:r w:rsidR="00087147">
        <w:t xml:space="preserve"> nat</w:t>
      </w:r>
      <w:r w:rsidR="006D23A5">
        <w:t>gas</w:t>
      </w:r>
      <w:r w:rsidR="00087147">
        <w:t xml:space="preserve"> generation</w:t>
      </w:r>
      <w:r w:rsidR="006D23A5">
        <w:t xml:space="preserve"> coming online, combined with relatively low gas prices</w:t>
      </w:r>
      <w:r w:rsidR="000533FC">
        <w:t xml:space="preserve"> and other circumstances</w:t>
      </w:r>
      <w:r w:rsidR="00115589">
        <w:t>,</w:t>
      </w:r>
      <w:r w:rsidR="006D23A5">
        <w:t xml:space="preserve"> may provide </w:t>
      </w:r>
      <w:r w:rsidR="00C34B24">
        <w:t xml:space="preserve">valuable </w:t>
      </w:r>
      <w:r w:rsidR="006D23A5">
        <w:t>opportu</w:t>
      </w:r>
      <w:r w:rsidR="00C34B24">
        <w:t xml:space="preserve">nities heretofore unavailable.  </w:t>
      </w:r>
      <w:r w:rsidR="00D70EB3">
        <w:t>The incentive mechanism as proposed is not in the public interest, but with substantial modifications to improve balance while</w:t>
      </w:r>
      <w:r w:rsidR="00153E3E">
        <w:t xml:space="preserve"> still</w:t>
      </w:r>
      <w:r w:rsidR="00D70EB3">
        <w:t xml:space="preserve"> providing effective incentives</w:t>
      </w:r>
      <w:r w:rsidR="00153E3E">
        <w:t xml:space="preserve">, it could </w:t>
      </w:r>
      <w:r w:rsidR="00C36DDF">
        <w:t xml:space="preserve">become very valuable and </w:t>
      </w:r>
      <w:r w:rsidR="00153E3E">
        <w:t>serve</w:t>
      </w:r>
      <w:r w:rsidR="00D70EB3">
        <w:t xml:space="preserve"> the interest of the public and the utility.  </w:t>
      </w:r>
    </w:p>
    <w:p w:rsidR="006F06F2" w:rsidRDefault="006F06F2" w:rsidP="00E5251D">
      <w:pPr>
        <w:spacing w:before="120"/>
        <w:ind w:left="1440" w:hanging="1440"/>
        <w:outlineLvl w:val="0"/>
      </w:pPr>
    </w:p>
    <w:p w:rsidR="00E5251D" w:rsidRDefault="00E5251D" w:rsidP="00E5251D">
      <w:pPr>
        <w:ind w:left="1440" w:hanging="1440"/>
        <w:jc w:val="both"/>
      </w:pPr>
      <w:r w:rsidRPr="00B37B10">
        <w:rPr>
          <w:b/>
          <w:u w:val="single"/>
        </w:rPr>
        <w:t>Issue 5</w:t>
      </w:r>
      <w:r>
        <w:t>:</w:t>
      </w:r>
      <w:r>
        <w:rPr>
          <w:b/>
          <w:bCs/>
        </w:rPr>
        <w:tab/>
      </w:r>
      <w:r w:rsidR="00262C4D" w:rsidRPr="00262C4D">
        <w:t xml:space="preserve">Is the proposed Settlement Agreement in the public interest?  </w:t>
      </w:r>
    </w:p>
    <w:p w:rsidR="001D26AB" w:rsidRDefault="00AE77CE" w:rsidP="00E5251D">
      <w:pPr>
        <w:spacing w:before="120"/>
        <w:ind w:left="1440" w:hanging="1440"/>
        <w:outlineLvl w:val="0"/>
      </w:pPr>
      <w:r>
        <w:t>JWH:</w:t>
      </w:r>
      <w:r>
        <w:tab/>
        <w:t>No</w:t>
      </w:r>
      <w:r w:rsidR="00E5251D">
        <w:t xml:space="preserve">.  </w:t>
      </w:r>
      <w:r w:rsidR="00153E3E">
        <w:t xml:space="preserve">The combination </w:t>
      </w:r>
      <w:r w:rsidR="007547D5">
        <w:t xml:space="preserve">of </w:t>
      </w:r>
      <w:r w:rsidR="00153E3E">
        <w:t>the provisions described above with the othe</w:t>
      </w:r>
      <w:r w:rsidR="00CE10C1">
        <w:t>r elements of the settlement</w:t>
      </w:r>
      <w:r w:rsidR="00153E3E">
        <w:t xml:space="preserve"> is not in the public interest.  </w:t>
      </w:r>
      <w:r w:rsidR="00CE10C1">
        <w:t>It is both inefficient and unbalanced</w:t>
      </w:r>
      <w:r w:rsidR="001D26AB">
        <w:t>, but with appropriate modifications this could be remedied</w:t>
      </w:r>
      <w:r w:rsidR="002E7C95">
        <w:t xml:space="preserve">, and deliver </w:t>
      </w:r>
      <w:r w:rsidR="001D26AB">
        <w:t>a better long term solution for both the utility and the ratepayers</w:t>
      </w:r>
      <w:r w:rsidR="00CE10C1">
        <w:t xml:space="preserve">.  </w:t>
      </w:r>
    </w:p>
    <w:p w:rsidR="001D26AB" w:rsidRDefault="001D26AB" w:rsidP="00E5251D">
      <w:pPr>
        <w:spacing w:before="120"/>
        <w:ind w:left="1440" w:hanging="1440"/>
        <w:outlineLvl w:val="0"/>
      </w:pPr>
    </w:p>
    <w:p w:rsidR="007547D5" w:rsidRPr="00CE10C1" w:rsidRDefault="00CE10C1" w:rsidP="00E5251D">
      <w:pPr>
        <w:spacing w:before="120"/>
        <w:ind w:left="1440" w:hanging="1440"/>
        <w:outlineLvl w:val="0"/>
        <w:rPr>
          <w:caps/>
        </w:rPr>
      </w:pPr>
      <w:r>
        <w:t xml:space="preserve">The GBRA would unnecessarily raise the ratepayer costs for </w:t>
      </w:r>
      <w:r w:rsidR="00EE0A2C">
        <w:t xml:space="preserve">financing </w:t>
      </w:r>
      <w:r>
        <w:t>about $3billion of new generation</w:t>
      </w:r>
      <w:r w:rsidR="00EE0A2C">
        <w:t xml:space="preserve"> and includes very large tax gross-up costs.  The provisions concerning amortizatio</w:t>
      </w:r>
      <w:r w:rsidR="006C58E7">
        <w:t xml:space="preserve">n of reserve accounts will increase the likelihood of </w:t>
      </w:r>
      <w:r w:rsidR="00EE0A2C">
        <w:t>ROE</w:t>
      </w:r>
      <w:r w:rsidR="006C58E7">
        <w:t>s above the mid-point and</w:t>
      </w:r>
      <w:r w:rsidR="00EE0A2C">
        <w:t xml:space="preserve"> are</w:t>
      </w:r>
      <w:r w:rsidR="006C58E7">
        <w:t xml:space="preserve"> an inappropriate use of these reserve accounts.  </w:t>
      </w:r>
      <w:r w:rsidR="00356008">
        <w:t xml:space="preserve">The proposed incentive mechanism’s rewards are unbalanced and have the potential to create windfall profits and blowback.  </w:t>
      </w:r>
    </w:p>
    <w:p w:rsidR="00E5251D" w:rsidRDefault="00E5251D" w:rsidP="00DC1811">
      <w:pPr>
        <w:jc w:val="both"/>
      </w:pPr>
    </w:p>
    <w:p w:rsidR="00DC1811" w:rsidRDefault="00DC1811" w:rsidP="00DC1811">
      <w:pPr>
        <w:jc w:val="both"/>
      </w:pPr>
    </w:p>
    <w:p w:rsidR="00A20557" w:rsidRDefault="00A20557" w:rsidP="00A20557"/>
    <w:p w:rsidR="00F967EC" w:rsidRDefault="00CC6FA1" w:rsidP="0080390A">
      <w:pPr>
        <w:pStyle w:val="InterProdBody"/>
        <w:numPr>
          <w:ilvl w:val="0"/>
          <w:numId w:val="16"/>
        </w:numPr>
        <w:ind w:left="0"/>
        <w:rPr>
          <w:caps/>
          <w:u w:val="single"/>
        </w:rPr>
      </w:pPr>
      <w:r>
        <w:rPr>
          <w:caps/>
          <w:u w:val="single"/>
        </w:rPr>
        <w:t>Stipulated Issues</w:t>
      </w:r>
    </w:p>
    <w:p w:rsidR="00CC6FA1" w:rsidRDefault="00CC6FA1" w:rsidP="00CC6FA1">
      <w:r>
        <w:t xml:space="preserve">None.  </w:t>
      </w:r>
    </w:p>
    <w:p w:rsidR="00CC6FA1" w:rsidRDefault="00CC6FA1" w:rsidP="00CC6FA1"/>
    <w:p w:rsidR="00CC6FA1" w:rsidRDefault="00CC6FA1" w:rsidP="00CC6FA1"/>
    <w:p w:rsidR="00CC6FA1" w:rsidRDefault="00CC6FA1" w:rsidP="0080390A">
      <w:pPr>
        <w:pStyle w:val="InterProdBody"/>
        <w:numPr>
          <w:ilvl w:val="0"/>
          <w:numId w:val="16"/>
        </w:numPr>
        <w:ind w:left="0"/>
        <w:rPr>
          <w:caps/>
          <w:u w:val="single"/>
        </w:rPr>
      </w:pPr>
      <w:r>
        <w:rPr>
          <w:caps/>
          <w:u w:val="single"/>
        </w:rPr>
        <w:t>Pending Motions</w:t>
      </w:r>
    </w:p>
    <w:p w:rsidR="00CC6FA1" w:rsidRDefault="00CC6FA1" w:rsidP="00CC6FA1">
      <w:r>
        <w:t xml:space="preserve">None.  </w:t>
      </w:r>
    </w:p>
    <w:p w:rsidR="00CC6FA1" w:rsidRDefault="00CC6FA1" w:rsidP="00CC6FA1"/>
    <w:p w:rsidR="00CC6FA1" w:rsidRDefault="00CC6FA1" w:rsidP="00CC6FA1"/>
    <w:p w:rsidR="00CC6FA1" w:rsidRDefault="00CC6FA1" w:rsidP="00CC6FA1">
      <w:pPr>
        <w:pStyle w:val="InterProdBody"/>
        <w:numPr>
          <w:ilvl w:val="0"/>
          <w:numId w:val="16"/>
        </w:numPr>
        <w:ind w:left="0"/>
        <w:jc w:val="left"/>
        <w:rPr>
          <w:caps/>
          <w:u w:val="single"/>
        </w:rPr>
      </w:pPr>
      <w:r>
        <w:rPr>
          <w:caps/>
          <w:u w:val="single"/>
        </w:rPr>
        <w:t>Statement of Party’s pending requests or claims for Confidentiality:</w:t>
      </w:r>
    </w:p>
    <w:p w:rsidR="00CC6FA1" w:rsidRDefault="00CC6FA1" w:rsidP="00CC6FA1">
      <w:r>
        <w:t xml:space="preserve">None.  </w:t>
      </w:r>
    </w:p>
    <w:p w:rsidR="00CC6FA1" w:rsidRPr="0080390A" w:rsidRDefault="00CC6FA1" w:rsidP="00CC6FA1">
      <w:pPr>
        <w:pStyle w:val="InterProdBody"/>
        <w:ind w:left="720"/>
        <w:rPr>
          <w:caps/>
          <w:u w:val="single"/>
        </w:rPr>
      </w:pPr>
    </w:p>
    <w:p w:rsidR="00FC5DDD" w:rsidRDefault="00FC5DDD" w:rsidP="00F967EC"/>
    <w:p w:rsidR="003001A2" w:rsidRDefault="009B534D" w:rsidP="0080390A">
      <w:pPr>
        <w:pStyle w:val="InterProdBody"/>
        <w:numPr>
          <w:ilvl w:val="0"/>
          <w:numId w:val="16"/>
        </w:numPr>
        <w:ind w:left="0"/>
        <w:rPr>
          <w:caps/>
          <w:u w:val="single"/>
        </w:rPr>
      </w:pPr>
      <w:r>
        <w:rPr>
          <w:caps/>
          <w:u w:val="single"/>
        </w:rPr>
        <w:t>Objections to qualification of witnesses as an expert:</w:t>
      </w:r>
    </w:p>
    <w:p w:rsidR="009B534D" w:rsidRDefault="009B534D" w:rsidP="009B534D">
      <w:r>
        <w:t xml:space="preserve">None at this time.  </w:t>
      </w:r>
    </w:p>
    <w:p w:rsidR="009B534D" w:rsidRDefault="00DC1811" w:rsidP="009B534D">
      <w:r>
        <w:br w:type="page"/>
      </w:r>
    </w:p>
    <w:p w:rsidR="009B534D" w:rsidRDefault="009B534D" w:rsidP="009B534D">
      <w:pPr>
        <w:pStyle w:val="InterProdBody"/>
        <w:numPr>
          <w:ilvl w:val="0"/>
          <w:numId w:val="16"/>
        </w:numPr>
        <w:ind w:left="0"/>
        <w:rPr>
          <w:caps/>
          <w:u w:val="single"/>
        </w:rPr>
      </w:pPr>
      <w:r>
        <w:rPr>
          <w:caps/>
          <w:u w:val="single"/>
        </w:rPr>
        <w:t>statement of compliance with order extablishing prodedure:</w:t>
      </w:r>
    </w:p>
    <w:p w:rsidR="009B534D" w:rsidRDefault="009B534D" w:rsidP="009B534D">
      <w:pPr>
        <w:rPr>
          <w:caps/>
          <w:u w:val="single"/>
        </w:rPr>
      </w:pPr>
    </w:p>
    <w:p w:rsidR="009B534D" w:rsidRPr="009B534D" w:rsidRDefault="009B534D" w:rsidP="009B534D"/>
    <w:p w:rsidR="009B534D" w:rsidRDefault="009B534D" w:rsidP="009B534D">
      <w:r>
        <w:t xml:space="preserve">There are no requirements of the Order Establishing Procedure with which we cannot comply.  </w:t>
      </w:r>
    </w:p>
    <w:p w:rsidR="009B534D" w:rsidRDefault="009B534D" w:rsidP="009B534D"/>
    <w:p w:rsidR="009B534D" w:rsidRDefault="005E1198" w:rsidP="009B534D">
      <w:r>
        <w:t>Dated this 8</w:t>
      </w:r>
      <w:r>
        <w:rPr>
          <w:vertAlign w:val="superscript"/>
        </w:rPr>
        <w:t>th</w:t>
      </w:r>
      <w:r>
        <w:t xml:space="preserve"> Day of November</w:t>
      </w:r>
      <w:r w:rsidR="009B534D">
        <w:t>, 2012</w:t>
      </w:r>
    </w:p>
    <w:p w:rsidR="009B534D" w:rsidRDefault="009B534D" w:rsidP="009B534D"/>
    <w:p w:rsidR="009B534D" w:rsidRDefault="009B534D" w:rsidP="009B534D"/>
    <w:p w:rsidR="009B534D" w:rsidRDefault="009B534D" w:rsidP="009B534D">
      <w:r>
        <w:tab/>
      </w:r>
      <w:r>
        <w:tab/>
      </w:r>
      <w:r>
        <w:tab/>
      </w:r>
      <w:r>
        <w:tab/>
      </w:r>
      <w:r>
        <w:tab/>
      </w:r>
      <w:r>
        <w:tab/>
        <w:t xml:space="preserve">Respectfully submitted,  </w:t>
      </w:r>
    </w:p>
    <w:p w:rsidR="009B534D" w:rsidRDefault="009B534D" w:rsidP="009B534D"/>
    <w:p w:rsidR="009B534D" w:rsidRDefault="009B534D" w:rsidP="009B534D"/>
    <w:p w:rsidR="009B534D" w:rsidRPr="0080390A" w:rsidRDefault="009B534D" w:rsidP="009B534D"/>
    <w:tbl>
      <w:tblPr>
        <w:tblW w:w="0" w:type="auto"/>
        <w:tblInd w:w="4320" w:type="dxa"/>
        <w:tblBorders>
          <w:top w:val="single" w:sz="4" w:space="0" w:color="auto"/>
          <w:insideV w:val="single" w:sz="4" w:space="0" w:color="auto"/>
        </w:tblBorders>
        <w:tblLook w:val="01E0"/>
      </w:tblPr>
      <w:tblGrid>
        <w:gridCol w:w="5256"/>
      </w:tblGrid>
      <w:tr w:rsidR="004B3369" w:rsidTr="00FF1DAC">
        <w:tc>
          <w:tcPr>
            <w:tcW w:w="5256" w:type="dxa"/>
            <w:tcBorders>
              <w:top w:val="nil"/>
              <w:bottom w:val="single" w:sz="4" w:space="0" w:color="auto"/>
            </w:tcBorders>
          </w:tcPr>
          <w:p w:rsidR="004B3369" w:rsidRDefault="00DB5161" w:rsidP="00FF1DAC">
            <w:pPr>
              <w:tabs>
                <w:tab w:val="left" w:pos="948"/>
              </w:tabs>
            </w:pPr>
            <w:r>
              <w:t>s/ John W. Hendricks</w:t>
            </w:r>
          </w:p>
        </w:tc>
      </w:tr>
    </w:tbl>
    <w:p w:rsidR="00CB2CD6" w:rsidRDefault="00CB2CD6" w:rsidP="00CB2CD6">
      <w:pPr>
        <w:ind w:left="4320"/>
      </w:pPr>
      <w:r>
        <w:t>John W. Hendricks</w:t>
      </w:r>
    </w:p>
    <w:p w:rsidR="00CB2CD6" w:rsidRDefault="00CB2CD6" w:rsidP="00CB2CD6">
      <w:pPr>
        <w:ind w:left="4320"/>
      </w:pPr>
      <w:r>
        <w:t>367 S Shore Drive</w:t>
      </w:r>
    </w:p>
    <w:p w:rsidR="00CB2CD6" w:rsidRDefault="00CB2CD6" w:rsidP="00CB2CD6">
      <w:pPr>
        <w:ind w:left="4320"/>
      </w:pPr>
      <w:r>
        <w:t>Sarasota, Florida 34234</w:t>
      </w:r>
    </w:p>
    <w:p w:rsidR="00CB2CD6" w:rsidRDefault="00CB2CD6" w:rsidP="00CB2CD6">
      <w:pPr>
        <w:ind w:left="4320"/>
      </w:pPr>
      <w:r>
        <w:t>Telephone:  (941) 685-0223</w:t>
      </w:r>
    </w:p>
    <w:p w:rsidR="0096114E" w:rsidRDefault="00CB2CD6" w:rsidP="0096114E">
      <w:pPr>
        <w:ind w:left="4320"/>
      </w:pPr>
      <w:r>
        <w:t xml:space="preserve">Email:  </w:t>
      </w:r>
      <w:hyperlink r:id="rId9" w:history="1">
        <w:r>
          <w:rPr>
            <w:rStyle w:val="Hyperlink"/>
          </w:rPr>
          <w:t>jwhendricks@sti2.com</w:t>
        </w:r>
      </w:hyperlink>
    </w:p>
    <w:p w:rsidR="00C93823" w:rsidRDefault="00C93823">
      <w:pPr>
        <w:sectPr w:rsidR="00C93823" w:rsidSect="00A91BC4">
          <w:footerReference w:type="default" r:id="rId10"/>
          <w:pgSz w:w="12240" w:h="15840" w:code="1"/>
          <w:pgMar w:top="1440" w:right="1440" w:bottom="1440" w:left="1440" w:header="720" w:footer="720" w:gutter="0"/>
          <w:cols w:space="720"/>
          <w:titlePg/>
          <w:docGrid w:linePitch="360"/>
        </w:sectPr>
      </w:pPr>
    </w:p>
    <w:p w:rsidR="00AF0EDD" w:rsidRDefault="00AF0EDD" w:rsidP="00AF0EDD">
      <w:r>
        <w:lastRenderedPageBreak/>
        <w:t>BEFORE THE FLORIDA PUBLIC SERVICE COMMISSION</w:t>
      </w:r>
    </w:p>
    <w:p w:rsidR="00AF0EDD" w:rsidRDefault="00AF0EDD" w:rsidP="00AF0EDD">
      <w:pPr>
        <w:jc w:val="center"/>
      </w:pPr>
    </w:p>
    <w:p w:rsidR="00AF0EDD" w:rsidRPr="004F2F21" w:rsidRDefault="00AF0EDD" w:rsidP="00AF0EDD">
      <w:pPr>
        <w:jc w:val="center"/>
      </w:pPr>
    </w:p>
    <w:tbl>
      <w:tblPr>
        <w:tblW w:w="0" w:type="auto"/>
        <w:tblBorders>
          <w:insideV w:val="double" w:sz="4" w:space="0" w:color="auto"/>
        </w:tblBorders>
        <w:tblLook w:val="01E0"/>
      </w:tblPr>
      <w:tblGrid>
        <w:gridCol w:w="4788"/>
        <w:gridCol w:w="4788"/>
      </w:tblGrid>
      <w:tr w:rsidR="00AF0EDD" w:rsidTr="00430C0D">
        <w:trPr>
          <w:trHeight w:val="828"/>
        </w:trPr>
        <w:tc>
          <w:tcPr>
            <w:tcW w:w="4788" w:type="dxa"/>
            <w:tcBorders>
              <w:bottom w:val="single" w:sz="8" w:space="0" w:color="auto"/>
              <w:right w:val="double" w:sz="6" w:space="0" w:color="auto"/>
            </w:tcBorders>
          </w:tcPr>
          <w:p w:rsidR="00AF0EDD" w:rsidRDefault="00AF0EDD" w:rsidP="00430C0D">
            <w:pPr>
              <w:pStyle w:val="OrderBody"/>
            </w:pPr>
            <w:r>
              <w:t>In re: Petition for increase in rates by Florida Power &amp; Light Company.</w:t>
            </w:r>
          </w:p>
        </w:tc>
        <w:tc>
          <w:tcPr>
            <w:tcW w:w="4788" w:type="dxa"/>
            <w:tcBorders>
              <w:left w:val="double" w:sz="6" w:space="0" w:color="auto"/>
            </w:tcBorders>
          </w:tcPr>
          <w:p w:rsidR="00AF0EDD" w:rsidRDefault="00AF0EDD" w:rsidP="00430C0D">
            <w:pPr>
              <w:pStyle w:val="OrderBody"/>
            </w:pPr>
            <w:r>
              <w:t>DOCKET NO. 120015-EI</w:t>
            </w:r>
          </w:p>
          <w:p w:rsidR="00AF0EDD" w:rsidRDefault="00AF0EDD" w:rsidP="00430C0D">
            <w:pPr>
              <w:pStyle w:val="OrderBody"/>
            </w:pPr>
          </w:p>
          <w:p w:rsidR="00AF0EDD" w:rsidRDefault="005E1198" w:rsidP="00430C0D">
            <w:pPr>
              <w:pStyle w:val="OrderBody"/>
            </w:pPr>
            <w:r>
              <w:t>DATED: NOVEMBER 8</w:t>
            </w:r>
            <w:r w:rsidR="00AF0EDD">
              <w:t>, 2012</w:t>
            </w:r>
          </w:p>
        </w:tc>
      </w:tr>
    </w:tbl>
    <w:p w:rsidR="00AF0EDD" w:rsidRDefault="00AF0EDD" w:rsidP="00AF0EDD"/>
    <w:p w:rsidR="00AF0EDD" w:rsidRDefault="00AF0EDD" w:rsidP="00AF0EDD"/>
    <w:p w:rsidR="00AF0EDD" w:rsidRDefault="00AF0EDD" w:rsidP="00AF0EDD"/>
    <w:p w:rsidR="00AF0EDD" w:rsidRDefault="00AF0EDD" w:rsidP="00AF0EDD"/>
    <w:p w:rsidR="00AF0EDD" w:rsidRPr="00DF2D3C" w:rsidRDefault="00AF0EDD" w:rsidP="0096114E">
      <w:pPr>
        <w:jc w:val="center"/>
        <w:rPr>
          <w:b/>
          <w:u w:val="single"/>
        </w:rPr>
      </w:pPr>
      <w:r>
        <w:rPr>
          <w:b/>
        </w:rPr>
        <w:t xml:space="preserve">NOTICE OF SERVICE OF HENDRICKS’ </w:t>
      </w:r>
      <w:r w:rsidR="0096114E">
        <w:rPr>
          <w:b/>
        </w:rPr>
        <w:t>PREHEARING STATEMENT</w:t>
      </w:r>
    </w:p>
    <w:p w:rsidR="00AF0EDD" w:rsidRDefault="00AF0EDD" w:rsidP="00AF0EDD">
      <w:pPr>
        <w:jc w:val="center"/>
        <w:rPr>
          <w:b/>
        </w:rPr>
      </w:pPr>
    </w:p>
    <w:p w:rsidR="00AF0EDD" w:rsidRDefault="00AF0EDD" w:rsidP="00AF0EDD">
      <w:pPr>
        <w:spacing w:line="480" w:lineRule="auto"/>
        <w:rPr>
          <w:b/>
        </w:rPr>
      </w:pPr>
    </w:p>
    <w:p w:rsidR="00AF0EDD" w:rsidRDefault="00AF0EDD" w:rsidP="00AF0EDD">
      <w:pPr>
        <w:spacing w:line="480" w:lineRule="auto"/>
      </w:pPr>
      <w:r w:rsidRPr="0006482F">
        <w:t xml:space="preserve">John W. Hendricks gives notice of service of his </w:t>
      </w:r>
      <w:r w:rsidR="005E1198">
        <w:t>Prehearing Statement on this 8</w:t>
      </w:r>
      <w:r w:rsidRPr="00D83CD2">
        <w:rPr>
          <w:vertAlign w:val="superscript"/>
        </w:rPr>
        <w:t>TH</w:t>
      </w:r>
      <w:r w:rsidR="005E1198">
        <w:t xml:space="preserve"> Day of November</w:t>
      </w:r>
      <w:r>
        <w:t>, 2012.</w:t>
      </w:r>
    </w:p>
    <w:p w:rsidR="00AF0EDD" w:rsidRDefault="00AF0EDD" w:rsidP="00AF0EDD">
      <w:pPr>
        <w:spacing w:line="480" w:lineRule="auto"/>
      </w:pPr>
    </w:p>
    <w:p w:rsidR="00AF0EDD" w:rsidRDefault="00AF0EDD" w:rsidP="00AF0EDD">
      <w:pPr>
        <w:spacing w:line="480" w:lineRule="auto"/>
      </w:pPr>
    </w:p>
    <w:p w:rsidR="00AF0EDD" w:rsidRPr="0006482F" w:rsidRDefault="00AF0EDD" w:rsidP="00AF0EDD">
      <w:pPr>
        <w:spacing w:line="480" w:lineRule="auto"/>
      </w:pPr>
      <w:r>
        <w:tab/>
      </w:r>
      <w:r>
        <w:tab/>
      </w:r>
      <w:r>
        <w:tab/>
      </w:r>
      <w:r>
        <w:tab/>
      </w:r>
      <w:r>
        <w:tab/>
      </w:r>
      <w:r>
        <w:tab/>
      </w:r>
      <w:r>
        <w:tab/>
      </w:r>
    </w:p>
    <w:tbl>
      <w:tblPr>
        <w:tblW w:w="0" w:type="auto"/>
        <w:tblInd w:w="4320" w:type="dxa"/>
        <w:tblBorders>
          <w:top w:val="single" w:sz="4" w:space="0" w:color="auto"/>
          <w:insideV w:val="single" w:sz="4" w:space="0" w:color="auto"/>
        </w:tblBorders>
        <w:tblLook w:val="01E0"/>
      </w:tblPr>
      <w:tblGrid>
        <w:gridCol w:w="5256"/>
      </w:tblGrid>
      <w:tr w:rsidR="00AF0EDD" w:rsidTr="00430C0D">
        <w:tc>
          <w:tcPr>
            <w:tcW w:w="5256" w:type="dxa"/>
            <w:tcBorders>
              <w:top w:val="nil"/>
              <w:bottom w:val="single" w:sz="4" w:space="0" w:color="auto"/>
            </w:tcBorders>
          </w:tcPr>
          <w:p w:rsidR="00AF0EDD" w:rsidRDefault="00AF0EDD" w:rsidP="00430C0D">
            <w:pPr>
              <w:tabs>
                <w:tab w:val="left" w:pos="948"/>
              </w:tabs>
            </w:pPr>
            <w:r>
              <w:t>s/ John W. Hendricks</w:t>
            </w:r>
          </w:p>
        </w:tc>
      </w:tr>
    </w:tbl>
    <w:p w:rsidR="00AF0EDD" w:rsidRDefault="00AF0EDD" w:rsidP="00AF0EDD">
      <w:pPr>
        <w:ind w:left="4320"/>
      </w:pPr>
      <w:r>
        <w:t>John W. Hendricks</w:t>
      </w:r>
    </w:p>
    <w:p w:rsidR="00AF0EDD" w:rsidRDefault="00AF0EDD" w:rsidP="00AF0EDD">
      <w:pPr>
        <w:ind w:left="4320"/>
      </w:pPr>
      <w:r>
        <w:t>367 S Shore Drive</w:t>
      </w:r>
    </w:p>
    <w:p w:rsidR="00AF0EDD" w:rsidRDefault="00AF0EDD" w:rsidP="00AF0EDD">
      <w:pPr>
        <w:ind w:left="4320"/>
      </w:pPr>
      <w:r>
        <w:t>Sarasota, Florida 34234</w:t>
      </w:r>
    </w:p>
    <w:p w:rsidR="00AF0EDD" w:rsidRDefault="00AF0EDD" w:rsidP="00AF0EDD">
      <w:pPr>
        <w:ind w:left="4320"/>
      </w:pPr>
      <w:r>
        <w:t>Telephone:  (941) 685-0223</w:t>
      </w:r>
    </w:p>
    <w:p w:rsidR="00AF0EDD" w:rsidRDefault="00AF0EDD" w:rsidP="00AF0EDD">
      <w:pPr>
        <w:ind w:left="4320"/>
      </w:pPr>
      <w:r>
        <w:t xml:space="preserve">Email:  </w:t>
      </w:r>
      <w:hyperlink r:id="rId11" w:history="1">
        <w:r>
          <w:rPr>
            <w:rStyle w:val="Hyperlink"/>
          </w:rPr>
          <w:t>jwhendricks@sti2.com</w:t>
        </w:r>
      </w:hyperlink>
    </w:p>
    <w:p w:rsidR="00AF0EDD" w:rsidRPr="0006482F" w:rsidRDefault="00AF0EDD" w:rsidP="00AF0EDD">
      <w:pPr>
        <w:spacing w:line="480" w:lineRule="auto"/>
      </w:pPr>
      <w:r w:rsidRPr="0006482F">
        <w:br w:type="page"/>
      </w:r>
    </w:p>
    <w:p w:rsidR="00AF0EDD" w:rsidRPr="00DE0D3E" w:rsidRDefault="00AF0EDD" w:rsidP="00AF0EDD">
      <w:pPr>
        <w:pStyle w:val="Heading1"/>
        <w:numPr>
          <w:ilvl w:val="0"/>
          <w:numId w:val="0"/>
        </w:numPr>
        <w:tabs>
          <w:tab w:val="left" w:pos="0"/>
        </w:tabs>
      </w:pPr>
      <w:r w:rsidRPr="00DE0D3E">
        <w:rPr>
          <w:u w:val="none"/>
        </w:rPr>
        <w:tab/>
      </w:r>
      <w:r w:rsidRPr="00DE0D3E">
        <w:t>CERTIFICATE OF SERVICE</w:t>
      </w:r>
    </w:p>
    <w:p w:rsidR="00AF0EDD" w:rsidRDefault="00AF0EDD" w:rsidP="0047684D">
      <w:pPr>
        <w:pStyle w:val="Heading1"/>
        <w:numPr>
          <w:ilvl w:val="0"/>
          <w:numId w:val="0"/>
        </w:numPr>
        <w:tabs>
          <w:tab w:val="left" w:pos="0"/>
        </w:tabs>
        <w:jc w:val="left"/>
        <w:rPr>
          <w:color w:val="000000"/>
        </w:rPr>
      </w:pPr>
      <w:r w:rsidRPr="00105C53">
        <w:rPr>
          <w:u w:val="none"/>
        </w:rPr>
        <w:t xml:space="preserve">I HEREBY CERTIFY </w:t>
      </w:r>
      <w:r w:rsidR="0047684D">
        <w:rPr>
          <w:caps w:val="0"/>
          <w:u w:val="none"/>
        </w:rPr>
        <w:t xml:space="preserve">that a </w:t>
      </w:r>
      <w:r w:rsidRPr="00105C53">
        <w:rPr>
          <w:caps w:val="0"/>
          <w:u w:val="none"/>
        </w:rPr>
        <w:t xml:space="preserve">copy of </w:t>
      </w:r>
      <w:r w:rsidR="0047684D">
        <w:rPr>
          <w:caps w:val="0"/>
          <w:u w:val="none"/>
        </w:rPr>
        <w:t xml:space="preserve">the foregoing </w:t>
      </w:r>
      <w:r w:rsidR="0047684D">
        <w:rPr>
          <w:u w:val="none"/>
        </w:rPr>
        <w:t>PREHEARING ST</w:t>
      </w:r>
      <w:r w:rsidR="0047684D">
        <w:rPr>
          <w:caps w:val="0"/>
          <w:u w:val="none"/>
        </w:rPr>
        <w:t xml:space="preserve">ATEMENT OF JOHN W. HENDRICKS </w:t>
      </w:r>
      <w:r w:rsidR="00C42095">
        <w:rPr>
          <w:caps w:val="0"/>
          <w:u w:val="none"/>
        </w:rPr>
        <w:t xml:space="preserve">has </w:t>
      </w:r>
      <w:r w:rsidRPr="00C42095">
        <w:rPr>
          <w:caps w:val="0"/>
          <w:color w:val="000000"/>
          <w:u w:val="none"/>
        </w:rPr>
        <w:t>been furnished to the foll</w:t>
      </w:r>
      <w:r w:rsidR="0016404F">
        <w:rPr>
          <w:caps w:val="0"/>
          <w:color w:val="000000"/>
          <w:u w:val="none"/>
        </w:rPr>
        <w:t>owing by electronic</w:t>
      </w:r>
      <w:r w:rsidRPr="00C42095">
        <w:rPr>
          <w:caps w:val="0"/>
          <w:color w:val="000000"/>
          <w:u w:val="none"/>
        </w:rPr>
        <w:t xml:space="preserve"> mail this </w:t>
      </w:r>
      <w:r w:rsidR="005E1198">
        <w:rPr>
          <w:caps w:val="0"/>
          <w:color w:val="000000"/>
          <w:u w:val="none"/>
        </w:rPr>
        <w:t>8</w:t>
      </w:r>
      <w:r w:rsidR="00C42095" w:rsidRPr="00C42095">
        <w:rPr>
          <w:caps w:val="0"/>
          <w:color w:val="000000"/>
          <w:u w:val="none"/>
          <w:vertAlign w:val="superscript"/>
        </w:rPr>
        <w:t>rd</w:t>
      </w:r>
      <w:r w:rsidR="00C42095">
        <w:rPr>
          <w:caps w:val="0"/>
          <w:color w:val="000000"/>
          <w:u w:val="none"/>
          <w:vertAlign w:val="superscript"/>
        </w:rPr>
        <w:t xml:space="preserve"> </w:t>
      </w:r>
      <w:r w:rsidR="005E1198">
        <w:rPr>
          <w:caps w:val="0"/>
          <w:color w:val="000000"/>
          <w:u w:val="none"/>
        </w:rPr>
        <w:t>day of November</w:t>
      </w:r>
      <w:r w:rsidRPr="00C42095">
        <w:rPr>
          <w:caps w:val="0"/>
          <w:color w:val="000000"/>
          <w:u w:val="none"/>
        </w:rPr>
        <w:t>,</w:t>
      </w:r>
      <w:r w:rsidRPr="0047684D">
        <w:rPr>
          <w:color w:val="000000"/>
          <w:u w:val="none"/>
        </w:rPr>
        <w:t xml:space="preserve"> </w:t>
      </w:r>
      <w:r w:rsidRPr="00C42095">
        <w:rPr>
          <w:color w:val="000000"/>
          <w:u w:val="none"/>
        </w:rPr>
        <w:t>2012</w:t>
      </w:r>
      <w:r w:rsidR="00C42095">
        <w:rPr>
          <w:color w:val="000000"/>
          <w:u w:val="none"/>
        </w:rPr>
        <w:t xml:space="preserve">:  </w:t>
      </w:r>
    </w:p>
    <w:tbl>
      <w:tblPr>
        <w:tblW w:w="0" w:type="auto"/>
        <w:tblLook w:val="01E0"/>
      </w:tblPr>
      <w:tblGrid>
        <w:gridCol w:w="4788"/>
        <w:gridCol w:w="4788"/>
      </w:tblGrid>
      <w:tr w:rsidR="00AF0EDD" w:rsidRPr="00FF1DAC" w:rsidTr="00430C0D">
        <w:tc>
          <w:tcPr>
            <w:tcW w:w="4788" w:type="dxa"/>
          </w:tcPr>
          <w:p w:rsidR="00AF0EDD" w:rsidRDefault="00AF0EDD" w:rsidP="00430C0D">
            <w:pPr>
              <w:pStyle w:val="InterProdBody"/>
              <w:spacing w:line="240" w:lineRule="auto"/>
              <w:rPr>
                <w:color w:val="000000"/>
              </w:rPr>
            </w:pPr>
            <w:r>
              <w:rPr>
                <w:color w:val="000000"/>
              </w:rPr>
              <w:t>Caroline Klancke</w:t>
            </w:r>
          </w:p>
          <w:p w:rsidR="00AF0EDD" w:rsidRDefault="00AF0EDD" w:rsidP="00430C0D">
            <w:pPr>
              <w:pStyle w:val="InterProdBody"/>
              <w:spacing w:line="240" w:lineRule="auto"/>
              <w:rPr>
                <w:color w:val="000000"/>
              </w:rPr>
            </w:pPr>
            <w:r>
              <w:rPr>
                <w:color w:val="000000"/>
              </w:rPr>
              <w:t>Keino Young</w:t>
            </w:r>
          </w:p>
          <w:p w:rsidR="00AF0EDD" w:rsidRDefault="00AF0EDD" w:rsidP="00430C0D">
            <w:pPr>
              <w:pStyle w:val="InterProdBody"/>
              <w:spacing w:line="240" w:lineRule="auto"/>
              <w:rPr>
                <w:color w:val="000000"/>
              </w:rPr>
            </w:pPr>
            <w:r>
              <w:rPr>
                <w:color w:val="000000"/>
              </w:rPr>
              <w:t>Florida Public Service Commission</w:t>
            </w:r>
          </w:p>
          <w:p w:rsidR="00AF0EDD" w:rsidRDefault="00AF0EDD" w:rsidP="00430C0D">
            <w:pPr>
              <w:pStyle w:val="InterProdBody"/>
              <w:spacing w:line="240" w:lineRule="auto"/>
              <w:rPr>
                <w:color w:val="000000"/>
              </w:rPr>
            </w:pPr>
            <w:r>
              <w:rPr>
                <w:color w:val="000000"/>
              </w:rPr>
              <w:t>Division of Legal Service</w:t>
            </w:r>
          </w:p>
          <w:p w:rsidR="00AF0EDD" w:rsidRDefault="00AF0EDD" w:rsidP="00430C0D">
            <w:pPr>
              <w:pStyle w:val="InterProdBody"/>
              <w:spacing w:line="240" w:lineRule="auto"/>
              <w:rPr>
                <w:color w:val="000000"/>
              </w:rPr>
            </w:pPr>
            <w:r>
              <w:rPr>
                <w:color w:val="000000"/>
              </w:rPr>
              <w:t>2540 Shumard Oak Boulevard</w:t>
            </w:r>
          </w:p>
          <w:p w:rsidR="00AF0EDD" w:rsidRPr="00FF1DAC" w:rsidRDefault="00AF0EDD" w:rsidP="00430C0D">
            <w:pPr>
              <w:pStyle w:val="InterProdBody"/>
              <w:spacing w:line="240" w:lineRule="auto"/>
              <w:rPr>
                <w:color w:val="000000"/>
              </w:rPr>
            </w:pPr>
            <w:r>
              <w:rPr>
                <w:color w:val="000000"/>
              </w:rPr>
              <w:t>Tallahassee, FL 32399-0850</w:t>
            </w:r>
          </w:p>
        </w:tc>
        <w:tc>
          <w:tcPr>
            <w:tcW w:w="4788" w:type="dxa"/>
          </w:tcPr>
          <w:p w:rsidR="00AF0EDD" w:rsidRPr="00FF1DAC" w:rsidRDefault="00AF0EDD" w:rsidP="00430C0D">
            <w:pPr>
              <w:pStyle w:val="InterProdBody"/>
              <w:spacing w:line="240" w:lineRule="auto"/>
              <w:ind w:left="72"/>
              <w:rPr>
                <w:color w:val="000000"/>
              </w:rPr>
            </w:pPr>
            <w:smartTag w:uri="urn:schemas-microsoft-com:office:smarttags" w:element="PersonName">
              <w:r w:rsidRPr="00FF1DAC">
                <w:rPr>
                  <w:color w:val="000000"/>
                </w:rPr>
                <w:t>Ken Hoffman</w:t>
              </w:r>
            </w:smartTag>
          </w:p>
          <w:p w:rsidR="00AF0EDD" w:rsidRPr="00FF1DAC" w:rsidRDefault="00AF0EDD" w:rsidP="00430C0D">
            <w:pPr>
              <w:pStyle w:val="InterProdBody"/>
              <w:spacing w:line="240" w:lineRule="auto"/>
              <w:ind w:left="72"/>
              <w:rPr>
                <w:color w:val="000000"/>
              </w:rPr>
            </w:pPr>
            <w:smartTag w:uri="urn:schemas-microsoft-com:office:smarttags" w:element="PersonName">
              <w:r w:rsidRPr="00FF1DAC">
                <w:rPr>
                  <w:color w:val="000000"/>
                </w:rPr>
                <w:t xml:space="preserve">R. </w:t>
              </w:r>
              <w:smartTag w:uri="urn:schemas-microsoft-com:office:smarttags" w:element="PersonName">
                <w:r w:rsidRPr="00FF1DAC">
                  <w:rPr>
                    <w:color w:val="000000"/>
                  </w:rPr>
                  <w:t>Wade Litchfield</w:t>
                </w:r>
              </w:smartTag>
            </w:smartTag>
          </w:p>
          <w:p w:rsidR="00AF0EDD" w:rsidRPr="00FF1DAC" w:rsidRDefault="00AF0EDD" w:rsidP="00430C0D">
            <w:pPr>
              <w:pStyle w:val="InterProdBody"/>
              <w:spacing w:line="240" w:lineRule="auto"/>
              <w:ind w:left="72"/>
              <w:rPr>
                <w:color w:val="000000"/>
              </w:rPr>
            </w:pPr>
            <w:r w:rsidRPr="00FF1DAC">
              <w:rPr>
                <w:color w:val="000000"/>
              </w:rPr>
              <w:t>Florida Power &amp; Light Company</w:t>
            </w:r>
          </w:p>
          <w:p w:rsidR="00AF0EDD" w:rsidRPr="00FF1DAC" w:rsidRDefault="00AF0EDD" w:rsidP="00430C0D">
            <w:pPr>
              <w:pStyle w:val="InterProdBody"/>
              <w:spacing w:line="240" w:lineRule="auto"/>
              <w:ind w:left="72"/>
              <w:rPr>
                <w:color w:val="000000"/>
              </w:rPr>
            </w:pPr>
            <w:smartTag w:uri="urn:schemas-microsoft-com:office:smarttags" w:element="Street">
              <w:smartTag w:uri="urn:schemas-microsoft-com:office:smarttags" w:element="address">
                <w:r w:rsidRPr="00FF1DAC">
                  <w:rPr>
                    <w:color w:val="000000"/>
                  </w:rPr>
                  <w:t>215 South Monroe Street, Suite 810</w:t>
                </w:r>
              </w:smartTag>
            </w:smartTag>
          </w:p>
          <w:p w:rsidR="00AF0EDD" w:rsidRPr="00FF1DAC" w:rsidRDefault="00AF0EDD" w:rsidP="00430C0D">
            <w:pPr>
              <w:pStyle w:val="InterProdBody"/>
              <w:spacing w:line="240" w:lineRule="auto"/>
              <w:ind w:left="72"/>
              <w:rPr>
                <w:color w:val="000000"/>
              </w:rPr>
            </w:pPr>
            <w:smartTag w:uri="urn:schemas-microsoft-com:office:smarttags" w:element="place">
              <w:smartTag w:uri="urn:schemas-microsoft-com:office:smarttags" w:element="City">
                <w:r w:rsidRPr="00FF1DAC">
                  <w:rPr>
                    <w:color w:val="000000"/>
                  </w:rPr>
                  <w:t>Tallahassee</w:t>
                </w:r>
              </w:smartTag>
              <w:r w:rsidRPr="00FF1DAC">
                <w:rPr>
                  <w:color w:val="000000"/>
                </w:rPr>
                <w:t xml:space="preserve">, </w:t>
              </w:r>
              <w:smartTag w:uri="urn:schemas-microsoft-com:office:smarttags" w:element="State">
                <w:r w:rsidRPr="00FF1DAC">
                  <w:rPr>
                    <w:color w:val="000000"/>
                  </w:rPr>
                  <w:t>FL</w:t>
                </w:r>
              </w:smartTag>
              <w:r w:rsidRPr="00FF1DAC">
                <w:rPr>
                  <w:color w:val="000000"/>
                </w:rPr>
                <w:t xml:space="preserve"> </w:t>
              </w:r>
              <w:smartTag w:uri="urn:schemas-microsoft-com:office:smarttags" w:element="PostalCode">
                <w:r w:rsidRPr="00FF1DAC">
                  <w:rPr>
                    <w:color w:val="000000"/>
                  </w:rPr>
                  <w:t>32301-1858</w:t>
                </w:r>
              </w:smartTag>
            </w:smartTag>
          </w:p>
          <w:p w:rsidR="00AF0EDD" w:rsidRPr="00FF1DAC" w:rsidRDefault="00AF0EDD" w:rsidP="00430C0D">
            <w:pPr>
              <w:pStyle w:val="InterProdBody"/>
              <w:spacing w:line="240" w:lineRule="auto"/>
              <w:ind w:left="72"/>
              <w:rPr>
                <w:color w:val="000000"/>
              </w:rPr>
            </w:pPr>
          </w:p>
        </w:tc>
      </w:tr>
      <w:tr w:rsidR="00AF0EDD" w:rsidRPr="00FF1DAC" w:rsidTr="00430C0D">
        <w:tc>
          <w:tcPr>
            <w:tcW w:w="4788" w:type="dxa"/>
          </w:tcPr>
          <w:p w:rsidR="00AF0EDD" w:rsidRDefault="00AF0EDD" w:rsidP="00430C0D">
            <w:pPr>
              <w:pStyle w:val="InterProdBody"/>
              <w:spacing w:line="240" w:lineRule="auto"/>
              <w:ind w:left="72"/>
              <w:rPr>
                <w:color w:val="000000"/>
              </w:rPr>
            </w:pPr>
          </w:p>
          <w:p w:rsidR="00AF0EDD" w:rsidRPr="00FF1DAC" w:rsidRDefault="00AF0EDD" w:rsidP="00430C0D">
            <w:pPr>
              <w:pStyle w:val="InterProdBody"/>
              <w:spacing w:line="240" w:lineRule="auto"/>
              <w:rPr>
                <w:color w:val="000000"/>
              </w:rPr>
            </w:pPr>
            <w:smartTag w:uri="urn:schemas-microsoft-com:office:smarttags" w:element="PersonName">
              <w:smartTag w:uri="urn:schemas-microsoft-com:office:smarttags" w:element="PersonName">
                <w:r w:rsidRPr="00FF1DAC">
                  <w:rPr>
                    <w:color w:val="000000"/>
                  </w:rPr>
                  <w:t>J. R. Kelly</w:t>
                </w:r>
              </w:smartTag>
              <w:r w:rsidRPr="00FF1DAC">
                <w:rPr>
                  <w:color w:val="000000"/>
                </w:rPr>
                <w:t xml:space="preserve"> </w:t>
              </w:r>
            </w:smartTag>
            <w:r w:rsidRPr="00FF1DAC">
              <w:rPr>
                <w:color w:val="000000"/>
              </w:rPr>
              <w:t xml:space="preserve">/ </w:t>
            </w:r>
            <w:smartTag w:uri="urn:schemas-microsoft-com:office:smarttags" w:element="PersonName">
              <w:r w:rsidRPr="00FF1DAC">
                <w:rPr>
                  <w:color w:val="000000"/>
                </w:rPr>
                <w:t>Joseph A. McGlothlin</w:t>
              </w:r>
            </w:smartTag>
          </w:p>
          <w:p w:rsidR="00AF0EDD" w:rsidRPr="00FF1DAC" w:rsidRDefault="00AF0EDD" w:rsidP="00430C0D">
            <w:pPr>
              <w:pStyle w:val="InterProdBody"/>
              <w:spacing w:line="240" w:lineRule="auto"/>
              <w:rPr>
                <w:color w:val="000000"/>
              </w:rPr>
            </w:pPr>
            <w:r w:rsidRPr="00FF1DAC">
              <w:rPr>
                <w:color w:val="000000"/>
              </w:rPr>
              <w:t>Office of the Public Counsel</w:t>
            </w:r>
          </w:p>
          <w:p w:rsidR="00AF0EDD" w:rsidRPr="00FF1DAC" w:rsidRDefault="00AF0EDD" w:rsidP="00430C0D">
            <w:pPr>
              <w:pStyle w:val="InterProdBody"/>
              <w:spacing w:line="240" w:lineRule="auto"/>
              <w:rPr>
                <w:color w:val="000000"/>
              </w:rPr>
            </w:pPr>
            <w:r w:rsidRPr="00FF1DAC">
              <w:rPr>
                <w:color w:val="000000"/>
              </w:rPr>
              <w:t xml:space="preserve">c/o The </w:t>
            </w:r>
            <w:smartTag w:uri="urn:schemas-microsoft-com:office:smarttags" w:element="State">
              <w:smartTag w:uri="urn:schemas-microsoft-com:office:smarttags" w:element="place">
                <w:r w:rsidRPr="00FF1DAC">
                  <w:rPr>
                    <w:color w:val="000000"/>
                  </w:rPr>
                  <w:t>Florida</w:t>
                </w:r>
              </w:smartTag>
            </w:smartTag>
            <w:r w:rsidRPr="00FF1DAC">
              <w:rPr>
                <w:color w:val="000000"/>
              </w:rPr>
              <w:t xml:space="preserve"> Legislature</w:t>
            </w:r>
          </w:p>
          <w:p w:rsidR="00AF0EDD" w:rsidRPr="00FF1DAC" w:rsidRDefault="00AF0EDD" w:rsidP="00430C0D">
            <w:pPr>
              <w:pStyle w:val="InterProdBody"/>
              <w:spacing w:line="240" w:lineRule="auto"/>
              <w:rPr>
                <w:color w:val="000000"/>
              </w:rPr>
            </w:pPr>
            <w:r w:rsidRPr="00FF1DAC">
              <w:rPr>
                <w:color w:val="000000"/>
              </w:rPr>
              <w:t xml:space="preserve">111 W. </w:t>
            </w:r>
            <w:smartTag w:uri="urn:schemas-microsoft-com:office:smarttags" w:element="City">
              <w:smartTag w:uri="urn:schemas-microsoft-com:office:smarttags" w:element="place">
                <w:r w:rsidRPr="00FF1DAC">
                  <w:rPr>
                    <w:color w:val="000000"/>
                  </w:rPr>
                  <w:t>Madison</w:t>
                </w:r>
              </w:smartTag>
            </w:smartTag>
            <w:r w:rsidRPr="00FF1DAC">
              <w:rPr>
                <w:color w:val="000000"/>
              </w:rPr>
              <w:t xml:space="preserve"> Street, Room 812</w:t>
            </w:r>
          </w:p>
          <w:p w:rsidR="00AF0EDD" w:rsidRPr="00FF1DAC" w:rsidRDefault="00AF0EDD" w:rsidP="00430C0D">
            <w:pPr>
              <w:pStyle w:val="InterProdBody"/>
              <w:spacing w:line="240" w:lineRule="auto"/>
              <w:rPr>
                <w:color w:val="000000"/>
              </w:rPr>
            </w:pPr>
            <w:smartTag w:uri="urn:schemas-microsoft-com:office:smarttags" w:element="place">
              <w:smartTag w:uri="urn:schemas-microsoft-com:office:smarttags" w:element="City">
                <w:r w:rsidRPr="00FF1DAC">
                  <w:rPr>
                    <w:color w:val="000000"/>
                  </w:rPr>
                  <w:t>Tallahassee</w:t>
                </w:r>
              </w:smartTag>
              <w:r w:rsidRPr="00FF1DAC">
                <w:rPr>
                  <w:color w:val="000000"/>
                </w:rPr>
                <w:t xml:space="preserve">, </w:t>
              </w:r>
              <w:smartTag w:uri="urn:schemas-microsoft-com:office:smarttags" w:element="State">
                <w:r w:rsidRPr="00FF1DAC">
                  <w:rPr>
                    <w:color w:val="000000"/>
                  </w:rPr>
                  <w:t>FL</w:t>
                </w:r>
              </w:smartTag>
              <w:r w:rsidRPr="00FF1DAC">
                <w:rPr>
                  <w:color w:val="000000"/>
                </w:rPr>
                <w:t xml:space="preserve"> </w:t>
              </w:r>
              <w:smartTag w:uri="urn:schemas-microsoft-com:office:smarttags" w:element="PostalCode">
                <w:r w:rsidRPr="00FF1DAC">
                  <w:rPr>
                    <w:color w:val="000000"/>
                  </w:rPr>
                  <w:t>32399-1400</w:t>
                </w:r>
              </w:smartTag>
            </w:smartTag>
          </w:p>
          <w:p w:rsidR="00AF0EDD" w:rsidRPr="00FF1DAC" w:rsidRDefault="00AF0EDD" w:rsidP="00430C0D">
            <w:pPr>
              <w:pStyle w:val="InterProdBody"/>
              <w:spacing w:line="240" w:lineRule="auto"/>
              <w:rPr>
                <w:color w:val="000000"/>
              </w:rPr>
            </w:pPr>
          </w:p>
        </w:tc>
        <w:tc>
          <w:tcPr>
            <w:tcW w:w="4788" w:type="dxa"/>
          </w:tcPr>
          <w:p w:rsidR="00AF0EDD" w:rsidRDefault="00AF0EDD" w:rsidP="00430C0D">
            <w:pPr>
              <w:pStyle w:val="InterProdBody"/>
              <w:spacing w:line="240" w:lineRule="auto"/>
              <w:ind w:left="72"/>
              <w:rPr>
                <w:color w:val="000000"/>
              </w:rPr>
            </w:pPr>
          </w:p>
          <w:p w:rsidR="00AF0EDD" w:rsidRDefault="00AF0EDD" w:rsidP="00430C0D">
            <w:pPr>
              <w:pStyle w:val="InterProdBody"/>
              <w:spacing w:line="240" w:lineRule="auto"/>
              <w:ind w:left="72"/>
              <w:rPr>
                <w:color w:val="000000"/>
              </w:rPr>
            </w:pPr>
            <w:r>
              <w:rPr>
                <w:color w:val="000000"/>
              </w:rPr>
              <w:t>Federal Executive Agencies</w:t>
            </w:r>
          </w:p>
          <w:p w:rsidR="00AF0EDD" w:rsidRDefault="00AF0EDD" w:rsidP="00430C0D">
            <w:pPr>
              <w:pStyle w:val="InterProdBody"/>
              <w:spacing w:line="240" w:lineRule="auto"/>
              <w:ind w:left="72"/>
              <w:rPr>
                <w:color w:val="000000"/>
              </w:rPr>
            </w:pPr>
            <w:r>
              <w:rPr>
                <w:color w:val="000000"/>
              </w:rPr>
              <w:t>Christopher Thompson / Karen White</w:t>
            </w:r>
          </w:p>
          <w:p w:rsidR="00AF0EDD" w:rsidRDefault="00AF0EDD" w:rsidP="00430C0D">
            <w:pPr>
              <w:pStyle w:val="InterProdBody"/>
              <w:spacing w:line="240" w:lineRule="auto"/>
              <w:ind w:left="72"/>
              <w:rPr>
                <w:color w:val="000000"/>
              </w:rPr>
            </w:pPr>
            <w:r>
              <w:rPr>
                <w:color w:val="000000"/>
              </w:rPr>
              <w:t>c/o AFLOA/JACL-ULFSC</w:t>
            </w:r>
          </w:p>
          <w:p w:rsidR="00AF0EDD" w:rsidRDefault="00AF0EDD" w:rsidP="00430C0D">
            <w:pPr>
              <w:pStyle w:val="InterProdBody"/>
              <w:spacing w:line="240" w:lineRule="auto"/>
              <w:ind w:left="72"/>
              <w:rPr>
                <w:color w:val="000000"/>
              </w:rPr>
            </w:pPr>
            <w:r>
              <w:rPr>
                <w:color w:val="000000"/>
              </w:rPr>
              <w:t>139 Barnes Drive, Suite 1</w:t>
            </w:r>
          </w:p>
          <w:p w:rsidR="00AF0EDD" w:rsidRPr="00FF1DAC" w:rsidRDefault="00AF0EDD" w:rsidP="00430C0D">
            <w:pPr>
              <w:pStyle w:val="InterProdBody"/>
              <w:spacing w:line="240" w:lineRule="auto"/>
              <w:ind w:left="72"/>
              <w:rPr>
                <w:color w:val="000000"/>
              </w:rPr>
            </w:pPr>
            <w:r>
              <w:rPr>
                <w:color w:val="000000"/>
              </w:rPr>
              <w:t>Tyndall Air Force Base, FL 32403</w:t>
            </w:r>
          </w:p>
        </w:tc>
      </w:tr>
      <w:tr w:rsidR="00AF0EDD" w:rsidRPr="00FF1DAC" w:rsidTr="00430C0D">
        <w:tc>
          <w:tcPr>
            <w:tcW w:w="4788" w:type="dxa"/>
          </w:tcPr>
          <w:p w:rsidR="00AF0EDD" w:rsidRPr="00FF1DAC" w:rsidRDefault="00AF0EDD" w:rsidP="00430C0D">
            <w:pPr>
              <w:pStyle w:val="InterProdBody"/>
              <w:spacing w:line="240" w:lineRule="auto"/>
              <w:rPr>
                <w:color w:val="000000"/>
              </w:rPr>
            </w:pPr>
            <w:r w:rsidRPr="00FF1DAC">
              <w:rPr>
                <w:color w:val="000000"/>
              </w:rPr>
              <w:t>Florida Industrial Power Users Group</w:t>
            </w:r>
          </w:p>
          <w:p w:rsidR="00AF0EDD" w:rsidRPr="00FF1DAC" w:rsidRDefault="00AF0EDD" w:rsidP="00430C0D">
            <w:pPr>
              <w:pStyle w:val="InterProdBody"/>
              <w:spacing w:line="240" w:lineRule="auto"/>
              <w:rPr>
                <w:color w:val="000000"/>
              </w:rPr>
            </w:pPr>
            <w:smartTag w:uri="urn:schemas-microsoft-com:office:smarttags" w:element="PersonName">
              <w:smartTag w:uri="urn:schemas-microsoft-com:office:smarttags" w:element="PersonName">
                <w:r w:rsidRPr="00FF1DAC">
                  <w:rPr>
                    <w:color w:val="000000"/>
                  </w:rPr>
                  <w:t>Vicki Gordon Kaufman</w:t>
                </w:r>
              </w:smartTag>
              <w:r w:rsidRPr="00FF1DAC">
                <w:rPr>
                  <w:color w:val="000000"/>
                </w:rPr>
                <w:t xml:space="preserve"> </w:t>
              </w:r>
            </w:smartTag>
            <w:r w:rsidRPr="00FF1DAC">
              <w:rPr>
                <w:color w:val="000000"/>
              </w:rPr>
              <w:t xml:space="preserve">/ </w:t>
            </w:r>
            <w:smartTag w:uri="urn:schemas-microsoft-com:office:smarttags" w:element="PersonName">
              <w:smartTag w:uri="urn:schemas-microsoft-com:office:smarttags" w:element="PersonName">
                <w:r w:rsidRPr="00FF1DAC">
                  <w:rPr>
                    <w:color w:val="000000"/>
                  </w:rPr>
                  <w:t>Jon C. Moyle</w:t>
                </w:r>
              </w:smartTag>
              <w:r w:rsidRPr="00FF1DAC">
                <w:rPr>
                  <w:color w:val="000000"/>
                </w:rPr>
                <w:t>, Jr.</w:t>
              </w:r>
            </w:smartTag>
          </w:p>
          <w:p w:rsidR="00AF0EDD" w:rsidRPr="00FF1DAC" w:rsidRDefault="00AF0EDD" w:rsidP="00430C0D">
            <w:pPr>
              <w:pStyle w:val="InterProdBody"/>
              <w:spacing w:line="240" w:lineRule="auto"/>
              <w:rPr>
                <w:color w:val="000000"/>
              </w:rPr>
            </w:pPr>
            <w:r w:rsidRPr="00FF1DAC">
              <w:rPr>
                <w:color w:val="000000"/>
              </w:rPr>
              <w:t>118 North Gadsden Street</w:t>
            </w:r>
          </w:p>
          <w:p w:rsidR="00AF0EDD" w:rsidRPr="00FF1DAC" w:rsidRDefault="00AF0EDD" w:rsidP="00430C0D">
            <w:pPr>
              <w:pStyle w:val="InterProdBody"/>
              <w:spacing w:line="240" w:lineRule="auto"/>
              <w:rPr>
                <w:color w:val="000000"/>
              </w:rPr>
            </w:pPr>
            <w:smartTag w:uri="urn:schemas-microsoft-com:office:smarttags" w:element="place">
              <w:smartTag w:uri="urn:schemas-microsoft-com:office:smarttags" w:element="City">
                <w:r w:rsidRPr="00FF1DAC">
                  <w:rPr>
                    <w:color w:val="000000"/>
                  </w:rPr>
                  <w:t>Tallahassee</w:t>
                </w:r>
              </w:smartTag>
              <w:r w:rsidRPr="00FF1DAC">
                <w:rPr>
                  <w:color w:val="000000"/>
                </w:rPr>
                <w:t xml:space="preserve">, </w:t>
              </w:r>
              <w:smartTag w:uri="urn:schemas-microsoft-com:office:smarttags" w:element="State">
                <w:r w:rsidRPr="00FF1DAC">
                  <w:rPr>
                    <w:color w:val="000000"/>
                  </w:rPr>
                  <w:t>FL</w:t>
                </w:r>
              </w:smartTag>
              <w:r w:rsidRPr="00FF1DAC">
                <w:rPr>
                  <w:color w:val="000000"/>
                </w:rPr>
                <w:t xml:space="preserve"> </w:t>
              </w:r>
              <w:smartTag w:uri="urn:schemas-microsoft-com:office:smarttags" w:element="PostalCode">
                <w:r w:rsidRPr="00FF1DAC">
                  <w:rPr>
                    <w:color w:val="000000"/>
                  </w:rPr>
                  <w:t>32301</w:t>
                </w:r>
              </w:smartTag>
            </w:smartTag>
          </w:p>
          <w:p w:rsidR="00AF0EDD" w:rsidRPr="00FF1DAC" w:rsidRDefault="00AF0EDD" w:rsidP="00430C0D">
            <w:pPr>
              <w:pStyle w:val="InterProdBody"/>
              <w:spacing w:line="240" w:lineRule="auto"/>
              <w:rPr>
                <w:color w:val="000000"/>
              </w:rPr>
            </w:pPr>
          </w:p>
        </w:tc>
        <w:tc>
          <w:tcPr>
            <w:tcW w:w="4788" w:type="dxa"/>
          </w:tcPr>
          <w:p w:rsidR="00AF0EDD" w:rsidRDefault="00AF0EDD" w:rsidP="00430C0D">
            <w:pPr>
              <w:pStyle w:val="InterProdBody"/>
              <w:spacing w:line="240" w:lineRule="auto"/>
              <w:ind w:left="72"/>
              <w:rPr>
                <w:color w:val="000000"/>
              </w:rPr>
            </w:pPr>
            <w:r>
              <w:rPr>
                <w:color w:val="000000"/>
              </w:rPr>
              <w:t>Florida Retail Federation</w:t>
            </w:r>
          </w:p>
          <w:p w:rsidR="00AF0EDD" w:rsidRPr="00FF1DAC" w:rsidRDefault="00AF0EDD" w:rsidP="00430C0D">
            <w:pPr>
              <w:pStyle w:val="InterProdBody"/>
              <w:spacing w:line="240" w:lineRule="auto"/>
              <w:ind w:left="72"/>
              <w:rPr>
                <w:color w:val="000000"/>
              </w:rPr>
            </w:pPr>
            <w:r w:rsidRPr="00FF1DAC">
              <w:rPr>
                <w:color w:val="000000"/>
              </w:rPr>
              <w:t>Robert Scheffel Wright / John T. La Via, III</w:t>
            </w:r>
          </w:p>
          <w:p w:rsidR="00AF0EDD" w:rsidRPr="00FF1DAC" w:rsidRDefault="00AF0EDD" w:rsidP="00430C0D">
            <w:pPr>
              <w:pStyle w:val="InterProdBody"/>
              <w:spacing w:line="240" w:lineRule="auto"/>
              <w:ind w:left="72"/>
              <w:rPr>
                <w:color w:val="000000"/>
              </w:rPr>
            </w:pPr>
            <w:smartTag w:uri="urn:schemas-microsoft-com:office:smarttags" w:element="City">
              <w:r w:rsidRPr="00FF1DAC">
                <w:rPr>
                  <w:color w:val="000000"/>
                </w:rPr>
                <w:t>Gardner</w:t>
              </w:r>
            </w:smartTag>
            <w:r w:rsidRPr="00FF1DAC">
              <w:rPr>
                <w:color w:val="000000"/>
              </w:rPr>
              <w:t xml:space="preserve">, Bist, Wiener, </w:t>
            </w:r>
            <w:smartTag w:uri="urn:schemas-microsoft-com:office:smarttags" w:element="City">
              <w:smartTag w:uri="urn:schemas-microsoft-com:office:smarttags" w:element="place">
                <w:r w:rsidRPr="00FF1DAC">
                  <w:rPr>
                    <w:color w:val="000000"/>
                  </w:rPr>
                  <w:t>Wadsworth</w:t>
                </w:r>
              </w:smartTag>
            </w:smartTag>
            <w:r w:rsidRPr="00FF1DAC">
              <w:rPr>
                <w:color w:val="000000"/>
              </w:rPr>
              <w:t>, Bowden,</w:t>
            </w:r>
          </w:p>
          <w:p w:rsidR="00AF0EDD" w:rsidRPr="00FF1DAC" w:rsidRDefault="00AF0EDD" w:rsidP="00430C0D">
            <w:pPr>
              <w:pStyle w:val="InterProdBody"/>
              <w:spacing w:line="240" w:lineRule="auto"/>
              <w:ind w:left="72"/>
              <w:rPr>
                <w:color w:val="000000"/>
              </w:rPr>
            </w:pPr>
            <w:r w:rsidRPr="00FF1DAC">
              <w:rPr>
                <w:color w:val="000000"/>
              </w:rPr>
              <w:t>Bush, Dee, LaVia &amp; Wright, P.A.</w:t>
            </w:r>
          </w:p>
          <w:p w:rsidR="00AF0EDD" w:rsidRPr="00FF1DAC" w:rsidRDefault="00AF0EDD" w:rsidP="00430C0D">
            <w:pPr>
              <w:pStyle w:val="InterProdBody"/>
              <w:spacing w:line="240" w:lineRule="auto"/>
              <w:ind w:left="72"/>
              <w:rPr>
                <w:color w:val="000000"/>
              </w:rPr>
            </w:pPr>
            <w:smartTag w:uri="urn:schemas-microsoft-com:office:smarttags" w:element="Street">
              <w:smartTag w:uri="urn:schemas-microsoft-com:office:smarttags" w:element="address">
                <w:r w:rsidRPr="00FF1DAC">
                  <w:rPr>
                    <w:color w:val="000000"/>
                  </w:rPr>
                  <w:t>1300 Thomaswood Drive</w:t>
                </w:r>
              </w:smartTag>
            </w:smartTag>
          </w:p>
          <w:p w:rsidR="00AF0EDD" w:rsidRDefault="00AF0EDD" w:rsidP="00430C0D">
            <w:pPr>
              <w:pStyle w:val="InterProdBody"/>
              <w:spacing w:line="240" w:lineRule="auto"/>
              <w:ind w:left="72"/>
              <w:rPr>
                <w:color w:val="000000"/>
              </w:rPr>
            </w:pPr>
            <w:smartTag w:uri="urn:schemas-microsoft-com:office:smarttags" w:element="City">
              <w:r w:rsidRPr="00FF1DAC">
                <w:rPr>
                  <w:color w:val="000000"/>
                </w:rPr>
                <w:t>Tallahassee</w:t>
              </w:r>
            </w:smartTag>
            <w:r w:rsidRPr="00FF1DAC">
              <w:rPr>
                <w:color w:val="000000"/>
              </w:rPr>
              <w:t xml:space="preserve">, </w:t>
            </w:r>
            <w:smartTag w:uri="urn:schemas-microsoft-com:office:smarttags" w:element="State">
              <w:r w:rsidRPr="00FF1DAC">
                <w:rPr>
                  <w:color w:val="000000"/>
                </w:rPr>
                <w:t>FL</w:t>
              </w:r>
            </w:smartTag>
            <w:r w:rsidRPr="00FF1DAC">
              <w:rPr>
                <w:color w:val="000000"/>
              </w:rPr>
              <w:t xml:space="preserve"> 32308</w:t>
            </w:r>
          </w:p>
          <w:p w:rsidR="00AF0EDD" w:rsidRPr="00FF1DAC" w:rsidRDefault="00AF0EDD" w:rsidP="00430C0D">
            <w:pPr>
              <w:pStyle w:val="InterProdBody"/>
              <w:spacing w:line="240" w:lineRule="auto"/>
              <w:ind w:left="72"/>
              <w:rPr>
                <w:color w:val="000000"/>
              </w:rPr>
            </w:pPr>
          </w:p>
        </w:tc>
      </w:tr>
      <w:tr w:rsidR="00AF0EDD" w:rsidRPr="00FF1DAC" w:rsidTr="00430C0D">
        <w:tc>
          <w:tcPr>
            <w:tcW w:w="4788" w:type="dxa"/>
          </w:tcPr>
          <w:p w:rsidR="00AF0EDD" w:rsidRDefault="00AF0EDD" w:rsidP="00430C0D">
            <w:pPr>
              <w:pStyle w:val="InterProdBody"/>
              <w:spacing w:line="240" w:lineRule="auto"/>
              <w:ind w:left="72"/>
              <w:rPr>
                <w:color w:val="000000"/>
              </w:rPr>
            </w:pPr>
            <w:r>
              <w:rPr>
                <w:color w:val="000000"/>
              </w:rPr>
              <w:t>South Florida Hospital and Healthcare Assoc.</w:t>
            </w:r>
          </w:p>
          <w:p w:rsidR="00AF0EDD" w:rsidRPr="00FF1DAC" w:rsidRDefault="00AF0EDD" w:rsidP="00430C0D">
            <w:pPr>
              <w:pStyle w:val="InterProdBody"/>
              <w:spacing w:line="240" w:lineRule="auto"/>
              <w:ind w:left="72"/>
              <w:rPr>
                <w:color w:val="000000"/>
              </w:rPr>
            </w:pPr>
            <w:r w:rsidRPr="00FF1DAC">
              <w:rPr>
                <w:color w:val="000000"/>
              </w:rPr>
              <w:t>Kenneth L.Wiseman/Mark F. Sundback/</w:t>
            </w:r>
          </w:p>
          <w:p w:rsidR="00AF0EDD" w:rsidRPr="00FF1DAC" w:rsidRDefault="00AF0EDD" w:rsidP="00430C0D">
            <w:pPr>
              <w:pStyle w:val="InterProdBody"/>
              <w:spacing w:line="240" w:lineRule="auto"/>
              <w:ind w:left="72"/>
              <w:rPr>
                <w:color w:val="000000"/>
              </w:rPr>
            </w:pPr>
            <w:smartTag w:uri="urn:schemas-microsoft-com:office:smarttags" w:element="PersonName">
              <w:r w:rsidRPr="00FF1DAC">
                <w:rPr>
                  <w:color w:val="000000"/>
                </w:rPr>
                <w:t>Lisa M. Purdy</w:t>
              </w:r>
            </w:smartTag>
            <w:r w:rsidRPr="00FF1DAC">
              <w:rPr>
                <w:color w:val="000000"/>
              </w:rPr>
              <w:t>/</w:t>
            </w:r>
            <w:smartTag w:uri="urn:schemas-microsoft-com:office:smarttags" w:element="PersonName">
              <w:r w:rsidRPr="00FF1DAC">
                <w:rPr>
                  <w:color w:val="000000"/>
                </w:rPr>
                <w:t>William M. Rappolt</w:t>
              </w:r>
            </w:smartTag>
            <w:r w:rsidRPr="00FF1DAC">
              <w:rPr>
                <w:color w:val="000000"/>
              </w:rPr>
              <w:t>/</w:t>
            </w:r>
          </w:p>
          <w:p w:rsidR="00AF0EDD" w:rsidRPr="00FF1DAC" w:rsidRDefault="00AF0EDD" w:rsidP="00430C0D">
            <w:pPr>
              <w:pStyle w:val="InterProdBody"/>
              <w:spacing w:line="240" w:lineRule="auto"/>
              <w:ind w:left="72"/>
              <w:rPr>
                <w:color w:val="000000"/>
              </w:rPr>
            </w:pPr>
            <w:smartTag w:uri="urn:schemas-microsoft-com:office:smarttags" w:element="PersonName">
              <w:r w:rsidRPr="00FF1DAC">
                <w:rPr>
                  <w:color w:val="000000"/>
                </w:rPr>
                <w:t>J. Peter Ripley</w:t>
              </w:r>
            </w:smartTag>
          </w:p>
          <w:p w:rsidR="00AF0EDD" w:rsidRPr="00FF1DAC" w:rsidRDefault="00AF0EDD" w:rsidP="00430C0D">
            <w:pPr>
              <w:pStyle w:val="InterProdBody"/>
              <w:spacing w:line="240" w:lineRule="auto"/>
              <w:ind w:left="72"/>
              <w:rPr>
                <w:color w:val="000000"/>
              </w:rPr>
            </w:pPr>
            <w:r w:rsidRPr="00FF1DAC">
              <w:rPr>
                <w:color w:val="000000"/>
              </w:rPr>
              <w:t>Andrews Kurth LLP</w:t>
            </w:r>
          </w:p>
          <w:p w:rsidR="00AF0EDD" w:rsidRPr="00FF1DAC" w:rsidRDefault="00AF0EDD" w:rsidP="00430C0D">
            <w:pPr>
              <w:pStyle w:val="InterProdBody"/>
              <w:spacing w:line="240" w:lineRule="auto"/>
              <w:ind w:left="72"/>
              <w:rPr>
                <w:color w:val="000000"/>
              </w:rPr>
            </w:pPr>
            <w:r w:rsidRPr="00FF1DAC">
              <w:rPr>
                <w:color w:val="000000"/>
              </w:rPr>
              <w:t xml:space="preserve">1350 I Street NW, </w:t>
            </w:r>
            <w:smartTag w:uri="urn:schemas-microsoft-com:office:smarttags" w:element="address">
              <w:smartTag w:uri="urn:schemas-microsoft-com:office:smarttags" w:element="Street">
                <w:r w:rsidRPr="00FF1DAC">
                  <w:rPr>
                    <w:color w:val="000000"/>
                  </w:rPr>
                  <w:t>Suite</w:t>
                </w:r>
              </w:smartTag>
              <w:r w:rsidRPr="00FF1DAC">
                <w:rPr>
                  <w:color w:val="000000"/>
                </w:rPr>
                <w:t xml:space="preserve"> 1100</w:t>
              </w:r>
            </w:smartTag>
          </w:p>
          <w:p w:rsidR="00AF0EDD" w:rsidRPr="00FF1DAC" w:rsidRDefault="00AF0EDD" w:rsidP="00430C0D">
            <w:pPr>
              <w:pStyle w:val="InterProdBody"/>
              <w:spacing w:line="240" w:lineRule="auto"/>
              <w:ind w:left="72"/>
              <w:rPr>
                <w:color w:val="000000"/>
              </w:rPr>
            </w:pPr>
            <w:smartTag w:uri="urn:schemas-microsoft-com:office:smarttags" w:element="place">
              <w:smartTag w:uri="urn:schemas-microsoft-com:office:smarttags" w:element="City">
                <w:r w:rsidRPr="00FF1DAC">
                  <w:rPr>
                    <w:color w:val="000000"/>
                  </w:rPr>
                  <w:t>Washington</w:t>
                </w:r>
              </w:smartTag>
              <w:r w:rsidRPr="00FF1DAC">
                <w:rPr>
                  <w:color w:val="000000"/>
                </w:rPr>
                <w:t xml:space="preserve">, </w:t>
              </w:r>
              <w:smartTag w:uri="urn:schemas-microsoft-com:office:smarttags" w:element="State">
                <w:r w:rsidRPr="00FF1DAC">
                  <w:rPr>
                    <w:color w:val="000000"/>
                  </w:rPr>
                  <w:t>DC</w:t>
                </w:r>
              </w:smartTag>
              <w:r w:rsidRPr="00FF1DAC">
                <w:rPr>
                  <w:color w:val="000000"/>
                </w:rPr>
                <w:t xml:space="preserve"> </w:t>
              </w:r>
              <w:smartTag w:uri="urn:schemas-microsoft-com:office:smarttags" w:element="PostalCode">
                <w:r w:rsidRPr="00FF1DAC">
                  <w:rPr>
                    <w:color w:val="000000"/>
                  </w:rPr>
                  <w:t>20005</w:t>
                </w:r>
              </w:smartTag>
            </w:smartTag>
          </w:p>
          <w:p w:rsidR="00AF0EDD" w:rsidRPr="00FF1DAC" w:rsidRDefault="00AF0EDD" w:rsidP="00430C0D">
            <w:pPr>
              <w:pStyle w:val="InterProdBody"/>
              <w:spacing w:line="240" w:lineRule="auto"/>
              <w:rPr>
                <w:color w:val="000000"/>
              </w:rPr>
            </w:pPr>
          </w:p>
        </w:tc>
        <w:tc>
          <w:tcPr>
            <w:tcW w:w="4788" w:type="dxa"/>
          </w:tcPr>
          <w:p w:rsidR="00AF0EDD" w:rsidRDefault="00AF0EDD" w:rsidP="00430C0D">
            <w:pPr>
              <w:pStyle w:val="InterProdBody"/>
              <w:spacing w:line="240" w:lineRule="auto"/>
              <w:rPr>
                <w:color w:val="000000"/>
              </w:rPr>
            </w:pPr>
            <w:r>
              <w:rPr>
                <w:color w:val="000000"/>
              </w:rPr>
              <w:t>Susan F. Clark / Lisa C. Scoles</w:t>
            </w:r>
          </w:p>
          <w:p w:rsidR="00AF0EDD" w:rsidRDefault="00AF0EDD" w:rsidP="00430C0D">
            <w:pPr>
              <w:pStyle w:val="InterProdBody"/>
              <w:spacing w:line="240" w:lineRule="auto"/>
              <w:rPr>
                <w:color w:val="000000"/>
              </w:rPr>
            </w:pPr>
            <w:r>
              <w:rPr>
                <w:color w:val="000000"/>
              </w:rPr>
              <w:t xml:space="preserve">Radey Thomas Yon &amp; Clark, P.A. </w:t>
            </w:r>
          </w:p>
          <w:p w:rsidR="00AF0EDD" w:rsidRDefault="00AF0EDD" w:rsidP="00430C0D">
            <w:pPr>
              <w:pStyle w:val="InterProdBody"/>
              <w:spacing w:line="240" w:lineRule="auto"/>
              <w:rPr>
                <w:color w:val="000000"/>
              </w:rPr>
            </w:pPr>
            <w:r>
              <w:rPr>
                <w:color w:val="000000"/>
              </w:rPr>
              <w:t>301 South Bronough Street, Suite 200</w:t>
            </w:r>
          </w:p>
          <w:p w:rsidR="00AF0EDD" w:rsidRPr="00FF1DAC" w:rsidRDefault="00AF0EDD" w:rsidP="00430C0D">
            <w:pPr>
              <w:pStyle w:val="InterProdBody"/>
              <w:spacing w:line="240" w:lineRule="auto"/>
              <w:rPr>
                <w:color w:val="000000"/>
              </w:rPr>
            </w:pPr>
            <w:r>
              <w:rPr>
                <w:color w:val="000000"/>
              </w:rPr>
              <w:t>Tallahassee, FL 32301</w:t>
            </w:r>
          </w:p>
          <w:p w:rsidR="00AF0EDD" w:rsidRPr="00FF1DAC" w:rsidRDefault="00AF0EDD" w:rsidP="00430C0D">
            <w:pPr>
              <w:pStyle w:val="InterProdBody"/>
              <w:spacing w:line="240" w:lineRule="auto"/>
              <w:ind w:left="72"/>
              <w:rPr>
                <w:color w:val="000000"/>
              </w:rPr>
            </w:pPr>
          </w:p>
        </w:tc>
      </w:tr>
    </w:tbl>
    <w:p w:rsidR="00AF0EDD" w:rsidRDefault="00AF0EDD" w:rsidP="00AF0EDD">
      <w:pPr>
        <w:pStyle w:val="InterProdBody"/>
        <w:rPr>
          <w:color w:val="000000"/>
        </w:rPr>
        <w:sectPr w:rsidR="00AF0EDD">
          <w:headerReference w:type="default" r:id="rId12"/>
          <w:footerReference w:type="default" r:id="rId13"/>
          <w:pgSz w:w="12240" w:h="15840" w:code="1"/>
          <w:pgMar w:top="1008" w:right="1440" w:bottom="1440" w:left="1440" w:header="720" w:footer="720" w:gutter="0"/>
          <w:cols w:space="720"/>
          <w:titlePg/>
          <w:docGrid w:linePitch="360"/>
        </w:sectPr>
      </w:pPr>
    </w:p>
    <w:tbl>
      <w:tblPr>
        <w:tblW w:w="0" w:type="auto"/>
        <w:tblLook w:val="01E0"/>
      </w:tblPr>
      <w:tblGrid>
        <w:gridCol w:w="4479"/>
        <w:gridCol w:w="4377"/>
      </w:tblGrid>
      <w:tr w:rsidR="0016404F" w:rsidRPr="00FF1DAC" w:rsidTr="0016404F">
        <w:trPr>
          <w:trHeight w:val="999"/>
        </w:trPr>
        <w:tc>
          <w:tcPr>
            <w:tcW w:w="4479" w:type="dxa"/>
          </w:tcPr>
          <w:p w:rsidR="0016404F" w:rsidRDefault="0016404F" w:rsidP="0016404F">
            <w:pPr>
              <w:ind w:left="144" w:right="144"/>
            </w:pPr>
            <w:r>
              <w:lastRenderedPageBreak/>
              <w:t>William C. Garner</w:t>
            </w:r>
          </w:p>
          <w:p w:rsidR="0016404F" w:rsidRDefault="0016404F" w:rsidP="0016404F">
            <w:pPr>
              <w:ind w:left="144" w:right="144"/>
            </w:pPr>
            <w:r>
              <w:t>Brian P. Armstrong</w:t>
            </w:r>
          </w:p>
          <w:p w:rsidR="0016404F" w:rsidRDefault="0016404F" w:rsidP="0016404F">
            <w:pPr>
              <w:ind w:left="144" w:right="144"/>
            </w:pPr>
            <w:r>
              <w:t>Nabors, Giblin &amp; Nickerson, P.A.</w:t>
            </w:r>
          </w:p>
          <w:p w:rsidR="0016404F" w:rsidRDefault="0016404F" w:rsidP="0016404F">
            <w:pPr>
              <w:ind w:left="144" w:right="144"/>
            </w:pPr>
            <w:r>
              <w:t>1500 Mahan Drive, Suite 200</w:t>
            </w:r>
          </w:p>
          <w:p w:rsidR="0016404F" w:rsidRDefault="0016404F" w:rsidP="0016404F">
            <w:pPr>
              <w:ind w:left="144" w:right="144"/>
            </w:pPr>
            <w:r>
              <w:t>Tallahassee, FL 32308</w:t>
            </w:r>
          </w:p>
          <w:p w:rsidR="0016404F" w:rsidRPr="00FF1DAC" w:rsidRDefault="0016404F" w:rsidP="00430C0D">
            <w:pPr>
              <w:pStyle w:val="InterProdBody"/>
              <w:spacing w:line="240" w:lineRule="auto"/>
              <w:rPr>
                <w:color w:val="000000"/>
              </w:rPr>
            </w:pPr>
          </w:p>
        </w:tc>
        <w:tc>
          <w:tcPr>
            <w:tcW w:w="4377" w:type="dxa"/>
          </w:tcPr>
          <w:p w:rsidR="0016404F" w:rsidRDefault="0016404F" w:rsidP="002C3A5E">
            <w:pPr>
              <w:ind w:right="144"/>
            </w:pPr>
            <w:r>
              <w:t>Thomas Saporito</w:t>
            </w:r>
          </w:p>
          <w:p w:rsidR="0016404F" w:rsidRDefault="0016404F" w:rsidP="002C3A5E">
            <w:pPr>
              <w:ind w:right="144"/>
            </w:pPr>
            <w:r>
              <w:t>177 US Highway 1N, Unit 212</w:t>
            </w:r>
          </w:p>
          <w:p w:rsidR="0016404F" w:rsidRDefault="0016404F" w:rsidP="002C3A5E">
            <w:pPr>
              <w:ind w:right="144"/>
            </w:pPr>
            <w:r>
              <w:t>Tequesta, FL 33469</w:t>
            </w:r>
          </w:p>
        </w:tc>
      </w:tr>
      <w:tr w:rsidR="0016404F" w:rsidRPr="00FF1DAC" w:rsidTr="00430C0D">
        <w:tc>
          <w:tcPr>
            <w:tcW w:w="4479" w:type="dxa"/>
          </w:tcPr>
          <w:p w:rsidR="0016404F" w:rsidRPr="00FF1DAC" w:rsidRDefault="0016404F" w:rsidP="0016404F">
            <w:pPr>
              <w:pStyle w:val="InterProdBody"/>
              <w:spacing w:line="240" w:lineRule="auto"/>
              <w:rPr>
                <w:color w:val="000000"/>
              </w:rPr>
            </w:pPr>
          </w:p>
        </w:tc>
        <w:tc>
          <w:tcPr>
            <w:tcW w:w="4377" w:type="dxa"/>
          </w:tcPr>
          <w:p w:rsidR="0016404F" w:rsidRDefault="0016404F" w:rsidP="00430C0D">
            <w:pPr>
              <w:ind w:right="144"/>
            </w:pPr>
          </w:p>
        </w:tc>
      </w:tr>
      <w:tr w:rsidR="0016404F" w:rsidRPr="000B2CA8" w:rsidTr="0016404F">
        <w:trPr>
          <w:trHeight w:val="1134"/>
        </w:trPr>
        <w:tc>
          <w:tcPr>
            <w:tcW w:w="4479" w:type="dxa"/>
          </w:tcPr>
          <w:p w:rsidR="0016404F" w:rsidRPr="00FF1DAC" w:rsidRDefault="0016404F" w:rsidP="0016404F">
            <w:pPr>
              <w:pStyle w:val="InterProdBody"/>
              <w:spacing w:line="240" w:lineRule="auto"/>
              <w:rPr>
                <w:color w:val="000000"/>
              </w:rPr>
            </w:pPr>
          </w:p>
        </w:tc>
        <w:tc>
          <w:tcPr>
            <w:tcW w:w="4377" w:type="dxa"/>
          </w:tcPr>
          <w:p w:rsidR="0016404F" w:rsidRDefault="0016404F" w:rsidP="00430C0D">
            <w:pPr>
              <w:ind w:left="144" w:right="144"/>
            </w:pPr>
          </w:p>
          <w:p w:rsidR="0016404F" w:rsidRPr="000B2CA8" w:rsidRDefault="0016404F" w:rsidP="00430C0D">
            <w:pPr>
              <w:ind w:left="144" w:right="144"/>
            </w:pPr>
          </w:p>
        </w:tc>
      </w:tr>
    </w:tbl>
    <w:p w:rsidR="00AF0EDD" w:rsidRDefault="00AF0EDD" w:rsidP="00AF0EDD">
      <w:pPr>
        <w:pStyle w:val="InterProdBody"/>
        <w:spacing w:line="240" w:lineRule="auto"/>
        <w:rPr>
          <w:color w:val="000000"/>
        </w:rPr>
      </w:pPr>
    </w:p>
    <w:p w:rsidR="00AF0EDD" w:rsidRDefault="00AF0EDD" w:rsidP="00AF0EDD">
      <w:pPr>
        <w:pStyle w:val="InterProdBody"/>
        <w:spacing w:line="240" w:lineRule="auto"/>
        <w:rPr>
          <w:color w:val="000000"/>
        </w:rPr>
      </w:pPr>
    </w:p>
    <w:p w:rsidR="00AF0EDD" w:rsidRDefault="00AF0EDD" w:rsidP="00AF0EDD">
      <w:pPr>
        <w:pStyle w:val="InterProdBody"/>
        <w:spacing w:line="240" w:lineRule="auto"/>
        <w:rPr>
          <w:color w:val="000000"/>
        </w:rPr>
      </w:pPr>
    </w:p>
    <w:tbl>
      <w:tblPr>
        <w:tblW w:w="0" w:type="auto"/>
        <w:tblInd w:w="4320" w:type="dxa"/>
        <w:tblBorders>
          <w:top w:val="single" w:sz="4" w:space="0" w:color="auto"/>
          <w:insideV w:val="single" w:sz="4" w:space="0" w:color="auto"/>
        </w:tblBorders>
        <w:tblLook w:val="01E0"/>
      </w:tblPr>
      <w:tblGrid>
        <w:gridCol w:w="5256"/>
      </w:tblGrid>
      <w:tr w:rsidR="00AF0EDD" w:rsidTr="00430C0D">
        <w:tc>
          <w:tcPr>
            <w:tcW w:w="5256" w:type="dxa"/>
            <w:tcBorders>
              <w:top w:val="nil"/>
              <w:bottom w:val="single" w:sz="4" w:space="0" w:color="auto"/>
            </w:tcBorders>
          </w:tcPr>
          <w:p w:rsidR="00AF0EDD" w:rsidRDefault="00AF0EDD" w:rsidP="00430C0D">
            <w:pPr>
              <w:tabs>
                <w:tab w:val="left" w:pos="948"/>
              </w:tabs>
              <w:rPr>
                <w:b/>
              </w:rPr>
            </w:pPr>
          </w:p>
          <w:p w:rsidR="00AF0EDD" w:rsidRPr="00A81674" w:rsidRDefault="00AF0EDD" w:rsidP="00430C0D">
            <w:pPr>
              <w:tabs>
                <w:tab w:val="left" w:pos="948"/>
              </w:tabs>
              <w:rPr>
                <w:b/>
              </w:rPr>
            </w:pPr>
            <w:r>
              <w:t>s/ John W. Hendricks</w:t>
            </w:r>
          </w:p>
        </w:tc>
      </w:tr>
    </w:tbl>
    <w:p w:rsidR="00AF0EDD" w:rsidRDefault="00AF0EDD" w:rsidP="00AF0EDD">
      <w:pPr>
        <w:ind w:left="4320"/>
      </w:pPr>
      <w:r>
        <w:t>John W. Hendricks</w:t>
      </w:r>
    </w:p>
    <w:p w:rsidR="00AF0EDD" w:rsidRDefault="00AF0EDD" w:rsidP="00AF0EDD">
      <w:pPr>
        <w:ind w:left="4320"/>
      </w:pPr>
      <w:r>
        <w:t>367 S Shore Drive</w:t>
      </w:r>
    </w:p>
    <w:p w:rsidR="00AF0EDD" w:rsidRDefault="00AF0EDD" w:rsidP="00AF0EDD">
      <w:pPr>
        <w:ind w:left="4320"/>
      </w:pPr>
      <w:r>
        <w:t>Sarasota, Florida 34234</w:t>
      </w:r>
    </w:p>
    <w:p w:rsidR="00AF0EDD" w:rsidRDefault="00AF0EDD" w:rsidP="00AF0EDD">
      <w:pPr>
        <w:ind w:left="4320"/>
      </w:pPr>
      <w:r>
        <w:t>Telephone:  (941) 685-0223</w:t>
      </w:r>
    </w:p>
    <w:p w:rsidR="00AF0EDD" w:rsidRDefault="00AF0EDD" w:rsidP="00AF0EDD">
      <w:pPr>
        <w:ind w:left="4320"/>
      </w:pPr>
      <w:r>
        <w:t xml:space="preserve">Email:  </w:t>
      </w:r>
      <w:hyperlink r:id="rId14" w:history="1">
        <w:r>
          <w:rPr>
            <w:rStyle w:val="Hyperlink"/>
          </w:rPr>
          <w:t>jwhendricks@sti2.com</w:t>
        </w:r>
      </w:hyperlink>
    </w:p>
    <w:p w:rsidR="00AF0EDD" w:rsidRDefault="00AF0EDD" w:rsidP="00AF0EDD">
      <w:pPr>
        <w:pStyle w:val="InterProdBody"/>
      </w:pPr>
    </w:p>
    <w:p w:rsidR="00AF0EDD" w:rsidRDefault="00AF0EDD" w:rsidP="00AF0EDD">
      <w:pPr>
        <w:pStyle w:val="InterProdBody"/>
      </w:pPr>
    </w:p>
    <w:p w:rsidR="00AF0EDD" w:rsidRDefault="00AF0EDD" w:rsidP="00AF0EDD">
      <w:pPr>
        <w:pStyle w:val="InterProdBody"/>
      </w:pPr>
    </w:p>
    <w:p w:rsidR="00AF0EDD" w:rsidRPr="004B3369" w:rsidRDefault="00AF0EDD" w:rsidP="00AF0EDD">
      <w:pPr>
        <w:pStyle w:val="InterProdBody"/>
      </w:pPr>
    </w:p>
    <w:p w:rsidR="00D03B41" w:rsidRPr="004B3369" w:rsidRDefault="00D03B41" w:rsidP="00AF0EDD"/>
    <w:sectPr w:rsidR="00D03B41" w:rsidRPr="004B3369" w:rsidSect="004B3369">
      <w:pgSz w:w="12240" w:h="15840" w:code="1"/>
      <w:pgMar w:top="1008"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077" w:rsidRDefault="00637077">
      <w:r>
        <w:separator/>
      </w:r>
    </w:p>
  </w:endnote>
  <w:endnote w:type="continuationSeparator" w:id="0">
    <w:p w:rsidR="00637077" w:rsidRDefault="00637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4E" w:rsidRDefault="002A64DB">
    <w:pPr>
      <w:pStyle w:val="Footer"/>
      <w:jc w:val="center"/>
    </w:pPr>
    <w:fldSimple w:instr=" PAGE   \* MERGEFORMAT ">
      <w:r w:rsidR="00B20DF0">
        <w:rPr>
          <w:noProof/>
        </w:rPr>
        <w:t>6</w:t>
      </w:r>
    </w:fldSimple>
  </w:p>
  <w:p w:rsidR="00F967EC" w:rsidRDefault="00F967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DD" w:rsidRDefault="002A64DB">
    <w:pPr>
      <w:pStyle w:val="Footer"/>
      <w:jc w:val="center"/>
    </w:pPr>
    <w:fldSimple w:instr=" PAGE   \* MERGEFORMAT ">
      <w:r w:rsidR="00B20DF0">
        <w:rPr>
          <w:noProof/>
        </w:rPr>
        <w:t>9</w:t>
      </w:r>
    </w:fldSimple>
  </w:p>
  <w:p w:rsidR="00AF0EDD" w:rsidRDefault="00AF0E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077" w:rsidRDefault="00637077">
      <w:r>
        <w:separator/>
      </w:r>
    </w:p>
  </w:footnote>
  <w:footnote w:type="continuationSeparator" w:id="0">
    <w:p w:rsidR="00637077" w:rsidRDefault="006370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DD" w:rsidRDefault="00AF0EDD">
    <w:pPr>
      <w:pStyle w:val="Header"/>
      <w:rPr>
        <w:rStyle w:val="PageNumber"/>
      </w:rPr>
    </w:pPr>
  </w:p>
  <w:p w:rsidR="00AF0EDD" w:rsidRDefault="00AF0E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B769C50"/>
    <w:lvl w:ilvl="0">
      <w:start w:val="1"/>
      <w:numFmt w:val="decimal"/>
      <w:pStyle w:val="ListNumber"/>
      <w:lvlText w:val="%1."/>
      <w:lvlJc w:val="left"/>
      <w:pPr>
        <w:tabs>
          <w:tab w:val="num" w:pos="360"/>
        </w:tabs>
        <w:ind w:left="360" w:hanging="360"/>
      </w:pPr>
    </w:lvl>
  </w:abstractNum>
  <w:abstractNum w:abstractNumId="1">
    <w:nsid w:val="2B865E47"/>
    <w:multiLevelType w:val="hybridMultilevel"/>
    <w:tmpl w:val="FB1894AE"/>
    <w:lvl w:ilvl="0" w:tplc="386AA1A0">
      <w:start w:val="6"/>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0269D8"/>
    <w:multiLevelType w:val="multilevel"/>
    <w:tmpl w:val="AD96D50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bullet"/>
      <w:lvlText w:val=""/>
      <w:lvlJc w:val="left"/>
      <w:pPr>
        <w:tabs>
          <w:tab w:val="num" w:pos="2160"/>
        </w:tabs>
        <w:ind w:left="2160" w:hanging="72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4FD137FC"/>
    <w:multiLevelType w:val="multilevel"/>
    <w:tmpl w:val="17940166"/>
    <w:lvl w:ilvl="0">
      <w:start w:val="1"/>
      <w:numFmt w:val="none"/>
      <w:pStyle w:val="Heading1"/>
      <w:lvlText w:val=""/>
      <w:lvlJc w:val="left"/>
      <w:pPr>
        <w:tabs>
          <w:tab w:val="num" w:pos="0"/>
        </w:tabs>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pStyle w:val="Heading3"/>
      <w:lvlText w:val="%3."/>
      <w:lvlJc w:val="left"/>
      <w:pPr>
        <w:tabs>
          <w:tab w:val="num" w:pos="1440"/>
        </w:tabs>
        <w:ind w:left="1440" w:hanging="720"/>
      </w:pPr>
      <w:rPr>
        <w:rFonts w:hint="default"/>
      </w:rPr>
    </w:lvl>
    <w:lvl w:ilvl="3">
      <w:start w:val="1"/>
      <w:numFmt w:val="bullet"/>
      <w:pStyle w:val="Heading4"/>
      <w:lvlText w:val=""/>
      <w:lvlJc w:val="left"/>
      <w:pPr>
        <w:tabs>
          <w:tab w:val="num" w:pos="2160"/>
        </w:tabs>
        <w:ind w:left="2160" w:hanging="72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6CBE7460"/>
    <w:multiLevelType w:val="hybridMultilevel"/>
    <w:tmpl w:val="63704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FE191C"/>
    <w:multiLevelType w:val="hybridMultilevel"/>
    <w:tmpl w:val="2D765E04"/>
    <w:lvl w:ilvl="0" w:tplc="F83814DA">
      <w:start w:val="1"/>
      <w:numFmt w:val="lowerLetter"/>
      <w:lvlText w:val="(%1)"/>
      <w:lvlJc w:val="left"/>
      <w:pPr>
        <w:tabs>
          <w:tab w:val="num" w:pos="1776"/>
        </w:tabs>
        <w:ind w:left="1776" w:hanging="105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D750028"/>
    <w:multiLevelType w:val="hybridMultilevel"/>
    <w:tmpl w:val="4A9A4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304896"/>
    <w:multiLevelType w:val="multilevel"/>
    <w:tmpl w:val="AD96D50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bullet"/>
      <w:lvlText w:val=""/>
      <w:lvlJc w:val="left"/>
      <w:pPr>
        <w:tabs>
          <w:tab w:val="num" w:pos="2160"/>
        </w:tabs>
        <w:ind w:left="2160" w:hanging="72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3"/>
  </w:num>
  <w:num w:numId="11">
    <w:abstractNumId w:val="5"/>
  </w:num>
  <w:num w:numId="12">
    <w:abstractNumId w:val="7"/>
  </w:num>
  <w:num w:numId="13">
    <w:abstractNumId w:val="4"/>
  </w:num>
  <w:num w:numId="14">
    <w:abstractNumId w:val="0"/>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3369"/>
    <w:rsid w:val="00015A72"/>
    <w:rsid w:val="00023879"/>
    <w:rsid w:val="00024135"/>
    <w:rsid w:val="0002485F"/>
    <w:rsid w:val="000314C8"/>
    <w:rsid w:val="00044FCE"/>
    <w:rsid w:val="000533FC"/>
    <w:rsid w:val="00061F72"/>
    <w:rsid w:val="000620F2"/>
    <w:rsid w:val="000720AD"/>
    <w:rsid w:val="00076975"/>
    <w:rsid w:val="00081238"/>
    <w:rsid w:val="00083BC3"/>
    <w:rsid w:val="00087147"/>
    <w:rsid w:val="000935B5"/>
    <w:rsid w:val="000B1429"/>
    <w:rsid w:val="000B2CA8"/>
    <w:rsid w:val="000B40CE"/>
    <w:rsid w:val="000B79B9"/>
    <w:rsid w:val="000C181B"/>
    <w:rsid w:val="000D1513"/>
    <w:rsid w:val="000D349E"/>
    <w:rsid w:val="000E0966"/>
    <w:rsid w:val="000E0A38"/>
    <w:rsid w:val="00105C53"/>
    <w:rsid w:val="00106854"/>
    <w:rsid w:val="001124D9"/>
    <w:rsid w:val="001151B5"/>
    <w:rsid w:val="001152BB"/>
    <w:rsid w:val="00115589"/>
    <w:rsid w:val="00121503"/>
    <w:rsid w:val="00153E3E"/>
    <w:rsid w:val="0016404F"/>
    <w:rsid w:val="001712A5"/>
    <w:rsid w:val="00175547"/>
    <w:rsid w:val="00185F54"/>
    <w:rsid w:val="001C6FD9"/>
    <w:rsid w:val="001D26AB"/>
    <w:rsid w:val="001D623C"/>
    <w:rsid w:val="00201531"/>
    <w:rsid w:val="00202995"/>
    <w:rsid w:val="002147F4"/>
    <w:rsid w:val="00215447"/>
    <w:rsid w:val="00231E37"/>
    <w:rsid w:val="00231E58"/>
    <w:rsid w:val="002446F5"/>
    <w:rsid w:val="0024498D"/>
    <w:rsid w:val="00244EC7"/>
    <w:rsid w:val="002525E8"/>
    <w:rsid w:val="00255D20"/>
    <w:rsid w:val="00256EED"/>
    <w:rsid w:val="0025730A"/>
    <w:rsid w:val="00262C4D"/>
    <w:rsid w:val="002701B4"/>
    <w:rsid w:val="00270D88"/>
    <w:rsid w:val="0027424F"/>
    <w:rsid w:val="002912B2"/>
    <w:rsid w:val="00291623"/>
    <w:rsid w:val="002A5B9C"/>
    <w:rsid w:val="002A64DB"/>
    <w:rsid w:val="002C55C0"/>
    <w:rsid w:val="002D4B0E"/>
    <w:rsid w:val="002D68FD"/>
    <w:rsid w:val="002E2365"/>
    <w:rsid w:val="002E516A"/>
    <w:rsid w:val="002E7C95"/>
    <w:rsid w:val="002F19B2"/>
    <w:rsid w:val="003001A2"/>
    <w:rsid w:val="0031403D"/>
    <w:rsid w:val="00314AE0"/>
    <w:rsid w:val="0031593D"/>
    <w:rsid w:val="00320D68"/>
    <w:rsid w:val="00325246"/>
    <w:rsid w:val="00333E44"/>
    <w:rsid w:val="00333ED5"/>
    <w:rsid w:val="00336F47"/>
    <w:rsid w:val="00340E41"/>
    <w:rsid w:val="0034277A"/>
    <w:rsid w:val="00351ED2"/>
    <w:rsid w:val="00354E9E"/>
    <w:rsid w:val="00356008"/>
    <w:rsid w:val="00364906"/>
    <w:rsid w:val="00375C28"/>
    <w:rsid w:val="003831D5"/>
    <w:rsid w:val="00390D9E"/>
    <w:rsid w:val="00390E4C"/>
    <w:rsid w:val="00392F17"/>
    <w:rsid w:val="00394E02"/>
    <w:rsid w:val="0039615C"/>
    <w:rsid w:val="0039740B"/>
    <w:rsid w:val="003A7996"/>
    <w:rsid w:val="003B4E7D"/>
    <w:rsid w:val="003B74F8"/>
    <w:rsid w:val="003C2629"/>
    <w:rsid w:val="003D1869"/>
    <w:rsid w:val="003D1EB8"/>
    <w:rsid w:val="003D2C2B"/>
    <w:rsid w:val="003D2E0A"/>
    <w:rsid w:val="003D57D3"/>
    <w:rsid w:val="003E2E2A"/>
    <w:rsid w:val="003F267C"/>
    <w:rsid w:val="003F545E"/>
    <w:rsid w:val="00401ADC"/>
    <w:rsid w:val="00404CFE"/>
    <w:rsid w:val="00410F94"/>
    <w:rsid w:val="0041232E"/>
    <w:rsid w:val="004133A3"/>
    <w:rsid w:val="004159D5"/>
    <w:rsid w:val="00425B34"/>
    <w:rsid w:val="00435C52"/>
    <w:rsid w:val="00441408"/>
    <w:rsid w:val="00442FFC"/>
    <w:rsid w:val="004527C8"/>
    <w:rsid w:val="0045456C"/>
    <w:rsid w:val="00455691"/>
    <w:rsid w:val="004627CD"/>
    <w:rsid w:val="00465A60"/>
    <w:rsid w:val="004762FB"/>
    <w:rsid w:val="0047684D"/>
    <w:rsid w:val="004830DD"/>
    <w:rsid w:val="00490FA0"/>
    <w:rsid w:val="00495204"/>
    <w:rsid w:val="00495712"/>
    <w:rsid w:val="004A1329"/>
    <w:rsid w:val="004B3369"/>
    <w:rsid w:val="004C1209"/>
    <w:rsid w:val="004C1897"/>
    <w:rsid w:val="004C7B6B"/>
    <w:rsid w:val="004D4DC0"/>
    <w:rsid w:val="004F1CA4"/>
    <w:rsid w:val="004F4B27"/>
    <w:rsid w:val="004F7DEC"/>
    <w:rsid w:val="00500F0F"/>
    <w:rsid w:val="005011E8"/>
    <w:rsid w:val="005161B5"/>
    <w:rsid w:val="00517AEB"/>
    <w:rsid w:val="005429B8"/>
    <w:rsid w:val="00560017"/>
    <w:rsid w:val="00561477"/>
    <w:rsid w:val="0056363A"/>
    <w:rsid w:val="00584C17"/>
    <w:rsid w:val="0059060E"/>
    <w:rsid w:val="00590639"/>
    <w:rsid w:val="00591EC3"/>
    <w:rsid w:val="00596D5A"/>
    <w:rsid w:val="00596D66"/>
    <w:rsid w:val="005A3FCE"/>
    <w:rsid w:val="005A6706"/>
    <w:rsid w:val="005B279E"/>
    <w:rsid w:val="005B5C14"/>
    <w:rsid w:val="005D3975"/>
    <w:rsid w:val="005D5A28"/>
    <w:rsid w:val="005D7D4A"/>
    <w:rsid w:val="005E037F"/>
    <w:rsid w:val="005E1198"/>
    <w:rsid w:val="005F108A"/>
    <w:rsid w:val="005F26B3"/>
    <w:rsid w:val="005F41E0"/>
    <w:rsid w:val="005F4853"/>
    <w:rsid w:val="00612841"/>
    <w:rsid w:val="00614C42"/>
    <w:rsid w:val="00623AA9"/>
    <w:rsid w:val="00637077"/>
    <w:rsid w:val="00637FE0"/>
    <w:rsid w:val="006516E0"/>
    <w:rsid w:val="0065363D"/>
    <w:rsid w:val="00655B13"/>
    <w:rsid w:val="006605B3"/>
    <w:rsid w:val="00673E6B"/>
    <w:rsid w:val="00674D9D"/>
    <w:rsid w:val="00684B31"/>
    <w:rsid w:val="006A6BCE"/>
    <w:rsid w:val="006B0665"/>
    <w:rsid w:val="006B6693"/>
    <w:rsid w:val="006C58E7"/>
    <w:rsid w:val="006D23A5"/>
    <w:rsid w:val="006D6485"/>
    <w:rsid w:val="006E3573"/>
    <w:rsid w:val="006E4DE2"/>
    <w:rsid w:val="006F06F2"/>
    <w:rsid w:val="00703D95"/>
    <w:rsid w:val="00706790"/>
    <w:rsid w:val="007072B8"/>
    <w:rsid w:val="007128E8"/>
    <w:rsid w:val="00712989"/>
    <w:rsid w:val="00714BDD"/>
    <w:rsid w:val="007160AB"/>
    <w:rsid w:val="00716881"/>
    <w:rsid w:val="0072787C"/>
    <w:rsid w:val="00733B71"/>
    <w:rsid w:val="0073495F"/>
    <w:rsid w:val="007470C6"/>
    <w:rsid w:val="00752C39"/>
    <w:rsid w:val="007547D5"/>
    <w:rsid w:val="00757E89"/>
    <w:rsid w:val="00761DB9"/>
    <w:rsid w:val="0076271C"/>
    <w:rsid w:val="00771B0D"/>
    <w:rsid w:val="00780D9F"/>
    <w:rsid w:val="00787AA5"/>
    <w:rsid w:val="00787AB2"/>
    <w:rsid w:val="00790E66"/>
    <w:rsid w:val="00793E14"/>
    <w:rsid w:val="00796E87"/>
    <w:rsid w:val="00796EEA"/>
    <w:rsid w:val="007A5226"/>
    <w:rsid w:val="007A686B"/>
    <w:rsid w:val="007B7D4E"/>
    <w:rsid w:val="007C2EA4"/>
    <w:rsid w:val="007C35EA"/>
    <w:rsid w:val="007C520C"/>
    <w:rsid w:val="007E0D4F"/>
    <w:rsid w:val="007E7467"/>
    <w:rsid w:val="007F6C26"/>
    <w:rsid w:val="0080390A"/>
    <w:rsid w:val="008174BA"/>
    <w:rsid w:val="00820D00"/>
    <w:rsid w:val="00832509"/>
    <w:rsid w:val="00833A38"/>
    <w:rsid w:val="00833C86"/>
    <w:rsid w:val="00842797"/>
    <w:rsid w:val="00853851"/>
    <w:rsid w:val="00876C41"/>
    <w:rsid w:val="00877963"/>
    <w:rsid w:val="00890A14"/>
    <w:rsid w:val="00892347"/>
    <w:rsid w:val="00897B85"/>
    <w:rsid w:val="008A15B2"/>
    <w:rsid w:val="008A1C98"/>
    <w:rsid w:val="008B020E"/>
    <w:rsid w:val="008B08A5"/>
    <w:rsid w:val="008B5DBD"/>
    <w:rsid w:val="008B6F21"/>
    <w:rsid w:val="008C4D34"/>
    <w:rsid w:val="008C591D"/>
    <w:rsid w:val="008D0468"/>
    <w:rsid w:val="008D4DEA"/>
    <w:rsid w:val="008D7DAD"/>
    <w:rsid w:val="008F1450"/>
    <w:rsid w:val="0090028C"/>
    <w:rsid w:val="0090052C"/>
    <w:rsid w:val="009128BC"/>
    <w:rsid w:val="009278FC"/>
    <w:rsid w:val="00927973"/>
    <w:rsid w:val="00927FE8"/>
    <w:rsid w:val="00932692"/>
    <w:rsid w:val="00936B98"/>
    <w:rsid w:val="00954A7C"/>
    <w:rsid w:val="00956DF7"/>
    <w:rsid w:val="0096044A"/>
    <w:rsid w:val="0096114E"/>
    <w:rsid w:val="00974953"/>
    <w:rsid w:val="009842BC"/>
    <w:rsid w:val="00986FB5"/>
    <w:rsid w:val="00990B5F"/>
    <w:rsid w:val="009A08BF"/>
    <w:rsid w:val="009A11E4"/>
    <w:rsid w:val="009A44E2"/>
    <w:rsid w:val="009A784E"/>
    <w:rsid w:val="009B534D"/>
    <w:rsid w:val="009B689A"/>
    <w:rsid w:val="009C5D1D"/>
    <w:rsid w:val="009D2722"/>
    <w:rsid w:val="009D3831"/>
    <w:rsid w:val="009D3BCD"/>
    <w:rsid w:val="009D78C8"/>
    <w:rsid w:val="009E3E83"/>
    <w:rsid w:val="00A01587"/>
    <w:rsid w:val="00A04EAE"/>
    <w:rsid w:val="00A13A09"/>
    <w:rsid w:val="00A20557"/>
    <w:rsid w:val="00A208AD"/>
    <w:rsid w:val="00A25A73"/>
    <w:rsid w:val="00A27A6A"/>
    <w:rsid w:val="00A4089E"/>
    <w:rsid w:val="00A41E8D"/>
    <w:rsid w:val="00A41FCC"/>
    <w:rsid w:val="00A530EA"/>
    <w:rsid w:val="00A64151"/>
    <w:rsid w:val="00A6498A"/>
    <w:rsid w:val="00A73E13"/>
    <w:rsid w:val="00A75B2B"/>
    <w:rsid w:val="00A81674"/>
    <w:rsid w:val="00A836BC"/>
    <w:rsid w:val="00A84DB2"/>
    <w:rsid w:val="00A858B2"/>
    <w:rsid w:val="00A91BC4"/>
    <w:rsid w:val="00AA1A6E"/>
    <w:rsid w:val="00AA1C92"/>
    <w:rsid w:val="00AA30E3"/>
    <w:rsid w:val="00AA68E3"/>
    <w:rsid w:val="00AB1028"/>
    <w:rsid w:val="00AB637C"/>
    <w:rsid w:val="00AC0819"/>
    <w:rsid w:val="00AC0B8B"/>
    <w:rsid w:val="00AC6B48"/>
    <w:rsid w:val="00AC6C4E"/>
    <w:rsid w:val="00AE77CE"/>
    <w:rsid w:val="00AF0EDD"/>
    <w:rsid w:val="00AF44A3"/>
    <w:rsid w:val="00B00066"/>
    <w:rsid w:val="00B00F7A"/>
    <w:rsid w:val="00B10CA5"/>
    <w:rsid w:val="00B16FA6"/>
    <w:rsid w:val="00B171CC"/>
    <w:rsid w:val="00B20DF0"/>
    <w:rsid w:val="00B31554"/>
    <w:rsid w:val="00B6300C"/>
    <w:rsid w:val="00B66EB4"/>
    <w:rsid w:val="00B70D61"/>
    <w:rsid w:val="00B72A71"/>
    <w:rsid w:val="00B81374"/>
    <w:rsid w:val="00B82BE5"/>
    <w:rsid w:val="00B95E16"/>
    <w:rsid w:val="00BB26D8"/>
    <w:rsid w:val="00BB2D90"/>
    <w:rsid w:val="00BB32F9"/>
    <w:rsid w:val="00BE2A53"/>
    <w:rsid w:val="00BE6BAD"/>
    <w:rsid w:val="00BF03E1"/>
    <w:rsid w:val="00BF1AE3"/>
    <w:rsid w:val="00BF6909"/>
    <w:rsid w:val="00C0434D"/>
    <w:rsid w:val="00C20335"/>
    <w:rsid w:val="00C211BF"/>
    <w:rsid w:val="00C264A2"/>
    <w:rsid w:val="00C30452"/>
    <w:rsid w:val="00C34B24"/>
    <w:rsid w:val="00C3512C"/>
    <w:rsid w:val="00C35DB1"/>
    <w:rsid w:val="00C36DDF"/>
    <w:rsid w:val="00C37201"/>
    <w:rsid w:val="00C41CB1"/>
    <w:rsid w:val="00C42095"/>
    <w:rsid w:val="00C51F51"/>
    <w:rsid w:val="00C618CD"/>
    <w:rsid w:val="00C6748F"/>
    <w:rsid w:val="00C7703D"/>
    <w:rsid w:val="00C81C23"/>
    <w:rsid w:val="00C82628"/>
    <w:rsid w:val="00C93823"/>
    <w:rsid w:val="00C94886"/>
    <w:rsid w:val="00CA26B9"/>
    <w:rsid w:val="00CA3A93"/>
    <w:rsid w:val="00CA700D"/>
    <w:rsid w:val="00CA7319"/>
    <w:rsid w:val="00CB2CD6"/>
    <w:rsid w:val="00CB30C8"/>
    <w:rsid w:val="00CC4871"/>
    <w:rsid w:val="00CC674A"/>
    <w:rsid w:val="00CC6DE9"/>
    <w:rsid w:val="00CC6FA1"/>
    <w:rsid w:val="00CE10C1"/>
    <w:rsid w:val="00CE1B23"/>
    <w:rsid w:val="00CE2C89"/>
    <w:rsid w:val="00CE4C21"/>
    <w:rsid w:val="00CF477B"/>
    <w:rsid w:val="00D03B41"/>
    <w:rsid w:val="00D33A53"/>
    <w:rsid w:val="00D348FD"/>
    <w:rsid w:val="00D43673"/>
    <w:rsid w:val="00D52858"/>
    <w:rsid w:val="00D56465"/>
    <w:rsid w:val="00D70EB3"/>
    <w:rsid w:val="00D72391"/>
    <w:rsid w:val="00D76162"/>
    <w:rsid w:val="00D82AA7"/>
    <w:rsid w:val="00D92DB2"/>
    <w:rsid w:val="00D9605A"/>
    <w:rsid w:val="00DA1E60"/>
    <w:rsid w:val="00DA4979"/>
    <w:rsid w:val="00DB2406"/>
    <w:rsid w:val="00DB5161"/>
    <w:rsid w:val="00DC1811"/>
    <w:rsid w:val="00DC1EAD"/>
    <w:rsid w:val="00DC2729"/>
    <w:rsid w:val="00DC3427"/>
    <w:rsid w:val="00DC343E"/>
    <w:rsid w:val="00DC5526"/>
    <w:rsid w:val="00DC7B59"/>
    <w:rsid w:val="00DD1312"/>
    <w:rsid w:val="00DD7CF8"/>
    <w:rsid w:val="00DE1685"/>
    <w:rsid w:val="00DE5179"/>
    <w:rsid w:val="00DE5E52"/>
    <w:rsid w:val="00DF21CC"/>
    <w:rsid w:val="00DF7B73"/>
    <w:rsid w:val="00E03F39"/>
    <w:rsid w:val="00E11081"/>
    <w:rsid w:val="00E21A7A"/>
    <w:rsid w:val="00E34A84"/>
    <w:rsid w:val="00E44B38"/>
    <w:rsid w:val="00E51551"/>
    <w:rsid w:val="00E5251D"/>
    <w:rsid w:val="00E64845"/>
    <w:rsid w:val="00E67687"/>
    <w:rsid w:val="00E76FC2"/>
    <w:rsid w:val="00E83A8E"/>
    <w:rsid w:val="00E85C56"/>
    <w:rsid w:val="00E929E8"/>
    <w:rsid w:val="00E97563"/>
    <w:rsid w:val="00EA29B3"/>
    <w:rsid w:val="00EA3FC9"/>
    <w:rsid w:val="00EB33BD"/>
    <w:rsid w:val="00EB4D2F"/>
    <w:rsid w:val="00ED0640"/>
    <w:rsid w:val="00ED0947"/>
    <w:rsid w:val="00ED2FF0"/>
    <w:rsid w:val="00ED4B6C"/>
    <w:rsid w:val="00EE0A2C"/>
    <w:rsid w:val="00EF3AEB"/>
    <w:rsid w:val="00EF4EF2"/>
    <w:rsid w:val="00F04DB1"/>
    <w:rsid w:val="00F10586"/>
    <w:rsid w:val="00F142C2"/>
    <w:rsid w:val="00F212E2"/>
    <w:rsid w:val="00F26656"/>
    <w:rsid w:val="00F374E0"/>
    <w:rsid w:val="00F4149A"/>
    <w:rsid w:val="00F43AE6"/>
    <w:rsid w:val="00F50E66"/>
    <w:rsid w:val="00F54507"/>
    <w:rsid w:val="00F54C79"/>
    <w:rsid w:val="00F64C89"/>
    <w:rsid w:val="00F75787"/>
    <w:rsid w:val="00F86D7D"/>
    <w:rsid w:val="00F92A7C"/>
    <w:rsid w:val="00F967C1"/>
    <w:rsid w:val="00F967EC"/>
    <w:rsid w:val="00FB0514"/>
    <w:rsid w:val="00FB5AD1"/>
    <w:rsid w:val="00FC5DDD"/>
    <w:rsid w:val="00FC76C9"/>
    <w:rsid w:val="00FD4571"/>
    <w:rsid w:val="00FD5A45"/>
    <w:rsid w:val="00FF1D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81B"/>
    <w:rPr>
      <w:sz w:val="24"/>
      <w:szCs w:val="24"/>
    </w:rPr>
  </w:style>
  <w:style w:type="paragraph" w:styleId="Heading1">
    <w:name w:val="heading 1"/>
    <w:next w:val="Normal"/>
    <w:qFormat/>
    <w:rsid w:val="000C181B"/>
    <w:pPr>
      <w:numPr>
        <w:numId w:val="10"/>
      </w:numPr>
      <w:spacing w:line="480" w:lineRule="auto"/>
      <w:jc w:val="center"/>
      <w:outlineLvl w:val="0"/>
    </w:pPr>
    <w:rPr>
      <w:rFonts w:cs="Arial"/>
      <w:bCs/>
      <w:caps/>
      <w:sz w:val="24"/>
      <w:szCs w:val="32"/>
      <w:u w:val="single"/>
    </w:rPr>
  </w:style>
  <w:style w:type="paragraph" w:styleId="Heading2">
    <w:name w:val="heading 2"/>
    <w:basedOn w:val="ListNumber"/>
    <w:next w:val="Normal"/>
    <w:qFormat/>
    <w:rsid w:val="00DE1685"/>
    <w:pPr>
      <w:numPr>
        <w:numId w:val="15"/>
      </w:numPr>
      <w:spacing w:before="240" w:after="240" w:line="480" w:lineRule="auto"/>
      <w:contextualSpacing w:val="0"/>
      <w:jc w:val="both"/>
      <w:outlineLvl w:val="1"/>
    </w:pPr>
    <w:rPr>
      <w:rFonts w:cs="Arial"/>
      <w:bCs/>
      <w:iCs/>
      <w:szCs w:val="28"/>
    </w:rPr>
  </w:style>
  <w:style w:type="paragraph" w:styleId="Heading3">
    <w:name w:val="heading 3"/>
    <w:next w:val="Normal"/>
    <w:qFormat/>
    <w:rsid w:val="000C181B"/>
    <w:pPr>
      <w:numPr>
        <w:ilvl w:val="2"/>
        <w:numId w:val="10"/>
      </w:numPr>
      <w:spacing w:line="480" w:lineRule="auto"/>
      <w:jc w:val="both"/>
      <w:outlineLvl w:val="2"/>
    </w:pPr>
    <w:rPr>
      <w:rFonts w:cs="Arial"/>
      <w:bCs/>
      <w:sz w:val="24"/>
      <w:szCs w:val="26"/>
    </w:rPr>
  </w:style>
  <w:style w:type="paragraph" w:styleId="Heading4">
    <w:name w:val="heading 4"/>
    <w:next w:val="Normal"/>
    <w:qFormat/>
    <w:rsid w:val="000C181B"/>
    <w:pPr>
      <w:numPr>
        <w:ilvl w:val="3"/>
        <w:numId w:val="10"/>
      </w:numPr>
      <w:spacing w:line="480" w:lineRule="auto"/>
      <w:jc w:val="both"/>
      <w:outlineLvl w:val="3"/>
    </w:pPr>
    <w:rPr>
      <w:bCs/>
      <w:sz w:val="24"/>
      <w:szCs w:val="28"/>
    </w:rPr>
  </w:style>
  <w:style w:type="paragraph" w:styleId="Heading5">
    <w:name w:val="heading 5"/>
    <w:basedOn w:val="Normal"/>
    <w:next w:val="Normal"/>
    <w:qFormat/>
    <w:rsid w:val="000C181B"/>
    <w:pPr>
      <w:spacing w:before="240" w:after="60"/>
      <w:outlineLvl w:val="4"/>
    </w:pPr>
    <w:rPr>
      <w:b/>
      <w:bCs/>
      <w:i/>
      <w:iCs/>
      <w:sz w:val="26"/>
      <w:szCs w:val="26"/>
    </w:rPr>
  </w:style>
  <w:style w:type="paragraph" w:styleId="Heading6">
    <w:name w:val="heading 6"/>
    <w:basedOn w:val="Normal"/>
    <w:next w:val="Normal"/>
    <w:qFormat/>
    <w:rsid w:val="000C181B"/>
    <w:pPr>
      <w:spacing w:before="240" w:after="60"/>
      <w:outlineLvl w:val="5"/>
    </w:pPr>
    <w:rPr>
      <w:b/>
      <w:bCs/>
      <w:sz w:val="22"/>
      <w:szCs w:val="22"/>
    </w:rPr>
  </w:style>
  <w:style w:type="paragraph" w:styleId="Heading7">
    <w:name w:val="heading 7"/>
    <w:basedOn w:val="Normal"/>
    <w:next w:val="Normal"/>
    <w:qFormat/>
    <w:rsid w:val="000C181B"/>
    <w:pPr>
      <w:spacing w:before="240" w:after="60"/>
      <w:outlineLvl w:val="6"/>
    </w:pPr>
  </w:style>
  <w:style w:type="paragraph" w:styleId="Heading8">
    <w:name w:val="heading 8"/>
    <w:basedOn w:val="Normal"/>
    <w:next w:val="Normal"/>
    <w:qFormat/>
    <w:rsid w:val="000C181B"/>
    <w:pPr>
      <w:spacing w:before="240" w:after="60"/>
      <w:outlineLvl w:val="7"/>
    </w:pPr>
    <w:rPr>
      <w:i/>
      <w:iCs/>
    </w:rPr>
  </w:style>
  <w:style w:type="paragraph" w:styleId="Heading9">
    <w:name w:val="heading 9"/>
    <w:basedOn w:val="Normal"/>
    <w:next w:val="Normal"/>
    <w:qFormat/>
    <w:rsid w:val="000C181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181B"/>
    <w:pPr>
      <w:tabs>
        <w:tab w:val="center" w:pos="4320"/>
        <w:tab w:val="right" w:pos="8640"/>
      </w:tabs>
    </w:pPr>
  </w:style>
  <w:style w:type="character" w:styleId="PageNumber">
    <w:name w:val="page number"/>
    <w:basedOn w:val="DefaultParagraphFont"/>
    <w:rsid w:val="000C181B"/>
  </w:style>
  <w:style w:type="paragraph" w:styleId="Footer">
    <w:name w:val="footer"/>
    <w:basedOn w:val="Normal"/>
    <w:link w:val="FooterChar"/>
    <w:uiPriority w:val="99"/>
    <w:rsid w:val="000C181B"/>
    <w:pPr>
      <w:tabs>
        <w:tab w:val="center" w:pos="4320"/>
        <w:tab w:val="right" w:pos="8640"/>
      </w:tabs>
    </w:pPr>
  </w:style>
  <w:style w:type="paragraph" w:customStyle="1" w:styleId="InterProdBody">
    <w:name w:val="InterProdBody"/>
    <w:basedOn w:val="Normal"/>
    <w:rsid w:val="000C181B"/>
    <w:pPr>
      <w:spacing w:line="480" w:lineRule="auto"/>
      <w:jc w:val="both"/>
    </w:pPr>
  </w:style>
  <w:style w:type="paragraph" w:customStyle="1" w:styleId="InterProdTitle">
    <w:name w:val="InterProdTitle"/>
    <w:basedOn w:val="Normal"/>
    <w:rsid w:val="000C181B"/>
    <w:pPr>
      <w:jc w:val="center"/>
    </w:pPr>
    <w:rPr>
      <w:caps/>
      <w:u w:val="single"/>
    </w:rPr>
  </w:style>
  <w:style w:type="paragraph" w:customStyle="1" w:styleId="OrderHeading">
    <w:name w:val="Order Heading"/>
    <w:basedOn w:val="Normal"/>
    <w:rsid w:val="000C181B"/>
    <w:pPr>
      <w:jc w:val="center"/>
    </w:pPr>
  </w:style>
  <w:style w:type="table" w:styleId="TableGrid">
    <w:name w:val="Table Grid"/>
    <w:basedOn w:val="TableNormal"/>
    <w:rsid w:val="004B33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erBody">
    <w:name w:val="Order Body"/>
    <w:basedOn w:val="Normal"/>
    <w:link w:val="OrderBodyChar"/>
    <w:rsid w:val="004B3369"/>
    <w:pPr>
      <w:jc w:val="both"/>
    </w:pPr>
  </w:style>
  <w:style w:type="character" w:customStyle="1" w:styleId="OrderBodyChar">
    <w:name w:val="Order Body Char"/>
    <w:basedOn w:val="DefaultParagraphFont"/>
    <w:link w:val="OrderBody"/>
    <w:rsid w:val="004B3369"/>
    <w:rPr>
      <w:sz w:val="24"/>
      <w:szCs w:val="24"/>
      <w:lang w:val="en-US" w:eastAsia="en-US" w:bidi="ar-SA"/>
    </w:rPr>
  </w:style>
  <w:style w:type="paragraph" w:styleId="ListNumber">
    <w:name w:val="List Number"/>
    <w:basedOn w:val="Normal"/>
    <w:rsid w:val="000935B5"/>
    <w:pPr>
      <w:numPr>
        <w:numId w:val="14"/>
      </w:numPr>
      <w:contextualSpacing/>
    </w:pPr>
  </w:style>
  <w:style w:type="character" w:styleId="Hyperlink">
    <w:name w:val="Hyperlink"/>
    <w:basedOn w:val="DefaultParagraphFont"/>
    <w:rsid w:val="00CB2CD6"/>
    <w:rPr>
      <w:color w:val="0000FF"/>
      <w:u w:val="single"/>
    </w:rPr>
  </w:style>
  <w:style w:type="character" w:customStyle="1" w:styleId="FooterChar">
    <w:name w:val="Footer Char"/>
    <w:basedOn w:val="DefaultParagraphFont"/>
    <w:link w:val="Footer"/>
    <w:uiPriority w:val="99"/>
    <w:rsid w:val="00AF0EDD"/>
    <w:rPr>
      <w:sz w:val="24"/>
      <w:szCs w:val="24"/>
    </w:rPr>
  </w:style>
  <w:style w:type="paragraph" w:styleId="NoSpacing">
    <w:name w:val="No Spacing"/>
    <w:uiPriority w:val="1"/>
    <w:qFormat/>
    <w:rsid w:val="0080390A"/>
    <w:rPr>
      <w:sz w:val="24"/>
      <w:szCs w:val="24"/>
    </w:rPr>
  </w:style>
  <w:style w:type="paragraph" w:styleId="ListParagraph">
    <w:name w:val="List Paragraph"/>
    <w:basedOn w:val="Normal"/>
    <w:uiPriority w:val="34"/>
    <w:qFormat/>
    <w:rsid w:val="0080390A"/>
    <w:pPr>
      <w:ind w:left="720"/>
    </w:pPr>
  </w:style>
  <w:style w:type="paragraph" w:styleId="BalloonText">
    <w:name w:val="Balloon Text"/>
    <w:basedOn w:val="Normal"/>
    <w:link w:val="BalloonTextChar"/>
    <w:rsid w:val="00927FE8"/>
    <w:rPr>
      <w:rFonts w:ascii="Tahoma" w:hAnsi="Tahoma" w:cs="Tahoma"/>
      <w:sz w:val="16"/>
      <w:szCs w:val="16"/>
    </w:rPr>
  </w:style>
  <w:style w:type="character" w:customStyle="1" w:styleId="BalloonTextChar">
    <w:name w:val="Balloon Text Char"/>
    <w:basedOn w:val="DefaultParagraphFont"/>
    <w:link w:val="BalloonText"/>
    <w:rsid w:val="00927F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whendricks@sti2.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hendricks@sti2.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whendricks@sti2.com" TargetMode="External"/><Relationship Id="rId14" Type="http://schemas.openxmlformats.org/officeDocument/2006/relationships/hyperlink" Target="mailto:jwhendricks@sti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4192D70B-C649-4CF9-93B3-5DB49266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1545</Words>
  <Characters>8812</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2012-04-19T13:28:00Z</cp:lastPrinted>
  <dcterms:created xsi:type="dcterms:W3CDTF">2012-11-08T21:11:00Z</dcterms:created>
  <dcterms:modified xsi:type="dcterms:W3CDTF">2012-11-08T21:29:00Z</dcterms:modified>
</cp:coreProperties>
</file>