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0146" w:rsidRDefault="005201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r>
              <w:t>State of Florida</w:t>
            </w:r>
          </w:p>
          <w:p w:rsidR="007C0528" w:rsidRDefault="000673AB">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75pt;height:1in">
                  <v:imagedata r:id="rId9" o:title="pscSEAL"/>
                </v:shape>
              </w:pict>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w:t>
            </w:r>
            <w:smartTag w:uri="urn:schemas-microsoft-com:office:smarttags" w:element="phone">
              <w:smartTagPr>
                <w:attr w:name="phonenumber" w:val="$3399$$"/>
                <w:attr w:uri="urn:schemas-microsoft-com:office:office" w:name="ls" w:val="trans"/>
              </w:smartTagPr>
              <w:r>
                <w:t xml:space="preserve"> 32399-0850</w:t>
              </w:r>
            </w:smartTag>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pPr>
              <w:pStyle w:val="MemoHeading"/>
              <w:rPr>
                <w:b/>
              </w:rPr>
            </w:pPr>
            <w:r>
              <w:rPr>
                <w:b/>
              </w:rP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9A47AF" w:rsidP="00D85B07">
            <w:pPr>
              <w:pStyle w:val="MemoHeading"/>
            </w:pPr>
            <w:bookmarkStart w:id="0" w:name="FilingDate"/>
            <w:r>
              <w:t xml:space="preserve">October </w:t>
            </w:r>
            <w:r w:rsidR="00D85B07">
              <w:t>11</w:t>
            </w:r>
            <w:r>
              <w:t>, 2013</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pPr>
              <w:pStyle w:val="MemoHeading"/>
              <w:rPr>
                <w:b/>
              </w:rPr>
            </w:pPr>
            <w:r>
              <w:rPr>
                <w:b/>
              </w:rP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pPr>
              <w:pStyle w:val="MemoHeading"/>
            </w:pPr>
            <w:r>
              <w:t>Office of Commission Clerk (Cole)</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pPr>
              <w:pStyle w:val="MemoHeading"/>
              <w:rPr>
                <w:b/>
              </w:rPr>
            </w:pPr>
            <w:r>
              <w:rPr>
                <w:b/>
              </w:rPr>
              <w:t>FROM:</w:t>
            </w:r>
          </w:p>
        </w:tc>
        <w:tc>
          <w:tcPr>
            <w:tcW w:w="8221" w:type="dxa"/>
            <w:gridSpan w:val="3"/>
            <w:tcBorders>
              <w:top w:val="nil"/>
              <w:left w:val="nil"/>
              <w:bottom w:val="nil"/>
              <w:right w:val="nil"/>
            </w:tcBorders>
            <w:shd w:val="clear" w:color="auto" w:fill="auto"/>
            <w:tcMar>
              <w:top w:w="288" w:type="dxa"/>
              <w:bottom w:w="0" w:type="dxa"/>
            </w:tcMar>
          </w:tcPr>
          <w:p w:rsidR="009A47AF" w:rsidRDefault="009A47AF">
            <w:pPr>
              <w:pStyle w:val="MemoHeading"/>
            </w:pPr>
            <w:bookmarkStart w:id="1" w:name="From"/>
            <w:r>
              <w:t>Office of Telecommunications (Bates)</w:t>
            </w:r>
          </w:p>
          <w:p w:rsidR="007C0528" w:rsidRDefault="009A47AF">
            <w:pPr>
              <w:pStyle w:val="MemoHeading"/>
            </w:pPr>
            <w:r>
              <w:t>Office of the General Counsel (Hopkins, Murphy)</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pPr>
              <w:pStyle w:val="MemoHeading"/>
              <w:rPr>
                <w:b/>
              </w:rPr>
            </w:pPr>
            <w:r>
              <w:rPr>
                <w:b/>
              </w:rPr>
              <w:t>RE:</w:t>
            </w:r>
          </w:p>
        </w:tc>
        <w:tc>
          <w:tcPr>
            <w:tcW w:w="8221" w:type="dxa"/>
            <w:gridSpan w:val="3"/>
            <w:tcBorders>
              <w:top w:val="nil"/>
              <w:left w:val="nil"/>
              <w:bottom w:val="nil"/>
              <w:right w:val="nil"/>
            </w:tcBorders>
            <w:shd w:val="clear" w:color="auto" w:fill="auto"/>
            <w:tcMar>
              <w:top w:w="288" w:type="dxa"/>
            </w:tcMar>
          </w:tcPr>
          <w:p w:rsidR="007C0528" w:rsidRDefault="009A47AF">
            <w:pPr>
              <w:pStyle w:val="MemoHeadingRe"/>
            </w:pPr>
            <w:bookmarkStart w:id="2" w:name="Re"/>
            <w:r>
              <w:t>Docket No. 130239-TP – Request for approval of interconnection, unbundling, resale and collocation agreement between BellSouth Telecommunications, Inc</w:t>
            </w:r>
            <w:r w:rsidR="00AC2244">
              <w:t>.</w:t>
            </w:r>
            <w:r>
              <w:t xml:space="preserve"> d/b/a AT&amp;T Florida d/b/a AT&amp;T Southeast and Local Access, LLC.</w:t>
            </w:r>
            <w:bookmarkEnd w:id="2"/>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pPr>
              <w:pStyle w:val="MemoHeading"/>
              <w:rPr>
                <w:b/>
              </w:rPr>
            </w:pPr>
            <w:r>
              <w:rPr>
                <w:b/>
              </w:rPr>
              <w:t>AGENDA:</w:t>
            </w:r>
          </w:p>
        </w:tc>
        <w:tc>
          <w:tcPr>
            <w:tcW w:w="8221" w:type="dxa"/>
            <w:gridSpan w:val="3"/>
            <w:tcBorders>
              <w:top w:val="nil"/>
              <w:left w:val="nil"/>
              <w:bottom w:val="nil"/>
              <w:right w:val="nil"/>
            </w:tcBorders>
            <w:shd w:val="clear" w:color="auto" w:fill="auto"/>
            <w:tcMar>
              <w:top w:w="288" w:type="dxa"/>
            </w:tcMar>
          </w:tcPr>
          <w:p w:rsidR="007C0528" w:rsidRDefault="009A47AF" w:rsidP="00D85B07">
            <w:pPr>
              <w:pStyle w:val="MemoHeading"/>
            </w:pPr>
            <w:bookmarkStart w:id="3" w:name="AgendaDate"/>
            <w:r>
              <w:t>10/</w:t>
            </w:r>
            <w:r w:rsidR="00D85B07">
              <w:t>24</w:t>
            </w:r>
            <w:r>
              <w:t>/13</w:t>
            </w:r>
            <w:bookmarkEnd w:id="3"/>
            <w:r w:rsidR="007C0528">
              <w:t xml:space="preserve"> – </w:t>
            </w:r>
            <w:bookmarkStart w:id="4" w:name="PermittedStatus"/>
            <w:r>
              <w:t>Regular Agenda –</w:t>
            </w:r>
            <w:r w:rsidR="00ED51EF">
              <w:t xml:space="preserve"> Proposed Agency Action -</w:t>
            </w:r>
            <w:r>
              <w:t xml:space="preserve"> 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pPr>
              <w:pStyle w:val="MemoHeading"/>
              <w:rPr>
                <w:b/>
              </w:rPr>
            </w:pPr>
            <w:r>
              <w:rPr>
                <w:b/>
              </w:rPr>
              <w:t>COMMISSIONERS ASSIGNED:</w:t>
            </w:r>
          </w:p>
        </w:tc>
        <w:tc>
          <w:tcPr>
            <w:tcW w:w="5785" w:type="dxa"/>
            <w:tcBorders>
              <w:top w:val="nil"/>
              <w:left w:val="nil"/>
              <w:bottom w:val="nil"/>
              <w:right w:val="nil"/>
            </w:tcBorders>
            <w:shd w:val="clear" w:color="auto" w:fill="auto"/>
          </w:tcPr>
          <w:p w:rsidR="007C0528" w:rsidRPr="000673AB" w:rsidRDefault="009A47AF" w:rsidP="000673AB">
            <w:pPr>
              <w:pStyle w:val="MemoHeading"/>
            </w:pPr>
            <w:bookmarkStart w:id="5" w:name="CommissionersAssigned"/>
            <w:r w:rsidRPr="00013C73">
              <w:rPr>
                <w:strike/>
              </w:rPr>
              <w:t>Staff</w:t>
            </w:r>
            <w:bookmarkEnd w:id="5"/>
            <w:r w:rsidR="000673AB">
              <w:t xml:space="preserve">   </w:t>
            </w:r>
            <w:bookmarkStart w:id="6" w:name="_GoBack"/>
            <w:bookmarkEnd w:id="6"/>
            <w:r w:rsidR="000673AB">
              <w:t>All Commissioners  - AC</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Pr="00403665" w:rsidRDefault="007C0528">
            <w:pPr>
              <w:pStyle w:val="MemoHeading"/>
              <w:rPr>
                <w:b/>
              </w:rPr>
            </w:pPr>
            <w:r w:rsidRPr="00403665">
              <w:rPr>
                <w:b/>
              </w:rPr>
              <w:t>PREHEARING OFFICER:</w:t>
            </w:r>
          </w:p>
        </w:tc>
        <w:tc>
          <w:tcPr>
            <w:tcW w:w="5785" w:type="dxa"/>
            <w:tcBorders>
              <w:top w:val="nil"/>
              <w:left w:val="nil"/>
              <w:bottom w:val="nil"/>
              <w:right w:val="nil"/>
            </w:tcBorders>
            <w:shd w:val="clear" w:color="auto" w:fill="auto"/>
          </w:tcPr>
          <w:p w:rsidR="007C0528" w:rsidRPr="00403665" w:rsidRDefault="009A47AF">
            <w:pPr>
              <w:pStyle w:val="MemoHeading"/>
            </w:pPr>
            <w:bookmarkStart w:id="7" w:name="PrehearingOfficer"/>
            <w:r w:rsidRPr="00403665">
              <w:t>Administrative</w:t>
            </w:r>
            <w:bookmarkEnd w:id="7"/>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pPr>
              <w:pStyle w:val="MemoHeading"/>
              <w:rPr>
                <w:b/>
              </w:rPr>
            </w:pPr>
            <w:bookmarkStart w:id="8" w:name="CriticalDatesLabel"/>
            <w:r>
              <w:rPr>
                <w:b/>
              </w:rPr>
              <w:t>CRITICAL DATES:</w:t>
            </w:r>
            <w:bookmarkEnd w:id="8"/>
          </w:p>
        </w:tc>
        <w:tc>
          <w:tcPr>
            <w:tcW w:w="5785" w:type="dxa"/>
            <w:tcBorders>
              <w:top w:val="nil"/>
              <w:left w:val="nil"/>
              <w:bottom w:val="nil"/>
              <w:right w:val="nil"/>
            </w:tcBorders>
            <w:shd w:val="clear" w:color="auto" w:fill="auto"/>
          </w:tcPr>
          <w:p w:rsidR="007C0528" w:rsidRDefault="009A47AF">
            <w:pPr>
              <w:pStyle w:val="MemoHeading"/>
            </w:pPr>
            <w:bookmarkStart w:id="9" w:name="CriticalDates"/>
            <w:r>
              <w:t>None</w:t>
            </w:r>
            <w:bookmarkEnd w:id="9"/>
          </w:p>
        </w:tc>
      </w:tr>
      <w:tr w:rsidR="007C0528">
        <w:tc>
          <w:tcPr>
            <w:tcW w:w="3690" w:type="dxa"/>
            <w:gridSpan w:val="3"/>
            <w:tcBorders>
              <w:top w:val="nil"/>
              <w:left w:val="nil"/>
              <w:bottom w:val="nil"/>
              <w:right w:val="nil"/>
            </w:tcBorders>
            <w:shd w:val="clear" w:color="auto" w:fill="auto"/>
            <w:tcMar>
              <w:top w:w="288" w:type="dxa"/>
              <w:right w:w="0" w:type="dxa"/>
            </w:tcMar>
          </w:tcPr>
          <w:p w:rsidR="007C0528" w:rsidRDefault="007C0528">
            <w:pPr>
              <w:pStyle w:val="MemoHeading"/>
              <w:rPr>
                <w:b/>
              </w:rPr>
            </w:pPr>
            <w:r>
              <w:rPr>
                <w:b/>
              </w:rPr>
              <w:t>SPECIAL INSTRUCTIONS:</w:t>
            </w:r>
          </w:p>
        </w:tc>
        <w:tc>
          <w:tcPr>
            <w:tcW w:w="5785" w:type="dxa"/>
            <w:tcBorders>
              <w:top w:val="nil"/>
              <w:left w:val="nil"/>
              <w:bottom w:val="nil"/>
              <w:right w:val="nil"/>
            </w:tcBorders>
            <w:shd w:val="clear" w:color="auto" w:fill="auto"/>
          </w:tcPr>
          <w:p w:rsidR="007C0528" w:rsidRDefault="009A47AF">
            <w:pPr>
              <w:pStyle w:val="MemoHeading"/>
            </w:pPr>
            <w:bookmarkStart w:id="10" w:name="SpecialInstructions"/>
            <w:r>
              <w:t>None</w:t>
            </w:r>
            <w:bookmarkEnd w:id="10"/>
          </w:p>
        </w:tc>
      </w:tr>
      <w:tr w:rsidR="007C0528">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pPr>
              <w:pStyle w:val="MemoHeading"/>
              <w:rPr>
                <w:b/>
              </w:rPr>
            </w:pPr>
            <w:smartTag w:uri="urn:schemas-microsoft-com:office:smarttags" w:element="date">
              <w:r>
                <w:rPr>
                  <w:b/>
                </w:rPr>
                <w:t>FILE</w:t>
              </w:r>
            </w:smartTag>
            <w:r>
              <w:rPr>
                <w:b/>
              </w:rPr>
              <w:t xml:space="preserve"> NAME </w:t>
            </w:r>
            <w:smartTag w:uri="urn:schemas-microsoft-com:office:smarttags" w:element="date">
              <w:r>
                <w:rPr>
                  <w:b/>
                </w:rPr>
                <w:t>AND</w:t>
              </w:r>
            </w:smartTag>
            <w:r>
              <w:rPr>
                <w:b/>
              </w:rPr>
              <w:t xml:space="preserve"> LOCATION:</w:t>
            </w:r>
          </w:p>
        </w:tc>
        <w:tc>
          <w:tcPr>
            <w:tcW w:w="5785" w:type="dxa"/>
            <w:tcBorders>
              <w:top w:val="nil"/>
              <w:left w:val="nil"/>
              <w:bottom w:val="single" w:sz="24" w:space="0" w:color="auto"/>
              <w:right w:val="nil"/>
            </w:tcBorders>
            <w:shd w:val="clear" w:color="auto" w:fill="auto"/>
          </w:tcPr>
          <w:p w:rsidR="007C0528" w:rsidRDefault="009A47AF">
            <w:pPr>
              <w:pStyle w:val="MemoHeading"/>
            </w:pPr>
            <w:bookmarkStart w:id="11" w:name="Filename"/>
            <w:r>
              <w:t>S:\PSC\TEL\WP\130239.RCM.DOC</w:t>
            </w:r>
            <w:bookmarkEnd w:id="11"/>
          </w:p>
        </w:tc>
      </w:tr>
    </w:tbl>
    <w:p w:rsidR="007C0528" w:rsidRDefault="007C0528">
      <w:pPr>
        <w:pStyle w:val="BodyText"/>
      </w:pPr>
    </w:p>
    <w:p w:rsidR="007C0528" w:rsidRDefault="007C0528">
      <w:pPr>
        <w:pStyle w:val="RecommendationMajorSectionHeading"/>
      </w:pPr>
      <w:bookmarkStart w:id="12" w:name="RecToC"/>
      <w:bookmarkEnd w:id="12"/>
      <w:r>
        <w:rPr>
          <w:u w:val="none"/>
        </w:rPr>
        <w:t xml:space="preserve"> </w:t>
      </w:r>
      <w:bookmarkStart w:id="13" w:name="CaseBackground"/>
      <w:r>
        <w:t>Case Background</w:t>
      </w:r>
      <w:r>
        <w:fldChar w:fldCharType="begin"/>
      </w:r>
      <w:r>
        <w:instrText xml:space="preserve"> TC  "</w:instrText>
      </w:r>
      <w:r>
        <w:tab/>
      </w:r>
      <w:bookmarkStart w:id="14" w:name="_Toc94516455"/>
      <w:r>
        <w:instrText>Case Background</w:instrText>
      </w:r>
      <w:bookmarkEnd w:id="14"/>
      <w:r>
        <w:instrText xml:space="preserve">" \l 1 </w:instrText>
      </w:r>
      <w:r>
        <w:fldChar w:fldCharType="end"/>
      </w:r>
    </w:p>
    <w:p w:rsidR="007C0528" w:rsidRDefault="003178C3">
      <w:pPr>
        <w:pStyle w:val="BodyText"/>
      </w:pPr>
      <w:r>
        <w:t xml:space="preserve">On September 30, 2013, </w:t>
      </w:r>
      <w:r w:rsidR="005154E4">
        <w:t xml:space="preserve">pursuant </w:t>
      </w:r>
      <w:r w:rsidR="00AC2244">
        <w:t>to</w:t>
      </w:r>
      <w:r w:rsidR="005154E4">
        <w:t xml:space="preserve"> Rule 28.106-204, Florida Administrative Code (FAC), </w:t>
      </w:r>
      <w:r w:rsidRPr="003178C3">
        <w:t>BellSouth Telecommunications, LLC d/b/a AT&amp;T Florida</w:t>
      </w:r>
      <w:r>
        <w:t xml:space="preserve"> (AT&amp;T) filed an unopposed Motion for Expedited </w:t>
      </w:r>
      <w:r w:rsidRPr="003178C3">
        <w:t xml:space="preserve">Approval </w:t>
      </w:r>
      <w:r>
        <w:t xml:space="preserve">(Motion) </w:t>
      </w:r>
      <w:r w:rsidRPr="003178C3">
        <w:t xml:space="preserve">of the interconnection agreement (ICA) between AT&amp;T </w:t>
      </w:r>
      <w:r>
        <w:t>an</w:t>
      </w:r>
      <w:r w:rsidRPr="003178C3">
        <w:t>d Local Access,</w:t>
      </w:r>
      <w:r>
        <w:t xml:space="preserve"> LLC (Local Access). </w:t>
      </w:r>
    </w:p>
    <w:p w:rsidR="00FA0530" w:rsidRDefault="006A5D9D">
      <w:pPr>
        <w:pStyle w:val="BodyText"/>
      </w:pPr>
      <w:r>
        <w:t xml:space="preserve">AT&amp;T entered into the ICA with Local Access on April 30, 2013, </w:t>
      </w:r>
      <w:r w:rsidR="005154E4">
        <w:t xml:space="preserve">and failed to </w:t>
      </w:r>
      <w:r>
        <w:t>file the ICA with the Commission until August 28, 201</w:t>
      </w:r>
      <w:r w:rsidR="00FA0530">
        <w:t>3. There was an erro</w:t>
      </w:r>
      <w:r w:rsidR="005154E4">
        <w:t>r in AT&amp;T’s e</w:t>
      </w:r>
      <w:r w:rsidR="00FA0530">
        <w:t xml:space="preserve">lectronic submission </w:t>
      </w:r>
      <w:r w:rsidR="005154E4">
        <w:t xml:space="preserve">of the ICA </w:t>
      </w:r>
      <w:r w:rsidR="00FA0530">
        <w:t>which caused it to be rejected</w:t>
      </w:r>
      <w:r w:rsidR="005154E4">
        <w:t>. T</w:t>
      </w:r>
      <w:r w:rsidR="00FA0530">
        <w:t xml:space="preserve">he </w:t>
      </w:r>
      <w:r w:rsidR="005154E4">
        <w:t>electronic r</w:t>
      </w:r>
      <w:r w:rsidR="00FA0530">
        <w:t xml:space="preserve">ejection message was </w:t>
      </w:r>
      <w:r w:rsidR="00FA0530">
        <w:lastRenderedPageBreak/>
        <w:t xml:space="preserve">overlooked by AT&amp;T until September 16, 2013, at which point </w:t>
      </w:r>
      <w:r w:rsidR="005154E4">
        <w:t xml:space="preserve">AT&amp;T </w:t>
      </w:r>
      <w:r w:rsidR="00FA0530">
        <w:t>re-filed</w:t>
      </w:r>
      <w:r w:rsidR="005154E4">
        <w:t xml:space="preserve"> the ICA</w:t>
      </w:r>
      <w:r w:rsidR="00FA0530">
        <w:t xml:space="preserve">. </w:t>
      </w:r>
      <w:r w:rsidR="005154E4">
        <w:t xml:space="preserve"> </w:t>
      </w:r>
      <w:r w:rsidR="002D2678">
        <w:t xml:space="preserve">AT&amp;T asserts that </w:t>
      </w:r>
      <w:r w:rsidR="00FA0530">
        <w:t>Local Access anticipated that it wou</w:t>
      </w:r>
      <w:r w:rsidR="00520146">
        <w:t>ld be able to begin operations u</w:t>
      </w:r>
      <w:r w:rsidR="00FA0530">
        <w:t>nder the new ICA in September 2013.</w:t>
      </w:r>
      <w:r w:rsidR="005154E4">
        <w:t xml:space="preserve"> </w:t>
      </w:r>
      <w:r w:rsidR="00FA0530">
        <w:t xml:space="preserve"> AT&amp;T </w:t>
      </w:r>
      <w:r w:rsidR="002D2678">
        <w:t xml:space="preserve">has asked that approval be </w:t>
      </w:r>
      <w:r w:rsidR="00AC2244">
        <w:t>expedited</w:t>
      </w:r>
      <w:r w:rsidR="002D2678">
        <w:t xml:space="preserve"> </w:t>
      </w:r>
      <w:r w:rsidR="00AC2244">
        <w:t>to</w:t>
      </w:r>
      <w:r w:rsidR="00FA0530">
        <w:t xml:space="preserve"> </w:t>
      </w:r>
      <w:r w:rsidR="002D2678">
        <w:t>a</w:t>
      </w:r>
      <w:r w:rsidR="00FA0530">
        <w:t xml:space="preserve">ccommodate Local Access’s expectations. </w:t>
      </w:r>
    </w:p>
    <w:p w:rsidR="006A5D9D" w:rsidRDefault="00FA0530">
      <w:pPr>
        <w:pStyle w:val="BodyText"/>
      </w:pPr>
      <w:r>
        <w:t>The Commission has jurisdiction pursuant to 47</w:t>
      </w:r>
      <w:r w:rsidR="00D84548">
        <w:t xml:space="preserve"> </w:t>
      </w:r>
      <w:r>
        <w:t>U.S.C</w:t>
      </w:r>
      <w:r w:rsidR="00D84548">
        <w:t>.</w:t>
      </w:r>
      <w:r w:rsidR="00610707">
        <w:t xml:space="preserve"> </w:t>
      </w:r>
      <w:r>
        <w:t>Section 252(e)(4) and Section</w:t>
      </w:r>
      <w:r w:rsidR="00610707">
        <w:t>s</w:t>
      </w:r>
      <w:r>
        <w:t xml:space="preserve"> 120.80</w:t>
      </w:r>
      <w:r w:rsidR="00D84548">
        <w:t>(13</w:t>
      </w:r>
      <w:r w:rsidR="00D85B07">
        <w:t>)</w:t>
      </w:r>
      <w:r w:rsidR="00D84548">
        <w:t xml:space="preserve">(d), </w:t>
      </w:r>
      <w:r w:rsidR="00610707">
        <w:t xml:space="preserve">and 364.16, </w:t>
      </w:r>
      <w:r w:rsidR="00D84548">
        <w:t>Florida Statutes.</w:t>
      </w:r>
      <w:r>
        <w:t xml:space="preserve">       </w:t>
      </w:r>
    </w:p>
    <w:p w:rsidR="006A5D9D" w:rsidRDefault="006A5D9D">
      <w:pPr>
        <w:pStyle w:val="BodyText"/>
      </w:pPr>
    </w:p>
    <w:p w:rsidR="006A5D9D" w:rsidRDefault="006A5D9D">
      <w:pPr>
        <w:pStyle w:val="BodyText"/>
      </w:pPr>
    </w:p>
    <w:p w:rsidR="007C0528" w:rsidRDefault="007C0528">
      <w:pPr>
        <w:pStyle w:val="RecommendationMajorSectionHeading"/>
      </w:pPr>
      <w:r>
        <w:br w:type="page"/>
      </w:r>
      <w:bookmarkStart w:id="15" w:name="DiscussionOfIssues"/>
      <w:bookmarkEnd w:id="13"/>
      <w:r>
        <w:lastRenderedPageBreak/>
        <w:t>Discussion of Issues</w:t>
      </w:r>
    </w:p>
    <w:bookmarkEnd w:id="15"/>
    <w:p w:rsidR="009A47AF" w:rsidRDefault="009A47AF">
      <w:pPr>
        <w:pStyle w:val="IssueHeading"/>
        <w:rPr>
          <w:vanish/>
          <w:specVanish/>
        </w:rPr>
      </w:pPr>
      <w:r>
        <w:rPr>
          <w:b/>
          <w:u w:val="single"/>
        </w:rPr>
        <w:t xml:space="preserve">Issue </w:t>
      </w:r>
      <w:r>
        <w:rPr>
          <w:b/>
          <w:u w:val="single"/>
        </w:rPr>
        <w:fldChar w:fldCharType="begin"/>
      </w:r>
      <w:r>
        <w:rPr>
          <w:b/>
          <w:u w:val="single"/>
        </w:rPr>
        <w:instrText xml:space="preserve"> SEQ Issue \* MERGEFORMAT </w:instrText>
      </w:r>
      <w:r>
        <w:rPr>
          <w:b/>
          <w:u w:val="single"/>
        </w:rPr>
        <w:fldChar w:fldCharType="separate"/>
      </w:r>
      <w:r w:rsidR="00A420A8">
        <w:rPr>
          <w:b/>
          <w:noProof/>
          <w:u w:val="single"/>
        </w:rPr>
        <w:t>1</w:t>
      </w:r>
      <w:r>
        <w:rPr>
          <w:b/>
          <w:u w:val="single"/>
        </w:rPr>
        <w:fldChar w:fldCharType="end"/>
      </w:r>
      <w:r>
        <w:t>:</w:t>
      </w:r>
      <w:r>
        <w:fldChar w:fldCharType="begin"/>
      </w:r>
      <w:r>
        <w:instrText xml:space="preserve"> TC "</w:instrText>
      </w:r>
      <w:r>
        <w:fldChar w:fldCharType="begin"/>
      </w:r>
      <w:r>
        <w:instrText xml:space="preserve"> SEQ issue \c </w:instrText>
      </w:r>
      <w:r>
        <w:fldChar w:fldCharType="separate"/>
      </w:r>
      <w:r w:rsidR="00A420A8">
        <w:rPr>
          <w:noProof/>
        </w:rPr>
        <w:instrText>1</w:instrText>
      </w:r>
      <w:r>
        <w:fldChar w:fldCharType="end"/>
      </w:r>
      <w:r>
        <w:tab/>
        <w:instrText xml:space="preserve">" \l 1 </w:instrText>
      </w:r>
      <w:r>
        <w:fldChar w:fldCharType="end"/>
      </w:r>
      <w:r>
        <w:t> </w:t>
      </w:r>
    </w:p>
    <w:p w:rsidR="009A47AF" w:rsidRDefault="009A47AF">
      <w:pPr>
        <w:pStyle w:val="BodyText"/>
      </w:pPr>
      <w:r>
        <w:t> </w:t>
      </w:r>
      <w:r w:rsidR="003178C3">
        <w:t xml:space="preserve">Should the Commission approve AT&amp;T’s September 30, 2013, unopposed Motion for Expedited Approval of the interconnection agreement between AT&amp;T and Local Access?  </w:t>
      </w:r>
    </w:p>
    <w:p w:rsidR="009A47AF" w:rsidRDefault="009A47AF">
      <w:pPr>
        <w:pStyle w:val="IssueSubsectionHeading"/>
        <w:rPr>
          <w:vanish/>
          <w:specVanish/>
        </w:rPr>
      </w:pPr>
      <w:r>
        <w:rPr>
          <w:b/>
          <w:u w:val="single"/>
        </w:rPr>
        <w:t>Recommendation</w:t>
      </w:r>
      <w:r>
        <w:t>: </w:t>
      </w:r>
    </w:p>
    <w:p w:rsidR="009A47AF" w:rsidRDefault="009A47AF">
      <w:pPr>
        <w:pStyle w:val="BodyText"/>
      </w:pPr>
      <w:r>
        <w:t> </w:t>
      </w:r>
      <w:r w:rsidR="003178C3">
        <w:t>Yes. The Commission should approve AT&amp;T’s unopposed Motion</w:t>
      </w:r>
      <w:r w:rsidR="00FA0530">
        <w:t xml:space="preserve"> for Expedited Approval of the interconnection agreement between AT&amp;T and Local Access. </w:t>
      </w:r>
      <w:r w:rsidR="00F17B61">
        <w:t>(</w:t>
      </w:r>
      <w:r w:rsidR="00AC2929">
        <w:t xml:space="preserve">Bates, </w:t>
      </w:r>
      <w:r w:rsidR="00F17B61">
        <w:t>Murphy)</w:t>
      </w:r>
      <w:r w:rsidR="003178C3">
        <w:t xml:space="preserve">  </w:t>
      </w:r>
      <w:r>
        <w:t xml:space="preserve"> </w:t>
      </w:r>
    </w:p>
    <w:p w:rsidR="00D57BD5" w:rsidRDefault="009A47AF" w:rsidP="00A92009">
      <w:pPr>
        <w:pStyle w:val="IssueSubsectionHeading"/>
      </w:pPr>
      <w:r>
        <w:rPr>
          <w:b/>
          <w:u w:val="single"/>
        </w:rPr>
        <w:t>Staff Analysis</w:t>
      </w:r>
      <w:r>
        <w:t>:</w:t>
      </w:r>
      <w:r w:rsidR="00CA5384">
        <w:t xml:space="preserve">  </w:t>
      </w:r>
      <w:r w:rsidR="00CA5384" w:rsidRPr="00CA5384">
        <w:t>47 U.S.C. Section 252(e)</w:t>
      </w:r>
      <w:r w:rsidR="00CA5384">
        <w:t xml:space="preserve"> provides </w:t>
      </w:r>
      <w:r w:rsidR="00012FF8">
        <w:t>in relevant part that</w:t>
      </w:r>
      <w:r w:rsidR="00CA5384">
        <w:t xml:space="preserve"> </w:t>
      </w:r>
      <w:r w:rsidR="00012FF8">
        <w:t xml:space="preserve">1) negotiated </w:t>
      </w:r>
      <w:r w:rsidR="00CA5384">
        <w:t xml:space="preserve">ICAs must be submitted to the </w:t>
      </w:r>
      <w:r w:rsidR="00012FF8">
        <w:t xml:space="preserve">appropriate </w:t>
      </w:r>
      <w:r w:rsidR="00CA5384">
        <w:t>state commission for review</w:t>
      </w:r>
      <w:r w:rsidR="00012FF8">
        <w:t>, 2) a s</w:t>
      </w:r>
      <w:r w:rsidR="00CA5384">
        <w:t>tate commission may only reject such agreements for rea</w:t>
      </w:r>
      <w:r w:rsidR="00610707">
        <w:t>s</w:t>
      </w:r>
      <w:r w:rsidR="00CA5384">
        <w:t xml:space="preserve">ons specified in </w:t>
      </w:r>
      <w:r w:rsidR="00012FF8">
        <w:t xml:space="preserve">the law, and 3) if a state commission does not act to approve or reject the agreement within 90 days after submission, the agreement is deemed approved.  </w:t>
      </w:r>
      <w:r w:rsidR="00520146">
        <w:t>I</w:t>
      </w:r>
      <w:r w:rsidR="00D57BD5">
        <w:t xml:space="preserve">n reviewing an </w:t>
      </w:r>
      <w:r w:rsidR="00012FF8">
        <w:t>ICA</w:t>
      </w:r>
      <w:r w:rsidR="00D57BD5">
        <w:t>, staff</w:t>
      </w:r>
      <w:r w:rsidR="00012FF8">
        <w:t xml:space="preserve"> must consider specified criteria</w:t>
      </w:r>
      <w:r w:rsidR="00D57BD5">
        <w:t xml:space="preserve">; </w:t>
      </w:r>
      <w:r w:rsidR="00012FF8">
        <w:t>if that criteria is met, the agreement go</w:t>
      </w:r>
      <w:r w:rsidR="00D57BD5">
        <w:t>es</w:t>
      </w:r>
      <w:r w:rsidR="00012FF8">
        <w:t xml:space="preserve"> into effect at the conclusion of the 90 day </w:t>
      </w:r>
      <w:r w:rsidR="00FC6CFE">
        <w:t>review window by operation of law.</w:t>
      </w:r>
      <w:r w:rsidR="00D57BD5">
        <w:rPr>
          <w:rStyle w:val="FootnoteReference"/>
        </w:rPr>
        <w:footnoteReference w:id="1"/>
      </w:r>
      <w:r w:rsidR="00FC6CFE">
        <w:t xml:space="preserve"> </w:t>
      </w:r>
    </w:p>
    <w:p w:rsidR="00A92009" w:rsidRDefault="00D57BD5" w:rsidP="00A92009">
      <w:pPr>
        <w:pStyle w:val="IssueSubsectionHeading"/>
      </w:pPr>
      <w:r>
        <w:tab/>
        <w:t>In the instant case, s</w:t>
      </w:r>
      <w:r w:rsidR="00012FF8">
        <w:t>taff has reviewed th</w:t>
      </w:r>
      <w:r w:rsidR="00610707">
        <w:t>e</w:t>
      </w:r>
      <w:r w:rsidR="00012FF8">
        <w:t xml:space="preserve"> ICA in accordance with </w:t>
      </w:r>
      <w:r>
        <w:t xml:space="preserve">the specified </w:t>
      </w:r>
      <w:r w:rsidR="00012FF8">
        <w:t>criteria and recommends</w:t>
      </w:r>
      <w:r w:rsidR="00FC6CFE">
        <w:t xml:space="preserve"> the following:</w:t>
      </w:r>
      <w:r w:rsidR="00012FF8">
        <w:t xml:space="preserve"> </w:t>
      </w:r>
      <w:r w:rsidR="00FC6CFE">
        <w:t xml:space="preserve">Local Access is </w:t>
      </w:r>
      <w:r w:rsidR="00CA7DB8">
        <w:t>registered with the Secretary of State’s Office to conduct business in Florida</w:t>
      </w:r>
      <w:r w:rsidR="00FC6CFE">
        <w:t xml:space="preserve">; Local Access is </w:t>
      </w:r>
      <w:r w:rsidR="00CA7DB8">
        <w:t>certificated as a</w:t>
      </w:r>
      <w:r>
        <w:t xml:space="preserve"> </w:t>
      </w:r>
      <w:r w:rsidR="00CA7DB8">
        <w:t>competitive local exchange telecommunications company</w:t>
      </w:r>
      <w:r w:rsidR="00FC6CFE">
        <w:t xml:space="preserve"> under the name set forth in the ICA;  and</w:t>
      </w:r>
      <w:r>
        <w:t>,</w:t>
      </w:r>
      <w:r w:rsidR="00FC6CFE">
        <w:t xml:space="preserve"> t</w:t>
      </w:r>
      <w:r w:rsidR="00CA7DB8">
        <w:t xml:space="preserve">here is no basis for rejection under </w:t>
      </w:r>
      <w:r w:rsidR="00FC6CFE">
        <w:t xml:space="preserve">47 U.S.C. Section </w:t>
      </w:r>
      <w:r w:rsidR="00CA7DB8">
        <w:t>252(e)(2)</w:t>
      </w:r>
      <w:r w:rsidR="00FC6CFE">
        <w:t xml:space="preserve">.  </w:t>
      </w:r>
      <w:r>
        <w:t>Thus, i</w:t>
      </w:r>
      <w:r w:rsidR="00A92009">
        <w:t xml:space="preserve">n accordance with the Commission’s </w:t>
      </w:r>
      <w:r w:rsidR="00FC6CFE">
        <w:t>routine practice, the ICA would be permitted to go into effect</w:t>
      </w:r>
      <w:r w:rsidR="00A92009">
        <w:t>,</w:t>
      </w:r>
      <w:r w:rsidR="00FC6CFE">
        <w:t xml:space="preserve"> </w:t>
      </w:r>
      <w:r w:rsidR="00A92009" w:rsidRPr="00A92009">
        <w:t>by operation of the federal law</w:t>
      </w:r>
      <w:r w:rsidR="00A92009">
        <w:t xml:space="preserve">, </w:t>
      </w:r>
      <w:r w:rsidR="00FC6CFE">
        <w:t xml:space="preserve">90 days after it was filed </w:t>
      </w:r>
      <w:r w:rsidR="00A92009">
        <w:t xml:space="preserve">with the Commission. </w:t>
      </w:r>
      <w:r>
        <w:t>However, under the circumstances presented, staff recommends that the Commission grant the AT&amp;T Motion and explicitly approve the ICA. This will permit the ICA to go into effect sooner than 90 days from the date of filing.</w:t>
      </w:r>
      <w:r>
        <w:rPr>
          <w:rStyle w:val="FootnoteReference"/>
        </w:rPr>
        <w:footnoteReference w:id="2"/>
      </w:r>
      <w:r>
        <w:t xml:space="preserve"> </w:t>
      </w:r>
    </w:p>
    <w:p w:rsidR="009A47AF" w:rsidRDefault="00A92009" w:rsidP="00A92009">
      <w:pPr>
        <w:pStyle w:val="IssueSubsectionHeading"/>
      </w:pPr>
      <w:r>
        <w:tab/>
        <w:t xml:space="preserve"> </w:t>
      </w:r>
    </w:p>
    <w:p w:rsidR="00CA7DB8" w:rsidRDefault="00CA7DB8" w:rsidP="00CA7DB8">
      <w:pPr>
        <w:pStyle w:val="BodyText"/>
      </w:pPr>
    </w:p>
    <w:p w:rsidR="007C0528" w:rsidRDefault="007C0528">
      <w:pPr>
        <w:pStyle w:val="BodyText"/>
      </w:pPr>
    </w:p>
    <w:p w:rsidR="009A47AF" w:rsidRDefault="009A47AF">
      <w:pPr>
        <w:pStyle w:val="BodyText"/>
      </w:pPr>
    </w:p>
    <w:p w:rsidR="009A47AF" w:rsidRDefault="009A47AF">
      <w:pPr>
        <w:pStyle w:val="BodyText"/>
      </w:pPr>
    </w:p>
    <w:p w:rsidR="009A47AF" w:rsidRDefault="009A47AF">
      <w:pPr>
        <w:pStyle w:val="BodyText"/>
      </w:pPr>
    </w:p>
    <w:p w:rsidR="009A47AF" w:rsidRDefault="009A47AF">
      <w:pPr>
        <w:pStyle w:val="IssueHeading"/>
        <w:rPr>
          <w:vanish/>
          <w:specVanish/>
        </w:rPr>
      </w:pPr>
      <w:r>
        <w:br w:type="page"/>
      </w:r>
      <w:r>
        <w:rPr>
          <w:b/>
          <w:u w:val="single"/>
        </w:rPr>
        <w:lastRenderedPageBreak/>
        <w:t xml:space="preserve">Issue </w:t>
      </w:r>
      <w:r>
        <w:rPr>
          <w:b/>
          <w:u w:val="single"/>
        </w:rPr>
        <w:fldChar w:fldCharType="begin"/>
      </w:r>
      <w:r>
        <w:rPr>
          <w:b/>
          <w:u w:val="single"/>
        </w:rPr>
        <w:instrText xml:space="preserve"> SEQ Issue \* MERGEFORMAT </w:instrText>
      </w:r>
      <w:r>
        <w:rPr>
          <w:b/>
          <w:u w:val="single"/>
        </w:rPr>
        <w:fldChar w:fldCharType="separate"/>
      </w:r>
      <w:r w:rsidR="00A420A8">
        <w:rPr>
          <w:b/>
          <w:noProof/>
          <w:u w:val="single"/>
        </w:rPr>
        <w:t>2</w:t>
      </w:r>
      <w:r>
        <w:rPr>
          <w:b/>
          <w:u w:val="single"/>
        </w:rPr>
        <w:fldChar w:fldCharType="end"/>
      </w:r>
      <w:r>
        <w:t>:</w:t>
      </w:r>
      <w:r>
        <w:fldChar w:fldCharType="begin"/>
      </w:r>
      <w:r>
        <w:instrText xml:space="preserve"> TC "</w:instrText>
      </w:r>
      <w:r>
        <w:fldChar w:fldCharType="begin"/>
      </w:r>
      <w:r>
        <w:instrText xml:space="preserve"> SEQ issue \c </w:instrText>
      </w:r>
      <w:r>
        <w:fldChar w:fldCharType="separate"/>
      </w:r>
      <w:r w:rsidR="00A420A8">
        <w:rPr>
          <w:noProof/>
        </w:rPr>
        <w:instrText>2</w:instrText>
      </w:r>
      <w:r>
        <w:fldChar w:fldCharType="end"/>
      </w:r>
      <w:r>
        <w:tab/>
        <w:instrText xml:space="preserve">" \l 1 </w:instrText>
      </w:r>
      <w:r>
        <w:fldChar w:fldCharType="end"/>
      </w:r>
      <w:r>
        <w:t> </w:t>
      </w:r>
    </w:p>
    <w:p w:rsidR="009A47AF" w:rsidRDefault="009A47AF">
      <w:pPr>
        <w:pStyle w:val="BodyText"/>
      </w:pPr>
      <w:r>
        <w:t> </w:t>
      </w:r>
      <w:r w:rsidR="00541781" w:rsidRPr="00541781">
        <w:t>Should this docket be closed?</w:t>
      </w:r>
    </w:p>
    <w:p w:rsidR="009A47AF" w:rsidRDefault="009A47AF">
      <w:pPr>
        <w:pStyle w:val="IssueSubsectionHeading"/>
        <w:rPr>
          <w:vanish/>
          <w:specVanish/>
        </w:rPr>
      </w:pPr>
      <w:r>
        <w:rPr>
          <w:b/>
          <w:u w:val="single"/>
        </w:rPr>
        <w:t>Recommendation</w:t>
      </w:r>
      <w:r>
        <w:t>: </w:t>
      </w:r>
    </w:p>
    <w:p w:rsidR="009A47AF" w:rsidRDefault="009A47AF">
      <w:pPr>
        <w:pStyle w:val="BodyText"/>
      </w:pPr>
      <w:r>
        <w:t xml:space="preserve">  </w:t>
      </w:r>
      <w:r w:rsidR="00541781" w:rsidRPr="00541781">
        <w:t>If no person whose substantial interests are affected by the proposed agency action files a protest within 21 days of the issuance of the order, this docket should be closed upon the issuance of a consummating order.  (Murphy)</w:t>
      </w:r>
    </w:p>
    <w:p w:rsidR="009A47AF" w:rsidRDefault="009A47AF">
      <w:pPr>
        <w:pStyle w:val="IssueSubsectionHeading"/>
        <w:rPr>
          <w:vanish/>
          <w:specVanish/>
        </w:rPr>
      </w:pPr>
      <w:r>
        <w:rPr>
          <w:b/>
          <w:u w:val="single"/>
        </w:rPr>
        <w:t>Staff Analysis</w:t>
      </w:r>
      <w:r>
        <w:t>: </w:t>
      </w:r>
    </w:p>
    <w:p w:rsidR="009A47AF" w:rsidRDefault="009A47AF">
      <w:pPr>
        <w:pStyle w:val="BodyText"/>
      </w:pPr>
      <w:r>
        <w:t> </w:t>
      </w:r>
      <w:r w:rsidR="00541781" w:rsidRPr="00541781">
        <w:t>At the conclusion of the protest period, if no protest is filed</w:t>
      </w:r>
      <w:r w:rsidR="00541781">
        <w:t>,</w:t>
      </w:r>
      <w:r w:rsidR="00541781" w:rsidRPr="00541781">
        <w:t xml:space="preserve"> this docket should be closed upon the issuance of a consummating order.</w:t>
      </w:r>
    </w:p>
    <w:sectPr w:rsidR="009A47AF">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3D7" w:rsidRDefault="001303D7">
      <w:r>
        <w:separator/>
      </w:r>
    </w:p>
  </w:endnote>
  <w:endnote w:type="continuationSeparator" w:id="0">
    <w:p w:rsidR="001303D7" w:rsidRDefault="001303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WeddingText BT">
    <w:panose1 w:val="03040702040608040804"/>
    <w:charset w:val="00"/>
    <w:family w:val="script"/>
    <w:pitch w:val="variable"/>
    <w:sig w:usb0="00000087" w:usb1="00000000" w:usb2="00000000" w:usb3="00000000" w:csb0="0000001B"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528" w:rsidRDefault="007C0528">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0673AB">
      <w:rPr>
        <w:rStyle w:val="PageNumber"/>
        <w:noProof/>
      </w:rPr>
      <w:t>4</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3D7" w:rsidRDefault="001303D7">
      <w:r>
        <w:separator/>
      </w:r>
    </w:p>
  </w:footnote>
  <w:footnote w:type="continuationSeparator" w:id="0">
    <w:p w:rsidR="001303D7" w:rsidRDefault="001303D7">
      <w:r>
        <w:continuationSeparator/>
      </w:r>
    </w:p>
  </w:footnote>
  <w:footnote w:id="1">
    <w:p w:rsidR="00D57BD5" w:rsidRDefault="00D57BD5">
      <w:pPr>
        <w:pStyle w:val="FootnoteText"/>
      </w:pPr>
      <w:r>
        <w:rPr>
          <w:rStyle w:val="FootnoteReference"/>
        </w:rPr>
        <w:footnoteRef/>
      </w:r>
      <w:r>
        <w:t xml:space="preserve"> </w:t>
      </w:r>
      <w:r w:rsidRPr="00D57BD5">
        <w:t xml:space="preserve">Section 2.07.C.5.d. </w:t>
      </w:r>
      <w:r>
        <w:t xml:space="preserve"> FPSC</w:t>
      </w:r>
      <w:r w:rsidRPr="00D57BD5">
        <w:t xml:space="preserve"> A</w:t>
      </w:r>
      <w:r>
        <w:t>dministrative Procedures Manual.</w:t>
      </w:r>
    </w:p>
  </w:footnote>
  <w:footnote w:id="2">
    <w:p w:rsidR="00D57BD5" w:rsidRDefault="00D57BD5">
      <w:pPr>
        <w:pStyle w:val="FootnoteText"/>
      </w:pPr>
      <w:r>
        <w:rPr>
          <w:rStyle w:val="FootnoteReference"/>
        </w:rPr>
        <w:footnoteRef/>
      </w:r>
      <w:r>
        <w:t xml:space="preserve"> </w:t>
      </w:r>
      <w:r w:rsidRPr="00D57BD5">
        <w:t>The General Terms and Conditions of the ICA establish the effective date as “ten (10) calendar days after the Commission approves this Agreement under Section 252(e) of the Act or, absent Commission approval, the date this Agreement is deemed approved under Section 252(e)(4) of the Act.”  Staff believes that</w:t>
      </w:r>
      <w:r>
        <w:t xml:space="preserve">, if approved by the Commission, </w:t>
      </w:r>
      <w:r w:rsidRPr="00D57BD5">
        <w:t xml:space="preserve"> the effective date </w:t>
      </w:r>
      <w:r>
        <w:t xml:space="preserve">of the ICA </w:t>
      </w:r>
      <w:r w:rsidRPr="00D57BD5">
        <w:t xml:space="preserve">will be ten days after the issuance of a consummating order in this docket.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0528" w:rsidRDefault="009A47AF">
    <w:pPr>
      <w:pStyle w:val="Header"/>
    </w:pPr>
    <w:bookmarkStart w:id="16" w:name="DocketLabel"/>
    <w:r>
      <w:t>Docket No.</w:t>
    </w:r>
    <w:bookmarkEnd w:id="16"/>
    <w:r w:rsidR="007C0528">
      <w:t xml:space="preserve"> </w:t>
    </w:r>
    <w:bookmarkStart w:id="17" w:name="DocketList"/>
    <w:r>
      <w:t>130239-TP</w:t>
    </w:r>
    <w:bookmarkEnd w:id="17"/>
  </w:p>
  <w:p w:rsidR="007C0528" w:rsidRDefault="007C0528">
    <w:pPr>
      <w:pStyle w:val="Header"/>
    </w:pPr>
    <w:r>
      <w:t xml:space="preserve">Date: </w:t>
    </w:r>
    <w:fldSimple w:instr=" REF FilingDate ">
      <w:r w:rsidR="00A420A8">
        <w:t>October 11, 2013</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57"/>
  <w:noPunctuationKerning/>
  <w:characterSpacingControl w:val="doNotCompress"/>
  <w:hdrShapeDefaults>
    <o:shapedefaults v:ext="edit" spidmax="9217"/>
  </w:hdrShapeDefaults>
  <w:footnotePr>
    <w:footnote w:id="-1"/>
    <w:footnote w:id="0"/>
  </w:footnotePr>
  <w:endnotePr>
    <w:endnote w:id="-1"/>
    <w:endnote w:id="0"/>
  </w:endnotePr>
  <w:compat>
    <w:doNotExpandShiftReturn/>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NumberOfIssues" w:val="0"/>
    <w:docVar w:name="StaffInToC" w:val="True"/>
  </w:docVars>
  <w:rsids>
    <w:rsidRoot w:val="009A47AF"/>
    <w:rsid w:val="00012FF8"/>
    <w:rsid w:val="00013C73"/>
    <w:rsid w:val="00013D34"/>
    <w:rsid w:val="00046A7F"/>
    <w:rsid w:val="000673AB"/>
    <w:rsid w:val="001303D7"/>
    <w:rsid w:val="001307AF"/>
    <w:rsid w:val="00163BE4"/>
    <w:rsid w:val="00174C69"/>
    <w:rsid w:val="001B51C5"/>
    <w:rsid w:val="00205DC2"/>
    <w:rsid w:val="002D2678"/>
    <w:rsid w:val="003178C3"/>
    <w:rsid w:val="00347925"/>
    <w:rsid w:val="00403665"/>
    <w:rsid w:val="00496AE8"/>
    <w:rsid w:val="005154E4"/>
    <w:rsid w:val="00520146"/>
    <w:rsid w:val="00541781"/>
    <w:rsid w:val="005922B8"/>
    <w:rsid w:val="00610707"/>
    <w:rsid w:val="00625F1C"/>
    <w:rsid w:val="006A5D9D"/>
    <w:rsid w:val="00751894"/>
    <w:rsid w:val="007C0528"/>
    <w:rsid w:val="00822562"/>
    <w:rsid w:val="00855D08"/>
    <w:rsid w:val="008B62AE"/>
    <w:rsid w:val="008E2BCA"/>
    <w:rsid w:val="00905886"/>
    <w:rsid w:val="00976BEC"/>
    <w:rsid w:val="009A47AF"/>
    <w:rsid w:val="009B453B"/>
    <w:rsid w:val="009D568A"/>
    <w:rsid w:val="00A175B6"/>
    <w:rsid w:val="00A41CA6"/>
    <w:rsid w:val="00A420A8"/>
    <w:rsid w:val="00A92009"/>
    <w:rsid w:val="00AC2244"/>
    <w:rsid w:val="00AC2929"/>
    <w:rsid w:val="00AE4076"/>
    <w:rsid w:val="00B21A3C"/>
    <w:rsid w:val="00B25CA3"/>
    <w:rsid w:val="00B7757A"/>
    <w:rsid w:val="00B81B7B"/>
    <w:rsid w:val="00CA5384"/>
    <w:rsid w:val="00CA7DB8"/>
    <w:rsid w:val="00CB7E52"/>
    <w:rsid w:val="00D57BD5"/>
    <w:rsid w:val="00D81563"/>
    <w:rsid w:val="00D84548"/>
    <w:rsid w:val="00D85B07"/>
    <w:rsid w:val="00DE5421"/>
    <w:rsid w:val="00ED51EF"/>
    <w:rsid w:val="00F15855"/>
    <w:rsid w:val="00F17B61"/>
    <w:rsid w:val="00F713C0"/>
    <w:rsid w:val="00F8205F"/>
    <w:rsid w:val="00FA0530"/>
    <w:rsid w:val="00FC57B3"/>
    <w:rsid w:val="00FC6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phone"/>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ind w:firstLine="720"/>
      <w:jc w:val="both"/>
    </w:pPr>
  </w:style>
  <w:style w:type="character" w:customStyle="1" w:styleId="BodyTextChar">
    <w:name w:val="Body Text Char"/>
    <w:link w:val="BodyText"/>
    <w:rPr>
      <w:sz w:val="24"/>
      <w:szCs w:val="24"/>
      <w:lang w:val="en-US" w:eastAsia="en-US" w:bidi="ar-SA"/>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pPr>
      <w:jc w:val="center"/>
    </w:pPr>
    <w:rPr>
      <w:rFonts w:ascii="WeddingText BT" w:hAnsi="WeddingText BT"/>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pPr>
      <w:keepNext w:val="0"/>
    </w:pPr>
  </w:style>
  <w:style w:type="character" w:customStyle="1" w:styleId="IssueHeadingChar">
    <w:name w:val="Issue Heading Char"/>
    <w:basedOn w:val="Heading1Char"/>
    <w:link w:val="IssueHeading"/>
    <w:rPr>
      <w:rFonts w:cs="Arial"/>
      <w:bCs/>
      <w:kern w:val="32"/>
      <w:sz w:val="24"/>
      <w:szCs w:val="32"/>
      <w:lang w:val="en-US" w:eastAsia="en-US" w:bidi="ar-SA"/>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pPr>
      <w:jc w:val="center"/>
    </w:pPr>
    <w:rPr>
      <w:b/>
      <w:u w:val="single"/>
    </w:rPr>
  </w:style>
  <w:style w:type="paragraph" w:customStyle="1" w:styleId="IssueSubsectionHeading">
    <w:name w:val="Issue Subsection Heading"/>
    <w:basedOn w:val="Heading2"/>
    <w:next w:val="BodyText"/>
    <w:link w:val="IssueSubsectionHeadingChar"/>
    <w:pPr>
      <w:keepNext w:val="0"/>
    </w:pPr>
  </w:style>
  <w:style w:type="character" w:customStyle="1" w:styleId="IssueSubsectionHeadingChar">
    <w:name w:val="Issue Subsection Heading Char"/>
    <w:basedOn w:val="Heading2Char"/>
    <w:link w:val="IssueSubsectionHeading"/>
    <w:rPr>
      <w:rFonts w:cs="Arial"/>
      <w:bCs/>
      <w:iCs/>
      <w:sz w:val="24"/>
      <w:szCs w:val="28"/>
      <w:lang w:val="en-US" w:eastAsia="en-US" w:bidi="ar-SA"/>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character" w:styleId="FootnoteReference">
    <w:name w:val="footnote reference"/>
    <w:rsid w:val="00D57BD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F5BD0-FF93-4F2D-8A0C-18F23A72C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1</TotalTime>
  <Pages>4</Pages>
  <Words>631</Words>
  <Characters>3600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4223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Diamond Lynn</dc:creator>
  <cp:lastModifiedBy>Shawna Senko</cp:lastModifiedBy>
  <cp:revision>3</cp:revision>
  <cp:lastPrinted>2013-10-10T20:04:00Z</cp:lastPrinted>
  <dcterms:created xsi:type="dcterms:W3CDTF">2013-10-11T19:09:00Z</dcterms:created>
  <dcterms:modified xsi:type="dcterms:W3CDTF">2013-10-11T19:22:00Z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130239-TP</vt:lpwstr>
  </property>
  <property fmtid="{D5CDD505-2E9C-101B-9397-08002B2CF9AE}" pid="3" name="MasterDocument">
    <vt:bool>false</vt:bool>
  </property>
</Properties>
</file>