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ED" w:rsidRPr="00C12EF8" w:rsidRDefault="00310EED" w:rsidP="00134113">
      <w:pPr>
        <w:tabs>
          <w:tab w:val="left" w:pos="0"/>
        </w:tabs>
        <w:spacing w:line="240" w:lineRule="atLeast"/>
        <w:ind w:left="90"/>
        <w:jc w:val="center"/>
        <w:rPr>
          <w:rFonts w:ascii="Arial" w:hAnsi="Arial" w:cs="Arial"/>
          <w:szCs w:val="24"/>
        </w:rPr>
      </w:pPr>
      <w:bookmarkStart w:id="0" w:name="_GoBack"/>
      <w:bookmarkEnd w:id="0"/>
      <w:r w:rsidRPr="00E83E11">
        <w:rPr>
          <w:rFonts w:ascii="Arial" w:hAnsi="Arial" w:cs="Arial"/>
          <w:szCs w:val="24"/>
        </w:rPr>
        <w:t>GULF POWER COMPANY</w:t>
      </w:r>
    </w:p>
    <w:p w:rsidR="00310EED" w:rsidRPr="00E83E11" w:rsidRDefault="00310EED" w:rsidP="008B0B08">
      <w:pPr>
        <w:spacing w:line="240" w:lineRule="atLeast"/>
        <w:ind w:left="720"/>
        <w:jc w:val="center"/>
        <w:rPr>
          <w:rFonts w:ascii="Arial" w:hAnsi="Arial" w:cs="Arial"/>
          <w:szCs w:val="24"/>
        </w:rPr>
        <w:sectPr w:rsidR="00310EED" w:rsidRPr="00E83E11" w:rsidSect="00134113">
          <w:headerReference w:type="even" r:id="rId9"/>
          <w:headerReference w:type="default" r:id="rId10"/>
          <w:footerReference w:type="even" r:id="rId11"/>
          <w:footerReference w:type="default" r:id="rId12"/>
          <w:headerReference w:type="first" r:id="rId13"/>
          <w:footerReference w:type="first" r:id="rId14"/>
          <w:pgSz w:w="12240" w:h="15840" w:code="1"/>
          <w:pgMar w:top="1570" w:right="1440" w:bottom="1800" w:left="1987" w:header="720" w:footer="720" w:gutter="0"/>
          <w:lnNumType w:countBy="1" w:restart="newSection"/>
          <w:cols w:space="720"/>
          <w:titlePg/>
          <w:docGrid w:linePitch="326"/>
        </w:sectPr>
      </w:pPr>
    </w:p>
    <w:p w:rsidR="00310EED" w:rsidRPr="00E83E11" w:rsidRDefault="00310EED" w:rsidP="008B0B08">
      <w:pPr>
        <w:spacing w:line="240" w:lineRule="atLeast"/>
        <w:ind w:left="720"/>
        <w:jc w:val="center"/>
        <w:rPr>
          <w:rFonts w:ascii="Arial" w:hAnsi="Arial" w:cs="Arial"/>
          <w:szCs w:val="24"/>
        </w:rPr>
      </w:pP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Before the Florida Public Service Commission</w:t>
      </w: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lnNumType w:countBy="1" w:start="1" w:restart="newSection"/>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Prepared Direct Testimony of</w:t>
      </w: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Michael L. Burroughs</w:t>
      </w: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lnNumType w:countBy="1" w:start="2" w:restart="newSection"/>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 xml:space="preserve">Docket No. </w:t>
      </w:r>
      <w:r w:rsidR="009C4425" w:rsidRPr="00E83E11">
        <w:rPr>
          <w:rFonts w:ascii="Arial" w:hAnsi="Arial" w:cs="Arial"/>
          <w:szCs w:val="24"/>
        </w:rPr>
        <w:t>130140</w:t>
      </w:r>
      <w:r w:rsidRPr="00E83E11">
        <w:rPr>
          <w:rFonts w:ascii="Arial" w:hAnsi="Arial" w:cs="Arial"/>
          <w:szCs w:val="24"/>
        </w:rPr>
        <w:t>-EI</w:t>
      </w: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In Support of Rate Relief</w:t>
      </w:r>
    </w:p>
    <w:p w:rsidR="00310EED" w:rsidRPr="00E83E11" w:rsidRDefault="00310EED" w:rsidP="008B0B08">
      <w:pPr>
        <w:spacing w:line="240" w:lineRule="atLeast"/>
        <w:ind w:left="720"/>
        <w:jc w:val="center"/>
        <w:rPr>
          <w:rFonts w:ascii="Arial" w:hAnsi="Arial" w:cs="Arial"/>
          <w:szCs w:val="24"/>
        </w:rPr>
        <w:sectPr w:rsidR="00310EED" w:rsidRPr="00E83E11" w:rsidSect="00134113">
          <w:type w:val="continuous"/>
          <w:pgSz w:w="12240" w:h="15840" w:code="1"/>
          <w:pgMar w:top="1570" w:right="1440" w:bottom="1800" w:left="1987" w:header="720" w:footer="720" w:gutter="0"/>
          <w:lnNumType w:countBy="1" w:start="3" w:restart="newSection"/>
          <w:cols w:space="720"/>
          <w:titlePg/>
          <w:docGrid w:linePitch="326"/>
        </w:sectPr>
      </w:pPr>
    </w:p>
    <w:p w:rsidR="00310EED" w:rsidRPr="00E83E11" w:rsidRDefault="00310EED" w:rsidP="008B0B08">
      <w:pPr>
        <w:spacing w:line="240" w:lineRule="atLeast"/>
        <w:jc w:val="center"/>
        <w:rPr>
          <w:rFonts w:ascii="Arial" w:hAnsi="Arial" w:cs="Arial"/>
          <w:szCs w:val="24"/>
        </w:rPr>
      </w:pPr>
      <w:r w:rsidRPr="00E83E11">
        <w:rPr>
          <w:rFonts w:ascii="Arial" w:hAnsi="Arial" w:cs="Arial"/>
          <w:szCs w:val="24"/>
        </w:rPr>
        <w:lastRenderedPageBreak/>
        <w:t xml:space="preserve">Date of Filing: July </w:t>
      </w:r>
      <w:r w:rsidR="00A10FFD">
        <w:rPr>
          <w:rFonts w:ascii="Arial" w:hAnsi="Arial" w:cs="Arial"/>
          <w:szCs w:val="24"/>
        </w:rPr>
        <w:t>12</w:t>
      </w:r>
      <w:r w:rsidRPr="00E83E11">
        <w:rPr>
          <w:rFonts w:ascii="Arial" w:hAnsi="Arial" w:cs="Arial"/>
          <w:szCs w:val="24"/>
        </w:rPr>
        <w:t>, 2013</w:t>
      </w:r>
    </w:p>
    <w:p w:rsidR="00310EED" w:rsidRPr="00E83E11" w:rsidRDefault="00310EED" w:rsidP="008B0B08">
      <w:pPr>
        <w:spacing w:line="240" w:lineRule="atLeast"/>
        <w:ind w:left="720" w:hanging="720"/>
        <w:jc w:val="center"/>
        <w:rPr>
          <w:rFonts w:ascii="Arial" w:hAnsi="Arial" w:cs="Arial"/>
          <w:szCs w:val="24"/>
        </w:rPr>
        <w:sectPr w:rsidR="00310EED" w:rsidRPr="00E83E11" w:rsidSect="00134113">
          <w:type w:val="continuous"/>
          <w:pgSz w:w="12240" w:h="15840" w:code="1"/>
          <w:pgMar w:top="1570" w:right="1440" w:bottom="1800" w:left="1987" w:header="720" w:footer="720" w:gutter="0"/>
          <w:cols w:space="720"/>
          <w:titlePg/>
          <w:docGrid w:linePitch="326"/>
        </w:sectPr>
      </w:pPr>
    </w:p>
    <w:p w:rsidR="00310EED" w:rsidRPr="00E83E11" w:rsidRDefault="00310EED" w:rsidP="008B0B08">
      <w:pPr>
        <w:tabs>
          <w:tab w:val="left" w:pos="630"/>
        </w:tabs>
        <w:spacing w:line="240" w:lineRule="atLeast"/>
        <w:ind w:left="720" w:hanging="720"/>
        <w:jc w:val="center"/>
        <w:rPr>
          <w:rFonts w:ascii="Arial" w:hAnsi="Arial" w:cs="Arial"/>
          <w:szCs w:val="24"/>
        </w:rPr>
      </w:pPr>
    </w:p>
    <w:p w:rsidR="00310EED" w:rsidRPr="00E83E11" w:rsidRDefault="00310EED" w:rsidP="00C12EF8">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state your name and business address.</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My n</w:t>
      </w:r>
      <w:r w:rsidR="00F7102F" w:rsidRPr="00E83E11">
        <w:rPr>
          <w:rFonts w:ascii="Arial" w:hAnsi="Arial" w:cs="Arial"/>
          <w:szCs w:val="24"/>
        </w:rPr>
        <w:t>ame is Michael</w:t>
      </w:r>
      <w:r w:rsidRPr="00E83E11">
        <w:rPr>
          <w:rFonts w:ascii="Arial" w:hAnsi="Arial" w:cs="Arial"/>
          <w:szCs w:val="24"/>
        </w:rPr>
        <w:t xml:space="preserve"> Burroughs.  My business address is One </w:t>
      </w:r>
      <w:r w:rsidR="003D26FB" w:rsidRPr="00E83E11">
        <w:rPr>
          <w:rFonts w:ascii="Arial" w:hAnsi="Arial" w:cs="Arial"/>
          <w:szCs w:val="24"/>
        </w:rPr>
        <w:t>Energy Place, Pensacola, Florida</w:t>
      </w:r>
      <w:r w:rsidRPr="00E83E11">
        <w:rPr>
          <w:rFonts w:ascii="Arial" w:hAnsi="Arial" w:cs="Arial"/>
          <w:szCs w:val="24"/>
        </w:rPr>
        <w:t xml:space="preserve"> 32520.</w:t>
      </w:r>
    </w:p>
    <w:p w:rsidR="00310EED" w:rsidRPr="00E83E11" w:rsidRDefault="00310EED">
      <w:pPr>
        <w:spacing w:line="480" w:lineRule="atLeast"/>
        <w:ind w:left="720" w:hanging="720"/>
        <w:rPr>
          <w:rFonts w:ascii="Arial" w:hAnsi="Arial" w:cs="Arial"/>
          <w:szCs w:val="24"/>
          <w:highlight w:val="cyan"/>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your position?</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I am Vice President of Gulf Power Company (Gulf or the Company) with responsibility for Power Generation, and in that capacity I am Senior Production Officer.</w:t>
      </w:r>
    </w:p>
    <w:p w:rsidR="00310EED" w:rsidRPr="00E83E11" w:rsidRDefault="00310EED">
      <w:pPr>
        <w:spacing w:line="480" w:lineRule="atLeast"/>
        <w:ind w:left="720"/>
        <w:rPr>
          <w:rFonts w:ascii="Arial" w:hAnsi="Arial" w:cs="Arial"/>
          <w:szCs w:val="24"/>
        </w:rPr>
      </w:pPr>
    </w:p>
    <w:p w:rsidR="00310EED" w:rsidRPr="00E83E11" w:rsidRDefault="00310EED">
      <w:pPr>
        <w:spacing w:line="480" w:lineRule="atLeast"/>
        <w:ind w:left="720" w:hanging="630"/>
        <w:rPr>
          <w:rFonts w:ascii="Arial" w:hAnsi="Arial" w:cs="Arial"/>
          <w:szCs w:val="24"/>
        </w:rPr>
      </w:pPr>
      <w:r w:rsidRPr="00E83E11">
        <w:rPr>
          <w:rFonts w:ascii="Arial" w:hAnsi="Arial" w:cs="Arial"/>
          <w:szCs w:val="24"/>
        </w:rPr>
        <w:t>Q.</w:t>
      </w:r>
      <w:r w:rsidRPr="00E83E11">
        <w:rPr>
          <w:rFonts w:ascii="Arial" w:hAnsi="Arial" w:cs="Arial"/>
          <w:szCs w:val="24"/>
        </w:rPr>
        <w:tab/>
        <w:t>What are your responsibilities as Vice President of Power Generation and Senior Production Officer?</w:t>
      </w:r>
    </w:p>
    <w:p w:rsidR="00310EED" w:rsidRPr="00E83E11" w:rsidRDefault="00310EED">
      <w:pPr>
        <w:spacing w:line="480" w:lineRule="atLeast"/>
        <w:ind w:left="720" w:hanging="630"/>
        <w:rPr>
          <w:rFonts w:ascii="Arial" w:hAnsi="Arial" w:cs="Arial"/>
          <w:szCs w:val="24"/>
        </w:rPr>
      </w:pPr>
      <w:r w:rsidRPr="00E83E11">
        <w:rPr>
          <w:rFonts w:ascii="Arial" w:hAnsi="Arial" w:cs="Arial"/>
          <w:szCs w:val="24"/>
        </w:rPr>
        <w:t>A.</w:t>
      </w:r>
      <w:r w:rsidRPr="00E83E11">
        <w:rPr>
          <w:rFonts w:ascii="Arial" w:hAnsi="Arial" w:cs="Arial"/>
          <w:szCs w:val="24"/>
        </w:rPr>
        <w:tab/>
        <w:t>I am responsible for Power Generation, Fuel, Supply Side Renewable Energy Development and Generation Planning.  This includes responsibilities for all of Gulf’s wholly owned and jointly owned plants and all power purchase agreements.</w:t>
      </w:r>
    </w:p>
    <w:p w:rsidR="00310EED" w:rsidRPr="00E83E11" w:rsidRDefault="00310EED">
      <w:pPr>
        <w:spacing w:line="480" w:lineRule="atLeast"/>
        <w:ind w:left="720" w:hanging="630"/>
        <w:jc w:val="both"/>
        <w:rPr>
          <w:rFonts w:ascii="Arial" w:hAnsi="Arial" w:cs="Arial"/>
          <w:szCs w:val="24"/>
        </w:rPr>
      </w:pPr>
    </w:p>
    <w:p w:rsidR="00310EED" w:rsidRPr="00E83E11" w:rsidRDefault="00310EED">
      <w:pPr>
        <w:spacing w:line="480" w:lineRule="atLeast"/>
        <w:ind w:left="720" w:hanging="630"/>
        <w:rPr>
          <w:rFonts w:ascii="Arial" w:hAnsi="Arial" w:cs="Arial"/>
          <w:szCs w:val="24"/>
        </w:rPr>
      </w:pPr>
      <w:r w:rsidRPr="00E83E11">
        <w:rPr>
          <w:rFonts w:ascii="Arial" w:hAnsi="Arial" w:cs="Arial"/>
          <w:szCs w:val="24"/>
        </w:rPr>
        <w:t>Q.</w:t>
      </w:r>
      <w:r w:rsidRPr="00E83E11">
        <w:rPr>
          <w:rFonts w:ascii="Arial" w:hAnsi="Arial" w:cs="Arial"/>
          <w:szCs w:val="24"/>
        </w:rPr>
        <w:tab/>
        <w:t>Please state your prior work experience and responsibilities.</w:t>
      </w:r>
    </w:p>
    <w:p w:rsidR="0088424C" w:rsidRPr="00E83E11" w:rsidRDefault="00310EED">
      <w:pPr>
        <w:spacing w:line="480" w:lineRule="atLeast"/>
        <w:ind w:left="720" w:hanging="630"/>
        <w:rPr>
          <w:rFonts w:ascii="Arial" w:hAnsi="Arial" w:cs="Arial"/>
          <w:szCs w:val="24"/>
        </w:rPr>
      </w:pPr>
      <w:r w:rsidRPr="00E83E11">
        <w:rPr>
          <w:rFonts w:ascii="Arial" w:hAnsi="Arial" w:cs="Arial"/>
          <w:szCs w:val="24"/>
        </w:rPr>
        <w:t>A.</w:t>
      </w:r>
      <w:r w:rsidRPr="00E83E11">
        <w:rPr>
          <w:rFonts w:ascii="Arial" w:hAnsi="Arial" w:cs="Arial"/>
          <w:szCs w:val="24"/>
        </w:rPr>
        <w:tab/>
        <w:t xml:space="preserve">I was hired by Alabama Power Company in 1991 as a Junior Engineer at Plant Barry in Mobile, Alabama.  I progressed through various positions </w:t>
      </w:r>
    </w:p>
    <w:p w:rsidR="00F637B0" w:rsidRPr="00E83E11" w:rsidRDefault="00F637B0">
      <w:pPr>
        <w:spacing w:line="480" w:lineRule="atLeast"/>
        <w:ind w:left="720" w:hanging="630"/>
        <w:rPr>
          <w:rFonts w:ascii="Arial" w:hAnsi="Arial" w:cs="Arial"/>
          <w:szCs w:val="24"/>
        </w:rPr>
      </w:pPr>
    </w:p>
    <w:p w:rsidR="0099412C" w:rsidRDefault="0099412C">
      <w:pPr>
        <w:spacing w:line="480" w:lineRule="atLeast"/>
        <w:ind w:left="720" w:hanging="630"/>
        <w:rPr>
          <w:rFonts w:ascii="Arial" w:hAnsi="Arial" w:cs="Arial"/>
          <w:szCs w:val="24"/>
        </w:rPr>
        <w:sectPr w:rsidR="0099412C" w:rsidSect="00134113">
          <w:type w:val="continuous"/>
          <w:pgSz w:w="12240" w:h="15840" w:code="1"/>
          <w:pgMar w:top="1570" w:right="1440" w:bottom="1800" w:left="1987" w:header="720" w:footer="720" w:gutter="0"/>
          <w:lnNumType w:countBy="1" w:start="4"/>
          <w:cols w:space="720"/>
          <w:titlePg/>
          <w:docGrid w:linePitch="326"/>
        </w:sectPr>
      </w:pPr>
    </w:p>
    <w:p w:rsidR="00310EED" w:rsidRPr="00E83E11" w:rsidRDefault="00310EED">
      <w:pPr>
        <w:spacing w:line="480" w:lineRule="atLeast"/>
        <w:ind w:left="720"/>
        <w:rPr>
          <w:rFonts w:ascii="Arial" w:hAnsi="Arial" w:cs="Arial"/>
          <w:szCs w:val="24"/>
        </w:rPr>
      </w:pPr>
      <w:r w:rsidRPr="00E83E11">
        <w:rPr>
          <w:rFonts w:ascii="Arial" w:hAnsi="Arial" w:cs="Arial"/>
          <w:szCs w:val="24"/>
        </w:rPr>
        <w:lastRenderedPageBreak/>
        <w:t>until I transferred to Gulf, assuming the role of Planning and Engineering Manager at Plant Smith in Panama City, Florida in 1999.  During the following seven years, I held positions of Maintenance Manager as well as Compliance and Engineering Manager.  In May 2006 I was selected to be the Assistant to the Executive Vice President and Chief Production Officer of Southern Company Generation and Alabama Power Company.  In September 2007 I was named Plant Manager of Yates Generating Plant in Newnan, Georgia with Georgia Power Company.  I assumed my current position as Vice President of Power Generation and Senior Production O</w:t>
      </w:r>
      <w:r w:rsidR="00D6542F" w:rsidRPr="00E83E11">
        <w:rPr>
          <w:rFonts w:ascii="Arial" w:hAnsi="Arial" w:cs="Arial"/>
          <w:szCs w:val="24"/>
        </w:rPr>
        <w:t>fficer of Gulf in August 2010.</w:t>
      </w:r>
    </w:p>
    <w:p w:rsidR="00310EED" w:rsidRPr="00E83E11" w:rsidRDefault="00310EED">
      <w:pPr>
        <w:spacing w:line="480" w:lineRule="atLeast"/>
        <w:ind w:left="720" w:hanging="63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your educational background?</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I graduated with a Bachelor of Science degree in Mechanical Engineering from the University of Alabama – Birmingham in 1990.</w:t>
      </w:r>
    </w:p>
    <w:p w:rsidR="00310EED" w:rsidRPr="00E83E11" w:rsidRDefault="00310EED">
      <w:pPr>
        <w:spacing w:line="480" w:lineRule="atLeast"/>
        <w:ind w:left="720" w:hanging="63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the purpose of your testimony?</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My testimony discusses Gulf’s </w:t>
      </w:r>
      <w:r w:rsidR="002037B5" w:rsidRPr="00E83E11">
        <w:rPr>
          <w:rFonts w:ascii="Arial" w:hAnsi="Arial" w:cs="Arial"/>
          <w:szCs w:val="24"/>
        </w:rPr>
        <w:t>Production</w:t>
      </w:r>
      <w:r w:rsidRPr="00E83E11">
        <w:rPr>
          <w:rFonts w:ascii="Arial" w:hAnsi="Arial" w:cs="Arial"/>
          <w:szCs w:val="24"/>
        </w:rPr>
        <w:t xml:space="preserve"> resources used and useful in the provision of electric service to our customers</w:t>
      </w:r>
      <w:r w:rsidR="00276C98" w:rsidRPr="00E83E11">
        <w:rPr>
          <w:rFonts w:ascii="Arial" w:hAnsi="Arial" w:cs="Arial"/>
          <w:szCs w:val="24"/>
        </w:rPr>
        <w:t xml:space="preserve"> and the excellent performance of those resources</w:t>
      </w:r>
      <w:r w:rsidRPr="00E83E11">
        <w:rPr>
          <w:rFonts w:ascii="Arial" w:hAnsi="Arial" w:cs="Arial"/>
          <w:szCs w:val="24"/>
        </w:rPr>
        <w:t xml:space="preserve">.  My testimony </w:t>
      </w:r>
      <w:r w:rsidR="00276C98" w:rsidRPr="00E83E11">
        <w:rPr>
          <w:rFonts w:ascii="Arial" w:hAnsi="Arial" w:cs="Arial"/>
          <w:szCs w:val="24"/>
        </w:rPr>
        <w:t xml:space="preserve">also </w:t>
      </w:r>
      <w:r w:rsidRPr="00E83E11">
        <w:rPr>
          <w:rFonts w:ascii="Arial" w:hAnsi="Arial" w:cs="Arial"/>
          <w:szCs w:val="24"/>
        </w:rPr>
        <w:t xml:space="preserve">explains fuel inventory levels necessary for Gulf’s continued provision of reliable generation.  Gulf Witness Grove provides detail regarding Gulf’s </w:t>
      </w:r>
      <w:r w:rsidR="002037B5" w:rsidRPr="00E83E11">
        <w:rPr>
          <w:rFonts w:ascii="Arial" w:hAnsi="Arial" w:cs="Arial"/>
          <w:szCs w:val="24"/>
        </w:rPr>
        <w:t>Production</w:t>
      </w:r>
      <w:r w:rsidRPr="00E83E11">
        <w:rPr>
          <w:rFonts w:ascii="Arial" w:hAnsi="Arial" w:cs="Arial"/>
          <w:szCs w:val="24"/>
        </w:rPr>
        <w:t xml:space="preserve"> resources, Production investment, Production O&amp;M expenses and the resource planning process.</w:t>
      </w:r>
    </w:p>
    <w:p w:rsidR="0008399E" w:rsidRPr="00E83E11" w:rsidRDefault="0008399E">
      <w:pPr>
        <w:spacing w:line="480" w:lineRule="atLeast"/>
        <w:ind w:left="720" w:hanging="720"/>
        <w:rPr>
          <w:rFonts w:ascii="Arial" w:hAnsi="Arial" w:cs="Arial"/>
          <w:szCs w:val="24"/>
        </w:rPr>
      </w:pPr>
    </w:p>
    <w:p w:rsidR="0086535E" w:rsidRPr="00E83E11" w:rsidRDefault="0086535E">
      <w:pPr>
        <w:spacing w:line="480" w:lineRule="atLeast"/>
        <w:ind w:left="720" w:hanging="720"/>
        <w:rPr>
          <w:rFonts w:ascii="Arial" w:hAnsi="Arial" w:cs="Arial"/>
          <w:szCs w:val="24"/>
        </w:rPr>
      </w:pPr>
    </w:p>
    <w:p w:rsidR="0008399E" w:rsidRPr="00E83E11" w:rsidRDefault="0008399E">
      <w:pPr>
        <w:spacing w:line="480" w:lineRule="atLeast"/>
        <w:ind w:left="720" w:hanging="720"/>
        <w:rPr>
          <w:rFonts w:ascii="Arial" w:hAnsi="Arial" w:cs="Arial"/>
          <w:szCs w:val="24"/>
        </w:rPr>
      </w:pPr>
      <w:r w:rsidRPr="00E83E11">
        <w:rPr>
          <w:rFonts w:ascii="Arial" w:hAnsi="Arial" w:cs="Arial"/>
          <w:szCs w:val="24"/>
        </w:rPr>
        <w:lastRenderedPageBreak/>
        <w:t>Q.</w:t>
      </w:r>
      <w:r w:rsidRPr="00E83E11">
        <w:rPr>
          <w:rFonts w:ascii="Arial" w:hAnsi="Arial" w:cs="Arial"/>
          <w:szCs w:val="24"/>
        </w:rPr>
        <w:tab/>
        <w:t>Are you sponsoring any exhibits?</w:t>
      </w:r>
    </w:p>
    <w:p w:rsidR="0008399E" w:rsidRPr="00E83E11" w:rsidRDefault="0008399E">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Yes.  I am sponsoring Exhi</w:t>
      </w:r>
      <w:r w:rsidR="00276C98" w:rsidRPr="00E83E11">
        <w:rPr>
          <w:rFonts w:ascii="Arial" w:hAnsi="Arial" w:cs="Arial"/>
          <w:szCs w:val="24"/>
        </w:rPr>
        <w:t>bit MLB-1, Schedules 1 through 5</w:t>
      </w:r>
      <w:r w:rsidRPr="00E83E11">
        <w:rPr>
          <w:rFonts w:ascii="Arial" w:hAnsi="Arial" w:cs="Arial"/>
          <w:szCs w:val="24"/>
        </w:rPr>
        <w:t>.  Exhibit</w:t>
      </w:r>
    </w:p>
    <w:p w:rsidR="00310EED" w:rsidRPr="00E83E11" w:rsidRDefault="00310EED">
      <w:pPr>
        <w:spacing w:line="480" w:lineRule="atLeast"/>
        <w:ind w:left="720"/>
        <w:rPr>
          <w:rFonts w:ascii="Arial" w:hAnsi="Arial" w:cs="Arial"/>
          <w:szCs w:val="24"/>
        </w:rPr>
      </w:pPr>
      <w:r w:rsidRPr="00E83E11">
        <w:rPr>
          <w:rFonts w:ascii="Arial" w:hAnsi="Arial" w:cs="Arial"/>
          <w:szCs w:val="24"/>
        </w:rPr>
        <w:t>MLB-1 was prepared under my direction and control, and the information contained therein is true and correct to the best of my knowledge and belief.</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Are you sponsoring any of the Minimum Filing Requirements (MFRs) </w:t>
      </w:r>
      <w:r w:rsidR="00D6542F" w:rsidRPr="00E83E11">
        <w:rPr>
          <w:rFonts w:ascii="Arial" w:hAnsi="Arial" w:cs="Arial"/>
          <w:szCs w:val="24"/>
        </w:rPr>
        <w:t>submitted by Gulf?</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Yes.  A list of MFRs I sponsor or co-sponsor is included on Schedule 1 of my Exhibit MLB-1.  The information contained in the MFRs I sponsor or co-sponsor is true and correct to the best of my knowledge and belief.</w:t>
      </w:r>
    </w:p>
    <w:p w:rsidR="00310EED" w:rsidRPr="00E83E11" w:rsidRDefault="00310EED">
      <w:pPr>
        <w:spacing w:line="480" w:lineRule="atLeast"/>
        <w:ind w:left="720" w:hanging="720"/>
        <w:rPr>
          <w:rFonts w:ascii="Arial" w:hAnsi="Arial" w:cs="Arial"/>
          <w:szCs w:val="24"/>
        </w:rPr>
      </w:pPr>
    </w:p>
    <w:p w:rsidR="00AC18A6" w:rsidRPr="00E83E11" w:rsidRDefault="00AC18A6">
      <w:pPr>
        <w:spacing w:line="480" w:lineRule="atLeast"/>
        <w:ind w:left="720" w:hanging="720"/>
        <w:rPr>
          <w:rFonts w:ascii="Arial" w:hAnsi="Arial" w:cs="Arial"/>
          <w:szCs w:val="24"/>
        </w:rPr>
      </w:pPr>
    </w:p>
    <w:p w:rsidR="00310EED" w:rsidRPr="00E83E11" w:rsidRDefault="00310EED">
      <w:pPr>
        <w:spacing w:line="480" w:lineRule="atLeast"/>
        <w:ind w:hanging="720"/>
        <w:jc w:val="center"/>
        <w:rPr>
          <w:rFonts w:ascii="Arial" w:hAnsi="Arial" w:cs="Arial"/>
          <w:b/>
          <w:szCs w:val="24"/>
        </w:rPr>
      </w:pPr>
      <w:r w:rsidRPr="00E83E11">
        <w:rPr>
          <w:rFonts w:ascii="Arial" w:hAnsi="Arial" w:cs="Arial"/>
          <w:b/>
          <w:szCs w:val="24"/>
        </w:rPr>
        <w:t xml:space="preserve">I. GULF’S </w:t>
      </w:r>
      <w:r w:rsidR="007F1C8B" w:rsidRPr="00E83E11">
        <w:rPr>
          <w:rFonts w:ascii="Arial" w:hAnsi="Arial" w:cs="Arial"/>
          <w:b/>
          <w:szCs w:val="24"/>
        </w:rPr>
        <w:t>GENERATION</w:t>
      </w:r>
      <w:r w:rsidRPr="00E83E11">
        <w:rPr>
          <w:rFonts w:ascii="Arial" w:hAnsi="Arial" w:cs="Arial"/>
          <w:b/>
          <w:szCs w:val="24"/>
        </w:rPr>
        <w:t xml:space="preserve"> RESOURCES</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Please describe Gulf’s </w:t>
      </w:r>
      <w:r w:rsidR="007F1C8B" w:rsidRPr="00E83E11">
        <w:rPr>
          <w:rFonts w:ascii="Arial" w:hAnsi="Arial" w:cs="Arial"/>
          <w:szCs w:val="24"/>
        </w:rPr>
        <w:t>generating</w:t>
      </w:r>
      <w:r w:rsidRPr="00E83E11">
        <w:rPr>
          <w:rFonts w:ascii="Arial" w:hAnsi="Arial" w:cs="Arial"/>
          <w:szCs w:val="24"/>
        </w:rPr>
        <w:t xml:space="preserve"> resources.</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generates or purchases electricity from a diverse group of resources, including:  (a) units owned solely by Gulf; (b) units owned jointly with other operating companies within the Southern electric system (SES); (c) units in the SES available to Gulf through the SES Intercompany Interchange Contract (IIC); and (d) units available to Gulf under power purchase agreements (PPAs).  The fuels used for the </w:t>
      </w:r>
      <w:r w:rsidR="007F1C8B" w:rsidRPr="00E83E11">
        <w:rPr>
          <w:rFonts w:ascii="Arial" w:hAnsi="Arial" w:cs="Arial"/>
          <w:szCs w:val="24"/>
        </w:rPr>
        <w:t>generation</w:t>
      </w:r>
      <w:r w:rsidRPr="00E83E11">
        <w:rPr>
          <w:rFonts w:ascii="Arial" w:hAnsi="Arial" w:cs="Arial"/>
          <w:szCs w:val="24"/>
        </w:rPr>
        <w:t xml:space="preserve"> resources available to Gulf include coal, oil, natural gas, landfill gas and municipal solid waste.</w:t>
      </w:r>
    </w:p>
    <w:p w:rsidR="006151F3" w:rsidRPr="00E83E11" w:rsidRDefault="006151F3">
      <w:pPr>
        <w:spacing w:line="480" w:lineRule="atLeast"/>
        <w:ind w:left="720" w:hanging="720"/>
        <w:rPr>
          <w:rFonts w:ascii="Arial" w:hAnsi="Arial" w:cs="Arial"/>
          <w:szCs w:val="24"/>
        </w:rPr>
      </w:pPr>
    </w:p>
    <w:p w:rsidR="0008399E"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describe the generation forecasted to be owned, operated and used by Gulf to serve its retail customers in 2014.</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lastRenderedPageBreak/>
        <w:t>A.</w:t>
      </w:r>
      <w:r w:rsidRPr="00E83E11">
        <w:rPr>
          <w:rFonts w:ascii="Arial" w:hAnsi="Arial" w:cs="Arial"/>
          <w:szCs w:val="24"/>
        </w:rPr>
        <w:tab/>
        <w:t>Exhibit MLB-1, Schedule 2 provides a list of the units owned an</w:t>
      </w:r>
      <w:r w:rsidR="00D6542F" w:rsidRPr="00E83E11">
        <w:rPr>
          <w:rFonts w:ascii="Arial" w:hAnsi="Arial" w:cs="Arial"/>
          <w:szCs w:val="24"/>
        </w:rPr>
        <w:t>d operated or co-owned by Gulf.</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PPAs will Gulf have in place and use to provide electric service in 2014?</w:t>
      </w:r>
    </w:p>
    <w:p w:rsidR="00310EED" w:rsidRPr="00E83E11" w:rsidRDefault="00310EED">
      <w:pPr>
        <w:spacing w:line="480" w:lineRule="atLeast"/>
        <w:ind w:left="734" w:hanging="720"/>
        <w:rPr>
          <w:rFonts w:ascii="Arial" w:hAnsi="Arial" w:cs="Arial"/>
          <w:szCs w:val="24"/>
        </w:rPr>
      </w:pPr>
      <w:r w:rsidRPr="00E83E11">
        <w:rPr>
          <w:rFonts w:ascii="Arial" w:hAnsi="Arial" w:cs="Arial"/>
          <w:szCs w:val="24"/>
        </w:rPr>
        <w:t>A.</w:t>
      </w:r>
      <w:r w:rsidRPr="00E83E11">
        <w:rPr>
          <w:rFonts w:ascii="Arial" w:hAnsi="Arial" w:cs="Arial"/>
          <w:szCs w:val="24"/>
        </w:rPr>
        <w:tab/>
        <w:t>Schedule 3 of Exhibit MLB-1 provides a list of the power purchase resources available to Gulf during 2014 and information regarding the fuels and technologies used by these generating resources.  All of these agreements have been approved by the Florida Public Service Commission (FPSC or the Commission).</w:t>
      </w:r>
    </w:p>
    <w:p w:rsidR="00310EED" w:rsidRPr="00E83E11" w:rsidRDefault="00310EED">
      <w:pPr>
        <w:spacing w:line="480" w:lineRule="atLeast"/>
        <w:ind w:left="734"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Other than the environmental capital projects addressed through Gulf’s Environmental Cost Recovery Clause (ECRC), what major changes have been made to Gulf’s </w:t>
      </w:r>
      <w:r w:rsidR="007F1C8B" w:rsidRPr="00E83E11">
        <w:rPr>
          <w:rFonts w:ascii="Arial" w:hAnsi="Arial" w:cs="Arial"/>
          <w:szCs w:val="24"/>
        </w:rPr>
        <w:t>generating</w:t>
      </w:r>
      <w:r w:rsidR="006D6473" w:rsidRPr="00E83E11">
        <w:rPr>
          <w:rFonts w:ascii="Arial" w:hAnsi="Arial" w:cs="Arial"/>
          <w:szCs w:val="24"/>
        </w:rPr>
        <w:t xml:space="preserve"> </w:t>
      </w:r>
      <w:r w:rsidRPr="00E83E11">
        <w:rPr>
          <w:rFonts w:ascii="Arial" w:hAnsi="Arial" w:cs="Arial"/>
          <w:szCs w:val="24"/>
        </w:rPr>
        <w:t>resources since Gulf’s last base rate proceeding?</w:t>
      </w:r>
    </w:p>
    <w:p w:rsidR="00807E0B"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r>
      <w:r w:rsidR="00807E0B" w:rsidRPr="00E83E11">
        <w:rPr>
          <w:rFonts w:ascii="Arial" w:hAnsi="Arial" w:cs="Arial"/>
          <w:szCs w:val="24"/>
        </w:rPr>
        <w:t>There hav</w:t>
      </w:r>
      <w:r w:rsidR="00F87821" w:rsidRPr="00E83E11">
        <w:rPr>
          <w:rFonts w:ascii="Arial" w:hAnsi="Arial" w:cs="Arial"/>
          <w:szCs w:val="24"/>
        </w:rPr>
        <w:t xml:space="preserve">e been </w:t>
      </w:r>
      <w:r w:rsidR="00294409" w:rsidRPr="00E83E11">
        <w:rPr>
          <w:rFonts w:ascii="Arial" w:hAnsi="Arial" w:cs="Arial"/>
          <w:szCs w:val="24"/>
        </w:rPr>
        <w:t xml:space="preserve">several </w:t>
      </w:r>
      <w:r w:rsidR="007F1C8B" w:rsidRPr="00E83E11">
        <w:rPr>
          <w:rFonts w:ascii="Arial" w:hAnsi="Arial" w:cs="Arial"/>
          <w:szCs w:val="24"/>
        </w:rPr>
        <w:t>generating</w:t>
      </w:r>
      <w:r w:rsidR="00807E0B" w:rsidRPr="00E83E11">
        <w:rPr>
          <w:rFonts w:ascii="Arial" w:hAnsi="Arial" w:cs="Arial"/>
          <w:szCs w:val="24"/>
        </w:rPr>
        <w:t xml:space="preserve"> resource changes during the period from Gulf’s last rate case through the 2014 test </w:t>
      </w:r>
      <w:r w:rsidR="00D2000B" w:rsidRPr="00E83E11">
        <w:rPr>
          <w:rFonts w:ascii="Arial" w:hAnsi="Arial" w:cs="Arial"/>
          <w:szCs w:val="24"/>
        </w:rPr>
        <w:t>year.</w:t>
      </w:r>
      <w:r w:rsidR="00807E0B" w:rsidRPr="00E83E11">
        <w:rPr>
          <w:rFonts w:ascii="Arial" w:hAnsi="Arial" w:cs="Arial"/>
          <w:szCs w:val="24"/>
        </w:rPr>
        <w:t xml:space="preserve"> In addition</w:t>
      </w:r>
      <w:r w:rsidR="007F1C8B" w:rsidRPr="00E83E11">
        <w:rPr>
          <w:rFonts w:ascii="Arial" w:hAnsi="Arial" w:cs="Arial"/>
          <w:szCs w:val="24"/>
        </w:rPr>
        <w:t>,</w:t>
      </w:r>
      <w:r w:rsidR="00807E0B" w:rsidRPr="00E83E11">
        <w:rPr>
          <w:rFonts w:ascii="Arial" w:hAnsi="Arial" w:cs="Arial"/>
          <w:szCs w:val="24"/>
        </w:rPr>
        <w:t xml:space="preserve"> Gulf foreca</w:t>
      </w:r>
      <w:r w:rsidR="007F1C8B" w:rsidRPr="00E83E11">
        <w:rPr>
          <w:rFonts w:ascii="Arial" w:hAnsi="Arial" w:cs="Arial"/>
          <w:szCs w:val="24"/>
        </w:rPr>
        <w:t>sts another change in generation</w:t>
      </w:r>
      <w:r w:rsidR="00807E0B" w:rsidRPr="00E83E11">
        <w:rPr>
          <w:rFonts w:ascii="Arial" w:hAnsi="Arial" w:cs="Arial"/>
          <w:szCs w:val="24"/>
        </w:rPr>
        <w:t xml:space="preserve"> resources in 2015 shortly after the close of the test year.</w:t>
      </w:r>
      <w:r w:rsidR="00276C98" w:rsidRPr="00E83E11">
        <w:rPr>
          <w:rFonts w:ascii="Arial" w:hAnsi="Arial" w:cs="Arial"/>
          <w:szCs w:val="24"/>
        </w:rPr>
        <w:t xml:space="preserve">  I will summarize each of the major changes.</w:t>
      </w:r>
    </w:p>
    <w:p w:rsidR="00F32095" w:rsidRPr="00E83E11" w:rsidRDefault="00F32095">
      <w:pPr>
        <w:spacing w:line="480" w:lineRule="atLeast"/>
        <w:ind w:left="720"/>
        <w:rPr>
          <w:rFonts w:ascii="Arial" w:hAnsi="Arial" w:cs="Arial"/>
          <w:szCs w:val="24"/>
        </w:rPr>
      </w:pPr>
    </w:p>
    <w:p w:rsidR="000F7614" w:rsidRDefault="000C7A95">
      <w:pPr>
        <w:spacing w:line="480" w:lineRule="atLeast"/>
        <w:ind w:left="720"/>
        <w:rPr>
          <w:rFonts w:ascii="Arial" w:hAnsi="Arial" w:cs="Arial"/>
          <w:szCs w:val="24"/>
        </w:rPr>
      </w:pPr>
      <w:r w:rsidRPr="00E83E11">
        <w:rPr>
          <w:rFonts w:ascii="Arial" w:hAnsi="Arial" w:cs="Arial"/>
          <w:szCs w:val="24"/>
        </w:rPr>
        <w:t>In June 2013 Gulf began maintaining a natural gas inventory for the Central Alabama facility.  It did so to be able to maximize fuel savings for Gulf’s customers.  As I explain later in my testimony, Gulf would have been required to maintain this natural gas inventory in 2014 to have it treated as a</w:t>
      </w:r>
    </w:p>
    <w:p w:rsidR="000F7614" w:rsidRDefault="000F7614">
      <w:pPr>
        <w:spacing w:line="480" w:lineRule="atLeast"/>
        <w:ind w:left="720"/>
        <w:rPr>
          <w:rFonts w:ascii="Arial" w:hAnsi="Arial" w:cs="Arial"/>
          <w:szCs w:val="24"/>
        </w:rPr>
      </w:pPr>
    </w:p>
    <w:p w:rsidR="00442459" w:rsidRPr="00E83E11" w:rsidRDefault="000C7A95">
      <w:pPr>
        <w:spacing w:line="480" w:lineRule="atLeast"/>
        <w:ind w:left="720"/>
        <w:rPr>
          <w:rFonts w:ascii="Arial" w:hAnsi="Arial" w:cs="Arial"/>
          <w:szCs w:val="24"/>
        </w:rPr>
      </w:pPr>
      <w:proofErr w:type="gramStart"/>
      <w:r w:rsidRPr="00E83E11">
        <w:rPr>
          <w:rFonts w:ascii="Arial" w:hAnsi="Arial" w:cs="Arial"/>
          <w:szCs w:val="24"/>
        </w:rPr>
        <w:t>firm</w:t>
      </w:r>
      <w:proofErr w:type="gramEnd"/>
      <w:r w:rsidRPr="00E83E11">
        <w:rPr>
          <w:rFonts w:ascii="Arial" w:hAnsi="Arial" w:cs="Arial"/>
          <w:szCs w:val="24"/>
        </w:rPr>
        <w:t xml:space="preserve"> resource.  An inventory for the Central Alabama </w:t>
      </w:r>
      <w:r w:rsidR="003E7C6D">
        <w:rPr>
          <w:rFonts w:ascii="Arial" w:hAnsi="Arial" w:cs="Arial"/>
          <w:szCs w:val="24"/>
        </w:rPr>
        <w:t>facility</w:t>
      </w:r>
      <w:r w:rsidR="003E7C6D" w:rsidRPr="00E83E11">
        <w:rPr>
          <w:rFonts w:ascii="Arial" w:hAnsi="Arial" w:cs="Arial"/>
          <w:szCs w:val="24"/>
        </w:rPr>
        <w:t xml:space="preserve"> </w:t>
      </w:r>
      <w:r w:rsidRPr="00E83E11">
        <w:rPr>
          <w:rFonts w:ascii="Arial" w:hAnsi="Arial" w:cs="Arial"/>
          <w:szCs w:val="24"/>
        </w:rPr>
        <w:t>was not required in Gulf’s last rate case.</w:t>
      </w:r>
    </w:p>
    <w:p w:rsidR="00FB237B" w:rsidRPr="00E83E11" w:rsidRDefault="00FB237B">
      <w:pPr>
        <w:spacing w:line="480" w:lineRule="atLeast"/>
        <w:ind w:left="720"/>
        <w:rPr>
          <w:rFonts w:ascii="Arial" w:hAnsi="Arial" w:cs="Arial"/>
          <w:szCs w:val="24"/>
          <w:u w:val="single"/>
        </w:rPr>
      </w:pPr>
    </w:p>
    <w:p w:rsidR="00FB237B" w:rsidRPr="00E83E11" w:rsidRDefault="00FB237B">
      <w:pPr>
        <w:spacing w:line="480" w:lineRule="atLeast"/>
        <w:ind w:left="720"/>
        <w:rPr>
          <w:rFonts w:ascii="Arial" w:hAnsi="Arial" w:cs="Arial"/>
          <w:szCs w:val="24"/>
        </w:rPr>
      </w:pPr>
      <w:r w:rsidRPr="00E83E11">
        <w:rPr>
          <w:rFonts w:ascii="Arial" w:hAnsi="Arial" w:cs="Arial"/>
          <w:szCs w:val="24"/>
        </w:rPr>
        <w:t xml:space="preserve">In the 2014 test year there are </w:t>
      </w:r>
      <w:r w:rsidR="008948E3" w:rsidRPr="00E83E11">
        <w:rPr>
          <w:rFonts w:ascii="Arial" w:hAnsi="Arial" w:cs="Arial"/>
          <w:szCs w:val="24"/>
        </w:rPr>
        <w:t>several</w:t>
      </w:r>
      <w:r w:rsidRPr="00E83E11">
        <w:rPr>
          <w:rFonts w:ascii="Arial" w:hAnsi="Arial" w:cs="Arial"/>
          <w:szCs w:val="24"/>
        </w:rPr>
        <w:t xml:space="preserve"> changes to Gulf’s generating resources.  The</w:t>
      </w:r>
      <w:r w:rsidR="000C7A95" w:rsidRPr="00E83E11">
        <w:rPr>
          <w:rFonts w:ascii="Arial" w:hAnsi="Arial" w:cs="Arial"/>
          <w:szCs w:val="24"/>
        </w:rPr>
        <w:t xml:space="preserve">ir </w:t>
      </w:r>
      <w:proofErr w:type="gramStart"/>
      <w:r w:rsidR="000C7A95" w:rsidRPr="00E83E11">
        <w:rPr>
          <w:rFonts w:ascii="Arial" w:hAnsi="Arial" w:cs="Arial"/>
          <w:szCs w:val="24"/>
        </w:rPr>
        <w:t>treatment for purposes of the</w:t>
      </w:r>
      <w:r w:rsidRPr="00E83E11">
        <w:rPr>
          <w:rFonts w:ascii="Arial" w:hAnsi="Arial" w:cs="Arial"/>
          <w:szCs w:val="24"/>
        </w:rPr>
        <w:t xml:space="preserve"> rate case are</w:t>
      </w:r>
      <w:proofErr w:type="gramEnd"/>
      <w:r w:rsidRPr="00E83E11">
        <w:rPr>
          <w:rFonts w:ascii="Arial" w:hAnsi="Arial" w:cs="Arial"/>
          <w:szCs w:val="24"/>
        </w:rPr>
        <w:t xml:space="preserve"> addressed below.</w:t>
      </w:r>
    </w:p>
    <w:p w:rsidR="00890AE8" w:rsidRPr="00E83E11" w:rsidRDefault="00FB237B">
      <w:pPr>
        <w:pStyle w:val="ListParagraph"/>
        <w:numPr>
          <w:ilvl w:val="0"/>
          <w:numId w:val="5"/>
        </w:numPr>
        <w:spacing w:line="480" w:lineRule="atLeast"/>
        <w:rPr>
          <w:rFonts w:ascii="Arial" w:hAnsi="Arial" w:cs="Arial"/>
          <w:szCs w:val="24"/>
        </w:rPr>
      </w:pPr>
      <w:r w:rsidRPr="00E83E11">
        <w:rPr>
          <w:rFonts w:ascii="Arial" w:hAnsi="Arial" w:cs="Arial"/>
          <w:szCs w:val="24"/>
        </w:rPr>
        <w:t xml:space="preserve">The Commission-approved PPAs for Coral </w:t>
      </w:r>
      <w:proofErr w:type="spellStart"/>
      <w:r w:rsidRPr="00E83E11">
        <w:rPr>
          <w:rFonts w:ascii="Arial" w:hAnsi="Arial" w:cs="Arial"/>
          <w:szCs w:val="24"/>
        </w:rPr>
        <w:t>Baconton</w:t>
      </w:r>
      <w:proofErr w:type="spellEnd"/>
      <w:r w:rsidRPr="00E83E11">
        <w:rPr>
          <w:rFonts w:ascii="Arial" w:hAnsi="Arial" w:cs="Arial"/>
          <w:szCs w:val="24"/>
        </w:rPr>
        <w:t xml:space="preserve"> and Dahlberg will expire at the end of May 2014.  As a result Gulf has included in rate base </w:t>
      </w:r>
      <w:r w:rsidR="00CB1E66" w:rsidRPr="00E83E11">
        <w:rPr>
          <w:rFonts w:ascii="Arial" w:hAnsi="Arial" w:cs="Arial"/>
          <w:szCs w:val="24"/>
        </w:rPr>
        <w:t xml:space="preserve">the </w:t>
      </w:r>
      <w:r w:rsidR="006D6473" w:rsidRPr="00E83E11">
        <w:rPr>
          <w:rFonts w:ascii="Arial" w:hAnsi="Arial" w:cs="Arial"/>
          <w:szCs w:val="24"/>
        </w:rPr>
        <w:t xml:space="preserve">oil </w:t>
      </w:r>
      <w:r w:rsidR="008C0A44" w:rsidRPr="00E83E11">
        <w:rPr>
          <w:rFonts w:ascii="Arial" w:hAnsi="Arial" w:cs="Arial"/>
          <w:szCs w:val="24"/>
        </w:rPr>
        <w:t>inventory for these two facilities</w:t>
      </w:r>
      <w:r w:rsidRPr="00E83E11">
        <w:rPr>
          <w:rFonts w:ascii="Arial" w:hAnsi="Arial" w:cs="Arial"/>
          <w:szCs w:val="24"/>
        </w:rPr>
        <w:t xml:space="preserve"> </w:t>
      </w:r>
      <w:r w:rsidR="000F564D" w:rsidRPr="00E83E11">
        <w:rPr>
          <w:rFonts w:ascii="Arial" w:hAnsi="Arial" w:cs="Arial"/>
          <w:szCs w:val="24"/>
        </w:rPr>
        <w:t xml:space="preserve">only </w:t>
      </w:r>
      <w:r w:rsidRPr="00E83E11">
        <w:rPr>
          <w:rFonts w:ascii="Arial" w:hAnsi="Arial" w:cs="Arial"/>
          <w:szCs w:val="24"/>
        </w:rPr>
        <w:t>for the months through May 2014.</w:t>
      </w:r>
    </w:p>
    <w:p w:rsidR="00FB237B" w:rsidRPr="00E83E11" w:rsidRDefault="00FB237B">
      <w:pPr>
        <w:pStyle w:val="ListParagraph"/>
        <w:numPr>
          <w:ilvl w:val="0"/>
          <w:numId w:val="5"/>
        </w:numPr>
        <w:spacing w:line="480" w:lineRule="atLeast"/>
        <w:rPr>
          <w:rFonts w:ascii="Arial" w:hAnsi="Arial" w:cs="Arial"/>
          <w:szCs w:val="24"/>
        </w:rPr>
      </w:pPr>
      <w:r w:rsidRPr="00E83E11">
        <w:rPr>
          <w:rFonts w:ascii="Arial" w:hAnsi="Arial" w:cs="Arial"/>
          <w:szCs w:val="24"/>
        </w:rPr>
        <w:t>The Commission-</w:t>
      </w:r>
      <w:r w:rsidR="007B6F36" w:rsidRPr="00E83E11">
        <w:rPr>
          <w:rFonts w:ascii="Arial" w:hAnsi="Arial" w:cs="Arial"/>
          <w:szCs w:val="24"/>
        </w:rPr>
        <w:t xml:space="preserve">approved </w:t>
      </w:r>
      <w:r w:rsidRPr="00E83E11">
        <w:rPr>
          <w:rFonts w:ascii="Arial" w:hAnsi="Arial" w:cs="Arial"/>
          <w:szCs w:val="24"/>
        </w:rPr>
        <w:t xml:space="preserve">PPA with Bay County will expire in July 2014. </w:t>
      </w:r>
      <w:r w:rsidR="00CB1E66" w:rsidRPr="00E83E11">
        <w:rPr>
          <w:rFonts w:ascii="Arial" w:hAnsi="Arial" w:cs="Arial"/>
          <w:szCs w:val="24"/>
        </w:rPr>
        <w:t xml:space="preserve">There </w:t>
      </w:r>
      <w:r w:rsidR="006B57F1" w:rsidRPr="00E83E11">
        <w:rPr>
          <w:rFonts w:ascii="Arial" w:hAnsi="Arial" w:cs="Arial"/>
          <w:szCs w:val="24"/>
        </w:rPr>
        <w:t xml:space="preserve">will be </w:t>
      </w:r>
      <w:r w:rsidR="00CB1E66" w:rsidRPr="00E83E11">
        <w:rPr>
          <w:rFonts w:ascii="Arial" w:hAnsi="Arial" w:cs="Arial"/>
          <w:szCs w:val="24"/>
        </w:rPr>
        <w:t>no base rate impact because all costs are being recovered through the fuel and purchase power cost recovery.</w:t>
      </w:r>
      <w:r w:rsidRPr="00E83E11">
        <w:rPr>
          <w:rFonts w:ascii="Arial" w:hAnsi="Arial" w:cs="Arial"/>
          <w:szCs w:val="24"/>
        </w:rPr>
        <w:t xml:space="preserve"> </w:t>
      </w:r>
    </w:p>
    <w:p w:rsidR="006B57F1" w:rsidRPr="00E83E11" w:rsidRDefault="006B57F1">
      <w:pPr>
        <w:spacing w:line="480" w:lineRule="atLeast"/>
        <w:ind w:left="720"/>
        <w:rPr>
          <w:rFonts w:ascii="Arial" w:hAnsi="Arial" w:cs="Arial"/>
          <w:szCs w:val="24"/>
        </w:rPr>
      </w:pPr>
    </w:p>
    <w:p w:rsidR="00FA3464" w:rsidRPr="00E83E11" w:rsidRDefault="000F564D">
      <w:pPr>
        <w:widowControl w:val="0"/>
        <w:spacing w:line="480" w:lineRule="atLeast"/>
        <w:ind w:left="720"/>
        <w:rPr>
          <w:rFonts w:ascii="Arial" w:hAnsi="Arial" w:cs="Arial"/>
          <w:szCs w:val="24"/>
        </w:rPr>
      </w:pPr>
      <w:r w:rsidRPr="00E83E11">
        <w:rPr>
          <w:rFonts w:ascii="Arial" w:hAnsi="Arial" w:cs="Arial"/>
          <w:szCs w:val="24"/>
        </w:rPr>
        <w:t>While it will happen after the 2014 test year, Gulf will be removing from serv</w:t>
      </w:r>
      <w:r w:rsidR="00556882" w:rsidRPr="00E83E11">
        <w:rPr>
          <w:rFonts w:ascii="Arial" w:hAnsi="Arial" w:cs="Arial"/>
          <w:szCs w:val="24"/>
        </w:rPr>
        <w:t>ice two coal units at Plant Sch</w:t>
      </w:r>
      <w:r w:rsidRPr="00E83E11">
        <w:rPr>
          <w:rFonts w:ascii="Arial" w:hAnsi="Arial" w:cs="Arial"/>
          <w:szCs w:val="24"/>
        </w:rPr>
        <w:t xml:space="preserve">olz </w:t>
      </w:r>
      <w:r w:rsidR="006C137A">
        <w:rPr>
          <w:rFonts w:ascii="Arial" w:hAnsi="Arial" w:cs="Arial"/>
          <w:szCs w:val="24"/>
        </w:rPr>
        <w:t>in April</w:t>
      </w:r>
      <w:r w:rsidRPr="00E83E11">
        <w:rPr>
          <w:rFonts w:ascii="Arial" w:hAnsi="Arial" w:cs="Arial"/>
          <w:szCs w:val="24"/>
        </w:rPr>
        <w:t xml:space="preserve"> 2015.  That decision was made due to environmental compliance issues and the associated costs that would have to be incurred if these units were to continue to operate </w:t>
      </w:r>
      <w:r w:rsidR="00556882" w:rsidRPr="00E83E11">
        <w:rPr>
          <w:rFonts w:ascii="Arial" w:hAnsi="Arial" w:cs="Arial"/>
          <w:szCs w:val="24"/>
        </w:rPr>
        <w:t>in April 2015 and beyond.  Mr. G</w:t>
      </w:r>
      <w:r w:rsidR="00E605B8" w:rsidRPr="00E83E11">
        <w:rPr>
          <w:rFonts w:ascii="Arial" w:hAnsi="Arial" w:cs="Arial"/>
          <w:szCs w:val="24"/>
        </w:rPr>
        <w:t>rove has reduced</w:t>
      </w:r>
      <w:r w:rsidRPr="00E83E11">
        <w:rPr>
          <w:rFonts w:ascii="Arial" w:hAnsi="Arial" w:cs="Arial"/>
          <w:szCs w:val="24"/>
        </w:rPr>
        <w:t xml:space="preserve"> forecasted O&amp;M expenses for the Scholz</w:t>
      </w:r>
      <w:r w:rsidR="00D217D6" w:rsidRPr="00E83E11">
        <w:rPr>
          <w:rFonts w:ascii="Arial" w:hAnsi="Arial" w:cs="Arial"/>
          <w:szCs w:val="24"/>
        </w:rPr>
        <w:t xml:space="preserve"> units in his projection of 2013</w:t>
      </w:r>
      <w:r w:rsidRPr="00E83E11">
        <w:rPr>
          <w:rFonts w:ascii="Arial" w:hAnsi="Arial" w:cs="Arial"/>
          <w:szCs w:val="24"/>
        </w:rPr>
        <w:t xml:space="preserve">-2017 </w:t>
      </w:r>
      <w:r w:rsidR="002037B5" w:rsidRPr="00E83E11">
        <w:rPr>
          <w:rFonts w:ascii="Arial" w:hAnsi="Arial" w:cs="Arial"/>
          <w:szCs w:val="24"/>
        </w:rPr>
        <w:t>P</w:t>
      </w:r>
      <w:r w:rsidRPr="00E83E11">
        <w:rPr>
          <w:rFonts w:ascii="Arial" w:hAnsi="Arial" w:cs="Arial"/>
          <w:szCs w:val="24"/>
        </w:rPr>
        <w:t>roduction O&amp;M expenses to recognize the retirement of these two</w:t>
      </w:r>
      <w:r w:rsidR="003E7C6D">
        <w:rPr>
          <w:rFonts w:ascii="Arial" w:hAnsi="Arial" w:cs="Arial"/>
          <w:szCs w:val="24"/>
        </w:rPr>
        <w:t xml:space="preserve"> </w:t>
      </w:r>
      <w:r w:rsidR="00FA3464" w:rsidRPr="00E83E11">
        <w:rPr>
          <w:rFonts w:ascii="Arial" w:hAnsi="Arial" w:cs="Arial"/>
          <w:szCs w:val="24"/>
        </w:rPr>
        <w:t>coal units.</w:t>
      </w:r>
    </w:p>
    <w:p w:rsidR="0086535E" w:rsidRDefault="0086535E">
      <w:pPr>
        <w:widowControl w:val="0"/>
        <w:spacing w:line="480" w:lineRule="atLeast"/>
        <w:ind w:left="720"/>
        <w:rPr>
          <w:rFonts w:ascii="Arial" w:hAnsi="Arial" w:cs="Arial"/>
          <w:szCs w:val="24"/>
        </w:rPr>
      </w:pPr>
    </w:p>
    <w:p w:rsidR="000F7614" w:rsidRDefault="000F7614">
      <w:pPr>
        <w:widowControl w:val="0"/>
        <w:spacing w:line="480" w:lineRule="atLeast"/>
        <w:ind w:left="720"/>
        <w:rPr>
          <w:rFonts w:ascii="Arial" w:hAnsi="Arial" w:cs="Arial"/>
          <w:szCs w:val="24"/>
        </w:rPr>
      </w:pPr>
    </w:p>
    <w:p w:rsidR="00C12EF8" w:rsidRDefault="00C12EF8">
      <w:pPr>
        <w:widowControl w:val="0"/>
        <w:spacing w:line="480" w:lineRule="atLeast"/>
        <w:ind w:left="720"/>
        <w:rPr>
          <w:rFonts w:ascii="Arial" w:hAnsi="Arial" w:cs="Arial"/>
          <w:szCs w:val="24"/>
        </w:rPr>
      </w:pPr>
    </w:p>
    <w:p w:rsidR="003E7C6D" w:rsidRPr="00C12EF8" w:rsidRDefault="003E7C6D">
      <w:pPr>
        <w:widowControl w:val="0"/>
        <w:spacing w:line="480" w:lineRule="atLeast"/>
        <w:ind w:left="720"/>
        <w:rPr>
          <w:rFonts w:ascii="Arial" w:hAnsi="Arial" w:cs="Arial"/>
          <w:szCs w:val="24"/>
        </w:rPr>
      </w:pPr>
    </w:p>
    <w:p w:rsidR="00310EED" w:rsidRPr="00E83E11" w:rsidRDefault="00310EED">
      <w:pPr>
        <w:widowControl w:val="0"/>
        <w:spacing w:line="480" w:lineRule="atLeast"/>
        <w:jc w:val="center"/>
        <w:rPr>
          <w:rFonts w:ascii="Arial" w:hAnsi="Arial" w:cs="Arial"/>
          <w:b/>
          <w:szCs w:val="24"/>
        </w:rPr>
      </w:pPr>
      <w:r w:rsidRPr="00E83E11">
        <w:rPr>
          <w:rFonts w:ascii="Arial" w:hAnsi="Arial" w:cs="Arial"/>
          <w:b/>
          <w:szCs w:val="24"/>
        </w:rPr>
        <w:t>II. GULF’S PLANT PERFORMANCE</w:t>
      </w:r>
    </w:p>
    <w:p w:rsidR="00310EED" w:rsidRPr="00E83E11" w:rsidRDefault="00310EED">
      <w:pPr>
        <w:spacing w:line="480" w:lineRule="atLeast"/>
        <w:ind w:left="720" w:hanging="720"/>
        <w:rPr>
          <w:rFonts w:ascii="Arial" w:hAnsi="Arial" w:cs="Arial"/>
          <w:szCs w:val="24"/>
        </w:rPr>
      </w:pPr>
    </w:p>
    <w:p w:rsidR="00276C98"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address the per</w:t>
      </w:r>
      <w:r w:rsidR="00276C98" w:rsidRPr="00E83E11">
        <w:rPr>
          <w:rFonts w:ascii="Arial" w:hAnsi="Arial" w:cs="Arial"/>
          <w:szCs w:val="24"/>
        </w:rPr>
        <w:t>formance of Gulf’s power plants.</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Gulf uses a number of indicators to measure the performance of its units/plants.  They include Equivalent Availability Factor (EAF), heat rate, Equivalent Forced Outage Rate (EFOR) (both annual and peak season), and OSHA recordable incidents.  Both EAF and heat rate are tracked in the Commission’s Generation Performance Incentive Factor (GPIF) program.  Gulf considers heat rate and EFOR to be the primary indicators of efficiency and reliability, respectively, and uses them to evaluate the effectiveness of our planned outage and maintenance programs.</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does EFOR measure?</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EFOR measures a generating unit’s inability to provide electricity when dispatched and is the primary tool used by Gulf to track unit reliability.  EFOR is reported in terms of the hours when a generating unit could not deliver electricity as a percentage of all the hours during which that unit was called upon to deliver electricity.  </w:t>
      </w:r>
    </w:p>
    <w:p w:rsidR="00AC18A6" w:rsidRPr="00E83E11" w:rsidRDefault="00AC18A6">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economic dispatch?</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Economic dispatch is the process of dispatching units based on cost. Gulf has units committed and on line to serve existing load in addition to spinning reserves.  The spinning reserves are units that are on line (running at less than full load) to support the loss of another unit in the event a unit is forced off line.  Spinning reserves are a critical part of ensuring the reliability of the system.  As customer demands increase, Gulf commits additional resources to serve those demands using the most economical units first.  As customer demands decrease, Gulf takes the highest cost units off line first.  Economic dispatch is designed to ensure the customers receive the benefits of the </w:t>
      </w:r>
      <w:r w:rsidR="004B269E" w:rsidRPr="00E83E11">
        <w:rPr>
          <w:rFonts w:ascii="Arial" w:hAnsi="Arial" w:cs="Arial"/>
          <w:szCs w:val="24"/>
        </w:rPr>
        <w:t>most economic</w:t>
      </w:r>
      <w:r w:rsidRPr="00E83E11">
        <w:rPr>
          <w:rFonts w:ascii="Arial" w:hAnsi="Arial" w:cs="Arial"/>
          <w:szCs w:val="24"/>
        </w:rPr>
        <w:t xml:space="preserve"> units, that is, the units with the lowest incremental operating costs.</w:t>
      </w:r>
    </w:p>
    <w:p w:rsidR="004B269E" w:rsidRPr="00E83E11" w:rsidRDefault="004B269E">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Why is it important to ensure units are available for economic dispatch?</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By dispatching the least-cost units first, Gulf ensures our customers receive the lowest cost resources.  This is why it is critical to maintain a low EFOR, particularly in the peak months.  Whenever a more economical unit is forced off line, the replacement energy will likely be more expensive, and this may impact our customers through higher fuel costs. </w:t>
      </w:r>
    </w:p>
    <w:p w:rsidR="00AF20FC" w:rsidRPr="00E83E11" w:rsidRDefault="00AF20FC">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EFOR measures does Gulf track, and why?</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tracks both Annual EFOR and Peak Season EFOR. Plant performance goals are set around Peak Season EFOR. </w:t>
      </w:r>
      <w:r w:rsidR="000C56E8" w:rsidRPr="00E83E11">
        <w:rPr>
          <w:rFonts w:ascii="Arial" w:hAnsi="Arial" w:cs="Arial"/>
          <w:szCs w:val="24"/>
        </w:rPr>
        <w:t>Gulf has historically tracked Peak Season</w:t>
      </w:r>
      <w:r w:rsidRPr="00E83E11">
        <w:rPr>
          <w:rFonts w:ascii="Arial" w:hAnsi="Arial" w:cs="Arial"/>
          <w:szCs w:val="24"/>
        </w:rPr>
        <w:t xml:space="preserve"> </w:t>
      </w:r>
      <w:r w:rsidR="000C56E8" w:rsidRPr="00E83E11">
        <w:rPr>
          <w:rFonts w:ascii="Arial" w:hAnsi="Arial" w:cs="Arial"/>
          <w:szCs w:val="24"/>
        </w:rPr>
        <w:t>a</w:t>
      </w:r>
      <w:r w:rsidRPr="00E83E11">
        <w:rPr>
          <w:rFonts w:ascii="Arial" w:hAnsi="Arial" w:cs="Arial"/>
          <w:szCs w:val="24"/>
        </w:rPr>
        <w:t xml:space="preserve">s the period from May 1 through September 30 each year when </w:t>
      </w:r>
      <w:r w:rsidR="000C56E8" w:rsidRPr="00E83E11">
        <w:rPr>
          <w:rFonts w:ascii="Arial" w:hAnsi="Arial" w:cs="Arial"/>
          <w:szCs w:val="24"/>
        </w:rPr>
        <w:t xml:space="preserve">typically </w:t>
      </w:r>
      <w:r w:rsidRPr="00E83E11">
        <w:rPr>
          <w:rFonts w:ascii="Arial" w:hAnsi="Arial" w:cs="Arial"/>
          <w:szCs w:val="24"/>
        </w:rPr>
        <w:t xml:space="preserve">the demand for electricity </w:t>
      </w:r>
      <w:r w:rsidR="000C56E8" w:rsidRPr="00E83E11">
        <w:rPr>
          <w:rFonts w:ascii="Arial" w:hAnsi="Arial" w:cs="Arial"/>
          <w:szCs w:val="24"/>
        </w:rPr>
        <w:t>ha</w:t>
      </w:r>
      <w:r w:rsidRPr="00E83E11">
        <w:rPr>
          <w:rFonts w:ascii="Arial" w:hAnsi="Arial" w:cs="Arial"/>
          <w:szCs w:val="24"/>
        </w:rPr>
        <w:t>s</w:t>
      </w:r>
      <w:r w:rsidR="000C56E8" w:rsidRPr="00E83E11">
        <w:rPr>
          <w:rFonts w:ascii="Arial" w:hAnsi="Arial" w:cs="Arial"/>
          <w:szCs w:val="24"/>
        </w:rPr>
        <w:t xml:space="preserve"> </w:t>
      </w:r>
      <w:r w:rsidR="00E87586" w:rsidRPr="00E83E11">
        <w:rPr>
          <w:rFonts w:ascii="Arial" w:hAnsi="Arial" w:cs="Arial"/>
          <w:szCs w:val="24"/>
        </w:rPr>
        <w:t>been the</w:t>
      </w:r>
      <w:r w:rsidRPr="00E83E11">
        <w:rPr>
          <w:rFonts w:ascii="Arial" w:hAnsi="Arial" w:cs="Arial"/>
          <w:szCs w:val="24"/>
        </w:rPr>
        <w:t xml:space="preserve"> highest.</w:t>
      </w:r>
    </w:p>
    <w:p w:rsidR="00AC18A6" w:rsidRPr="00E83E11" w:rsidRDefault="00AC18A6">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a heat rate?</w:t>
      </w:r>
    </w:p>
    <w:p w:rsidR="00310EED" w:rsidRPr="00E83E11" w:rsidRDefault="00310EED" w:rsidP="00134113">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Heat rate is a measure of a unit’s </w:t>
      </w:r>
      <w:r w:rsidR="0058687D" w:rsidRPr="00E83E11">
        <w:rPr>
          <w:rFonts w:ascii="Arial" w:hAnsi="Arial" w:cs="Arial"/>
          <w:szCs w:val="24"/>
        </w:rPr>
        <w:t>efficiency in</w:t>
      </w:r>
      <w:r w:rsidRPr="00E83E11">
        <w:rPr>
          <w:rFonts w:ascii="Arial" w:hAnsi="Arial" w:cs="Arial"/>
          <w:szCs w:val="24"/>
        </w:rPr>
        <w:t xml:space="preserve"> convert</w:t>
      </w:r>
      <w:r w:rsidR="0058687D" w:rsidRPr="00E83E11">
        <w:rPr>
          <w:rFonts w:ascii="Arial" w:hAnsi="Arial" w:cs="Arial"/>
          <w:szCs w:val="24"/>
        </w:rPr>
        <w:t>ing</w:t>
      </w:r>
      <w:r w:rsidRPr="00E83E11">
        <w:rPr>
          <w:rFonts w:ascii="Arial" w:hAnsi="Arial" w:cs="Arial"/>
          <w:szCs w:val="24"/>
        </w:rPr>
        <w:t xml:space="preserve"> fuel to e</w:t>
      </w:r>
      <w:r w:rsidR="000C56E8" w:rsidRPr="00E83E11">
        <w:rPr>
          <w:rFonts w:ascii="Arial" w:hAnsi="Arial" w:cs="Arial"/>
          <w:szCs w:val="24"/>
        </w:rPr>
        <w:t>lectricity</w:t>
      </w:r>
      <w:r w:rsidRPr="00E83E11">
        <w:rPr>
          <w:rFonts w:ascii="Arial" w:hAnsi="Arial" w:cs="Arial"/>
          <w:szCs w:val="24"/>
        </w:rPr>
        <w:t>.  It is a measure of the amount of fuel required to generate a kilowatt hour</w:t>
      </w:r>
      <w:r w:rsidR="000F7614">
        <w:rPr>
          <w:rFonts w:ascii="Arial" w:hAnsi="Arial" w:cs="Arial"/>
          <w:szCs w:val="24"/>
        </w:rPr>
        <w:t xml:space="preserve"> </w:t>
      </w:r>
      <w:r w:rsidRPr="00C12EF8">
        <w:rPr>
          <w:rFonts w:ascii="Arial" w:hAnsi="Arial" w:cs="Arial"/>
          <w:szCs w:val="24"/>
        </w:rPr>
        <w:t>(kWh</w:t>
      </w:r>
      <w:r w:rsidRPr="00E83E11">
        <w:rPr>
          <w:rFonts w:ascii="Arial" w:hAnsi="Arial" w:cs="Arial"/>
          <w:szCs w:val="24"/>
        </w:rPr>
        <w:t xml:space="preserve">).  The lower a unit’s heat rate, the more efficiently it converts fuel to </w:t>
      </w:r>
      <w:r w:rsidR="00E87586" w:rsidRPr="00E83E11">
        <w:rPr>
          <w:rFonts w:ascii="Arial" w:hAnsi="Arial" w:cs="Arial"/>
          <w:szCs w:val="24"/>
        </w:rPr>
        <w:t>electricity</w:t>
      </w:r>
      <w:r w:rsidRPr="00E83E11">
        <w:rPr>
          <w:rFonts w:ascii="Arial" w:hAnsi="Arial" w:cs="Arial"/>
          <w:szCs w:val="24"/>
        </w:rPr>
        <w:t>.</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Please </w:t>
      </w:r>
      <w:proofErr w:type="gramStart"/>
      <w:r w:rsidRPr="00E83E11">
        <w:rPr>
          <w:rFonts w:ascii="Arial" w:hAnsi="Arial" w:cs="Arial"/>
          <w:szCs w:val="24"/>
        </w:rPr>
        <w:t>address</w:t>
      </w:r>
      <w:proofErr w:type="gramEnd"/>
      <w:r w:rsidRPr="00E83E11">
        <w:rPr>
          <w:rFonts w:ascii="Arial" w:hAnsi="Arial" w:cs="Arial"/>
          <w:szCs w:val="24"/>
        </w:rPr>
        <w:t xml:space="preserve"> why EFOR and heat rate performance are important to customers.</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EFOR is a measure of a unit’s reliability.  A low EFOR ensures that the lowest cost units are producing electricity when called upon to meet the demands of customers.  Also, maintaining a low EFOR ensures that units are available to make wholesale power sales when opportunities arise. This results in a reduced fuel cost to our retail customers since </w:t>
      </w:r>
      <w:r w:rsidR="000C56E8" w:rsidRPr="00E83E11">
        <w:rPr>
          <w:rFonts w:ascii="Arial" w:hAnsi="Arial" w:cs="Arial"/>
          <w:szCs w:val="24"/>
        </w:rPr>
        <w:t>most</w:t>
      </w:r>
      <w:r w:rsidRPr="00E83E11">
        <w:rPr>
          <w:rFonts w:ascii="Arial" w:hAnsi="Arial" w:cs="Arial"/>
          <w:szCs w:val="24"/>
        </w:rPr>
        <w:t xml:space="preserve"> of the gain from these sales is applied as a credit to fuel expense.  As discussed earlier in my testimony, heat rate is an efficiency measure.  The lower the heat rate, the less fuel consumed to generate electricity. </w:t>
      </w:r>
      <w:r w:rsidR="00AC18A6" w:rsidRPr="00E83E11">
        <w:rPr>
          <w:rFonts w:ascii="Arial" w:hAnsi="Arial" w:cs="Arial"/>
          <w:szCs w:val="24"/>
        </w:rPr>
        <w:t>The customer benefits by paying less in fuel costs and having lesser</w:t>
      </w:r>
      <w:r w:rsidR="00D809AD" w:rsidRPr="00E83E11">
        <w:rPr>
          <w:rFonts w:ascii="Arial" w:hAnsi="Arial" w:cs="Arial"/>
          <w:szCs w:val="24"/>
        </w:rPr>
        <w:t xml:space="preserve"> </w:t>
      </w:r>
      <w:r w:rsidR="00B56B37" w:rsidRPr="00E83E11">
        <w:rPr>
          <w:rFonts w:ascii="Arial" w:hAnsi="Arial" w:cs="Arial"/>
          <w:szCs w:val="24"/>
        </w:rPr>
        <w:t xml:space="preserve">amounts of </w:t>
      </w:r>
      <w:r w:rsidR="00DE30A1" w:rsidRPr="00E83E11">
        <w:rPr>
          <w:rFonts w:ascii="Arial" w:hAnsi="Arial" w:cs="Arial"/>
          <w:szCs w:val="24"/>
        </w:rPr>
        <w:t>fuel required in inventory.</w:t>
      </w:r>
    </w:p>
    <w:p w:rsidR="008E4F32" w:rsidRPr="00E83E11" w:rsidRDefault="008E4F32">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are the Annual and Peak Season EFOR for Gulf’s generating units?</w:t>
      </w:r>
    </w:p>
    <w:p w:rsidR="00310EED" w:rsidRPr="00E83E11" w:rsidRDefault="00276C98">
      <w:pPr>
        <w:spacing w:line="480" w:lineRule="atLeast"/>
        <w:ind w:left="720" w:hanging="720"/>
        <w:rPr>
          <w:rFonts w:ascii="Arial" w:hAnsi="Arial" w:cs="Arial"/>
          <w:szCs w:val="24"/>
        </w:rPr>
      </w:pPr>
      <w:r w:rsidRPr="00E83E11">
        <w:rPr>
          <w:rFonts w:ascii="Arial" w:hAnsi="Arial" w:cs="Arial"/>
          <w:szCs w:val="24"/>
        </w:rPr>
        <w:t xml:space="preserve">A. </w:t>
      </w:r>
      <w:r w:rsidRPr="00E83E11">
        <w:rPr>
          <w:rFonts w:ascii="Arial" w:hAnsi="Arial" w:cs="Arial"/>
          <w:szCs w:val="24"/>
        </w:rPr>
        <w:tab/>
        <w:t>Exhibit MLB-1, Schedule 4</w:t>
      </w:r>
      <w:r w:rsidR="00310EED" w:rsidRPr="00E83E11">
        <w:rPr>
          <w:rFonts w:ascii="Arial" w:hAnsi="Arial" w:cs="Arial"/>
          <w:szCs w:val="24"/>
        </w:rPr>
        <w:t xml:space="preserve"> shows Gulf’s Annual and Peak Season EFOR. </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Gulf’s EFOR compare to others in the industry?</w:t>
      </w:r>
    </w:p>
    <w:p w:rsidR="00310EED" w:rsidRPr="00E83E11" w:rsidRDefault="00276C98" w:rsidP="00A56450">
      <w:pPr>
        <w:spacing w:line="480" w:lineRule="atLeast"/>
        <w:ind w:left="720" w:hanging="720"/>
        <w:rPr>
          <w:rFonts w:ascii="Arial" w:hAnsi="Arial" w:cs="Arial"/>
          <w:szCs w:val="24"/>
        </w:rPr>
      </w:pPr>
      <w:r w:rsidRPr="00E83E11">
        <w:rPr>
          <w:rFonts w:ascii="Arial" w:hAnsi="Arial" w:cs="Arial"/>
          <w:szCs w:val="24"/>
        </w:rPr>
        <w:t xml:space="preserve">A. </w:t>
      </w:r>
      <w:r w:rsidRPr="00E83E11">
        <w:rPr>
          <w:rFonts w:ascii="Arial" w:hAnsi="Arial" w:cs="Arial"/>
          <w:szCs w:val="24"/>
        </w:rPr>
        <w:tab/>
        <w:t>As shown on Schedule 4</w:t>
      </w:r>
      <w:r w:rsidR="00310EED" w:rsidRPr="00E83E11">
        <w:rPr>
          <w:rFonts w:ascii="Arial" w:hAnsi="Arial" w:cs="Arial"/>
          <w:szCs w:val="24"/>
        </w:rPr>
        <w:t xml:space="preserve">, Gulf’s Annual and Peak EFOR performances compare extremely favorably with peer utilities. </w:t>
      </w:r>
      <w:r w:rsidR="000C7A95" w:rsidRPr="00E83E11">
        <w:rPr>
          <w:rFonts w:ascii="Arial" w:hAnsi="Arial" w:cs="Arial"/>
          <w:szCs w:val="24"/>
        </w:rPr>
        <w:t xml:space="preserve"> </w:t>
      </w:r>
      <w:proofErr w:type="gramStart"/>
      <w:r w:rsidRPr="00E83E11">
        <w:rPr>
          <w:rFonts w:ascii="Arial" w:hAnsi="Arial" w:cs="Arial"/>
          <w:szCs w:val="24"/>
        </w:rPr>
        <w:t>Schedule 4</w:t>
      </w:r>
      <w:r w:rsidR="00310EED" w:rsidRPr="00E83E11">
        <w:rPr>
          <w:rFonts w:ascii="Arial" w:hAnsi="Arial" w:cs="Arial"/>
          <w:szCs w:val="24"/>
        </w:rPr>
        <w:t>,</w:t>
      </w:r>
      <w:r w:rsidR="00805EB4" w:rsidRPr="00E83E11">
        <w:rPr>
          <w:rFonts w:ascii="Arial" w:hAnsi="Arial" w:cs="Arial"/>
          <w:szCs w:val="24"/>
        </w:rPr>
        <w:t xml:space="preserve"> </w:t>
      </w:r>
      <w:r w:rsidR="00310EED" w:rsidRPr="00E83E11">
        <w:rPr>
          <w:rFonts w:ascii="Arial" w:hAnsi="Arial" w:cs="Arial"/>
          <w:szCs w:val="24"/>
        </w:rPr>
        <w:t>pages 1 and 2 show graphically how Gulf’s actual Annual and Peak Season EFOR compare to t</w:t>
      </w:r>
      <w:r w:rsidR="00B5433C" w:rsidRPr="00E83E11">
        <w:rPr>
          <w:rFonts w:ascii="Arial" w:hAnsi="Arial" w:cs="Arial"/>
          <w:szCs w:val="24"/>
        </w:rPr>
        <w:t>he peer group averages from 2002</w:t>
      </w:r>
      <w:r w:rsidR="00310EED" w:rsidRPr="00E83E11">
        <w:rPr>
          <w:rFonts w:ascii="Arial" w:hAnsi="Arial" w:cs="Arial"/>
          <w:szCs w:val="24"/>
        </w:rPr>
        <w:t xml:space="preserve"> through 2011.</w:t>
      </w:r>
      <w:proofErr w:type="gramEnd"/>
      <w:r w:rsidRPr="00E83E11">
        <w:rPr>
          <w:rFonts w:ascii="Arial" w:hAnsi="Arial" w:cs="Arial"/>
          <w:szCs w:val="24"/>
        </w:rPr>
        <w:t xml:space="preserve">  Schedule 4</w:t>
      </w:r>
      <w:r w:rsidR="00310EED" w:rsidRPr="00E83E11">
        <w:rPr>
          <w:rFonts w:ascii="Arial" w:hAnsi="Arial" w:cs="Arial"/>
          <w:szCs w:val="24"/>
        </w:rPr>
        <w:t>, pages 3 and 4 show where Gulf’s actual average performance for the same period compares to each of the pee</w:t>
      </w:r>
      <w:r w:rsidR="00805EB4" w:rsidRPr="00E83E11">
        <w:rPr>
          <w:rFonts w:ascii="Arial" w:hAnsi="Arial" w:cs="Arial"/>
          <w:szCs w:val="24"/>
        </w:rPr>
        <w:t xml:space="preserve">r utilities. </w:t>
      </w:r>
      <w:r w:rsidR="00430BA0">
        <w:rPr>
          <w:rFonts w:ascii="Arial" w:hAnsi="Arial" w:cs="Arial"/>
          <w:szCs w:val="24"/>
        </w:rPr>
        <w:t xml:space="preserve"> </w:t>
      </w:r>
      <w:r w:rsidR="00430BA0" w:rsidRPr="00430BA0">
        <w:rPr>
          <w:rFonts w:ascii="Arial" w:hAnsi="Arial" w:cs="Arial"/>
          <w:szCs w:val="24"/>
        </w:rPr>
        <w:t>While 2012 data for the peer industry group is not yet available, Gulf achieved, and customers benefited from, record-setting EFOR rates in 2012, as shown on Schedule 4 pages 1 and 2.</w:t>
      </w:r>
      <w:r w:rsidR="00430BA0">
        <w:rPr>
          <w:rFonts w:ascii="Arial" w:hAnsi="Arial" w:cs="Arial"/>
          <w:szCs w:val="24"/>
        </w:rPr>
        <w:t xml:space="preserve"> </w:t>
      </w:r>
      <w:r w:rsidR="00805EB4" w:rsidRPr="00E83E11">
        <w:rPr>
          <w:rFonts w:ascii="Arial" w:hAnsi="Arial" w:cs="Arial"/>
          <w:szCs w:val="24"/>
        </w:rPr>
        <w:t xml:space="preserve"> </w:t>
      </w:r>
      <w:r w:rsidR="00310EED" w:rsidRPr="00E83E11">
        <w:rPr>
          <w:rFonts w:ascii="Arial" w:hAnsi="Arial" w:cs="Arial"/>
          <w:szCs w:val="24"/>
        </w:rPr>
        <w:t>Gulf’s results are exceptional, despite three major hurricane events that impacted our plants.  Gulf’s</w:t>
      </w:r>
      <w:r w:rsidR="00525617">
        <w:rPr>
          <w:rFonts w:ascii="Arial" w:hAnsi="Arial" w:cs="Arial"/>
          <w:szCs w:val="24"/>
        </w:rPr>
        <w:t xml:space="preserve"> </w:t>
      </w:r>
      <w:r w:rsidR="00310EED" w:rsidRPr="00E83E11">
        <w:rPr>
          <w:rFonts w:ascii="Arial" w:hAnsi="Arial" w:cs="Arial"/>
          <w:szCs w:val="24"/>
        </w:rPr>
        <w:t xml:space="preserve">excellent performance is indicative of </w:t>
      </w:r>
      <w:r w:rsidR="00863625" w:rsidRPr="00E83E11">
        <w:rPr>
          <w:rFonts w:ascii="Arial" w:hAnsi="Arial" w:cs="Arial"/>
          <w:szCs w:val="24"/>
        </w:rPr>
        <w:t>Gulf’s</w:t>
      </w:r>
      <w:r w:rsidR="00310EED" w:rsidRPr="00E83E11">
        <w:rPr>
          <w:rFonts w:ascii="Arial" w:hAnsi="Arial" w:cs="Arial"/>
          <w:szCs w:val="24"/>
        </w:rPr>
        <w:t xml:space="preserve"> </w:t>
      </w:r>
      <w:r w:rsidR="00863625" w:rsidRPr="00E83E11">
        <w:rPr>
          <w:rFonts w:ascii="Arial" w:hAnsi="Arial" w:cs="Arial"/>
          <w:szCs w:val="24"/>
        </w:rPr>
        <w:t xml:space="preserve">management and employees’ </w:t>
      </w:r>
      <w:r w:rsidR="000C7A95" w:rsidRPr="00E83E11">
        <w:rPr>
          <w:rFonts w:ascii="Arial" w:hAnsi="Arial" w:cs="Arial"/>
          <w:szCs w:val="24"/>
        </w:rPr>
        <w:t>commitment</w:t>
      </w:r>
      <w:r w:rsidR="00863625" w:rsidRPr="00E83E11">
        <w:rPr>
          <w:rFonts w:ascii="Arial" w:hAnsi="Arial" w:cs="Arial"/>
          <w:szCs w:val="24"/>
        </w:rPr>
        <w:t xml:space="preserve"> in </w:t>
      </w:r>
      <w:r w:rsidR="00310EED" w:rsidRPr="00E83E11">
        <w:rPr>
          <w:rFonts w:ascii="Arial" w:hAnsi="Arial" w:cs="Arial"/>
          <w:szCs w:val="24"/>
        </w:rPr>
        <w:t>serving our customers.</w:t>
      </w:r>
    </w:p>
    <w:p w:rsidR="00310EED" w:rsidRPr="00E83E11" w:rsidRDefault="00310EED" w:rsidP="00C12EF8">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the source of the data Gulf has used to compare its EFOR performance to that of other utilities?</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obtained Annual and Peak Season EFOR data from the North American Electric Reliability Corporation (NERC).  </w:t>
      </w:r>
      <w:r w:rsidR="004B269E" w:rsidRPr="00E83E11">
        <w:rPr>
          <w:rFonts w:ascii="Arial" w:hAnsi="Arial" w:cs="Arial"/>
          <w:szCs w:val="24"/>
        </w:rPr>
        <w:t>This was</w:t>
      </w:r>
      <w:r w:rsidR="00B5433C" w:rsidRPr="00E83E11">
        <w:rPr>
          <w:rFonts w:ascii="Arial" w:hAnsi="Arial" w:cs="Arial"/>
          <w:szCs w:val="24"/>
        </w:rPr>
        <w:t xml:space="preserve"> the most current available data at the time this testimony was drafted.</w:t>
      </w:r>
    </w:p>
    <w:p w:rsidR="00310EED" w:rsidRPr="00E83E11" w:rsidRDefault="00310EED">
      <w:pPr>
        <w:spacing w:line="480" w:lineRule="atLeast"/>
        <w:rPr>
          <w:rFonts w:ascii="Arial" w:hAnsi="Arial" w:cs="Arial"/>
          <w:szCs w:val="24"/>
        </w:rPr>
      </w:pPr>
    </w:p>
    <w:p w:rsidR="00D809AD" w:rsidRPr="00E83E11" w:rsidRDefault="00D809AD">
      <w:pPr>
        <w:spacing w:line="480" w:lineRule="atLeast"/>
        <w:rPr>
          <w:rFonts w:ascii="Arial" w:hAnsi="Arial" w:cs="Arial"/>
          <w:szCs w:val="24"/>
        </w:rPr>
      </w:pPr>
    </w:p>
    <w:p w:rsidR="00310EED" w:rsidRPr="00E83E11" w:rsidRDefault="000C56E8">
      <w:pPr>
        <w:spacing w:line="480" w:lineRule="atLeast"/>
        <w:jc w:val="center"/>
        <w:rPr>
          <w:rFonts w:ascii="Arial" w:hAnsi="Arial" w:cs="Arial"/>
          <w:b/>
          <w:szCs w:val="24"/>
        </w:rPr>
      </w:pPr>
      <w:r w:rsidRPr="00E83E11">
        <w:rPr>
          <w:rFonts w:ascii="Arial" w:hAnsi="Arial" w:cs="Arial"/>
          <w:b/>
          <w:szCs w:val="24"/>
        </w:rPr>
        <w:t>II</w:t>
      </w:r>
      <w:r w:rsidR="00310EED" w:rsidRPr="00E83E11">
        <w:rPr>
          <w:rFonts w:ascii="Arial" w:hAnsi="Arial" w:cs="Arial"/>
          <w:b/>
          <w:szCs w:val="24"/>
        </w:rPr>
        <w:t>I. GULF’S 2014 FUEL INVENTORY</w:t>
      </w:r>
    </w:p>
    <w:p w:rsidR="00310EED" w:rsidRPr="00E83E11" w:rsidRDefault="00310EED">
      <w:pPr>
        <w:spacing w:line="480" w:lineRule="atLeast"/>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amount is Gulf requesting for total fuel inventory, including fuel stock and in-transit fuel?</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Gulf is requesting a</w:t>
      </w:r>
      <w:r w:rsidR="00556606" w:rsidRPr="00E83E11">
        <w:rPr>
          <w:rFonts w:ascii="Arial" w:hAnsi="Arial" w:cs="Arial"/>
          <w:szCs w:val="24"/>
        </w:rPr>
        <w:t xml:space="preserve"> total fuel inventory of $96,026</w:t>
      </w:r>
      <w:r w:rsidRPr="00E83E11">
        <w:rPr>
          <w:rFonts w:ascii="Arial" w:hAnsi="Arial" w:cs="Arial"/>
          <w:szCs w:val="24"/>
        </w:rPr>
        <w:t>,000 to be included in its 2014 r</w:t>
      </w:r>
      <w:r w:rsidR="0005359C" w:rsidRPr="00E83E11">
        <w:rPr>
          <w:rFonts w:ascii="Arial" w:hAnsi="Arial" w:cs="Arial"/>
          <w:szCs w:val="24"/>
        </w:rPr>
        <w:t>ate base.  This includes $85,217</w:t>
      </w:r>
      <w:r w:rsidRPr="00E83E11">
        <w:rPr>
          <w:rFonts w:ascii="Arial" w:hAnsi="Arial" w:cs="Arial"/>
          <w:szCs w:val="24"/>
        </w:rPr>
        <w:t>,000 for fuel stock and $10,809,000 for in-transit fuel. The request exceeds the amount allowed in the last rate case by $</w:t>
      </w:r>
      <w:r w:rsidR="00EA625B" w:rsidRPr="00E83E11">
        <w:rPr>
          <w:rFonts w:ascii="Arial" w:hAnsi="Arial" w:cs="Arial"/>
          <w:szCs w:val="24"/>
        </w:rPr>
        <w:t>10,031,000</w:t>
      </w:r>
      <w:r w:rsidRPr="00E83E11">
        <w:rPr>
          <w:rFonts w:ascii="Arial" w:hAnsi="Arial" w:cs="Arial"/>
          <w:szCs w:val="24"/>
        </w:rPr>
        <w:t>.</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explain the reason for the requested increase in fuel inventory working capital.</w:t>
      </w:r>
    </w:p>
    <w:p w:rsidR="0086535E"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The increase in the amount requested in this case is primarily due to a higher projected market price for coal being delivered to Gulf generating </w:t>
      </w:r>
    </w:p>
    <w:p w:rsidR="006D2C76" w:rsidRPr="00E83E11" w:rsidRDefault="006D2C76">
      <w:pPr>
        <w:spacing w:line="480" w:lineRule="atLeast"/>
        <w:ind w:left="720" w:hanging="720"/>
        <w:rPr>
          <w:rFonts w:ascii="Arial" w:hAnsi="Arial" w:cs="Arial"/>
          <w:szCs w:val="24"/>
        </w:rPr>
      </w:pPr>
      <w:r w:rsidRPr="00E83E11">
        <w:rPr>
          <w:rFonts w:ascii="Arial" w:hAnsi="Arial" w:cs="Arial"/>
          <w:szCs w:val="24"/>
        </w:rPr>
        <w:tab/>
      </w:r>
      <w:proofErr w:type="gramStart"/>
      <w:r w:rsidRPr="00E83E11">
        <w:rPr>
          <w:rFonts w:ascii="Arial" w:hAnsi="Arial" w:cs="Arial"/>
          <w:szCs w:val="24"/>
        </w:rPr>
        <w:t>plants</w:t>
      </w:r>
      <w:proofErr w:type="gramEnd"/>
      <w:r w:rsidRPr="00E83E11">
        <w:rPr>
          <w:rFonts w:ascii="Arial" w:hAnsi="Arial" w:cs="Arial"/>
          <w:szCs w:val="24"/>
        </w:rPr>
        <w:t>. The remainder of the increase is the result of Gulf’s need to add</w:t>
      </w:r>
    </w:p>
    <w:p w:rsidR="00310EED" w:rsidRPr="00E83E11" w:rsidRDefault="00310EED" w:rsidP="00A56450">
      <w:pPr>
        <w:spacing w:line="480" w:lineRule="atLeast"/>
        <w:ind w:left="720"/>
        <w:rPr>
          <w:rFonts w:ascii="Arial" w:hAnsi="Arial" w:cs="Arial"/>
          <w:szCs w:val="24"/>
        </w:rPr>
      </w:pPr>
      <w:proofErr w:type="gramStart"/>
      <w:r w:rsidRPr="00E83E11">
        <w:rPr>
          <w:rFonts w:ascii="Arial" w:hAnsi="Arial" w:cs="Arial"/>
          <w:szCs w:val="24"/>
        </w:rPr>
        <w:t xml:space="preserve">808,252 </w:t>
      </w:r>
      <w:proofErr w:type="spellStart"/>
      <w:r w:rsidR="007B6F36" w:rsidRPr="00E83E11">
        <w:rPr>
          <w:rFonts w:ascii="Arial" w:hAnsi="Arial" w:cs="Arial"/>
          <w:szCs w:val="24"/>
        </w:rPr>
        <w:t>Mcf</w:t>
      </w:r>
      <w:proofErr w:type="spellEnd"/>
      <w:r w:rsidRPr="00E83E11">
        <w:rPr>
          <w:rFonts w:ascii="Arial" w:hAnsi="Arial" w:cs="Arial"/>
          <w:szCs w:val="24"/>
        </w:rPr>
        <w:t xml:space="preserve"> or $3,59</w:t>
      </w:r>
      <w:r w:rsidR="000450B9" w:rsidRPr="00E83E11">
        <w:rPr>
          <w:rFonts w:ascii="Arial" w:hAnsi="Arial" w:cs="Arial"/>
          <w:szCs w:val="24"/>
        </w:rPr>
        <w:t>8</w:t>
      </w:r>
      <w:r w:rsidRPr="00E83E11">
        <w:rPr>
          <w:rFonts w:ascii="Arial" w:hAnsi="Arial" w:cs="Arial"/>
          <w:szCs w:val="24"/>
        </w:rPr>
        <w:t xml:space="preserve">,000 of natural gas inventory </w:t>
      </w:r>
      <w:r w:rsidR="00DF5C0B" w:rsidRPr="00E83E11">
        <w:rPr>
          <w:rFonts w:ascii="Arial" w:hAnsi="Arial" w:cs="Arial"/>
          <w:szCs w:val="24"/>
        </w:rPr>
        <w:t>for</w:t>
      </w:r>
      <w:r w:rsidRPr="00E83E11">
        <w:rPr>
          <w:rFonts w:ascii="Arial" w:hAnsi="Arial" w:cs="Arial"/>
          <w:szCs w:val="24"/>
        </w:rPr>
        <w:t xml:space="preserve"> the Central Alabama </w:t>
      </w:r>
      <w:r w:rsidR="006349C9" w:rsidRPr="00E83E11">
        <w:rPr>
          <w:rFonts w:ascii="Arial" w:hAnsi="Arial" w:cs="Arial"/>
          <w:szCs w:val="24"/>
        </w:rPr>
        <w:t>facility.</w:t>
      </w:r>
      <w:proofErr w:type="gramEnd"/>
      <w:r w:rsidR="00CC1137" w:rsidRPr="00E83E11">
        <w:rPr>
          <w:rFonts w:ascii="Arial" w:hAnsi="Arial" w:cs="Arial"/>
          <w:szCs w:val="24"/>
        </w:rPr>
        <w:t xml:space="preserve"> </w:t>
      </w:r>
      <w:r w:rsidRPr="00E83E11">
        <w:rPr>
          <w:rFonts w:ascii="Arial" w:hAnsi="Arial" w:cs="Arial"/>
          <w:szCs w:val="24"/>
        </w:rPr>
        <w:t xml:space="preserve"> As I discuss below, Gulf is adding natural gas inventory </w:t>
      </w:r>
      <w:r w:rsidR="00DF5C0B" w:rsidRPr="00E83E11">
        <w:rPr>
          <w:rFonts w:ascii="Arial" w:hAnsi="Arial" w:cs="Arial"/>
          <w:szCs w:val="24"/>
        </w:rPr>
        <w:t>for</w:t>
      </w:r>
      <w:r w:rsidRPr="00E83E11">
        <w:rPr>
          <w:rFonts w:ascii="Arial" w:hAnsi="Arial" w:cs="Arial"/>
          <w:szCs w:val="24"/>
        </w:rPr>
        <w:t xml:space="preserve"> the Central Alabama </w:t>
      </w:r>
      <w:r w:rsidR="00DF5C0B" w:rsidRPr="00E83E11">
        <w:rPr>
          <w:rFonts w:ascii="Arial" w:hAnsi="Arial" w:cs="Arial"/>
          <w:szCs w:val="24"/>
        </w:rPr>
        <w:t>facility</w:t>
      </w:r>
      <w:r w:rsidR="00930F80" w:rsidRPr="00E83E11">
        <w:rPr>
          <w:rFonts w:ascii="Arial" w:hAnsi="Arial" w:cs="Arial"/>
          <w:szCs w:val="24"/>
        </w:rPr>
        <w:t xml:space="preserve"> to allow that facility</w:t>
      </w:r>
      <w:r w:rsidRPr="00E83E11">
        <w:rPr>
          <w:rFonts w:ascii="Arial" w:hAnsi="Arial" w:cs="Arial"/>
          <w:szCs w:val="24"/>
        </w:rPr>
        <w:t xml:space="preserve"> to </w:t>
      </w:r>
      <w:r w:rsidR="000450B9" w:rsidRPr="00E83E11">
        <w:rPr>
          <w:rFonts w:ascii="Arial" w:hAnsi="Arial" w:cs="Arial"/>
          <w:szCs w:val="24"/>
        </w:rPr>
        <w:t xml:space="preserve">maximize customer fuel savings and to </w:t>
      </w:r>
      <w:r w:rsidRPr="00E83E11">
        <w:rPr>
          <w:rFonts w:ascii="Arial" w:hAnsi="Arial" w:cs="Arial"/>
          <w:szCs w:val="24"/>
        </w:rPr>
        <w:t>be</w:t>
      </w:r>
      <w:r w:rsidR="000450B9" w:rsidRPr="00E83E11">
        <w:rPr>
          <w:rFonts w:ascii="Arial" w:hAnsi="Arial" w:cs="Arial"/>
          <w:szCs w:val="24"/>
        </w:rPr>
        <w:t xml:space="preserve"> </w:t>
      </w:r>
      <w:r w:rsidR="00D6542F" w:rsidRPr="00E83E11">
        <w:rPr>
          <w:rFonts w:ascii="Arial" w:hAnsi="Arial" w:cs="Arial"/>
          <w:szCs w:val="24"/>
        </w:rPr>
        <w:t xml:space="preserve">a firm </w:t>
      </w:r>
      <w:r w:rsidR="000450B9" w:rsidRPr="00E83E11">
        <w:rPr>
          <w:rFonts w:ascii="Arial" w:hAnsi="Arial" w:cs="Arial"/>
          <w:szCs w:val="24"/>
        </w:rPr>
        <w:t xml:space="preserve">generation </w:t>
      </w:r>
      <w:r w:rsidR="00D6542F" w:rsidRPr="00E83E11">
        <w:rPr>
          <w:rFonts w:ascii="Arial" w:hAnsi="Arial" w:cs="Arial"/>
          <w:szCs w:val="24"/>
        </w:rPr>
        <w:t>resource.</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describ</w:t>
      </w:r>
      <w:r w:rsidR="00D6542F" w:rsidRPr="00E83E11">
        <w:rPr>
          <w:rFonts w:ascii="Arial" w:hAnsi="Arial" w:cs="Arial"/>
          <w:szCs w:val="24"/>
        </w:rPr>
        <w:t>e Gulf’s coal inventory policy.</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Gulf’s policy is to maintain coal inventory levels sufficient to safeguard against disruptions in supply, inconsistencies in delivery of coal due to weather conditions and other factors affecting the coal transportation sector.  Coal inventory levels for each generating plant are evaluated, and targets are established</w:t>
      </w:r>
      <w:r w:rsidR="00F32095" w:rsidRPr="00E83E11">
        <w:rPr>
          <w:rFonts w:ascii="Arial" w:hAnsi="Arial" w:cs="Arial"/>
          <w:szCs w:val="24"/>
        </w:rPr>
        <w:t>,</w:t>
      </w:r>
      <w:r w:rsidRPr="00E83E11">
        <w:rPr>
          <w:rFonts w:ascii="Arial" w:hAnsi="Arial" w:cs="Arial"/>
          <w:szCs w:val="24"/>
        </w:rPr>
        <w:t xml:space="preserve"> based on a number of factors such as: plant specific coal handling and storage limitations; market intelligence on coal supply availability; coal transportation/logistics information; and the historical perspective obtained through considerable experience developed in coal stockpile management by the Southern Company fuel organization.  The Operating Companies of the Southern Company are</w:t>
      </w:r>
      <w:r w:rsidR="00D6542F" w:rsidRPr="00E83E11">
        <w:rPr>
          <w:rFonts w:ascii="Arial" w:hAnsi="Arial" w:cs="Arial"/>
          <w:szCs w:val="24"/>
        </w:rPr>
        <w:t xml:space="preserve"> </w:t>
      </w:r>
      <w:r w:rsidRPr="00E83E11">
        <w:rPr>
          <w:rFonts w:ascii="Arial" w:hAnsi="Arial" w:cs="Arial"/>
          <w:szCs w:val="24"/>
        </w:rPr>
        <w:t>one of the largest coal consumers in the nation and have a long history of successfully operating coal fired generating plants.</w:t>
      </w:r>
    </w:p>
    <w:p w:rsidR="00310EED" w:rsidRPr="00E83E11" w:rsidRDefault="00310EED">
      <w:pPr>
        <w:spacing w:line="480" w:lineRule="atLeast"/>
        <w:ind w:left="720" w:hanging="720"/>
        <w:rPr>
          <w:rFonts w:ascii="Arial" w:hAnsi="Arial" w:cs="Arial"/>
          <w:szCs w:val="24"/>
        </w:rPr>
      </w:pPr>
    </w:p>
    <w:p w:rsidR="00310EED" w:rsidRPr="00E83E11" w:rsidRDefault="00310EED">
      <w:pPr>
        <w:tabs>
          <w:tab w:val="left" w:pos="180"/>
          <w:tab w:val="left" w:pos="720"/>
        </w:tabs>
        <w:spacing w:line="480" w:lineRule="atLeast"/>
        <w:ind w:left="720"/>
        <w:rPr>
          <w:rFonts w:ascii="Arial" w:hAnsi="Arial" w:cs="Arial"/>
          <w:szCs w:val="24"/>
        </w:rPr>
      </w:pPr>
      <w:r w:rsidRPr="00E83E11">
        <w:rPr>
          <w:rFonts w:ascii="Arial" w:hAnsi="Arial" w:cs="Arial"/>
          <w:szCs w:val="24"/>
        </w:rPr>
        <w:t xml:space="preserve">These established coal stockpile targets are further evaluated using the Utility Fuel Inventory Model (UFIM) developed by </w:t>
      </w:r>
      <w:r w:rsidR="000C56E8" w:rsidRPr="00E83E11">
        <w:rPr>
          <w:rFonts w:ascii="Arial" w:hAnsi="Arial" w:cs="Arial"/>
          <w:szCs w:val="24"/>
        </w:rPr>
        <w:t>the Electric Power Research Institute (</w:t>
      </w:r>
      <w:r w:rsidRPr="00E83E11">
        <w:rPr>
          <w:rFonts w:ascii="Arial" w:hAnsi="Arial" w:cs="Arial"/>
          <w:szCs w:val="24"/>
        </w:rPr>
        <w:t>EPRI</w:t>
      </w:r>
      <w:r w:rsidR="000C56E8" w:rsidRPr="00E83E11">
        <w:rPr>
          <w:rFonts w:ascii="Arial" w:hAnsi="Arial" w:cs="Arial"/>
          <w:szCs w:val="24"/>
        </w:rPr>
        <w:t>)</w:t>
      </w:r>
      <w:r w:rsidRPr="00E83E11">
        <w:rPr>
          <w:rFonts w:ascii="Arial" w:hAnsi="Arial" w:cs="Arial"/>
          <w:szCs w:val="24"/>
        </w:rPr>
        <w:t xml:space="preserve"> and the electric utility industry.  The UFIM model evaluates, among other factors, the economic cost of not being able to serve customer load if coal inventory is depleted and the economics associated with being forced to procure coal and/or</w:t>
      </w:r>
      <w:r w:rsidR="008E4F32" w:rsidRPr="00E83E11">
        <w:rPr>
          <w:rFonts w:ascii="Arial" w:hAnsi="Arial" w:cs="Arial"/>
          <w:szCs w:val="24"/>
        </w:rPr>
        <w:t xml:space="preserve"> </w:t>
      </w:r>
      <w:r w:rsidRPr="00E83E11">
        <w:rPr>
          <w:rFonts w:ascii="Arial" w:hAnsi="Arial" w:cs="Arial"/>
          <w:szCs w:val="24"/>
        </w:rPr>
        <w:t>replacement energy in the spot market during periods when coal supply is disrupted versus the financial costs associated with carrying various levels of coal inventory.  The economic cost results derived from the UFIM model runs are then evaluated along with specific plant coal logistics issues and other coal market inputs to determine the most economic target plant coal inventory level for a specific plant.</w:t>
      </w:r>
    </w:p>
    <w:p w:rsidR="000450B9" w:rsidRPr="00E83E11" w:rsidRDefault="000450B9">
      <w:pPr>
        <w:tabs>
          <w:tab w:val="left" w:pos="180"/>
          <w:tab w:val="left" w:pos="720"/>
        </w:tabs>
        <w:spacing w:line="480" w:lineRule="atLeast"/>
        <w:ind w:left="720"/>
        <w:rPr>
          <w:rFonts w:ascii="Arial" w:hAnsi="Arial" w:cs="Arial"/>
          <w:szCs w:val="24"/>
        </w:rPr>
      </w:pPr>
    </w:p>
    <w:p w:rsidR="00310EED" w:rsidRPr="00E83E11" w:rsidRDefault="00310EED">
      <w:pPr>
        <w:spacing w:line="480" w:lineRule="atLeast"/>
        <w:ind w:left="720"/>
        <w:rPr>
          <w:rFonts w:ascii="Arial" w:hAnsi="Arial" w:cs="Arial"/>
          <w:szCs w:val="24"/>
        </w:rPr>
      </w:pPr>
      <w:r w:rsidRPr="00E83E11">
        <w:rPr>
          <w:rFonts w:ascii="Arial" w:hAnsi="Arial" w:cs="Arial"/>
          <w:szCs w:val="24"/>
        </w:rPr>
        <w:t>Once the target coal inventory levels are validated, they are formally approved by the Vice President of Power Generation for use as an input in the SES fuel budgeting model, FUELPRO, to develop a fuel cost of generation budget for all plants in the SES.  The fuel burn derived from the hourly load dispatch of each generating unit in the SES fleet and the current fuel price forecast for each fuel type, including transportation rates, are also inputs to the FUELPRO model.  The output of FUELPRO is a fuel budget for each plant, which includes monthly fuel purchases, burn and ending inventory expressed in units of measure (quantity), total dollars, and dollars per unit.  For the test year, the coal inventory policy evaluation resulted in average inventory targets for Gulf’s barge-served coal fired plants (Crist and Smith) of approximately 35 normal full load (NFL) burn days and for Gulf’s rail-served plants (Scholz and Daniel), 20 and 40 NFL days respectively.</w:t>
      </w:r>
    </w:p>
    <w:p w:rsidR="007048AE" w:rsidRPr="00E83E11" w:rsidRDefault="007048AE">
      <w:pPr>
        <w:spacing w:line="480" w:lineRule="atLeast"/>
        <w:ind w:left="720" w:hanging="720"/>
        <w:rPr>
          <w:rFonts w:ascii="Arial" w:hAnsi="Arial" w:cs="Arial"/>
          <w:szCs w:val="24"/>
        </w:rPr>
      </w:pPr>
    </w:p>
    <w:p w:rsidR="0008399E"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a normal full load (NFL) burn day?</w:t>
      </w:r>
      <w:r w:rsidR="0008399E" w:rsidRPr="00E83E11">
        <w:rPr>
          <w:rFonts w:ascii="Arial" w:hAnsi="Arial" w:cs="Arial"/>
          <w:szCs w:val="24"/>
        </w:rPr>
        <w:t xml:space="preserve"> </w:t>
      </w:r>
    </w:p>
    <w:p w:rsidR="00AF20FC" w:rsidRPr="00E83E11" w:rsidRDefault="0008399E">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A NFL burn day is a method of expressing units of inventory relative to the</w:t>
      </w:r>
    </w:p>
    <w:p w:rsidR="00310EED" w:rsidRPr="00E83E11" w:rsidRDefault="00310EED">
      <w:pPr>
        <w:spacing w:line="480" w:lineRule="atLeast"/>
        <w:ind w:left="720"/>
        <w:rPr>
          <w:rFonts w:ascii="Arial" w:hAnsi="Arial" w:cs="Arial"/>
          <w:szCs w:val="24"/>
        </w:rPr>
      </w:pPr>
      <w:proofErr w:type="gramStart"/>
      <w:r w:rsidRPr="00E83E11">
        <w:rPr>
          <w:rFonts w:ascii="Arial" w:hAnsi="Arial" w:cs="Arial"/>
          <w:szCs w:val="24"/>
        </w:rPr>
        <w:t>normal</w:t>
      </w:r>
      <w:proofErr w:type="gramEnd"/>
      <w:r w:rsidRPr="00E83E11">
        <w:rPr>
          <w:rFonts w:ascii="Arial" w:hAnsi="Arial" w:cs="Arial"/>
          <w:szCs w:val="24"/>
        </w:rPr>
        <w:t xml:space="preserve"> maximum consumption of fuel at a specific generating facility over a 24 hour period.  Normal maximum consumption does not include output maximums that can be achieved for short periods by using supplemental firing to operate at “full pressure” on traditional steam and combined cycle units.  The use of NFL burn days allows for the expression of inventory units in common terms so that fuel inventories of generating plants with various capacity sizes (MW) and capacity factors can be compared on an “apples to apples” basis.</w:t>
      </w:r>
    </w:p>
    <w:p w:rsidR="000450B9" w:rsidRPr="00E83E11" w:rsidRDefault="000450B9">
      <w:pPr>
        <w:spacing w:line="480" w:lineRule="atLeast"/>
        <w:ind w:left="720" w:hanging="720"/>
        <w:rPr>
          <w:rFonts w:ascii="Arial" w:hAnsi="Arial" w:cs="Arial"/>
          <w:szCs w:val="24"/>
        </w:rPr>
      </w:pPr>
    </w:p>
    <w:p w:rsidR="00310EED" w:rsidRPr="00E83E11" w:rsidRDefault="00310EED">
      <w:pPr>
        <w:spacing w:line="480" w:lineRule="atLeast"/>
        <w:ind w:left="720"/>
        <w:rPr>
          <w:rFonts w:ascii="Arial" w:hAnsi="Arial" w:cs="Arial"/>
          <w:szCs w:val="24"/>
        </w:rPr>
      </w:pPr>
      <w:r w:rsidRPr="00E83E11">
        <w:rPr>
          <w:rFonts w:ascii="Arial" w:hAnsi="Arial" w:cs="Arial"/>
          <w:szCs w:val="24"/>
        </w:rPr>
        <w:t xml:space="preserve">A NFL burn day is calculated by multiplying the total daily energy output (kilowatt hours or kWh) of a generating plant by the weighted average heat rate (British </w:t>
      </w:r>
      <w:r w:rsidR="008A7E62" w:rsidRPr="00E83E11">
        <w:rPr>
          <w:rFonts w:ascii="Arial" w:hAnsi="Arial" w:cs="Arial"/>
          <w:szCs w:val="24"/>
        </w:rPr>
        <w:t>t</w:t>
      </w:r>
      <w:r w:rsidRPr="00E83E11">
        <w:rPr>
          <w:rFonts w:ascii="Arial" w:hAnsi="Arial" w:cs="Arial"/>
          <w:szCs w:val="24"/>
        </w:rPr>
        <w:t xml:space="preserve">hermal </w:t>
      </w:r>
      <w:r w:rsidR="008A7E62" w:rsidRPr="00E83E11">
        <w:rPr>
          <w:rFonts w:ascii="Arial" w:hAnsi="Arial" w:cs="Arial"/>
          <w:szCs w:val="24"/>
        </w:rPr>
        <w:t>u</w:t>
      </w:r>
      <w:r w:rsidRPr="00E83E11">
        <w:rPr>
          <w:rFonts w:ascii="Arial" w:hAnsi="Arial" w:cs="Arial"/>
          <w:szCs w:val="24"/>
        </w:rPr>
        <w:t xml:space="preserve">nits per kWh or </w:t>
      </w:r>
      <w:r w:rsidR="007B6F36" w:rsidRPr="00E83E11">
        <w:rPr>
          <w:rFonts w:ascii="Arial" w:hAnsi="Arial" w:cs="Arial"/>
          <w:szCs w:val="24"/>
        </w:rPr>
        <w:t>Btu</w:t>
      </w:r>
      <w:r w:rsidRPr="00E83E11">
        <w:rPr>
          <w:rFonts w:ascii="Arial" w:hAnsi="Arial" w:cs="Arial"/>
          <w:szCs w:val="24"/>
        </w:rPr>
        <w:t xml:space="preserve">/kWh) of the units at that generating plant.  Both the total daily energy output and the unit heat rates are determined by actual plant performance measurements over a period of time.  The resulting calculated </w:t>
      </w:r>
      <w:proofErr w:type="spellStart"/>
      <w:r w:rsidR="007B6F36" w:rsidRPr="00E83E11">
        <w:rPr>
          <w:rFonts w:ascii="Arial" w:hAnsi="Arial" w:cs="Arial"/>
          <w:szCs w:val="24"/>
        </w:rPr>
        <w:t>Btu</w:t>
      </w:r>
      <w:r w:rsidRPr="00E83E11">
        <w:rPr>
          <w:rFonts w:ascii="Arial" w:hAnsi="Arial" w:cs="Arial"/>
          <w:szCs w:val="24"/>
        </w:rPr>
        <w:t>s</w:t>
      </w:r>
      <w:proofErr w:type="spellEnd"/>
      <w:r w:rsidRPr="00E83E11">
        <w:rPr>
          <w:rFonts w:ascii="Arial" w:hAnsi="Arial" w:cs="Arial"/>
          <w:szCs w:val="24"/>
        </w:rPr>
        <w:t xml:space="preserve"> per day are then converted to standard units for each fuel type such as tons for coal and gallons or barrels for oil.  This method explicitly recognizes Gulf’s heat rate performance in establishing its requested fuel inventory levels.  As an example, the NFL day burn for Plant Smith Unit 1 would be calculated as follows:</w:t>
      </w:r>
    </w:p>
    <w:p w:rsidR="00310EED" w:rsidRPr="00E83E11" w:rsidRDefault="00310EED">
      <w:pPr>
        <w:spacing w:line="480" w:lineRule="atLeast"/>
        <w:ind w:left="720" w:firstLine="720"/>
        <w:rPr>
          <w:rFonts w:ascii="Arial" w:hAnsi="Arial" w:cs="Arial"/>
          <w:szCs w:val="24"/>
        </w:rPr>
      </w:pPr>
      <w:r w:rsidRPr="00E83E11">
        <w:rPr>
          <w:rFonts w:ascii="Arial" w:hAnsi="Arial" w:cs="Arial"/>
          <w:szCs w:val="24"/>
        </w:rPr>
        <w:t>A = Normal Hourly</w:t>
      </w:r>
      <w:r w:rsidR="00D6542F" w:rsidRPr="00E83E11">
        <w:rPr>
          <w:rFonts w:ascii="Arial" w:hAnsi="Arial" w:cs="Arial"/>
          <w:szCs w:val="24"/>
        </w:rPr>
        <w:t xml:space="preserve"> Full Load Rating = 162,000 </w:t>
      </w:r>
      <w:r w:rsidR="008A7E62" w:rsidRPr="00E83E11">
        <w:rPr>
          <w:rFonts w:ascii="Arial" w:hAnsi="Arial" w:cs="Arial"/>
          <w:szCs w:val="24"/>
        </w:rPr>
        <w:t>k</w:t>
      </w:r>
      <w:r w:rsidR="00D6542F" w:rsidRPr="00E83E11">
        <w:rPr>
          <w:rFonts w:ascii="Arial" w:hAnsi="Arial" w:cs="Arial"/>
          <w:szCs w:val="24"/>
        </w:rPr>
        <w:t>W</w:t>
      </w:r>
      <w:r w:rsidR="008A7E62" w:rsidRPr="00E83E11">
        <w:rPr>
          <w:rFonts w:ascii="Arial" w:hAnsi="Arial" w:cs="Arial"/>
          <w:szCs w:val="24"/>
        </w:rPr>
        <w:t>h</w:t>
      </w:r>
    </w:p>
    <w:p w:rsidR="00310EED" w:rsidRPr="00E83E11" w:rsidRDefault="00310EED">
      <w:pPr>
        <w:spacing w:line="480" w:lineRule="atLeast"/>
        <w:ind w:left="720" w:firstLine="720"/>
        <w:rPr>
          <w:rFonts w:ascii="Arial" w:hAnsi="Arial" w:cs="Arial"/>
          <w:szCs w:val="24"/>
        </w:rPr>
      </w:pPr>
      <w:r w:rsidRPr="00E83E11">
        <w:rPr>
          <w:rFonts w:ascii="Arial" w:hAnsi="Arial" w:cs="Arial"/>
          <w:szCs w:val="24"/>
        </w:rPr>
        <w:t xml:space="preserve">B = Average Unit Heat Rate = 10,422 </w:t>
      </w:r>
      <w:r w:rsidR="007B6F36" w:rsidRPr="00E83E11">
        <w:rPr>
          <w:rFonts w:ascii="Arial" w:hAnsi="Arial" w:cs="Arial"/>
          <w:szCs w:val="24"/>
        </w:rPr>
        <w:t>Btu</w:t>
      </w:r>
      <w:r w:rsidRPr="00E83E11">
        <w:rPr>
          <w:rFonts w:ascii="Arial" w:hAnsi="Arial" w:cs="Arial"/>
          <w:szCs w:val="24"/>
        </w:rPr>
        <w:t>/</w:t>
      </w:r>
      <w:r w:rsidR="008A7E62" w:rsidRPr="00E83E11">
        <w:rPr>
          <w:rFonts w:ascii="Arial" w:hAnsi="Arial" w:cs="Arial"/>
          <w:szCs w:val="24"/>
        </w:rPr>
        <w:t>k</w:t>
      </w:r>
      <w:r w:rsidRPr="00E83E11">
        <w:rPr>
          <w:rFonts w:ascii="Arial" w:hAnsi="Arial" w:cs="Arial"/>
          <w:szCs w:val="24"/>
        </w:rPr>
        <w:t>W</w:t>
      </w:r>
      <w:r w:rsidR="008A7E62" w:rsidRPr="00E83E11">
        <w:rPr>
          <w:rFonts w:ascii="Arial" w:hAnsi="Arial" w:cs="Arial"/>
          <w:szCs w:val="24"/>
        </w:rPr>
        <w:t>h</w:t>
      </w:r>
    </w:p>
    <w:p w:rsidR="00310EED" w:rsidRPr="00E83E11" w:rsidRDefault="00310EED">
      <w:pPr>
        <w:spacing w:line="480" w:lineRule="atLeast"/>
        <w:ind w:left="720" w:firstLine="720"/>
        <w:rPr>
          <w:rFonts w:ascii="Arial" w:hAnsi="Arial" w:cs="Arial"/>
          <w:szCs w:val="24"/>
        </w:rPr>
      </w:pPr>
      <w:r w:rsidRPr="00E83E11">
        <w:rPr>
          <w:rFonts w:ascii="Arial" w:hAnsi="Arial" w:cs="Arial"/>
          <w:szCs w:val="24"/>
        </w:rPr>
        <w:t xml:space="preserve">C = Fuel Heating Value = 11,714 </w:t>
      </w:r>
      <w:r w:rsidR="007B6F36" w:rsidRPr="00E83E11">
        <w:rPr>
          <w:rFonts w:ascii="Arial" w:hAnsi="Arial" w:cs="Arial"/>
          <w:szCs w:val="24"/>
        </w:rPr>
        <w:t>Btu</w:t>
      </w:r>
      <w:r w:rsidRPr="00E83E11">
        <w:rPr>
          <w:rFonts w:ascii="Arial" w:hAnsi="Arial" w:cs="Arial"/>
          <w:szCs w:val="24"/>
        </w:rPr>
        <w:t>/</w:t>
      </w:r>
      <w:proofErr w:type="spellStart"/>
      <w:r w:rsidR="008A7E62" w:rsidRPr="00E83E11">
        <w:rPr>
          <w:rFonts w:ascii="Arial" w:hAnsi="Arial" w:cs="Arial"/>
          <w:szCs w:val="24"/>
        </w:rPr>
        <w:t>lb</w:t>
      </w:r>
      <w:proofErr w:type="spellEnd"/>
    </w:p>
    <w:p w:rsidR="00310EED" w:rsidRPr="00E83E11" w:rsidRDefault="00310EED">
      <w:pPr>
        <w:spacing w:line="480" w:lineRule="atLeast"/>
        <w:ind w:left="720" w:firstLine="720"/>
        <w:rPr>
          <w:rFonts w:ascii="Arial" w:hAnsi="Arial" w:cs="Arial"/>
          <w:szCs w:val="24"/>
        </w:rPr>
      </w:pPr>
      <w:r w:rsidRPr="00E83E11">
        <w:rPr>
          <w:rFonts w:ascii="Arial" w:hAnsi="Arial" w:cs="Arial"/>
          <w:szCs w:val="24"/>
        </w:rPr>
        <w:t xml:space="preserve">(A x B) / (C x 2,000 </w:t>
      </w:r>
      <w:proofErr w:type="spellStart"/>
      <w:r w:rsidR="008A7E62" w:rsidRPr="00E83E11">
        <w:rPr>
          <w:rFonts w:ascii="Arial" w:hAnsi="Arial" w:cs="Arial"/>
          <w:szCs w:val="24"/>
        </w:rPr>
        <w:t>lbs</w:t>
      </w:r>
      <w:proofErr w:type="spellEnd"/>
      <w:r w:rsidRPr="00E83E11">
        <w:rPr>
          <w:rFonts w:ascii="Arial" w:hAnsi="Arial" w:cs="Arial"/>
          <w:szCs w:val="24"/>
        </w:rPr>
        <w:t>/</w:t>
      </w:r>
      <w:r w:rsidR="008A7E62" w:rsidRPr="00E83E11">
        <w:rPr>
          <w:rFonts w:ascii="Arial" w:hAnsi="Arial" w:cs="Arial"/>
          <w:szCs w:val="24"/>
        </w:rPr>
        <w:t>t</w:t>
      </w:r>
      <w:r w:rsidRPr="00E83E11">
        <w:rPr>
          <w:rFonts w:ascii="Arial" w:hAnsi="Arial" w:cs="Arial"/>
          <w:szCs w:val="24"/>
        </w:rPr>
        <w:t xml:space="preserve">on) = 72.07 </w:t>
      </w:r>
      <w:r w:rsidR="008A7E62" w:rsidRPr="00E83E11">
        <w:rPr>
          <w:rFonts w:ascii="Arial" w:hAnsi="Arial" w:cs="Arial"/>
          <w:szCs w:val="24"/>
        </w:rPr>
        <w:t>t</w:t>
      </w:r>
      <w:r w:rsidRPr="00E83E11">
        <w:rPr>
          <w:rFonts w:ascii="Arial" w:hAnsi="Arial" w:cs="Arial"/>
          <w:szCs w:val="24"/>
        </w:rPr>
        <w:t>ons/</w:t>
      </w:r>
      <w:r w:rsidR="008A7E62" w:rsidRPr="00E83E11">
        <w:rPr>
          <w:rFonts w:ascii="Arial" w:hAnsi="Arial" w:cs="Arial"/>
          <w:szCs w:val="24"/>
        </w:rPr>
        <w:t>h</w:t>
      </w:r>
      <w:r w:rsidRPr="00E83E11">
        <w:rPr>
          <w:rFonts w:ascii="Arial" w:hAnsi="Arial" w:cs="Arial"/>
          <w:szCs w:val="24"/>
        </w:rPr>
        <w:t xml:space="preserve">our </w:t>
      </w:r>
    </w:p>
    <w:p w:rsidR="00310EED" w:rsidRDefault="00310EED">
      <w:pPr>
        <w:spacing w:line="480" w:lineRule="atLeast"/>
        <w:ind w:left="720" w:firstLine="720"/>
        <w:rPr>
          <w:rFonts w:ascii="Arial" w:hAnsi="Arial" w:cs="Arial"/>
          <w:szCs w:val="24"/>
        </w:rPr>
      </w:pPr>
      <w:r w:rsidRPr="00E83E11">
        <w:rPr>
          <w:rFonts w:ascii="Arial" w:hAnsi="Arial" w:cs="Arial"/>
          <w:szCs w:val="24"/>
        </w:rPr>
        <w:t xml:space="preserve">NFL day burn = 72.07 </w:t>
      </w:r>
      <w:r w:rsidR="008A7E62" w:rsidRPr="00E83E11">
        <w:rPr>
          <w:rFonts w:ascii="Arial" w:hAnsi="Arial" w:cs="Arial"/>
          <w:szCs w:val="24"/>
        </w:rPr>
        <w:t>t</w:t>
      </w:r>
      <w:r w:rsidRPr="00E83E11">
        <w:rPr>
          <w:rFonts w:ascii="Arial" w:hAnsi="Arial" w:cs="Arial"/>
          <w:szCs w:val="24"/>
        </w:rPr>
        <w:t>ons/</w:t>
      </w:r>
      <w:r w:rsidR="008A7E62" w:rsidRPr="00E83E11">
        <w:rPr>
          <w:rFonts w:ascii="Arial" w:hAnsi="Arial" w:cs="Arial"/>
          <w:szCs w:val="24"/>
        </w:rPr>
        <w:t>h</w:t>
      </w:r>
      <w:r w:rsidRPr="00E83E11">
        <w:rPr>
          <w:rFonts w:ascii="Arial" w:hAnsi="Arial" w:cs="Arial"/>
          <w:szCs w:val="24"/>
        </w:rPr>
        <w:t>our x 24 hours/</w:t>
      </w:r>
      <w:r w:rsidR="008A7E62" w:rsidRPr="00E83E11">
        <w:rPr>
          <w:rFonts w:ascii="Arial" w:hAnsi="Arial" w:cs="Arial"/>
          <w:szCs w:val="24"/>
        </w:rPr>
        <w:t>d</w:t>
      </w:r>
      <w:r w:rsidRPr="00E83E11">
        <w:rPr>
          <w:rFonts w:ascii="Arial" w:hAnsi="Arial" w:cs="Arial"/>
          <w:szCs w:val="24"/>
        </w:rPr>
        <w:t xml:space="preserve">ay = 1730 </w:t>
      </w:r>
      <w:r w:rsidR="008A7E62" w:rsidRPr="00E83E11">
        <w:rPr>
          <w:rFonts w:ascii="Arial" w:hAnsi="Arial" w:cs="Arial"/>
          <w:szCs w:val="24"/>
        </w:rPr>
        <w:t>t</w:t>
      </w:r>
      <w:r w:rsidRPr="00E83E11">
        <w:rPr>
          <w:rFonts w:ascii="Arial" w:hAnsi="Arial" w:cs="Arial"/>
          <w:szCs w:val="24"/>
        </w:rPr>
        <w:t>ons/</w:t>
      </w:r>
      <w:r w:rsidR="008A7E62" w:rsidRPr="00E83E11">
        <w:rPr>
          <w:rFonts w:ascii="Arial" w:hAnsi="Arial" w:cs="Arial"/>
          <w:szCs w:val="24"/>
        </w:rPr>
        <w:t>d</w:t>
      </w:r>
      <w:r w:rsidRPr="00E83E11">
        <w:rPr>
          <w:rFonts w:ascii="Arial" w:hAnsi="Arial" w:cs="Arial"/>
          <w:szCs w:val="24"/>
        </w:rPr>
        <w:t xml:space="preserve">ay </w:t>
      </w:r>
    </w:p>
    <w:p w:rsidR="000F7614" w:rsidRPr="00C12EF8" w:rsidRDefault="000F7614">
      <w:pPr>
        <w:spacing w:line="480" w:lineRule="atLeast"/>
        <w:ind w:left="720" w:firstLine="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the current coal inventory policy compare to the policy used in the last case?</w:t>
      </w:r>
    </w:p>
    <w:p w:rsidR="00310EED"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There is no change in coal inventory policy from the last rate case.</w:t>
      </w:r>
    </w:p>
    <w:p w:rsidR="006D2C76" w:rsidRPr="00E83E11" w:rsidRDefault="006D2C76">
      <w:pPr>
        <w:spacing w:line="480" w:lineRule="atLeast"/>
        <w:ind w:left="720" w:hanging="720"/>
        <w:rPr>
          <w:rFonts w:ascii="Arial" w:hAnsi="Arial" w:cs="Arial"/>
          <w:b/>
          <w:i/>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Based on this policy, what is Gulf’s forecasted coal inventory level for the test year?</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For all Gulf plants (excluding Scherer), the 13 month average of the monthly ending coal inventory levels, not including in-transit coal, for the test year, is a stockpile of 708,532 tons, $74,738,000, or 34.7 days NFL burn supply.  This compares to a total of 693,196 tons, $67,958,000, or 34 days NFL burn supply allowed in the last rate case.  The increase in coal</w:t>
      </w:r>
      <w:r w:rsidR="00AC18A6" w:rsidRPr="00E83E11">
        <w:rPr>
          <w:rFonts w:ascii="Arial" w:hAnsi="Arial" w:cs="Arial"/>
          <w:szCs w:val="24"/>
        </w:rPr>
        <w:t xml:space="preserve"> </w:t>
      </w:r>
      <w:r w:rsidRPr="00E83E11">
        <w:rPr>
          <w:rFonts w:ascii="Arial" w:hAnsi="Arial" w:cs="Arial"/>
          <w:szCs w:val="24"/>
        </w:rPr>
        <w:t>inventory value (dollars) is due primarily to an increase in the projected delivered market price of coal since the last rate case.</w:t>
      </w:r>
    </w:p>
    <w:p w:rsidR="00AF20FC" w:rsidRPr="00E83E11" w:rsidRDefault="00AF20FC">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the average unit cost of coal inventory compare to the amount used in the last rate case?</w:t>
      </w:r>
    </w:p>
    <w:p w:rsidR="00AF20FC"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In Gulf’s last rate case</w:t>
      </w:r>
      <w:r w:rsidR="00873718" w:rsidRPr="00E83E11">
        <w:rPr>
          <w:rFonts w:ascii="Arial" w:hAnsi="Arial" w:cs="Arial"/>
          <w:szCs w:val="24"/>
        </w:rPr>
        <w:t>,</w:t>
      </w:r>
      <w:r w:rsidRPr="00E83E11">
        <w:rPr>
          <w:rFonts w:ascii="Arial" w:hAnsi="Arial" w:cs="Arial"/>
          <w:szCs w:val="24"/>
        </w:rPr>
        <w:t xml:space="preserve"> the weighted average unit cost of coal in inventory was $98.04 per ton.  The current weighted average unit cost of coal used to project the total cost of Gulf coal inventory in the test year is $105.48 per ton.  The increase is due to an increase in the projected market price of coal and coal transportation in 2014.</w:t>
      </w:r>
    </w:p>
    <w:p w:rsidR="00AF20FC" w:rsidRPr="00E83E11" w:rsidRDefault="00AF20FC">
      <w:pPr>
        <w:spacing w:line="480" w:lineRule="atLeast"/>
        <w:ind w:left="720" w:hanging="720"/>
        <w:rPr>
          <w:rFonts w:ascii="Arial" w:hAnsi="Arial" w:cs="Arial"/>
          <w:szCs w:val="24"/>
        </w:rPr>
      </w:pPr>
    </w:p>
    <w:p w:rsidR="0008399E"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has actual coal inventory compared to the amount allowed in the last rate case?</w:t>
      </w:r>
      <w:r w:rsidR="0008399E" w:rsidRPr="00E83E11">
        <w:rPr>
          <w:rFonts w:ascii="Arial" w:hAnsi="Arial" w:cs="Arial"/>
          <w:szCs w:val="24"/>
        </w:rPr>
        <w:t xml:space="preserve"> </w:t>
      </w:r>
    </w:p>
    <w:p w:rsidR="00310EED" w:rsidRPr="00E83E11" w:rsidRDefault="0008399E">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 average 13 month actual ending coal inventory as of December 31,</w:t>
      </w:r>
    </w:p>
    <w:p w:rsidR="006D2C76" w:rsidRDefault="00310EED">
      <w:pPr>
        <w:spacing w:line="480" w:lineRule="atLeast"/>
        <w:ind w:left="720"/>
        <w:rPr>
          <w:rFonts w:ascii="Arial" w:hAnsi="Arial" w:cs="Arial"/>
          <w:szCs w:val="24"/>
        </w:rPr>
      </w:pPr>
      <w:r w:rsidRPr="00E83E11">
        <w:rPr>
          <w:rFonts w:ascii="Arial" w:hAnsi="Arial" w:cs="Arial"/>
          <w:szCs w:val="24"/>
        </w:rPr>
        <w:t>2012 was $94,116,000.  This exceeded the amount allowed in the last rate case of $67,958,000 by $26,158,000. This is primarily due to coa</w:t>
      </w:r>
      <w:r w:rsidR="00AF20FC" w:rsidRPr="00E83E11">
        <w:rPr>
          <w:rFonts w:ascii="Arial" w:hAnsi="Arial" w:cs="Arial"/>
          <w:szCs w:val="24"/>
        </w:rPr>
        <w:t>l</w:t>
      </w:r>
      <w:r w:rsidRPr="00E83E11">
        <w:rPr>
          <w:rFonts w:ascii="Arial" w:hAnsi="Arial" w:cs="Arial"/>
          <w:szCs w:val="24"/>
        </w:rPr>
        <w:t xml:space="preserve"> inventory </w:t>
      </w:r>
    </w:p>
    <w:p w:rsidR="00487480" w:rsidRPr="00E83E11" w:rsidRDefault="00310EED">
      <w:pPr>
        <w:spacing w:line="480" w:lineRule="atLeast"/>
        <w:ind w:left="720"/>
        <w:rPr>
          <w:rFonts w:ascii="Arial" w:hAnsi="Arial" w:cs="Arial"/>
          <w:szCs w:val="24"/>
        </w:rPr>
      </w:pPr>
      <w:proofErr w:type="gramStart"/>
      <w:r w:rsidRPr="00E83E11">
        <w:rPr>
          <w:rFonts w:ascii="Arial" w:hAnsi="Arial" w:cs="Arial"/>
          <w:szCs w:val="24"/>
        </w:rPr>
        <w:t>quantity</w:t>
      </w:r>
      <w:proofErr w:type="gramEnd"/>
      <w:r w:rsidRPr="00E83E11">
        <w:rPr>
          <w:rFonts w:ascii="Arial" w:hAnsi="Arial" w:cs="Arial"/>
          <w:szCs w:val="24"/>
        </w:rPr>
        <w:t xml:space="preserve"> being above target levels as coal burn quantity was significantly below projected amounts.  The lower than expected coal consumption is due to lower customer loads and low natural gas prices shifting the generation mix</w:t>
      </w:r>
      <w:r w:rsidR="001D021C" w:rsidRPr="00E83E11">
        <w:rPr>
          <w:rFonts w:ascii="Arial" w:hAnsi="Arial" w:cs="Arial"/>
          <w:szCs w:val="24"/>
        </w:rPr>
        <w:t xml:space="preserve"> to lower cost natural gas fired generation.  Gulf expects to return coal inventory levels to the target quantity in 2014</w:t>
      </w:r>
      <w:r w:rsidR="00823D9D" w:rsidRPr="00E83E11">
        <w:rPr>
          <w:rFonts w:ascii="Arial" w:hAnsi="Arial" w:cs="Arial"/>
          <w:szCs w:val="24"/>
        </w:rPr>
        <w:t xml:space="preserve"> by reducing the amount of projected coal purchases to match the lower</w:t>
      </w:r>
      <w:r w:rsidR="003B2F40" w:rsidRPr="00E83E11">
        <w:rPr>
          <w:rFonts w:ascii="Arial" w:hAnsi="Arial" w:cs="Arial"/>
          <w:szCs w:val="24"/>
        </w:rPr>
        <w:t xml:space="preserve"> expected coal burn for the period.</w:t>
      </w:r>
    </w:p>
    <w:p w:rsidR="00487480" w:rsidRPr="00E83E11" w:rsidRDefault="00487480">
      <w:pPr>
        <w:spacing w:line="480" w:lineRule="atLeast"/>
        <w:ind w:left="720" w:hanging="720"/>
        <w:rPr>
          <w:rFonts w:ascii="Arial" w:hAnsi="Arial" w:cs="Arial"/>
          <w:szCs w:val="24"/>
        </w:rPr>
      </w:pPr>
    </w:p>
    <w:p w:rsidR="000450B9" w:rsidRPr="00E83E11" w:rsidRDefault="000450B9">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If Gulf is projecting lower coal consumption in this case than </w:t>
      </w:r>
      <w:r w:rsidR="00276C98" w:rsidRPr="00E83E11">
        <w:rPr>
          <w:rFonts w:ascii="Arial" w:hAnsi="Arial" w:cs="Arial"/>
          <w:szCs w:val="24"/>
        </w:rPr>
        <w:t>its</w:t>
      </w:r>
      <w:r w:rsidR="00D809AD" w:rsidRPr="00E83E11">
        <w:rPr>
          <w:rFonts w:ascii="Arial" w:hAnsi="Arial" w:cs="Arial"/>
          <w:szCs w:val="24"/>
        </w:rPr>
        <w:t xml:space="preserve"> </w:t>
      </w:r>
      <w:r w:rsidRPr="00E83E11">
        <w:rPr>
          <w:rFonts w:ascii="Arial" w:hAnsi="Arial" w:cs="Arial"/>
          <w:szCs w:val="24"/>
        </w:rPr>
        <w:t>last case, why hasn’t the volume of coal held in inventory declined?</w:t>
      </w:r>
    </w:p>
    <w:p w:rsidR="004239F0" w:rsidRPr="00E83E11" w:rsidRDefault="00A01093">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 simple answer is that Gulf’s coal stockpiles are tied to NFL days rather than projected burn days.</w:t>
      </w:r>
      <w:r w:rsidR="004239F0" w:rsidRPr="00E83E11">
        <w:rPr>
          <w:rFonts w:ascii="Arial" w:hAnsi="Arial" w:cs="Arial"/>
          <w:szCs w:val="24"/>
        </w:rPr>
        <w:t xml:space="preserve"> </w:t>
      </w:r>
    </w:p>
    <w:p w:rsidR="00161A34" w:rsidRPr="00E83E11" w:rsidRDefault="00161A34">
      <w:pPr>
        <w:spacing w:line="480" w:lineRule="atLeast"/>
        <w:ind w:left="720" w:hanging="720"/>
        <w:rPr>
          <w:rFonts w:ascii="Arial" w:hAnsi="Arial" w:cs="Arial"/>
          <w:szCs w:val="24"/>
        </w:rPr>
      </w:pPr>
    </w:p>
    <w:p w:rsidR="004239F0" w:rsidRPr="00E83E11" w:rsidRDefault="004239F0">
      <w:pPr>
        <w:spacing w:line="480" w:lineRule="atLeast"/>
        <w:ind w:left="720"/>
        <w:rPr>
          <w:rFonts w:ascii="Arial" w:hAnsi="Arial" w:cs="Arial"/>
          <w:szCs w:val="24"/>
        </w:rPr>
      </w:pPr>
      <w:r w:rsidRPr="00E83E11">
        <w:rPr>
          <w:rFonts w:ascii="Arial" w:hAnsi="Arial" w:cs="Arial"/>
          <w:szCs w:val="24"/>
        </w:rPr>
        <w:t xml:space="preserve">Coal stockpile levels based upon NFL are an assurance of reliability to Gulf’s customers.  If Gulf’s coal units have to run at full load for an extended period of time to assure customer reliability, Gulf needs to be able to assure two factors: (1) unit availability and (2) sufficient fuel supply. As I discussed previously, Gulf is an industry leader in unit availability.  Gulf also follows a coal inventory policy that assures when its coal units are needed </w:t>
      </w:r>
      <w:r w:rsidR="00873718" w:rsidRPr="00E83E11">
        <w:rPr>
          <w:rFonts w:ascii="Arial" w:hAnsi="Arial" w:cs="Arial"/>
          <w:szCs w:val="24"/>
        </w:rPr>
        <w:t>to serve our customers</w:t>
      </w:r>
      <w:r w:rsidRPr="00E83E11">
        <w:rPr>
          <w:rFonts w:ascii="Arial" w:hAnsi="Arial" w:cs="Arial"/>
          <w:szCs w:val="24"/>
        </w:rPr>
        <w:t>, there is enough fuel on site to assure pe</w:t>
      </w:r>
      <w:r w:rsidR="00EC0547" w:rsidRPr="00E83E11">
        <w:rPr>
          <w:rFonts w:ascii="Arial" w:hAnsi="Arial" w:cs="Arial"/>
          <w:szCs w:val="24"/>
        </w:rPr>
        <w:t>rformance.</w:t>
      </w:r>
    </w:p>
    <w:p w:rsidR="00EC0547" w:rsidRPr="00E83E11" w:rsidRDefault="00EC0547">
      <w:pPr>
        <w:spacing w:line="480" w:lineRule="atLeast"/>
        <w:ind w:left="720" w:hanging="720"/>
        <w:rPr>
          <w:rFonts w:ascii="Arial" w:hAnsi="Arial" w:cs="Arial"/>
          <w:szCs w:val="24"/>
        </w:rPr>
      </w:pPr>
    </w:p>
    <w:p w:rsidR="00EC0547" w:rsidRPr="00E83E11" w:rsidRDefault="00EC0547">
      <w:pPr>
        <w:spacing w:line="480" w:lineRule="atLeast"/>
        <w:ind w:left="720"/>
        <w:rPr>
          <w:rFonts w:ascii="Arial" w:hAnsi="Arial" w:cs="Arial"/>
          <w:szCs w:val="24"/>
        </w:rPr>
      </w:pPr>
      <w:r w:rsidRPr="00E83E11">
        <w:rPr>
          <w:rFonts w:ascii="Arial" w:hAnsi="Arial" w:cs="Arial"/>
          <w:szCs w:val="24"/>
        </w:rPr>
        <w:t xml:space="preserve">Extended coal unit performance can be needed </w:t>
      </w:r>
      <w:r w:rsidR="00873718" w:rsidRPr="00E83E11">
        <w:rPr>
          <w:rFonts w:ascii="Arial" w:hAnsi="Arial" w:cs="Arial"/>
          <w:szCs w:val="24"/>
        </w:rPr>
        <w:t xml:space="preserve">to serve our </w:t>
      </w:r>
      <w:r w:rsidRPr="00E83E11">
        <w:rPr>
          <w:rFonts w:ascii="Arial" w:hAnsi="Arial" w:cs="Arial"/>
          <w:szCs w:val="24"/>
        </w:rPr>
        <w:t>customers for a variety of reasons.  Of course, swings in the relative prices of coal and gas can result in greater coal dispatch.  However, beyond economics, there are a host of reasons that Gulf’s coal units may be needed for reliability purposes: outages at gas fired units, transmission outages on lines from gas units, or natural gas supply interruptions.  In addition, disruptions in the supply or transportation of coal, which can</w:t>
      </w:r>
      <w:r w:rsidR="00276C98" w:rsidRPr="00E83E11">
        <w:rPr>
          <w:rFonts w:ascii="Arial" w:hAnsi="Arial" w:cs="Arial"/>
          <w:szCs w:val="24"/>
        </w:rPr>
        <w:t xml:space="preserve"> also</w:t>
      </w:r>
      <w:r w:rsidRPr="00E83E11">
        <w:rPr>
          <w:rFonts w:ascii="Arial" w:hAnsi="Arial" w:cs="Arial"/>
          <w:szCs w:val="24"/>
        </w:rPr>
        <w:t xml:space="preserve"> be caused by barge or train interruptions, also dictate a need to assure adequate coal stockpiles.</w:t>
      </w:r>
    </w:p>
    <w:p w:rsidR="00EC0547" w:rsidRPr="00E83E11" w:rsidRDefault="00EC0547">
      <w:pPr>
        <w:spacing w:line="480" w:lineRule="atLeast"/>
        <w:ind w:left="720" w:hanging="720"/>
        <w:rPr>
          <w:rFonts w:ascii="Arial" w:hAnsi="Arial" w:cs="Arial"/>
          <w:szCs w:val="24"/>
        </w:rPr>
      </w:pPr>
    </w:p>
    <w:p w:rsidR="00EC0547" w:rsidRPr="00E83E11" w:rsidRDefault="00EC0547">
      <w:pPr>
        <w:spacing w:line="480" w:lineRule="atLeast"/>
        <w:ind w:left="720"/>
        <w:rPr>
          <w:rFonts w:ascii="Arial" w:hAnsi="Arial" w:cs="Arial"/>
          <w:szCs w:val="24"/>
        </w:rPr>
      </w:pPr>
      <w:r w:rsidRPr="00E83E11">
        <w:rPr>
          <w:rFonts w:ascii="Arial" w:hAnsi="Arial" w:cs="Arial"/>
          <w:szCs w:val="24"/>
        </w:rPr>
        <w:t xml:space="preserve">Having an adequate supply of coal on hand for events that trigger reliability challenges is not unlike having a reserve margin in place for generation.  We have more capacity available than is needed to just meet needs because sometimes units are not available.  Limitations on fuel create the same reliability threats.  It does </w:t>
      </w:r>
      <w:r w:rsidR="006C1326" w:rsidRPr="00E83E11">
        <w:rPr>
          <w:rFonts w:ascii="Arial" w:hAnsi="Arial" w:cs="Arial"/>
          <w:szCs w:val="24"/>
        </w:rPr>
        <w:t>not benefit Gulf</w:t>
      </w:r>
      <w:r w:rsidR="00CC7E04" w:rsidRPr="00E83E11">
        <w:rPr>
          <w:rFonts w:ascii="Arial" w:hAnsi="Arial" w:cs="Arial"/>
          <w:szCs w:val="24"/>
        </w:rPr>
        <w:t>’s</w:t>
      </w:r>
      <w:r w:rsidRPr="00E83E11">
        <w:rPr>
          <w:rFonts w:ascii="Arial" w:hAnsi="Arial" w:cs="Arial"/>
          <w:szCs w:val="24"/>
        </w:rPr>
        <w:t xml:space="preserve"> customers to have generation in reserve to meet reliability issues if those units do not have sufficient fuel to operate as needed.  So inventory levels are determined not by projected burn, but by amounts necessary to assure reliability.</w:t>
      </w:r>
    </w:p>
    <w:p w:rsidR="00EC0547" w:rsidRPr="00E83E11" w:rsidRDefault="00EC0547">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Why does Gulf include an amount in working capital for in-transit coal inventory?</w:t>
      </w:r>
    </w:p>
    <w:p w:rsidR="00310EED"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pays its coal suppliers upon loading of the coal into Gulf’s transportation equipment at the coal supplier’s originating facility.  Therefore, capital is invested in coal that has not yet been received at the destination generating plants.  A major portion of Gulf’s coal supply is delivered by rail to an intermediate coal blending/transfer facility located in Mobile, Alabama and then by barge to the Crist and Smith generating plants.  A considerable amount of time is involved in the process of transporting coal from the origin mine to the intermediate blending and barge loading location and then transporting the coal to the final destination plant stockpile.  This investment in coal that is in-transit should be included in the working capital component of Gulf’s rate base. </w:t>
      </w:r>
    </w:p>
    <w:p w:rsidR="006D2C76" w:rsidRPr="00E83E11" w:rsidRDefault="006D2C76">
      <w:pPr>
        <w:spacing w:line="480" w:lineRule="atLeast"/>
        <w:ind w:left="720" w:hanging="720"/>
        <w:rPr>
          <w:rFonts w:ascii="Arial" w:hAnsi="Arial" w:cs="Arial"/>
          <w:szCs w:val="24"/>
        </w:rPr>
      </w:pPr>
    </w:p>
    <w:p w:rsidR="00310EED" w:rsidRPr="00E83E11" w:rsidRDefault="00310EED">
      <w:pPr>
        <w:tabs>
          <w:tab w:val="left" w:pos="0"/>
          <w:tab w:val="left" w:pos="450"/>
          <w:tab w:val="left" w:pos="1440"/>
        </w:tabs>
        <w:spacing w:line="480" w:lineRule="atLeast"/>
        <w:ind w:left="720" w:hanging="720"/>
        <w:rPr>
          <w:rFonts w:ascii="Arial" w:hAnsi="Arial" w:cs="Arial"/>
          <w:szCs w:val="24"/>
        </w:rPr>
      </w:pPr>
      <w:r w:rsidRPr="00E83E11">
        <w:rPr>
          <w:rFonts w:ascii="Arial" w:hAnsi="Arial" w:cs="Arial"/>
          <w:szCs w:val="24"/>
        </w:rPr>
        <w:t>Q.</w:t>
      </w:r>
      <w:r w:rsidR="00C12C5F" w:rsidRPr="00E83E11">
        <w:rPr>
          <w:rFonts w:ascii="Arial" w:hAnsi="Arial" w:cs="Arial"/>
          <w:szCs w:val="24"/>
        </w:rPr>
        <w:tab/>
      </w:r>
      <w:r w:rsidR="00C12C5F" w:rsidRPr="00E83E11">
        <w:rPr>
          <w:rFonts w:ascii="Arial" w:hAnsi="Arial" w:cs="Arial"/>
          <w:szCs w:val="24"/>
        </w:rPr>
        <w:tab/>
      </w:r>
      <w:r w:rsidRPr="00E83E11">
        <w:rPr>
          <w:rFonts w:ascii="Arial" w:hAnsi="Arial" w:cs="Arial"/>
          <w:szCs w:val="24"/>
        </w:rPr>
        <w:t>How does the amount for in-transit coal that you included in your request for working capital compare to the amount included in the previous rate case?</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 amount of in-transit coal included in the test year fuel inventory request is $10,809,000.  This compares to $10,368,000 included in the previous rate case.  The increase is due primarily to an increase in the projected market price of coal in 2014 offset by a lower projected quantity of coal in-transit.</w:t>
      </w:r>
    </w:p>
    <w:p w:rsidR="00823D9D" w:rsidRPr="00E83E11" w:rsidRDefault="00823D9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What is Gulf’s </w:t>
      </w:r>
      <w:r w:rsidR="00D6542F" w:rsidRPr="00E83E11">
        <w:rPr>
          <w:rFonts w:ascii="Arial" w:hAnsi="Arial" w:cs="Arial"/>
          <w:szCs w:val="24"/>
        </w:rPr>
        <w:t>natural gas</w:t>
      </w:r>
      <w:r w:rsidR="000C56E8" w:rsidRPr="00E83E11">
        <w:rPr>
          <w:rFonts w:ascii="Arial" w:hAnsi="Arial" w:cs="Arial"/>
          <w:szCs w:val="24"/>
        </w:rPr>
        <w:t xml:space="preserve"> storage</w:t>
      </w:r>
      <w:r w:rsidR="00D6542F" w:rsidRPr="00E83E11">
        <w:rPr>
          <w:rFonts w:ascii="Arial" w:hAnsi="Arial" w:cs="Arial"/>
          <w:szCs w:val="24"/>
        </w:rPr>
        <w:t xml:space="preserve"> policy?</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r>
      <w:r w:rsidR="00B211F6" w:rsidRPr="00E83E11">
        <w:rPr>
          <w:rFonts w:ascii="Arial" w:hAnsi="Arial" w:cs="Arial"/>
          <w:szCs w:val="24"/>
        </w:rPr>
        <w:t>Gulf’</w:t>
      </w:r>
      <w:r w:rsidR="000C56E8" w:rsidRPr="00E83E11">
        <w:rPr>
          <w:rFonts w:ascii="Arial" w:hAnsi="Arial" w:cs="Arial"/>
          <w:szCs w:val="24"/>
        </w:rPr>
        <w:t>s</w:t>
      </w:r>
      <w:r w:rsidRPr="00E83E11">
        <w:rPr>
          <w:rFonts w:ascii="Arial" w:hAnsi="Arial" w:cs="Arial"/>
          <w:szCs w:val="24"/>
        </w:rPr>
        <w:t xml:space="preserve"> Natural Gas Policy requires that base load combined cycle units have firm gas storage capacity and gas transportation for system reliability purposes.  The gas storage capacity requirement must be met before a gas fired combined cycle unit will be accepted as electric generating capacity for purposes of meeting an operating company’s reserve capacity margin obligation. The purpose of the policy is to maintain a certain portion of a generating plant’s natural gas supply requirement in storage to provide natural gas supply during gas supply interruptions caused by pipeline and compressor station failures, hurricanes, well freezes, etc.  In addition, having available gas storage capacity for pipeline balancing is necessary to avoid penalties imposed by pipelines for large swings in daily and hourly demands when the generating unit is economically dispatched or when other sudden changes, like plant outages, cause a swing in demand.</w:t>
      </w:r>
    </w:p>
    <w:p w:rsidR="00310EED" w:rsidRPr="00E83E11" w:rsidRDefault="00310EED">
      <w:pPr>
        <w:spacing w:line="480" w:lineRule="atLeast"/>
        <w:ind w:left="720"/>
        <w:rPr>
          <w:rFonts w:ascii="Arial" w:hAnsi="Arial" w:cs="Arial"/>
          <w:szCs w:val="24"/>
        </w:rPr>
      </w:pPr>
    </w:p>
    <w:p w:rsidR="00310EED" w:rsidRDefault="00310EED">
      <w:pPr>
        <w:spacing w:line="480" w:lineRule="atLeast"/>
        <w:ind w:left="720"/>
        <w:rPr>
          <w:rFonts w:ascii="Arial" w:hAnsi="Arial" w:cs="Arial"/>
          <w:szCs w:val="24"/>
        </w:rPr>
      </w:pPr>
      <w:r w:rsidRPr="00E83E11">
        <w:rPr>
          <w:rFonts w:ascii="Arial" w:hAnsi="Arial" w:cs="Arial"/>
          <w:szCs w:val="24"/>
        </w:rPr>
        <w:t xml:space="preserve">As was approved in the previous rate case, Gulf has a target of 15 NFL burn days of natural gas storage capacity for Smith Unit 3.  To meet the storage capacity needs of Smith Unit 3, Gulf currently has contract capacity rights in two salt dome gas storage facilities, Bay Gas Storage located near McIntosh, Alabama and Southern Pines Energy Center located near Richton, Mississippi.  The Bay Gas Storage agreement provides 915,501 </w:t>
      </w:r>
      <w:proofErr w:type="spellStart"/>
      <w:r w:rsidR="007B6F36" w:rsidRPr="00E83E11">
        <w:rPr>
          <w:rFonts w:ascii="Arial" w:hAnsi="Arial" w:cs="Arial"/>
          <w:szCs w:val="24"/>
        </w:rPr>
        <w:t>Mcf</w:t>
      </w:r>
      <w:proofErr w:type="spellEnd"/>
      <w:r w:rsidRPr="00E83E11">
        <w:rPr>
          <w:rFonts w:ascii="Arial" w:hAnsi="Arial" w:cs="Arial"/>
          <w:szCs w:val="24"/>
        </w:rPr>
        <w:t xml:space="preserve"> of gas storage capacity and the Southern Pines Energy Center provides 355,190 </w:t>
      </w:r>
      <w:proofErr w:type="spellStart"/>
      <w:r w:rsidR="007B6F36" w:rsidRPr="00E83E11">
        <w:rPr>
          <w:rFonts w:ascii="Arial" w:hAnsi="Arial" w:cs="Arial"/>
          <w:szCs w:val="24"/>
        </w:rPr>
        <w:t>Mcf</w:t>
      </w:r>
      <w:proofErr w:type="spellEnd"/>
      <w:r w:rsidRPr="00E83E11">
        <w:rPr>
          <w:rFonts w:ascii="Arial" w:hAnsi="Arial" w:cs="Arial"/>
          <w:szCs w:val="24"/>
        </w:rPr>
        <w:t xml:space="preserve"> of gas storage capacity. This provides Smith Plant with 15 NFL burn days of storage capacity.</w:t>
      </w:r>
    </w:p>
    <w:p w:rsidR="009C27AB" w:rsidRPr="00E83E11" w:rsidRDefault="009C27AB">
      <w:pPr>
        <w:spacing w:line="480" w:lineRule="atLeast"/>
        <w:ind w:left="720"/>
        <w:rPr>
          <w:rFonts w:ascii="Arial" w:hAnsi="Arial" w:cs="Arial"/>
          <w:szCs w:val="24"/>
        </w:rPr>
      </w:pPr>
    </w:p>
    <w:p w:rsidR="00310EED" w:rsidRPr="00E83E11" w:rsidRDefault="00310EED">
      <w:pPr>
        <w:spacing w:line="480" w:lineRule="atLeast"/>
        <w:ind w:left="720"/>
        <w:rPr>
          <w:rFonts w:ascii="Arial" w:hAnsi="Arial" w:cs="Arial"/>
          <w:szCs w:val="24"/>
        </w:rPr>
      </w:pPr>
      <w:r w:rsidRPr="00E83E11">
        <w:rPr>
          <w:rFonts w:ascii="Arial" w:hAnsi="Arial" w:cs="Arial"/>
          <w:szCs w:val="24"/>
        </w:rPr>
        <w:t xml:space="preserve">Gulf has completed a contract for gas storage capacity with Leaf River Energy Center, a salt dome storage facility located near Taylorsville, </w:t>
      </w:r>
      <w:r w:rsidR="00B720A7" w:rsidRPr="00E83E11">
        <w:rPr>
          <w:rFonts w:ascii="Arial" w:hAnsi="Arial" w:cs="Arial"/>
          <w:szCs w:val="24"/>
        </w:rPr>
        <w:t xml:space="preserve">Mississippi. </w:t>
      </w:r>
      <w:r w:rsidRPr="00E83E11">
        <w:rPr>
          <w:rFonts w:ascii="Arial" w:hAnsi="Arial" w:cs="Arial"/>
          <w:szCs w:val="24"/>
        </w:rPr>
        <w:t xml:space="preserve">This agreement provides 10 NFL days or 1,265,823 </w:t>
      </w:r>
      <w:proofErr w:type="spellStart"/>
      <w:r w:rsidR="007B6F36" w:rsidRPr="00E83E11">
        <w:rPr>
          <w:rFonts w:ascii="Arial" w:hAnsi="Arial" w:cs="Arial"/>
          <w:szCs w:val="24"/>
        </w:rPr>
        <w:t>Mcf</w:t>
      </w:r>
      <w:proofErr w:type="spellEnd"/>
      <w:r w:rsidRPr="00E83E11">
        <w:rPr>
          <w:rFonts w:ascii="Arial" w:hAnsi="Arial" w:cs="Arial"/>
          <w:szCs w:val="24"/>
        </w:rPr>
        <w:t xml:space="preserve"> of gas storage capa</w:t>
      </w:r>
      <w:r w:rsidR="00340A45" w:rsidRPr="00E83E11">
        <w:rPr>
          <w:rFonts w:ascii="Arial" w:hAnsi="Arial" w:cs="Arial"/>
          <w:szCs w:val="24"/>
        </w:rPr>
        <w:t>city for the Central Alabama facility</w:t>
      </w:r>
      <w:r w:rsidRPr="00E83E11">
        <w:rPr>
          <w:rFonts w:ascii="Arial" w:hAnsi="Arial" w:cs="Arial"/>
          <w:szCs w:val="24"/>
        </w:rPr>
        <w:t xml:space="preserve"> and </w:t>
      </w:r>
      <w:r w:rsidR="00350D27" w:rsidRPr="00E83E11">
        <w:rPr>
          <w:rFonts w:ascii="Arial" w:hAnsi="Arial" w:cs="Arial"/>
          <w:szCs w:val="24"/>
        </w:rPr>
        <w:t>is</w:t>
      </w:r>
      <w:r w:rsidRPr="00E83E11">
        <w:rPr>
          <w:rFonts w:ascii="Arial" w:hAnsi="Arial" w:cs="Arial"/>
          <w:szCs w:val="24"/>
        </w:rPr>
        <w:t xml:space="preserve"> effective April 1, 2013 through May 31, 2023 when the PPA expires.  </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What is Gulf’s forecasted natural gas inventory level for the test year?</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projects a 13 month average natural gas inventory of 1,619,613 </w:t>
      </w:r>
      <w:proofErr w:type="spellStart"/>
      <w:r w:rsidR="007B6F36" w:rsidRPr="00E83E11">
        <w:rPr>
          <w:rFonts w:ascii="Arial" w:hAnsi="Arial" w:cs="Arial"/>
          <w:szCs w:val="24"/>
        </w:rPr>
        <w:t>Mcf</w:t>
      </w:r>
      <w:proofErr w:type="spellEnd"/>
      <w:r w:rsidRPr="00E83E11">
        <w:rPr>
          <w:rFonts w:ascii="Arial" w:hAnsi="Arial" w:cs="Arial"/>
          <w:szCs w:val="24"/>
        </w:rPr>
        <w:t xml:space="preserve"> for the test year and has included $7,2</w:t>
      </w:r>
      <w:r w:rsidR="0040123A">
        <w:rPr>
          <w:rFonts w:ascii="Arial" w:hAnsi="Arial" w:cs="Arial"/>
          <w:szCs w:val="24"/>
        </w:rPr>
        <w:t>1</w:t>
      </w:r>
      <w:r w:rsidR="00863C95" w:rsidRPr="00E83E11">
        <w:rPr>
          <w:rFonts w:ascii="Arial" w:hAnsi="Arial" w:cs="Arial"/>
          <w:szCs w:val="24"/>
        </w:rPr>
        <w:t>0</w:t>
      </w:r>
      <w:r w:rsidRPr="00E83E11">
        <w:rPr>
          <w:rFonts w:ascii="Arial" w:hAnsi="Arial" w:cs="Arial"/>
          <w:szCs w:val="24"/>
        </w:rPr>
        <w:t xml:space="preserve">,000 in working capital for this gas storage amount.  This quantity of gas inventory is equal to 10 NFL burn days for Gulf’s Smith Plant Unit 3 and </w:t>
      </w:r>
      <w:r w:rsidR="00D96196">
        <w:rPr>
          <w:rFonts w:ascii="Arial" w:hAnsi="Arial" w:cs="Arial"/>
          <w:szCs w:val="24"/>
        </w:rPr>
        <w:t>six</w:t>
      </w:r>
      <w:r w:rsidRPr="00E83E11">
        <w:rPr>
          <w:rFonts w:ascii="Arial" w:hAnsi="Arial" w:cs="Arial"/>
          <w:szCs w:val="24"/>
        </w:rPr>
        <w:t xml:space="preserve"> NFL burn days for Gulf’s PPA with Centra</w:t>
      </w:r>
      <w:r w:rsidR="00D6542F" w:rsidRPr="00E83E11">
        <w:rPr>
          <w:rFonts w:ascii="Arial" w:hAnsi="Arial" w:cs="Arial"/>
          <w:szCs w:val="24"/>
        </w:rPr>
        <w:t>l Alabama combined cycle units.</w:t>
      </w:r>
    </w:p>
    <w:p w:rsidR="00310EED" w:rsidRPr="00E83E11" w:rsidRDefault="00310EED">
      <w:pPr>
        <w:spacing w:line="480" w:lineRule="atLeast"/>
        <w:ind w:left="720" w:hanging="720"/>
        <w:rPr>
          <w:rFonts w:ascii="Arial" w:hAnsi="Arial" w:cs="Arial"/>
          <w:szCs w:val="24"/>
        </w:rPr>
      </w:pPr>
    </w:p>
    <w:p w:rsidR="00310EED"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 xml:space="preserve">Why are the 13 month average natural gas inventory levels of approximately 10 NFL burn days at Plant Smith and </w:t>
      </w:r>
      <w:r w:rsidR="00D96196">
        <w:rPr>
          <w:rFonts w:ascii="Arial" w:hAnsi="Arial" w:cs="Arial"/>
          <w:szCs w:val="24"/>
        </w:rPr>
        <w:t>six</w:t>
      </w:r>
      <w:r w:rsidRPr="00E83E11">
        <w:rPr>
          <w:rFonts w:ascii="Arial" w:hAnsi="Arial" w:cs="Arial"/>
          <w:szCs w:val="24"/>
        </w:rPr>
        <w:t xml:space="preserve"> NFL burn</w:t>
      </w:r>
      <w:r w:rsidR="00340A45" w:rsidRPr="00E83E11">
        <w:rPr>
          <w:rFonts w:ascii="Arial" w:hAnsi="Arial" w:cs="Arial"/>
          <w:szCs w:val="24"/>
        </w:rPr>
        <w:t xml:space="preserve"> days at the Central Alabama facility</w:t>
      </w:r>
      <w:r w:rsidRPr="00E83E11">
        <w:rPr>
          <w:rFonts w:ascii="Arial" w:hAnsi="Arial" w:cs="Arial"/>
          <w:szCs w:val="24"/>
        </w:rPr>
        <w:t xml:space="preserve"> lower than the contracted gas storage capacities of 15 and </w:t>
      </w:r>
      <w:r w:rsidR="00D6542F" w:rsidRPr="00E83E11">
        <w:rPr>
          <w:rFonts w:ascii="Arial" w:hAnsi="Arial" w:cs="Arial"/>
          <w:szCs w:val="24"/>
        </w:rPr>
        <w:t>10 NFL burn days, respectively?</w:t>
      </w:r>
    </w:p>
    <w:p w:rsidR="009C27AB" w:rsidRPr="00E83E11" w:rsidRDefault="009C27AB">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There are different target gas inventory amounts for each month of the year</w:t>
      </w:r>
    </w:p>
    <w:p w:rsidR="00310EED" w:rsidRPr="00E83E11" w:rsidRDefault="00310EED" w:rsidP="00134113">
      <w:pPr>
        <w:spacing w:line="480" w:lineRule="atLeast"/>
        <w:ind w:left="720"/>
        <w:rPr>
          <w:rFonts w:ascii="Arial" w:hAnsi="Arial" w:cs="Arial"/>
          <w:szCs w:val="24"/>
        </w:rPr>
      </w:pPr>
      <w:proofErr w:type="gramStart"/>
      <w:r w:rsidRPr="00E83E11">
        <w:rPr>
          <w:rFonts w:ascii="Arial" w:hAnsi="Arial" w:cs="Arial"/>
          <w:szCs w:val="24"/>
        </w:rPr>
        <w:t>depending</w:t>
      </w:r>
      <w:proofErr w:type="gramEnd"/>
      <w:r w:rsidRPr="00E83E11">
        <w:rPr>
          <w:rFonts w:ascii="Arial" w:hAnsi="Arial" w:cs="Arial"/>
          <w:szCs w:val="24"/>
        </w:rPr>
        <w:t xml:space="preserve"> on the different supply risk for that month, but the average quantity of gas inventory of all months in the test year is </w:t>
      </w:r>
      <w:r w:rsidR="00D96196">
        <w:rPr>
          <w:rFonts w:ascii="Arial" w:hAnsi="Arial" w:cs="Arial"/>
          <w:szCs w:val="24"/>
        </w:rPr>
        <w:t>eight</w:t>
      </w:r>
      <w:r w:rsidRPr="00E83E11">
        <w:rPr>
          <w:rFonts w:ascii="Arial" w:hAnsi="Arial" w:cs="Arial"/>
          <w:szCs w:val="24"/>
        </w:rPr>
        <w:t xml:space="preserve"> NFL burn days.  Gulf maintains a lower quantity of natural gas in inventory than the capacity of the storage facility under contra</w:t>
      </w:r>
      <w:r w:rsidR="00D6542F" w:rsidRPr="00E83E11">
        <w:rPr>
          <w:rFonts w:ascii="Arial" w:hAnsi="Arial" w:cs="Arial"/>
          <w:szCs w:val="24"/>
        </w:rPr>
        <w:t>ct at any point in time because</w:t>
      </w:r>
      <w:r w:rsidR="003B2F40" w:rsidRPr="00E83E11">
        <w:rPr>
          <w:rFonts w:ascii="Arial" w:hAnsi="Arial" w:cs="Arial"/>
          <w:szCs w:val="24"/>
        </w:rPr>
        <w:t xml:space="preserve"> </w:t>
      </w:r>
      <w:r w:rsidRPr="00E83E11">
        <w:rPr>
          <w:rFonts w:ascii="Arial" w:hAnsi="Arial" w:cs="Arial"/>
          <w:szCs w:val="24"/>
        </w:rPr>
        <w:t>the open storage space is needed for supply balancing.  In other words, Gulf needs open space in the</w:t>
      </w:r>
      <w:r w:rsidRPr="00E83E11">
        <w:rPr>
          <w:rFonts w:ascii="Arial" w:hAnsi="Arial" w:cs="Arial"/>
          <w:color w:val="1F497D"/>
          <w:szCs w:val="24"/>
        </w:rPr>
        <w:t xml:space="preserve"> </w:t>
      </w:r>
      <w:r w:rsidRPr="00E83E11">
        <w:rPr>
          <w:rFonts w:ascii="Arial" w:hAnsi="Arial" w:cs="Arial"/>
          <w:szCs w:val="24"/>
        </w:rPr>
        <w:t>storage facility to allow for the injection of excess gas into storage if there is an operational issue at the plant and Gulf cannot consume the scheduled amount of gas at the generating plant.  The ability to place the excess gas into the storage facility is necessary to avoid violating the natural gas pipeline flow balancing requirements and avoid monetary penalties or losses on a forced sale of the excess gas.</w:t>
      </w:r>
    </w:p>
    <w:p w:rsidR="00310EED" w:rsidRPr="00E83E11" w:rsidRDefault="00310EE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the 13 month average natural gas inventory for the test year compare to the approved inventory from the last case?</w:t>
      </w:r>
    </w:p>
    <w:p w:rsidR="00D92B81"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was allowed an inventory 835,702 </w:t>
      </w:r>
      <w:proofErr w:type="spellStart"/>
      <w:r w:rsidR="007B6F36" w:rsidRPr="00E83E11">
        <w:rPr>
          <w:rFonts w:ascii="Arial" w:hAnsi="Arial" w:cs="Arial"/>
          <w:szCs w:val="24"/>
        </w:rPr>
        <w:t>Mcf</w:t>
      </w:r>
      <w:proofErr w:type="spellEnd"/>
      <w:r w:rsidRPr="00E83E11">
        <w:rPr>
          <w:rFonts w:ascii="Arial" w:hAnsi="Arial" w:cs="Arial"/>
          <w:szCs w:val="24"/>
        </w:rPr>
        <w:t xml:space="preserve"> and $4,300,000 in working capital for gas inventory in the last rate case.  Gulf is requesting a natural gas fuel inventory of 1,619,613 </w:t>
      </w:r>
      <w:proofErr w:type="spellStart"/>
      <w:r w:rsidR="007B6F36" w:rsidRPr="00E83E11">
        <w:rPr>
          <w:rFonts w:ascii="Arial" w:hAnsi="Arial" w:cs="Arial"/>
          <w:szCs w:val="24"/>
        </w:rPr>
        <w:t>Mcf</w:t>
      </w:r>
      <w:proofErr w:type="spellEnd"/>
      <w:r w:rsidRPr="00E83E11">
        <w:rPr>
          <w:rFonts w:ascii="Arial" w:hAnsi="Arial" w:cs="Arial"/>
          <w:szCs w:val="24"/>
        </w:rPr>
        <w:t xml:space="preserve"> and $7,2</w:t>
      </w:r>
      <w:r w:rsidR="0040123A">
        <w:rPr>
          <w:rFonts w:ascii="Arial" w:hAnsi="Arial" w:cs="Arial"/>
          <w:szCs w:val="24"/>
        </w:rPr>
        <w:t>1</w:t>
      </w:r>
      <w:r w:rsidRPr="00E83E11">
        <w:rPr>
          <w:rFonts w:ascii="Arial" w:hAnsi="Arial" w:cs="Arial"/>
          <w:szCs w:val="24"/>
        </w:rPr>
        <w:t xml:space="preserve">0,000 in this case. The amount of natural gas inventory in the test year is 783,911 </w:t>
      </w:r>
      <w:proofErr w:type="spellStart"/>
      <w:r w:rsidR="007B6F36" w:rsidRPr="00E83E11">
        <w:rPr>
          <w:rFonts w:ascii="Arial" w:hAnsi="Arial" w:cs="Arial"/>
          <w:szCs w:val="24"/>
        </w:rPr>
        <w:t>Mcf</w:t>
      </w:r>
      <w:proofErr w:type="spellEnd"/>
      <w:r w:rsidRPr="00E83E11">
        <w:rPr>
          <w:rFonts w:ascii="Arial" w:hAnsi="Arial" w:cs="Arial"/>
          <w:szCs w:val="24"/>
        </w:rPr>
        <w:t xml:space="preserve"> and $2,9</w:t>
      </w:r>
      <w:r w:rsidR="0040123A">
        <w:rPr>
          <w:rFonts w:ascii="Arial" w:hAnsi="Arial" w:cs="Arial"/>
          <w:szCs w:val="24"/>
        </w:rPr>
        <w:t>1</w:t>
      </w:r>
      <w:r w:rsidRPr="00E83E11">
        <w:rPr>
          <w:rFonts w:ascii="Arial" w:hAnsi="Arial" w:cs="Arial"/>
          <w:szCs w:val="24"/>
        </w:rPr>
        <w:t>0,000 higher than the amount approved in the last case.</w:t>
      </w:r>
      <w:r w:rsidR="00D92B81" w:rsidRPr="00E83E11">
        <w:rPr>
          <w:rFonts w:ascii="Arial" w:hAnsi="Arial" w:cs="Arial"/>
          <w:szCs w:val="24"/>
        </w:rPr>
        <w:t xml:space="preserve">  The costs associated with this higher volume of inventory are somewhat offset by a lower average unit cost of gas than in Gulf’s last rate case.</w:t>
      </w:r>
    </w:p>
    <w:p w:rsidR="00D92B81" w:rsidRPr="00E83E11" w:rsidRDefault="00D92B81">
      <w:pPr>
        <w:spacing w:line="480" w:lineRule="atLeast"/>
        <w:ind w:left="720" w:hanging="720"/>
        <w:rPr>
          <w:rFonts w:ascii="Arial" w:hAnsi="Arial" w:cs="Arial"/>
          <w:szCs w:val="24"/>
        </w:rPr>
      </w:pPr>
    </w:p>
    <w:p w:rsidR="00D92B81" w:rsidRDefault="00D92B81">
      <w:pPr>
        <w:widowControl w:val="0"/>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explain the increase in the volume of natural gas inventory in this case compared to Gulf’s last rate case.</w:t>
      </w:r>
    </w:p>
    <w:p w:rsidR="009C27AB" w:rsidRPr="00E83E11" w:rsidRDefault="009C27AB">
      <w:pPr>
        <w:widowControl w:val="0"/>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As shown on Exhibit MLB-1 Schedule 5, the higher volume of natural gas</w:t>
      </w:r>
    </w:p>
    <w:p w:rsidR="00310EED" w:rsidRPr="00E83E11" w:rsidRDefault="00153515" w:rsidP="00134113">
      <w:pPr>
        <w:spacing w:line="480" w:lineRule="atLeast"/>
        <w:ind w:left="720"/>
        <w:rPr>
          <w:rFonts w:ascii="Arial" w:hAnsi="Arial" w:cs="Arial"/>
          <w:szCs w:val="24"/>
        </w:rPr>
      </w:pPr>
      <w:proofErr w:type="gramStart"/>
      <w:r w:rsidRPr="00E83E11">
        <w:rPr>
          <w:rFonts w:ascii="Arial" w:hAnsi="Arial" w:cs="Arial"/>
          <w:szCs w:val="24"/>
        </w:rPr>
        <w:t>inventory</w:t>
      </w:r>
      <w:proofErr w:type="gramEnd"/>
      <w:r w:rsidRPr="00E83E11">
        <w:rPr>
          <w:rFonts w:ascii="Arial" w:hAnsi="Arial" w:cs="Arial"/>
          <w:szCs w:val="24"/>
        </w:rPr>
        <w:t xml:space="preserve"> in this rate case is due to the Central Alabama</w:t>
      </w:r>
      <w:r w:rsidR="00863C95" w:rsidRPr="00E83E11">
        <w:rPr>
          <w:rFonts w:ascii="Arial" w:hAnsi="Arial" w:cs="Arial"/>
          <w:szCs w:val="24"/>
        </w:rPr>
        <w:t xml:space="preserve"> facility</w:t>
      </w:r>
      <w:r w:rsidR="005F047D" w:rsidRPr="00E83E11">
        <w:rPr>
          <w:rFonts w:ascii="Arial" w:hAnsi="Arial" w:cs="Arial"/>
          <w:szCs w:val="24"/>
        </w:rPr>
        <w:t xml:space="preserve"> being used to reduce customer fuel costs and the Central Alabama </w:t>
      </w:r>
      <w:r w:rsidR="00863C95" w:rsidRPr="00E83E11">
        <w:rPr>
          <w:rFonts w:ascii="Arial" w:hAnsi="Arial" w:cs="Arial"/>
          <w:szCs w:val="24"/>
        </w:rPr>
        <w:t>facility</w:t>
      </w:r>
      <w:r w:rsidR="005F047D" w:rsidRPr="00E83E11">
        <w:rPr>
          <w:rFonts w:ascii="Arial" w:hAnsi="Arial" w:cs="Arial"/>
          <w:szCs w:val="24"/>
        </w:rPr>
        <w:t xml:space="preserve"> </w:t>
      </w:r>
      <w:r w:rsidR="00D92B81" w:rsidRPr="00E83E11">
        <w:rPr>
          <w:rFonts w:ascii="Arial" w:hAnsi="Arial" w:cs="Arial"/>
          <w:szCs w:val="24"/>
        </w:rPr>
        <w:t>having been added as a firm</w:t>
      </w:r>
      <w:r w:rsidR="005F047D" w:rsidRPr="00E83E11">
        <w:rPr>
          <w:rFonts w:ascii="Arial" w:hAnsi="Arial" w:cs="Arial"/>
          <w:szCs w:val="24"/>
        </w:rPr>
        <w:t xml:space="preserve"> generating</w:t>
      </w:r>
      <w:r w:rsidR="00D92B81" w:rsidRPr="00E83E11">
        <w:rPr>
          <w:rFonts w:ascii="Arial" w:hAnsi="Arial" w:cs="Arial"/>
          <w:szCs w:val="24"/>
        </w:rPr>
        <w:t xml:space="preserve"> resource.</w:t>
      </w:r>
    </w:p>
    <w:p w:rsidR="00276C98" w:rsidRPr="00E83E11" w:rsidRDefault="00276C98">
      <w:pPr>
        <w:spacing w:line="480" w:lineRule="atLeast"/>
        <w:ind w:left="720" w:hanging="720"/>
        <w:rPr>
          <w:rFonts w:ascii="Arial" w:hAnsi="Arial" w:cs="Arial"/>
          <w:szCs w:val="24"/>
        </w:rPr>
      </w:pPr>
    </w:p>
    <w:p w:rsidR="00310EED" w:rsidRPr="00E83E11" w:rsidRDefault="005F047D">
      <w:pPr>
        <w:spacing w:line="480" w:lineRule="atLeast"/>
        <w:ind w:left="720"/>
        <w:rPr>
          <w:rFonts w:ascii="Arial" w:hAnsi="Arial" w:cs="Arial"/>
          <w:szCs w:val="24"/>
        </w:rPr>
      </w:pPr>
      <w:r w:rsidRPr="00E83E11">
        <w:rPr>
          <w:rFonts w:ascii="Arial" w:hAnsi="Arial" w:cs="Arial"/>
          <w:szCs w:val="24"/>
        </w:rPr>
        <w:t>In June 2014</w:t>
      </w:r>
      <w:r w:rsidR="00310EED" w:rsidRPr="00E83E11">
        <w:rPr>
          <w:rFonts w:ascii="Arial" w:hAnsi="Arial" w:cs="Arial"/>
          <w:szCs w:val="24"/>
        </w:rPr>
        <w:t xml:space="preserve">, the Central Alabama </w:t>
      </w:r>
      <w:r w:rsidRPr="00E83E11">
        <w:rPr>
          <w:rFonts w:ascii="Arial" w:hAnsi="Arial" w:cs="Arial"/>
          <w:szCs w:val="24"/>
        </w:rPr>
        <w:t xml:space="preserve">facility will </w:t>
      </w:r>
      <w:r w:rsidR="003D2A67" w:rsidRPr="00E83E11">
        <w:rPr>
          <w:rFonts w:ascii="Arial" w:hAnsi="Arial" w:cs="Arial"/>
          <w:szCs w:val="24"/>
        </w:rPr>
        <w:t>be</w:t>
      </w:r>
      <w:r w:rsidR="00310EED" w:rsidRPr="00E83E11">
        <w:rPr>
          <w:rFonts w:ascii="Arial" w:hAnsi="Arial" w:cs="Arial"/>
          <w:szCs w:val="24"/>
        </w:rPr>
        <w:t xml:space="preserve"> added as a firm generating resource for Gulf. Under that PPA, Gulf has the responsibility for providing natural gas supply for unit operation and as a result natural gas inventory has been included in the test year for this generating unit.  </w:t>
      </w:r>
      <w:r w:rsidRPr="00E83E11">
        <w:rPr>
          <w:rFonts w:ascii="Arial" w:hAnsi="Arial" w:cs="Arial"/>
          <w:szCs w:val="24"/>
        </w:rPr>
        <w:t>However, in June 2013 Gulf began carrying a gas inventory for the Central Alabama facility to enhance customer fuel savings.  The efficiency of the unit combined with low gas prices warranted a much higher dispatch. Such a dispatch achieved significant fuel savings, which have been and</w:t>
      </w:r>
      <w:r w:rsidR="0008399E" w:rsidRPr="00E83E11">
        <w:rPr>
          <w:rFonts w:ascii="Arial" w:hAnsi="Arial" w:cs="Arial"/>
          <w:szCs w:val="24"/>
        </w:rPr>
        <w:br/>
      </w:r>
      <w:r w:rsidR="00266F5E" w:rsidRPr="00E83E11">
        <w:rPr>
          <w:rFonts w:ascii="Arial" w:hAnsi="Arial" w:cs="Arial"/>
          <w:szCs w:val="24"/>
        </w:rPr>
        <w:t>will continue</w:t>
      </w:r>
      <w:r w:rsidR="0008399E" w:rsidRPr="00E83E11">
        <w:rPr>
          <w:rFonts w:ascii="Arial" w:hAnsi="Arial" w:cs="Arial"/>
          <w:szCs w:val="24"/>
        </w:rPr>
        <w:t xml:space="preserve"> to be passed on to customers in the fuel clause.  </w:t>
      </w:r>
      <w:r w:rsidR="0008399E" w:rsidRPr="00E83E11">
        <w:rPr>
          <w:rFonts w:ascii="Arial" w:hAnsi="Arial" w:cs="Arial"/>
          <w:szCs w:val="24"/>
        </w:rPr>
        <w:br/>
      </w:r>
      <w:r w:rsidRPr="00E83E11">
        <w:rPr>
          <w:rFonts w:ascii="Arial" w:hAnsi="Arial" w:cs="Arial"/>
          <w:szCs w:val="24"/>
        </w:rPr>
        <w:t>This decision simply advanced in time the firm resource inventory requirement.</w:t>
      </w:r>
    </w:p>
    <w:p w:rsidR="00310EED" w:rsidRPr="00E83E11" w:rsidRDefault="00310EED">
      <w:pPr>
        <w:spacing w:line="480" w:lineRule="atLeast"/>
        <w:ind w:left="720" w:hanging="720"/>
        <w:rPr>
          <w:rFonts w:ascii="Arial" w:hAnsi="Arial" w:cs="Arial"/>
          <w:b/>
          <w:i/>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the 13 month average unit cost of natural gas inventory for the test year compare to the amount used in the last rate case?</w:t>
      </w:r>
    </w:p>
    <w:p w:rsidR="006D2C76"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In the last rate case the average unit cost of natural gas in inventory was $5.15 per </w:t>
      </w:r>
      <w:proofErr w:type="spellStart"/>
      <w:r w:rsidR="007B6F36" w:rsidRPr="00E83E11">
        <w:rPr>
          <w:rFonts w:ascii="Arial" w:hAnsi="Arial" w:cs="Arial"/>
          <w:szCs w:val="24"/>
        </w:rPr>
        <w:t>Mcf</w:t>
      </w:r>
      <w:proofErr w:type="spellEnd"/>
      <w:r w:rsidRPr="00E83E11">
        <w:rPr>
          <w:rFonts w:ascii="Arial" w:hAnsi="Arial" w:cs="Arial"/>
          <w:szCs w:val="24"/>
        </w:rPr>
        <w:t xml:space="preserve">.  Since the last rate case the market price of natural gas has decreased due to a higher supply of natural gas in the market.  The current </w:t>
      </w:r>
    </w:p>
    <w:p w:rsidR="006D2C76" w:rsidRDefault="006D2C76">
      <w:pPr>
        <w:spacing w:line="480" w:lineRule="atLeast"/>
        <w:ind w:left="720" w:hanging="720"/>
        <w:rPr>
          <w:rFonts w:ascii="Arial" w:hAnsi="Arial" w:cs="Arial"/>
          <w:szCs w:val="24"/>
        </w:rPr>
      </w:pPr>
    </w:p>
    <w:p w:rsidR="00310EED" w:rsidRPr="00E83E11" w:rsidRDefault="006D2C76">
      <w:pPr>
        <w:spacing w:line="480" w:lineRule="atLeast"/>
        <w:ind w:left="720" w:hanging="720"/>
        <w:rPr>
          <w:rFonts w:ascii="Arial" w:hAnsi="Arial" w:cs="Arial"/>
          <w:szCs w:val="24"/>
        </w:rPr>
      </w:pPr>
      <w:r>
        <w:rPr>
          <w:rFonts w:ascii="Arial" w:hAnsi="Arial" w:cs="Arial"/>
          <w:szCs w:val="24"/>
        </w:rPr>
        <w:tab/>
      </w:r>
      <w:proofErr w:type="gramStart"/>
      <w:r w:rsidR="00310EED" w:rsidRPr="00E83E11">
        <w:rPr>
          <w:rFonts w:ascii="Arial" w:hAnsi="Arial" w:cs="Arial"/>
          <w:szCs w:val="24"/>
        </w:rPr>
        <w:t>average</w:t>
      </w:r>
      <w:proofErr w:type="gramEnd"/>
      <w:r w:rsidR="00310EED" w:rsidRPr="00E83E11">
        <w:rPr>
          <w:rFonts w:ascii="Arial" w:hAnsi="Arial" w:cs="Arial"/>
          <w:szCs w:val="24"/>
        </w:rPr>
        <w:t xml:space="preserve"> unit cost of natural gas used to calculate the total cost of Gulf natural gas inventory in the test year is $4.45 per </w:t>
      </w:r>
      <w:proofErr w:type="spellStart"/>
      <w:r w:rsidR="007B6F36" w:rsidRPr="00E83E11">
        <w:rPr>
          <w:rFonts w:ascii="Arial" w:hAnsi="Arial" w:cs="Arial"/>
          <w:szCs w:val="24"/>
        </w:rPr>
        <w:t>Mcf</w:t>
      </w:r>
      <w:proofErr w:type="spellEnd"/>
      <w:r w:rsidR="00310EED" w:rsidRPr="00E83E11">
        <w:rPr>
          <w:rFonts w:ascii="Arial" w:hAnsi="Arial" w:cs="Arial"/>
          <w:szCs w:val="24"/>
        </w:rPr>
        <w:t xml:space="preserve">. </w:t>
      </w:r>
    </w:p>
    <w:p w:rsidR="009C27AB" w:rsidRPr="00E83E11" w:rsidRDefault="009C27AB">
      <w:pPr>
        <w:spacing w:line="480" w:lineRule="atLeast"/>
        <w:ind w:left="720" w:hanging="720"/>
        <w:rPr>
          <w:rFonts w:ascii="Arial" w:hAnsi="Arial" w:cs="Arial"/>
          <w:szCs w:val="24"/>
        </w:rPr>
      </w:pPr>
    </w:p>
    <w:p w:rsidR="00310EED" w:rsidRDefault="00310EED">
      <w:pPr>
        <w:numPr>
          <w:ilvl w:val="0"/>
          <w:numId w:val="4"/>
        </w:numPr>
        <w:spacing w:line="480" w:lineRule="atLeast"/>
        <w:rPr>
          <w:rFonts w:ascii="Arial" w:hAnsi="Arial" w:cs="Arial"/>
          <w:szCs w:val="24"/>
        </w:rPr>
      </w:pPr>
      <w:r w:rsidRPr="00E83E11">
        <w:rPr>
          <w:rFonts w:ascii="Arial" w:hAnsi="Arial" w:cs="Arial"/>
          <w:szCs w:val="24"/>
        </w:rPr>
        <w:t>What is Gulf’s forecast distillate oil inventory level for the test year?</w:t>
      </w:r>
    </w:p>
    <w:p w:rsidR="00C12EF8" w:rsidRPr="00C12EF8" w:rsidRDefault="00C12EF8" w:rsidP="00134113">
      <w:pPr>
        <w:pStyle w:val="ListParagraph"/>
        <w:numPr>
          <w:ilvl w:val="0"/>
          <w:numId w:val="7"/>
        </w:numPr>
        <w:spacing w:line="480" w:lineRule="atLeast"/>
        <w:ind w:hanging="720"/>
        <w:rPr>
          <w:rFonts w:ascii="Arial" w:hAnsi="Arial" w:cs="Arial"/>
          <w:szCs w:val="24"/>
        </w:rPr>
      </w:pPr>
      <w:r w:rsidRPr="00134113">
        <w:rPr>
          <w:rFonts w:ascii="Arial" w:hAnsi="Arial" w:cs="Arial"/>
          <w:szCs w:val="24"/>
        </w:rPr>
        <w:t>Gulf’s projected distillate oil inventory level, including both lighter oil and</w:t>
      </w:r>
    </w:p>
    <w:p w:rsidR="00800904" w:rsidRPr="00C12EF8" w:rsidRDefault="00800904" w:rsidP="00134113">
      <w:pPr>
        <w:spacing w:line="480" w:lineRule="atLeast"/>
        <w:ind w:left="720"/>
        <w:rPr>
          <w:rFonts w:ascii="Arial" w:hAnsi="Arial" w:cs="Arial"/>
          <w:szCs w:val="24"/>
        </w:rPr>
      </w:pPr>
      <w:proofErr w:type="gramStart"/>
      <w:r w:rsidRPr="00C12EF8">
        <w:rPr>
          <w:rFonts w:ascii="Arial" w:hAnsi="Arial" w:cs="Arial"/>
          <w:szCs w:val="24"/>
        </w:rPr>
        <w:t>combustion</w:t>
      </w:r>
      <w:proofErr w:type="gramEnd"/>
      <w:r w:rsidRPr="00C12EF8">
        <w:rPr>
          <w:rFonts w:ascii="Arial" w:hAnsi="Arial" w:cs="Arial"/>
          <w:szCs w:val="24"/>
        </w:rPr>
        <w:t xml:space="preserve"> turbine generating fuel, for the test year (excluding Scherer) is</w:t>
      </w:r>
      <w:r w:rsidR="000F324A" w:rsidRPr="00C12EF8">
        <w:rPr>
          <w:rFonts w:ascii="Arial" w:hAnsi="Arial" w:cs="Arial"/>
          <w:szCs w:val="24"/>
        </w:rPr>
        <w:t xml:space="preserve"> </w:t>
      </w:r>
      <w:r w:rsidRPr="00C12EF8">
        <w:rPr>
          <w:rFonts w:ascii="Arial" w:hAnsi="Arial" w:cs="Arial"/>
          <w:szCs w:val="24"/>
        </w:rPr>
        <w:t>32,713 barrels.  An amount of $3,2</w:t>
      </w:r>
      <w:r w:rsidR="0040123A">
        <w:rPr>
          <w:rFonts w:ascii="Arial" w:hAnsi="Arial" w:cs="Arial"/>
          <w:szCs w:val="24"/>
        </w:rPr>
        <w:t>69</w:t>
      </w:r>
      <w:r w:rsidRPr="00C12EF8">
        <w:rPr>
          <w:rFonts w:ascii="Arial" w:hAnsi="Arial" w:cs="Arial"/>
          <w:szCs w:val="24"/>
        </w:rPr>
        <w:t>,000 has been included in working capital for distillate oil inventory</w:t>
      </w:r>
      <w:r w:rsidR="00905A74" w:rsidRPr="00C12EF8">
        <w:rPr>
          <w:rFonts w:ascii="Arial" w:hAnsi="Arial" w:cs="Arial"/>
          <w:szCs w:val="24"/>
        </w:rPr>
        <w:t>.</w:t>
      </w:r>
    </w:p>
    <w:p w:rsidR="000F324A" w:rsidRPr="00E83E11" w:rsidRDefault="000F324A" w:rsidP="00C12EF8">
      <w:pPr>
        <w:pStyle w:val="ListParagraph"/>
        <w:spacing w:line="480" w:lineRule="atLeast"/>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this oil inventory request compare to the oil inventory amount approved in Gulf’s last rate case?</w:t>
      </w:r>
    </w:p>
    <w:p w:rsidR="00310EED" w:rsidRPr="00E83E11" w:rsidRDefault="00310EED" w:rsidP="009649B3">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The amount of distillate oil inventory included in the last rate case was 49,850 barrels or $3,370,000.  In May 2014 two of the three PPAs in which Gulf has the fuel supply responsibility (</w:t>
      </w:r>
      <w:proofErr w:type="spellStart"/>
      <w:r w:rsidRPr="00E83E11">
        <w:rPr>
          <w:rFonts w:ascii="Arial" w:hAnsi="Arial" w:cs="Arial"/>
          <w:szCs w:val="24"/>
        </w:rPr>
        <w:t>Baconton</w:t>
      </w:r>
      <w:proofErr w:type="spellEnd"/>
      <w:r w:rsidRPr="00E83E11">
        <w:rPr>
          <w:rFonts w:ascii="Arial" w:hAnsi="Arial" w:cs="Arial"/>
          <w:szCs w:val="24"/>
        </w:rPr>
        <w:t xml:space="preserve"> and Dahlberg) will expire.  The oil inventory for</w:t>
      </w:r>
      <w:r w:rsidR="00FD1AD4">
        <w:rPr>
          <w:rFonts w:ascii="Arial" w:hAnsi="Arial" w:cs="Arial"/>
          <w:szCs w:val="24"/>
        </w:rPr>
        <w:t xml:space="preserve"> </w:t>
      </w:r>
      <w:r w:rsidRPr="00E83E11">
        <w:rPr>
          <w:rFonts w:ascii="Arial" w:hAnsi="Arial" w:cs="Arial"/>
          <w:szCs w:val="24"/>
        </w:rPr>
        <w:t xml:space="preserve">these two </w:t>
      </w:r>
      <w:r w:rsidR="00D217D6" w:rsidRPr="00E83E11">
        <w:rPr>
          <w:rFonts w:ascii="Arial" w:hAnsi="Arial" w:cs="Arial"/>
          <w:szCs w:val="24"/>
        </w:rPr>
        <w:t>facilities</w:t>
      </w:r>
      <w:r w:rsidRPr="00E83E11">
        <w:rPr>
          <w:rFonts w:ascii="Arial" w:hAnsi="Arial" w:cs="Arial"/>
          <w:szCs w:val="24"/>
        </w:rPr>
        <w:t xml:space="preserve"> is being removed at the expiration date </w:t>
      </w:r>
      <w:r w:rsidR="00AE7F18" w:rsidRPr="00E83E11">
        <w:rPr>
          <w:rFonts w:ascii="Arial" w:hAnsi="Arial" w:cs="Arial"/>
          <w:szCs w:val="24"/>
        </w:rPr>
        <w:t>of the two PPAs in</w:t>
      </w:r>
      <w:r w:rsidRPr="00E83E11">
        <w:rPr>
          <w:rFonts w:ascii="Arial" w:hAnsi="Arial" w:cs="Arial"/>
          <w:szCs w:val="24"/>
        </w:rPr>
        <w:t xml:space="preserve"> May 2014.</w:t>
      </w:r>
    </w:p>
    <w:p w:rsidR="005A2BFD" w:rsidRPr="00E83E11" w:rsidRDefault="005A2BFD">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How does the average unit cost of distillate oil inventory compare to the amount used in the last rate case?</w:t>
      </w: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In Gulf’s last rate case the average unit cost of distillate oil in inventory was $</w:t>
      </w:r>
      <w:r w:rsidR="00046485" w:rsidRPr="00E83E11">
        <w:rPr>
          <w:rFonts w:ascii="Arial" w:hAnsi="Arial" w:cs="Arial"/>
          <w:szCs w:val="24"/>
        </w:rPr>
        <w:t>67.60</w:t>
      </w:r>
      <w:r w:rsidRPr="00E83E11">
        <w:rPr>
          <w:rFonts w:ascii="Arial" w:hAnsi="Arial" w:cs="Arial"/>
          <w:szCs w:val="24"/>
        </w:rPr>
        <w:t xml:space="preserve"> per barrel.  Since the last rate case, the market price of distillate oil has increased due to higher worldwide demand for all oil products.  The current average unit cost of distillate oil used to project the total cost of Gulf’s oil inventory in the test year is $</w:t>
      </w:r>
      <w:r w:rsidR="001639A3" w:rsidRPr="00E83E11">
        <w:rPr>
          <w:rFonts w:ascii="Arial" w:hAnsi="Arial" w:cs="Arial"/>
          <w:szCs w:val="24"/>
        </w:rPr>
        <w:t>99.9</w:t>
      </w:r>
      <w:r w:rsidR="0040123A">
        <w:rPr>
          <w:rFonts w:ascii="Arial" w:hAnsi="Arial" w:cs="Arial"/>
          <w:szCs w:val="24"/>
        </w:rPr>
        <w:t>3</w:t>
      </w:r>
      <w:r w:rsidRPr="00E83E11">
        <w:rPr>
          <w:rFonts w:ascii="Arial" w:hAnsi="Arial" w:cs="Arial"/>
          <w:szCs w:val="24"/>
        </w:rPr>
        <w:t xml:space="preserve"> per barrel.</w:t>
      </w:r>
    </w:p>
    <w:p w:rsidR="008E4F32" w:rsidRPr="00E83E11" w:rsidRDefault="008E4F32">
      <w:pPr>
        <w:spacing w:line="480" w:lineRule="atLeast"/>
        <w:ind w:left="720" w:hanging="720"/>
        <w:rPr>
          <w:rFonts w:ascii="Arial" w:hAnsi="Arial" w:cs="Arial"/>
          <w:szCs w:val="24"/>
        </w:rPr>
      </w:pPr>
    </w:p>
    <w:p w:rsidR="00310EED" w:rsidRPr="000871B7" w:rsidRDefault="00BC7299">
      <w:pPr>
        <w:spacing w:line="480" w:lineRule="atLeast"/>
        <w:jc w:val="center"/>
        <w:rPr>
          <w:rFonts w:ascii="Arial" w:hAnsi="Arial" w:cs="Arial"/>
          <w:b/>
          <w:szCs w:val="24"/>
        </w:rPr>
      </w:pPr>
      <w:r w:rsidRPr="000871B7">
        <w:rPr>
          <w:rFonts w:ascii="Arial" w:hAnsi="Arial" w:cs="Arial"/>
          <w:b/>
          <w:szCs w:val="24"/>
        </w:rPr>
        <w:t>I</w:t>
      </w:r>
      <w:r w:rsidR="006151F3" w:rsidRPr="00E83E11">
        <w:rPr>
          <w:rFonts w:ascii="Arial" w:hAnsi="Arial" w:cs="Arial"/>
          <w:b/>
          <w:szCs w:val="24"/>
        </w:rPr>
        <w:t>V</w:t>
      </w:r>
      <w:r w:rsidR="00B720A7" w:rsidRPr="00E83E11">
        <w:rPr>
          <w:rFonts w:ascii="Arial" w:hAnsi="Arial" w:cs="Arial"/>
          <w:b/>
          <w:szCs w:val="24"/>
        </w:rPr>
        <w:t xml:space="preserve">. </w:t>
      </w:r>
      <w:r w:rsidR="00C12EF8">
        <w:rPr>
          <w:rFonts w:ascii="Arial" w:hAnsi="Arial" w:cs="Arial"/>
          <w:b/>
          <w:szCs w:val="24"/>
        </w:rPr>
        <w:t>SUMMARY</w:t>
      </w:r>
    </w:p>
    <w:p w:rsidR="00310EED" w:rsidRPr="00E83E11" w:rsidRDefault="00310EED">
      <w:pPr>
        <w:spacing w:line="480" w:lineRule="atLeast"/>
        <w:ind w:left="720" w:hanging="720"/>
        <w:rPr>
          <w:rFonts w:ascii="Arial" w:hAnsi="Arial" w:cs="Arial"/>
          <w:szCs w:val="24"/>
        </w:rPr>
      </w:pPr>
    </w:p>
    <w:p w:rsidR="00310EED" w:rsidRPr="00E83E11" w:rsidRDefault="00310EED" w:rsidP="00605D44">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Please summarize your testimony.</w:t>
      </w:r>
    </w:p>
    <w:p w:rsidR="008E4F32" w:rsidRPr="00E83E11" w:rsidRDefault="00310EED" w:rsidP="005D3AF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 xml:space="preserve">Gulf maintains and operates generation resources designed to serve our customers economically and reliably.  Gulf’s Generation operation has continued to provide economical, reliable electricity to our customers.  The reliability of Gulf’s generating units and low EFOR are clear indications that Gulf has executed an effective maintenance program that continues to provide our customers with reliable service.  </w:t>
      </w:r>
    </w:p>
    <w:p w:rsidR="0086535E" w:rsidRPr="00E83E11" w:rsidRDefault="0086535E">
      <w:pPr>
        <w:spacing w:line="480" w:lineRule="atLeast"/>
        <w:ind w:left="720" w:hanging="630"/>
        <w:rPr>
          <w:rFonts w:ascii="Arial" w:hAnsi="Arial" w:cs="Arial"/>
          <w:szCs w:val="24"/>
        </w:rPr>
      </w:pPr>
    </w:p>
    <w:p w:rsidR="00310EED" w:rsidRPr="00E83E11" w:rsidRDefault="00310EED">
      <w:pPr>
        <w:spacing w:line="480" w:lineRule="atLeast"/>
        <w:ind w:left="720"/>
        <w:rPr>
          <w:rFonts w:ascii="Arial" w:hAnsi="Arial" w:cs="Arial"/>
          <w:szCs w:val="24"/>
        </w:rPr>
      </w:pPr>
      <w:r w:rsidRPr="00E83E11">
        <w:rPr>
          <w:rFonts w:ascii="Arial" w:hAnsi="Arial" w:cs="Arial"/>
          <w:szCs w:val="24"/>
        </w:rPr>
        <w:t>The fuel inventory requested by Gulf is reasonable, prudent and necessary to provide fuel invento</w:t>
      </w:r>
      <w:r w:rsidR="00697517" w:rsidRPr="00E83E11">
        <w:rPr>
          <w:rFonts w:ascii="Arial" w:hAnsi="Arial" w:cs="Arial"/>
          <w:szCs w:val="24"/>
        </w:rPr>
        <w:t>ry levels that will ensure Gulf’</w:t>
      </w:r>
      <w:r w:rsidRPr="00E83E11">
        <w:rPr>
          <w:rFonts w:ascii="Arial" w:hAnsi="Arial" w:cs="Arial"/>
          <w:szCs w:val="24"/>
        </w:rPr>
        <w:t>s units are prepared to meet the needs of our customers with the lowest cost generation available.</w:t>
      </w:r>
    </w:p>
    <w:p w:rsidR="008B0B08" w:rsidRPr="00E83E11" w:rsidRDefault="008B0B08">
      <w:pPr>
        <w:spacing w:line="480" w:lineRule="atLeast"/>
        <w:ind w:left="720" w:hanging="720"/>
        <w:rPr>
          <w:rFonts w:ascii="Arial" w:hAnsi="Arial" w:cs="Arial"/>
          <w:szCs w:val="24"/>
        </w:rPr>
      </w:pPr>
    </w:p>
    <w:p w:rsidR="00310EED" w:rsidRPr="00E83E11" w:rsidRDefault="00310EED">
      <w:pPr>
        <w:spacing w:line="480" w:lineRule="atLeast"/>
        <w:ind w:left="720" w:hanging="720"/>
        <w:rPr>
          <w:rFonts w:ascii="Arial" w:hAnsi="Arial" w:cs="Arial"/>
          <w:szCs w:val="24"/>
        </w:rPr>
      </w:pPr>
      <w:r w:rsidRPr="00E83E11">
        <w:rPr>
          <w:rFonts w:ascii="Arial" w:hAnsi="Arial" w:cs="Arial"/>
          <w:szCs w:val="24"/>
        </w:rPr>
        <w:t>Q.</w:t>
      </w:r>
      <w:r w:rsidRPr="00E83E11">
        <w:rPr>
          <w:rFonts w:ascii="Arial" w:hAnsi="Arial" w:cs="Arial"/>
          <w:szCs w:val="24"/>
        </w:rPr>
        <w:tab/>
        <w:t>Does this conclude your testimony?</w:t>
      </w:r>
    </w:p>
    <w:p w:rsidR="000F324A" w:rsidRDefault="00310EED">
      <w:pPr>
        <w:spacing w:line="480" w:lineRule="atLeast"/>
        <w:ind w:left="720" w:hanging="720"/>
        <w:rPr>
          <w:rFonts w:ascii="Arial" w:hAnsi="Arial" w:cs="Arial"/>
          <w:szCs w:val="24"/>
        </w:rPr>
      </w:pPr>
      <w:r w:rsidRPr="00E83E11">
        <w:rPr>
          <w:rFonts w:ascii="Arial" w:hAnsi="Arial" w:cs="Arial"/>
          <w:szCs w:val="24"/>
        </w:rPr>
        <w:t>A.</w:t>
      </w:r>
      <w:r w:rsidRPr="00E83E11">
        <w:rPr>
          <w:rFonts w:ascii="Arial" w:hAnsi="Arial" w:cs="Arial"/>
          <w:szCs w:val="24"/>
        </w:rPr>
        <w:tab/>
        <w:t>Yes.</w:t>
      </w: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Default="00C12EF8">
      <w:pPr>
        <w:spacing w:line="480" w:lineRule="atLeast"/>
        <w:ind w:left="720" w:hanging="720"/>
        <w:rPr>
          <w:rFonts w:ascii="Arial" w:hAnsi="Arial" w:cs="Arial"/>
          <w:szCs w:val="24"/>
        </w:rPr>
      </w:pPr>
    </w:p>
    <w:p w:rsidR="00C12EF8" w:rsidRPr="000871B7" w:rsidRDefault="00C12EF8">
      <w:pPr>
        <w:spacing w:line="480" w:lineRule="atLeast"/>
        <w:ind w:left="720" w:hanging="720"/>
        <w:rPr>
          <w:rFonts w:ascii="Arial" w:hAnsi="Arial" w:cs="Arial"/>
          <w:szCs w:val="24"/>
        </w:rPr>
      </w:pPr>
    </w:p>
    <w:p w:rsidR="000F324A" w:rsidRPr="00F07B2E" w:rsidRDefault="000F324A" w:rsidP="00310EED">
      <w:pPr>
        <w:spacing w:line="480" w:lineRule="atLeast"/>
        <w:rPr>
          <w:rFonts w:ascii="Arial" w:hAnsi="Arial" w:cs="Arial"/>
          <w:szCs w:val="24"/>
        </w:rPr>
        <w:sectPr w:rsidR="000F324A" w:rsidRPr="00F07B2E" w:rsidSect="00134113">
          <w:headerReference w:type="default" r:id="rId15"/>
          <w:footerReference w:type="first" r:id="rId16"/>
          <w:pgSz w:w="12240" w:h="15840" w:code="1"/>
          <w:pgMar w:top="1570" w:right="1440" w:bottom="1800" w:left="1987" w:header="720" w:footer="720" w:gutter="0"/>
          <w:lnNumType w:countBy="1"/>
          <w:cols w:space="720"/>
          <w:titlePg/>
          <w:docGrid w:linePitch="326"/>
        </w:sectPr>
      </w:pPr>
    </w:p>
    <w:p w:rsidR="00310EED" w:rsidRPr="00134113" w:rsidRDefault="00310EED" w:rsidP="00310EED">
      <w:pPr>
        <w:suppressLineNumbers/>
        <w:tabs>
          <w:tab w:val="left" w:pos="1440"/>
        </w:tabs>
        <w:rPr>
          <w:rFonts w:ascii="Arial" w:hAnsi="Arial" w:cs="Arial"/>
          <w:b/>
          <w:szCs w:val="24"/>
        </w:rPr>
      </w:pP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r>
    </w:p>
    <w:p w:rsidR="00310EED" w:rsidRPr="00C12EF8" w:rsidRDefault="00310EED" w:rsidP="00310EED">
      <w:pPr>
        <w:jc w:val="center"/>
        <w:rPr>
          <w:rFonts w:ascii="Arial" w:hAnsi="Arial" w:cs="Arial"/>
          <w:szCs w:val="24"/>
        </w:rPr>
      </w:pPr>
      <w:r w:rsidRPr="00C12EF8">
        <w:rPr>
          <w:rFonts w:ascii="Arial" w:hAnsi="Arial" w:cs="Arial"/>
          <w:szCs w:val="24"/>
        </w:rPr>
        <w:t>AFFIDAVIT</w:t>
      </w:r>
    </w:p>
    <w:p w:rsidR="00310EED" w:rsidRPr="001F2015" w:rsidRDefault="00310EED" w:rsidP="00310EED">
      <w:pPr>
        <w:rPr>
          <w:rFonts w:ascii="Arial" w:hAnsi="Arial" w:cs="Arial"/>
          <w:szCs w:val="24"/>
        </w:rPr>
      </w:pP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r w:rsidRPr="00F07B2E">
        <w:rPr>
          <w:rFonts w:ascii="Arial" w:hAnsi="Arial" w:cs="Arial"/>
          <w:szCs w:val="24"/>
        </w:rPr>
        <w:t xml:space="preserve">STATE OF FLORIDA   </w:t>
      </w:r>
      <w:r w:rsidRPr="00F07B2E">
        <w:rPr>
          <w:rFonts w:ascii="Arial" w:hAnsi="Arial" w:cs="Arial"/>
          <w:szCs w:val="24"/>
        </w:rPr>
        <w:tab/>
        <w:t>)</w:t>
      </w: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t xml:space="preserve">Docket No. </w:t>
      </w:r>
      <w:r w:rsidR="004A0432" w:rsidRPr="00E83E11">
        <w:rPr>
          <w:rFonts w:ascii="Arial" w:hAnsi="Arial" w:cs="Arial"/>
          <w:szCs w:val="24"/>
        </w:rPr>
        <w:t>130140</w:t>
      </w:r>
      <w:r w:rsidRPr="001F2015">
        <w:rPr>
          <w:rFonts w:ascii="Arial" w:hAnsi="Arial" w:cs="Arial"/>
          <w:szCs w:val="24"/>
        </w:rPr>
        <w:t>-EI</w:t>
      </w:r>
    </w:p>
    <w:p w:rsidR="00310EED" w:rsidRPr="00F07B2E" w:rsidRDefault="00310EED" w:rsidP="00310EED">
      <w:pPr>
        <w:ind w:firstLine="720"/>
        <w:rPr>
          <w:rFonts w:ascii="Arial" w:hAnsi="Arial" w:cs="Arial"/>
          <w:szCs w:val="24"/>
        </w:rPr>
      </w:pPr>
      <w:r w:rsidRPr="00F07B2E">
        <w:rPr>
          <w:rFonts w:ascii="Arial" w:hAnsi="Arial" w:cs="Arial"/>
          <w:szCs w:val="24"/>
        </w:rPr>
        <w:tab/>
      </w:r>
      <w:r w:rsidRPr="00F07B2E">
        <w:rPr>
          <w:rFonts w:ascii="Arial" w:hAnsi="Arial" w:cs="Arial"/>
          <w:szCs w:val="24"/>
        </w:rPr>
        <w:tab/>
      </w:r>
      <w:r w:rsidRPr="00F07B2E">
        <w:rPr>
          <w:rFonts w:ascii="Arial" w:hAnsi="Arial" w:cs="Arial"/>
          <w:szCs w:val="24"/>
        </w:rPr>
        <w:tab/>
        <w:t>)</w:t>
      </w:r>
    </w:p>
    <w:p w:rsidR="00310EED" w:rsidRPr="00F07B2E" w:rsidRDefault="00310EED" w:rsidP="00310EED">
      <w:pPr>
        <w:rPr>
          <w:rFonts w:ascii="Arial" w:hAnsi="Arial" w:cs="Arial"/>
          <w:szCs w:val="24"/>
        </w:rPr>
      </w:pPr>
      <w:r w:rsidRPr="00F07B2E">
        <w:rPr>
          <w:rFonts w:ascii="Arial" w:hAnsi="Arial" w:cs="Arial"/>
          <w:szCs w:val="24"/>
        </w:rPr>
        <w:t xml:space="preserve">COUNTY OF ESCAMBIA </w:t>
      </w:r>
      <w:r w:rsidRPr="00F07B2E">
        <w:rPr>
          <w:rFonts w:ascii="Arial" w:hAnsi="Arial" w:cs="Arial"/>
          <w:szCs w:val="24"/>
        </w:rPr>
        <w:tab/>
        <w:t>)</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p>
    <w:p w:rsidR="00310EED" w:rsidRPr="00F07B2E" w:rsidRDefault="00310EED" w:rsidP="00310EED">
      <w:pPr>
        <w:spacing w:line="480" w:lineRule="auto"/>
        <w:rPr>
          <w:rFonts w:ascii="Arial" w:hAnsi="Arial" w:cs="Arial"/>
          <w:szCs w:val="24"/>
        </w:rPr>
      </w:pPr>
      <w:r w:rsidRPr="00F07B2E">
        <w:rPr>
          <w:rFonts w:ascii="Arial" w:hAnsi="Arial" w:cs="Arial"/>
          <w:szCs w:val="24"/>
        </w:rPr>
        <w:tab/>
        <w:t>Before me the undersigned authority, personally appeared Michael L. Burroughs, who being first duly sworn, deposes, and says that he is the Vice President of Power Generation and Senior Production Officer for Gulf Power Company, a Florida corporation, and that the foregoing is true and correct to the best of his knowledge, information, and belief.  He is personally known to me.</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p>
    <w:p w:rsidR="00310EED" w:rsidRPr="001F2015" w:rsidRDefault="00310EED" w:rsidP="00310EED">
      <w:pPr>
        <w:pStyle w:val="s2"/>
        <w:spacing w:before="0" w:beforeAutospacing="0" w:after="0" w:afterAutospacing="0" w:line="252" w:lineRule="atLeast"/>
        <w:ind w:left="2880" w:firstLine="720"/>
        <w:rPr>
          <w:rStyle w:val="s4"/>
          <w:rFonts w:ascii="Arial" w:hAnsi="Arial" w:cs="Arial"/>
        </w:rPr>
      </w:pPr>
      <w:r w:rsidRPr="00E83E11">
        <w:rPr>
          <w:rStyle w:val="s4"/>
          <w:rFonts w:ascii="Arial" w:hAnsi="Arial" w:cs="Arial"/>
        </w:rPr>
        <w:t xml:space="preserve">The signed original affidavit is attached to the </w:t>
      </w:r>
    </w:p>
    <w:p w:rsidR="00310EED" w:rsidRPr="00134113" w:rsidRDefault="00310EED" w:rsidP="00310EED">
      <w:pPr>
        <w:pStyle w:val="s2"/>
        <w:spacing w:before="0" w:beforeAutospacing="0" w:after="0" w:afterAutospacing="0" w:line="252" w:lineRule="atLeast"/>
        <w:rPr>
          <w:rFonts w:ascii="Arial" w:hAnsi="Arial" w:cs="Arial"/>
        </w:rPr>
      </w:pPr>
      <w:r w:rsidRPr="00E83E11">
        <w:rPr>
          <w:rStyle w:val="s4"/>
          <w:rFonts w:ascii="Arial" w:hAnsi="Arial" w:cs="Arial"/>
        </w:rPr>
        <w:tab/>
      </w:r>
      <w:r w:rsidRPr="00E83E11">
        <w:rPr>
          <w:rStyle w:val="s4"/>
          <w:rFonts w:ascii="Arial" w:hAnsi="Arial" w:cs="Arial"/>
        </w:rPr>
        <w:tab/>
      </w:r>
      <w:r w:rsidRPr="00E83E11">
        <w:rPr>
          <w:rStyle w:val="s4"/>
          <w:rFonts w:ascii="Arial" w:hAnsi="Arial" w:cs="Arial"/>
        </w:rPr>
        <w:tab/>
      </w:r>
      <w:r w:rsidRPr="00E83E11">
        <w:rPr>
          <w:rStyle w:val="s4"/>
          <w:rFonts w:ascii="Arial" w:hAnsi="Arial" w:cs="Arial"/>
        </w:rPr>
        <w:tab/>
      </w:r>
      <w:r w:rsidRPr="00E83E11">
        <w:rPr>
          <w:rStyle w:val="s4"/>
          <w:rFonts w:ascii="Arial" w:hAnsi="Arial" w:cs="Arial"/>
        </w:rPr>
        <w:tab/>
      </w:r>
      <w:proofErr w:type="gramStart"/>
      <w:r w:rsidRPr="00E83E11">
        <w:rPr>
          <w:rStyle w:val="s4"/>
          <w:rFonts w:ascii="Arial" w:hAnsi="Arial" w:cs="Arial"/>
        </w:rPr>
        <w:t>original</w:t>
      </w:r>
      <w:proofErr w:type="gramEnd"/>
      <w:r w:rsidRPr="00E83E11">
        <w:rPr>
          <w:rStyle w:val="s4"/>
          <w:rFonts w:ascii="Arial" w:hAnsi="Arial" w:cs="Arial"/>
        </w:rPr>
        <w:t xml:space="preserve"> testimony on file with the FPSC.</w:t>
      </w:r>
    </w:p>
    <w:p w:rsidR="00310EED" w:rsidRPr="00C12EF8" w:rsidRDefault="00310EED" w:rsidP="00310EED">
      <w:pPr>
        <w:rPr>
          <w:rFonts w:ascii="Arial" w:hAnsi="Arial" w:cs="Arial"/>
          <w:szCs w:val="24"/>
        </w:rPr>
      </w:pPr>
    </w:p>
    <w:p w:rsidR="00310EED" w:rsidRPr="00F07B2E" w:rsidRDefault="00310EED" w:rsidP="00310EED">
      <w:pPr>
        <w:ind w:right="-756"/>
        <w:rPr>
          <w:rFonts w:ascii="Arial" w:hAnsi="Arial" w:cs="Arial"/>
          <w:szCs w:val="24"/>
        </w:rPr>
      </w:pPr>
      <w:r w:rsidRPr="001F2015">
        <w:rPr>
          <w:rFonts w:ascii="Arial" w:hAnsi="Arial" w:cs="Arial"/>
          <w:szCs w:val="24"/>
        </w:rPr>
        <w:tab/>
      </w:r>
      <w:r w:rsidRPr="001F2015">
        <w:rPr>
          <w:rFonts w:ascii="Arial" w:hAnsi="Arial" w:cs="Arial"/>
          <w:szCs w:val="24"/>
        </w:rPr>
        <w:tab/>
      </w:r>
      <w:r w:rsidRPr="001F2015">
        <w:rPr>
          <w:rFonts w:ascii="Arial" w:hAnsi="Arial" w:cs="Arial"/>
          <w:szCs w:val="24"/>
        </w:rPr>
        <w:tab/>
      </w:r>
      <w:r w:rsidRPr="001F2015">
        <w:rPr>
          <w:rFonts w:ascii="Arial" w:hAnsi="Arial" w:cs="Arial"/>
          <w:szCs w:val="24"/>
        </w:rPr>
        <w:tab/>
      </w:r>
      <w:r w:rsidRPr="001F2015">
        <w:rPr>
          <w:rFonts w:ascii="Arial" w:hAnsi="Arial" w:cs="Arial"/>
          <w:szCs w:val="24"/>
        </w:rPr>
        <w:tab/>
      </w:r>
      <w:proofErr w:type="gramStart"/>
      <w:r w:rsidRPr="001F2015">
        <w:rPr>
          <w:rFonts w:ascii="Arial" w:hAnsi="Arial" w:cs="Arial"/>
          <w:szCs w:val="24"/>
        </w:rPr>
        <w:t>s</w:t>
      </w:r>
      <w:proofErr w:type="gramEnd"/>
      <w:r w:rsidRPr="001F2015">
        <w:rPr>
          <w:rFonts w:ascii="Arial" w:hAnsi="Arial" w:cs="Arial"/>
          <w:szCs w:val="24"/>
        </w:rPr>
        <w:t>/___________________________________</w:t>
      </w:r>
    </w:p>
    <w:p w:rsidR="00310EED" w:rsidRPr="00F07B2E" w:rsidRDefault="00310EED" w:rsidP="00310EED">
      <w:pPr>
        <w:rPr>
          <w:rFonts w:ascii="Arial" w:hAnsi="Arial" w:cs="Arial"/>
          <w:szCs w:val="24"/>
        </w:rPr>
      </w:pP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t>Michael L. Burroughs</w:t>
      </w:r>
    </w:p>
    <w:p w:rsidR="00310EED" w:rsidRPr="00F07B2E" w:rsidRDefault="00310EED" w:rsidP="00310EED">
      <w:pPr>
        <w:rPr>
          <w:rFonts w:ascii="Arial" w:hAnsi="Arial" w:cs="Arial"/>
          <w:szCs w:val="24"/>
        </w:rPr>
      </w:pP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r>
      <w:r w:rsidRPr="00F07B2E">
        <w:rPr>
          <w:rFonts w:ascii="Arial" w:hAnsi="Arial" w:cs="Arial"/>
          <w:szCs w:val="24"/>
        </w:rPr>
        <w:tab/>
        <w:t>Vice President of Power Generation and</w:t>
      </w:r>
    </w:p>
    <w:p w:rsidR="00310EED" w:rsidRPr="00F07B2E" w:rsidRDefault="00310EED" w:rsidP="00310EED">
      <w:pPr>
        <w:ind w:left="2880" w:firstLine="720"/>
        <w:rPr>
          <w:rFonts w:ascii="Arial" w:hAnsi="Arial" w:cs="Arial"/>
          <w:szCs w:val="24"/>
        </w:rPr>
      </w:pPr>
      <w:r w:rsidRPr="00F07B2E">
        <w:rPr>
          <w:rFonts w:ascii="Arial" w:hAnsi="Arial" w:cs="Arial"/>
          <w:szCs w:val="24"/>
        </w:rPr>
        <w:t>Senior Production Officer</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p>
    <w:p w:rsidR="00310EED" w:rsidRPr="00F07B2E" w:rsidRDefault="00310EED" w:rsidP="00310EED">
      <w:pPr>
        <w:spacing w:line="480" w:lineRule="auto"/>
        <w:ind w:right="-576"/>
        <w:rPr>
          <w:rFonts w:ascii="Arial" w:hAnsi="Arial" w:cs="Arial"/>
          <w:szCs w:val="24"/>
        </w:rPr>
      </w:pPr>
      <w:r w:rsidRPr="00F07B2E">
        <w:rPr>
          <w:rFonts w:ascii="Arial" w:hAnsi="Arial" w:cs="Arial"/>
          <w:szCs w:val="24"/>
        </w:rPr>
        <w:t>Sworn to and subscribed before me this ______ day of ______________, 2013.</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r w:rsidRPr="00F07B2E">
        <w:rPr>
          <w:rFonts w:ascii="Arial" w:hAnsi="Arial" w:cs="Arial"/>
          <w:szCs w:val="24"/>
        </w:rPr>
        <w:t>________________________________________</w:t>
      </w:r>
    </w:p>
    <w:p w:rsidR="00310EED" w:rsidRPr="00F07B2E" w:rsidRDefault="00310EED" w:rsidP="00310EED">
      <w:pPr>
        <w:rPr>
          <w:rFonts w:ascii="Arial" w:hAnsi="Arial" w:cs="Arial"/>
          <w:szCs w:val="24"/>
        </w:rPr>
      </w:pPr>
      <w:r w:rsidRPr="00F07B2E">
        <w:rPr>
          <w:rFonts w:ascii="Arial" w:hAnsi="Arial" w:cs="Arial"/>
          <w:szCs w:val="24"/>
        </w:rPr>
        <w:t>Notary Public, State of Florida at Large</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r w:rsidRPr="00F07B2E">
        <w:rPr>
          <w:rFonts w:ascii="Arial" w:hAnsi="Arial" w:cs="Arial"/>
          <w:szCs w:val="24"/>
        </w:rPr>
        <w:t>Commission No. ___________________________</w:t>
      </w:r>
    </w:p>
    <w:p w:rsidR="00310EED" w:rsidRPr="00F07B2E" w:rsidRDefault="00310EED" w:rsidP="00310EED">
      <w:pPr>
        <w:rPr>
          <w:rFonts w:ascii="Arial" w:hAnsi="Arial" w:cs="Arial"/>
          <w:szCs w:val="24"/>
        </w:rPr>
      </w:pPr>
    </w:p>
    <w:p w:rsidR="00310EED" w:rsidRPr="00F07B2E" w:rsidRDefault="00310EED" w:rsidP="00310EED">
      <w:pPr>
        <w:rPr>
          <w:rFonts w:ascii="Arial" w:hAnsi="Arial" w:cs="Arial"/>
          <w:szCs w:val="24"/>
        </w:rPr>
      </w:pPr>
      <w:r w:rsidRPr="00F07B2E">
        <w:rPr>
          <w:rFonts w:ascii="Arial" w:hAnsi="Arial" w:cs="Arial"/>
          <w:szCs w:val="24"/>
        </w:rPr>
        <w:t xml:space="preserve">My Commission </w:t>
      </w:r>
      <w:proofErr w:type="gramStart"/>
      <w:r w:rsidRPr="00F07B2E">
        <w:rPr>
          <w:rFonts w:ascii="Arial" w:hAnsi="Arial" w:cs="Arial"/>
          <w:szCs w:val="24"/>
        </w:rPr>
        <w:t>Expires</w:t>
      </w:r>
      <w:proofErr w:type="gramEnd"/>
      <w:r w:rsidRPr="00F07B2E">
        <w:rPr>
          <w:rFonts w:ascii="Arial" w:hAnsi="Arial" w:cs="Arial"/>
          <w:szCs w:val="24"/>
        </w:rPr>
        <w:t xml:space="preserve"> _____________________</w:t>
      </w:r>
    </w:p>
    <w:p w:rsidR="00310EED" w:rsidRPr="00134113" w:rsidRDefault="00310EED" w:rsidP="00310EED">
      <w:pPr>
        <w:rPr>
          <w:rFonts w:ascii="Arial" w:hAnsi="Arial" w:cs="Arial"/>
          <w:szCs w:val="24"/>
        </w:rPr>
      </w:pPr>
    </w:p>
    <w:p w:rsidR="00310EED" w:rsidRPr="00C12EF8" w:rsidRDefault="00310EED" w:rsidP="00310EED">
      <w:pPr>
        <w:suppressLineNumbers/>
        <w:tabs>
          <w:tab w:val="left" w:pos="1440"/>
        </w:tabs>
        <w:rPr>
          <w:rFonts w:ascii="Arial" w:hAnsi="Arial" w:cs="Arial"/>
          <w:szCs w:val="24"/>
        </w:rPr>
      </w:pPr>
    </w:p>
    <w:p w:rsidR="00310EED" w:rsidRPr="001F2015" w:rsidRDefault="00310EED" w:rsidP="00310EED">
      <w:pPr>
        <w:suppressLineNumbers/>
        <w:tabs>
          <w:tab w:val="left" w:pos="1440"/>
        </w:tabs>
        <w:rPr>
          <w:rFonts w:ascii="Arial" w:hAnsi="Arial" w:cs="Arial"/>
          <w:szCs w:val="24"/>
        </w:rPr>
      </w:pPr>
    </w:p>
    <w:p w:rsidR="00310EED" w:rsidRPr="00F07B2E" w:rsidRDefault="00310EED" w:rsidP="00310EED">
      <w:pPr>
        <w:rPr>
          <w:rFonts w:ascii="Arial" w:hAnsi="Arial" w:cs="Arial"/>
          <w:szCs w:val="24"/>
        </w:rPr>
      </w:pPr>
    </w:p>
    <w:p w:rsidR="00046485" w:rsidRDefault="00046485" w:rsidP="00310EED">
      <w:pPr>
        <w:rPr>
          <w:rFonts w:ascii="Arial" w:hAnsi="Arial"/>
        </w:rPr>
      </w:pPr>
    </w:p>
    <w:p w:rsidR="00046485" w:rsidRDefault="00046485" w:rsidP="00310EED">
      <w:pPr>
        <w:rPr>
          <w:rFonts w:ascii="Arial" w:hAnsi="Arial"/>
        </w:rPr>
      </w:pPr>
    </w:p>
    <w:p w:rsidR="000871B7" w:rsidRDefault="000871B7" w:rsidP="00310EED">
      <w:pPr>
        <w:rPr>
          <w:rFonts w:ascii="Arial" w:hAnsi="Arial"/>
        </w:rPr>
      </w:pPr>
    </w:p>
    <w:p w:rsidR="000871B7" w:rsidRPr="00AB3349" w:rsidRDefault="000871B7" w:rsidP="000871B7">
      <w:pPr>
        <w:tabs>
          <w:tab w:val="left" w:pos="1440"/>
        </w:tabs>
        <w:jc w:val="center"/>
        <w:rPr>
          <w:rFonts w:ascii="Arial" w:hAnsi="Arial" w:cs="Arial"/>
          <w:szCs w:val="24"/>
        </w:rPr>
      </w:pPr>
      <w:r w:rsidRPr="00AB3349">
        <w:rPr>
          <w:rFonts w:ascii="Arial" w:hAnsi="Arial" w:cs="Arial"/>
          <w:szCs w:val="24"/>
        </w:rPr>
        <w:t>Responsibility for Minimum Filing Requirements</w:t>
      </w:r>
    </w:p>
    <w:p w:rsidR="000871B7" w:rsidRPr="00AB3349" w:rsidRDefault="000871B7" w:rsidP="000871B7">
      <w:pPr>
        <w:tabs>
          <w:tab w:val="left" w:pos="1440"/>
        </w:tabs>
        <w:rPr>
          <w:rFonts w:ascii="Arial" w:hAnsi="Arial" w:cs="Arial"/>
          <w:szCs w:val="24"/>
        </w:rPr>
      </w:pPr>
    </w:p>
    <w:p w:rsidR="000871B7" w:rsidRPr="00AB3349" w:rsidRDefault="000871B7">
      <w:pPr>
        <w:spacing w:line="480" w:lineRule="atLeast"/>
        <w:ind w:left="720" w:hanging="540"/>
        <w:rPr>
          <w:rFonts w:ascii="Arial" w:hAnsi="Arial" w:cs="Arial"/>
          <w:szCs w:val="24"/>
        </w:rPr>
      </w:pPr>
      <w:r w:rsidRPr="00AB3349">
        <w:rPr>
          <w:rFonts w:ascii="Arial" w:hAnsi="Arial" w:cs="Arial"/>
          <w:szCs w:val="24"/>
          <w:u w:val="single"/>
        </w:rPr>
        <w:t>Schedule</w:t>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u w:val="single"/>
        </w:rPr>
        <w:t>Title</w:t>
      </w:r>
    </w:p>
    <w:p w:rsidR="000871B7" w:rsidRDefault="000871B7" w:rsidP="00134113">
      <w:pPr>
        <w:suppressLineNumbers/>
        <w:tabs>
          <w:tab w:val="left" w:pos="1440"/>
        </w:tabs>
        <w:spacing w:line="480" w:lineRule="atLeast"/>
        <w:ind w:left="180"/>
        <w:rPr>
          <w:rFonts w:ascii="Arial" w:hAnsi="Arial"/>
        </w:rPr>
      </w:pPr>
      <w:r>
        <w:rPr>
          <w:rFonts w:ascii="Arial" w:hAnsi="Arial"/>
        </w:rPr>
        <w:t>B-16</w:t>
      </w:r>
      <w:r>
        <w:rPr>
          <w:rFonts w:ascii="Arial" w:hAnsi="Arial"/>
        </w:rPr>
        <w:tab/>
        <w:t>Nuclear Fuel Balances</w:t>
      </w:r>
    </w:p>
    <w:p w:rsidR="000871B7" w:rsidRDefault="000871B7" w:rsidP="00134113">
      <w:pPr>
        <w:suppressLineNumbers/>
        <w:tabs>
          <w:tab w:val="left" w:pos="1440"/>
        </w:tabs>
        <w:spacing w:line="480" w:lineRule="atLeast"/>
        <w:ind w:left="180"/>
        <w:rPr>
          <w:rFonts w:ascii="Arial" w:hAnsi="Arial"/>
        </w:rPr>
      </w:pPr>
      <w:r>
        <w:rPr>
          <w:rFonts w:ascii="Arial" w:hAnsi="Arial"/>
        </w:rPr>
        <w:t>B-18</w:t>
      </w:r>
      <w:r>
        <w:rPr>
          <w:rFonts w:ascii="Arial" w:hAnsi="Arial"/>
        </w:rPr>
        <w:tab/>
        <w:t xml:space="preserve">Fuel Inventory </w:t>
      </w:r>
      <w:r w:rsidR="005179B8">
        <w:rPr>
          <w:rFonts w:ascii="Arial" w:hAnsi="Arial"/>
        </w:rPr>
        <w:t>by Plant</w:t>
      </w:r>
    </w:p>
    <w:p w:rsidR="000871B7" w:rsidRDefault="000871B7" w:rsidP="00134113">
      <w:pPr>
        <w:suppressLineNumbers/>
        <w:tabs>
          <w:tab w:val="left" w:pos="1440"/>
        </w:tabs>
        <w:spacing w:line="480" w:lineRule="atLeast"/>
        <w:ind w:left="180"/>
        <w:rPr>
          <w:rFonts w:ascii="Arial" w:hAnsi="Arial"/>
        </w:rPr>
      </w:pPr>
      <w:r>
        <w:rPr>
          <w:rFonts w:ascii="Arial" w:hAnsi="Arial"/>
        </w:rPr>
        <w:t>C-42</w:t>
      </w:r>
      <w:r>
        <w:rPr>
          <w:rFonts w:ascii="Arial" w:hAnsi="Arial"/>
        </w:rPr>
        <w:tab/>
        <w:t>Hedging Costs</w:t>
      </w:r>
    </w:p>
    <w:p w:rsidR="000871B7" w:rsidRDefault="000871B7" w:rsidP="00134113">
      <w:pPr>
        <w:suppressLineNumbers/>
        <w:tabs>
          <w:tab w:val="left" w:pos="1440"/>
        </w:tabs>
        <w:spacing w:line="480" w:lineRule="atLeast"/>
        <w:ind w:left="180"/>
        <w:rPr>
          <w:rFonts w:ascii="Arial" w:hAnsi="Arial"/>
        </w:rPr>
      </w:pPr>
      <w:r>
        <w:rPr>
          <w:rFonts w:ascii="Arial" w:hAnsi="Arial"/>
        </w:rPr>
        <w:t>F-4</w:t>
      </w:r>
      <w:r>
        <w:rPr>
          <w:rFonts w:ascii="Arial" w:hAnsi="Arial"/>
        </w:rPr>
        <w:tab/>
        <w:t>NRC Safety Citations</w:t>
      </w:r>
    </w:p>
    <w:p w:rsidR="000871B7" w:rsidRDefault="000871B7" w:rsidP="00134113">
      <w:pPr>
        <w:suppressLineNumbers/>
        <w:tabs>
          <w:tab w:val="left" w:pos="1440"/>
        </w:tabs>
        <w:spacing w:line="480" w:lineRule="atLeast"/>
        <w:ind w:left="180"/>
        <w:rPr>
          <w:rFonts w:ascii="Arial" w:hAnsi="Arial"/>
        </w:rPr>
      </w:pPr>
      <w:r>
        <w:rPr>
          <w:rFonts w:ascii="Arial" w:hAnsi="Arial"/>
        </w:rPr>
        <w:t>F-5</w:t>
      </w:r>
      <w:r>
        <w:rPr>
          <w:rFonts w:ascii="Arial" w:hAnsi="Arial"/>
        </w:rPr>
        <w:tab/>
        <w:t>Forecasting Models</w:t>
      </w:r>
    </w:p>
    <w:p w:rsidR="00310EED" w:rsidRDefault="000871B7" w:rsidP="00134113">
      <w:pPr>
        <w:suppressLineNumbers/>
        <w:tabs>
          <w:tab w:val="left" w:pos="1440"/>
        </w:tabs>
        <w:spacing w:line="480" w:lineRule="atLeast"/>
        <w:ind w:left="180"/>
        <w:rPr>
          <w:rFonts w:ascii="Arial" w:hAnsi="Arial"/>
        </w:rPr>
      </w:pPr>
      <w:r>
        <w:rPr>
          <w:rFonts w:ascii="Arial" w:hAnsi="Arial"/>
        </w:rPr>
        <w:t>F-8</w:t>
      </w:r>
      <w:r>
        <w:rPr>
          <w:rFonts w:ascii="Arial" w:hAnsi="Arial"/>
        </w:rPr>
        <w:tab/>
        <w:t>Assumptions</w:t>
      </w:r>
    </w:p>
    <w:p w:rsidR="000871B7" w:rsidRDefault="000871B7" w:rsidP="00310EED">
      <w:pPr>
        <w:suppressLineNumbers/>
        <w:tabs>
          <w:tab w:val="left" w:pos="1440"/>
        </w:tabs>
        <w:rPr>
          <w:rFonts w:ascii="Arial" w:hAnsi="Arial"/>
        </w:rPr>
      </w:pPr>
    </w:p>
    <w:p w:rsidR="000871B7" w:rsidRDefault="000871B7" w:rsidP="00310EED">
      <w:pPr>
        <w:suppressLineNumbers/>
        <w:tabs>
          <w:tab w:val="left" w:pos="1440"/>
        </w:tabs>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046485" w:rsidRDefault="00046485" w:rsidP="00310EED">
      <w:pPr>
        <w:rPr>
          <w:rFonts w:ascii="Arial" w:hAnsi="Arial"/>
        </w:rPr>
      </w:pPr>
    </w:p>
    <w:p w:rsidR="00046485" w:rsidRDefault="00046485" w:rsidP="00310EED">
      <w:pPr>
        <w:rPr>
          <w:rFonts w:ascii="Arial" w:hAnsi="Arial"/>
        </w:rPr>
      </w:pPr>
    </w:p>
    <w:p w:rsidR="00310EED" w:rsidRDefault="00310EED" w:rsidP="00310EED">
      <w:pPr>
        <w:rPr>
          <w:rFonts w:ascii="Arial" w:hAnsi="Arial"/>
        </w:rPr>
      </w:pPr>
    </w:p>
    <w:p w:rsidR="0050314B" w:rsidRDefault="0050314B" w:rsidP="00310EED">
      <w:pPr>
        <w:rPr>
          <w:rFonts w:ascii="Arial" w:hAnsi="Arial"/>
        </w:rPr>
        <w:sectPr w:rsidR="0050314B" w:rsidSect="00134113">
          <w:headerReference w:type="default" r:id="rId17"/>
          <w:footerReference w:type="default" r:id="rId18"/>
          <w:footerReference w:type="first" r:id="rId19"/>
          <w:pgSz w:w="12240" w:h="15840" w:code="1"/>
          <w:pgMar w:top="1570" w:right="1440" w:bottom="1800" w:left="1987" w:header="720" w:footer="720" w:gutter="0"/>
          <w:cols w:space="720"/>
          <w:titlePg/>
          <w:docGrid w:linePitch="360"/>
        </w:sectPr>
      </w:pPr>
    </w:p>
    <w:p w:rsidR="00310EED" w:rsidRDefault="00310EED" w:rsidP="00053AB2">
      <w:pPr>
        <w:suppressLineNumbers/>
        <w:spacing w:line="480" w:lineRule="atLeast"/>
        <w:jc w:val="center"/>
        <w:rPr>
          <w:rFonts w:ascii="Arial" w:hAnsi="Arial"/>
        </w:rPr>
      </w:pPr>
      <w:r w:rsidRPr="00821611">
        <w:rPr>
          <w:rFonts w:ascii="Arial" w:hAnsi="Arial"/>
        </w:rPr>
        <w:t>Owned and Operated or Jointly Owned Generating Capacity</w:t>
      </w:r>
    </w:p>
    <w:p w:rsidR="00035194" w:rsidRDefault="00035194" w:rsidP="00310EED">
      <w:pPr>
        <w:suppressLineNumbers/>
        <w:spacing w:line="480" w:lineRule="atLeast"/>
        <w:rPr>
          <w:rFonts w:ascii="Arial" w:hAnsi="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160"/>
        <w:gridCol w:w="2250"/>
      </w:tblGrid>
      <w:tr w:rsidR="00A4572A" w:rsidTr="00134113">
        <w:trPr>
          <w:jc w:val="center"/>
        </w:trPr>
        <w:tc>
          <w:tcPr>
            <w:tcW w:w="2358" w:type="dxa"/>
            <w:tcBorders>
              <w:bottom w:val="single" w:sz="12" w:space="0" w:color="auto"/>
            </w:tcBorders>
          </w:tcPr>
          <w:p w:rsidR="00A4572A" w:rsidRDefault="00A4572A" w:rsidP="00310EED">
            <w:pPr>
              <w:suppressLineNumbers/>
              <w:spacing w:line="480" w:lineRule="atLeast"/>
              <w:rPr>
                <w:rFonts w:ascii="Arial" w:hAnsi="Arial"/>
              </w:rPr>
            </w:pPr>
            <w:r>
              <w:rPr>
                <w:rFonts w:ascii="Arial" w:hAnsi="Arial"/>
              </w:rPr>
              <w:t>Unit Description</w:t>
            </w:r>
          </w:p>
        </w:tc>
        <w:tc>
          <w:tcPr>
            <w:tcW w:w="2160" w:type="dxa"/>
            <w:tcBorders>
              <w:bottom w:val="single" w:sz="12" w:space="0" w:color="auto"/>
            </w:tcBorders>
          </w:tcPr>
          <w:p w:rsidR="00A4572A" w:rsidRDefault="00A4572A" w:rsidP="00310EED">
            <w:pPr>
              <w:suppressLineNumbers/>
              <w:spacing w:line="480" w:lineRule="atLeast"/>
              <w:rPr>
                <w:rFonts w:ascii="Arial" w:hAnsi="Arial"/>
              </w:rPr>
            </w:pPr>
            <w:r>
              <w:rPr>
                <w:rFonts w:ascii="Arial" w:hAnsi="Arial"/>
              </w:rPr>
              <w:t>Net Generation</w:t>
            </w:r>
          </w:p>
          <w:p w:rsidR="00500E1F" w:rsidRDefault="00500E1F">
            <w:pPr>
              <w:suppressLineNumbers/>
              <w:spacing w:line="480" w:lineRule="atLeast"/>
              <w:rPr>
                <w:rFonts w:ascii="Arial" w:hAnsi="Arial"/>
              </w:rPr>
            </w:pPr>
            <w:r>
              <w:rPr>
                <w:rFonts w:ascii="Arial" w:hAnsi="Arial"/>
              </w:rPr>
              <w:t>(MW)</w:t>
            </w:r>
          </w:p>
        </w:tc>
        <w:tc>
          <w:tcPr>
            <w:tcW w:w="2250" w:type="dxa"/>
            <w:tcBorders>
              <w:bottom w:val="single" w:sz="12" w:space="0" w:color="auto"/>
            </w:tcBorders>
          </w:tcPr>
          <w:p w:rsidR="00A4572A" w:rsidRDefault="00A4572A" w:rsidP="00310EED">
            <w:pPr>
              <w:suppressLineNumbers/>
              <w:spacing w:line="480" w:lineRule="atLeast"/>
              <w:rPr>
                <w:rFonts w:ascii="Arial" w:hAnsi="Arial"/>
              </w:rPr>
            </w:pPr>
            <w:r>
              <w:rPr>
                <w:rFonts w:ascii="Arial" w:hAnsi="Arial"/>
              </w:rPr>
              <w:t xml:space="preserve">Commercial </w:t>
            </w:r>
          </w:p>
          <w:p w:rsidR="00500E1F" w:rsidRDefault="00500E1F" w:rsidP="00310EED">
            <w:pPr>
              <w:suppressLineNumbers/>
              <w:spacing w:line="480" w:lineRule="atLeast"/>
              <w:rPr>
                <w:rFonts w:ascii="Arial" w:hAnsi="Arial"/>
              </w:rPr>
            </w:pPr>
            <w:r>
              <w:rPr>
                <w:rFonts w:ascii="Arial" w:hAnsi="Arial"/>
              </w:rPr>
              <w:t>Operation Date</w:t>
            </w:r>
          </w:p>
        </w:tc>
      </w:tr>
      <w:tr w:rsidR="00A4572A" w:rsidTr="00134113">
        <w:trPr>
          <w:jc w:val="center"/>
        </w:trPr>
        <w:tc>
          <w:tcPr>
            <w:tcW w:w="2358" w:type="dxa"/>
            <w:tcBorders>
              <w:top w:val="single" w:sz="12" w:space="0" w:color="auto"/>
            </w:tcBorders>
          </w:tcPr>
          <w:p w:rsidR="00A4572A" w:rsidRDefault="00A4572A">
            <w:pPr>
              <w:suppressLineNumbers/>
              <w:spacing w:line="480" w:lineRule="atLeast"/>
              <w:rPr>
                <w:rFonts w:ascii="Arial" w:hAnsi="Arial"/>
              </w:rPr>
            </w:pPr>
            <w:r>
              <w:rPr>
                <w:rFonts w:ascii="Arial" w:hAnsi="Arial"/>
              </w:rPr>
              <w:t>Crist Unit 4</w:t>
            </w:r>
          </w:p>
        </w:tc>
        <w:tc>
          <w:tcPr>
            <w:tcW w:w="2160" w:type="dxa"/>
            <w:tcBorders>
              <w:top w:val="single" w:sz="12" w:space="0" w:color="auto"/>
            </w:tcBorders>
          </w:tcPr>
          <w:p w:rsidR="00A4572A" w:rsidRDefault="00A4572A">
            <w:pPr>
              <w:suppressLineNumbers/>
              <w:spacing w:line="480" w:lineRule="atLeast"/>
              <w:rPr>
                <w:rFonts w:ascii="Arial" w:hAnsi="Arial"/>
              </w:rPr>
            </w:pPr>
            <w:r>
              <w:rPr>
                <w:rFonts w:ascii="Arial" w:hAnsi="Arial"/>
              </w:rPr>
              <w:t>75</w:t>
            </w:r>
          </w:p>
        </w:tc>
        <w:tc>
          <w:tcPr>
            <w:tcW w:w="2250" w:type="dxa"/>
            <w:tcBorders>
              <w:top w:val="single" w:sz="12" w:space="0" w:color="auto"/>
            </w:tcBorders>
          </w:tcPr>
          <w:p w:rsidR="00A4572A" w:rsidRDefault="00A4572A">
            <w:pPr>
              <w:suppressLineNumbers/>
              <w:spacing w:line="480" w:lineRule="atLeast"/>
              <w:rPr>
                <w:rFonts w:ascii="Arial" w:hAnsi="Arial"/>
              </w:rPr>
            </w:pPr>
            <w:r>
              <w:rPr>
                <w:rFonts w:ascii="Arial" w:hAnsi="Arial"/>
              </w:rPr>
              <w:t>Jul 1959</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Crist Unit 5</w:t>
            </w:r>
          </w:p>
        </w:tc>
        <w:tc>
          <w:tcPr>
            <w:tcW w:w="2160" w:type="dxa"/>
          </w:tcPr>
          <w:p w:rsidR="00A4572A" w:rsidRDefault="00A4572A">
            <w:pPr>
              <w:suppressLineNumbers/>
              <w:spacing w:line="480" w:lineRule="atLeast"/>
              <w:rPr>
                <w:rFonts w:ascii="Arial" w:hAnsi="Arial"/>
              </w:rPr>
            </w:pPr>
            <w:r>
              <w:rPr>
                <w:rFonts w:ascii="Arial" w:hAnsi="Arial"/>
              </w:rPr>
              <w:t>75</w:t>
            </w:r>
          </w:p>
        </w:tc>
        <w:tc>
          <w:tcPr>
            <w:tcW w:w="2250" w:type="dxa"/>
          </w:tcPr>
          <w:p w:rsidR="00A4572A" w:rsidRDefault="00A4572A">
            <w:pPr>
              <w:suppressLineNumbers/>
              <w:spacing w:line="480" w:lineRule="atLeast"/>
              <w:rPr>
                <w:rFonts w:ascii="Arial" w:hAnsi="Arial"/>
              </w:rPr>
            </w:pPr>
            <w:r>
              <w:rPr>
                <w:rFonts w:ascii="Arial" w:hAnsi="Arial"/>
              </w:rPr>
              <w:t>Jun 1961</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Crist Unit 6</w:t>
            </w:r>
          </w:p>
        </w:tc>
        <w:tc>
          <w:tcPr>
            <w:tcW w:w="2160" w:type="dxa"/>
          </w:tcPr>
          <w:p w:rsidR="00A4572A" w:rsidRDefault="00A4572A">
            <w:pPr>
              <w:suppressLineNumbers/>
              <w:spacing w:line="480" w:lineRule="atLeast"/>
              <w:rPr>
                <w:rFonts w:ascii="Arial" w:hAnsi="Arial"/>
              </w:rPr>
            </w:pPr>
            <w:r>
              <w:rPr>
                <w:rFonts w:ascii="Arial" w:hAnsi="Arial"/>
              </w:rPr>
              <w:t>299</w:t>
            </w:r>
          </w:p>
        </w:tc>
        <w:tc>
          <w:tcPr>
            <w:tcW w:w="2250" w:type="dxa"/>
          </w:tcPr>
          <w:p w:rsidR="00A4572A" w:rsidRDefault="00A4572A">
            <w:pPr>
              <w:suppressLineNumbers/>
              <w:spacing w:line="480" w:lineRule="atLeast"/>
              <w:rPr>
                <w:rFonts w:ascii="Arial" w:hAnsi="Arial"/>
              </w:rPr>
            </w:pPr>
            <w:r>
              <w:rPr>
                <w:rFonts w:ascii="Arial" w:hAnsi="Arial"/>
              </w:rPr>
              <w:t>May 1970</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Crist Unit 7</w:t>
            </w:r>
          </w:p>
        </w:tc>
        <w:tc>
          <w:tcPr>
            <w:tcW w:w="2160" w:type="dxa"/>
          </w:tcPr>
          <w:p w:rsidR="00A4572A" w:rsidRDefault="00A4572A">
            <w:pPr>
              <w:suppressLineNumbers/>
              <w:spacing w:line="480" w:lineRule="atLeast"/>
              <w:rPr>
                <w:rFonts w:ascii="Arial" w:hAnsi="Arial"/>
              </w:rPr>
            </w:pPr>
            <w:r>
              <w:rPr>
                <w:rFonts w:ascii="Arial" w:hAnsi="Arial"/>
              </w:rPr>
              <w:t>475</w:t>
            </w:r>
          </w:p>
        </w:tc>
        <w:tc>
          <w:tcPr>
            <w:tcW w:w="2250" w:type="dxa"/>
          </w:tcPr>
          <w:p w:rsidR="00A4572A" w:rsidRDefault="00A4572A">
            <w:pPr>
              <w:suppressLineNumbers/>
              <w:spacing w:line="480" w:lineRule="atLeast"/>
              <w:rPr>
                <w:rFonts w:ascii="Arial" w:hAnsi="Arial"/>
              </w:rPr>
            </w:pPr>
            <w:r>
              <w:rPr>
                <w:rFonts w:ascii="Arial" w:hAnsi="Arial"/>
              </w:rPr>
              <w:t>Aug 1973</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Smith Unit 1</w:t>
            </w:r>
          </w:p>
        </w:tc>
        <w:tc>
          <w:tcPr>
            <w:tcW w:w="2160" w:type="dxa"/>
          </w:tcPr>
          <w:p w:rsidR="00A4572A" w:rsidRDefault="00A4572A">
            <w:pPr>
              <w:suppressLineNumbers/>
              <w:spacing w:line="480" w:lineRule="atLeast"/>
              <w:rPr>
                <w:rFonts w:ascii="Arial" w:hAnsi="Arial"/>
              </w:rPr>
            </w:pPr>
            <w:r>
              <w:rPr>
                <w:rFonts w:ascii="Arial" w:hAnsi="Arial"/>
              </w:rPr>
              <w:t>162</w:t>
            </w:r>
          </w:p>
        </w:tc>
        <w:tc>
          <w:tcPr>
            <w:tcW w:w="2250" w:type="dxa"/>
          </w:tcPr>
          <w:p w:rsidR="00A4572A" w:rsidRDefault="00A4572A">
            <w:pPr>
              <w:suppressLineNumbers/>
              <w:spacing w:line="480" w:lineRule="atLeast"/>
              <w:rPr>
                <w:rFonts w:ascii="Arial" w:hAnsi="Arial"/>
              </w:rPr>
            </w:pPr>
            <w:r>
              <w:rPr>
                <w:rFonts w:ascii="Arial" w:hAnsi="Arial"/>
              </w:rPr>
              <w:t>Jun 1965</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Smith Unit 2</w:t>
            </w:r>
          </w:p>
        </w:tc>
        <w:tc>
          <w:tcPr>
            <w:tcW w:w="2160" w:type="dxa"/>
          </w:tcPr>
          <w:p w:rsidR="00A4572A" w:rsidRDefault="00A4572A">
            <w:pPr>
              <w:suppressLineNumbers/>
              <w:spacing w:line="480" w:lineRule="atLeast"/>
              <w:rPr>
                <w:rFonts w:ascii="Arial" w:hAnsi="Arial"/>
              </w:rPr>
            </w:pPr>
            <w:r>
              <w:rPr>
                <w:rFonts w:ascii="Arial" w:hAnsi="Arial"/>
              </w:rPr>
              <w:t>195</w:t>
            </w:r>
          </w:p>
        </w:tc>
        <w:tc>
          <w:tcPr>
            <w:tcW w:w="2250" w:type="dxa"/>
          </w:tcPr>
          <w:p w:rsidR="00A4572A" w:rsidRDefault="00A4572A">
            <w:pPr>
              <w:suppressLineNumbers/>
              <w:spacing w:line="480" w:lineRule="atLeast"/>
              <w:rPr>
                <w:rFonts w:ascii="Arial" w:hAnsi="Arial"/>
              </w:rPr>
            </w:pPr>
            <w:r>
              <w:rPr>
                <w:rFonts w:ascii="Arial" w:hAnsi="Arial"/>
              </w:rPr>
              <w:t>Jun 1967</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Smith Unit 3</w:t>
            </w:r>
          </w:p>
        </w:tc>
        <w:tc>
          <w:tcPr>
            <w:tcW w:w="2160" w:type="dxa"/>
          </w:tcPr>
          <w:p w:rsidR="00A4572A" w:rsidRDefault="00A4572A">
            <w:pPr>
              <w:suppressLineNumbers/>
              <w:spacing w:line="480" w:lineRule="atLeast"/>
              <w:rPr>
                <w:rFonts w:ascii="Arial" w:hAnsi="Arial"/>
              </w:rPr>
            </w:pPr>
            <w:r>
              <w:rPr>
                <w:rFonts w:ascii="Arial" w:hAnsi="Arial"/>
              </w:rPr>
              <w:t>556</w:t>
            </w:r>
          </w:p>
        </w:tc>
        <w:tc>
          <w:tcPr>
            <w:tcW w:w="2250" w:type="dxa"/>
          </w:tcPr>
          <w:p w:rsidR="00A4572A" w:rsidRDefault="00A4572A">
            <w:pPr>
              <w:suppressLineNumbers/>
              <w:spacing w:line="480" w:lineRule="atLeast"/>
              <w:rPr>
                <w:rFonts w:ascii="Arial" w:hAnsi="Arial"/>
              </w:rPr>
            </w:pPr>
            <w:r>
              <w:rPr>
                <w:rFonts w:ascii="Arial" w:hAnsi="Arial"/>
              </w:rPr>
              <w:t>Apr 2002</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Smith Unit A</w:t>
            </w:r>
          </w:p>
        </w:tc>
        <w:tc>
          <w:tcPr>
            <w:tcW w:w="2160" w:type="dxa"/>
          </w:tcPr>
          <w:p w:rsidR="00A4572A" w:rsidRDefault="00A4572A">
            <w:pPr>
              <w:suppressLineNumbers/>
              <w:spacing w:line="480" w:lineRule="atLeast"/>
              <w:rPr>
                <w:rFonts w:ascii="Arial" w:hAnsi="Arial"/>
              </w:rPr>
            </w:pPr>
            <w:r>
              <w:rPr>
                <w:rFonts w:ascii="Arial" w:hAnsi="Arial"/>
              </w:rPr>
              <w:t>32</w:t>
            </w:r>
          </w:p>
        </w:tc>
        <w:tc>
          <w:tcPr>
            <w:tcW w:w="2250" w:type="dxa"/>
          </w:tcPr>
          <w:p w:rsidR="00A4572A" w:rsidRDefault="00A4572A">
            <w:pPr>
              <w:suppressLineNumbers/>
              <w:spacing w:line="480" w:lineRule="atLeast"/>
              <w:rPr>
                <w:rFonts w:ascii="Arial" w:hAnsi="Arial"/>
              </w:rPr>
            </w:pPr>
            <w:r>
              <w:rPr>
                <w:rFonts w:ascii="Arial" w:hAnsi="Arial"/>
              </w:rPr>
              <w:t>May 1971</w:t>
            </w:r>
          </w:p>
        </w:tc>
      </w:tr>
      <w:tr w:rsidR="00A4572A" w:rsidTr="00134113">
        <w:trPr>
          <w:jc w:val="center"/>
        </w:trPr>
        <w:tc>
          <w:tcPr>
            <w:tcW w:w="2358" w:type="dxa"/>
          </w:tcPr>
          <w:p w:rsidR="00A4572A" w:rsidRDefault="00A4572A">
            <w:pPr>
              <w:suppressLineNumbers/>
              <w:spacing w:line="480" w:lineRule="atLeast"/>
              <w:rPr>
                <w:rFonts w:ascii="Arial" w:hAnsi="Arial"/>
              </w:rPr>
            </w:pPr>
            <w:r>
              <w:rPr>
                <w:rFonts w:ascii="Arial" w:hAnsi="Arial"/>
              </w:rPr>
              <w:t>Scholz Unit 1</w:t>
            </w:r>
          </w:p>
        </w:tc>
        <w:tc>
          <w:tcPr>
            <w:tcW w:w="2160" w:type="dxa"/>
          </w:tcPr>
          <w:p w:rsidR="00A4572A" w:rsidRDefault="00A4572A">
            <w:pPr>
              <w:suppressLineNumbers/>
              <w:spacing w:line="480" w:lineRule="atLeast"/>
              <w:rPr>
                <w:rFonts w:ascii="Arial" w:hAnsi="Arial"/>
              </w:rPr>
            </w:pPr>
            <w:r>
              <w:rPr>
                <w:rFonts w:ascii="Arial" w:hAnsi="Arial"/>
              </w:rPr>
              <w:t>46</w:t>
            </w:r>
          </w:p>
        </w:tc>
        <w:tc>
          <w:tcPr>
            <w:tcW w:w="2250" w:type="dxa"/>
          </w:tcPr>
          <w:p w:rsidR="00A4572A" w:rsidRDefault="00A4572A">
            <w:pPr>
              <w:suppressLineNumbers/>
              <w:spacing w:line="480" w:lineRule="atLeast"/>
              <w:rPr>
                <w:rFonts w:ascii="Arial" w:hAnsi="Arial"/>
              </w:rPr>
            </w:pPr>
            <w:r>
              <w:rPr>
                <w:rFonts w:ascii="Arial" w:hAnsi="Arial"/>
              </w:rPr>
              <w:t>Mar 1953</w:t>
            </w:r>
          </w:p>
        </w:tc>
      </w:tr>
      <w:tr w:rsidR="00D334EF" w:rsidTr="00134113">
        <w:trPr>
          <w:jc w:val="center"/>
        </w:trPr>
        <w:tc>
          <w:tcPr>
            <w:tcW w:w="2358" w:type="dxa"/>
          </w:tcPr>
          <w:p w:rsidR="00D334EF" w:rsidRDefault="00D334EF">
            <w:pPr>
              <w:suppressLineNumbers/>
              <w:spacing w:line="480" w:lineRule="atLeast"/>
              <w:rPr>
                <w:rFonts w:ascii="Arial" w:hAnsi="Arial"/>
              </w:rPr>
            </w:pPr>
            <w:r>
              <w:rPr>
                <w:rFonts w:ascii="Arial" w:hAnsi="Arial"/>
              </w:rPr>
              <w:t>Scholz Unit 2</w:t>
            </w:r>
          </w:p>
        </w:tc>
        <w:tc>
          <w:tcPr>
            <w:tcW w:w="2160" w:type="dxa"/>
          </w:tcPr>
          <w:p w:rsidR="00D334EF" w:rsidRDefault="00035194">
            <w:pPr>
              <w:suppressLineNumbers/>
              <w:spacing w:line="480" w:lineRule="atLeast"/>
              <w:rPr>
                <w:rFonts w:ascii="Arial" w:hAnsi="Arial"/>
              </w:rPr>
            </w:pPr>
            <w:r>
              <w:rPr>
                <w:rFonts w:ascii="Arial" w:hAnsi="Arial"/>
              </w:rPr>
              <w:t>46</w:t>
            </w:r>
          </w:p>
        </w:tc>
        <w:tc>
          <w:tcPr>
            <w:tcW w:w="2250" w:type="dxa"/>
          </w:tcPr>
          <w:p w:rsidR="00D334EF" w:rsidRDefault="00035194">
            <w:pPr>
              <w:suppressLineNumbers/>
              <w:spacing w:line="480" w:lineRule="atLeast"/>
              <w:rPr>
                <w:rFonts w:ascii="Arial" w:hAnsi="Arial"/>
              </w:rPr>
            </w:pPr>
            <w:r>
              <w:rPr>
                <w:rFonts w:ascii="Arial" w:hAnsi="Arial"/>
              </w:rPr>
              <w:t>Oct 1953</w:t>
            </w:r>
          </w:p>
        </w:tc>
      </w:tr>
      <w:tr w:rsidR="00035194" w:rsidTr="00134113">
        <w:trPr>
          <w:jc w:val="center"/>
        </w:trPr>
        <w:tc>
          <w:tcPr>
            <w:tcW w:w="2358" w:type="dxa"/>
          </w:tcPr>
          <w:p w:rsidR="00035194" w:rsidRDefault="00035194">
            <w:pPr>
              <w:suppressLineNumbers/>
              <w:spacing w:line="480" w:lineRule="atLeast"/>
              <w:rPr>
                <w:rFonts w:ascii="Arial" w:hAnsi="Arial"/>
              </w:rPr>
            </w:pPr>
            <w:r>
              <w:rPr>
                <w:rFonts w:ascii="Arial" w:hAnsi="Arial"/>
              </w:rPr>
              <w:t>Pea Ridge Unit 1</w:t>
            </w:r>
          </w:p>
        </w:tc>
        <w:tc>
          <w:tcPr>
            <w:tcW w:w="2160" w:type="dxa"/>
          </w:tcPr>
          <w:p w:rsidR="00035194" w:rsidRDefault="00035194">
            <w:pPr>
              <w:suppressLineNumbers/>
              <w:spacing w:line="480" w:lineRule="atLeast"/>
              <w:rPr>
                <w:rFonts w:ascii="Arial" w:hAnsi="Arial"/>
              </w:rPr>
            </w:pPr>
            <w:r>
              <w:rPr>
                <w:rFonts w:ascii="Arial" w:hAnsi="Arial"/>
              </w:rPr>
              <w:t>4</w:t>
            </w:r>
          </w:p>
        </w:tc>
        <w:tc>
          <w:tcPr>
            <w:tcW w:w="2250" w:type="dxa"/>
          </w:tcPr>
          <w:p w:rsidR="00035194" w:rsidRDefault="00035194">
            <w:pPr>
              <w:suppressLineNumbers/>
              <w:spacing w:line="480" w:lineRule="atLeast"/>
              <w:rPr>
                <w:rFonts w:ascii="Arial" w:hAnsi="Arial"/>
              </w:rPr>
            </w:pPr>
            <w:r>
              <w:rPr>
                <w:rFonts w:ascii="Arial" w:hAnsi="Arial"/>
              </w:rPr>
              <w:t>May 1998</w:t>
            </w:r>
          </w:p>
        </w:tc>
      </w:tr>
      <w:tr w:rsidR="00035194" w:rsidTr="00134113">
        <w:trPr>
          <w:jc w:val="center"/>
        </w:trPr>
        <w:tc>
          <w:tcPr>
            <w:tcW w:w="2358" w:type="dxa"/>
          </w:tcPr>
          <w:p w:rsidR="00035194" w:rsidRDefault="00035194">
            <w:pPr>
              <w:suppressLineNumbers/>
              <w:spacing w:line="480" w:lineRule="atLeast"/>
              <w:rPr>
                <w:rFonts w:ascii="Arial" w:hAnsi="Arial"/>
              </w:rPr>
            </w:pPr>
            <w:r>
              <w:rPr>
                <w:rFonts w:ascii="Arial" w:hAnsi="Arial"/>
              </w:rPr>
              <w:t>Pea Ridge Unit 2</w:t>
            </w:r>
          </w:p>
        </w:tc>
        <w:tc>
          <w:tcPr>
            <w:tcW w:w="2160" w:type="dxa"/>
          </w:tcPr>
          <w:p w:rsidR="00035194" w:rsidRDefault="00035194">
            <w:pPr>
              <w:suppressLineNumbers/>
              <w:spacing w:line="480" w:lineRule="atLeast"/>
              <w:rPr>
                <w:rFonts w:ascii="Arial" w:hAnsi="Arial"/>
              </w:rPr>
            </w:pPr>
            <w:r>
              <w:rPr>
                <w:rFonts w:ascii="Arial" w:hAnsi="Arial"/>
              </w:rPr>
              <w:t>4</w:t>
            </w:r>
          </w:p>
        </w:tc>
        <w:tc>
          <w:tcPr>
            <w:tcW w:w="2250" w:type="dxa"/>
          </w:tcPr>
          <w:p w:rsidR="00035194" w:rsidRDefault="00035194">
            <w:pPr>
              <w:suppressLineNumbers/>
              <w:spacing w:line="480" w:lineRule="atLeast"/>
              <w:rPr>
                <w:rFonts w:ascii="Arial" w:hAnsi="Arial"/>
              </w:rPr>
            </w:pPr>
            <w:r>
              <w:rPr>
                <w:rFonts w:ascii="Arial" w:hAnsi="Arial"/>
              </w:rPr>
              <w:t>May 1998</w:t>
            </w:r>
          </w:p>
        </w:tc>
      </w:tr>
      <w:tr w:rsidR="00035194" w:rsidTr="00134113">
        <w:trPr>
          <w:jc w:val="center"/>
        </w:trPr>
        <w:tc>
          <w:tcPr>
            <w:tcW w:w="2358" w:type="dxa"/>
          </w:tcPr>
          <w:p w:rsidR="00035194" w:rsidRDefault="00035194">
            <w:pPr>
              <w:suppressLineNumbers/>
              <w:spacing w:line="480" w:lineRule="atLeast"/>
              <w:rPr>
                <w:rFonts w:ascii="Arial" w:hAnsi="Arial"/>
              </w:rPr>
            </w:pPr>
            <w:r>
              <w:rPr>
                <w:rFonts w:ascii="Arial" w:hAnsi="Arial"/>
              </w:rPr>
              <w:t>Pea Ridge Unit 3</w:t>
            </w:r>
          </w:p>
        </w:tc>
        <w:tc>
          <w:tcPr>
            <w:tcW w:w="2160" w:type="dxa"/>
          </w:tcPr>
          <w:p w:rsidR="00035194" w:rsidRDefault="00035194">
            <w:pPr>
              <w:suppressLineNumbers/>
              <w:spacing w:line="480" w:lineRule="atLeast"/>
              <w:rPr>
                <w:rFonts w:ascii="Arial" w:hAnsi="Arial"/>
              </w:rPr>
            </w:pPr>
            <w:r>
              <w:rPr>
                <w:rFonts w:ascii="Arial" w:hAnsi="Arial"/>
              </w:rPr>
              <w:t>4</w:t>
            </w:r>
          </w:p>
        </w:tc>
        <w:tc>
          <w:tcPr>
            <w:tcW w:w="2250" w:type="dxa"/>
          </w:tcPr>
          <w:p w:rsidR="00035194" w:rsidRDefault="00035194">
            <w:pPr>
              <w:suppressLineNumbers/>
              <w:spacing w:line="480" w:lineRule="atLeast"/>
              <w:rPr>
                <w:rFonts w:ascii="Arial" w:hAnsi="Arial"/>
              </w:rPr>
            </w:pPr>
            <w:r>
              <w:rPr>
                <w:rFonts w:ascii="Arial" w:hAnsi="Arial"/>
              </w:rPr>
              <w:t>May 1998</w:t>
            </w:r>
          </w:p>
        </w:tc>
      </w:tr>
      <w:tr w:rsidR="00035194" w:rsidTr="00134113">
        <w:trPr>
          <w:jc w:val="center"/>
        </w:trPr>
        <w:tc>
          <w:tcPr>
            <w:tcW w:w="2358" w:type="dxa"/>
          </w:tcPr>
          <w:p w:rsidR="00035194" w:rsidRDefault="00035194">
            <w:pPr>
              <w:suppressLineNumbers/>
              <w:spacing w:line="480" w:lineRule="atLeast"/>
              <w:rPr>
                <w:rFonts w:ascii="Arial" w:hAnsi="Arial"/>
              </w:rPr>
            </w:pPr>
            <w:proofErr w:type="spellStart"/>
            <w:r>
              <w:rPr>
                <w:rFonts w:ascii="Arial" w:hAnsi="Arial"/>
              </w:rPr>
              <w:t>Perdido</w:t>
            </w:r>
            <w:proofErr w:type="spellEnd"/>
            <w:r>
              <w:rPr>
                <w:rFonts w:ascii="Arial" w:hAnsi="Arial"/>
              </w:rPr>
              <w:t xml:space="preserve"> Unit 1</w:t>
            </w:r>
          </w:p>
        </w:tc>
        <w:tc>
          <w:tcPr>
            <w:tcW w:w="2160" w:type="dxa"/>
          </w:tcPr>
          <w:p w:rsidR="00035194" w:rsidRDefault="00035194">
            <w:pPr>
              <w:suppressLineNumbers/>
              <w:spacing w:line="480" w:lineRule="atLeast"/>
              <w:rPr>
                <w:rFonts w:ascii="Arial" w:hAnsi="Arial"/>
              </w:rPr>
            </w:pPr>
            <w:r>
              <w:rPr>
                <w:rFonts w:ascii="Arial" w:hAnsi="Arial"/>
              </w:rPr>
              <w:t>1.6</w:t>
            </w:r>
          </w:p>
        </w:tc>
        <w:tc>
          <w:tcPr>
            <w:tcW w:w="2250" w:type="dxa"/>
          </w:tcPr>
          <w:p w:rsidR="00035194" w:rsidRDefault="00035194">
            <w:pPr>
              <w:suppressLineNumbers/>
              <w:spacing w:line="480" w:lineRule="atLeast"/>
              <w:rPr>
                <w:rFonts w:ascii="Arial" w:hAnsi="Arial"/>
              </w:rPr>
            </w:pPr>
            <w:r>
              <w:rPr>
                <w:rFonts w:ascii="Arial" w:hAnsi="Arial"/>
              </w:rPr>
              <w:t>Oct 2010</w:t>
            </w:r>
          </w:p>
        </w:tc>
      </w:tr>
      <w:tr w:rsidR="00035194" w:rsidTr="00134113">
        <w:trPr>
          <w:jc w:val="center"/>
        </w:trPr>
        <w:tc>
          <w:tcPr>
            <w:tcW w:w="2358" w:type="dxa"/>
          </w:tcPr>
          <w:p w:rsidR="00035194" w:rsidRDefault="00035194">
            <w:pPr>
              <w:suppressLineNumbers/>
              <w:spacing w:line="480" w:lineRule="atLeast"/>
              <w:rPr>
                <w:rFonts w:ascii="Arial" w:hAnsi="Arial"/>
              </w:rPr>
            </w:pPr>
            <w:proofErr w:type="spellStart"/>
            <w:r>
              <w:rPr>
                <w:rFonts w:ascii="Arial" w:hAnsi="Arial"/>
              </w:rPr>
              <w:t>Perdido</w:t>
            </w:r>
            <w:proofErr w:type="spellEnd"/>
            <w:r>
              <w:rPr>
                <w:rFonts w:ascii="Arial" w:hAnsi="Arial"/>
              </w:rPr>
              <w:t xml:space="preserve"> Unit 2</w:t>
            </w:r>
          </w:p>
        </w:tc>
        <w:tc>
          <w:tcPr>
            <w:tcW w:w="2160" w:type="dxa"/>
          </w:tcPr>
          <w:p w:rsidR="00035194" w:rsidRDefault="00035194">
            <w:pPr>
              <w:suppressLineNumbers/>
              <w:spacing w:line="480" w:lineRule="atLeast"/>
              <w:rPr>
                <w:rFonts w:ascii="Arial" w:hAnsi="Arial"/>
              </w:rPr>
            </w:pPr>
            <w:r>
              <w:rPr>
                <w:rFonts w:ascii="Arial" w:hAnsi="Arial"/>
              </w:rPr>
              <w:t>1.6</w:t>
            </w:r>
          </w:p>
        </w:tc>
        <w:tc>
          <w:tcPr>
            <w:tcW w:w="2250" w:type="dxa"/>
          </w:tcPr>
          <w:p w:rsidR="00035194" w:rsidRDefault="00035194">
            <w:pPr>
              <w:suppressLineNumbers/>
              <w:spacing w:line="480" w:lineRule="atLeast"/>
              <w:rPr>
                <w:rFonts w:ascii="Arial" w:hAnsi="Arial"/>
              </w:rPr>
            </w:pPr>
            <w:r>
              <w:rPr>
                <w:rFonts w:ascii="Arial" w:hAnsi="Arial"/>
              </w:rPr>
              <w:t>Oct 2010</w:t>
            </w:r>
          </w:p>
        </w:tc>
      </w:tr>
      <w:tr w:rsidR="00035194" w:rsidTr="00134113">
        <w:trPr>
          <w:jc w:val="center"/>
        </w:trPr>
        <w:tc>
          <w:tcPr>
            <w:tcW w:w="2358" w:type="dxa"/>
          </w:tcPr>
          <w:p w:rsidR="00035194" w:rsidRDefault="00035194">
            <w:pPr>
              <w:suppressLineNumbers/>
              <w:spacing w:line="480" w:lineRule="atLeast"/>
              <w:rPr>
                <w:rFonts w:ascii="Arial" w:hAnsi="Arial"/>
              </w:rPr>
            </w:pPr>
            <w:r>
              <w:rPr>
                <w:rFonts w:ascii="Arial" w:hAnsi="Arial"/>
              </w:rPr>
              <w:t>Daniel Unit 1</w:t>
            </w:r>
          </w:p>
        </w:tc>
        <w:tc>
          <w:tcPr>
            <w:tcW w:w="2160" w:type="dxa"/>
          </w:tcPr>
          <w:p w:rsidR="00035194" w:rsidRDefault="00035194">
            <w:pPr>
              <w:suppressLineNumbers/>
              <w:spacing w:line="480" w:lineRule="atLeast"/>
              <w:rPr>
                <w:rFonts w:ascii="Arial" w:hAnsi="Arial"/>
              </w:rPr>
            </w:pPr>
            <w:r>
              <w:rPr>
                <w:rFonts w:ascii="Arial" w:hAnsi="Arial"/>
              </w:rPr>
              <w:t>255</w:t>
            </w:r>
          </w:p>
        </w:tc>
        <w:tc>
          <w:tcPr>
            <w:tcW w:w="2250" w:type="dxa"/>
          </w:tcPr>
          <w:p w:rsidR="00035194" w:rsidRDefault="00035194">
            <w:pPr>
              <w:suppressLineNumbers/>
              <w:spacing w:line="480" w:lineRule="atLeast"/>
              <w:rPr>
                <w:rFonts w:ascii="Arial" w:hAnsi="Arial"/>
              </w:rPr>
            </w:pPr>
            <w:r>
              <w:rPr>
                <w:rFonts w:ascii="Arial" w:hAnsi="Arial"/>
              </w:rPr>
              <w:t>Sep 1977</w:t>
            </w:r>
          </w:p>
        </w:tc>
      </w:tr>
      <w:tr w:rsidR="00035194" w:rsidTr="00134113">
        <w:trPr>
          <w:jc w:val="center"/>
        </w:trPr>
        <w:tc>
          <w:tcPr>
            <w:tcW w:w="2358" w:type="dxa"/>
          </w:tcPr>
          <w:p w:rsidR="00035194" w:rsidRDefault="00035194">
            <w:pPr>
              <w:suppressLineNumbers/>
              <w:spacing w:line="480" w:lineRule="atLeast"/>
              <w:rPr>
                <w:rFonts w:ascii="Arial" w:hAnsi="Arial"/>
              </w:rPr>
            </w:pPr>
            <w:r>
              <w:rPr>
                <w:rFonts w:ascii="Arial" w:hAnsi="Arial"/>
              </w:rPr>
              <w:t>Daniel Unit 2</w:t>
            </w:r>
          </w:p>
        </w:tc>
        <w:tc>
          <w:tcPr>
            <w:tcW w:w="2160" w:type="dxa"/>
          </w:tcPr>
          <w:p w:rsidR="00035194" w:rsidRDefault="00035194">
            <w:pPr>
              <w:suppressLineNumbers/>
              <w:spacing w:line="480" w:lineRule="atLeast"/>
              <w:rPr>
                <w:rFonts w:ascii="Arial" w:hAnsi="Arial"/>
              </w:rPr>
            </w:pPr>
            <w:r>
              <w:rPr>
                <w:rFonts w:ascii="Arial" w:hAnsi="Arial"/>
              </w:rPr>
              <w:t>255</w:t>
            </w:r>
          </w:p>
        </w:tc>
        <w:tc>
          <w:tcPr>
            <w:tcW w:w="2250" w:type="dxa"/>
          </w:tcPr>
          <w:p w:rsidR="00035194" w:rsidRDefault="00035194">
            <w:pPr>
              <w:suppressLineNumbers/>
              <w:spacing w:line="480" w:lineRule="atLeast"/>
              <w:rPr>
                <w:rFonts w:ascii="Arial" w:hAnsi="Arial"/>
              </w:rPr>
            </w:pPr>
            <w:r>
              <w:rPr>
                <w:rFonts w:ascii="Arial" w:hAnsi="Arial"/>
              </w:rPr>
              <w:t>Jun 1981</w:t>
            </w:r>
          </w:p>
        </w:tc>
      </w:tr>
    </w:tbl>
    <w:p w:rsidR="00276C98" w:rsidRDefault="00276C98" w:rsidP="00310EED">
      <w:pPr>
        <w:rPr>
          <w:rFonts w:ascii="Arial" w:hAnsi="Arial"/>
        </w:rPr>
      </w:pPr>
    </w:p>
    <w:p w:rsidR="00276C98" w:rsidRDefault="00276C98" w:rsidP="00310EED">
      <w:pPr>
        <w:rPr>
          <w:rFonts w:ascii="Arial" w:hAnsi="Arial"/>
        </w:rPr>
        <w:sectPr w:rsidR="00276C98" w:rsidSect="00134113">
          <w:headerReference w:type="first" r:id="rId20"/>
          <w:pgSz w:w="12240" w:h="15840" w:code="1"/>
          <w:pgMar w:top="1570" w:right="1440" w:bottom="1800" w:left="1987" w:header="720" w:footer="720" w:gutter="0"/>
          <w:cols w:space="720"/>
          <w:titlePg/>
          <w:docGrid w:linePitch="360"/>
        </w:sectPr>
      </w:pPr>
    </w:p>
    <w:p w:rsidR="00310EED" w:rsidRPr="00821611" w:rsidRDefault="00310EED" w:rsidP="00310EED">
      <w:pPr>
        <w:suppressLineNumbers/>
        <w:spacing w:line="480" w:lineRule="atLeast"/>
        <w:ind w:left="720" w:hanging="720"/>
        <w:jc w:val="center"/>
        <w:rPr>
          <w:rFonts w:ascii="Arial" w:hAnsi="Arial"/>
        </w:rPr>
      </w:pPr>
      <w:r w:rsidRPr="00821611">
        <w:rPr>
          <w:rFonts w:ascii="Arial" w:hAnsi="Arial"/>
        </w:rPr>
        <w:t>Power Purchase Agreements</w:t>
      </w:r>
    </w:p>
    <w:p w:rsidR="00310EED" w:rsidRDefault="00310EED" w:rsidP="00310EED">
      <w:pPr>
        <w:suppressLineNumbers/>
        <w:spacing w:line="480" w:lineRule="atLeast"/>
        <w:ind w:left="720" w:hanging="720"/>
        <w:rPr>
          <w:rFonts w:ascii="Arial" w:hAnsi="Arial"/>
        </w:rPr>
      </w:pPr>
    </w:p>
    <w:p w:rsidR="00907206" w:rsidRDefault="00907206" w:rsidP="00310EED">
      <w:pPr>
        <w:suppressLineNumbers/>
        <w:spacing w:line="480" w:lineRule="atLeast"/>
        <w:ind w:left="720" w:hanging="720"/>
        <w:rPr>
          <w:rFonts w:ascii="Arial" w:hAnsi="Arial"/>
        </w:rPr>
      </w:pP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530"/>
        <w:gridCol w:w="1164"/>
        <w:gridCol w:w="1404"/>
        <w:gridCol w:w="1425"/>
        <w:gridCol w:w="1425"/>
      </w:tblGrid>
      <w:tr w:rsidR="00B906A7" w:rsidTr="00134113">
        <w:trPr>
          <w:jc w:val="center"/>
        </w:trPr>
        <w:tc>
          <w:tcPr>
            <w:tcW w:w="1908"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Agreement</w:t>
            </w:r>
          </w:p>
        </w:tc>
        <w:tc>
          <w:tcPr>
            <w:tcW w:w="1530"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Technology</w:t>
            </w:r>
          </w:p>
        </w:tc>
        <w:tc>
          <w:tcPr>
            <w:tcW w:w="1164"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Fuel</w:t>
            </w:r>
          </w:p>
        </w:tc>
        <w:tc>
          <w:tcPr>
            <w:tcW w:w="1404"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MW</w:t>
            </w:r>
          </w:p>
        </w:tc>
        <w:tc>
          <w:tcPr>
            <w:tcW w:w="1425"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Start Date</w:t>
            </w:r>
          </w:p>
        </w:tc>
        <w:tc>
          <w:tcPr>
            <w:tcW w:w="1425" w:type="dxa"/>
            <w:tcBorders>
              <w:bottom w:val="single" w:sz="12" w:space="0" w:color="auto"/>
            </w:tcBorders>
          </w:tcPr>
          <w:p w:rsidR="00B906A7" w:rsidRDefault="00B906A7" w:rsidP="00310EED">
            <w:pPr>
              <w:suppressLineNumbers/>
              <w:spacing w:line="480" w:lineRule="atLeast"/>
              <w:rPr>
                <w:rFonts w:ascii="Arial" w:hAnsi="Arial"/>
              </w:rPr>
            </w:pPr>
            <w:r>
              <w:rPr>
                <w:rFonts w:ascii="Arial" w:hAnsi="Arial"/>
              </w:rPr>
              <w:t>End Date</w:t>
            </w:r>
          </w:p>
        </w:tc>
      </w:tr>
      <w:tr w:rsidR="00B906A7" w:rsidTr="00134113">
        <w:trPr>
          <w:jc w:val="center"/>
        </w:trPr>
        <w:tc>
          <w:tcPr>
            <w:tcW w:w="1908" w:type="dxa"/>
            <w:tcBorders>
              <w:top w:val="single" w:sz="12" w:space="0" w:color="auto"/>
            </w:tcBorders>
          </w:tcPr>
          <w:p w:rsidR="00B906A7" w:rsidRDefault="00B906A7" w:rsidP="00310EED">
            <w:pPr>
              <w:suppressLineNumbers/>
              <w:spacing w:line="480" w:lineRule="atLeast"/>
              <w:rPr>
                <w:rFonts w:ascii="Arial" w:hAnsi="Arial"/>
              </w:rPr>
            </w:pPr>
          </w:p>
        </w:tc>
        <w:tc>
          <w:tcPr>
            <w:tcW w:w="1530" w:type="dxa"/>
            <w:tcBorders>
              <w:top w:val="single" w:sz="12" w:space="0" w:color="auto"/>
            </w:tcBorders>
          </w:tcPr>
          <w:p w:rsidR="00B906A7" w:rsidRDefault="00B906A7" w:rsidP="00310EED">
            <w:pPr>
              <w:suppressLineNumbers/>
              <w:spacing w:line="480" w:lineRule="atLeast"/>
              <w:rPr>
                <w:rFonts w:ascii="Arial" w:hAnsi="Arial"/>
              </w:rPr>
            </w:pPr>
          </w:p>
        </w:tc>
        <w:tc>
          <w:tcPr>
            <w:tcW w:w="1164" w:type="dxa"/>
            <w:tcBorders>
              <w:top w:val="single" w:sz="12" w:space="0" w:color="auto"/>
            </w:tcBorders>
          </w:tcPr>
          <w:p w:rsidR="00B906A7" w:rsidRDefault="00B906A7" w:rsidP="00310EED">
            <w:pPr>
              <w:suppressLineNumbers/>
              <w:spacing w:line="480" w:lineRule="atLeast"/>
              <w:rPr>
                <w:rFonts w:ascii="Arial" w:hAnsi="Arial"/>
              </w:rPr>
            </w:pPr>
          </w:p>
        </w:tc>
        <w:tc>
          <w:tcPr>
            <w:tcW w:w="1404" w:type="dxa"/>
            <w:tcBorders>
              <w:top w:val="single" w:sz="12" w:space="0" w:color="auto"/>
            </w:tcBorders>
          </w:tcPr>
          <w:p w:rsidR="00B906A7" w:rsidRDefault="00B906A7" w:rsidP="00310EED">
            <w:pPr>
              <w:suppressLineNumbers/>
              <w:spacing w:line="480" w:lineRule="atLeast"/>
              <w:rPr>
                <w:rFonts w:ascii="Arial" w:hAnsi="Arial"/>
              </w:rPr>
            </w:pPr>
          </w:p>
        </w:tc>
        <w:tc>
          <w:tcPr>
            <w:tcW w:w="1425" w:type="dxa"/>
            <w:tcBorders>
              <w:top w:val="single" w:sz="12" w:space="0" w:color="auto"/>
            </w:tcBorders>
          </w:tcPr>
          <w:p w:rsidR="00B906A7" w:rsidRDefault="00B906A7" w:rsidP="00310EED">
            <w:pPr>
              <w:suppressLineNumbers/>
              <w:spacing w:line="480" w:lineRule="atLeast"/>
              <w:rPr>
                <w:rFonts w:ascii="Arial" w:hAnsi="Arial"/>
              </w:rPr>
            </w:pPr>
          </w:p>
        </w:tc>
        <w:tc>
          <w:tcPr>
            <w:tcW w:w="1425" w:type="dxa"/>
            <w:tcBorders>
              <w:top w:val="single" w:sz="12" w:space="0" w:color="auto"/>
            </w:tcBorders>
          </w:tcPr>
          <w:p w:rsidR="00B906A7" w:rsidRDefault="00B906A7" w:rsidP="00310EED">
            <w:pPr>
              <w:suppressLineNumbers/>
              <w:spacing w:line="480" w:lineRule="atLeast"/>
              <w:rPr>
                <w:rFonts w:ascii="Arial" w:hAnsi="Arial"/>
              </w:rPr>
            </w:pPr>
          </w:p>
        </w:tc>
      </w:tr>
      <w:tr w:rsidR="00B906A7" w:rsidTr="00134113">
        <w:trPr>
          <w:jc w:val="center"/>
        </w:trPr>
        <w:tc>
          <w:tcPr>
            <w:tcW w:w="1908" w:type="dxa"/>
          </w:tcPr>
          <w:p w:rsidR="00B906A7" w:rsidRDefault="00B906A7" w:rsidP="00310EED">
            <w:pPr>
              <w:suppressLineNumbers/>
              <w:spacing w:line="480" w:lineRule="atLeast"/>
              <w:rPr>
                <w:rFonts w:ascii="Arial" w:hAnsi="Arial"/>
              </w:rPr>
            </w:pPr>
            <w:r>
              <w:rPr>
                <w:rFonts w:ascii="Arial" w:hAnsi="Arial"/>
              </w:rPr>
              <w:t>Bay County</w:t>
            </w:r>
          </w:p>
        </w:tc>
        <w:tc>
          <w:tcPr>
            <w:tcW w:w="1530" w:type="dxa"/>
          </w:tcPr>
          <w:p w:rsidR="00B906A7" w:rsidRDefault="00B906A7" w:rsidP="00310EED">
            <w:pPr>
              <w:suppressLineNumbers/>
              <w:spacing w:line="480" w:lineRule="atLeast"/>
              <w:rPr>
                <w:rFonts w:ascii="Arial" w:hAnsi="Arial"/>
              </w:rPr>
            </w:pPr>
            <w:r>
              <w:rPr>
                <w:rFonts w:ascii="Arial" w:hAnsi="Arial"/>
              </w:rPr>
              <w:t>Steam</w:t>
            </w:r>
          </w:p>
        </w:tc>
        <w:tc>
          <w:tcPr>
            <w:tcW w:w="1164" w:type="dxa"/>
          </w:tcPr>
          <w:p w:rsidR="00B906A7" w:rsidRDefault="00B906A7" w:rsidP="00310EED">
            <w:pPr>
              <w:suppressLineNumbers/>
              <w:spacing w:line="480" w:lineRule="atLeast"/>
              <w:rPr>
                <w:rFonts w:ascii="Arial" w:hAnsi="Arial"/>
              </w:rPr>
            </w:pPr>
            <w:r>
              <w:rPr>
                <w:rFonts w:ascii="Arial" w:hAnsi="Arial"/>
              </w:rPr>
              <w:t>MSW</w:t>
            </w:r>
          </w:p>
        </w:tc>
        <w:tc>
          <w:tcPr>
            <w:tcW w:w="1404" w:type="dxa"/>
          </w:tcPr>
          <w:p w:rsidR="00B906A7" w:rsidRDefault="00B906A7" w:rsidP="00310EED">
            <w:pPr>
              <w:suppressLineNumbers/>
              <w:spacing w:line="480" w:lineRule="atLeast"/>
              <w:rPr>
                <w:rFonts w:ascii="Arial" w:hAnsi="Arial"/>
              </w:rPr>
            </w:pPr>
            <w:r>
              <w:rPr>
                <w:rFonts w:ascii="Arial" w:hAnsi="Arial"/>
              </w:rPr>
              <w:t>11</w:t>
            </w:r>
          </w:p>
        </w:tc>
        <w:tc>
          <w:tcPr>
            <w:tcW w:w="1425" w:type="dxa"/>
          </w:tcPr>
          <w:p w:rsidR="00B906A7" w:rsidRDefault="00B906A7" w:rsidP="00310EED">
            <w:pPr>
              <w:suppressLineNumbers/>
              <w:spacing w:line="480" w:lineRule="atLeast"/>
              <w:rPr>
                <w:rFonts w:ascii="Arial" w:hAnsi="Arial"/>
              </w:rPr>
            </w:pPr>
            <w:r>
              <w:rPr>
                <w:rFonts w:ascii="Arial" w:hAnsi="Arial"/>
              </w:rPr>
              <w:t>Jul 2008</w:t>
            </w:r>
          </w:p>
        </w:tc>
        <w:tc>
          <w:tcPr>
            <w:tcW w:w="1425" w:type="dxa"/>
          </w:tcPr>
          <w:p w:rsidR="00B906A7" w:rsidRDefault="00B906A7" w:rsidP="00310EED">
            <w:pPr>
              <w:suppressLineNumbers/>
              <w:spacing w:line="480" w:lineRule="atLeast"/>
              <w:rPr>
                <w:rFonts w:ascii="Arial" w:hAnsi="Arial"/>
              </w:rPr>
            </w:pPr>
            <w:r>
              <w:rPr>
                <w:rFonts w:ascii="Arial" w:hAnsi="Arial"/>
              </w:rPr>
              <w:t>Jul 2014</w:t>
            </w:r>
          </w:p>
        </w:tc>
      </w:tr>
      <w:tr w:rsidR="00B906A7" w:rsidTr="00134113">
        <w:trPr>
          <w:jc w:val="center"/>
        </w:trPr>
        <w:tc>
          <w:tcPr>
            <w:tcW w:w="1908" w:type="dxa"/>
          </w:tcPr>
          <w:p w:rsidR="00B906A7" w:rsidRDefault="00B906A7" w:rsidP="00310EED">
            <w:pPr>
              <w:suppressLineNumbers/>
              <w:spacing w:line="480" w:lineRule="atLeast"/>
              <w:rPr>
                <w:rFonts w:ascii="Arial" w:hAnsi="Arial"/>
              </w:rPr>
            </w:pPr>
          </w:p>
        </w:tc>
        <w:tc>
          <w:tcPr>
            <w:tcW w:w="1530" w:type="dxa"/>
          </w:tcPr>
          <w:p w:rsidR="00B906A7" w:rsidRDefault="00B906A7" w:rsidP="00310EED">
            <w:pPr>
              <w:suppressLineNumbers/>
              <w:spacing w:line="480" w:lineRule="atLeast"/>
              <w:rPr>
                <w:rFonts w:ascii="Arial" w:hAnsi="Arial"/>
              </w:rPr>
            </w:pPr>
          </w:p>
        </w:tc>
        <w:tc>
          <w:tcPr>
            <w:tcW w:w="1164" w:type="dxa"/>
          </w:tcPr>
          <w:p w:rsidR="00B906A7" w:rsidRDefault="00B906A7" w:rsidP="00310EED">
            <w:pPr>
              <w:suppressLineNumbers/>
              <w:spacing w:line="480" w:lineRule="atLeast"/>
              <w:rPr>
                <w:rFonts w:ascii="Arial" w:hAnsi="Arial"/>
              </w:rPr>
            </w:pPr>
          </w:p>
        </w:tc>
        <w:tc>
          <w:tcPr>
            <w:tcW w:w="1404"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r>
      <w:tr w:rsidR="00B906A7" w:rsidTr="00134113">
        <w:trPr>
          <w:jc w:val="center"/>
        </w:trPr>
        <w:tc>
          <w:tcPr>
            <w:tcW w:w="1908" w:type="dxa"/>
          </w:tcPr>
          <w:p w:rsidR="00B906A7" w:rsidRDefault="00B906A7" w:rsidP="00310EED">
            <w:pPr>
              <w:suppressLineNumbers/>
              <w:spacing w:line="480" w:lineRule="atLeast"/>
              <w:rPr>
                <w:rFonts w:ascii="Arial" w:hAnsi="Arial"/>
              </w:rPr>
            </w:pPr>
            <w:r>
              <w:rPr>
                <w:rFonts w:ascii="Arial" w:hAnsi="Arial"/>
              </w:rPr>
              <w:t xml:space="preserve">Coral </w:t>
            </w:r>
            <w:proofErr w:type="spellStart"/>
            <w:r>
              <w:rPr>
                <w:rFonts w:ascii="Arial" w:hAnsi="Arial"/>
              </w:rPr>
              <w:t>Baconton</w:t>
            </w:r>
            <w:proofErr w:type="spellEnd"/>
          </w:p>
        </w:tc>
        <w:tc>
          <w:tcPr>
            <w:tcW w:w="1530" w:type="dxa"/>
          </w:tcPr>
          <w:p w:rsidR="00B906A7" w:rsidRDefault="00B906A7" w:rsidP="00310EED">
            <w:pPr>
              <w:suppressLineNumbers/>
              <w:spacing w:line="480" w:lineRule="atLeast"/>
              <w:rPr>
                <w:rFonts w:ascii="Arial" w:hAnsi="Arial"/>
              </w:rPr>
            </w:pPr>
            <w:r>
              <w:rPr>
                <w:rFonts w:ascii="Arial" w:hAnsi="Arial"/>
              </w:rPr>
              <w:t>CT</w:t>
            </w:r>
          </w:p>
        </w:tc>
        <w:tc>
          <w:tcPr>
            <w:tcW w:w="1164" w:type="dxa"/>
          </w:tcPr>
          <w:p w:rsidR="00B906A7" w:rsidRDefault="00B906A7" w:rsidP="00310EED">
            <w:pPr>
              <w:suppressLineNumbers/>
              <w:spacing w:line="480" w:lineRule="atLeast"/>
              <w:rPr>
                <w:rFonts w:ascii="Arial" w:hAnsi="Arial"/>
              </w:rPr>
            </w:pPr>
            <w:r>
              <w:rPr>
                <w:rFonts w:ascii="Arial" w:hAnsi="Arial"/>
              </w:rPr>
              <w:t>Gas/Oil</w:t>
            </w:r>
          </w:p>
        </w:tc>
        <w:tc>
          <w:tcPr>
            <w:tcW w:w="1404" w:type="dxa"/>
          </w:tcPr>
          <w:p w:rsidR="00B906A7" w:rsidRDefault="00B906A7" w:rsidP="00310EED">
            <w:pPr>
              <w:suppressLineNumbers/>
              <w:spacing w:line="480" w:lineRule="atLeast"/>
              <w:rPr>
                <w:rFonts w:ascii="Arial" w:hAnsi="Arial"/>
              </w:rPr>
            </w:pPr>
            <w:r>
              <w:rPr>
                <w:rFonts w:ascii="Arial" w:hAnsi="Arial"/>
              </w:rPr>
              <w:t>195</w:t>
            </w:r>
          </w:p>
        </w:tc>
        <w:tc>
          <w:tcPr>
            <w:tcW w:w="1425" w:type="dxa"/>
          </w:tcPr>
          <w:p w:rsidR="00B906A7" w:rsidRDefault="00B906A7" w:rsidP="00310EED">
            <w:pPr>
              <w:suppressLineNumbers/>
              <w:spacing w:line="480" w:lineRule="atLeast"/>
              <w:rPr>
                <w:rFonts w:ascii="Arial" w:hAnsi="Arial"/>
              </w:rPr>
            </w:pPr>
            <w:r>
              <w:rPr>
                <w:rFonts w:ascii="Arial" w:hAnsi="Arial"/>
              </w:rPr>
              <w:t>Jun 2009</w:t>
            </w:r>
          </w:p>
        </w:tc>
        <w:tc>
          <w:tcPr>
            <w:tcW w:w="1425" w:type="dxa"/>
          </w:tcPr>
          <w:p w:rsidR="00B906A7" w:rsidRDefault="00B906A7" w:rsidP="00310EED">
            <w:pPr>
              <w:suppressLineNumbers/>
              <w:spacing w:line="480" w:lineRule="atLeast"/>
              <w:rPr>
                <w:rFonts w:ascii="Arial" w:hAnsi="Arial"/>
              </w:rPr>
            </w:pPr>
            <w:r>
              <w:rPr>
                <w:rFonts w:ascii="Arial" w:hAnsi="Arial"/>
              </w:rPr>
              <w:t>May 2014</w:t>
            </w:r>
          </w:p>
        </w:tc>
      </w:tr>
      <w:tr w:rsidR="00B906A7" w:rsidTr="00134113">
        <w:trPr>
          <w:jc w:val="center"/>
        </w:trPr>
        <w:tc>
          <w:tcPr>
            <w:tcW w:w="1908" w:type="dxa"/>
          </w:tcPr>
          <w:p w:rsidR="00B906A7" w:rsidRDefault="00B906A7" w:rsidP="00310EED">
            <w:pPr>
              <w:suppressLineNumbers/>
              <w:spacing w:line="480" w:lineRule="atLeast"/>
              <w:rPr>
                <w:rFonts w:ascii="Arial" w:hAnsi="Arial"/>
              </w:rPr>
            </w:pPr>
          </w:p>
        </w:tc>
        <w:tc>
          <w:tcPr>
            <w:tcW w:w="1530" w:type="dxa"/>
          </w:tcPr>
          <w:p w:rsidR="00B906A7" w:rsidRDefault="00B906A7" w:rsidP="00310EED">
            <w:pPr>
              <w:suppressLineNumbers/>
              <w:spacing w:line="480" w:lineRule="atLeast"/>
              <w:rPr>
                <w:rFonts w:ascii="Arial" w:hAnsi="Arial"/>
              </w:rPr>
            </w:pPr>
          </w:p>
        </w:tc>
        <w:tc>
          <w:tcPr>
            <w:tcW w:w="1164" w:type="dxa"/>
          </w:tcPr>
          <w:p w:rsidR="00B906A7" w:rsidRDefault="00B906A7" w:rsidP="00310EED">
            <w:pPr>
              <w:suppressLineNumbers/>
              <w:spacing w:line="480" w:lineRule="atLeast"/>
              <w:rPr>
                <w:rFonts w:ascii="Arial" w:hAnsi="Arial"/>
              </w:rPr>
            </w:pPr>
          </w:p>
        </w:tc>
        <w:tc>
          <w:tcPr>
            <w:tcW w:w="1404"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r>
      <w:tr w:rsidR="00B906A7" w:rsidTr="00134113">
        <w:trPr>
          <w:jc w:val="center"/>
        </w:trPr>
        <w:tc>
          <w:tcPr>
            <w:tcW w:w="1908" w:type="dxa"/>
          </w:tcPr>
          <w:p w:rsidR="00B906A7" w:rsidRDefault="00B906A7" w:rsidP="00310EED">
            <w:pPr>
              <w:suppressLineNumbers/>
              <w:spacing w:line="480" w:lineRule="atLeast"/>
              <w:rPr>
                <w:rFonts w:ascii="Arial" w:hAnsi="Arial"/>
              </w:rPr>
            </w:pPr>
            <w:r>
              <w:rPr>
                <w:rFonts w:ascii="Arial" w:hAnsi="Arial"/>
              </w:rPr>
              <w:t>Dahlberg</w:t>
            </w:r>
          </w:p>
        </w:tc>
        <w:tc>
          <w:tcPr>
            <w:tcW w:w="1530" w:type="dxa"/>
          </w:tcPr>
          <w:p w:rsidR="00B906A7" w:rsidRDefault="00B906A7" w:rsidP="00310EED">
            <w:pPr>
              <w:suppressLineNumbers/>
              <w:spacing w:line="480" w:lineRule="atLeast"/>
              <w:rPr>
                <w:rFonts w:ascii="Arial" w:hAnsi="Arial"/>
              </w:rPr>
            </w:pPr>
            <w:r>
              <w:rPr>
                <w:rFonts w:ascii="Arial" w:hAnsi="Arial"/>
              </w:rPr>
              <w:t>CT</w:t>
            </w:r>
          </w:p>
        </w:tc>
        <w:tc>
          <w:tcPr>
            <w:tcW w:w="1164" w:type="dxa"/>
          </w:tcPr>
          <w:p w:rsidR="00B906A7" w:rsidRDefault="00B906A7" w:rsidP="00310EED">
            <w:pPr>
              <w:suppressLineNumbers/>
              <w:spacing w:line="480" w:lineRule="atLeast"/>
              <w:rPr>
                <w:rFonts w:ascii="Arial" w:hAnsi="Arial"/>
              </w:rPr>
            </w:pPr>
            <w:r>
              <w:rPr>
                <w:rFonts w:ascii="Arial" w:hAnsi="Arial"/>
              </w:rPr>
              <w:t>Gas/Oil</w:t>
            </w:r>
          </w:p>
        </w:tc>
        <w:tc>
          <w:tcPr>
            <w:tcW w:w="1404" w:type="dxa"/>
          </w:tcPr>
          <w:p w:rsidR="00B906A7" w:rsidRDefault="00B906A7" w:rsidP="00310EED">
            <w:pPr>
              <w:suppressLineNumbers/>
              <w:spacing w:line="480" w:lineRule="atLeast"/>
              <w:rPr>
                <w:rFonts w:ascii="Arial" w:hAnsi="Arial"/>
              </w:rPr>
            </w:pPr>
            <w:r>
              <w:rPr>
                <w:rFonts w:ascii="Arial" w:hAnsi="Arial"/>
              </w:rPr>
              <w:t>299</w:t>
            </w:r>
          </w:p>
        </w:tc>
        <w:tc>
          <w:tcPr>
            <w:tcW w:w="1425" w:type="dxa"/>
          </w:tcPr>
          <w:p w:rsidR="00B906A7" w:rsidRDefault="00B906A7" w:rsidP="00310EED">
            <w:pPr>
              <w:suppressLineNumbers/>
              <w:spacing w:line="480" w:lineRule="atLeast"/>
              <w:rPr>
                <w:rFonts w:ascii="Arial" w:hAnsi="Arial"/>
              </w:rPr>
            </w:pPr>
            <w:r>
              <w:rPr>
                <w:rFonts w:ascii="Arial" w:hAnsi="Arial"/>
              </w:rPr>
              <w:t>Jun 2009</w:t>
            </w:r>
          </w:p>
        </w:tc>
        <w:tc>
          <w:tcPr>
            <w:tcW w:w="1425" w:type="dxa"/>
          </w:tcPr>
          <w:p w:rsidR="00B906A7" w:rsidRDefault="00B906A7" w:rsidP="00310EED">
            <w:pPr>
              <w:suppressLineNumbers/>
              <w:spacing w:line="480" w:lineRule="atLeast"/>
              <w:rPr>
                <w:rFonts w:ascii="Arial" w:hAnsi="Arial"/>
              </w:rPr>
            </w:pPr>
            <w:r>
              <w:rPr>
                <w:rFonts w:ascii="Arial" w:hAnsi="Arial"/>
              </w:rPr>
              <w:t>May 2014</w:t>
            </w:r>
          </w:p>
        </w:tc>
      </w:tr>
      <w:tr w:rsidR="00B906A7" w:rsidTr="00134113">
        <w:trPr>
          <w:jc w:val="center"/>
        </w:trPr>
        <w:tc>
          <w:tcPr>
            <w:tcW w:w="1908" w:type="dxa"/>
          </w:tcPr>
          <w:p w:rsidR="00B906A7" w:rsidRDefault="00B906A7" w:rsidP="00310EED">
            <w:pPr>
              <w:suppressLineNumbers/>
              <w:spacing w:line="480" w:lineRule="atLeast"/>
              <w:rPr>
                <w:rFonts w:ascii="Arial" w:hAnsi="Arial"/>
              </w:rPr>
            </w:pPr>
          </w:p>
        </w:tc>
        <w:tc>
          <w:tcPr>
            <w:tcW w:w="1530" w:type="dxa"/>
          </w:tcPr>
          <w:p w:rsidR="00B906A7" w:rsidRDefault="00B906A7" w:rsidP="00310EED">
            <w:pPr>
              <w:suppressLineNumbers/>
              <w:spacing w:line="480" w:lineRule="atLeast"/>
              <w:rPr>
                <w:rFonts w:ascii="Arial" w:hAnsi="Arial"/>
              </w:rPr>
            </w:pPr>
          </w:p>
        </w:tc>
        <w:tc>
          <w:tcPr>
            <w:tcW w:w="1164" w:type="dxa"/>
          </w:tcPr>
          <w:p w:rsidR="00B906A7" w:rsidRDefault="00B906A7" w:rsidP="00310EED">
            <w:pPr>
              <w:suppressLineNumbers/>
              <w:spacing w:line="480" w:lineRule="atLeast"/>
              <w:rPr>
                <w:rFonts w:ascii="Arial" w:hAnsi="Arial"/>
              </w:rPr>
            </w:pPr>
          </w:p>
        </w:tc>
        <w:tc>
          <w:tcPr>
            <w:tcW w:w="1404"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c>
          <w:tcPr>
            <w:tcW w:w="1425" w:type="dxa"/>
          </w:tcPr>
          <w:p w:rsidR="00B906A7" w:rsidRDefault="00B906A7" w:rsidP="00310EED">
            <w:pPr>
              <w:suppressLineNumbers/>
              <w:spacing w:line="480" w:lineRule="atLeast"/>
              <w:rPr>
                <w:rFonts w:ascii="Arial" w:hAnsi="Arial"/>
              </w:rPr>
            </w:pPr>
          </w:p>
        </w:tc>
      </w:tr>
      <w:tr w:rsidR="00B906A7" w:rsidTr="00134113">
        <w:trPr>
          <w:jc w:val="center"/>
        </w:trPr>
        <w:tc>
          <w:tcPr>
            <w:tcW w:w="1908" w:type="dxa"/>
          </w:tcPr>
          <w:p w:rsidR="00B906A7" w:rsidRDefault="00B906A7" w:rsidP="00310EED">
            <w:pPr>
              <w:suppressLineNumbers/>
              <w:spacing w:line="480" w:lineRule="atLeast"/>
              <w:rPr>
                <w:rFonts w:ascii="Arial" w:hAnsi="Arial"/>
              </w:rPr>
            </w:pPr>
            <w:r>
              <w:rPr>
                <w:rFonts w:ascii="Arial" w:hAnsi="Arial"/>
              </w:rPr>
              <w:t>Central Ala.</w:t>
            </w:r>
          </w:p>
        </w:tc>
        <w:tc>
          <w:tcPr>
            <w:tcW w:w="1530" w:type="dxa"/>
          </w:tcPr>
          <w:p w:rsidR="00B906A7" w:rsidRDefault="00B906A7" w:rsidP="00310EED">
            <w:pPr>
              <w:suppressLineNumbers/>
              <w:spacing w:line="480" w:lineRule="atLeast"/>
              <w:rPr>
                <w:rFonts w:ascii="Arial" w:hAnsi="Arial"/>
              </w:rPr>
            </w:pPr>
            <w:r>
              <w:rPr>
                <w:rFonts w:ascii="Arial" w:hAnsi="Arial"/>
              </w:rPr>
              <w:t>CC</w:t>
            </w:r>
          </w:p>
        </w:tc>
        <w:tc>
          <w:tcPr>
            <w:tcW w:w="1164" w:type="dxa"/>
          </w:tcPr>
          <w:p w:rsidR="00B906A7" w:rsidRDefault="00B906A7" w:rsidP="00310EED">
            <w:pPr>
              <w:suppressLineNumbers/>
              <w:spacing w:line="480" w:lineRule="atLeast"/>
              <w:rPr>
                <w:rFonts w:ascii="Arial" w:hAnsi="Arial"/>
              </w:rPr>
            </w:pPr>
            <w:r>
              <w:rPr>
                <w:rFonts w:ascii="Arial" w:hAnsi="Arial"/>
              </w:rPr>
              <w:t>Gas</w:t>
            </w:r>
          </w:p>
        </w:tc>
        <w:tc>
          <w:tcPr>
            <w:tcW w:w="1404" w:type="dxa"/>
          </w:tcPr>
          <w:p w:rsidR="00B906A7" w:rsidRDefault="00B906A7" w:rsidP="00310EED">
            <w:pPr>
              <w:suppressLineNumbers/>
              <w:spacing w:line="480" w:lineRule="atLeast"/>
              <w:rPr>
                <w:rFonts w:ascii="Arial" w:hAnsi="Arial"/>
              </w:rPr>
            </w:pPr>
            <w:r>
              <w:rPr>
                <w:rFonts w:ascii="Arial" w:hAnsi="Arial"/>
              </w:rPr>
              <w:t>885</w:t>
            </w:r>
          </w:p>
        </w:tc>
        <w:tc>
          <w:tcPr>
            <w:tcW w:w="1425" w:type="dxa"/>
          </w:tcPr>
          <w:p w:rsidR="00B906A7" w:rsidRDefault="00B906A7" w:rsidP="00310EED">
            <w:pPr>
              <w:suppressLineNumbers/>
              <w:spacing w:line="480" w:lineRule="atLeast"/>
              <w:rPr>
                <w:rFonts w:ascii="Arial" w:hAnsi="Arial"/>
              </w:rPr>
            </w:pPr>
            <w:r>
              <w:rPr>
                <w:rFonts w:ascii="Arial" w:hAnsi="Arial"/>
              </w:rPr>
              <w:t>Nov 2009</w:t>
            </w:r>
          </w:p>
        </w:tc>
        <w:tc>
          <w:tcPr>
            <w:tcW w:w="1425" w:type="dxa"/>
          </w:tcPr>
          <w:p w:rsidR="00B906A7" w:rsidRDefault="00B906A7" w:rsidP="00310EED">
            <w:pPr>
              <w:suppressLineNumbers/>
              <w:spacing w:line="480" w:lineRule="atLeast"/>
              <w:rPr>
                <w:rFonts w:ascii="Arial" w:hAnsi="Arial"/>
              </w:rPr>
            </w:pPr>
            <w:r>
              <w:rPr>
                <w:rFonts w:ascii="Arial" w:hAnsi="Arial"/>
              </w:rPr>
              <w:t>May 2023</w:t>
            </w:r>
          </w:p>
        </w:tc>
      </w:tr>
    </w:tbl>
    <w:p w:rsidR="00B906A7" w:rsidRDefault="00B906A7" w:rsidP="00310EED">
      <w:pPr>
        <w:suppressLineNumbers/>
        <w:spacing w:line="480" w:lineRule="atLeast"/>
        <w:ind w:left="720" w:hanging="720"/>
        <w:rPr>
          <w:rFonts w:ascii="Arial" w:hAnsi="Arial"/>
        </w:rPr>
      </w:pPr>
    </w:p>
    <w:p w:rsidR="00310EED" w:rsidRDefault="00310EED" w:rsidP="00310EED">
      <w:pPr>
        <w:suppressLineNumbers/>
        <w:spacing w:line="480" w:lineRule="atLeast"/>
        <w:ind w:left="720" w:hanging="720"/>
        <w:rPr>
          <w:rFonts w:ascii="Arial" w:hAnsi="Arial"/>
        </w:rPr>
      </w:pPr>
    </w:p>
    <w:p w:rsidR="00310EED" w:rsidRDefault="00310EED" w:rsidP="00310EED">
      <w:pPr>
        <w:suppressLineNumbers/>
        <w:spacing w:line="520" w:lineRule="atLeast"/>
        <w:ind w:left="720" w:hanging="720"/>
        <w:rPr>
          <w:rFonts w:ascii="Arial" w:hAnsi="Arial"/>
        </w:rPr>
      </w:pPr>
    </w:p>
    <w:p w:rsidR="00310EED" w:rsidRDefault="00310EED" w:rsidP="00310EED">
      <w:pPr>
        <w:suppressLineNumbers/>
        <w:tabs>
          <w:tab w:val="left" w:pos="1440"/>
        </w:tabs>
        <w:rPr>
          <w:rFonts w:ascii="Arial" w:hAnsi="Arial"/>
        </w:rPr>
      </w:pPr>
      <w:r>
        <w:rPr>
          <w:rFonts w:ascii="Arial" w:hAnsi="Arial"/>
        </w:rPr>
        <w:tab/>
      </w:r>
    </w:p>
    <w:p w:rsidR="00310EED" w:rsidRDefault="00310EED" w:rsidP="00310EED">
      <w:pPr>
        <w:rPr>
          <w:rFonts w:ascii="Arial" w:hAnsi="Arial"/>
        </w:rPr>
      </w:pPr>
    </w:p>
    <w:p w:rsidR="00310EED" w:rsidRDefault="00310EED" w:rsidP="00310EED">
      <w:pPr>
        <w:rPr>
          <w:rFonts w:ascii="Arial" w:hAnsi="Arial"/>
        </w:rPr>
      </w:pPr>
    </w:p>
    <w:p w:rsidR="00310EED" w:rsidRDefault="00310EED" w:rsidP="00310EED">
      <w:pPr>
        <w:rPr>
          <w:rFonts w:ascii="Arial" w:hAnsi="Arial"/>
        </w:rPr>
      </w:pPr>
    </w:p>
    <w:p w:rsidR="0050314B" w:rsidRDefault="0050314B" w:rsidP="00310EED">
      <w:pPr>
        <w:rPr>
          <w:rFonts w:ascii="Arial" w:hAnsi="Arial"/>
        </w:rPr>
        <w:sectPr w:rsidR="0050314B" w:rsidSect="00134113">
          <w:headerReference w:type="first" r:id="rId21"/>
          <w:pgSz w:w="12240" w:h="15840" w:code="1"/>
          <w:pgMar w:top="1570" w:right="1440" w:bottom="1800" w:left="1987" w:header="720" w:footer="720" w:gutter="0"/>
          <w:cols w:space="720"/>
          <w:titlePg/>
          <w:docGrid w:linePitch="360"/>
        </w:sectPr>
      </w:pPr>
    </w:p>
    <w:p w:rsidR="001D15FE" w:rsidRDefault="0009201A" w:rsidP="00310EED">
      <w:pPr>
        <w:rPr>
          <w:rFonts w:ascii="Arial" w:hAnsi="Arial"/>
        </w:rPr>
        <w:sectPr w:rsidR="001D15FE" w:rsidSect="00134113">
          <w:headerReference w:type="first" r:id="rId22"/>
          <w:pgSz w:w="12240" w:h="15840" w:code="1"/>
          <w:pgMar w:top="1570" w:right="1440" w:bottom="1800" w:left="1987" w:header="720" w:footer="720" w:gutter="0"/>
          <w:cols w:space="720"/>
          <w:titlePg/>
          <w:docGrid w:linePitch="360"/>
        </w:sectPr>
      </w:pPr>
      <w:r w:rsidRPr="00450CD3">
        <w:rPr>
          <w:rFonts w:ascii="Arial" w:hAnsi="Arial"/>
          <w:noProof/>
        </w:rPr>
        <w:drawing>
          <wp:inline distT="0" distB="0" distL="0" distR="0" wp14:anchorId="74E05670" wp14:editId="5D60FDE6">
            <wp:extent cx="6915882" cy="4652503"/>
            <wp:effectExtent l="0" t="0" r="0" b="0"/>
            <wp:docPr id="2" name="Picture 2" descr="C:\Users\RLMCGEE\Pictures\Set 2 Ann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MCGEE\Pictures\Set 2 Annua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6933068" cy="4664065"/>
                    </a:xfrm>
                    <a:prstGeom prst="rect">
                      <a:avLst/>
                    </a:prstGeom>
                    <a:noFill/>
                    <a:ln>
                      <a:noFill/>
                    </a:ln>
                  </pic:spPr>
                </pic:pic>
              </a:graphicData>
            </a:graphic>
          </wp:inline>
        </w:drawing>
      </w:r>
    </w:p>
    <w:p w:rsidR="008E3085" w:rsidRDefault="0009201A" w:rsidP="00310EED">
      <w:pPr>
        <w:tabs>
          <w:tab w:val="left" w:pos="1440"/>
        </w:tabs>
        <w:rPr>
          <w:rFonts w:ascii="Arial" w:hAnsi="Arial"/>
        </w:rPr>
        <w:sectPr w:rsidR="008E3085" w:rsidSect="00134113">
          <w:headerReference w:type="first" r:id="rId24"/>
          <w:pgSz w:w="12240" w:h="15840" w:code="1"/>
          <w:pgMar w:top="1570" w:right="1440" w:bottom="1800" w:left="1987" w:header="720" w:footer="720" w:gutter="0"/>
          <w:cols w:space="720"/>
          <w:titlePg/>
          <w:docGrid w:linePitch="360"/>
        </w:sectPr>
      </w:pPr>
      <w:r w:rsidRPr="00450CD3">
        <w:rPr>
          <w:rFonts w:ascii="Arial" w:hAnsi="Arial"/>
          <w:noProof/>
        </w:rPr>
        <w:drawing>
          <wp:inline distT="0" distB="0" distL="0" distR="0" wp14:anchorId="6CF93A17" wp14:editId="303686E2">
            <wp:extent cx="7162333" cy="4669693"/>
            <wp:effectExtent l="0" t="0" r="8890" b="0"/>
            <wp:docPr id="3" name="Picture 3" descr="C:\Users\RLMCGEE\Pictures\Set 2 Pe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LMCGEE\Pictures\Set 2 Peak.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7171495" cy="4675666"/>
                    </a:xfrm>
                    <a:prstGeom prst="rect">
                      <a:avLst/>
                    </a:prstGeom>
                    <a:noFill/>
                    <a:ln>
                      <a:noFill/>
                    </a:ln>
                  </pic:spPr>
                </pic:pic>
              </a:graphicData>
            </a:graphic>
          </wp:inline>
        </w:drawing>
      </w:r>
    </w:p>
    <w:p w:rsidR="008E3085" w:rsidRDefault="00E5534D" w:rsidP="00F31287">
      <w:pPr>
        <w:tabs>
          <w:tab w:val="left" w:pos="1440"/>
        </w:tabs>
        <w:rPr>
          <w:rFonts w:ascii="Arial" w:hAnsi="Arial"/>
        </w:rPr>
        <w:sectPr w:rsidR="008E3085" w:rsidSect="00134113">
          <w:headerReference w:type="first" r:id="rId26"/>
          <w:pgSz w:w="12240" w:h="15840" w:code="1"/>
          <w:pgMar w:top="1570" w:right="1440" w:bottom="1800" w:left="1987" w:header="720" w:footer="720" w:gutter="0"/>
          <w:cols w:space="720"/>
          <w:titlePg/>
          <w:docGrid w:linePitch="360"/>
        </w:sectPr>
      </w:pPr>
      <w:r w:rsidRPr="00134113">
        <w:rPr>
          <w:rFonts w:ascii="Arial" w:hAnsi="Arial"/>
          <w:noProof/>
        </w:rPr>
        <w:drawing>
          <wp:inline distT="0" distB="0" distL="0" distR="0" wp14:anchorId="36E14F9D" wp14:editId="7CB806C2">
            <wp:extent cx="7296946" cy="5409806"/>
            <wp:effectExtent l="0" t="8890" r="0" b="0"/>
            <wp:docPr id="4" name="Picture 4" descr="C:\Users\RLMCGEE\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MCGEE\Pictures\Picture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7306387" cy="5416805"/>
                    </a:xfrm>
                    <a:prstGeom prst="rect">
                      <a:avLst/>
                    </a:prstGeom>
                    <a:noFill/>
                    <a:ln>
                      <a:noFill/>
                    </a:ln>
                  </pic:spPr>
                </pic:pic>
              </a:graphicData>
            </a:graphic>
          </wp:inline>
        </w:drawing>
      </w:r>
    </w:p>
    <w:p w:rsidR="008E3085" w:rsidRDefault="00C62818" w:rsidP="00310EED">
      <w:pPr>
        <w:tabs>
          <w:tab w:val="left" w:pos="1440"/>
        </w:tabs>
        <w:rPr>
          <w:rFonts w:ascii="Arial" w:hAnsi="Arial"/>
        </w:rPr>
        <w:sectPr w:rsidR="008E3085" w:rsidSect="00134113">
          <w:headerReference w:type="first" r:id="rId28"/>
          <w:pgSz w:w="12240" w:h="15840" w:code="1"/>
          <w:pgMar w:top="1570" w:right="1440" w:bottom="1800" w:left="1987" w:header="720" w:footer="720" w:gutter="0"/>
          <w:cols w:space="720"/>
          <w:titlePg/>
          <w:docGrid w:linePitch="360"/>
        </w:sectPr>
      </w:pPr>
      <w:r w:rsidRPr="00134113">
        <w:rPr>
          <w:rFonts w:ascii="Arial" w:hAnsi="Arial"/>
          <w:noProof/>
        </w:rPr>
        <w:drawing>
          <wp:inline distT="0" distB="0" distL="0" distR="0" wp14:anchorId="3AE840AE" wp14:editId="7B0624F4">
            <wp:extent cx="7298645" cy="5447894"/>
            <wp:effectExtent l="0" t="0" r="0" b="0"/>
            <wp:docPr id="6" name="Picture 6" descr="C:\Users\RLMCGEE\Pictures\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LMCGEE\Pictures\Picture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7304731" cy="5452437"/>
                    </a:xfrm>
                    <a:prstGeom prst="rect">
                      <a:avLst/>
                    </a:prstGeom>
                    <a:noFill/>
                    <a:ln>
                      <a:noFill/>
                    </a:ln>
                  </pic:spPr>
                </pic:pic>
              </a:graphicData>
            </a:graphic>
          </wp:inline>
        </w:drawing>
      </w:r>
    </w:p>
    <w:p w:rsidR="00C25ACE" w:rsidRDefault="00C25ACE" w:rsidP="00964DB6">
      <w:pPr>
        <w:jc w:val="center"/>
        <w:rPr>
          <w:rFonts w:ascii="Arial" w:hAnsi="Arial"/>
        </w:rPr>
      </w:pPr>
    </w:p>
    <w:p w:rsidR="00964DB6" w:rsidRDefault="00964DB6" w:rsidP="00964DB6">
      <w:pPr>
        <w:jc w:val="center"/>
        <w:rPr>
          <w:rFonts w:ascii="Arial" w:hAnsi="Arial"/>
        </w:rPr>
      </w:pPr>
      <w:r>
        <w:rPr>
          <w:rFonts w:ascii="Arial" w:hAnsi="Arial"/>
        </w:rPr>
        <w:t>Gulf Power Company</w:t>
      </w:r>
    </w:p>
    <w:p w:rsidR="00964DB6" w:rsidRDefault="00964DB6" w:rsidP="00964DB6">
      <w:pPr>
        <w:jc w:val="center"/>
        <w:rPr>
          <w:rFonts w:ascii="Arial" w:hAnsi="Arial"/>
        </w:rPr>
      </w:pPr>
      <w:r>
        <w:rPr>
          <w:rFonts w:ascii="Arial" w:hAnsi="Arial"/>
        </w:rPr>
        <w:t>Natural Gas Inventory Comparison</w:t>
      </w:r>
    </w:p>
    <w:p w:rsidR="00964DB6" w:rsidRDefault="00964DB6" w:rsidP="00964DB6">
      <w:pPr>
        <w:jc w:val="center"/>
        <w:rPr>
          <w:rFonts w:ascii="Arial" w:hAnsi="Arial"/>
        </w:rPr>
      </w:pPr>
      <w:r>
        <w:rPr>
          <w:rFonts w:ascii="Arial" w:hAnsi="Arial"/>
        </w:rPr>
        <w:t xml:space="preserve">2012 </w:t>
      </w:r>
      <w:r w:rsidR="00E87586">
        <w:rPr>
          <w:rFonts w:ascii="Arial" w:hAnsi="Arial"/>
        </w:rPr>
        <w:t>vs.</w:t>
      </w:r>
      <w:r>
        <w:rPr>
          <w:rFonts w:ascii="Arial" w:hAnsi="Arial"/>
        </w:rPr>
        <w:t xml:space="preserve"> 2014 Test Year</w:t>
      </w:r>
    </w:p>
    <w:p w:rsidR="008F5994" w:rsidRDefault="0040123A" w:rsidP="00310EED">
      <w:pPr>
        <w:rPr>
          <w:rFonts w:ascii="Arial" w:hAnsi="Arial"/>
        </w:rPr>
      </w:pPr>
      <w:r w:rsidRPr="00A56450">
        <w:rPr>
          <w:rFonts w:ascii="Arial" w:hAnsi="Arial"/>
          <w:noProof/>
        </w:rPr>
        <mc:AlternateContent>
          <mc:Choice Requires="wpc">
            <w:drawing>
              <wp:inline distT="0" distB="0" distL="0" distR="0" wp14:anchorId="35C4AB5D" wp14:editId="54EED8E3">
                <wp:extent cx="5596255" cy="3573145"/>
                <wp:effectExtent l="19050" t="0" r="23495" b="27305"/>
                <wp:docPr id="1024" name="Canvas 10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31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 xml:space="preserve"> </w:t>
                              </w:r>
                            </w:p>
                          </w:txbxContent>
                        </wps:txbx>
                        <wps:bodyPr rot="0" vert="horz" wrap="none" lIns="0" tIns="0" rIns="0" bIns="0" anchor="t" anchorCtr="0">
                          <a:spAutoFit/>
                        </wps:bodyPr>
                      </wps:wsp>
                      <wps:wsp>
                        <wps:cNvPr id="5" name="Rectangle 6"/>
                        <wps:cNvSpPr>
                          <a:spLocks noChangeArrowheads="1"/>
                        </wps:cNvSpPr>
                        <wps:spPr bwMode="auto">
                          <a:xfrm>
                            <a:off x="5506085" y="32531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 xml:space="preserve"> </w:t>
                              </w:r>
                            </w:p>
                          </w:txbxContent>
                        </wps:txbx>
                        <wps:bodyPr rot="0" vert="horz" wrap="none" lIns="0" tIns="0" rIns="0" bIns="0" anchor="t" anchorCtr="0">
                          <a:spAutoFit/>
                        </wps:bodyPr>
                      </wps:wsp>
                      <wps:wsp>
                        <wps:cNvPr id="7" name="Rectangle 7"/>
                        <wps:cNvSpPr>
                          <a:spLocks noChangeArrowheads="1"/>
                        </wps:cNvSpPr>
                        <wps:spPr bwMode="auto">
                          <a:xfrm>
                            <a:off x="0" y="339471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 xml:space="preserve"> </w:t>
                              </w:r>
                            </w:p>
                          </w:txbxContent>
                        </wps:txbx>
                        <wps:bodyPr rot="0" vert="horz" wrap="none" lIns="0" tIns="0" rIns="0" bIns="0" anchor="t" anchorCtr="0">
                          <a:spAutoFit/>
                        </wps:bodyPr>
                      </wps:wsp>
                      <wps:wsp>
                        <wps:cNvPr id="8" name="Rectangle 8"/>
                        <wps:cNvSpPr>
                          <a:spLocks noChangeArrowheads="1"/>
                        </wps:cNvSpPr>
                        <wps:spPr bwMode="auto">
                          <a:xfrm>
                            <a:off x="-1270" y="175260"/>
                            <a:ext cx="5489575" cy="319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114300" y="977265"/>
                            <a:ext cx="5208905" cy="199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748665" y="1901825"/>
                            <a:ext cx="3940810" cy="1074420"/>
                          </a:xfrm>
                          <a:custGeom>
                            <a:avLst/>
                            <a:gdLst>
                              <a:gd name="T0" fmla="*/ 0 w 6206"/>
                              <a:gd name="T1" fmla="*/ 0 h 1692"/>
                              <a:gd name="T2" fmla="*/ 2103 w 6206"/>
                              <a:gd name="T3" fmla="*/ 0 h 1692"/>
                              <a:gd name="T4" fmla="*/ 2103 w 6206"/>
                              <a:gd name="T5" fmla="*/ 1692 h 1692"/>
                              <a:gd name="T6" fmla="*/ 0 w 6206"/>
                              <a:gd name="T7" fmla="*/ 1692 h 1692"/>
                              <a:gd name="T8" fmla="*/ 0 w 6206"/>
                              <a:gd name="T9" fmla="*/ 0 h 1692"/>
                              <a:gd name="T10" fmla="*/ 4100 w 6206"/>
                              <a:gd name="T11" fmla="*/ 273 h 1692"/>
                              <a:gd name="T12" fmla="*/ 6206 w 6206"/>
                              <a:gd name="T13" fmla="*/ 273 h 1692"/>
                              <a:gd name="T14" fmla="*/ 6206 w 6206"/>
                              <a:gd name="T15" fmla="*/ 1692 h 1692"/>
                              <a:gd name="T16" fmla="*/ 4100 w 6206"/>
                              <a:gd name="T17" fmla="*/ 1692 h 1692"/>
                              <a:gd name="T18" fmla="*/ 4100 w 6206"/>
                              <a:gd name="T19" fmla="*/ 273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06" h="1692">
                                <a:moveTo>
                                  <a:pt x="0" y="0"/>
                                </a:moveTo>
                                <a:lnTo>
                                  <a:pt x="2103" y="0"/>
                                </a:lnTo>
                                <a:lnTo>
                                  <a:pt x="2103" y="1692"/>
                                </a:lnTo>
                                <a:lnTo>
                                  <a:pt x="0" y="1692"/>
                                </a:lnTo>
                                <a:lnTo>
                                  <a:pt x="0" y="0"/>
                                </a:lnTo>
                                <a:close/>
                                <a:moveTo>
                                  <a:pt x="4100" y="273"/>
                                </a:moveTo>
                                <a:lnTo>
                                  <a:pt x="6206" y="273"/>
                                </a:lnTo>
                                <a:lnTo>
                                  <a:pt x="6206" y="1692"/>
                                </a:lnTo>
                                <a:lnTo>
                                  <a:pt x="4100" y="1692"/>
                                </a:lnTo>
                                <a:lnTo>
                                  <a:pt x="4100" y="273"/>
                                </a:lnTo>
                                <a:close/>
                              </a:path>
                            </a:pathLst>
                          </a:custGeom>
                          <a:blipFill dpi="0" rotWithShape="0">
                            <a:blip r:embed="rId30"/>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noEditPoints="1"/>
                        </wps:cNvSpPr>
                        <wps:spPr bwMode="auto">
                          <a:xfrm>
                            <a:off x="739140" y="1894205"/>
                            <a:ext cx="3957955" cy="1089660"/>
                          </a:xfrm>
                          <a:custGeom>
                            <a:avLst/>
                            <a:gdLst>
                              <a:gd name="T0" fmla="*/ 0 w 6233"/>
                              <a:gd name="T1" fmla="*/ 12 h 1716"/>
                              <a:gd name="T2" fmla="*/ 3 w 6233"/>
                              <a:gd name="T3" fmla="*/ 7 h 1716"/>
                              <a:gd name="T4" fmla="*/ 5 w 6233"/>
                              <a:gd name="T5" fmla="*/ 2 h 1716"/>
                              <a:gd name="T6" fmla="*/ 8 w 6233"/>
                              <a:gd name="T7" fmla="*/ 0 h 1716"/>
                              <a:gd name="T8" fmla="*/ 15 w 6233"/>
                              <a:gd name="T9" fmla="*/ 0 h 1716"/>
                              <a:gd name="T10" fmla="*/ 2118 w 6233"/>
                              <a:gd name="T11" fmla="*/ 0 h 1716"/>
                              <a:gd name="T12" fmla="*/ 2123 w 6233"/>
                              <a:gd name="T13" fmla="*/ 0 h 1716"/>
                              <a:gd name="T14" fmla="*/ 2125 w 6233"/>
                              <a:gd name="T15" fmla="*/ 2 h 1716"/>
                              <a:gd name="T16" fmla="*/ 2127 w 6233"/>
                              <a:gd name="T17" fmla="*/ 7 h 1716"/>
                              <a:gd name="T18" fmla="*/ 2130 w 6233"/>
                              <a:gd name="T19" fmla="*/ 12 h 1716"/>
                              <a:gd name="T20" fmla="*/ 2130 w 6233"/>
                              <a:gd name="T21" fmla="*/ 1704 h 1716"/>
                              <a:gd name="T22" fmla="*/ 2127 w 6233"/>
                              <a:gd name="T23" fmla="*/ 1709 h 1716"/>
                              <a:gd name="T24" fmla="*/ 2125 w 6233"/>
                              <a:gd name="T25" fmla="*/ 1714 h 1716"/>
                              <a:gd name="T26" fmla="*/ 2123 w 6233"/>
                              <a:gd name="T27" fmla="*/ 1716 h 1716"/>
                              <a:gd name="T28" fmla="*/ 2118 w 6233"/>
                              <a:gd name="T29" fmla="*/ 1716 h 1716"/>
                              <a:gd name="T30" fmla="*/ 15 w 6233"/>
                              <a:gd name="T31" fmla="*/ 1716 h 1716"/>
                              <a:gd name="T32" fmla="*/ 8 w 6233"/>
                              <a:gd name="T33" fmla="*/ 1716 h 1716"/>
                              <a:gd name="T34" fmla="*/ 5 w 6233"/>
                              <a:gd name="T35" fmla="*/ 1714 h 1716"/>
                              <a:gd name="T36" fmla="*/ 3 w 6233"/>
                              <a:gd name="T37" fmla="*/ 1709 h 1716"/>
                              <a:gd name="T38" fmla="*/ 0 w 6233"/>
                              <a:gd name="T39" fmla="*/ 1704 h 1716"/>
                              <a:gd name="T40" fmla="*/ 0 w 6233"/>
                              <a:gd name="T41" fmla="*/ 12 h 1716"/>
                              <a:gd name="T42" fmla="*/ 27 w 6233"/>
                              <a:gd name="T43" fmla="*/ 1704 h 1716"/>
                              <a:gd name="T44" fmla="*/ 15 w 6233"/>
                              <a:gd name="T45" fmla="*/ 1692 h 1716"/>
                              <a:gd name="T46" fmla="*/ 2118 w 6233"/>
                              <a:gd name="T47" fmla="*/ 1692 h 1716"/>
                              <a:gd name="T48" fmla="*/ 2103 w 6233"/>
                              <a:gd name="T49" fmla="*/ 1704 h 1716"/>
                              <a:gd name="T50" fmla="*/ 2103 w 6233"/>
                              <a:gd name="T51" fmla="*/ 12 h 1716"/>
                              <a:gd name="T52" fmla="*/ 2118 w 6233"/>
                              <a:gd name="T53" fmla="*/ 24 h 1716"/>
                              <a:gd name="T54" fmla="*/ 15 w 6233"/>
                              <a:gd name="T55" fmla="*/ 24 h 1716"/>
                              <a:gd name="T56" fmla="*/ 27 w 6233"/>
                              <a:gd name="T57" fmla="*/ 12 h 1716"/>
                              <a:gd name="T58" fmla="*/ 27 w 6233"/>
                              <a:gd name="T59" fmla="*/ 1704 h 1716"/>
                              <a:gd name="T60" fmla="*/ 4101 w 6233"/>
                              <a:gd name="T61" fmla="*/ 285 h 1716"/>
                              <a:gd name="T62" fmla="*/ 4103 w 6233"/>
                              <a:gd name="T63" fmla="*/ 280 h 1716"/>
                              <a:gd name="T64" fmla="*/ 4106 w 6233"/>
                              <a:gd name="T65" fmla="*/ 275 h 1716"/>
                              <a:gd name="T66" fmla="*/ 4108 w 6233"/>
                              <a:gd name="T67" fmla="*/ 273 h 1716"/>
                              <a:gd name="T68" fmla="*/ 4115 w 6233"/>
                              <a:gd name="T69" fmla="*/ 273 h 1716"/>
                              <a:gd name="T70" fmla="*/ 6221 w 6233"/>
                              <a:gd name="T71" fmla="*/ 273 h 1716"/>
                              <a:gd name="T72" fmla="*/ 6225 w 6233"/>
                              <a:gd name="T73" fmla="*/ 273 h 1716"/>
                              <a:gd name="T74" fmla="*/ 6228 w 6233"/>
                              <a:gd name="T75" fmla="*/ 275 h 1716"/>
                              <a:gd name="T76" fmla="*/ 6230 w 6233"/>
                              <a:gd name="T77" fmla="*/ 280 h 1716"/>
                              <a:gd name="T78" fmla="*/ 6233 w 6233"/>
                              <a:gd name="T79" fmla="*/ 285 h 1716"/>
                              <a:gd name="T80" fmla="*/ 6233 w 6233"/>
                              <a:gd name="T81" fmla="*/ 1704 h 1716"/>
                              <a:gd name="T82" fmla="*/ 6230 w 6233"/>
                              <a:gd name="T83" fmla="*/ 1709 h 1716"/>
                              <a:gd name="T84" fmla="*/ 6228 w 6233"/>
                              <a:gd name="T85" fmla="*/ 1714 h 1716"/>
                              <a:gd name="T86" fmla="*/ 6225 w 6233"/>
                              <a:gd name="T87" fmla="*/ 1716 h 1716"/>
                              <a:gd name="T88" fmla="*/ 6221 w 6233"/>
                              <a:gd name="T89" fmla="*/ 1716 h 1716"/>
                              <a:gd name="T90" fmla="*/ 4115 w 6233"/>
                              <a:gd name="T91" fmla="*/ 1716 h 1716"/>
                              <a:gd name="T92" fmla="*/ 4108 w 6233"/>
                              <a:gd name="T93" fmla="*/ 1716 h 1716"/>
                              <a:gd name="T94" fmla="*/ 4106 w 6233"/>
                              <a:gd name="T95" fmla="*/ 1714 h 1716"/>
                              <a:gd name="T96" fmla="*/ 4103 w 6233"/>
                              <a:gd name="T97" fmla="*/ 1709 h 1716"/>
                              <a:gd name="T98" fmla="*/ 4101 w 6233"/>
                              <a:gd name="T99" fmla="*/ 1704 h 1716"/>
                              <a:gd name="T100" fmla="*/ 4101 w 6233"/>
                              <a:gd name="T101" fmla="*/ 285 h 1716"/>
                              <a:gd name="T102" fmla="*/ 4127 w 6233"/>
                              <a:gd name="T103" fmla="*/ 1704 h 1716"/>
                              <a:gd name="T104" fmla="*/ 4115 w 6233"/>
                              <a:gd name="T105" fmla="*/ 1692 h 1716"/>
                              <a:gd name="T106" fmla="*/ 6221 w 6233"/>
                              <a:gd name="T107" fmla="*/ 1692 h 1716"/>
                              <a:gd name="T108" fmla="*/ 6206 w 6233"/>
                              <a:gd name="T109" fmla="*/ 1704 h 1716"/>
                              <a:gd name="T110" fmla="*/ 6206 w 6233"/>
                              <a:gd name="T111" fmla="*/ 285 h 1716"/>
                              <a:gd name="T112" fmla="*/ 6221 w 6233"/>
                              <a:gd name="T113" fmla="*/ 297 h 1716"/>
                              <a:gd name="T114" fmla="*/ 4115 w 6233"/>
                              <a:gd name="T115" fmla="*/ 297 h 1716"/>
                              <a:gd name="T116" fmla="*/ 4127 w 6233"/>
                              <a:gd name="T117" fmla="*/ 285 h 1716"/>
                              <a:gd name="T118" fmla="*/ 4127 w 6233"/>
                              <a:gd name="T119" fmla="*/ 1704 h 1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33" h="1716">
                                <a:moveTo>
                                  <a:pt x="0" y="12"/>
                                </a:moveTo>
                                <a:lnTo>
                                  <a:pt x="3" y="7"/>
                                </a:lnTo>
                                <a:lnTo>
                                  <a:pt x="5" y="2"/>
                                </a:lnTo>
                                <a:lnTo>
                                  <a:pt x="8" y="0"/>
                                </a:lnTo>
                                <a:lnTo>
                                  <a:pt x="15" y="0"/>
                                </a:lnTo>
                                <a:lnTo>
                                  <a:pt x="2118" y="0"/>
                                </a:lnTo>
                                <a:lnTo>
                                  <a:pt x="2123" y="0"/>
                                </a:lnTo>
                                <a:lnTo>
                                  <a:pt x="2125" y="2"/>
                                </a:lnTo>
                                <a:lnTo>
                                  <a:pt x="2127" y="7"/>
                                </a:lnTo>
                                <a:lnTo>
                                  <a:pt x="2130" y="12"/>
                                </a:lnTo>
                                <a:lnTo>
                                  <a:pt x="2130" y="1704"/>
                                </a:lnTo>
                                <a:lnTo>
                                  <a:pt x="2127" y="1709"/>
                                </a:lnTo>
                                <a:lnTo>
                                  <a:pt x="2125" y="1714"/>
                                </a:lnTo>
                                <a:lnTo>
                                  <a:pt x="2123" y="1716"/>
                                </a:lnTo>
                                <a:lnTo>
                                  <a:pt x="2118" y="1716"/>
                                </a:lnTo>
                                <a:lnTo>
                                  <a:pt x="15" y="1716"/>
                                </a:lnTo>
                                <a:lnTo>
                                  <a:pt x="8" y="1716"/>
                                </a:lnTo>
                                <a:lnTo>
                                  <a:pt x="5" y="1714"/>
                                </a:lnTo>
                                <a:lnTo>
                                  <a:pt x="3" y="1709"/>
                                </a:lnTo>
                                <a:lnTo>
                                  <a:pt x="0" y="1704"/>
                                </a:lnTo>
                                <a:lnTo>
                                  <a:pt x="0" y="12"/>
                                </a:lnTo>
                                <a:close/>
                                <a:moveTo>
                                  <a:pt x="27" y="1704"/>
                                </a:moveTo>
                                <a:lnTo>
                                  <a:pt x="15" y="1692"/>
                                </a:lnTo>
                                <a:lnTo>
                                  <a:pt x="2118" y="1692"/>
                                </a:lnTo>
                                <a:lnTo>
                                  <a:pt x="2103" y="1704"/>
                                </a:lnTo>
                                <a:lnTo>
                                  <a:pt x="2103" y="12"/>
                                </a:lnTo>
                                <a:lnTo>
                                  <a:pt x="2118" y="24"/>
                                </a:lnTo>
                                <a:lnTo>
                                  <a:pt x="15" y="24"/>
                                </a:lnTo>
                                <a:lnTo>
                                  <a:pt x="27" y="12"/>
                                </a:lnTo>
                                <a:lnTo>
                                  <a:pt x="27" y="1704"/>
                                </a:lnTo>
                                <a:close/>
                                <a:moveTo>
                                  <a:pt x="4101" y="285"/>
                                </a:moveTo>
                                <a:lnTo>
                                  <a:pt x="4103" y="280"/>
                                </a:lnTo>
                                <a:lnTo>
                                  <a:pt x="4106" y="275"/>
                                </a:lnTo>
                                <a:lnTo>
                                  <a:pt x="4108" y="273"/>
                                </a:lnTo>
                                <a:lnTo>
                                  <a:pt x="4115" y="273"/>
                                </a:lnTo>
                                <a:lnTo>
                                  <a:pt x="6221" y="273"/>
                                </a:lnTo>
                                <a:lnTo>
                                  <a:pt x="6225" y="273"/>
                                </a:lnTo>
                                <a:lnTo>
                                  <a:pt x="6228" y="275"/>
                                </a:lnTo>
                                <a:lnTo>
                                  <a:pt x="6230" y="280"/>
                                </a:lnTo>
                                <a:lnTo>
                                  <a:pt x="6233" y="285"/>
                                </a:lnTo>
                                <a:lnTo>
                                  <a:pt x="6233" y="1704"/>
                                </a:lnTo>
                                <a:lnTo>
                                  <a:pt x="6230" y="1709"/>
                                </a:lnTo>
                                <a:lnTo>
                                  <a:pt x="6228" y="1714"/>
                                </a:lnTo>
                                <a:lnTo>
                                  <a:pt x="6225" y="1716"/>
                                </a:lnTo>
                                <a:lnTo>
                                  <a:pt x="6221" y="1716"/>
                                </a:lnTo>
                                <a:lnTo>
                                  <a:pt x="4115" y="1716"/>
                                </a:lnTo>
                                <a:lnTo>
                                  <a:pt x="4108" y="1716"/>
                                </a:lnTo>
                                <a:lnTo>
                                  <a:pt x="4106" y="1714"/>
                                </a:lnTo>
                                <a:lnTo>
                                  <a:pt x="4103" y="1709"/>
                                </a:lnTo>
                                <a:lnTo>
                                  <a:pt x="4101" y="1704"/>
                                </a:lnTo>
                                <a:lnTo>
                                  <a:pt x="4101" y="285"/>
                                </a:lnTo>
                                <a:close/>
                                <a:moveTo>
                                  <a:pt x="4127" y="1704"/>
                                </a:moveTo>
                                <a:lnTo>
                                  <a:pt x="4115" y="1692"/>
                                </a:lnTo>
                                <a:lnTo>
                                  <a:pt x="6221" y="1692"/>
                                </a:lnTo>
                                <a:lnTo>
                                  <a:pt x="6206" y="1704"/>
                                </a:lnTo>
                                <a:lnTo>
                                  <a:pt x="6206" y="285"/>
                                </a:lnTo>
                                <a:lnTo>
                                  <a:pt x="6221" y="297"/>
                                </a:lnTo>
                                <a:lnTo>
                                  <a:pt x="4115" y="297"/>
                                </a:lnTo>
                                <a:lnTo>
                                  <a:pt x="4127" y="285"/>
                                </a:lnTo>
                                <a:lnTo>
                                  <a:pt x="4127" y="170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2"/>
                        <wps:cNvSpPr>
                          <a:spLocks noEditPoints="1"/>
                        </wps:cNvSpPr>
                        <wps:spPr bwMode="auto">
                          <a:xfrm>
                            <a:off x="3343275" y="1167765"/>
                            <a:ext cx="1353820" cy="915035"/>
                          </a:xfrm>
                          <a:custGeom>
                            <a:avLst/>
                            <a:gdLst>
                              <a:gd name="T0" fmla="*/ 0 w 2132"/>
                              <a:gd name="T1" fmla="*/ 12 h 1441"/>
                              <a:gd name="T2" fmla="*/ 2 w 2132"/>
                              <a:gd name="T3" fmla="*/ 7 h 1441"/>
                              <a:gd name="T4" fmla="*/ 5 w 2132"/>
                              <a:gd name="T5" fmla="*/ 2 h 1441"/>
                              <a:gd name="T6" fmla="*/ 7 w 2132"/>
                              <a:gd name="T7" fmla="*/ 0 h 1441"/>
                              <a:gd name="T8" fmla="*/ 14 w 2132"/>
                              <a:gd name="T9" fmla="*/ 0 h 1441"/>
                              <a:gd name="T10" fmla="*/ 2120 w 2132"/>
                              <a:gd name="T11" fmla="*/ 0 h 1441"/>
                              <a:gd name="T12" fmla="*/ 2124 w 2132"/>
                              <a:gd name="T13" fmla="*/ 0 h 1441"/>
                              <a:gd name="T14" fmla="*/ 2127 w 2132"/>
                              <a:gd name="T15" fmla="*/ 2 h 1441"/>
                              <a:gd name="T16" fmla="*/ 2129 w 2132"/>
                              <a:gd name="T17" fmla="*/ 7 h 1441"/>
                              <a:gd name="T18" fmla="*/ 2132 w 2132"/>
                              <a:gd name="T19" fmla="*/ 12 h 1441"/>
                              <a:gd name="T20" fmla="*/ 2132 w 2132"/>
                              <a:gd name="T21" fmla="*/ 1429 h 1441"/>
                              <a:gd name="T22" fmla="*/ 2129 w 2132"/>
                              <a:gd name="T23" fmla="*/ 1434 h 1441"/>
                              <a:gd name="T24" fmla="*/ 2127 w 2132"/>
                              <a:gd name="T25" fmla="*/ 1436 h 1441"/>
                              <a:gd name="T26" fmla="*/ 2124 w 2132"/>
                              <a:gd name="T27" fmla="*/ 1438 h 1441"/>
                              <a:gd name="T28" fmla="*/ 2120 w 2132"/>
                              <a:gd name="T29" fmla="*/ 1441 h 1441"/>
                              <a:gd name="T30" fmla="*/ 14 w 2132"/>
                              <a:gd name="T31" fmla="*/ 1441 h 1441"/>
                              <a:gd name="T32" fmla="*/ 7 w 2132"/>
                              <a:gd name="T33" fmla="*/ 1438 h 1441"/>
                              <a:gd name="T34" fmla="*/ 5 w 2132"/>
                              <a:gd name="T35" fmla="*/ 1436 h 1441"/>
                              <a:gd name="T36" fmla="*/ 2 w 2132"/>
                              <a:gd name="T37" fmla="*/ 1434 h 1441"/>
                              <a:gd name="T38" fmla="*/ 0 w 2132"/>
                              <a:gd name="T39" fmla="*/ 1429 h 1441"/>
                              <a:gd name="T40" fmla="*/ 0 w 2132"/>
                              <a:gd name="T41" fmla="*/ 12 h 1441"/>
                              <a:gd name="T42" fmla="*/ 26 w 2132"/>
                              <a:gd name="T43" fmla="*/ 1429 h 1441"/>
                              <a:gd name="T44" fmla="*/ 14 w 2132"/>
                              <a:gd name="T45" fmla="*/ 1417 h 1441"/>
                              <a:gd name="T46" fmla="*/ 2120 w 2132"/>
                              <a:gd name="T47" fmla="*/ 1417 h 1441"/>
                              <a:gd name="T48" fmla="*/ 2105 w 2132"/>
                              <a:gd name="T49" fmla="*/ 1429 h 1441"/>
                              <a:gd name="T50" fmla="*/ 2105 w 2132"/>
                              <a:gd name="T51" fmla="*/ 12 h 1441"/>
                              <a:gd name="T52" fmla="*/ 2120 w 2132"/>
                              <a:gd name="T53" fmla="*/ 24 h 1441"/>
                              <a:gd name="T54" fmla="*/ 14 w 2132"/>
                              <a:gd name="T55" fmla="*/ 24 h 1441"/>
                              <a:gd name="T56" fmla="*/ 26 w 2132"/>
                              <a:gd name="T57" fmla="*/ 12 h 1441"/>
                              <a:gd name="T58" fmla="*/ 26 w 2132"/>
                              <a:gd name="T59" fmla="*/ 1429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132" h="1441">
                                <a:moveTo>
                                  <a:pt x="0" y="12"/>
                                </a:moveTo>
                                <a:lnTo>
                                  <a:pt x="2" y="7"/>
                                </a:lnTo>
                                <a:lnTo>
                                  <a:pt x="5" y="2"/>
                                </a:lnTo>
                                <a:lnTo>
                                  <a:pt x="7" y="0"/>
                                </a:lnTo>
                                <a:lnTo>
                                  <a:pt x="14" y="0"/>
                                </a:lnTo>
                                <a:lnTo>
                                  <a:pt x="2120" y="0"/>
                                </a:lnTo>
                                <a:lnTo>
                                  <a:pt x="2124" y="0"/>
                                </a:lnTo>
                                <a:lnTo>
                                  <a:pt x="2127" y="2"/>
                                </a:lnTo>
                                <a:lnTo>
                                  <a:pt x="2129" y="7"/>
                                </a:lnTo>
                                <a:lnTo>
                                  <a:pt x="2132" y="12"/>
                                </a:lnTo>
                                <a:lnTo>
                                  <a:pt x="2132" y="1429"/>
                                </a:lnTo>
                                <a:lnTo>
                                  <a:pt x="2129" y="1434"/>
                                </a:lnTo>
                                <a:lnTo>
                                  <a:pt x="2127" y="1436"/>
                                </a:lnTo>
                                <a:lnTo>
                                  <a:pt x="2124" y="1438"/>
                                </a:lnTo>
                                <a:lnTo>
                                  <a:pt x="2120" y="1441"/>
                                </a:lnTo>
                                <a:lnTo>
                                  <a:pt x="14" y="1441"/>
                                </a:lnTo>
                                <a:lnTo>
                                  <a:pt x="7" y="1438"/>
                                </a:lnTo>
                                <a:lnTo>
                                  <a:pt x="5" y="1436"/>
                                </a:lnTo>
                                <a:lnTo>
                                  <a:pt x="2" y="1434"/>
                                </a:lnTo>
                                <a:lnTo>
                                  <a:pt x="0" y="1429"/>
                                </a:lnTo>
                                <a:lnTo>
                                  <a:pt x="0" y="12"/>
                                </a:lnTo>
                                <a:close/>
                                <a:moveTo>
                                  <a:pt x="26" y="1429"/>
                                </a:moveTo>
                                <a:lnTo>
                                  <a:pt x="14" y="1417"/>
                                </a:lnTo>
                                <a:lnTo>
                                  <a:pt x="2120" y="1417"/>
                                </a:lnTo>
                                <a:lnTo>
                                  <a:pt x="2105" y="1429"/>
                                </a:lnTo>
                                <a:lnTo>
                                  <a:pt x="2105" y="12"/>
                                </a:lnTo>
                                <a:lnTo>
                                  <a:pt x="2120" y="24"/>
                                </a:lnTo>
                                <a:lnTo>
                                  <a:pt x="14" y="24"/>
                                </a:lnTo>
                                <a:lnTo>
                                  <a:pt x="26" y="12"/>
                                </a:lnTo>
                                <a:lnTo>
                                  <a:pt x="26" y="142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114300" y="2971800"/>
                            <a:ext cx="5208905" cy="8890"/>
                          </a:xfrm>
                          <a:prstGeom prst="rect">
                            <a:avLst/>
                          </a:prstGeom>
                          <a:solidFill>
                            <a:srgbClr val="868686"/>
                          </a:solidFill>
                          <a:ln w="2">
                            <a:solidFill>
                              <a:srgbClr val="868686"/>
                            </a:solidFill>
                            <a:prstDash val="solid"/>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1053465" y="2353945"/>
                            <a:ext cx="7632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b/>
                                  <w:bCs/>
                                  <w:color w:val="000000"/>
                                  <w:szCs w:val="24"/>
                                </w:rPr>
                                <w:t xml:space="preserve">$4,300,000 </w:t>
                              </w:r>
                            </w:p>
                          </w:txbxContent>
                        </wps:txbx>
                        <wps:bodyPr rot="0" vert="horz" wrap="none" lIns="0" tIns="0" rIns="0" bIns="0" anchor="t" anchorCtr="0">
                          <a:spAutoFit/>
                        </wps:bodyPr>
                      </wps:wsp>
                      <wps:wsp>
                        <wps:cNvPr id="15" name="Rectangle 15"/>
                        <wps:cNvSpPr>
                          <a:spLocks noChangeArrowheads="1"/>
                        </wps:cNvSpPr>
                        <wps:spPr bwMode="auto">
                          <a:xfrm>
                            <a:off x="3662045" y="2440305"/>
                            <a:ext cx="7632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b/>
                                  <w:bCs/>
                                  <w:color w:val="000000"/>
                                  <w:szCs w:val="24"/>
                                </w:rPr>
                                <w:t xml:space="preserve">$3,612,000 </w:t>
                              </w:r>
                            </w:p>
                          </w:txbxContent>
                        </wps:txbx>
                        <wps:bodyPr rot="0" vert="horz" wrap="none" lIns="0" tIns="0" rIns="0" bIns="0" anchor="t" anchorCtr="0">
                          <a:spAutoFit/>
                        </wps:bodyPr>
                      </wps:wsp>
                      <wps:wsp>
                        <wps:cNvPr id="16" name="Rectangle 16"/>
                        <wps:cNvSpPr>
                          <a:spLocks noChangeArrowheads="1"/>
                        </wps:cNvSpPr>
                        <wps:spPr bwMode="auto">
                          <a:xfrm>
                            <a:off x="3656965" y="1539240"/>
                            <a:ext cx="7632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b/>
                                  <w:bCs/>
                                  <w:color w:val="000000"/>
                                  <w:szCs w:val="24"/>
                                </w:rPr>
                                <w:t xml:space="preserve">$3,598,000 </w:t>
                              </w:r>
                            </w:p>
                          </w:txbxContent>
                        </wps:txbx>
                        <wps:bodyPr rot="0" vert="horz" wrap="none" lIns="0" tIns="0" rIns="0" bIns="0" anchor="t" anchorCtr="0">
                          <a:spAutoFit/>
                        </wps:bodyPr>
                      </wps:wsp>
                      <wps:wsp>
                        <wps:cNvPr id="17" name="Rectangle 17"/>
                        <wps:cNvSpPr>
                          <a:spLocks noChangeArrowheads="1"/>
                        </wps:cNvSpPr>
                        <wps:spPr bwMode="auto">
                          <a:xfrm>
                            <a:off x="1158875" y="3070860"/>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Smith 3</w:t>
                              </w:r>
                            </w:p>
                          </w:txbxContent>
                        </wps:txbx>
                        <wps:bodyPr rot="0" vert="horz" wrap="none" lIns="0" tIns="0" rIns="0" bIns="0" anchor="t" anchorCtr="0">
                          <a:spAutoFit/>
                        </wps:bodyPr>
                      </wps:wsp>
                      <wps:wsp>
                        <wps:cNvPr id="18" name="Rectangle 18"/>
                        <wps:cNvSpPr>
                          <a:spLocks noChangeArrowheads="1"/>
                        </wps:cNvSpPr>
                        <wps:spPr bwMode="auto">
                          <a:xfrm>
                            <a:off x="3308350" y="3070860"/>
                            <a:ext cx="142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Smith 3 &amp; Central AL</w:t>
                              </w:r>
                            </w:p>
                          </w:txbxContent>
                        </wps:txbx>
                        <wps:bodyPr rot="0" vert="horz" wrap="none" lIns="0" tIns="0" rIns="0" bIns="0" anchor="t" anchorCtr="0">
                          <a:spAutoFit/>
                        </wps:bodyPr>
                      </wps:wsp>
                      <wps:wsp>
                        <wps:cNvPr id="19" name="Rectangle 19"/>
                        <wps:cNvSpPr>
                          <a:spLocks noChangeArrowheads="1"/>
                        </wps:cNvSpPr>
                        <wps:spPr bwMode="auto">
                          <a:xfrm>
                            <a:off x="1901190" y="276860"/>
                            <a:ext cx="1694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Dollar Value Comparison</w:t>
                              </w:r>
                            </w:p>
                          </w:txbxContent>
                        </wps:txbx>
                        <wps:bodyPr rot="0" vert="horz" wrap="none" lIns="0" tIns="0" rIns="0" bIns="0" anchor="t" anchorCtr="0">
                          <a:spAutoFit/>
                        </wps:bodyPr>
                      </wps:wsp>
                      <wps:wsp>
                        <wps:cNvPr id="20" name="Rectangle 20"/>
                        <wps:cNvSpPr>
                          <a:spLocks noChangeArrowheads="1"/>
                        </wps:cNvSpPr>
                        <wps:spPr bwMode="auto">
                          <a:xfrm>
                            <a:off x="1967865" y="624205"/>
                            <a:ext cx="76200" cy="76200"/>
                          </a:xfrm>
                          <a:prstGeom prst="rect">
                            <a:avLst/>
                          </a:prstGeom>
                          <a:blipFill dpi="0" rotWithShape="0">
                            <a:blip r:embed="rId3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1960245" y="616585"/>
                            <a:ext cx="91440" cy="91440"/>
                          </a:xfrm>
                          <a:custGeom>
                            <a:avLst/>
                            <a:gdLst>
                              <a:gd name="T0" fmla="*/ 0 w 144"/>
                              <a:gd name="T1" fmla="*/ 12 h 144"/>
                              <a:gd name="T2" fmla="*/ 0 w 144"/>
                              <a:gd name="T3" fmla="*/ 7 h 144"/>
                              <a:gd name="T4" fmla="*/ 3 w 144"/>
                              <a:gd name="T5" fmla="*/ 2 h 144"/>
                              <a:gd name="T6" fmla="*/ 8 w 144"/>
                              <a:gd name="T7" fmla="*/ 0 h 144"/>
                              <a:gd name="T8" fmla="*/ 12 w 144"/>
                              <a:gd name="T9" fmla="*/ 0 h 144"/>
                              <a:gd name="T10" fmla="*/ 132 w 144"/>
                              <a:gd name="T11" fmla="*/ 0 h 144"/>
                              <a:gd name="T12" fmla="*/ 137 w 144"/>
                              <a:gd name="T13" fmla="*/ 0 h 144"/>
                              <a:gd name="T14" fmla="*/ 142 w 144"/>
                              <a:gd name="T15" fmla="*/ 2 h 144"/>
                              <a:gd name="T16" fmla="*/ 144 w 144"/>
                              <a:gd name="T17" fmla="*/ 7 h 144"/>
                              <a:gd name="T18" fmla="*/ 144 w 144"/>
                              <a:gd name="T19" fmla="*/ 12 h 144"/>
                              <a:gd name="T20" fmla="*/ 144 w 144"/>
                              <a:gd name="T21" fmla="*/ 132 h 144"/>
                              <a:gd name="T22" fmla="*/ 144 w 144"/>
                              <a:gd name="T23" fmla="*/ 137 h 144"/>
                              <a:gd name="T24" fmla="*/ 142 w 144"/>
                              <a:gd name="T25" fmla="*/ 141 h 144"/>
                              <a:gd name="T26" fmla="*/ 137 w 144"/>
                              <a:gd name="T27" fmla="*/ 144 h 144"/>
                              <a:gd name="T28" fmla="*/ 132 w 144"/>
                              <a:gd name="T29" fmla="*/ 144 h 144"/>
                              <a:gd name="T30" fmla="*/ 12 w 144"/>
                              <a:gd name="T31" fmla="*/ 144 h 144"/>
                              <a:gd name="T32" fmla="*/ 8 w 144"/>
                              <a:gd name="T33" fmla="*/ 144 h 144"/>
                              <a:gd name="T34" fmla="*/ 3 w 144"/>
                              <a:gd name="T35" fmla="*/ 141 h 144"/>
                              <a:gd name="T36" fmla="*/ 0 w 144"/>
                              <a:gd name="T37" fmla="*/ 137 h 144"/>
                              <a:gd name="T38" fmla="*/ 0 w 144"/>
                              <a:gd name="T39" fmla="*/ 132 h 144"/>
                              <a:gd name="T40" fmla="*/ 0 w 144"/>
                              <a:gd name="T41" fmla="*/ 12 h 144"/>
                              <a:gd name="T42" fmla="*/ 24 w 144"/>
                              <a:gd name="T43" fmla="*/ 132 h 144"/>
                              <a:gd name="T44" fmla="*/ 12 w 144"/>
                              <a:gd name="T45" fmla="*/ 120 h 144"/>
                              <a:gd name="T46" fmla="*/ 132 w 144"/>
                              <a:gd name="T47" fmla="*/ 120 h 144"/>
                              <a:gd name="T48" fmla="*/ 120 w 144"/>
                              <a:gd name="T49" fmla="*/ 132 h 144"/>
                              <a:gd name="T50" fmla="*/ 120 w 144"/>
                              <a:gd name="T51" fmla="*/ 12 h 144"/>
                              <a:gd name="T52" fmla="*/ 132 w 144"/>
                              <a:gd name="T53" fmla="*/ 24 h 144"/>
                              <a:gd name="T54" fmla="*/ 12 w 144"/>
                              <a:gd name="T55" fmla="*/ 24 h 144"/>
                              <a:gd name="T56" fmla="*/ 24 w 144"/>
                              <a:gd name="T57" fmla="*/ 12 h 144"/>
                              <a:gd name="T58" fmla="*/ 24 w 144"/>
                              <a:gd name="T59" fmla="*/ 13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4" h="144">
                                <a:moveTo>
                                  <a:pt x="0" y="12"/>
                                </a:moveTo>
                                <a:lnTo>
                                  <a:pt x="0" y="7"/>
                                </a:lnTo>
                                <a:lnTo>
                                  <a:pt x="3" y="2"/>
                                </a:lnTo>
                                <a:lnTo>
                                  <a:pt x="8" y="0"/>
                                </a:lnTo>
                                <a:lnTo>
                                  <a:pt x="12" y="0"/>
                                </a:lnTo>
                                <a:lnTo>
                                  <a:pt x="132" y="0"/>
                                </a:lnTo>
                                <a:lnTo>
                                  <a:pt x="137" y="0"/>
                                </a:lnTo>
                                <a:lnTo>
                                  <a:pt x="142" y="2"/>
                                </a:lnTo>
                                <a:lnTo>
                                  <a:pt x="144" y="7"/>
                                </a:lnTo>
                                <a:lnTo>
                                  <a:pt x="144" y="12"/>
                                </a:lnTo>
                                <a:lnTo>
                                  <a:pt x="144" y="132"/>
                                </a:lnTo>
                                <a:lnTo>
                                  <a:pt x="144" y="137"/>
                                </a:lnTo>
                                <a:lnTo>
                                  <a:pt x="142" y="141"/>
                                </a:lnTo>
                                <a:lnTo>
                                  <a:pt x="137" y="144"/>
                                </a:lnTo>
                                <a:lnTo>
                                  <a:pt x="132" y="144"/>
                                </a:lnTo>
                                <a:lnTo>
                                  <a:pt x="12" y="144"/>
                                </a:lnTo>
                                <a:lnTo>
                                  <a:pt x="8" y="144"/>
                                </a:lnTo>
                                <a:lnTo>
                                  <a:pt x="3" y="141"/>
                                </a:lnTo>
                                <a:lnTo>
                                  <a:pt x="0" y="137"/>
                                </a:lnTo>
                                <a:lnTo>
                                  <a:pt x="0" y="132"/>
                                </a:lnTo>
                                <a:lnTo>
                                  <a:pt x="0" y="12"/>
                                </a:lnTo>
                                <a:close/>
                                <a:moveTo>
                                  <a:pt x="24" y="132"/>
                                </a:moveTo>
                                <a:lnTo>
                                  <a:pt x="12" y="120"/>
                                </a:lnTo>
                                <a:lnTo>
                                  <a:pt x="132" y="120"/>
                                </a:lnTo>
                                <a:lnTo>
                                  <a:pt x="120" y="132"/>
                                </a:lnTo>
                                <a:lnTo>
                                  <a:pt x="120" y="12"/>
                                </a:lnTo>
                                <a:lnTo>
                                  <a:pt x="132" y="24"/>
                                </a:lnTo>
                                <a:lnTo>
                                  <a:pt x="12" y="24"/>
                                </a:lnTo>
                                <a:lnTo>
                                  <a:pt x="24" y="12"/>
                                </a:lnTo>
                                <a:lnTo>
                                  <a:pt x="24" y="13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Rectangle 22"/>
                        <wps:cNvSpPr>
                          <a:spLocks noChangeArrowheads="1"/>
                        </wps:cNvSpPr>
                        <wps:spPr bwMode="auto">
                          <a:xfrm>
                            <a:off x="2079625" y="575310"/>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Smith 3</w:t>
                              </w:r>
                            </w:p>
                          </w:txbxContent>
                        </wps:txbx>
                        <wps:bodyPr rot="0" vert="horz" wrap="none" lIns="0" tIns="0" rIns="0" bIns="0" anchor="t" anchorCtr="0">
                          <a:spAutoFit/>
                        </wps:bodyPr>
                      </wps:wsp>
                      <wps:wsp>
                        <wps:cNvPr id="23" name="Freeform 23"/>
                        <wps:cNvSpPr>
                          <a:spLocks noEditPoints="1"/>
                        </wps:cNvSpPr>
                        <wps:spPr bwMode="auto">
                          <a:xfrm>
                            <a:off x="2733040" y="616585"/>
                            <a:ext cx="93345" cy="92710"/>
                          </a:xfrm>
                          <a:custGeom>
                            <a:avLst/>
                            <a:gdLst>
                              <a:gd name="T0" fmla="*/ 0 w 147"/>
                              <a:gd name="T1" fmla="*/ 12 h 146"/>
                              <a:gd name="T2" fmla="*/ 0 w 147"/>
                              <a:gd name="T3" fmla="*/ 7 h 146"/>
                              <a:gd name="T4" fmla="*/ 3 w 147"/>
                              <a:gd name="T5" fmla="*/ 2 h 146"/>
                              <a:gd name="T6" fmla="*/ 8 w 147"/>
                              <a:gd name="T7" fmla="*/ 0 h 146"/>
                              <a:gd name="T8" fmla="*/ 12 w 147"/>
                              <a:gd name="T9" fmla="*/ 0 h 146"/>
                              <a:gd name="T10" fmla="*/ 135 w 147"/>
                              <a:gd name="T11" fmla="*/ 0 h 146"/>
                              <a:gd name="T12" fmla="*/ 137 w 147"/>
                              <a:gd name="T13" fmla="*/ 0 h 146"/>
                              <a:gd name="T14" fmla="*/ 142 w 147"/>
                              <a:gd name="T15" fmla="*/ 2 h 146"/>
                              <a:gd name="T16" fmla="*/ 145 w 147"/>
                              <a:gd name="T17" fmla="*/ 7 h 146"/>
                              <a:gd name="T18" fmla="*/ 147 w 147"/>
                              <a:gd name="T19" fmla="*/ 12 h 146"/>
                              <a:gd name="T20" fmla="*/ 147 w 147"/>
                              <a:gd name="T21" fmla="*/ 134 h 146"/>
                              <a:gd name="T22" fmla="*/ 145 w 147"/>
                              <a:gd name="T23" fmla="*/ 137 h 146"/>
                              <a:gd name="T24" fmla="*/ 142 w 147"/>
                              <a:gd name="T25" fmla="*/ 141 h 146"/>
                              <a:gd name="T26" fmla="*/ 137 w 147"/>
                              <a:gd name="T27" fmla="*/ 144 h 146"/>
                              <a:gd name="T28" fmla="*/ 135 w 147"/>
                              <a:gd name="T29" fmla="*/ 146 h 146"/>
                              <a:gd name="T30" fmla="*/ 12 w 147"/>
                              <a:gd name="T31" fmla="*/ 146 h 146"/>
                              <a:gd name="T32" fmla="*/ 8 w 147"/>
                              <a:gd name="T33" fmla="*/ 144 h 146"/>
                              <a:gd name="T34" fmla="*/ 3 w 147"/>
                              <a:gd name="T35" fmla="*/ 141 h 146"/>
                              <a:gd name="T36" fmla="*/ 0 w 147"/>
                              <a:gd name="T37" fmla="*/ 137 h 146"/>
                              <a:gd name="T38" fmla="*/ 0 w 147"/>
                              <a:gd name="T39" fmla="*/ 134 h 146"/>
                              <a:gd name="T40" fmla="*/ 0 w 147"/>
                              <a:gd name="T41" fmla="*/ 12 h 146"/>
                              <a:gd name="T42" fmla="*/ 24 w 147"/>
                              <a:gd name="T43" fmla="*/ 134 h 146"/>
                              <a:gd name="T44" fmla="*/ 12 w 147"/>
                              <a:gd name="T45" fmla="*/ 122 h 146"/>
                              <a:gd name="T46" fmla="*/ 135 w 147"/>
                              <a:gd name="T47" fmla="*/ 122 h 146"/>
                              <a:gd name="T48" fmla="*/ 123 w 147"/>
                              <a:gd name="T49" fmla="*/ 134 h 146"/>
                              <a:gd name="T50" fmla="*/ 123 w 147"/>
                              <a:gd name="T51" fmla="*/ 12 h 146"/>
                              <a:gd name="T52" fmla="*/ 135 w 147"/>
                              <a:gd name="T53" fmla="*/ 24 h 146"/>
                              <a:gd name="T54" fmla="*/ 12 w 147"/>
                              <a:gd name="T55" fmla="*/ 24 h 146"/>
                              <a:gd name="T56" fmla="*/ 24 w 147"/>
                              <a:gd name="T57" fmla="*/ 12 h 146"/>
                              <a:gd name="T58" fmla="*/ 24 w 147"/>
                              <a:gd name="T59" fmla="*/ 13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7" h="146">
                                <a:moveTo>
                                  <a:pt x="0" y="12"/>
                                </a:moveTo>
                                <a:lnTo>
                                  <a:pt x="0" y="7"/>
                                </a:lnTo>
                                <a:lnTo>
                                  <a:pt x="3" y="2"/>
                                </a:lnTo>
                                <a:lnTo>
                                  <a:pt x="8" y="0"/>
                                </a:lnTo>
                                <a:lnTo>
                                  <a:pt x="12" y="0"/>
                                </a:lnTo>
                                <a:lnTo>
                                  <a:pt x="135" y="0"/>
                                </a:lnTo>
                                <a:lnTo>
                                  <a:pt x="137" y="0"/>
                                </a:lnTo>
                                <a:lnTo>
                                  <a:pt x="142" y="2"/>
                                </a:lnTo>
                                <a:lnTo>
                                  <a:pt x="145" y="7"/>
                                </a:lnTo>
                                <a:lnTo>
                                  <a:pt x="147" y="12"/>
                                </a:lnTo>
                                <a:lnTo>
                                  <a:pt x="147" y="134"/>
                                </a:lnTo>
                                <a:lnTo>
                                  <a:pt x="145" y="137"/>
                                </a:lnTo>
                                <a:lnTo>
                                  <a:pt x="142" y="141"/>
                                </a:lnTo>
                                <a:lnTo>
                                  <a:pt x="137" y="144"/>
                                </a:lnTo>
                                <a:lnTo>
                                  <a:pt x="135" y="146"/>
                                </a:lnTo>
                                <a:lnTo>
                                  <a:pt x="12" y="146"/>
                                </a:lnTo>
                                <a:lnTo>
                                  <a:pt x="8" y="144"/>
                                </a:lnTo>
                                <a:lnTo>
                                  <a:pt x="3" y="141"/>
                                </a:lnTo>
                                <a:lnTo>
                                  <a:pt x="0" y="137"/>
                                </a:lnTo>
                                <a:lnTo>
                                  <a:pt x="0" y="134"/>
                                </a:lnTo>
                                <a:lnTo>
                                  <a:pt x="0" y="12"/>
                                </a:lnTo>
                                <a:close/>
                                <a:moveTo>
                                  <a:pt x="24" y="134"/>
                                </a:moveTo>
                                <a:lnTo>
                                  <a:pt x="12" y="122"/>
                                </a:lnTo>
                                <a:lnTo>
                                  <a:pt x="135" y="122"/>
                                </a:lnTo>
                                <a:lnTo>
                                  <a:pt x="123" y="134"/>
                                </a:lnTo>
                                <a:lnTo>
                                  <a:pt x="123" y="12"/>
                                </a:lnTo>
                                <a:lnTo>
                                  <a:pt x="135" y="24"/>
                                </a:lnTo>
                                <a:lnTo>
                                  <a:pt x="12" y="24"/>
                                </a:lnTo>
                                <a:lnTo>
                                  <a:pt x="24" y="12"/>
                                </a:lnTo>
                                <a:lnTo>
                                  <a:pt x="24" y="134"/>
                                </a:lnTo>
                                <a:close/>
                              </a:path>
                            </a:pathLst>
                          </a:custGeom>
                          <a:solidFill>
                            <a:srgbClr val="000000"/>
                          </a:solidFill>
                          <a:ln w="2">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2852420" y="575310"/>
                            <a:ext cx="720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Central AL</w:t>
                              </w:r>
                            </w:p>
                          </w:txbxContent>
                        </wps:txbx>
                        <wps:bodyPr rot="0" vert="horz" wrap="none" lIns="0" tIns="0" rIns="0" bIns="0" anchor="t" anchorCtr="0">
                          <a:spAutoFit/>
                        </wps:bodyPr>
                      </wps:wsp>
                      <wps:wsp>
                        <wps:cNvPr id="25" name="Freeform 25"/>
                        <wps:cNvSpPr>
                          <a:spLocks noEditPoints="1"/>
                        </wps:cNvSpPr>
                        <wps:spPr bwMode="auto">
                          <a:xfrm>
                            <a:off x="-7620" y="167640"/>
                            <a:ext cx="5503545" cy="3212465"/>
                          </a:xfrm>
                          <a:custGeom>
                            <a:avLst/>
                            <a:gdLst>
                              <a:gd name="T0" fmla="*/ 0 w 8667"/>
                              <a:gd name="T1" fmla="*/ 12 h 5059"/>
                              <a:gd name="T2" fmla="*/ 2 w 8667"/>
                              <a:gd name="T3" fmla="*/ 7 h 5059"/>
                              <a:gd name="T4" fmla="*/ 5 w 8667"/>
                              <a:gd name="T5" fmla="*/ 2 h 5059"/>
                              <a:gd name="T6" fmla="*/ 7 w 8667"/>
                              <a:gd name="T7" fmla="*/ 0 h 5059"/>
                              <a:gd name="T8" fmla="*/ 12 w 8667"/>
                              <a:gd name="T9" fmla="*/ 0 h 5059"/>
                              <a:gd name="T10" fmla="*/ 8655 w 8667"/>
                              <a:gd name="T11" fmla="*/ 0 h 5059"/>
                              <a:gd name="T12" fmla="*/ 8659 w 8667"/>
                              <a:gd name="T13" fmla="*/ 0 h 5059"/>
                              <a:gd name="T14" fmla="*/ 8662 w 8667"/>
                              <a:gd name="T15" fmla="*/ 2 h 5059"/>
                              <a:gd name="T16" fmla="*/ 8664 w 8667"/>
                              <a:gd name="T17" fmla="*/ 7 h 5059"/>
                              <a:gd name="T18" fmla="*/ 8667 w 8667"/>
                              <a:gd name="T19" fmla="*/ 12 h 5059"/>
                              <a:gd name="T20" fmla="*/ 8667 w 8667"/>
                              <a:gd name="T21" fmla="*/ 5047 h 5059"/>
                              <a:gd name="T22" fmla="*/ 8664 w 8667"/>
                              <a:gd name="T23" fmla="*/ 5051 h 5059"/>
                              <a:gd name="T24" fmla="*/ 8662 w 8667"/>
                              <a:gd name="T25" fmla="*/ 5054 h 5059"/>
                              <a:gd name="T26" fmla="*/ 8659 w 8667"/>
                              <a:gd name="T27" fmla="*/ 5056 h 5059"/>
                              <a:gd name="T28" fmla="*/ 8655 w 8667"/>
                              <a:gd name="T29" fmla="*/ 5059 h 5059"/>
                              <a:gd name="T30" fmla="*/ 12 w 8667"/>
                              <a:gd name="T31" fmla="*/ 5059 h 5059"/>
                              <a:gd name="T32" fmla="*/ 7 w 8667"/>
                              <a:gd name="T33" fmla="*/ 5056 h 5059"/>
                              <a:gd name="T34" fmla="*/ 5 w 8667"/>
                              <a:gd name="T35" fmla="*/ 5054 h 5059"/>
                              <a:gd name="T36" fmla="*/ 2 w 8667"/>
                              <a:gd name="T37" fmla="*/ 5051 h 5059"/>
                              <a:gd name="T38" fmla="*/ 0 w 8667"/>
                              <a:gd name="T39" fmla="*/ 5047 h 5059"/>
                              <a:gd name="T40" fmla="*/ 0 w 8667"/>
                              <a:gd name="T41" fmla="*/ 12 h 5059"/>
                              <a:gd name="T42" fmla="*/ 24 w 8667"/>
                              <a:gd name="T43" fmla="*/ 5047 h 5059"/>
                              <a:gd name="T44" fmla="*/ 12 w 8667"/>
                              <a:gd name="T45" fmla="*/ 5035 h 5059"/>
                              <a:gd name="T46" fmla="*/ 8655 w 8667"/>
                              <a:gd name="T47" fmla="*/ 5035 h 5059"/>
                              <a:gd name="T48" fmla="*/ 8640 w 8667"/>
                              <a:gd name="T49" fmla="*/ 5047 h 5059"/>
                              <a:gd name="T50" fmla="*/ 8640 w 8667"/>
                              <a:gd name="T51" fmla="*/ 12 h 5059"/>
                              <a:gd name="T52" fmla="*/ 8655 w 8667"/>
                              <a:gd name="T53" fmla="*/ 24 h 5059"/>
                              <a:gd name="T54" fmla="*/ 12 w 8667"/>
                              <a:gd name="T55" fmla="*/ 24 h 5059"/>
                              <a:gd name="T56" fmla="*/ 24 w 8667"/>
                              <a:gd name="T57" fmla="*/ 12 h 5059"/>
                              <a:gd name="T58" fmla="*/ 24 w 8667"/>
                              <a:gd name="T59" fmla="*/ 5047 h 5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67" h="5059">
                                <a:moveTo>
                                  <a:pt x="0" y="12"/>
                                </a:moveTo>
                                <a:lnTo>
                                  <a:pt x="2" y="7"/>
                                </a:lnTo>
                                <a:lnTo>
                                  <a:pt x="5" y="2"/>
                                </a:lnTo>
                                <a:lnTo>
                                  <a:pt x="7" y="0"/>
                                </a:lnTo>
                                <a:lnTo>
                                  <a:pt x="12" y="0"/>
                                </a:lnTo>
                                <a:lnTo>
                                  <a:pt x="8655" y="0"/>
                                </a:lnTo>
                                <a:lnTo>
                                  <a:pt x="8659" y="0"/>
                                </a:lnTo>
                                <a:lnTo>
                                  <a:pt x="8662" y="2"/>
                                </a:lnTo>
                                <a:lnTo>
                                  <a:pt x="8664" y="7"/>
                                </a:lnTo>
                                <a:lnTo>
                                  <a:pt x="8667" y="12"/>
                                </a:lnTo>
                                <a:lnTo>
                                  <a:pt x="8667" y="5047"/>
                                </a:lnTo>
                                <a:lnTo>
                                  <a:pt x="8664" y="5051"/>
                                </a:lnTo>
                                <a:lnTo>
                                  <a:pt x="8662" y="5054"/>
                                </a:lnTo>
                                <a:lnTo>
                                  <a:pt x="8659" y="5056"/>
                                </a:lnTo>
                                <a:lnTo>
                                  <a:pt x="8655" y="5059"/>
                                </a:lnTo>
                                <a:lnTo>
                                  <a:pt x="12" y="5059"/>
                                </a:lnTo>
                                <a:lnTo>
                                  <a:pt x="7" y="5056"/>
                                </a:lnTo>
                                <a:lnTo>
                                  <a:pt x="5" y="5054"/>
                                </a:lnTo>
                                <a:lnTo>
                                  <a:pt x="2" y="5051"/>
                                </a:lnTo>
                                <a:lnTo>
                                  <a:pt x="0" y="5047"/>
                                </a:lnTo>
                                <a:lnTo>
                                  <a:pt x="0" y="12"/>
                                </a:lnTo>
                                <a:close/>
                                <a:moveTo>
                                  <a:pt x="24" y="5047"/>
                                </a:moveTo>
                                <a:lnTo>
                                  <a:pt x="12" y="5035"/>
                                </a:lnTo>
                                <a:lnTo>
                                  <a:pt x="8655" y="5035"/>
                                </a:lnTo>
                                <a:lnTo>
                                  <a:pt x="8640" y="5047"/>
                                </a:lnTo>
                                <a:lnTo>
                                  <a:pt x="8640" y="12"/>
                                </a:lnTo>
                                <a:lnTo>
                                  <a:pt x="8655" y="24"/>
                                </a:lnTo>
                                <a:lnTo>
                                  <a:pt x="12" y="24"/>
                                </a:lnTo>
                                <a:lnTo>
                                  <a:pt x="24" y="12"/>
                                </a:lnTo>
                                <a:lnTo>
                                  <a:pt x="24" y="504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 name="Rectangle 26"/>
                        <wps:cNvSpPr>
                          <a:spLocks noChangeArrowheads="1"/>
                        </wps:cNvSpPr>
                        <wps:spPr bwMode="auto">
                          <a:xfrm>
                            <a:off x="3803650" y="850900"/>
                            <a:ext cx="5334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3896360" y="90297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2014</w:t>
                              </w:r>
                            </w:p>
                          </w:txbxContent>
                        </wps:txbx>
                        <wps:bodyPr rot="0" vert="horz" wrap="none" lIns="0" tIns="0" rIns="0" bIns="0" anchor="t" anchorCtr="0">
                          <a:spAutoFit/>
                        </wps:bodyPr>
                      </wps:wsp>
                      <wps:wsp>
                        <wps:cNvPr id="28" name="Rectangle 28"/>
                        <wps:cNvSpPr>
                          <a:spLocks noChangeArrowheads="1"/>
                        </wps:cNvSpPr>
                        <wps:spPr bwMode="auto">
                          <a:xfrm>
                            <a:off x="1151255" y="1580515"/>
                            <a:ext cx="53149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1247140" y="163639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201</w:t>
                              </w:r>
                            </w:p>
                          </w:txbxContent>
                        </wps:txbx>
                        <wps:bodyPr rot="0" vert="horz" wrap="none" lIns="0" tIns="0" rIns="0" bIns="0" anchor="t" anchorCtr="0">
                          <a:spAutoFit/>
                        </wps:bodyPr>
                      </wps:wsp>
                      <wps:wsp>
                        <wps:cNvPr id="30" name="Rectangle 30"/>
                        <wps:cNvSpPr>
                          <a:spLocks noChangeArrowheads="1"/>
                        </wps:cNvSpPr>
                        <wps:spPr bwMode="auto">
                          <a:xfrm>
                            <a:off x="1501775" y="163639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rFonts w:ascii="Arial" w:hAnsi="Arial" w:cs="Arial"/>
                                  <w:color w:val="000000"/>
                                  <w:szCs w:val="24"/>
                                </w:rPr>
                                <w:t>2</w:t>
                              </w:r>
                            </w:p>
                          </w:txbxContent>
                        </wps:txbx>
                        <wps:bodyPr rot="0" vert="horz" wrap="none" lIns="0" tIns="0" rIns="0" bIns="0" anchor="t" anchorCtr="0">
                          <a:spAutoFit/>
                        </wps:bodyPr>
                      </wps:wsp>
                      <wps:wsp>
                        <wps:cNvPr id="31" name="Rectangle 31"/>
                        <wps:cNvSpPr>
                          <a:spLocks noChangeArrowheads="1"/>
                        </wps:cNvSpPr>
                        <wps:spPr bwMode="auto">
                          <a:xfrm>
                            <a:off x="1585595" y="163639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3A" w:rsidRDefault="0040123A">
                              <w:r>
                                <w:rPr>
                                  <w:color w:val="000000"/>
                                  <w:szCs w:val="24"/>
                                </w:rPr>
                                <w:t xml:space="preserve"> </w:t>
                              </w:r>
                            </w:p>
                          </w:txbxContent>
                        </wps:txbx>
                        <wps:bodyPr rot="0" vert="horz" wrap="none" lIns="0" tIns="0" rIns="0" bIns="0" anchor="t" anchorCtr="0">
                          <a:spAutoFit/>
                        </wps:bodyPr>
                      </wps:wsp>
                    </wpc:wpc>
                  </a:graphicData>
                </a:graphic>
              </wp:inline>
            </w:drawing>
          </mc:Choice>
          <mc:Fallback>
            <w:pict>
              <v:group id="Canvas 1024" o:spid="_x0000_s1026" editas="canvas" style="width:440.65pt;height:281.35pt;mso-position-horizontal-relative:char;mso-position-vertical-relative:line" coordsize="55962,35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62;height:35731;visibility:visible;mso-wrap-style:square">
                  <v:fill o:detectmouseclick="t"/>
                  <v:path o:connecttype="none"/>
                </v:shape>
                <v:rect id="Rectangle 5" o:spid="_x0000_s1028" style="position:absolute;top:31;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40123A" w:rsidRDefault="0040123A">
                        <w:r>
                          <w:rPr>
                            <w:rFonts w:ascii="Arial" w:hAnsi="Arial" w:cs="Arial"/>
                            <w:color w:val="000000"/>
                            <w:szCs w:val="24"/>
                          </w:rPr>
                          <w:t xml:space="preserve"> </w:t>
                        </w:r>
                      </w:p>
                    </w:txbxContent>
                  </v:textbox>
                </v:rect>
                <v:rect id="Rectangle 6" o:spid="_x0000_s1029" style="position:absolute;left:55060;top:32531;width: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 xml:space="preserve"> </w:t>
                        </w:r>
                      </w:p>
                    </w:txbxContent>
                  </v:textbox>
                </v:rect>
                <v:rect id="Rectangle 7" o:spid="_x0000_s1030" style="position:absolute;top:3394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 xml:space="preserve"> </w:t>
                        </w:r>
                      </w:p>
                    </w:txbxContent>
                  </v:textbox>
                </v:rect>
                <v:rect id="Rectangle 8" o:spid="_x0000_s1031" style="position:absolute;left:-12;top:1752;width:54895;height:31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9" o:spid="_x0000_s1032" style="position:absolute;left:1143;top:9772;width:52089;height:19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Freeform 10" o:spid="_x0000_s1033" style="position:absolute;left:7486;top:19018;width:39408;height:10744;visibility:visible;mso-wrap-style:square;v-text-anchor:top" coordsize="6206,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kIMMA&#10;AADbAAAADwAAAGRycy9kb3ducmV2LnhtbESPTWvCQBCG74X+h2UK3uqmbRAbXaU0VXpSagteh+w0&#10;CWZnQ3Yb13/fOQjeZpj345nlOrlOjTSE1rOBp2kGirjytuXawM/35nEOKkRki51nMnChAOvV/d0S&#10;C+vP/EXjIdZKQjgUaKCJsS+0DlVDDsPU98Ry+/WDwyjrUGs74FnCXaefs2ymHbYsDQ329N5QdTr8&#10;OSkpP/anba7LeXKcjq9lvnsZc2MmD+ltASpSijfx1f1p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fkIMMAAADbAAAADwAAAAAAAAAAAAAAAACYAgAAZHJzL2Rv&#10;d25yZXYueG1sUEsFBgAAAAAEAAQA9QAAAIgDAAAAAA==&#10;" path="m,l2103,r,1692l,1692,,xm4100,273r2106,l6206,1692r-2106,l4100,273xe" stroked="f">
                  <v:fill r:id="rId31" o:title="" recolor="t" type="tile"/>
                  <v:path arrowok="t" o:connecttype="custom" o:connectlocs="0,0;1335405,0;1335405,1074420;0,1074420;0,0;2603500,173355;3940810,173355;3940810,1074420;2603500,1074420;2603500,173355" o:connectangles="0,0,0,0,0,0,0,0,0,0"/>
                  <o:lock v:ext="edit" verticies="t"/>
                </v:shape>
                <v:shape id="Freeform 11" o:spid="_x0000_s1034" style="position:absolute;left:7391;top:18942;width:39579;height:10896;visibility:visible;mso-wrap-style:square;v-text-anchor:top" coordsize="6233,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C1MEA&#10;AADbAAAADwAAAGRycy9kb3ducmV2LnhtbERPTWsCMRC9F/wPYQQvUrN60Lo1igpS9Vb10N6GzZhd&#10;3EyWJOq2v74RhN7m8T5ntmhtLW7kQ+VYwXCQgSAunK7YKDgdN69vIEJE1lg7JgU/FGAx77zMMNfu&#10;zp90O0QjUgiHHBWUMTa5lKEoyWIYuIY4cWfnLcYEvZHa4z2F21qOsmwsLVacGkpsaF1ScTlcrYLv&#10;r9Pul6Tpr6vpR+3Nnu1qwkr1uu3yHUSkNv6Ln+6tTvOH8PglHS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JwtTBAAAA2wAAAA8AAAAAAAAAAAAAAAAAmAIAAGRycy9kb3du&#10;cmV2LnhtbFBLBQYAAAAABAAEAPUAAACGAwAAAAA=&#10;" path="m,12l3,7,5,2,8,r7,l2118,r5,l2125,2r2,5l2130,12r,1692l2127,1709r-2,5l2123,1716r-5,l15,1716r-7,l5,1714r-2,-5l,1704,,12xm27,1704l15,1692r2103,l2103,1704r,-1692l2118,24,15,24,27,12r,1692xm4101,285r2,-5l4106,275r2,-2l4115,273r2106,l6225,273r3,2l6230,280r3,5l6233,1704r-3,5l6228,1714r-3,2l6221,1716r-2106,l4108,1716r-2,-2l4103,1709r-2,-5l4101,285xm4127,1704r-12,-12l6221,1692r-15,12l6206,285r15,12l4115,297r12,-12l4127,1704xe" fillcolor="black" strokeweight="0">
                  <v:path arrowok="t" o:connecttype="custom" o:connectlocs="0,7620;1905,4445;3175,1270;5080,0;9525,0;1344930,0;1348105,0;1349375,1270;1350645,4445;1352550,7620;1352550,1082040;1350645,1085215;1349375,1088390;1348105,1089660;1344930,1089660;9525,1089660;5080,1089660;3175,1088390;1905,1085215;0,1082040;0,7620;17145,1082040;9525,1074420;1344930,1074420;1335405,1082040;1335405,7620;1344930,15240;9525,15240;17145,7620;17145,1082040;2604135,180975;2605405,177800;2607310,174625;2608580,173355;2613025,173355;3950335,173355;3952875,173355;3954780,174625;3956050,177800;3957955,180975;3957955,1082040;3956050,1085215;3954780,1088390;3952875,1089660;3950335,1089660;2613025,1089660;2608580,1089660;2607310,1088390;2605405,1085215;2604135,1082040;2604135,180975;2620645,1082040;2613025,1074420;3950335,1074420;3940810,1082040;3940810,180975;3950335,188595;2613025,188595;2620645,180975;2620645,1082040" o:connectangles="0,0,0,0,0,0,0,0,0,0,0,0,0,0,0,0,0,0,0,0,0,0,0,0,0,0,0,0,0,0,0,0,0,0,0,0,0,0,0,0,0,0,0,0,0,0,0,0,0,0,0,0,0,0,0,0,0,0,0,0"/>
                  <o:lock v:ext="edit" verticies="t"/>
                </v:shape>
                <v:shape id="Freeform 12" o:spid="_x0000_s1035" style="position:absolute;left:33432;top:11677;width:13538;height:9151;visibility:visible;mso-wrap-style:square;v-text-anchor:top" coordsize="2132,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wtFsIA&#10;AADbAAAADwAAAGRycy9kb3ducmV2LnhtbESPQUvDQBCF74L/YRnBm90YQSTtNlRBEE+2FSS3ITvN&#10;hmZnw+6apP/eEQRvb3hvvpm3qRc/qIli6gMbuF8VoIjbYHvuDHweX++eQKWMbHEITAYulKDeXl9t&#10;sLJh5j1Nh9wpgXCq0IDLeay0Tq0jj2kVRmLxTiF6zDLGTtuIs8D9oMuieNQee5YLDkd6cdSeD99e&#10;KM97cZu+mZrw/nHh45eb44MxtzfLbg0q05L/w3/bb1beL+G3iwj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C0WwgAAANsAAAAPAAAAAAAAAAAAAAAAAJgCAABkcnMvZG93&#10;bnJldi54bWxQSwUGAAAAAAQABAD1AAAAhwMAAAAA&#10;" path="m,12l2,7,5,2,7,r7,l2120,r4,l2127,2r2,5l2132,12r,1417l2129,1434r-2,2l2124,1438r-4,3l14,1441r-7,-3l5,1436r-3,-2l,1429,,12xm26,1429l14,1417r2106,l2105,1429r,-1417l2120,24,14,24,26,12r,1417xe" fillcolor="black" strokeweight="0">
                  <v:path arrowok="t" o:connecttype="custom" o:connectlocs="0,7620;1270,4445;3175,1270;4445,0;8890,0;1346200,0;1348740,0;1350645,1270;1351915,4445;1353820,7620;1353820,907415;1351915,910590;1350645,911860;1348740,913130;1346200,915035;8890,915035;4445,913130;3175,911860;1270,910590;0,907415;0,7620;16510,907415;8890,899795;1346200,899795;1336675,907415;1336675,7620;1346200,15240;8890,15240;16510,7620;16510,907415" o:connectangles="0,0,0,0,0,0,0,0,0,0,0,0,0,0,0,0,0,0,0,0,0,0,0,0,0,0,0,0,0,0"/>
                  <o:lock v:ext="edit" verticies="t"/>
                </v:shape>
                <v:rect id="Rectangle 13" o:spid="_x0000_s1036" style="position:absolute;left:1143;top:29718;width:5208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8fZsIA&#10;AADbAAAADwAAAGRycy9kb3ducmV2LnhtbERPTWvCQBC9C/0PyxS86cYIQaKr1BahHjwkFupxyI5J&#10;bHY2ZLcx7a93BcHbPN7nrDaDaURPnastK5hNIxDEhdU1lwq+jrvJAoTzyBoby6Tgjxxs1i+jFaba&#10;XjmjPvelCCHsUlRQed+mUrqiIoNualviwJ1tZ9AH2JVSd3gN4aaRcRQl0mDNoaHClt4rKn7yX6Mg&#10;S/LeZP+X/fzjO9HlaZfFh3ir1Ph1eFuC8DT4p/jh/tRh/hzuv4Q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x9mwgAAANsAAAAPAAAAAAAAAAAAAAAAAJgCAABkcnMvZG93&#10;bnJldi54bWxQSwUGAAAAAAQABAD1AAAAhwMAAAAA&#10;" fillcolor="#868686" strokecolor="#868686" strokeweight="6e-5mm"/>
                <v:rect id="Rectangle 14" o:spid="_x0000_s1037" style="position:absolute;left:10534;top:23539;width:763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40123A" w:rsidRDefault="0040123A">
                        <w:r>
                          <w:rPr>
                            <w:rFonts w:ascii="Arial" w:hAnsi="Arial" w:cs="Arial"/>
                            <w:b/>
                            <w:bCs/>
                            <w:color w:val="000000"/>
                            <w:szCs w:val="24"/>
                          </w:rPr>
                          <w:t xml:space="preserve">$4,300,000 </w:t>
                        </w:r>
                      </w:p>
                    </w:txbxContent>
                  </v:textbox>
                </v:rect>
                <v:rect id="Rectangle 15" o:spid="_x0000_s1038" style="position:absolute;left:36620;top:24403;width:763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40123A" w:rsidRDefault="0040123A">
                        <w:r>
                          <w:rPr>
                            <w:rFonts w:ascii="Arial" w:hAnsi="Arial" w:cs="Arial"/>
                            <w:b/>
                            <w:bCs/>
                            <w:color w:val="000000"/>
                            <w:szCs w:val="24"/>
                          </w:rPr>
                          <w:t xml:space="preserve">$3,612,000 </w:t>
                        </w:r>
                      </w:p>
                    </w:txbxContent>
                  </v:textbox>
                </v:rect>
                <v:rect id="Rectangle 16" o:spid="_x0000_s1039" style="position:absolute;left:36569;top:15392;width:763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40123A" w:rsidRDefault="0040123A">
                        <w:r>
                          <w:rPr>
                            <w:rFonts w:ascii="Arial" w:hAnsi="Arial" w:cs="Arial"/>
                            <w:b/>
                            <w:bCs/>
                            <w:color w:val="000000"/>
                            <w:szCs w:val="24"/>
                          </w:rPr>
                          <w:t xml:space="preserve">$3,598,000 </w:t>
                        </w:r>
                      </w:p>
                    </w:txbxContent>
                  </v:textbox>
                </v:rect>
                <v:rect id="Rectangle 17" o:spid="_x0000_s1040" style="position:absolute;left:11588;top:30708;width:516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40123A" w:rsidRDefault="0040123A">
                        <w:r>
                          <w:rPr>
                            <w:rFonts w:ascii="Arial" w:hAnsi="Arial" w:cs="Arial"/>
                            <w:color w:val="000000"/>
                            <w:szCs w:val="24"/>
                          </w:rPr>
                          <w:t>Smith 3</w:t>
                        </w:r>
                      </w:p>
                    </w:txbxContent>
                  </v:textbox>
                </v:rect>
                <v:rect id="Rectangle 18" o:spid="_x0000_s1041" style="position:absolute;left:33083;top:30708;width:1423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Smith 3 &amp; Central AL</w:t>
                        </w:r>
                      </w:p>
                    </w:txbxContent>
                  </v:textbox>
                </v:rect>
                <v:rect id="Rectangle 19" o:spid="_x0000_s1042" style="position:absolute;left:19011;top:2768;width:1694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40123A" w:rsidRDefault="0040123A">
                        <w:r>
                          <w:rPr>
                            <w:rFonts w:ascii="Arial" w:hAnsi="Arial" w:cs="Arial"/>
                            <w:color w:val="000000"/>
                            <w:szCs w:val="24"/>
                          </w:rPr>
                          <w:t>Dollar Value Comparison</w:t>
                        </w:r>
                      </w:p>
                    </w:txbxContent>
                  </v:textbox>
                </v:rect>
                <v:rect id="Rectangle 20" o:spid="_x0000_s1043" style="position:absolute;left:19678;top:6242;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DRsEA&#10;AADbAAAADwAAAGRycy9kb3ducmV2LnhtbERPPWvDMBDdA/kP4gLdYjkZinGshNImpUMh1M7Q8ZCu&#10;tlPrZCQ1dv99NQQ6Pt53dZjtIG7kQ+9YwSbLQRBrZ3puFVya07oAESKywcExKfilAIf9clFhadzE&#10;H3SrYytSCIcSFXQxjqWUQXdkMWRuJE7cl/MWY4K+lcbjlMLtILd5/igt9pwaOhzpuSP9Xf9YBSFe&#10;r2czTv7FHuX756YI+rXRSj2s5qcdiEhz/Bff3W9GwTatT1/SD5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zw0bBAAAA2wAAAA8AAAAAAAAAAAAAAAAAmAIAAGRycy9kb3du&#10;cmV2LnhtbFBLBQYAAAAABAAEAPUAAACGAwAAAAA=&#10;" stroked="f">
                  <v:fill r:id="rId31" o:title="" recolor="t" type="tile"/>
                </v:rect>
                <v:shape id="Freeform 21" o:spid="_x0000_s1044" style="position:absolute;left:19602;top:6165;width:914;height:915;visibility:visible;mso-wrap-style:square;v-text-anchor:top" coordsize="14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EBsMA&#10;AADbAAAADwAAAGRycy9kb3ducmV2LnhtbESPQYvCMBSE7wv+h/CEva2pCotUo0hxYcGDWAteH82z&#10;LW1eShK17q83woLHYWa+YVabwXTiRs43lhVMJwkI4tLqhisFxennawHCB2SNnWVS8CAPm/XoY4Wp&#10;tnc+0i0PlYgQ9ikqqEPoUyl9WZNBP7E9cfQu1hkMUbpKaof3CDednCXJtzTYcFyosaesprLNr0ZB&#10;dj4V++Iva/Ndsh8Oc9derNkp9TketksQgYbwDv+3f7WC2RR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KEBsMAAADbAAAADwAAAAAAAAAAAAAAAACYAgAAZHJzL2Rv&#10;d25yZXYueG1sUEsFBgAAAAAEAAQA9QAAAIgDAAAAAA==&#10;" path="m,12l,7,3,2,8,r4,l132,r5,l142,2r2,5l144,12r,120l144,137r-2,4l137,144r-5,l12,144r-4,l3,141,,137r,-5l,12xm24,132l12,120r120,l120,132r,-120l132,24,12,24,24,12r,120xe" fillcolor="black" strokeweight="0">
                  <v:path arrowok="t" o:connecttype="custom" o:connectlocs="0,7620;0,4445;1905,1270;5080,0;7620,0;83820,0;86995,0;90170,1270;91440,4445;91440,7620;91440,83820;91440,86995;90170,89535;86995,91440;83820,91440;7620,91440;5080,91440;1905,89535;0,86995;0,83820;0,7620;15240,83820;7620,76200;83820,76200;76200,83820;76200,7620;83820,15240;7620,15240;15240,7620;15240,83820" o:connectangles="0,0,0,0,0,0,0,0,0,0,0,0,0,0,0,0,0,0,0,0,0,0,0,0,0,0,0,0,0,0"/>
                  <o:lock v:ext="edit" verticies="t"/>
                </v:shape>
                <v:rect id="Rectangle 22" o:spid="_x0000_s1045" style="position:absolute;left:20796;top:5753;width:516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Smith 3</w:t>
                        </w:r>
                      </w:p>
                    </w:txbxContent>
                  </v:textbox>
                </v:rect>
                <v:shape id="Freeform 23" o:spid="_x0000_s1046" style="position:absolute;left:27330;top:6165;width:933;height:927;visibility:visible;mso-wrap-style:square;v-text-anchor:top" coordsize="14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OsEA&#10;AADbAAAADwAAAGRycy9kb3ducmV2LnhtbESPQYvCMBSE7wv7H8IT9ramKohUo+iiuHhTq14fzbMt&#10;bV5KErX77zeC4HGYmW+Y2aIzjbiT85VlBYN+AoI4t7riQkF23HxPQPiArLGxTAr+yMNi/vkxw1Tb&#10;B+/pfgiFiBD2KSooQ2hTKX1ekkHfty1x9K7WGQxRukJqh48IN40cJslYGqw4LpTY0k9JeX24GQVr&#10;tx3Z1e7MNFhql9X1abu/bJT66nXLKYhAXXiHX+1frWA4gue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1cjrBAAAA2wAAAA8AAAAAAAAAAAAAAAAAmAIAAGRycy9kb3du&#10;cmV2LnhtbFBLBQYAAAAABAAEAPUAAACGAwAAAAA=&#10;" path="m,12l,7,3,2,8,r4,l135,r2,l142,2r3,5l147,12r,122l145,137r-3,4l137,144r-2,2l12,146,8,144,3,141,,137r,-3l,12xm24,134l12,122r123,l123,134r,-122l135,24,12,24,24,12r,122xe" fillcolor="black" strokeweight="6e-5mm">
                  <v:path arrowok="t" o:connecttype="custom" o:connectlocs="0,7620;0,4445;1905,1270;5080,0;7620,0;85725,0;86995,0;90170,1270;92075,4445;93345,7620;93345,85090;92075,86995;90170,89535;86995,91440;85725,92710;7620,92710;5080,91440;1905,89535;0,86995;0,85090;0,7620;15240,85090;7620,77470;85725,77470;78105,85090;78105,7620;85725,15240;7620,15240;15240,7620;15240,85090" o:connectangles="0,0,0,0,0,0,0,0,0,0,0,0,0,0,0,0,0,0,0,0,0,0,0,0,0,0,0,0,0,0"/>
                  <o:lock v:ext="edit" verticies="t"/>
                </v:shape>
                <v:rect id="Rectangle 24" o:spid="_x0000_s1047" style="position:absolute;left:28524;top:5753;width:720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Central AL</w:t>
                        </w:r>
                      </w:p>
                    </w:txbxContent>
                  </v:textbox>
                </v:rect>
                <v:shape id="Freeform 25" o:spid="_x0000_s1048" style="position:absolute;left:-76;top:1676;width:55035;height:32125;visibility:visible;mso-wrap-style:square;v-text-anchor:top" coordsize="8667,5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vmsYA&#10;AADbAAAADwAAAGRycy9kb3ducmV2LnhtbESPW2sCMRSE3wv9D+EIfSmauLReVqNIi1D6IHhBXw+b&#10;42Zxc7LdpLr9902h4OMwM98w82XnanGlNlSeNQwHCgRx4U3FpYbDft2fgAgR2WDtmTT8UIDl4vFh&#10;jrnxN97SdRdLkSAcctRgY2xyKUNhyWEY+IY4eWffOoxJtqU0Ld4S3NUyU2okHVacFiw29GapuOy+&#10;nQZln8fvajs9fa39JhSfw+PLqsu0fup1qxmISF28h//bH0ZD9gp/X9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9vmsYAAADbAAAADwAAAAAAAAAAAAAAAACYAgAAZHJz&#10;L2Rvd25yZXYueG1sUEsFBgAAAAAEAAQA9QAAAIsDAAAAAA==&#10;" path="m,12l2,7,5,2,7,r5,l8655,r4,l8662,2r2,5l8667,12r,5035l8664,5051r-2,3l8659,5056r-4,3l12,5059r-5,-3l5,5054r-3,-3l,5047,,12xm24,5047l12,5035r8643,l8640,5047r,-5035l8655,24,12,24,24,12r,5035xe" fillcolor="black" strokeweight="0">
                  <v:path arrowok="t" o:connecttype="custom" o:connectlocs="0,7620;1270,4445;3175,1270;4445,0;7620,0;5495925,0;5498465,0;5500370,1270;5501640,4445;5503545,7620;5503545,3204845;5501640,3207385;5500370,3209290;5498465,3210560;5495925,3212465;7620,3212465;4445,3210560;3175,3209290;1270,3207385;0,3204845;0,7620;15240,3204845;7620,3197225;5495925,3197225;5486400,3204845;5486400,7620;5495925,15240;7620,15240;15240,7620;15240,3204845" o:connectangles="0,0,0,0,0,0,0,0,0,0,0,0,0,0,0,0,0,0,0,0,0,0,0,0,0,0,0,0,0,0"/>
                  <o:lock v:ext="edit" verticies="t"/>
                </v:shape>
                <v:rect id="Rectangle 26" o:spid="_x0000_s1049" style="position:absolute;left:38036;top:8509;width:5334;height:3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27" o:spid="_x0000_s1050" style="position:absolute;left:38963;top:9029;width:339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2014</w:t>
                        </w:r>
                      </w:p>
                    </w:txbxContent>
                  </v:textbox>
                </v:rect>
                <v:rect id="Rectangle 28" o:spid="_x0000_s1051" style="position:absolute;left:11512;top:15805;width:5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rect id="Rectangle 29" o:spid="_x0000_s1052" style="position:absolute;left:12471;top:16363;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0123A" w:rsidRDefault="0040123A">
                        <w:r>
                          <w:rPr>
                            <w:rFonts w:ascii="Arial" w:hAnsi="Arial" w:cs="Arial"/>
                            <w:color w:val="000000"/>
                            <w:szCs w:val="24"/>
                          </w:rPr>
                          <w:t>201</w:t>
                        </w:r>
                      </w:p>
                    </w:txbxContent>
                  </v:textbox>
                </v:rect>
                <v:rect id="Rectangle 30" o:spid="_x0000_s1053" style="position:absolute;left:15017;top:16363;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0123A" w:rsidRDefault="0040123A">
                        <w:r>
                          <w:rPr>
                            <w:rFonts w:ascii="Arial" w:hAnsi="Arial" w:cs="Arial"/>
                            <w:color w:val="000000"/>
                            <w:szCs w:val="24"/>
                          </w:rPr>
                          <w:t>2</w:t>
                        </w:r>
                      </w:p>
                    </w:txbxContent>
                  </v:textbox>
                </v:rect>
                <v:rect id="Rectangle 31" o:spid="_x0000_s1054" style="position:absolute;left:15855;top:16363;width:3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40123A" w:rsidRDefault="0040123A">
                        <w:r>
                          <w:rPr>
                            <w:color w:val="000000"/>
                            <w:szCs w:val="24"/>
                          </w:rPr>
                          <w:t xml:space="preserve"> </w:t>
                        </w:r>
                      </w:p>
                    </w:txbxContent>
                  </v:textbox>
                </v:rect>
                <w10:anchorlock/>
              </v:group>
            </w:pict>
          </mc:Fallback>
        </mc:AlternateContent>
      </w:r>
    </w:p>
    <w:p w:rsidR="008F5994" w:rsidRDefault="008F5994" w:rsidP="00310EED">
      <w:pPr>
        <w:rPr>
          <w:rFonts w:ascii="Arial" w:hAnsi="Arial"/>
        </w:rPr>
      </w:pPr>
    </w:p>
    <w:p w:rsidR="008F5994" w:rsidRDefault="008F5994" w:rsidP="00310EED">
      <w:pPr>
        <w:rPr>
          <w:rFonts w:ascii="Arial" w:hAnsi="Arial"/>
        </w:rPr>
      </w:pPr>
    </w:p>
    <w:p w:rsidR="002539FD" w:rsidRPr="00E841E2" w:rsidRDefault="008F5994" w:rsidP="002539FD">
      <w:pPr>
        <w:jc w:val="center"/>
        <w:rPr>
          <w:rFonts w:ascii="Arial" w:hAnsi="Arial" w:cs="Arial"/>
        </w:rPr>
      </w:pPr>
      <w:r w:rsidRPr="00E841E2">
        <w:rPr>
          <w:rFonts w:ascii="Arial" w:hAnsi="Arial" w:cs="Arial"/>
        </w:rPr>
        <w:t xml:space="preserve">Gas Value, </w:t>
      </w:r>
      <w:r w:rsidR="002539FD" w:rsidRPr="00E841E2">
        <w:rPr>
          <w:rFonts w:ascii="Arial" w:hAnsi="Arial" w:cs="Arial"/>
        </w:rPr>
        <w:t>Volume and Commodity Comparison</w:t>
      </w:r>
    </w:p>
    <w:p w:rsidR="002539FD" w:rsidRPr="00D869BB" w:rsidRDefault="002539FD" w:rsidP="00053AB2">
      <w:pPr>
        <w:pBdr>
          <w:between w:val="single" w:sz="12" w:space="1" w:color="auto"/>
          <w:bar w:val="single" w:sz="12" w:color="auto"/>
        </w:pBdr>
        <w:rPr>
          <w:rFonts w:ascii="Arial" w:hAnsi="Arial" w:cs="Arial"/>
        </w:rPr>
      </w:pPr>
    </w:p>
    <w:tbl>
      <w:tblPr>
        <w:tblStyle w:val="TableGrid"/>
        <w:tblW w:w="9828" w:type="dxa"/>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170"/>
        <w:gridCol w:w="1080"/>
        <w:gridCol w:w="1440"/>
        <w:gridCol w:w="1530"/>
        <w:gridCol w:w="1260"/>
        <w:gridCol w:w="1787"/>
      </w:tblGrid>
      <w:tr w:rsidR="00D869BB" w:rsidRPr="00E841E2" w:rsidTr="00DD652A">
        <w:tc>
          <w:tcPr>
            <w:tcW w:w="5251" w:type="dxa"/>
            <w:gridSpan w:val="4"/>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053AB2">
            <w:pPr>
              <w:pBdr>
                <w:between w:val="single" w:sz="12" w:space="1" w:color="auto"/>
                <w:bar w:val="single" w:sz="12" w:color="auto"/>
              </w:pBdr>
              <w:jc w:val="center"/>
              <w:rPr>
                <w:rFonts w:ascii="Arial" w:hAnsi="Arial" w:cs="Arial"/>
              </w:rPr>
            </w:pPr>
            <w:r w:rsidRPr="00E841E2">
              <w:rPr>
                <w:rFonts w:ascii="Arial" w:hAnsi="Arial" w:cs="Arial"/>
              </w:rPr>
              <w:t>2012</w:t>
            </w:r>
          </w:p>
        </w:tc>
        <w:tc>
          <w:tcPr>
            <w:tcW w:w="4577" w:type="dxa"/>
            <w:gridSpan w:val="3"/>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053AB2">
            <w:pPr>
              <w:pBdr>
                <w:between w:val="single" w:sz="12" w:space="1" w:color="auto"/>
                <w:bar w:val="single" w:sz="12" w:color="auto"/>
              </w:pBdr>
              <w:jc w:val="center"/>
              <w:rPr>
                <w:rFonts w:ascii="Arial" w:hAnsi="Arial" w:cs="Arial"/>
              </w:rPr>
            </w:pPr>
            <w:r w:rsidRPr="00E841E2">
              <w:rPr>
                <w:rFonts w:ascii="Arial" w:hAnsi="Arial" w:cs="Arial"/>
              </w:rPr>
              <w:t>2014</w:t>
            </w:r>
          </w:p>
        </w:tc>
      </w:tr>
      <w:tr w:rsidR="00D869BB" w:rsidRPr="00E841E2" w:rsidTr="00347AF4">
        <w:tc>
          <w:tcPr>
            <w:tcW w:w="1561"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Facility</w:t>
            </w:r>
            <w:r>
              <w:rPr>
                <w:rFonts w:ascii="Arial" w:hAnsi="Arial" w:cs="Arial"/>
              </w:rPr>
              <w:t xml:space="preserve"> </w:t>
            </w:r>
          </w:p>
        </w:tc>
        <w:tc>
          <w:tcPr>
            <w:tcW w:w="117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Volume</w:t>
            </w:r>
            <w:r>
              <w:rPr>
                <w:rFonts w:ascii="Arial" w:hAnsi="Arial" w:cs="Arial"/>
              </w:rPr>
              <w:t xml:space="preserve"> </w:t>
            </w:r>
            <w:r w:rsidR="002539FD" w:rsidRPr="00E841E2">
              <w:rPr>
                <w:rFonts w:ascii="Arial" w:hAnsi="Arial" w:cs="Arial"/>
              </w:rPr>
              <w:t xml:space="preserve"> </w:t>
            </w:r>
            <w:r>
              <w:rPr>
                <w:rFonts w:ascii="Arial" w:hAnsi="Arial" w:cs="Arial"/>
              </w:rPr>
              <w:t xml:space="preserve"> </w:t>
            </w:r>
            <w:proofErr w:type="spellStart"/>
            <w:r w:rsidR="00D869BB" w:rsidRPr="00E841E2">
              <w:rPr>
                <w:rFonts w:ascii="Arial" w:hAnsi="Arial" w:cs="Arial"/>
              </w:rPr>
              <w:t>Mcf</w:t>
            </w:r>
            <w:proofErr w:type="spellEnd"/>
            <w:r>
              <w:rPr>
                <w:rFonts w:ascii="Arial" w:hAnsi="Arial" w:cs="Arial"/>
              </w:rPr>
              <w:t xml:space="preserve"> </w:t>
            </w:r>
          </w:p>
        </w:tc>
        <w:tc>
          <w:tcPr>
            <w:tcW w:w="108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Price</w:t>
            </w:r>
            <w:r>
              <w:rPr>
                <w:rFonts w:ascii="Arial" w:hAnsi="Arial" w:cs="Arial"/>
              </w:rPr>
              <w:t xml:space="preserve"> </w:t>
            </w:r>
            <w:r w:rsidR="00D869BB" w:rsidRPr="00E841E2">
              <w:rPr>
                <w:rFonts w:ascii="Arial" w:hAnsi="Arial" w:cs="Arial"/>
              </w:rPr>
              <w:t xml:space="preserve"> </w:t>
            </w:r>
            <w:r>
              <w:rPr>
                <w:rFonts w:ascii="Arial" w:hAnsi="Arial" w:cs="Arial"/>
              </w:rPr>
              <w:t xml:space="preserve"> </w:t>
            </w:r>
            <w:r w:rsidR="00D869BB" w:rsidRPr="00E841E2">
              <w:rPr>
                <w:rFonts w:ascii="Arial" w:hAnsi="Arial" w:cs="Arial"/>
              </w:rPr>
              <w:t xml:space="preserve">Per </w:t>
            </w:r>
            <w:proofErr w:type="spellStart"/>
            <w:r w:rsidR="00D869BB" w:rsidRPr="00E841E2">
              <w:rPr>
                <w:rFonts w:ascii="Arial" w:hAnsi="Arial" w:cs="Arial"/>
              </w:rPr>
              <w:t>Mcf</w:t>
            </w:r>
            <w:proofErr w:type="spellEnd"/>
            <w:r>
              <w:rPr>
                <w:rFonts w:ascii="Arial" w:hAnsi="Arial" w:cs="Arial"/>
              </w:rPr>
              <w:t xml:space="preserve"> </w:t>
            </w:r>
          </w:p>
        </w:tc>
        <w:tc>
          <w:tcPr>
            <w:tcW w:w="144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 xml:space="preserve">Total </w:t>
            </w:r>
            <w:r>
              <w:rPr>
                <w:rFonts w:ascii="Arial" w:hAnsi="Arial" w:cs="Arial"/>
              </w:rPr>
              <w:t xml:space="preserve"> </w:t>
            </w:r>
            <w:r w:rsidR="002539FD" w:rsidRPr="00E841E2">
              <w:rPr>
                <w:rFonts w:ascii="Arial" w:hAnsi="Arial" w:cs="Arial"/>
              </w:rPr>
              <w:t>Value</w:t>
            </w:r>
          </w:p>
        </w:tc>
        <w:tc>
          <w:tcPr>
            <w:tcW w:w="153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Volume</w:t>
            </w:r>
            <w:r w:rsidR="00D869BB" w:rsidRPr="00E841E2">
              <w:rPr>
                <w:rFonts w:ascii="Arial" w:hAnsi="Arial" w:cs="Arial"/>
              </w:rPr>
              <w:t xml:space="preserve"> </w:t>
            </w:r>
            <w:r>
              <w:rPr>
                <w:rFonts w:ascii="Arial" w:hAnsi="Arial" w:cs="Arial"/>
              </w:rPr>
              <w:t xml:space="preserve"> </w:t>
            </w:r>
            <w:proofErr w:type="spellStart"/>
            <w:r w:rsidR="00D869BB" w:rsidRPr="00E841E2">
              <w:rPr>
                <w:rFonts w:ascii="Arial" w:hAnsi="Arial" w:cs="Arial"/>
              </w:rPr>
              <w:t>Mcf</w:t>
            </w:r>
            <w:proofErr w:type="spellEnd"/>
          </w:p>
        </w:tc>
        <w:tc>
          <w:tcPr>
            <w:tcW w:w="126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BD5774">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Price</w:t>
            </w:r>
            <w:r w:rsidR="00BD5774">
              <w:rPr>
                <w:rFonts w:ascii="Arial" w:hAnsi="Arial" w:cs="Arial"/>
              </w:rPr>
              <w:br/>
            </w:r>
            <w:r w:rsidR="00D869BB" w:rsidRPr="00E841E2">
              <w:rPr>
                <w:rFonts w:ascii="Arial" w:hAnsi="Arial" w:cs="Arial"/>
              </w:rPr>
              <w:t xml:space="preserve"> Per</w:t>
            </w:r>
            <w:r>
              <w:rPr>
                <w:rFonts w:ascii="Arial" w:hAnsi="Arial" w:cs="Arial"/>
              </w:rPr>
              <w:t xml:space="preserve"> </w:t>
            </w:r>
            <w:proofErr w:type="spellStart"/>
            <w:r w:rsidR="00D869BB" w:rsidRPr="00E841E2">
              <w:rPr>
                <w:rFonts w:ascii="Arial" w:hAnsi="Arial" w:cs="Arial"/>
              </w:rPr>
              <w:t>Mcf</w:t>
            </w:r>
            <w:proofErr w:type="spellEnd"/>
            <w:r w:rsidR="00BD5774">
              <w:rPr>
                <w:rFonts w:ascii="Arial" w:hAnsi="Arial" w:cs="Arial"/>
              </w:rPr>
              <w:t xml:space="preserve"> </w:t>
            </w:r>
          </w:p>
        </w:tc>
        <w:tc>
          <w:tcPr>
            <w:tcW w:w="1787"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053AB2">
            <w:pPr>
              <w:pBdr>
                <w:between w:val="single" w:sz="12" w:space="1" w:color="auto"/>
                <w:bar w:val="single" w:sz="12" w:color="auto"/>
              </w:pBdr>
              <w:jc w:val="center"/>
              <w:rPr>
                <w:rFonts w:ascii="Arial" w:hAnsi="Arial" w:cs="Arial"/>
              </w:rPr>
            </w:pPr>
            <w:r>
              <w:rPr>
                <w:rFonts w:ascii="Arial" w:hAnsi="Arial" w:cs="Arial"/>
              </w:rPr>
              <w:t xml:space="preserve"> </w:t>
            </w:r>
            <w:r w:rsidR="002539FD" w:rsidRPr="00E841E2">
              <w:rPr>
                <w:rFonts w:ascii="Arial" w:hAnsi="Arial" w:cs="Arial"/>
              </w:rPr>
              <w:t>Total</w:t>
            </w:r>
            <w:r w:rsidR="00BD5774">
              <w:rPr>
                <w:rFonts w:ascii="Arial" w:hAnsi="Arial" w:cs="Arial"/>
              </w:rPr>
              <w:br/>
            </w:r>
            <w:r w:rsidR="002539FD" w:rsidRPr="00E841E2">
              <w:rPr>
                <w:rFonts w:ascii="Arial" w:hAnsi="Arial" w:cs="Arial"/>
              </w:rPr>
              <w:t xml:space="preserve"> Value</w:t>
            </w:r>
            <w:r>
              <w:rPr>
                <w:rFonts w:ascii="Arial" w:hAnsi="Arial" w:cs="Arial"/>
              </w:rPr>
              <w:t xml:space="preserve"> </w:t>
            </w:r>
          </w:p>
        </w:tc>
      </w:tr>
      <w:tr w:rsidR="00D869BB" w:rsidRPr="00E841E2" w:rsidTr="00347AF4">
        <w:tc>
          <w:tcPr>
            <w:tcW w:w="1561" w:type="dxa"/>
            <w:tcBorders>
              <w:top w:val="single" w:sz="12" w:space="0" w:color="auto"/>
              <w:left w:val="single" w:sz="12" w:space="0" w:color="auto"/>
              <w:bottom w:val="single" w:sz="4" w:space="0" w:color="auto"/>
              <w:right w:val="single" w:sz="12" w:space="0" w:color="auto"/>
            </w:tcBorders>
            <w:tcMar>
              <w:top w:w="86" w:type="dxa"/>
              <w:left w:w="86" w:type="dxa"/>
              <w:bottom w:w="86" w:type="dxa"/>
              <w:right w:w="86" w:type="dxa"/>
            </w:tcMar>
          </w:tcPr>
          <w:p w:rsidR="002539FD" w:rsidRPr="00E841E2" w:rsidRDefault="00085D0E" w:rsidP="00AF36C5">
            <w:pPr>
              <w:rPr>
                <w:rFonts w:ascii="Arial" w:hAnsi="Arial" w:cs="Arial"/>
              </w:rPr>
            </w:pPr>
            <w:r>
              <w:rPr>
                <w:rFonts w:ascii="Arial" w:hAnsi="Arial" w:cs="Arial"/>
              </w:rPr>
              <w:t xml:space="preserve"> </w:t>
            </w:r>
            <w:r w:rsidR="002539FD" w:rsidRPr="00E841E2">
              <w:rPr>
                <w:rFonts w:ascii="Arial" w:hAnsi="Arial" w:cs="Arial"/>
              </w:rPr>
              <w:t>Smith 3</w:t>
            </w:r>
            <w:r>
              <w:rPr>
                <w:rFonts w:ascii="Arial" w:hAnsi="Arial" w:cs="Arial"/>
              </w:rPr>
              <w:t xml:space="preserve"> </w:t>
            </w:r>
          </w:p>
        </w:tc>
        <w:tc>
          <w:tcPr>
            <w:tcW w:w="117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835,702</w:t>
            </w:r>
            <w:r>
              <w:rPr>
                <w:rFonts w:ascii="Arial" w:hAnsi="Arial" w:cs="Arial"/>
              </w:rPr>
              <w:t xml:space="preserve"> </w:t>
            </w:r>
            <w:r w:rsidR="002539FD" w:rsidRPr="00E841E2">
              <w:rPr>
                <w:rFonts w:ascii="Arial" w:hAnsi="Arial" w:cs="Arial"/>
              </w:rPr>
              <w:t xml:space="preserve"> </w:t>
            </w:r>
          </w:p>
        </w:tc>
        <w:tc>
          <w:tcPr>
            <w:tcW w:w="108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$5.15</w:t>
            </w:r>
            <w:r>
              <w:rPr>
                <w:rFonts w:ascii="Arial" w:hAnsi="Arial" w:cs="Arial"/>
              </w:rPr>
              <w:t xml:space="preserve"> </w:t>
            </w:r>
          </w:p>
        </w:tc>
        <w:tc>
          <w:tcPr>
            <w:tcW w:w="144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085D0E">
            <w:pPr>
              <w:jc w:val="center"/>
              <w:rPr>
                <w:rFonts w:ascii="Arial" w:hAnsi="Arial" w:cs="Arial"/>
              </w:rPr>
            </w:pPr>
            <w:r w:rsidRPr="00E841E2">
              <w:rPr>
                <w:rFonts w:ascii="Arial" w:hAnsi="Arial" w:cs="Arial"/>
              </w:rPr>
              <w:t>$4,300,000</w:t>
            </w:r>
          </w:p>
        </w:tc>
        <w:tc>
          <w:tcPr>
            <w:tcW w:w="153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811,361</w:t>
            </w:r>
            <w:r>
              <w:rPr>
                <w:rFonts w:ascii="Arial" w:hAnsi="Arial" w:cs="Arial"/>
              </w:rPr>
              <w:t xml:space="preserve"> </w:t>
            </w:r>
            <w:r w:rsidR="002539FD" w:rsidRPr="00E841E2">
              <w:rPr>
                <w:rFonts w:ascii="Arial" w:hAnsi="Arial" w:cs="Arial"/>
              </w:rPr>
              <w:t xml:space="preserve"> </w:t>
            </w:r>
          </w:p>
        </w:tc>
        <w:tc>
          <w:tcPr>
            <w:tcW w:w="126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 xml:space="preserve">$4.45 </w:t>
            </w:r>
            <w:r>
              <w:rPr>
                <w:rFonts w:ascii="Arial" w:hAnsi="Arial" w:cs="Arial"/>
              </w:rPr>
              <w:t xml:space="preserve"> </w:t>
            </w:r>
          </w:p>
        </w:tc>
        <w:tc>
          <w:tcPr>
            <w:tcW w:w="1787"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pPr>
              <w:jc w:val="center"/>
              <w:rPr>
                <w:rFonts w:ascii="Arial" w:hAnsi="Arial" w:cs="Arial"/>
              </w:rPr>
            </w:pPr>
            <w:r>
              <w:rPr>
                <w:rFonts w:ascii="Arial" w:hAnsi="Arial" w:cs="Arial"/>
              </w:rPr>
              <w:t xml:space="preserve"> </w:t>
            </w:r>
            <w:r w:rsidR="00393D46">
              <w:rPr>
                <w:rFonts w:ascii="Arial" w:hAnsi="Arial" w:cs="Arial"/>
              </w:rPr>
              <w:t>$3,61</w:t>
            </w:r>
            <w:r w:rsidR="0040123A">
              <w:rPr>
                <w:rFonts w:ascii="Arial" w:hAnsi="Arial" w:cs="Arial"/>
              </w:rPr>
              <w:t>2</w:t>
            </w:r>
            <w:r w:rsidR="002539FD" w:rsidRPr="00E841E2">
              <w:rPr>
                <w:rFonts w:ascii="Arial" w:hAnsi="Arial" w:cs="Arial"/>
              </w:rPr>
              <w:t>,000</w:t>
            </w:r>
            <w:r>
              <w:rPr>
                <w:rFonts w:ascii="Arial" w:hAnsi="Arial" w:cs="Arial"/>
              </w:rPr>
              <w:t xml:space="preserve"> </w:t>
            </w:r>
          </w:p>
        </w:tc>
      </w:tr>
      <w:tr w:rsidR="00D869BB" w:rsidRPr="00E841E2" w:rsidTr="00347AF4">
        <w:tc>
          <w:tcPr>
            <w:tcW w:w="1561" w:type="dxa"/>
            <w:tcBorders>
              <w:top w:val="single" w:sz="4"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AF36C5">
            <w:pPr>
              <w:rPr>
                <w:rFonts w:ascii="Arial" w:hAnsi="Arial" w:cs="Arial"/>
              </w:rPr>
            </w:pPr>
            <w:r>
              <w:rPr>
                <w:rFonts w:ascii="Arial" w:hAnsi="Arial" w:cs="Arial"/>
              </w:rPr>
              <w:t xml:space="preserve"> </w:t>
            </w:r>
            <w:r w:rsidR="002539FD" w:rsidRPr="00E841E2">
              <w:rPr>
                <w:rFonts w:ascii="Arial" w:hAnsi="Arial" w:cs="Arial"/>
              </w:rPr>
              <w:t>Central AL</w:t>
            </w:r>
            <w:r>
              <w:rPr>
                <w:rFonts w:ascii="Arial" w:hAnsi="Arial" w:cs="Arial"/>
              </w:rPr>
              <w:t xml:space="preserve"> </w:t>
            </w:r>
          </w:p>
        </w:tc>
        <w:tc>
          <w:tcPr>
            <w:tcW w:w="117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AF36C5">
            <w:pPr>
              <w:jc w:val="center"/>
              <w:rPr>
                <w:rFonts w:ascii="Arial" w:hAnsi="Arial" w:cs="Arial"/>
              </w:rPr>
            </w:pPr>
            <w:r>
              <w:rPr>
                <w:rFonts w:ascii="Arial" w:hAnsi="Arial" w:cs="Arial"/>
              </w:rPr>
              <w:t xml:space="preserve"> </w:t>
            </w:r>
            <w:r w:rsidR="002539FD" w:rsidRPr="00E841E2">
              <w:rPr>
                <w:rFonts w:ascii="Arial" w:hAnsi="Arial" w:cs="Arial"/>
              </w:rPr>
              <w:t>0</w:t>
            </w:r>
            <w:r>
              <w:rPr>
                <w:rFonts w:ascii="Arial" w:hAnsi="Arial" w:cs="Arial"/>
              </w:rPr>
              <w:t xml:space="preserve"> </w:t>
            </w:r>
          </w:p>
        </w:tc>
        <w:tc>
          <w:tcPr>
            <w:tcW w:w="108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AF36C5">
            <w:pPr>
              <w:jc w:val="center"/>
              <w:rPr>
                <w:rFonts w:ascii="Arial" w:hAnsi="Arial" w:cs="Arial"/>
              </w:rPr>
            </w:pPr>
            <w:r>
              <w:rPr>
                <w:rFonts w:ascii="Arial" w:hAnsi="Arial" w:cs="Arial"/>
              </w:rPr>
              <w:t xml:space="preserve"> </w:t>
            </w:r>
            <w:r w:rsidR="002539FD" w:rsidRPr="00E841E2">
              <w:rPr>
                <w:rFonts w:ascii="Arial" w:hAnsi="Arial" w:cs="Arial"/>
              </w:rPr>
              <w:t>0</w:t>
            </w:r>
            <w:r>
              <w:rPr>
                <w:rFonts w:ascii="Arial" w:hAnsi="Arial" w:cs="Arial"/>
              </w:rPr>
              <w:t xml:space="preserve"> </w:t>
            </w:r>
          </w:p>
        </w:tc>
        <w:tc>
          <w:tcPr>
            <w:tcW w:w="144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AF36C5">
            <w:pPr>
              <w:jc w:val="center"/>
              <w:rPr>
                <w:rFonts w:ascii="Arial" w:hAnsi="Arial" w:cs="Arial"/>
              </w:rPr>
            </w:pPr>
            <w:r w:rsidRPr="00E841E2">
              <w:rPr>
                <w:rFonts w:ascii="Arial" w:hAnsi="Arial" w:cs="Arial"/>
              </w:rPr>
              <w:t>0</w:t>
            </w:r>
          </w:p>
        </w:tc>
        <w:tc>
          <w:tcPr>
            <w:tcW w:w="153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 xml:space="preserve">808,252 </w:t>
            </w:r>
            <w:r>
              <w:rPr>
                <w:rFonts w:ascii="Arial" w:hAnsi="Arial" w:cs="Arial"/>
              </w:rPr>
              <w:t xml:space="preserve"> </w:t>
            </w:r>
          </w:p>
        </w:tc>
        <w:tc>
          <w:tcPr>
            <w:tcW w:w="126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 xml:space="preserve">$4.45 </w:t>
            </w:r>
            <w:r>
              <w:rPr>
                <w:rFonts w:ascii="Arial" w:hAnsi="Arial" w:cs="Arial"/>
              </w:rPr>
              <w:t xml:space="preserve"> </w:t>
            </w:r>
          </w:p>
        </w:tc>
        <w:tc>
          <w:tcPr>
            <w:tcW w:w="1787"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AF36C5">
            <w:pPr>
              <w:jc w:val="center"/>
              <w:rPr>
                <w:rFonts w:ascii="Arial" w:hAnsi="Arial" w:cs="Arial"/>
              </w:rPr>
            </w:pPr>
            <w:r>
              <w:rPr>
                <w:rFonts w:ascii="Arial" w:hAnsi="Arial" w:cs="Arial"/>
              </w:rPr>
              <w:t xml:space="preserve"> </w:t>
            </w:r>
            <w:r w:rsidR="002539FD" w:rsidRPr="00E841E2">
              <w:rPr>
                <w:rFonts w:ascii="Arial" w:hAnsi="Arial" w:cs="Arial"/>
              </w:rPr>
              <w:t>$3,598,000</w:t>
            </w:r>
            <w:r>
              <w:rPr>
                <w:rFonts w:ascii="Arial" w:hAnsi="Arial" w:cs="Arial"/>
              </w:rPr>
              <w:t xml:space="preserve"> </w:t>
            </w:r>
          </w:p>
        </w:tc>
      </w:tr>
      <w:tr w:rsidR="00D869BB" w:rsidRPr="00E841E2" w:rsidTr="00DD652A">
        <w:tc>
          <w:tcPr>
            <w:tcW w:w="1561"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AF36C5">
            <w:pPr>
              <w:rPr>
                <w:rFonts w:ascii="Arial" w:hAnsi="Arial" w:cs="Arial"/>
              </w:rPr>
            </w:pPr>
            <w:r w:rsidRPr="00E841E2">
              <w:rPr>
                <w:rFonts w:ascii="Arial" w:hAnsi="Arial" w:cs="Arial"/>
              </w:rPr>
              <w:t>Totals</w:t>
            </w:r>
          </w:p>
        </w:tc>
        <w:tc>
          <w:tcPr>
            <w:tcW w:w="117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835,702</w:t>
            </w:r>
            <w:r>
              <w:rPr>
                <w:rFonts w:ascii="Arial" w:hAnsi="Arial" w:cs="Arial"/>
              </w:rPr>
              <w:t xml:space="preserve"> </w:t>
            </w:r>
            <w:r w:rsidR="002539FD" w:rsidRPr="00E841E2">
              <w:rPr>
                <w:rFonts w:ascii="Arial" w:hAnsi="Arial" w:cs="Arial"/>
              </w:rPr>
              <w:t xml:space="preserve"> </w:t>
            </w:r>
          </w:p>
        </w:tc>
        <w:tc>
          <w:tcPr>
            <w:tcW w:w="108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$5.15</w:t>
            </w:r>
            <w:r>
              <w:rPr>
                <w:rFonts w:ascii="Arial" w:hAnsi="Arial" w:cs="Arial"/>
              </w:rPr>
              <w:t xml:space="preserve"> </w:t>
            </w:r>
          </w:p>
        </w:tc>
        <w:tc>
          <w:tcPr>
            <w:tcW w:w="144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2539FD" w:rsidP="00085D0E">
            <w:pPr>
              <w:jc w:val="center"/>
              <w:rPr>
                <w:rFonts w:ascii="Arial" w:hAnsi="Arial" w:cs="Arial"/>
              </w:rPr>
            </w:pPr>
            <w:r w:rsidRPr="00E841E2">
              <w:rPr>
                <w:rFonts w:ascii="Arial" w:hAnsi="Arial" w:cs="Arial"/>
              </w:rPr>
              <w:t>$4,300,000</w:t>
            </w:r>
          </w:p>
        </w:tc>
        <w:tc>
          <w:tcPr>
            <w:tcW w:w="153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1,619,613</w:t>
            </w:r>
            <w:r>
              <w:rPr>
                <w:rFonts w:ascii="Arial" w:hAnsi="Arial" w:cs="Arial"/>
              </w:rPr>
              <w:t xml:space="preserve"> </w:t>
            </w:r>
            <w:r w:rsidR="002539FD" w:rsidRPr="00E841E2">
              <w:rPr>
                <w:rFonts w:ascii="Arial" w:hAnsi="Arial" w:cs="Arial"/>
              </w:rPr>
              <w:t xml:space="preserve"> </w:t>
            </w:r>
          </w:p>
        </w:tc>
        <w:tc>
          <w:tcPr>
            <w:tcW w:w="1260"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rsidP="00D869BB">
            <w:pPr>
              <w:jc w:val="center"/>
              <w:rPr>
                <w:rFonts w:ascii="Arial" w:hAnsi="Arial" w:cs="Arial"/>
              </w:rPr>
            </w:pPr>
            <w:r>
              <w:rPr>
                <w:rFonts w:ascii="Arial" w:hAnsi="Arial" w:cs="Arial"/>
              </w:rPr>
              <w:t xml:space="preserve"> </w:t>
            </w:r>
            <w:r w:rsidR="002539FD" w:rsidRPr="00E841E2">
              <w:rPr>
                <w:rFonts w:ascii="Arial" w:hAnsi="Arial" w:cs="Arial"/>
              </w:rPr>
              <w:t xml:space="preserve">$4.45 </w:t>
            </w:r>
            <w:r>
              <w:rPr>
                <w:rFonts w:ascii="Arial" w:hAnsi="Arial" w:cs="Arial"/>
              </w:rPr>
              <w:t xml:space="preserve"> </w:t>
            </w:r>
          </w:p>
        </w:tc>
        <w:tc>
          <w:tcPr>
            <w:tcW w:w="1787" w:type="dxa"/>
            <w:tcBorders>
              <w:top w:val="single" w:sz="12" w:space="0" w:color="auto"/>
              <w:left w:val="single" w:sz="12" w:space="0" w:color="auto"/>
              <w:bottom w:val="single" w:sz="12" w:space="0" w:color="auto"/>
              <w:right w:val="single" w:sz="12" w:space="0" w:color="auto"/>
            </w:tcBorders>
            <w:tcMar>
              <w:top w:w="86" w:type="dxa"/>
              <w:left w:w="86" w:type="dxa"/>
              <w:bottom w:w="86" w:type="dxa"/>
              <w:right w:w="86" w:type="dxa"/>
            </w:tcMar>
          </w:tcPr>
          <w:p w:rsidR="002539FD" w:rsidRPr="00E841E2" w:rsidRDefault="00085D0E">
            <w:pPr>
              <w:jc w:val="center"/>
              <w:rPr>
                <w:rFonts w:ascii="Arial" w:hAnsi="Arial" w:cs="Arial"/>
              </w:rPr>
            </w:pPr>
            <w:r>
              <w:rPr>
                <w:rFonts w:ascii="Arial" w:hAnsi="Arial" w:cs="Arial"/>
              </w:rPr>
              <w:t xml:space="preserve"> </w:t>
            </w:r>
            <w:r w:rsidR="00904CF6">
              <w:rPr>
                <w:rFonts w:ascii="Arial" w:hAnsi="Arial" w:cs="Arial"/>
              </w:rPr>
              <w:t>$7,2</w:t>
            </w:r>
            <w:r w:rsidR="0040123A">
              <w:rPr>
                <w:rFonts w:ascii="Arial" w:hAnsi="Arial" w:cs="Arial"/>
              </w:rPr>
              <w:t>10</w:t>
            </w:r>
            <w:r w:rsidR="002539FD" w:rsidRPr="00E841E2">
              <w:rPr>
                <w:rFonts w:ascii="Arial" w:hAnsi="Arial" w:cs="Arial"/>
              </w:rPr>
              <w:t>,000</w:t>
            </w:r>
            <w:r>
              <w:rPr>
                <w:rFonts w:ascii="Arial" w:hAnsi="Arial" w:cs="Arial"/>
              </w:rPr>
              <w:t xml:space="preserve"> </w:t>
            </w:r>
          </w:p>
        </w:tc>
      </w:tr>
    </w:tbl>
    <w:p w:rsidR="002539FD" w:rsidRPr="00E841E2" w:rsidRDefault="002539FD" w:rsidP="00310EED">
      <w:pPr>
        <w:rPr>
          <w:rFonts w:ascii="Arial" w:hAnsi="Arial"/>
        </w:rPr>
      </w:pPr>
    </w:p>
    <w:sectPr w:rsidR="002539FD" w:rsidRPr="00E841E2" w:rsidSect="00134113">
      <w:headerReference w:type="first" r:id="rId32"/>
      <w:pgSz w:w="12240" w:h="15840" w:code="1"/>
      <w:pgMar w:top="1570" w:right="1440" w:bottom="1800" w:left="198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E6C" w:rsidRDefault="00620E6C" w:rsidP="00310EED">
      <w:r>
        <w:separator/>
      </w:r>
    </w:p>
  </w:endnote>
  <w:endnote w:type="continuationSeparator" w:id="0">
    <w:p w:rsidR="00620E6C" w:rsidRDefault="00620E6C" w:rsidP="0031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23" w:rsidRDefault="00842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pStyle w:val="Footer"/>
      <w:tabs>
        <w:tab w:val="clear" w:pos="4680"/>
        <w:tab w:val="clear" w:pos="9360"/>
        <w:tab w:val="center" w:pos="3960"/>
        <w:tab w:val="right" w:pos="8820"/>
      </w:tabs>
      <w:rPr>
        <w:rStyle w:val="PageNumber"/>
        <w:rFonts w:ascii="Arial" w:hAnsi="Arial" w:cs="Arial"/>
        <w:szCs w:val="24"/>
      </w:rPr>
    </w:pPr>
    <w:r w:rsidRPr="00F729CB">
      <w:rPr>
        <w:rFonts w:ascii="Arial" w:hAnsi="Arial" w:cs="Arial"/>
        <w:szCs w:val="24"/>
      </w:rPr>
      <w:t>Docket No. 130140-EI</w:t>
    </w:r>
    <w:r w:rsidRPr="00F729CB">
      <w:rPr>
        <w:rFonts w:ascii="Arial" w:hAnsi="Arial" w:cs="Arial"/>
        <w:szCs w:val="24"/>
      </w:rPr>
      <w:tab/>
      <w:t xml:space="preserve">Page </w:t>
    </w:r>
    <w:r w:rsidRPr="00F729CB">
      <w:rPr>
        <w:rStyle w:val="PageNumber"/>
        <w:rFonts w:ascii="Arial" w:hAnsi="Arial" w:cs="Arial"/>
        <w:szCs w:val="24"/>
      </w:rPr>
      <w:fldChar w:fldCharType="begin"/>
    </w:r>
    <w:r w:rsidRPr="00F729CB">
      <w:rPr>
        <w:rStyle w:val="PageNumber"/>
        <w:rFonts w:ascii="Arial" w:hAnsi="Arial" w:cs="Arial"/>
        <w:szCs w:val="24"/>
      </w:rPr>
      <w:instrText xml:space="preserve"> PAGE </w:instrText>
    </w:r>
    <w:r w:rsidRPr="00F729CB">
      <w:rPr>
        <w:rStyle w:val="PageNumber"/>
        <w:rFonts w:ascii="Arial" w:hAnsi="Arial" w:cs="Arial"/>
        <w:szCs w:val="24"/>
      </w:rPr>
      <w:fldChar w:fldCharType="separate"/>
    </w:r>
    <w:r w:rsidR="00B721B2">
      <w:rPr>
        <w:rStyle w:val="PageNumber"/>
        <w:rFonts w:ascii="Arial" w:hAnsi="Arial" w:cs="Arial"/>
        <w:noProof/>
        <w:szCs w:val="24"/>
      </w:rPr>
      <w:t>3</w:t>
    </w:r>
    <w:r w:rsidRPr="00F729CB">
      <w:rPr>
        <w:rStyle w:val="PageNumber"/>
        <w:rFonts w:ascii="Arial" w:hAnsi="Arial" w:cs="Arial"/>
        <w:szCs w:val="24"/>
      </w:rPr>
      <w:fldChar w:fldCharType="end"/>
    </w:r>
    <w:r w:rsidRPr="00F729CB">
      <w:rPr>
        <w:rStyle w:val="PageNumber"/>
        <w:rFonts w:ascii="Arial" w:hAnsi="Arial" w:cs="Arial"/>
        <w:szCs w:val="24"/>
      </w:rPr>
      <w:tab/>
      <w:t>Witness: Michael L. Burroughs</w:t>
    </w:r>
  </w:p>
  <w:p w:rsidR="00E83E11" w:rsidRPr="00134113" w:rsidRDefault="00E83E11" w:rsidP="008E3085">
    <w:pPr>
      <w:pStyle w:val="Footer"/>
      <w:tabs>
        <w:tab w:val="clear" w:pos="4680"/>
        <w:tab w:val="clear" w:pos="9360"/>
        <w:tab w:val="center" w:pos="3960"/>
        <w:tab w:val="right" w:pos="8640"/>
      </w:tabs>
      <w:rPr>
        <w:rStyle w:val="PageNumber"/>
        <w:rFonts w:ascii="Arial" w:hAnsi="Arial" w:cs="Arial"/>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0F564D">
    <w:pPr>
      <w:pStyle w:val="Foote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Pr="00F729CB" w:rsidRDefault="00D809AD" w:rsidP="00134113">
    <w:pPr>
      <w:pStyle w:val="Footer"/>
      <w:tabs>
        <w:tab w:val="clear" w:pos="4680"/>
        <w:tab w:val="clear" w:pos="9360"/>
        <w:tab w:val="center" w:pos="3960"/>
        <w:tab w:val="right" w:pos="8820"/>
      </w:tabs>
      <w:rPr>
        <w:rStyle w:val="PageNumber"/>
        <w:rFonts w:ascii="Arial" w:hAnsi="Arial" w:cs="Arial"/>
        <w:szCs w:val="24"/>
      </w:rPr>
    </w:pPr>
    <w:r w:rsidRPr="00F729CB">
      <w:rPr>
        <w:rFonts w:ascii="Arial" w:hAnsi="Arial" w:cs="Arial"/>
        <w:szCs w:val="24"/>
      </w:rPr>
      <w:t>Docket No. 130140-EI</w:t>
    </w:r>
    <w:r w:rsidRPr="00F729CB">
      <w:rPr>
        <w:rFonts w:ascii="Arial" w:hAnsi="Arial" w:cs="Arial"/>
        <w:szCs w:val="24"/>
      </w:rPr>
      <w:tab/>
      <w:t xml:space="preserve">Page </w:t>
    </w:r>
    <w:r w:rsidRPr="00F729CB">
      <w:rPr>
        <w:rStyle w:val="PageNumber"/>
        <w:rFonts w:ascii="Arial" w:hAnsi="Arial" w:cs="Arial"/>
        <w:szCs w:val="24"/>
      </w:rPr>
      <w:fldChar w:fldCharType="begin"/>
    </w:r>
    <w:r w:rsidRPr="00F729CB">
      <w:rPr>
        <w:rStyle w:val="PageNumber"/>
        <w:rFonts w:ascii="Arial" w:hAnsi="Arial" w:cs="Arial"/>
        <w:szCs w:val="24"/>
      </w:rPr>
      <w:instrText xml:space="preserve"> PAGE </w:instrText>
    </w:r>
    <w:r w:rsidRPr="00F729CB">
      <w:rPr>
        <w:rStyle w:val="PageNumber"/>
        <w:rFonts w:ascii="Arial" w:hAnsi="Arial" w:cs="Arial"/>
        <w:szCs w:val="24"/>
      </w:rPr>
      <w:fldChar w:fldCharType="separate"/>
    </w:r>
    <w:r w:rsidR="00B721B2">
      <w:rPr>
        <w:rStyle w:val="PageNumber"/>
        <w:rFonts w:ascii="Arial" w:hAnsi="Arial" w:cs="Arial"/>
        <w:noProof/>
        <w:szCs w:val="24"/>
      </w:rPr>
      <w:t>2</w:t>
    </w:r>
    <w:r w:rsidRPr="00F729CB">
      <w:rPr>
        <w:rStyle w:val="PageNumber"/>
        <w:rFonts w:ascii="Arial" w:hAnsi="Arial" w:cs="Arial"/>
        <w:szCs w:val="24"/>
      </w:rPr>
      <w:fldChar w:fldCharType="end"/>
    </w:r>
    <w:r w:rsidRPr="00F729CB">
      <w:rPr>
        <w:rStyle w:val="PageNumber"/>
        <w:rFonts w:ascii="Arial" w:hAnsi="Arial" w:cs="Arial"/>
        <w:szCs w:val="24"/>
      </w:rPr>
      <w:tab/>
      <w:t>Witness: Michael L. Burroughs</w:t>
    </w:r>
  </w:p>
  <w:p w:rsidR="00D809AD" w:rsidRPr="00134113" w:rsidRDefault="00D809AD" w:rsidP="000F564D">
    <w:pPr>
      <w:pStyle w:val="Footer"/>
      <w:spacing w:line="200" w:lineRule="exact"/>
      <w:rPr>
        <w:rFonts w:ascii="Arial" w:hAnsi="Arial" w:cs="Arial"/>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0F564D">
    <w:pPr>
      <w:pStyle w:val="Footer"/>
      <w:spacing w:line="200" w:lineRule="exact"/>
      <w:rPr>
        <w:rFonts w:ascii="Arial" w:hAnsi="Arial" w:cs="Arial"/>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0F564D">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E6C" w:rsidRDefault="00620E6C" w:rsidP="00310EED">
      <w:r>
        <w:separator/>
      </w:r>
    </w:p>
  </w:footnote>
  <w:footnote w:type="continuationSeparator" w:id="0">
    <w:p w:rsidR="00620E6C" w:rsidRDefault="00620E6C" w:rsidP="00310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23" w:rsidRDefault="00842E2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 w:val="left" w:pos="5040"/>
      </w:tabs>
      <w:ind w:left="5040"/>
      <w:rPr>
        <w:rFonts w:ascii="Arial" w:hAnsi="Arial"/>
      </w:rPr>
    </w:pPr>
    <w:r>
      <w:rPr>
        <w:rFonts w:ascii="Arial" w:hAnsi="Arial"/>
      </w:rPr>
      <w:t>Florida Public Service Commission</w:t>
    </w:r>
  </w:p>
  <w:p w:rsidR="00D809AD" w:rsidRDefault="00D809AD" w:rsidP="00134113">
    <w:pPr>
      <w:suppressLineNumbers/>
      <w:tabs>
        <w:tab w:val="left" w:pos="1440"/>
        <w:tab w:val="left" w:pos="50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 w:val="left" w:pos="5040"/>
      </w:tabs>
      <w:ind w:left="5040"/>
      <w:rPr>
        <w:rFonts w:ascii="Arial" w:hAnsi="Arial"/>
      </w:rPr>
    </w:pPr>
    <w:r>
      <w:rPr>
        <w:rFonts w:ascii="Arial" w:hAnsi="Arial"/>
      </w:rPr>
      <w:t>GULF POWER COMPANY</w:t>
    </w:r>
  </w:p>
  <w:p w:rsidR="00D809AD" w:rsidRDefault="00D809AD" w:rsidP="00134113">
    <w:pPr>
      <w:suppressLineNumbers/>
      <w:tabs>
        <w:tab w:val="left" w:pos="1440"/>
        <w:tab w:val="left" w:pos="5040"/>
      </w:tabs>
      <w:ind w:left="5040"/>
      <w:rPr>
        <w:rFonts w:ascii="Arial" w:hAnsi="Arial"/>
      </w:rPr>
    </w:pPr>
    <w:r>
      <w:rPr>
        <w:rFonts w:ascii="Arial" w:hAnsi="Arial"/>
      </w:rPr>
      <w:t>Witness: Michael L. Burroughs</w:t>
    </w:r>
  </w:p>
  <w:p w:rsidR="00D809AD" w:rsidRDefault="00D809AD" w:rsidP="00134113">
    <w:pPr>
      <w:suppressLineNumbers/>
      <w:tabs>
        <w:tab w:val="left" w:pos="1440"/>
        <w:tab w:val="left" w:pos="5040"/>
      </w:tabs>
      <w:ind w:left="5040"/>
      <w:rPr>
        <w:rFonts w:ascii="Arial" w:hAnsi="Arial"/>
      </w:rPr>
    </w:pPr>
    <w:r>
      <w:rPr>
        <w:rFonts w:ascii="Arial" w:hAnsi="Arial"/>
      </w:rPr>
      <w:t>Exhibit No. ____ (MLB-1)</w:t>
    </w:r>
  </w:p>
  <w:p w:rsidR="00D809AD" w:rsidRDefault="00D809AD" w:rsidP="00134113">
    <w:pPr>
      <w:suppressLineNumbers/>
      <w:tabs>
        <w:tab w:val="left" w:pos="1440"/>
        <w:tab w:val="left" w:pos="5040"/>
      </w:tabs>
      <w:ind w:left="5040"/>
      <w:rPr>
        <w:rFonts w:ascii="Arial" w:hAnsi="Arial"/>
      </w:rPr>
    </w:pPr>
    <w:r>
      <w:rPr>
        <w:rFonts w:ascii="Arial" w:hAnsi="Arial"/>
      </w:rPr>
      <w:t>Schedule 4</w:t>
    </w:r>
  </w:p>
  <w:p w:rsidR="00D809AD" w:rsidRDefault="00D809AD" w:rsidP="00134113">
    <w:pPr>
      <w:suppressLineNumbers/>
      <w:tabs>
        <w:tab w:val="left" w:pos="1440"/>
        <w:tab w:val="left" w:pos="5040"/>
      </w:tabs>
      <w:ind w:left="5040"/>
      <w:rPr>
        <w:rFonts w:ascii="Arial" w:hAnsi="Arial"/>
      </w:rPr>
    </w:pPr>
    <w:r>
      <w:rPr>
        <w:rFonts w:ascii="Arial" w:hAnsi="Arial"/>
      </w:rPr>
      <w:t>Page 3 of 4</w:t>
    </w:r>
  </w:p>
  <w:p w:rsidR="00D809AD" w:rsidRDefault="00D809AD" w:rsidP="00053AB2">
    <w:pPr>
      <w:suppressLineNumbers/>
      <w:tabs>
        <w:tab w:val="left" w:pos="144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 w:val="left" w:pos="5040"/>
      </w:tabs>
      <w:ind w:left="5040"/>
      <w:rPr>
        <w:rFonts w:ascii="Arial" w:hAnsi="Arial"/>
      </w:rPr>
    </w:pPr>
    <w:r>
      <w:rPr>
        <w:rFonts w:ascii="Arial" w:hAnsi="Arial"/>
      </w:rPr>
      <w:t>Florida Public Service Commission</w:t>
    </w:r>
  </w:p>
  <w:p w:rsidR="00D809AD" w:rsidRDefault="00D809AD" w:rsidP="00134113">
    <w:pPr>
      <w:suppressLineNumbers/>
      <w:tabs>
        <w:tab w:val="left" w:pos="1440"/>
        <w:tab w:val="left" w:pos="50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 w:val="left" w:pos="5040"/>
      </w:tabs>
      <w:ind w:left="5040"/>
      <w:rPr>
        <w:rFonts w:ascii="Arial" w:hAnsi="Arial"/>
      </w:rPr>
    </w:pPr>
    <w:r>
      <w:rPr>
        <w:rFonts w:ascii="Arial" w:hAnsi="Arial"/>
      </w:rPr>
      <w:t>GULF POWER COMPANY</w:t>
    </w:r>
  </w:p>
  <w:p w:rsidR="00D809AD" w:rsidRDefault="00D809AD" w:rsidP="00134113">
    <w:pPr>
      <w:suppressLineNumbers/>
      <w:tabs>
        <w:tab w:val="left" w:pos="1440"/>
        <w:tab w:val="left" w:pos="5040"/>
      </w:tabs>
      <w:ind w:left="5040"/>
      <w:rPr>
        <w:rFonts w:ascii="Arial" w:hAnsi="Arial"/>
      </w:rPr>
    </w:pPr>
    <w:r>
      <w:rPr>
        <w:rFonts w:ascii="Arial" w:hAnsi="Arial"/>
      </w:rPr>
      <w:t>Witness: Michael L. Burroughs</w:t>
    </w:r>
  </w:p>
  <w:p w:rsidR="00D809AD" w:rsidRDefault="00D809AD" w:rsidP="00134113">
    <w:pPr>
      <w:suppressLineNumbers/>
      <w:tabs>
        <w:tab w:val="left" w:pos="1440"/>
        <w:tab w:val="left" w:pos="5040"/>
      </w:tabs>
      <w:ind w:left="5040"/>
      <w:rPr>
        <w:rFonts w:ascii="Arial" w:hAnsi="Arial"/>
      </w:rPr>
    </w:pPr>
    <w:r>
      <w:rPr>
        <w:rFonts w:ascii="Arial" w:hAnsi="Arial"/>
      </w:rPr>
      <w:t>Exhibit No. ____ (MLB-1)</w:t>
    </w:r>
  </w:p>
  <w:p w:rsidR="00D809AD" w:rsidRDefault="00D809AD" w:rsidP="00134113">
    <w:pPr>
      <w:suppressLineNumbers/>
      <w:tabs>
        <w:tab w:val="left" w:pos="1440"/>
        <w:tab w:val="left" w:pos="5040"/>
      </w:tabs>
      <w:ind w:left="5040"/>
      <w:rPr>
        <w:rFonts w:ascii="Arial" w:hAnsi="Arial"/>
      </w:rPr>
    </w:pPr>
    <w:r>
      <w:rPr>
        <w:rFonts w:ascii="Arial" w:hAnsi="Arial"/>
      </w:rPr>
      <w:t>Schedule 4</w:t>
    </w:r>
  </w:p>
  <w:p w:rsidR="00D809AD" w:rsidRDefault="00D809AD" w:rsidP="00134113">
    <w:pPr>
      <w:suppressLineNumbers/>
      <w:tabs>
        <w:tab w:val="left" w:pos="1440"/>
        <w:tab w:val="left" w:pos="5040"/>
      </w:tabs>
      <w:ind w:left="5040"/>
      <w:rPr>
        <w:rFonts w:ascii="Arial" w:hAnsi="Arial"/>
      </w:rPr>
    </w:pPr>
    <w:r>
      <w:rPr>
        <w:rFonts w:ascii="Arial" w:hAnsi="Arial"/>
      </w:rPr>
      <w:t>Page 4 of 4</w:t>
    </w:r>
  </w:p>
  <w:p w:rsidR="00D809AD" w:rsidRDefault="00D809AD" w:rsidP="00A2288A">
    <w:pPr>
      <w:suppressLineNumbers/>
      <w:tabs>
        <w:tab w:val="left" w:pos="144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 w:val="left" w:pos="5040"/>
      </w:tabs>
      <w:ind w:left="5040"/>
      <w:rPr>
        <w:rFonts w:ascii="Arial" w:hAnsi="Arial"/>
      </w:rPr>
    </w:pPr>
    <w:r>
      <w:rPr>
        <w:rFonts w:ascii="Arial" w:hAnsi="Arial"/>
      </w:rPr>
      <w:t>Florida Public Service Commission</w:t>
    </w:r>
  </w:p>
  <w:p w:rsidR="00D809AD" w:rsidRDefault="00D809AD" w:rsidP="00134113">
    <w:pPr>
      <w:suppressLineNumbers/>
      <w:tabs>
        <w:tab w:val="left" w:pos="1440"/>
        <w:tab w:val="left" w:pos="50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 w:val="left" w:pos="5040"/>
      </w:tabs>
      <w:ind w:left="5040"/>
      <w:rPr>
        <w:rFonts w:ascii="Arial" w:hAnsi="Arial"/>
      </w:rPr>
    </w:pPr>
    <w:r>
      <w:rPr>
        <w:rFonts w:ascii="Arial" w:hAnsi="Arial"/>
      </w:rPr>
      <w:t>GULF POWER COMPANY</w:t>
    </w:r>
  </w:p>
  <w:p w:rsidR="00D809AD" w:rsidRDefault="00D809AD" w:rsidP="00134113">
    <w:pPr>
      <w:suppressLineNumbers/>
      <w:tabs>
        <w:tab w:val="left" w:pos="1440"/>
        <w:tab w:val="left" w:pos="5040"/>
      </w:tabs>
      <w:ind w:left="5040"/>
      <w:rPr>
        <w:rFonts w:ascii="Arial" w:hAnsi="Arial"/>
      </w:rPr>
    </w:pPr>
    <w:r>
      <w:rPr>
        <w:rFonts w:ascii="Arial" w:hAnsi="Arial"/>
      </w:rPr>
      <w:t>Witness: Michael L. Burroughs</w:t>
    </w:r>
  </w:p>
  <w:p w:rsidR="00D809AD" w:rsidRDefault="00D809AD" w:rsidP="00134113">
    <w:pPr>
      <w:suppressLineNumbers/>
      <w:tabs>
        <w:tab w:val="left" w:pos="1440"/>
        <w:tab w:val="left" w:pos="5040"/>
      </w:tabs>
      <w:ind w:left="5040"/>
      <w:rPr>
        <w:rFonts w:ascii="Arial" w:hAnsi="Arial"/>
      </w:rPr>
    </w:pPr>
    <w:r>
      <w:rPr>
        <w:rFonts w:ascii="Arial" w:hAnsi="Arial"/>
      </w:rPr>
      <w:t>Exhibit No. ____ (MLB-1)</w:t>
    </w:r>
  </w:p>
  <w:p w:rsidR="00D809AD" w:rsidRDefault="00D809AD" w:rsidP="00134113">
    <w:pPr>
      <w:suppressLineNumbers/>
      <w:tabs>
        <w:tab w:val="left" w:pos="1440"/>
        <w:tab w:val="left" w:pos="5040"/>
      </w:tabs>
      <w:ind w:left="5040"/>
      <w:rPr>
        <w:rFonts w:ascii="Arial" w:hAnsi="Arial"/>
      </w:rPr>
    </w:pPr>
    <w:r>
      <w:rPr>
        <w:rFonts w:ascii="Arial" w:hAnsi="Arial"/>
      </w:rPr>
      <w:t xml:space="preserve">Schedule </w:t>
    </w:r>
    <w:r w:rsidR="006151F3">
      <w:rPr>
        <w:rFonts w:ascii="Arial" w:hAnsi="Arial"/>
      </w:rPr>
      <w:t>5</w:t>
    </w:r>
  </w:p>
  <w:p w:rsidR="009C2F69" w:rsidRDefault="009C2F69" w:rsidP="00134113">
    <w:pPr>
      <w:suppressLineNumbers/>
      <w:tabs>
        <w:tab w:val="left" w:pos="1440"/>
        <w:tab w:val="left" w:pos="5040"/>
      </w:tabs>
      <w:ind w:left="5040"/>
      <w:rPr>
        <w:rFonts w:ascii="Arial" w:hAnsi="Arial"/>
      </w:rPr>
    </w:pPr>
    <w:r>
      <w:rPr>
        <w:rFonts w:ascii="Arial" w:hAnsi="Arial"/>
      </w:rPr>
      <w:t>Page 1 of 1</w:t>
    </w:r>
  </w:p>
  <w:p w:rsidR="00D809AD" w:rsidRDefault="00D809AD" w:rsidP="00A2288A">
    <w:pPr>
      <w:suppressLineNumbers/>
      <w:tabs>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23" w:rsidRDefault="00842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23" w:rsidRDefault="00842E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Pr="008E3085" w:rsidRDefault="00D809AD" w:rsidP="008E30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C12EF8">
    <w:pPr>
      <w:ind w:left="5040"/>
      <w:rPr>
        <w:rFonts w:ascii="Arial" w:hAnsi="Arial"/>
      </w:rPr>
    </w:pPr>
    <w:r>
      <w:rPr>
        <w:rFonts w:ascii="Arial" w:hAnsi="Arial"/>
      </w:rPr>
      <w:t>Florida Public Service Commission</w:t>
    </w:r>
  </w:p>
  <w:p w:rsidR="00D809AD" w:rsidRDefault="009C2F69" w:rsidP="00C12EF8">
    <w:pPr>
      <w:suppressLineNumbers/>
      <w:tabs>
        <w:tab w:val="left" w:pos="1440"/>
      </w:tabs>
      <w:ind w:left="5040"/>
      <w:rPr>
        <w:rFonts w:ascii="Arial" w:hAnsi="Arial"/>
      </w:rPr>
    </w:pPr>
    <w:r>
      <w:rPr>
        <w:rFonts w:ascii="Arial" w:hAnsi="Arial"/>
      </w:rPr>
      <w:t>D</w:t>
    </w:r>
    <w:r w:rsidR="00D809AD">
      <w:rPr>
        <w:rFonts w:ascii="Arial" w:hAnsi="Arial"/>
      </w:rPr>
      <w:t xml:space="preserve">ocket No. </w:t>
    </w:r>
    <w:r w:rsidR="00D809AD">
      <w:rPr>
        <w:rFonts w:ascii="Arial" w:hAnsi="Arial" w:cs="Arial"/>
        <w:szCs w:val="24"/>
      </w:rPr>
      <w:t>130140</w:t>
    </w:r>
    <w:r w:rsidR="00D809AD">
      <w:rPr>
        <w:rFonts w:ascii="Arial" w:hAnsi="Arial"/>
      </w:rPr>
      <w:t>-EI</w:t>
    </w:r>
  </w:p>
  <w:p w:rsidR="00D809AD" w:rsidRDefault="009C2F69" w:rsidP="00C12EF8">
    <w:pPr>
      <w:suppressLineNumbers/>
      <w:tabs>
        <w:tab w:val="left" w:pos="1440"/>
      </w:tabs>
      <w:ind w:left="5040"/>
      <w:rPr>
        <w:rFonts w:ascii="Arial" w:hAnsi="Arial"/>
      </w:rPr>
    </w:pPr>
    <w:r>
      <w:rPr>
        <w:rFonts w:ascii="Arial" w:hAnsi="Arial"/>
      </w:rPr>
      <w:t>G</w:t>
    </w:r>
    <w:r w:rsidR="00D809AD">
      <w:rPr>
        <w:rFonts w:ascii="Arial" w:hAnsi="Arial"/>
      </w:rPr>
      <w:t>ULF POWER COMPANY</w:t>
    </w:r>
  </w:p>
  <w:p w:rsidR="00D809AD" w:rsidRDefault="00D809AD" w:rsidP="00C12EF8">
    <w:pPr>
      <w:suppressLineNumbers/>
      <w:tabs>
        <w:tab w:val="left" w:pos="1440"/>
      </w:tabs>
      <w:ind w:left="5040"/>
      <w:rPr>
        <w:rFonts w:ascii="Arial" w:hAnsi="Arial"/>
      </w:rPr>
    </w:pPr>
    <w:r>
      <w:rPr>
        <w:rFonts w:ascii="Arial" w:hAnsi="Arial"/>
      </w:rPr>
      <w:t>Witness: Michael L. Burroughs</w:t>
    </w:r>
  </w:p>
  <w:p w:rsidR="00D809AD" w:rsidRDefault="00D809AD" w:rsidP="00C12EF8">
    <w:pPr>
      <w:suppressLineNumbers/>
      <w:tabs>
        <w:tab w:val="left" w:pos="1440"/>
      </w:tabs>
      <w:ind w:left="5040"/>
      <w:rPr>
        <w:rFonts w:ascii="Arial" w:hAnsi="Arial"/>
      </w:rPr>
    </w:pPr>
    <w:r>
      <w:rPr>
        <w:rFonts w:ascii="Arial" w:hAnsi="Arial"/>
      </w:rPr>
      <w:t>Exhibit No. ____ (MLB-1)</w:t>
    </w:r>
  </w:p>
  <w:p w:rsidR="00D809AD" w:rsidRDefault="00D809AD" w:rsidP="00C12EF8">
    <w:pPr>
      <w:suppressLineNumbers/>
      <w:tabs>
        <w:tab w:val="left" w:pos="1440"/>
      </w:tabs>
      <w:ind w:left="5040"/>
      <w:rPr>
        <w:rFonts w:ascii="Arial" w:hAnsi="Arial"/>
      </w:rPr>
    </w:pPr>
    <w:r>
      <w:rPr>
        <w:rFonts w:ascii="Arial" w:hAnsi="Arial"/>
      </w:rPr>
      <w:t>Schedule 1</w:t>
    </w:r>
  </w:p>
  <w:p w:rsidR="009C2F69" w:rsidRDefault="009C2F69" w:rsidP="00C12EF8">
    <w:pPr>
      <w:suppressLineNumbers/>
      <w:tabs>
        <w:tab w:val="left" w:pos="1440"/>
      </w:tabs>
      <w:ind w:left="5040"/>
      <w:rPr>
        <w:rFonts w:ascii="Arial" w:hAnsi="Arial"/>
      </w:rPr>
    </w:pPr>
    <w:r>
      <w:rPr>
        <w:rFonts w:ascii="Arial" w:hAnsi="Arial"/>
      </w:rPr>
      <w:t>Page 1 of 1</w:t>
    </w:r>
  </w:p>
  <w:p w:rsidR="0008399E" w:rsidRPr="002620C9" w:rsidRDefault="0008399E" w:rsidP="002620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s>
      <w:ind w:left="5040"/>
      <w:rPr>
        <w:rFonts w:ascii="Arial" w:hAnsi="Arial"/>
      </w:rPr>
    </w:pPr>
    <w:r>
      <w:rPr>
        <w:rFonts w:ascii="Arial" w:hAnsi="Arial"/>
      </w:rPr>
      <w:t>Florida Public Service Commission</w:t>
    </w:r>
  </w:p>
  <w:p w:rsidR="00D809AD" w:rsidRDefault="00D809AD" w:rsidP="00134113">
    <w:pPr>
      <w:suppressLineNumbers/>
      <w:tabs>
        <w:tab w:val="left" w:pos="14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s>
      <w:ind w:left="5040"/>
      <w:rPr>
        <w:rFonts w:ascii="Arial" w:hAnsi="Arial"/>
      </w:rPr>
    </w:pPr>
    <w:r>
      <w:rPr>
        <w:rFonts w:ascii="Arial" w:hAnsi="Arial"/>
      </w:rPr>
      <w:t>GULF POWER COMPANY</w:t>
    </w:r>
  </w:p>
  <w:p w:rsidR="00D809AD" w:rsidRDefault="00D809AD" w:rsidP="00134113">
    <w:pPr>
      <w:suppressLineNumbers/>
      <w:tabs>
        <w:tab w:val="left" w:pos="1440"/>
      </w:tabs>
      <w:ind w:left="5040"/>
      <w:rPr>
        <w:rFonts w:ascii="Arial" w:hAnsi="Arial"/>
      </w:rPr>
    </w:pPr>
    <w:r>
      <w:rPr>
        <w:rFonts w:ascii="Arial" w:hAnsi="Arial"/>
      </w:rPr>
      <w:t>Witness: Michael L. Burroughs</w:t>
    </w:r>
  </w:p>
  <w:p w:rsidR="00D809AD" w:rsidRDefault="00D809AD" w:rsidP="00134113">
    <w:pPr>
      <w:suppressLineNumbers/>
      <w:tabs>
        <w:tab w:val="left" w:pos="1440"/>
      </w:tabs>
      <w:ind w:left="5040"/>
      <w:rPr>
        <w:rFonts w:ascii="Arial" w:hAnsi="Arial"/>
      </w:rPr>
    </w:pPr>
    <w:r>
      <w:rPr>
        <w:rFonts w:ascii="Arial" w:hAnsi="Arial"/>
      </w:rPr>
      <w:t>Exhibit No. ____ (MLB-1)</w:t>
    </w:r>
  </w:p>
  <w:p w:rsidR="00D809AD" w:rsidRDefault="00D809AD" w:rsidP="00134113">
    <w:pPr>
      <w:suppressLineNumbers/>
      <w:tabs>
        <w:tab w:val="left" w:pos="1440"/>
      </w:tabs>
      <w:ind w:left="5040"/>
      <w:rPr>
        <w:rFonts w:ascii="Arial" w:hAnsi="Arial"/>
      </w:rPr>
    </w:pPr>
    <w:r>
      <w:rPr>
        <w:rFonts w:ascii="Arial" w:hAnsi="Arial"/>
      </w:rPr>
      <w:t>Schedule 2</w:t>
    </w:r>
  </w:p>
  <w:p w:rsidR="009C2F69" w:rsidRDefault="009C2F69" w:rsidP="00134113">
    <w:pPr>
      <w:suppressLineNumbers/>
      <w:tabs>
        <w:tab w:val="left" w:pos="1440"/>
      </w:tabs>
      <w:ind w:left="5040"/>
      <w:rPr>
        <w:rFonts w:ascii="Arial" w:hAnsi="Arial"/>
      </w:rPr>
    </w:pPr>
    <w:r>
      <w:rPr>
        <w:rFonts w:ascii="Arial" w:hAnsi="Arial"/>
      </w:rPr>
      <w:t>Page 1 of 1</w:t>
    </w:r>
  </w:p>
  <w:p w:rsidR="00D809AD" w:rsidRDefault="00D809A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s>
      <w:ind w:left="5040"/>
      <w:rPr>
        <w:rFonts w:ascii="Arial" w:hAnsi="Arial"/>
      </w:rPr>
    </w:pPr>
    <w:r>
      <w:rPr>
        <w:rFonts w:ascii="Arial" w:hAnsi="Arial"/>
      </w:rPr>
      <w:t>Florida Public Service Commission</w:t>
    </w:r>
  </w:p>
  <w:p w:rsidR="00D809AD" w:rsidRDefault="00D809AD" w:rsidP="00134113">
    <w:pPr>
      <w:suppressLineNumbers/>
      <w:tabs>
        <w:tab w:val="left" w:pos="14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s>
      <w:ind w:left="5040"/>
      <w:rPr>
        <w:rFonts w:ascii="Arial" w:hAnsi="Arial"/>
      </w:rPr>
    </w:pPr>
    <w:r>
      <w:rPr>
        <w:rFonts w:ascii="Arial" w:hAnsi="Arial"/>
      </w:rPr>
      <w:t>GULF POWER COMPANY</w:t>
    </w:r>
  </w:p>
  <w:p w:rsidR="00D809AD" w:rsidRDefault="00D809AD" w:rsidP="00134113">
    <w:pPr>
      <w:suppressLineNumbers/>
      <w:tabs>
        <w:tab w:val="left" w:pos="1440"/>
      </w:tabs>
      <w:ind w:left="5040"/>
      <w:rPr>
        <w:rFonts w:ascii="Arial" w:hAnsi="Arial"/>
      </w:rPr>
    </w:pPr>
    <w:r>
      <w:rPr>
        <w:rFonts w:ascii="Arial" w:hAnsi="Arial"/>
      </w:rPr>
      <w:t>Witness: Michael L. Burroughs</w:t>
    </w:r>
  </w:p>
  <w:p w:rsidR="00D809AD" w:rsidRDefault="00D809AD" w:rsidP="00134113">
    <w:pPr>
      <w:suppressLineNumbers/>
      <w:tabs>
        <w:tab w:val="left" w:pos="1440"/>
      </w:tabs>
      <w:ind w:left="5040"/>
      <w:rPr>
        <w:rFonts w:ascii="Arial" w:hAnsi="Arial"/>
      </w:rPr>
    </w:pPr>
    <w:r>
      <w:rPr>
        <w:rFonts w:ascii="Arial" w:hAnsi="Arial"/>
      </w:rPr>
      <w:t>Exhibit No. ____ (MLB-1)</w:t>
    </w:r>
  </w:p>
  <w:p w:rsidR="00D809AD" w:rsidRDefault="00D809AD" w:rsidP="00134113">
    <w:pPr>
      <w:suppressLineNumbers/>
      <w:tabs>
        <w:tab w:val="left" w:pos="1440"/>
      </w:tabs>
      <w:ind w:left="5040"/>
      <w:rPr>
        <w:rFonts w:ascii="Arial" w:hAnsi="Arial"/>
      </w:rPr>
    </w:pPr>
    <w:r>
      <w:rPr>
        <w:rFonts w:ascii="Arial" w:hAnsi="Arial"/>
      </w:rPr>
      <w:t>Schedule 3</w:t>
    </w:r>
  </w:p>
  <w:p w:rsidR="009C2F69" w:rsidRDefault="009C2F69" w:rsidP="00134113">
    <w:pPr>
      <w:suppressLineNumbers/>
      <w:tabs>
        <w:tab w:val="left" w:pos="1440"/>
      </w:tabs>
      <w:ind w:left="5040"/>
      <w:rPr>
        <w:rFonts w:ascii="Arial" w:hAnsi="Arial"/>
      </w:rPr>
    </w:pPr>
    <w:r>
      <w:rPr>
        <w:rFonts w:ascii="Arial" w:hAnsi="Arial"/>
      </w:rPr>
      <w:t>Page 1 of 1</w:t>
    </w:r>
  </w:p>
  <w:p w:rsidR="00D809AD" w:rsidRDefault="00D809AD" w:rsidP="00A2288A">
    <w:pPr>
      <w:suppressLineNumbers/>
      <w:tabs>
        <w:tab w:val="left" w:pos="144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s>
      <w:ind w:left="5040"/>
      <w:rPr>
        <w:rFonts w:ascii="Arial" w:hAnsi="Arial"/>
      </w:rPr>
    </w:pPr>
    <w:r>
      <w:rPr>
        <w:rFonts w:ascii="Arial" w:hAnsi="Arial"/>
      </w:rPr>
      <w:t>Florida Public Service Commission</w:t>
    </w:r>
  </w:p>
  <w:p w:rsidR="00D809AD" w:rsidRDefault="00D809AD" w:rsidP="00134113">
    <w:pPr>
      <w:suppressLineNumbers/>
      <w:tabs>
        <w:tab w:val="left" w:pos="14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s>
      <w:ind w:left="5040"/>
      <w:rPr>
        <w:rFonts w:ascii="Arial" w:hAnsi="Arial"/>
      </w:rPr>
    </w:pPr>
    <w:r>
      <w:rPr>
        <w:rFonts w:ascii="Arial" w:hAnsi="Arial"/>
      </w:rPr>
      <w:t>GULF POWER COMPANY</w:t>
    </w:r>
  </w:p>
  <w:p w:rsidR="00D809AD" w:rsidRDefault="00D809AD" w:rsidP="00134113">
    <w:pPr>
      <w:suppressLineNumbers/>
      <w:tabs>
        <w:tab w:val="left" w:pos="1440"/>
      </w:tabs>
      <w:ind w:left="5040"/>
      <w:rPr>
        <w:rFonts w:ascii="Arial" w:hAnsi="Arial"/>
      </w:rPr>
    </w:pPr>
    <w:r>
      <w:rPr>
        <w:rFonts w:ascii="Arial" w:hAnsi="Arial"/>
      </w:rPr>
      <w:t>Witness: Michael L. Burroughs</w:t>
    </w:r>
  </w:p>
  <w:p w:rsidR="00D809AD" w:rsidRDefault="00D809AD" w:rsidP="00134113">
    <w:pPr>
      <w:suppressLineNumbers/>
      <w:tabs>
        <w:tab w:val="left" w:pos="1440"/>
      </w:tabs>
      <w:ind w:left="5040"/>
      <w:rPr>
        <w:rFonts w:ascii="Arial" w:hAnsi="Arial"/>
      </w:rPr>
    </w:pPr>
    <w:r>
      <w:rPr>
        <w:rFonts w:ascii="Arial" w:hAnsi="Arial"/>
      </w:rPr>
      <w:t>Exhibit No. ____ (MLB-1)</w:t>
    </w:r>
  </w:p>
  <w:p w:rsidR="00D809AD" w:rsidRDefault="00D809AD" w:rsidP="00134113">
    <w:pPr>
      <w:suppressLineNumbers/>
      <w:tabs>
        <w:tab w:val="left" w:pos="1440"/>
      </w:tabs>
      <w:ind w:left="5040"/>
      <w:rPr>
        <w:rFonts w:ascii="Arial" w:hAnsi="Arial"/>
      </w:rPr>
    </w:pPr>
    <w:r>
      <w:rPr>
        <w:rFonts w:ascii="Arial" w:hAnsi="Arial"/>
      </w:rPr>
      <w:t>Schedule 4</w:t>
    </w:r>
  </w:p>
  <w:p w:rsidR="00D809AD" w:rsidRDefault="00D809AD" w:rsidP="00134113">
    <w:pPr>
      <w:suppressLineNumbers/>
      <w:tabs>
        <w:tab w:val="left" w:pos="1440"/>
      </w:tabs>
      <w:ind w:left="5040"/>
      <w:rPr>
        <w:rFonts w:ascii="Arial" w:hAnsi="Arial"/>
      </w:rPr>
    </w:pPr>
    <w:r>
      <w:rPr>
        <w:rFonts w:ascii="Arial" w:hAnsi="Arial"/>
      </w:rPr>
      <w:t>Page 1 of 4</w:t>
    </w:r>
  </w:p>
  <w:p w:rsidR="00D809AD" w:rsidRDefault="00D809AD" w:rsidP="00A2288A">
    <w:pPr>
      <w:suppressLineNumbers/>
      <w:tabs>
        <w:tab w:val="left" w:pos="144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AD" w:rsidRDefault="00D809AD" w:rsidP="00134113">
    <w:pPr>
      <w:suppressLineNumbers/>
      <w:tabs>
        <w:tab w:val="left" w:pos="1440"/>
        <w:tab w:val="left" w:pos="5040"/>
      </w:tabs>
      <w:ind w:left="5040"/>
      <w:rPr>
        <w:rFonts w:ascii="Arial" w:hAnsi="Arial"/>
      </w:rPr>
    </w:pPr>
    <w:r>
      <w:rPr>
        <w:rFonts w:ascii="Arial" w:hAnsi="Arial"/>
      </w:rPr>
      <w:t>Florida Public Service Commission</w:t>
    </w:r>
  </w:p>
  <w:p w:rsidR="00D809AD" w:rsidRDefault="00D809AD" w:rsidP="00134113">
    <w:pPr>
      <w:suppressLineNumbers/>
      <w:tabs>
        <w:tab w:val="left" w:pos="1440"/>
        <w:tab w:val="left" w:pos="5040"/>
      </w:tabs>
      <w:ind w:left="5040"/>
      <w:rPr>
        <w:rFonts w:ascii="Arial" w:hAnsi="Arial"/>
      </w:rPr>
    </w:pPr>
    <w:r>
      <w:rPr>
        <w:rFonts w:ascii="Arial" w:hAnsi="Arial"/>
      </w:rPr>
      <w:t xml:space="preserve">Docket No. </w:t>
    </w:r>
    <w:r>
      <w:rPr>
        <w:rFonts w:ascii="Arial" w:hAnsi="Arial" w:cs="Arial"/>
        <w:szCs w:val="24"/>
      </w:rPr>
      <w:t>130140</w:t>
    </w:r>
    <w:r>
      <w:rPr>
        <w:rFonts w:ascii="Arial" w:hAnsi="Arial"/>
      </w:rPr>
      <w:t>-EI</w:t>
    </w:r>
  </w:p>
  <w:p w:rsidR="00D809AD" w:rsidRDefault="00D809AD" w:rsidP="00134113">
    <w:pPr>
      <w:suppressLineNumbers/>
      <w:tabs>
        <w:tab w:val="left" w:pos="1440"/>
        <w:tab w:val="left" w:pos="5040"/>
      </w:tabs>
      <w:ind w:left="5040"/>
      <w:rPr>
        <w:rFonts w:ascii="Arial" w:hAnsi="Arial"/>
      </w:rPr>
    </w:pPr>
    <w:r>
      <w:rPr>
        <w:rFonts w:ascii="Arial" w:hAnsi="Arial"/>
      </w:rPr>
      <w:t>GULF POWER COMPANY</w:t>
    </w:r>
  </w:p>
  <w:p w:rsidR="00D809AD" w:rsidRDefault="00D809AD" w:rsidP="00134113">
    <w:pPr>
      <w:suppressLineNumbers/>
      <w:tabs>
        <w:tab w:val="left" w:pos="1440"/>
        <w:tab w:val="left" w:pos="5040"/>
      </w:tabs>
      <w:ind w:left="5040"/>
      <w:rPr>
        <w:rFonts w:ascii="Arial" w:hAnsi="Arial"/>
      </w:rPr>
    </w:pPr>
    <w:r>
      <w:rPr>
        <w:rFonts w:ascii="Arial" w:hAnsi="Arial"/>
      </w:rPr>
      <w:t>Witness: Michael L. Burroughs</w:t>
    </w:r>
  </w:p>
  <w:p w:rsidR="00D809AD" w:rsidRDefault="00D809AD" w:rsidP="00134113">
    <w:pPr>
      <w:suppressLineNumbers/>
      <w:tabs>
        <w:tab w:val="left" w:pos="1440"/>
        <w:tab w:val="left" w:pos="5040"/>
      </w:tabs>
      <w:ind w:left="5040"/>
      <w:rPr>
        <w:rFonts w:ascii="Arial" w:hAnsi="Arial"/>
      </w:rPr>
    </w:pPr>
    <w:r>
      <w:rPr>
        <w:rFonts w:ascii="Arial" w:hAnsi="Arial"/>
      </w:rPr>
      <w:t>Exhibit No. ____ (MLB-1)</w:t>
    </w:r>
  </w:p>
  <w:p w:rsidR="00D809AD" w:rsidRDefault="00D809AD" w:rsidP="00134113">
    <w:pPr>
      <w:suppressLineNumbers/>
      <w:tabs>
        <w:tab w:val="left" w:pos="1440"/>
        <w:tab w:val="left" w:pos="5040"/>
      </w:tabs>
      <w:ind w:left="5040"/>
      <w:rPr>
        <w:rFonts w:ascii="Arial" w:hAnsi="Arial"/>
      </w:rPr>
    </w:pPr>
    <w:r>
      <w:rPr>
        <w:rFonts w:ascii="Arial" w:hAnsi="Arial"/>
      </w:rPr>
      <w:t>Schedule 4</w:t>
    </w:r>
  </w:p>
  <w:p w:rsidR="00D809AD" w:rsidRDefault="00D809AD" w:rsidP="00134113">
    <w:pPr>
      <w:suppressLineNumbers/>
      <w:tabs>
        <w:tab w:val="left" w:pos="1440"/>
        <w:tab w:val="left" w:pos="5040"/>
      </w:tabs>
      <w:ind w:left="5040"/>
      <w:rPr>
        <w:rFonts w:ascii="Arial" w:hAnsi="Arial"/>
      </w:rPr>
    </w:pPr>
    <w:r>
      <w:rPr>
        <w:rFonts w:ascii="Arial" w:hAnsi="Arial"/>
      </w:rPr>
      <w:t>Page 2 of 4</w:t>
    </w:r>
  </w:p>
  <w:p w:rsidR="00D809AD" w:rsidRDefault="00D809AD" w:rsidP="00A2288A">
    <w:pPr>
      <w:suppressLineNumbers/>
      <w:tabs>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7A8"/>
    <w:multiLevelType w:val="hybridMultilevel"/>
    <w:tmpl w:val="890AB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560FDF"/>
    <w:multiLevelType w:val="singleLevel"/>
    <w:tmpl w:val="90F6CA14"/>
    <w:lvl w:ilvl="0">
      <w:start w:val="17"/>
      <w:numFmt w:val="upperLetter"/>
      <w:lvlText w:val="%1."/>
      <w:lvlJc w:val="left"/>
      <w:pPr>
        <w:tabs>
          <w:tab w:val="num" w:pos="720"/>
        </w:tabs>
        <w:ind w:left="720" w:hanging="720"/>
      </w:pPr>
      <w:rPr>
        <w:rFonts w:hint="default"/>
      </w:rPr>
    </w:lvl>
  </w:abstractNum>
  <w:abstractNum w:abstractNumId="2">
    <w:nsid w:val="23187FC0"/>
    <w:multiLevelType w:val="hybridMultilevel"/>
    <w:tmpl w:val="9192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E74792"/>
    <w:multiLevelType w:val="hybridMultilevel"/>
    <w:tmpl w:val="12ACA056"/>
    <w:lvl w:ilvl="0" w:tplc="C09EFC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B727B5"/>
    <w:multiLevelType w:val="hybridMultilevel"/>
    <w:tmpl w:val="D73E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D5820"/>
    <w:multiLevelType w:val="hybridMultilevel"/>
    <w:tmpl w:val="6ABE5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1"/>
    <w:lvlOverride w:ilvl="0">
      <w:startOverride w:val="17"/>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WPB_ACTIVE 5531233.1"/>
    <w:docVar w:name="MPDocIDTemplate" w:val="%l |%n|.%v|"/>
    <w:docVar w:name="MPDocIDTemplateDefault" w:val="%l |%n|.%v|"/>
    <w:docVar w:name="NewDocStampType" w:val="7"/>
    <w:docVar w:name="zzmpFixed_MacPacVersion" w:val="9.0"/>
  </w:docVars>
  <w:rsids>
    <w:rsidRoot w:val="00310EED"/>
    <w:rsid w:val="00000DE4"/>
    <w:rsid w:val="000018F0"/>
    <w:rsid w:val="00004EB9"/>
    <w:rsid w:val="00012C07"/>
    <w:rsid w:val="00016619"/>
    <w:rsid w:val="00017FCE"/>
    <w:rsid w:val="00022F05"/>
    <w:rsid w:val="00035194"/>
    <w:rsid w:val="00037E60"/>
    <w:rsid w:val="00042A7B"/>
    <w:rsid w:val="00044B86"/>
    <w:rsid w:val="000450B9"/>
    <w:rsid w:val="00046485"/>
    <w:rsid w:val="0005120F"/>
    <w:rsid w:val="0005359C"/>
    <w:rsid w:val="00053AB2"/>
    <w:rsid w:val="00055B66"/>
    <w:rsid w:val="000567CE"/>
    <w:rsid w:val="000621AB"/>
    <w:rsid w:val="00064847"/>
    <w:rsid w:val="000674B4"/>
    <w:rsid w:val="00071CCE"/>
    <w:rsid w:val="00073583"/>
    <w:rsid w:val="0008399E"/>
    <w:rsid w:val="000844F5"/>
    <w:rsid w:val="00085D0E"/>
    <w:rsid w:val="00085F01"/>
    <w:rsid w:val="000871B7"/>
    <w:rsid w:val="0009201A"/>
    <w:rsid w:val="0009235A"/>
    <w:rsid w:val="000A7F94"/>
    <w:rsid w:val="000B100C"/>
    <w:rsid w:val="000C181F"/>
    <w:rsid w:val="000C56E8"/>
    <w:rsid w:val="000C78AA"/>
    <w:rsid w:val="000C7A95"/>
    <w:rsid w:val="000D0108"/>
    <w:rsid w:val="000D53E8"/>
    <w:rsid w:val="000E267D"/>
    <w:rsid w:val="000E4C92"/>
    <w:rsid w:val="000E67EF"/>
    <w:rsid w:val="000F324A"/>
    <w:rsid w:val="000F564D"/>
    <w:rsid w:val="000F6427"/>
    <w:rsid w:val="000F7614"/>
    <w:rsid w:val="00100D1B"/>
    <w:rsid w:val="001012EE"/>
    <w:rsid w:val="0010155D"/>
    <w:rsid w:val="00103144"/>
    <w:rsid w:val="00106342"/>
    <w:rsid w:val="0011316E"/>
    <w:rsid w:val="00113418"/>
    <w:rsid w:val="00115160"/>
    <w:rsid w:val="00115998"/>
    <w:rsid w:val="001204BE"/>
    <w:rsid w:val="0012313F"/>
    <w:rsid w:val="001238CC"/>
    <w:rsid w:val="001302CA"/>
    <w:rsid w:val="00130823"/>
    <w:rsid w:val="0013101F"/>
    <w:rsid w:val="00134113"/>
    <w:rsid w:val="001357FD"/>
    <w:rsid w:val="0014436B"/>
    <w:rsid w:val="001505C9"/>
    <w:rsid w:val="001508FD"/>
    <w:rsid w:val="00152D1A"/>
    <w:rsid w:val="00153515"/>
    <w:rsid w:val="00161A34"/>
    <w:rsid w:val="001639A3"/>
    <w:rsid w:val="00165FC1"/>
    <w:rsid w:val="00166F12"/>
    <w:rsid w:val="00171993"/>
    <w:rsid w:val="00172BBF"/>
    <w:rsid w:val="00177592"/>
    <w:rsid w:val="00185B9C"/>
    <w:rsid w:val="00191738"/>
    <w:rsid w:val="00193FE6"/>
    <w:rsid w:val="00195833"/>
    <w:rsid w:val="001A585F"/>
    <w:rsid w:val="001B6F03"/>
    <w:rsid w:val="001D021C"/>
    <w:rsid w:val="001D15FE"/>
    <w:rsid w:val="001D6C1C"/>
    <w:rsid w:val="001E20F2"/>
    <w:rsid w:val="001E7A62"/>
    <w:rsid w:val="001F2015"/>
    <w:rsid w:val="001F2849"/>
    <w:rsid w:val="001F2B1E"/>
    <w:rsid w:val="001F55AD"/>
    <w:rsid w:val="001F608F"/>
    <w:rsid w:val="001F720A"/>
    <w:rsid w:val="002037B5"/>
    <w:rsid w:val="002121F5"/>
    <w:rsid w:val="0022076E"/>
    <w:rsid w:val="002375BF"/>
    <w:rsid w:val="00240C8A"/>
    <w:rsid w:val="00251D5D"/>
    <w:rsid w:val="0025312D"/>
    <w:rsid w:val="002539FD"/>
    <w:rsid w:val="002620C9"/>
    <w:rsid w:val="0026239E"/>
    <w:rsid w:val="00265AB6"/>
    <w:rsid w:val="00266F5E"/>
    <w:rsid w:val="00276442"/>
    <w:rsid w:val="00276C98"/>
    <w:rsid w:val="0028430A"/>
    <w:rsid w:val="00285EDF"/>
    <w:rsid w:val="00286867"/>
    <w:rsid w:val="00294409"/>
    <w:rsid w:val="00294FA2"/>
    <w:rsid w:val="002A0599"/>
    <w:rsid w:val="002A6BF2"/>
    <w:rsid w:val="002C3B95"/>
    <w:rsid w:val="002C4CD7"/>
    <w:rsid w:val="002D1230"/>
    <w:rsid w:val="002D1AC3"/>
    <w:rsid w:val="002D45A7"/>
    <w:rsid w:val="002E06DA"/>
    <w:rsid w:val="002E1292"/>
    <w:rsid w:val="002E591B"/>
    <w:rsid w:val="002F0B17"/>
    <w:rsid w:val="002F6376"/>
    <w:rsid w:val="00301D63"/>
    <w:rsid w:val="00303DA8"/>
    <w:rsid w:val="00304E4B"/>
    <w:rsid w:val="00306226"/>
    <w:rsid w:val="00306472"/>
    <w:rsid w:val="00310EED"/>
    <w:rsid w:val="0031148E"/>
    <w:rsid w:val="00337415"/>
    <w:rsid w:val="00340A45"/>
    <w:rsid w:val="003433B0"/>
    <w:rsid w:val="00346E18"/>
    <w:rsid w:val="00347AF4"/>
    <w:rsid w:val="00350D27"/>
    <w:rsid w:val="00350E55"/>
    <w:rsid w:val="00355DEF"/>
    <w:rsid w:val="00360970"/>
    <w:rsid w:val="0036608B"/>
    <w:rsid w:val="003672B4"/>
    <w:rsid w:val="003731A4"/>
    <w:rsid w:val="00380B0B"/>
    <w:rsid w:val="00381FC2"/>
    <w:rsid w:val="0038326E"/>
    <w:rsid w:val="003855C9"/>
    <w:rsid w:val="003862D3"/>
    <w:rsid w:val="003910C4"/>
    <w:rsid w:val="00393D46"/>
    <w:rsid w:val="0039480D"/>
    <w:rsid w:val="0039680E"/>
    <w:rsid w:val="003A5B8B"/>
    <w:rsid w:val="003B2F40"/>
    <w:rsid w:val="003B5E0B"/>
    <w:rsid w:val="003B73AA"/>
    <w:rsid w:val="003D1E44"/>
    <w:rsid w:val="003D26FB"/>
    <w:rsid w:val="003D2A67"/>
    <w:rsid w:val="003D30D7"/>
    <w:rsid w:val="003E26F3"/>
    <w:rsid w:val="003E7C6D"/>
    <w:rsid w:val="003F3145"/>
    <w:rsid w:val="003F788B"/>
    <w:rsid w:val="00400671"/>
    <w:rsid w:val="0040074C"/>
    <w:rsid w:val="0040123A"/>
    <w:rsid w:val="00411507"/>
    <w:rsid w:val="004133D7"/>
    <w:rsid w:val="00421033"/>
    <w:rsid w:val="004239F0"/>
    <w:rsid w:val="00427D81"/>
    <w:rsid w:val="00430BA0"/>
    <w:rsid w:val="00437D13"/>
    <w:rsid w:val="00442459"/>
    <w:rsid w:val="00445D90"/>
    <w:rsid w:val="00445EBB"/>
    <w:rsid w:val="00450CD3"/>
    <w:rsid w:val="00453F7B"/>
    <w:rsid w:val="0045616A"/>
    <w:rsid w:val="004621F9"/>
    <w:rsid w:val="004709B0"/>
    <w:rsid w:val="0047208C"/>
    <w:rsid w:val="004744DE"/>
    <w:rsid w:val="00476C8F"/>
    <w:rsid w:val="004830BF"/>
    <w:rsid w:val="00484C46"/>
    <w:rsid w:val="00487480"/>
    <w:rsid w:val="004966B2"/>
    <w:rsid w:val="004A0432"/>
    <w:rsid w:val="004B269E"/>
    <w:rsid w:val="004B785A"/>
    <w:rsid w:val="004C5F36"/>
    <w:rsid w:val="004C7B21"/>
    <w:rsid w:val="004F10FA"/>
    <w:rsid w:val="004F28C5"/>
    <w:rsid w:val="00500E1F"/>
    <w:rsid w:val="0050314B"/>
    <w:rsid w:val="00506D68"/>
    <w:rsid w:val="00514B65"/>
    <w:rsid w:val="00515FD3"/>
    <w:rsid w:val="00517062"/>
    <w:rsid w:val="005179B8"/>
    <w:rsid w:val="00517CD7"/>
    <w:rsid w:val="00522496"/>
    <w:rsid w:val="00525617"/>
    <w:rsid w:val="00552558"/>
    <w:rsid w:val="00556606"/>
    <w:rsid w:val="00556882"/>
    <w:rsid w:val="00566AFD"/>
    <w:rsid w:val="0058197B"/>
    <w:rsid w:val="00581D5E"/>
    <w:rsid w:val="00582D89"/>
    <w:rsid w:val="005859E2"/>
    <w:rsid w:val="0058687D"/>
    <w:rsid w:val="00586E15"/>
    <w:rsid w:val="005928C1"/>
    <w:rsid w:val="005940DD"/>
    <w:rsid w:val="005945B1"/>
    <w:rsid w:val="005A2739"/>
    <w:rsid w:val="005A2BFD"/>
    <w:rsid w:val="005A5856"/>
    <w:rsid w:val="005A74F5"/>
    <w:rsid w:val="005B0EE5"/>
    <w:rsid w:val="005B2F75"/>
    <w:rsid w:val="005B62C3"/>
    <w:rsid w:val="005D3AFD"/>
    <w:rsid w:val="005E7785"/>
    <w:rsid w:val="005F047D"/>
    <w:rsid w:val="005F0790"/>
    <w:rsid w:val="005F32BF"/>
    <w:rsid w:val="005F7273"/>
    <w:rsid w:val="00605D44"/>
    <w:rsid w:val="00605F98"/>
    <w:rsid w:val="006151F3"/>
    <w:rsid w:val="00620594"/>
    <w:rsid w:val="00620C68"/>
    <w:rsid w:val="00620E6C"/>
    <w:rsid w:val="00622470"/>
    <w:rsid w:val="00624A1C"/>
    <w:rsid w:val="00630FD8"/>
    <w:rsid w:val="006349C9"/>
    <w:rsid w:val="006450C1"/>
    <w:rsid w:val="00645F81"/>
    <w:rsid w:val="0065619D"/>
    <w:rsid w:val="006749D5"/>
    <w:rsid w:val="00674A2A"/>
    <w:rsid w:val="0067753B"/>
    <w:rsid w:val="00685F38"/>
    <w:rsid w:val="00697517"/>
    <w:rsid w:val="006A1524"/>
    <w:rsid w:val="006A47F8"/>
    <w:rsid w:val="006A7D37"/>
    <w:rsid w:val="006B5441"/>
    <w:rsid w:val="006B57F1"/>
    <w:rsid w:val="006C1326"/>
    <w:rsid w:val="006C137A"/>
    <w:rsid w:val="006C4C5D"/>
    <w:rsid w:val="006C75DF"/>
    <w:rsid w:val="006D2C76"/>
    <w:rsid w:val="006D3E10"/>
    <w:rsid w:val="006D6473"/>
    <w:rsid w:val="006F0069"/>
    <w:rsid w:val="006F2B46"/>
    <w:rsid w:val="007022CE"/>
    <w:rsid w:val="007031FB"/>
    <w:rsid w:val="007032CB"/>
    <w:rsid w:val="007048AE"/>
    <w:rsid w:val="00706269"/>
    <w:rsid w:val="007172E6"/>
    <w:rsid w:val="00721BBE"/>
    <w:rsid w:val="007252B7"/>
    <w:rsid w:val="00727CB2"/>
    <w:rsid w:val="00732441"/>
    <w:rsid w:val="00736077"/>
    <w:rsid w:val="00745CCE"/>
    <w:rsid w:val="007538FE"/>
    <w:rsid w:val="007571F9"/>
    <w:rsid w:val="007639F4"/>
    <w:rsid w:val="007734E3"/>
    <w:rsid w:val="00776B25"/>
    <w:rsid w:val="00780F71"/>
    <w:rsid w:val="0078685C"/>
    <w:rsid w:val="00792DAD"/>
    <w:rsid w:val="0079372A"/>
    <w:rsid w:val="0079557A"/>
    <w:rsid w:val="007A37A8"/>
    <w:rsid w:val="007B3687"/>
    <w:rsid w:val="007B6F36"/>
    <w:rsid w:val="007C30A0"/>
    <w:rsid w:val="007C384B"/>
    <w:rsid w:val="007D1067"/>
    <w:rsid w:val="007D36CD"/>
    <w:rsid w:val="007D4F30"/>
    <w:rsid w:val="007D5817"/>
    <w:rsid w:val="007D5DE8"/>
    <w:rsid w:val="007E0942"/>
    <w:rsid w:val="007E3EA9"/>
    <w:rsid w:val="007F1C8B"/>
    <w:rsid w:val="007F7F4A"/>
    <w:rsid w:val="00800904"/>
    <w:rsid w:val="00802D11"/>
    <w:rsid w:val="00804076"/>
    <w:rsid w:val="00805EB4"/>
    <w:rsid w:val="00807E0B"/>
    <w:rsid w:val="0081124C"/>
    <w:rsid w:val="00823D9D"/>
    <w:rsid w:val="0083014B"/>
    <w:rsid w:val="00834216"/>
    <w:rsid w:val="008416B1"/>
    <w:rsid w:val="00842E23"/>
    <w:rsid w:val="00846E0A"/>
    <w:rsid w:val="008513FB"/>
    <w:rsid w:val="00854C95"/>
    <w:rsid w:val="00857377"/>
    <w:rsid w:val="00863625"/>
    <w:rsid w:val="00863C95"/>
    <w:rsid w:val="0086535E"/>
    <w:rsid w:val="00870345"/>
    <w:rsid w:val="00873718"/>
    <w:rsid w:val="008773BC"/>
    <w:rsid w:val="008803F6"/>
    <w:rsid w:val="0088162F"/>
    <w:rsid w:val="0088424C"/>
    <w:rsid w:val="00890AE8"/>
    <w:rsid w:val="008948E3"/>
    <w:rsid w:val="00897CDA"/>
    <w:rsid w:val="008A4AF5"/>
    <w:rsid w:val="008A65AB"/>
    <w:rsid w:val="008A6BBB"/>
    <w:rsid w:val="008A7E62"/>
    <w:rsid w:val="008B0B08"/>
    <w:rsid w:val="008B240A"/>
    <w:rsid w:val="008B3D8E"/>
    <w:rsid w:val="008B7042"/>
    <w:rsid w:val="008B760F"/>
    <w:rsid w:val="008B7AB3"/>
    <w:rsid w:val="008C0A44"/>
    <w:rsid w:val="008C4D7A"/>
    <w:rsid w:val="008D1380"/>
    <w:rsid w:val="008E0B32"/>
    <w:rsid w:val="008E1C9C"/>
    <w:rsid w:val="008E3085"/>
    <w:rsid w:val="008E46E0"/>
    <w:rsid w:val="008E4F32"/>
    <w:rsid w:val="008F2169"/>
    <w:rsid w:val="008F42D0"/>
    <w:rsid w:val="008F5994"/>
    <w:rsid w:val="00904CA5"/>
    <w:rsid w:val="00904CF6"/>
    <w:rsid w:val="00905A74"/>
    <w:rsid w:val="00907206"/>
    <w:rsid w:val="00910712"/>
    <w:rsid w:val="0091222D"/>
    <w:rsid w:val="0091703D"/>
    <w:rsid w:val="00917A7B"/>
    <w:rsid w:val="00922298"/>
    <w:rsid w:val="009247BE"/>
    <w:rsid w:val="00924D08"/>
    <w:rsid w:val="00924FE1"/>
    <w:rsid w:val="00926409"/>
    <w:rsid w:val="0093080E"/>
    <w:rsid w:val="00930F80"/>
    <w:rsid w:val="00932219"/>
    <w:rsid w:val="009423FA"/>
    <w:rsid w:val="00944679"/>
    <w:rsid w:val="009506B0"/>
    <w:rsid w:val="00957003"/>
    <w:rsid w:val="009649B3"/>
    <w:rsid w:val="00964DB6"/>
    <w:rsid w:val="009704CB"/>
    <w:rsid w:val="00981454"/>
    <w:rsid w:val="009922A0"/>
    <w:rsid w:val="0099412C"/>
    <w:rsid w:val="009A097F"/>
    <w:rsid w:val="009A0A82"/>
    <w:rsid w:val="009B00D1"/>
    <w:rsid w:val="009B17B2"/>
    <w:rsid w:val="009B2215"/>
    <w:rsid w:val="009B70A6"/>
    <w:rsid w:val="009C27AB"/>
    <w:rsid w:val="009C2F69"/>
    <w:rsid w:val="009C4425"/>
    <w:rsid w:val="009C53A5"/>
    <w:rsid w:val="009C5F8F"/>
    <w:rsid w:val="009D1B98"/>
    <w:rsid w:val="009D2BFF"/>
    <w:rsid w:val="009E120C"/>
    <w:rsid w:val="009E3DF3"/>
    <w:rsid w:val="009F0C49"/>
    <w:rsid w:val="009F4B55"/>
    <w:rsid w:val="009F6CFF"/>
    <w:rsid w:val="00A01093"/>
    <w:rsid w:val="00A01A5F"/>
    <w:rsid w:val="00A02000"/>
    <w:rsid w:val="00A108FB"/>
    <w:rsid w:val="00A10FFD"/>
    <w:rsid w:val="00A11150"/>
    <w:rsid w:val="00A2027B"/>
    <w:rsid w:val="00A2288A"/>
    <w:rsid w:val="00A257E7"/>
    <w:rsid w:val="00A30D75"/>
    <w:rsid w:val="00A412A0"/>
    <w:rsid w:val="00A4572A"/>
    <w:rsid w:val="00A466E3"/>
    <w:rsid w:val="00A53D42"/>
    <w:rsid w:val="00A56450"/>
    <w:rsid w:val="00A626D4"/>
    <w:rsid w:val="00A66892"/>
    <w:rsid w:val="00A71EEF"/>
    <w:rsid w:val="00A83FAA"/>
    <w:rsid w:val="00A901BC"/>
    <w:rsid w:val="00AB0357"/>
    <w:rsid w:val="00AC18A6"/>
    <w:rsid w:val="00AD0360"/>
    <w:rsid w:val="00AD07A5"/>
    <w:rsid w:val="00AD16DD"/>
    <w:rsid w:val="00AD222A"/>
    <w:rsid w:val="00AD660B"/>
    <w:rsid w:val="00AE369E"/>
    <w:rsid w:val="00AE6B90"/>
    <w:rsid w:val="00AE7C55"/>
    <w:rsid w:val="00AE7F18"/>
    <w:rsid w:val="00AF20FC"/>
    <w:rsid w:val="00AF31C5"/>
    <w:rsid w:val="00AF36C5"/>
    <w:rsid w:val="00AF6AD0"/>
    <w:rsid w:val="00B051B8"/>
    <w:rsid w:val="00B13072"/>
    <w:rsid w:val="00B141FD"/>
    <w:rsid w:val="00B1597E"/>
    <w:rsid w:val="00B17F0F"/>
    <w:rsid w:val="00B211F6"/>
    <w:rsid w:val="00B22D43"/>
    <w:rsid w:val="00B236B1"/>
    <w:rsid w:val="00B307BA"/>
    <w:rsid w:val="00B366E8"/>
    <w:rsid w:val="00B47E9D"/>
    <w:rsid w:val="00B5433C"/>
    <w:rsid w:val="00B563EF"/>
    <w:rsid w:val="00B56B37"/>
    <w:rsid w:val="00B61F9D"/>
    <w:rsid w:val="00B66C60"/>
    <w:rsid w:val="00B66F08"/>
    <w:rsid w:val="00B720A7"/>
    <w:rsid w:val="00B721B2"/>
    <w:rsid w:val="00B727EE"/>
    <w:rsid w:val="00B73635"/>
    <w:rsid w:val="00B74DDC"/>
    <w:rsid w:val="00B87547"/>
    <w:rsid w:val="00B906A7"/>
    <w:rsid w:val="00B97894"/>
    <w:rsid w:val="00BA4A84"/>
    <w:rsid w:val="00BB0794"/>
    <w:rsid w:val="00BB189A"/>
    <w:rsid w:val="00BB4DC7"/>
    <w:rsid w:val="00BB56A2"/>
    <w:rsid w:val="00BC3424"/>
    <w:rsid w:val="00BC7299"/>
    <w:rsid w:val="00BD29ED"/>
    <w:rsid w:val="00BD5774"/>
    <w:rsid w:val="00BD5A36"/>
    <w:rsid w:val="00BF5D64"/>
    <w:rsid w:val="00C00927"/>
    <w:rsid w:val="00C01983"/>
    <w:rsid w:val="00C119F1"/>
    <w:rsid w:val="00C12176"/>
    <w:rsid w:val="00C12C5F"/>
    <w:rsid w:val="00C12EF8"/>
    <w:rsid w:val="00C14A26"/>
    <w:rsid w:val="00C14D2B"/>
    <w:rsid w:val="00C22988"/>
    <w:rsid w:val="00C231F1"/>
    <w:rsid w:val="00C25ACE"/>
    <w:rsid w:val="00C273C4"/>
    <w:rsid w:val="00C31F45"/>
    <w:rsid w:val="00C32320"/>
    <w:rsid w:val="00C436C2"/>
    <w:rsid w:val="00C43B97"/>
    <w:rsid w:val="00C44A34"/>
    <w:rsid w:val="00C45A9F"/>
    <w:rsid w:val="00C4718E"/>
    <w:rsid w:val="00C62818"/>
    <w:rsid w:val="00C64502"/>
    <w:rsid w:val="00C7260A"/>
    <w:rsid w:val="00C72997"/>
    <w:rsid w:val="00C875DF"/>
    <w:rsid w:val="00CB1E66"/>
    <w:rsid w:val="00CB3827"/>
    <w:rsid w:val="00CB5347"/>
    <w:rsid w:val="00CC1137"/>
    <w:rsid w:val="00CC7E04"/>
    <w:rsid w:val="00CD1EF1"/>
    <w:rsid w:val="00CD2610"/>
    <w:rsid w:val="00CD3ABC"/>
    <w:rsid w:val="00CD7E6A"/>
    <w:rsid w:val="00CE4730"/>
    <w:rsid w:val="00CF0AC7"/>
    <w:rsid w:val="00CF0DC5"/>
    <w:rsid w:val="00CF53AF"/>
    <w:rsid w:val="00D01931"/>
    <w:rsid w:val="00D2000B"/>
    <w:rsid w:val="00D217D6"/>
    <w:rsid w:val="00D23965"/>
    <w:rsid w:val="00D334EF"/>
    <w:rsid w:val="00D3765E"/>
    <w:rsid w:val="00D40BAF"/>
    <w:rsid w:val="00D43953"/>
    <w:rsid w:val="00D454A9"/>
    <w:rsid w:val="00D54607"/>
    <w:rsid w:val="00D558B0"/>
    <w:rsid w:val="00D57187"/>
    <w:rsid w:val="00D6542F"/>
    <w:rsid w:val="00D75845"/>
    <w:rsid w:val="00D809AD"/>
    <w:rsid w:val="00D81577"/>
    <w:rsid w:val="00D82D10"/>
    <w:rsid w:val="00D869BB"/>
    <w:rsid w:val="00D92B81"/>
    <w:rsid w:val="00D951E9"/>
    <w:rsid w:val="00D96196"/>
    <w:rsid w:val="00DA2AC2"/>
    <w:rsid w:val="00DA7637"/>
    <w:rsid w:val="00DB5D75"/>
    <w:rsid w:val="00DD51A7"/>
    <w:rsid w:val="00DD652A"/>
    <w:rsid w:val="00DE30A1"/>
    <w:rsid w:val="00DE627B"/>
    <w:rsid w:val="00DF5A5D"/>
    <w:rsid w:val="00DF5C0B"/>
    <w:rsid w:val="00E004E5"/>
    <w:rsid w:val="00E05FE1"/>
    <w:rsid w:val="00E20144"/>
    <w:rsid w:val="00E22746"/>
    <w:rsid w:val="00E32205"/>
    <w:rsid w:val="00E4611A"/>
    <w:rsid w:val="00E47729"/>
    <w:rsid w:val="00E47BD8"/>
    <w:rsid w:val="00E47E61"/>
    <w:rsid w:val="00E5534D"/>
    <w:rsid w:val="00E57F7F"/>
    <w:rsid w:val="00E60369"/>
    <w:rsid w:val="00E605B8"/>
    <w:rsid w:val="00E71FDF"/>
    <w:rsid w:val="00E81A07"/>
    <w:rsid w:val="00E82251"/>
    <w:rsid w:val="00E83E11"/>
    <w:rsid w:val="00E841E2"/>
    <w:rsid w:val="00E86C76"/>
    <w:rsid w:val="00E87586"/>
    <w:rsid w:val="00E9138B"/>
    <w:rsid w:val="00E9344C"/>
    <w:rsid w:val="00E97C12"/>
    <w:rsid w:val="00EA033D"/>
    <w:rsid w:val="00EA625B"/>
    <w:rsid w:val="00EC0547"/>
    <w:rsid w:val="00EC5219"/>
    <w:rsid w:val="00ED7F99"/>
    <w:rsid w:val="00EE0C76"/>
    <w:rsid w:val="00EE40B3"/>
    <w:rsid w:val="00EE6984"/>
    <w:rsid w:val="00EE7591"/>
    <w:rsid w:val="00EF23E5"/>
    <w:rsid w:val="00EF31CF"/>
    <w:rsid w:val="00F03F91"/>
    <w:rsid w:val="00F07B2E"/>
    <w:rsid w:val="00F11B7E"/>
    <w:rsid w:val="00F25438"/>
    <w:rsid w:val="00F31287"/>
    <w:rsid w:val="00F31DC4"/>
    <w:rsid w:val="00F32095"/>
    <w:rsid w:val="00F32338"/>
    <w:rsid w:val="00F327D0"/>
    <w:rsid w:val="00F5320E"/>
    <w:rsid w:val="00F5543C"/>
    <w:rsid w:val="00F6069E"/>
    <w:rsid w:val="00F60BCA"/>
    <w:rsid w:val="00F60D9B"/>
    <w:rsid w:val="00F637B0"/>
    <w:rsid w:val="00F7102F"/>
    <w:rsid w:val="00F72644"/>
    <w:rsid w:val="00F729CB"/>
    <w:rsid w:val="00F734BB"/>
    <w:rsid w:val="00F76181"/>
    <w:rsid w:val="00F76DA6"/>
    <w:rsid w:val="00F779F8"/>
    <w:rsid w:val="00F80B37"/>
    <w:rsid w:val="00F82683"/>
    <w:rsid w:val="00F8566D"/>
    <w:rsid w:val="00F87821"/>
    <w:rsid w:val="00F92B17"/>
    <w:rsid w:val="00F933DF"/>
    <w:rsid w:val="00FA12AB"/>
    <w:rsid w:val="00FA3464"/>
    <w:rsid w:val="00FA471F"/>
    <w:rsid w:val="00FB237B"/>
    <w:rsid w:val="00FB3382"/>
    <w:rsid w:val="00FB4C88"/>
    <w:rsid w:val="00FC0F75"/>
    <w:rsid w:val="00FC3EF6"/>
    <w:rsid w:val="00FC516E"/>
    <w:rsid w:val="00FD0AE2"/>
    <w:rsid w:val="00FD1AD4"/>
    <w:rsid w:val="00FD44C3"/>
    <w:rsid w:val="00FD593F"/>
    <w:rsid w:val="00FE1298"/>
    <w:rsid w:val="00FE5F6B"/>
    <w:rsid w:val="00FF368F"/>
    <w:rsid w:val="00FF3E03"/>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A3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rsid w:val="00152D1A"/>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152D1A"/>
  </w:style>
  <w:style w:type="character" w:customStyle="1" w:styleId="zzmpTrailerItem">
    <w:name w:val="zzmpTrailerItem"/>
    <w:basedOn w:val="DefaultParagraphFont"/>
    <w:rsid w:val="00310EED"/>
    <w:rPr>
      <w:rFonts w:ascii="Times New Roman" w:hAnsi="Times New Roman" w:cs="Times New Roman"/>
      <w:dstrike w:val="0"/>
      <w:noProof/>
      <w:color w:val="auto"/>
      <w:spacing w:val="0"/>
      <w:position w:val="0"/>
      <w:sz w:val="16"/>
      <w:szCs w:val="16"/>
      <w:u w:val="none"/>
      <w:effect w:val="antsRed"/>
      <w:vertAlign w:val="baseline"/>
    </w:rPr>
  </w:style>
  <w:style w:type="character" w:styleId="CommentReference">
    <w:name w:val="annotation reference"/>
    <w:basedOn w:val="DefaultParagraphFont"/>
    <w:rsid w:val="00310EED"/>
    <w:rPr>
      <w:sz w:val="16"/>
      <w:szCs w:val="16"/>
    </w:rPr>
  </w:style>
  <w:style w:type="paragraph" w:styleId="CommentText">
    <w:name w:val="annotation text"/>
    <w:basedOn w:val="Normal"/>
    <w:link w:val="CommentTextChar"/>
    <w:rsid w:val="00310EED"/>
    <w:rPr>
      <w:sz w:val="20"/>
    </w:rPr>
  </w:style>
  <w:style w:type="character" w:customStyle="1" w:styleId="CommentTextChar">
    <w:name w:val="Comment Text Char"/>
    <w:basedOn w:val="DefaultParagraphFont"/>
    <w:link w:val="CommentText"/>
    <w:rsid w:val="00310EED"/>
    <w:rPr>
      <w:lang w:eastAsia="en-US"/>
    </w:rPr>
  </w:style>
  <w:style w:type="character" w:styleId="LineNumber">
    <w:name w:val="line number"/>
    <w:basedOn w:val="DefaultParagraphFont"/>
    <w:rsid w:val="00310EED"/>
  </w:style>
  <w:style w:type="paragraph" w:styleId="BalloonText">
    <w:name w:val="Balloon Text"/>
    <w:basedOn w:val="Normal"/>
    <w:link w:val="BalloonTextChar"/>
    <w:rsid w:val="00310EED"/>
    <w:rPr>
      <w:rFonts w:ascii="Tahoma" w:hAnsi="Tahoma" w:cs="Tahoma"/>
      <w:sz w:val="16"/>
      <w:szCs w:val="16"/>
    </w:rPr>
  </w:style>
  <w:style w:type="character" w:customStyle="1" w:styleId="BalloonTextChar">
    <w:name w:val="Balloon Text Char"/>
    <w:basedOn w:val="DefaultParagraphFont"/>
    <w:link w:val="BalloonText"/>
    <w:rsid w:val="00310EED"/>
    <w:rPr>
      <w:rFonts w:ascii="Tahoma" w:hAnsi="Tahoma" w:cs="Tahoma"/>
      <w:sz w:val="16"/>
      <w:szCs w:val="16"/>
      <w:lang w:eastAsia="en-US"/>
    </w:rPr>
  </w:style>
  <w:style w:type="paragraph" w:styleId="CommentSubject">
    <w:name w:val="annotation subject"/>
    <w:basedOn w:val="CommentText"/>
    <w:next w:val="CommentText"/>
    <w:link w:val="CommentSubjectChar"/>
    <w:rsid w:val="00310EED"/>
    <w:rPr>
      <w:b/>
      <w:bCs/>
    </w:rPr>
  </w:style>
  <w:style w:type="character" w:customStyle="1" w:styleId="CommentSubjectChar">
    <w:name w:val="Comment Subject Char"/>
    <w:basedOn w:val="CommentTextChar"/>
    <w:link w:val="CommentSubject"/>
    <w:rsid w:val="00310EED"/>
    <w:rPr>
      <w:b/>
      <w:bCs/>
      <w:lang w:eastAsia="en-US"/>
    </w:rPr>
  </w:style>
  <w:style w:type="paragraph" w:styleId="ListParagraph">
    <w:name w:val="List Paragraph"/>
    <w:basedOn w:val="Normal"/>
    <w:uiPriority w:val="34"/>
    <w:qFormat/>
    <w:rsid w:val="00310EED"/>
    <w:pPr>
      <w:ind w:left="720"/>
      <w:contextualSpacing/>
    </w:pPr>
  </w:style>
  <w:style w:type="paragraph" w:styleId="Revision">
    <w:name w:val="Revision"/>
    <w:hidden/>
    <w:uiPriority w:val="99"/>
    <w:semiHidden/>
    <w:rsid w:val="00310EED"/>
    <w:rPr>
      <w:sz w:val="24"/>
      <w:lang w:eastAsia="en-US"/>
    </w:rPr>
  </w:style>
  <w:style w:type="paragraph" w:customStyle="1" w:styleId="s2">
    <w:name w:val="s2"/>
    <w:basedOn w:val="Normal"/>
    <w:rsid w:val="00310EED"/>
    <w:pPr>
      <w:spacing w:before="100" w:beforeAutospacing="1" w:after="100" w:afterAutospacing="1"/>
    </w:pPr>
    <w:rPr>
      <w:rFonts w:eastAsiaTheme="minorHAnsi"/>
      <w:szCs w:val="24"/>
    </w:rPr>
  </w:style>
  <w:style w:type="character" w:customStyle="1" w:styleId="s4">
    <w:name w:val="s4"/>
    <w:basedOn w:val="DefaultParagraphFont"/>
    <w:rsid w:val="00310EED"/>
  </w:style>
  <w:style w:type="table" w:styleId="TableGrid">
    <w:name w:val="Table Grid"/>
    <w:basedOn w:val="TableNormal"/>
    <w:uiPriority w:val="59"/>
    <w:rsid w:val="009C4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8F599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A3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rsid w:val="00152D1A"/>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152D1A"/>
  </w:style>
  <w:style w:type="character" w:customStyle="1" w:styleId="zzmpTrailerItem">
    <w:name w:val="zzmpTrailerItem"/>
    <w:basedOn w:val="DefaultParagraphFont"/>
    <w:rsid w:val="00310EED"/>
    <w:rPr>
      <w:rFonts w:ascii="Times New Roman" w:hAnsi="Times New Roman" w:cs="Times New Roman"/>
      <w:dstrike w:val="0"/>
      <w:noProof/>
      <w:color w:val="auto"/>
      <w:spacing w:val="0"/>
      <w:position w:val="0"/>
      <w:sz w:val="16"/>
      <w:szCs w:val="16"/>
      <w:u w:val="none"/>
      <w:effect w:val="antsRed"/>
      <w:vertAlign w:val="baseline"/>
    </w:rPr>
  </w:style>
  <w:style w:type="character" w:styleId="CommentReference">
    <w:name w:val="annotation reference"/>
    <w:basedOn w:val="DefaultParagraphFont"/>
    <w:rsid w:val="00310EED"/>
    <w:rPr>
      <w:sz w:val="16"/>
      <w:szCs w:val="16"/>
    </w:rPr>
  </w:style>
  <w:style w:type="paragraph" w:styleId="CommentText">
    <w:name w:val="annotation text"/>
    <w:basedOn w:val="Normal"/>
    <w:link w:val="CommentTextChar"/>
    <w:rsid w:val="00310EED"/>
    <w:rPr>
      <w:sz w:val="20"/>
    </w:rPr>
  </w:style>
  <w:style w:type="character" w:customStyle="1" w:styleId="CommentTextChar">
    <w:name w:val="Comment Text Char"/>
    <w:basedOn w:val="DefaultParagraphFont"/>
    <w:link w:val="CommentText"/>
    <w:rsid w:val="00310EED"/>
    <w:rPr>
      <w:lang w:eastAsia="en-US"/>
    </w:rPr>
  </w:style>
  <w:style w:type="character" w:styleId="LineNumber">
    <w:name w:val="line number"/>
    <w:basedOn w:val="DefaultParagraphFont"/>
    <w:rsid w:val="00310EED"/>
  </w:style>
  <w:style w:type="paragraph" w:styleId="BalloonText">
    <w:name w:val="Balloon Text"/>
    <w:basedOn w:val="Normal"/>
    <w:link w:val="BalloonTextChar"/>
    <w:rsid w:val="00310EED"/>
    <w:rPr>
      <w:rFonts w:ascii="Tahoma" w:hAnsi="Tahoma" w:cs="Tahoma"/>
      <w:sz w:val="16"/>
      <w:szCs w:val="16"/>
    </w:rPr>
  </w:style>
  <w:style w:type="character" w:customStyle="1" w:styleId="BalloonTextChar">
    <w:name w:val="Balloon Text Char"/>
    <w:basedOn w:val="DefaultParagraphFont"/>
    <w:link w:val="BalloonText"/>
    <w:rsid w:val="00310EED"/>
    <w:rPr>
      <w:rFonts w:ascii="Tahoma" w:hAnsi="Tahoma" w:cs="Tahoma"/>
      <w:sz w:val="16"/>
      <w:szCs w:val="16"/>
      <w:lang w:eastAsia="en-US"/>
    </w:rPr>
  </w:style>
  <w:style w:type="paragraph" w:styleId="CommentSubject">
    <w:name w:val="annotation subject"/>
    <w:basedOn w:val="CommentText"/>
    <w:next w:val="CommentText"/>
    <w:link w:val="CommentSubjectChar"/>
    <w:rsid w:val="00310EED"/>
    <w:rPr>
      <w:b/>
      <w:bCs/>
    </w:rPr>
  </w:style>
  <w:style w:type="character" w:customStyle="1" w:styleId="CommentSubjectChar">
    <w:name w:val="Comment Subject Char"/>
    <w:basedOn w:val="CommentTextChar"/>
    <w:link w:val="CommentSubject"/>
    <w:rsid w:val="00310EED"/>
    <w:rPr>
      <w:b/>
      <w:bCs/>
      <w:lang w:eastAsia="en-US"/>
    </w:rPr>
  </w:style>
  <w:style w:type="paragraph" w:styleId="ListParagraph">
    <w:name w:val="List Paragraph"/>
    <w:basedOn w:val="Normal"/>
    <w:uiPriority w:val="34"/>
    <w:qFormat/>
    <w:rsid w:val="00310EED"/>
    <w:pPr>
      <w:ind w:left="720"/>
      <w:contextualSpacing/>
    </w:pPr>
  </w:style>
  <w:style w:type="paragraph" w:styleId="Revision">
    <w:name w:val="Revision"/>
    <w:hidden/>
    <w:uiPriority w:val="99"/>
    <w:semiHidden/>
    <w:rsid w:val="00310EED"/>
    <w:rPr>
      <w:sz w:val="24"/>
      <w:lang w:eastAsia="en-US"/>
    </w:rPr>
  </w:style>
  <w:style w:type="paragraph" w:customStyle="1" w:styleId="s2">
    <w:name w:val="s2"/>
    <w:basedOn w:val="Normal"/>
    <w:rsid w:val="00310EED"/>
    <w:pPr>
      <w:spacing w:before="100" w:beforeAutospacing="1" w:after="100" w:afterAutospacing="1"/>
    </w:pPr>
    <w:rPr>
      <w:rFonts w:eastAsiaTheme="minorHAnsi"/>
      <w:szCs w:val="24"/>
    </w:rPr>
  </w:style>
  <w:style w:type="character" w:customStyle="1" w:styleId="s4">
    <w:name w:val="s4"/>
    <w:basedOn w:val="DefaultParagraphFont"/>
    <w:rsid w:val="00310EED"/>
  </w:style>
  <w:style w:type="table" w:styleId="TableGrid">
    <w:name w:val="Table Grid"/>
    <w:basedOn w:val="TableNormal"/>
    <w:uiPriority w:val="59"/>
    <w:rsid w:val="009C44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8F599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5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6701-F83D-4340-8851-9346B42F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5234</Words>
  <Characters>26808</Characters>
  <Application>Microsoft Office Word</Application>
  <DocSecurity>0</DocSecurity>
  <Lines>223</Lines>
  <Paragraphs>63</Paragraphs>
  <ScaleCrop>false</ScaleCrop>
  <Company/>
  <LinksUpToDate>false</LinksUpToDate>
  <CharactersWithSpaces>31979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2013-07-30T20:25:00Z</dcterms:created>
  <dcterms:modified xsi:type="dcterms:W3CDTF">2013-07-30T20:25:00Z</dcterms:modified>
</cp:coreProperties>
</file>