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E9E" w:rsidRPr="00AB3349" w:rsidRDefault="00763E9E" w:rsidP="00763E9E">
      <w:pPr>
        <w:widowControl w:val="0"/>
        <w:spacing w:line="240" w:lineRule="atLeast"/>
        <w:jc w:val="center"/>
        <w:rPr>
          <w:rFonts w:ascii="Arial" w:hAnsi="Arial" w:cs="Arial"/>
          <w:szCs w:val="24"/>
        </w:rPr>
      </w:pPr>
      <w:bookmarkStart w:id="0" w:name="_GoBack"/>
      <w:bookmarkEnd w:id="0"/>
      <w:r w:rsidRPr="00AB3349">
        <w:rPr>
          <w:rFonts w:ascii="Arial" w:hAnsi="Arial" w:cs="Arial"/>
          <w:szCs w:val="24"/>
        </w:rPr>
        <w:t>GULF POWER COMPANY</w:t>
      </w:r>
    </w:p>
    <w:p w:rsidR="00763E9E" w:rsidRPr="00AB3349" w:rsidRDefault="00763E9E" w:rsidP="00763E9E">
      <w:pPr>
        <w:spacing w:line="240" w:lineRule="atLeast"/>
        <w:ind w:left="720"/>
        <w:jc w:val="center"/>
        <w:rPr>
          <w:rFonts w:ascii="Arial" w:hAnsi="Arial" w:cs="Arial"/>
          <w:szCs w:val="24"/>
        </w:rPr>
        <w:sectPr w:rsidR="00763E9E" w:rsidRPr="00AB3349" w:rsidSect="00455032">
          <w:headerReference w:type="even" r:id="rId9"/>
          <w:headerReference w:type="default" r:id="rId10"/>
          <w:footerReference w:type="even" r:id="rId11"/>
          <w:footerReference w:type="default" r:id="rId12"/>
          <w:headerReference w:type="first" r:id="rId13"/>
          <w:footerReference w:type="first" r:id="rId14"/>
          <w:pgSz w:w="12240" w:h="15840" w:code="1"/>
          <w:pgMar w:top="1570" w:right="1440" w:bottom="1800" w:left="1987" w:header="720" w:footer="720" w:gutter="0"/>
          <w:lnNumType w:countBy="1"/>
          <w:cols w:space="720"/>
          <w:titlePg/>
          <w:docGrid w:linePitch="326"/>
        </w:sectPr>
      </w:pPr>
    </w:p>
    <w:p w:rsidR="00763E9E" w:rsidRPr="00AB3349" w:rsidRDefault="00763E9E" w:rsidP="00763E9E">
      <w:pPr>
        <w:spacing w:line="240" w:lineRule="atLeast"/>
        <w:ind w:left="720"/>
        <w:jc w:val="center"/>
        <w:rPr>
          <w:rFonts w:ascii="Arial" w:hAnsi="Arial" w:cs="Arial"/>
          <w:szCs w:val="24"/>
        </w:rPr>
      </w:pPr>
    </w:p>
    <w:p w:rsidR="00763E9E" w:rsidRPr="00AB3349" w:rsidRDefault="00763E9E" w:rsidP="00763E9E">
      <w:pPr>
        <w:spacing w:line="240" w:lineRule="atLeast"/>
        <w:ind w:left="720"/>
        <w:jc w:val="center"/>
        <w:rPr>
          <w:rFonts w:ascii="Arial" w:hAnsi="Arial" w:cs="Arial"/>
          <w:szCs w:val="24"/>
        </w:rPr>
        <w:sectPr w:rsidR="00763E9E" w:rsidRPr="00AB3349" w:rsidSect="00455032">
          <w:type w:val="continuous"/>
          <w:pgSz w:w="12240" w:h="15840" w:code="1"/>
          <w:pgMar w:top="1570" w:right="1440" w:bottom="1800" w:left="1987" w:header="720" w:footer="720" w:gutter="0"/>
          <w:cols w:space="720"/>
          <w:titlePg/>
          <w:docGrid w:linePitch="326"/>
        </w:sectPr>
      </w:pPr>
    </w:p>
    <w:p w:rsidR="00763E9E" w:rsidRPr="00AB3349" w:rsidRDefault="00763E9E" w:rsidP="00763E9E">
      <w:pPr>
        <w:spacing w:line="240" w:lineRule="atLeast"/>
        <w:jc w:val="center"/>
        <w:rPr>
          <w:rFonts w:ascii="Arial" w:hAnsi="Arial" w:cs="Arial"/>
          <w:szCs w:val="24"/>
        </w:rPr>
      </w:pPr>
      <w:r w:rsidRPr="00AB3349">
        <w:rPr>
          <w:rFonts w:ascii="Arial" w:hAnsi="Arial" w:cs="Arial"/>
          <w:szCs w:val="24"/>
        </w:rPr>
        <w:lastRenderedPageBreak/>
        <w:t>Before the Florida Public Service Commission</w:t>
      </w:r>
    </w:p>
    <w:p w:rsidR="00763E9E" w:rsidRPr="00AB3349" w:rsidRDefault="00763E9E" w:rsidP="00763E9E">
      <w:pPr>
        <w:spacing w:line="240" w:lineRule="atLeast"/>
        <w:ind w:left="720"/>
        <w:jc w:val="center"/>
        <w:rPr>
          <w:rFonts w:ascii="Arial" w:hAnsi="Arial" w:cs="Arial"/>
          <w:szCs w:val="24"/>
        </w:rPr>
        <w:sectPr w:rsidR="00763E9E" w:rsidRPr="00AB3349" w:rsidSect="00455032">
          <w:type w:val="continuous"/>
          <w:pgSz w:w="12240" w:h="15840" w:code="1"/>
          <w:pgMar w:top="1570" w:right="1440" w:bottom="1800" w:left="1987" w:header="720" w:footer="720" w:gutter="0"/>
          <w:lnNumType w:countBy="1" w:start="1"/>
          <w:cols w:space="720"/>
          <w:titlePg/>
          <w:docGrid w:linePitch="326"/>
        </w:sectPr>
      </w:pPr>
    </w:p>
    <w:p w:rsidR="00763E9E" w:rsidRPr="00AB3349" w:rsidRDefault="00763E9E" w:rsidP="00763E9E">
      <w:pPr>
        <w:spacing w:line="240" w:lineRule="atLeast"/>
        <w:jc w:val="center"/>
        <w:rPr>
          <w:rFonts w:ascii="Arial" w:hAnsi="Arial" w:cs="Arial"/>
          <w:szCs w:val="24"/>
        </w:rPr>
      </w:pPr>
      <w:r w:rsidRPr="00AB3349">
        <w:rPr>
          <w:rFonts w:ascii="Arial" w:hAnsi="Arial" w:cs="Arial"/>
          <w:szCs w:val="24"/>
        </w:rPr>
        <w:lastRenderedPageBreak/>
        <w:t xml:space="preserve">Prepared Direct Testimony of </w:t>
      </w:r>
    </w:p>
    <w:p w:rsidR="00763E9E" w:rsidRPr="00AB3349" w:rsidRDefault="00763E9E" w:rsidP="00763E9E">
      <w:pPr>
        <w:spacing w:line="240" w:lineRule="atLeast"/>
        <w:ind w:left="720"/>
        <w:jc w:val="center"/>
        <w:rPr>
          <w:rFonts w:ascii="Arial" w:hAnsi="Arial" w:cs="Arial"/>
          <w:szCs w:val="24"/>
        </w:rPr>
        <w:sectPr w:rsidR="00763E9E" w:rsidRPr="00AB3349" w:rsidSect="00455032">
          <w:type w:val="continuous"/>
          <w:pgSz w:w="12240" w:h="15840" w:code="1"/>
          <w:pgMar w:top="1570" w:right="1440" w:bottom="1800" w:left="1987" w:header="720" w:footer="720" w:gutter="0"/>
          <w:cols w:space="720"/>
          <w:titlePg/>
          <w:docGrid w:linePitch="326"/>
        </w:sectPr>
      </w:pPr>
    </w:p>
    <w:p w:rsidR="00763E9E" w:rsidRPr="00AB3349" w:rsidRDefault="00763E9E" w:rsidP="00763E9E">
      <w:pPr>
        <w:spacing w:line="240" w:lineRule="atLeast"/>
        <w:jc w:val="center"/>
        <w:rPr>
          <w:rFonts w:ascii="Arial" w:hAnsi="Arial" w:cs="Arial"/>
          <w:szCs w:val="24"/>
        </w:rPr>
      </w:pPr>
      <w:r w:rsidRPr="00AB3349">
        <w:rPr>
          <w:rFonts w:ascii="Arial" w:hAnsi="Arial" w:cs="Arial"/>
          <w:szCs w:val="24"/>
        </w:rPr>
        <w:lastRenderedPageBreak/>
        <w:t>Constance J. Erickson</w:t>
      </w:r>
    </w:p>
    <w:p w:rsidR="00763E9E" w:rsidRPr="00AB3349" w:rsidRDefault="00763E9E" w:rsidP="00763E9E">
      <w:pPr>
        <w:spacing w:line="240" w:lineRule="atLeast"/>
        <w:ind w:left="720"/>
        <w:jc w:val="center"/>
        <w:rPr>
          <w:rFonts w:ascii="Arial" w:hAnsi="Arial" w:cs="Arial"/>
          <w:szCs w:val="24"/>
        </w:rPr>
        <w:sectPr w:rsidR="00763E9E" w:rsidRPr="00AB3349" w:rsidSect="00455032">
          <w:type w:val="continuous"/>
          <w:pgSz w:w="12240" w:h="15840" w:code="1"/>
          <w:pgMar w:top="1570" w:right="1440" w:bottom="1800" w:left="1987" w:header="720" w:footer="720" w:gutter="0"/>
          <w:lnNumType w:countBy="1" w:start="2"/>
          <w:cols w:space="720"/>
          <w:titlePg/>
          <w:docGrid w:linePitch="326"/>
        </w:sectPr>
      </w:pPr>
    </w:p>
    <w:p w:rsidR="00763E9E" w:rsidRPr="00AB3349" w:rsidRDefault="00763E9E" w:rsidP="00763E9E">
      <w:pPr>
        <w:spacing w:line="240" w:lineRule="atLeast"/>
        <w:jc w:val="center"/>
        <w:rPr>
          <w:rFonts w:ascii="Arial" w:hAnsi="Arial" w:cs="Arial"/>
          <w:szCs w:val="24"/>
        </w:rPr>
      </w:pPr>
      <w:r w:rsidRPr="00AB3349">
        <w:rPr>
          <w:rFonts w:ascii="Arial" w:hAnsi="Arial" w:cs="Arial"/>
          <w:szCs w:val="24"/>
        </w:rPr>
        <w:lastRenderedPageBreak/>
        <w:t>Docket No. 130140-EI</w:t>
      </w:r>
    </w:p>
    <w:p w:rsidR="00763E9E" w:rsidRPr="00AB3349" w:rsidRDefault="00763E9E" w:rsidP="00763E9E">
      <w:pPr>
        <w:spacing w:line="240" w:lineRule="atLeast"/>
        <w:ind w:left="720"/>
        <w:jc w:val="center"/>
        <w:rPr>
          <w:rFonts w:ascii="Arial" w:hAnsi="Arial" w:cs="Arial"/>
          <w:szCs w:val="24"/>
        </w:rPr>
        <w:sectPr w:rsidR="00763E9E" w:rsidRPr="00AB3349" w:rsidSect="00455032">
          <w:type w:val="continuous"/>
          <w:pgSz w:w="12240" w:h="15840" w:code="1"/>
          <w:pgMar w:top="1570" w:right="1440" w:bottom="1800" w:left="1987" w:header="720" w:footer="720" w:gutter="0"/>
          <w:cols w:space="720"/>
          <w:titlePg/>
          <w:docGrid w:linePitch="326"/>
        </w:sectPr>
      </w:pPr>
    </w:p>
    <w:p w:rsidR="00763E9E" w:rsidRPr="00AB3349" w:rsidRDefault="00763E9E" w:rsidP="00763E9E">
      <w:pPr>
        <w:spacing w:line="240" w:lineRule="atLeast"/>
        <w:jc w:val="center"/>
        <w:rPr>
          <w:rFonts w:ascii="Arial" w:hAnsi="Arial" w:cs="Arial"/>
          <w:szCs w:val="24"/>
        </w:rPr>
      </w:pPr>
      <w:r w:rsidRPr="00AB3349">
        <w:rPr>
          <w:rFonts w:ascii="Arial" w:hAnsi="Arial" w:cs="Arial"/>
          <w:szCs w:val="24"/>
        </w:rPr>
        <w:lastRenderedPageBreak/>
        <w:t>In Support of Rate Relief</w:t>
      </w:r>
    </w:p>
    <w:p w:rsidR="00763E9E" w:rsidRPr="00AB3349" w:rsidRDefault="00763E9E" w:rsidP="00763E9E">
      <w:pPr>
        <w:spacing w:line="240" w:lineRule="atLeast"/>
        <w:ind w:left="720"/>
        <w:jc w:val="center"/>
        <w:rPr>
          <w:rFonts w:ascii="Arial" w:hAnsi="Arial" w:cs="Arial"/>
          <w:szCs w:val="24"/>
        </w:rPr>
        <w:sectPr w:rsidR="00763E9E" w:rsidRPr="00AB3349" w:rsidSect="00455032">
          <w:type w:val="continuous"/>
          <w:pgSz w:w="12240" w:h="15840" w:code="1"/>
          <w:pgMar w:top="1570" w:right="1440" w:bottom="1800" w:left="1987" w:header="720" w:footer="720" w:gutter="0"/>
          <w:lnNumType w:countBy="1" w:start="3"/>
          <w:cols w:space="720"/>
          <w:titlePg/>
          <w:docGrid w:linePitch="326"/>
        </w:sectPr>
      </w:pPr>
    </w:p>
    <w:p w:rsidR="00763E9E" w:rsidRPr="00AB3349" w:rsidRDefault="00763E9E" w:rsidP="00763E9E">
      <w:pPr>
        <w:spacing w:line="240" w:lineRule="atLeast"/>
        <w:jc w:val="center"/>
        <w:rPr>
          <w:rFonts w:ascii="Arial" w:hAnsi="Arial" w:cs="Arial"/>
          <w:szCs w:val="24"/>
        </w:rPr>
      </w:pPr>
      <w:r w:rsidRPr="00AB3349">
        <w:rPr>
          <w:rFonts w:ascii="Arial" w:hAnsi="Arial" w:cs="Arial"/>
          <w:szCs w:val="24"/>
        </w:rPr>
        <w:lastRenderedPageBreak/>
        <w:t xml:space="preserve">Date of Filing: July </w:t>
      </w:r>
      <w:r w:rsidR="004865DF">
        <w:rPr>
          <w:rFonts w:ascii="Arial" w:hAnsi="Arial" w:cs="Arial"/>
          <w:szCs w:val="24"/>
        </w:rPr>
        <w:t>12</w:t>
      </w:r>
      <w:r w:rsidRPr="00AB3349">
        <w:rPr>
          <w:rFonts w:ascii="Arial" w:hAnsi="Arial" w:cs="Arial"/>
          <w:szCs w:val="24"/>
        </w:rPr>
        <w:t>, 2013</w:t>
      </w:r>
    </w:p>
    <w:p w:rsidR="00763E9E" w:rsidRPr="00AB3349" w:rsidRDefault="00763E9E" w:rsidP="00763E9E">
      <w:pPr>
        <w:spacing w:line="240" w:lineRule="atLeast"/>
        <w:ind w:left="720"/>
        <w:jc w:val="center"/>
        <w:rPr>
          <w:rFonts w:ascii="Arial" w:hAnsi="Arial" w:cs="Arial"/>
          <w:szCs w:val="24"/>
        </w:rPr>
        <w:sectPr w:rsidR="00763E9E" w:rsidRPr="00AB3349" w:rsidSect="00455032">
          <w:type w:val="continuous"/>
          <w:pgSz w:w="12240" w:h="15840" w:code="1"/>
          <w:pgMar w:top="1570" w:right="1440" w:bottom="1800" w:left="1987" w:header="720" w:footer="720" w:gutter="0"/>
          <w:cols w:space="720"/>
          <w:titlePg/>
          <w:docGrid w:linePitch="326"/>
        </w:sectPr>
      </w:pPr>
    </w:p>
    <w:p w:rsidR="00763E9E" w:rsidRPr="00AB3349" w:rsidRDefault="00763E9E" w:rsidP="00763E9E">
      <w:pPr>
        <w:spacing w:line="240" w:lineRule="atLeast"/>
        <w:ind w:left="720"/>
        <w:jc w:val="center"/>
        <w:rPr>
          <w:rStyle w:val="LineNumber"/>
          <w:rFonts w:ascii="Arial" w:hAnsi="Arial" w:cs="Arial"/>
          <w:szCs w:val="24"/>
        </w:rPr>
      </w:pPr>
    </w:p>
    <w:p w:rsidR="00763E9E" w:rsidRPr="008B7801" w:rsidRDefault="00763E9E" w:rsidP="00BC537A">
      <w:pPr>
        <w:spacing w:line="480" w:lineRule="atLeast"/>
        <w:ind w:left="720" w:hanging="720"/>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Please state your name and business address.</w:t>
      </w: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My name is </w:t>
      </w:r>
      <w:r w:rsidR="00A56602" w:rsidRPr="008B7801">
        <w:rPr>
          <w:rStyle w:val="LineNumber"/>
          <w:rFonts w:ascii="Arial" w:hAnsi="Arial" w:cs="Arial"/>
          <w:szCs w:val="24"/>
        </w:rPr>
        <w:t xml:space="preserve">Connie </w:t>
      </w:r>
      <w:r w:rsidRPr="008B7801">
        <w:rPr>
          <w:rStyle w:val="LineNumber"/>
          <w:rFonts w:ascii="Arial" w:hAnsi="Arial" w:cs="Arial"/>
          <w:szCs w:val="24"/>
        </w:rPr>
        <w:t>Erickson.  My business address is One Energy Place, Pensacola</w:t>
      </w:r>
      <w:r w:rsidR="006550BA" w:rsidRPr="008B7801">
        <w:rPr>
          <w:rStyle w:val="LineNumber"/>
          <w:rFonts w:ascii="Arial" w:hAnsi="Arial" w:cs="Arial"/>
          <w:szCs w:val="24"/>
        </w:rPr>
        <w:t>,</w:t>
      </w:r>
      <w:r w:rsidRPr="008B7801">
        <w:rPr>
          <w:rStyle w:val="LineNumber"/>
          <w:rFonts w:ascii="Arial" w:hAnsi="Arial" w:cs="Arial"/>
          <w:szCs w:val="24"/>
        </w:rPr>
        <w:t xml:space="preserve"> Florida, 32520.</w:t>
      </w:r>
    </w:p>
    <w:p w:rsidR="00763E9E" w:rsidRPr="008B7801" w:rsidRDefault="00763E9E" w:rsidP="00576C55">
      <w:pPr>
        <w:spacing w:line="480" w:lineRule="atLeast"/>
        <w:ind w:left="720" w:hanging="720"/>
        <w:rPr>
          <w:rStyle w:val="LineNumber"/>
          <w:rFonts w:ascii="Arial" w:hAnsi="Arial" w:cs="Arial"/>
          <w:szCs w:val="24"/>
        </w:rPr>
      </w:pP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By whom are you employed?</w:t>
      </w: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I am employed by Gulf Power Company (Gulf or the Company).  I serve as Gulf’s Comptroller.</w:t>
      </w:r>
    </w:p>
    <w:p w:rsidR="00763E9E" w:rsidRPr="008B7801" w:rsidRDefault="00763E9E" w:rsidP="00576C55">
      <w:pPr>
        <w:spacing w:line="480" w:lineRule="atLeast"/>
        <w:ind w:left="720"/>
        <w:rPr>
          <w:rStyle w:val="LineNumber"/>
          <w:rFonts w:ascii="Arial" w:hAnsi="Arial" w:cs="Arial"/>
          <w:szCs w:val="24"/>
        </w:rPr>
      </w:pP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are your responsibilities as Gulf’s Comptroller?</w:t>
      </w: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I am responsible for the financial and regulatory accounting functions of the Company.  My duties include maintaining Gulf’s corporate accounting records in accordance with Generally Accepted Accounting Principles in the U.S. (GAAP) and in accordance with the Uniform System of Accounts as prescribed by the Federal Energy Regulatory Commission (FERC) and adopted by the Florida Public Service Commission (FPSC or the Commission).  I have responsibility for the preparation of Gulf’s financial statements and various financial reports required by the U.S. Securities and Exchange Commission and the FPSC.</w:t>
      </w:r>
      <w:r w:rsidRPr="008B7801" w:rsidDel="0039291E">
        <w:rPr>
          <w:rStyle w:val="LineNumber"/>
          <w:rFonts w:ascii="Arial" w:hAnsi="Arial" w:cs="Arial"/>
          <w:szCs w:val="24"/>
        </w:rPr>
        <w:t xml:space="preserve"> </w:t>
      </w:r>
    </w:p>
    <w:p w:rsidR="00763E9E" w:rsidRPr="008B7801" w:rsidRDefault="00763E9E" w:rsidP="00576C55">
      <w:pPr>
        <w:tabs>
          <w:tab w:val="left" w:pos="994"/>
        </w:tabs>
        <w:spacing w:line="480" w:lineRule="atLeast"/>
        <w:ind w:left="720" w:hanging="720"/>
        <w:contextualSpacing/>
        <w:rPr>
          <w:rStyle w:val="LineNumber"/>
          <w:rFonts w:ascii="Arial" w:hAnsi="Arial" w:cs="Arial"/>
          <w:szCs w:val="24"/>
        </w:rPr>
      </w:pPr>
    </w:p>
    <w:p w:rsidR="00763E9E" w:rsidRPr="008B7801" w:rsidRDefault="00763E9E" w:rsidP="00576C55">
      <w:pPr>
        <w:tabs>
          <w:tab w:val="left" w:pos="994"/>
        </w:tabs>
        <w:spacing w:line="480" w:lineRule="atLeast"/>
        <w:ind w:left="720" w:hanging="720"/>
        <w:contextualSpacing/>
        <w:rPr>
          <w:rStyle w:val="LineNumber"/>
          <w:rFonts w:ascii="Arial" w:hAnsi="Arial" w:cs="Arial"/>
          <w:szCs w:val="24"/>
        </w:rPr>
      </w:pPr>
    </w:p>
    <w:p w:rsidR="00763E9E" w:rsidRPr="008B7801" w:rsidRDefault="00763E9E" w:rsidP="00576C55">
      <w:pPr>
        <w:tabs>
          <w:tab w:val="left" w:pos="994"/>
        </w:tabs>
        <w:spacing w:line="480" w:lineRule="atLeast"/>
        <w:ind w:left="720" w:hanging="720"/>
        <w:contextualSpacing/>
        <w:rPr>
          <w:rStyle w:val="LineNumber"/>
          <w:rFonts w:ascii="Arial" w:hAnsi="Arial" w:cs="Arial"/>
          <w:szCs w:val="24"/>
        </w:rPr>
        <w:sectPr w:rsidR="00763E9E" w:rsidRPr="008B7801" w:rsidSect="00BC537A">
          <w:footerReference w:type="first" r:id="rId15"/>
          <w:type w:val="continuous"/>
          <w:pgSz w:w="12240" w:h="15840" w:code="1"/>
          <w:pgMar w:top="1570" w:right="1440" w:bottom="1800" w:left="1987" w:header="720" w:footer="720" w:gutter="0"/>
          <w:lnNumType w:countBy="1" w:start="4"/>
          <w:cols w:space="720"/>
          <w:titlePg/>
          <w:docGrid w:linePitch="326"/>
        </w:sectPr>
      </w:pPr>
    </w:p>
    <w:p w:rsidR="00763E9E" w:rsidRPr="008B7801" w:rsidRDefault="00763E9E" w:rsidP="00576C55">
      <w:pPr>
        <w:tabs>
          <w:tab w:val="left" w:pos="994"/>
        </w:tabs>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lastRenderedPageBreak/>
        <w:t>Q.</w:t>
      </w:r>
      <w:r w:rsidRPr="008B7801">
        <w:rPr>
          <w:rStyle w:val="LineNumber"/>
          <w:rFonts w:ascii="Arial" w:hAnsi="Arial" w:cs="Arial"/>
          <w:szCs w:val="24"/>
        </w:rPr>
        <w:tab/>
        <w:t>Please state your prior work experience and responsibilities.</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From 1987 to 1992, I was employed with the audit division of Arthur Andersen &amp; Co.  From 1992 to 2002, I held various senior financial positions with GNB and Exide Technologies and with Graco Inc.  In 2002, I accepted employment with Southern Company and have held various financial positions, including Comptroller and Director of Customer Operations and Information Technology with Southern Company Gas and Director of Financial and Contract Services with Southern Company Services, until being named Comptroller of Gulf effective January 14, 2006.  </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is your educational background and professional certification?</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I graduated from the University of North Dakota in 1987 with a Bachelor of Accountancy degree.  Also, I am a licensed Certified Public Accountant and a member of the American Institute of Certified Public Accountants.</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is the purpose of your testimony?</w:t>
      </w:r>
    </w:p>
    <w:p w:rsidR="00455032"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My testimony (a) sets forth and </w:t>
      </w:r>
      <w:r w:rsidR="001573FB" w:rsidRPr="008B7801">
        <w:rPr>
          <w:rStyle w:val="LineNumber"/>
          <w:rFonts w:ascii="Arial" w:hAnsi="Arial" w:cs="Arial"/>
          <w:szCs w:val="24"/>
        </w:rPr>
        <w:t xml:space="preserve">supports </w:t>
      </w:r>
      <w:r w:rsidRPr="008B7801">
        <w:rPr>
          <w:rStyle w:val="LineNumber"/>
          <w:rFonts w:ascii="Arial" w:hAnsi="Arial" w:cs="Arial"/>
          <w:szCs w:val="24"/>
        </w:rPr>
        <w:t xml:space="preserve">Gulf’s 2014 Operations &amp; Maintenance (O&amp;M) expense budget within the Administrative &amp; General (A&amp;G) function, (b) justifies Gulf’s 2014 A&amp;G benchmark variance for expenses other than </w:t>
      </w:r>
      <w:r w:rsidR="00C53FA4" w:rsidRPr="008B7801">
        <w:rPr>
          <w:rStyle w:val="LineNumber"/>
          <w:rFonts w:ascii="Arial" w:hAnsi="Arial" w:cs="Arial"/>
          <w:szCs w:val="24"/>
        </w:rPr>
        <w:t>pension costs</w:t>
      </w:r>
      <w:r w:rsidRPr="008B7801">
        <w:rPr>
          <w:rStyle w:val="LineNumber"/>
          <w:rFonts w:ascii="Arial" w:hAnsi="Arial" w:cs="Arial"/>
          <w:szCs w:val="24"/>
        </w:rPr>
        <w:t xml:space="preserve">, (c) </w:t>
      </w:r>
      <w:r w:rsidR="001573FB" w:rsidRPr="008B7801">
        <w:rPr>
          <w:rStyle w:val="LineNumber"/>
          <w:rFonts w:ascii="Arial" w:hAnsi="Arial" w:cs="Arial"/>
          <w:szCs w:val="24"/>
        </w:rPr>
        <w:t xml:space="preserve">addresses </w:t>
      </w:r>
      <w:r w:rsidRPr="008B7801">
        <w:rPr>
          <w:rStyle w:val="LineNumber"/>
          <w:rFonts w:ascii="Arial" w:hAnsi="Arial" w:cs="Arial"/>
          <w:szCs w:val="24"/>
        </w:rPr>
        <w:t>why Director</w:t>
      </w:r>
      <w:r w:rsidR="00406BBF" w:rsidRPr="008B7801">
        <w:rPr>
          <w:rStyle w:val="LineNumber"/>
          <w:rFonts w:ascii="Arial" w:hAnsi="Arial" w:cs="Arial"/>
          <w:szCs w:val="24"/>
        </w:rPr>
        <w:t>s</w:t>
      </w:r>
      <w:r w:rsidRPr="008B7801">
        <w:rPr>
          <w:rStyle w:val="LineNumber"/>
          <w:rFonts w:ascii="Arial" w:hAnsi="Arial" w:cs="Arial"/>
          <w:szCs w:val="24"/>
        </w:rPr>
        <w:t xml:space="preserve"> and Officer</w:t>
      </w:r>
      <w:r w:rsidR="00406BBF" w:rsidRPr="008B7801">
        <w:rPr>
          <w:rStyle w:val="LineNumber"/>
          <w:rFonts w:ascii="Arial" w:hAnsi="Arial" w:cs="Arial"/>
          <w:szCs w:val="24"/>
        </w:rPr>
        <w:t>s</w:t>
      </w:r>
      <w:r w:rsidRPr="008B7801">
        <w:rPr>
          <w:rStyle w:val="LineNumber"/>
          <w:rFonts w:ascii="Arial" w:hAnsi="Arial" w:cs="Arial"/>
          <w:szCs w:val="24"/>
        </w:rPr>
        <w:t xml:space="preserve"> (D&amp;O) liability insurance expense</w:t>
      </w:r>
      <w:r w:rsidR="001573FB" w:rsidRPr="008B7801">
        <w:rPr>
          <w:rStyle w:val="LineNumber"/>
          <w:rFonts w:ascii="Arial" w:hAnsi="Arial" w:cs="Arial"/>
          <w:szCs w:val="24"/>
        </w:rPr>
        <w:t xml:space="preserve"> should be allowed</w:t>
      </w:r>
      <w:r w:rsidRPr="008B7801">
        <w:rPr>
          <w:rStyle w:val="LineNumber"/>
          <w:rFonts w:ascii="Arial" w:hAnsi="Arial" w:cs="Arial"/>
          <w:szCs w:val="24"/>
        </w:rPr>
        <w:t xml:space="preserve">, (d) supports the need to increase Gulf’s annual property damage accrual for the property damage reserve, (e) supports the changes in depreciation </w:t>
      </w:r>
      <w:r w:rsidR="00D06AF2" w:rsidRPr="008B7801">
        <w:rPr>
          <w:rStyle w:val="LineNumber"/>
          <w:rFonts w:ascii="Arial" w:hAnsi="Arial" w:cs="Arial"/>
          <w:szCs w:val="24"/>
        </w:rPr>
        <w:t xml:space="preserve">and </w:t>
      </w:r>
      <w:r w:rsidR="00B432BB" w:rsidRPr="008B7801">
        <w:rPr>
          <w:rStyle w:val="LineNumber"/>
          <w:rFonts w:ascii="Arial" w:hAnsi="Arial" w:cs="Arial"/>
          <w:szCs w:val="24"/>
        </w:rPr>
        <w:t>dismantlement expense included in the test year, and (f) discusses</w:t>
      </w:r>
      <w:r w:rsidR="0063074B" w:rsidRPr="008B7801">
        <w:rPr>
          <w:rStyle w:val="LineNumber"/>
          <w:rFonts w:ascii="Arial" w:hAnsi="Arial" w:cs="Arial"/>
          <w:szCs w:val="24"/>
        </w:rPr>
        <w:t xml:space="preserve"> income tax expense included in the test year.</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lastRenderedPageBreak/>
        <w:t>Q.</w:t>
      </w:r>
      <w:r w:rsidRPr="008B7801">
        <w:rPr>
          <w:rStyle w:val="LineNumber"/>
          <w:rFonts w:ascii="Arial" w:hAnsi="Arial" w:cs="Arial"/>
          <w:szCs w:val="24"/>
        </w:rPr>
        <w:tab/>
        <w:t>Are you relying on any independent studies performed in the regular course of business?</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Yes.  I am relying on the results of a Depreciation Study (Depreciation Study) prepared by Gulf Witness Huck, who is employed with American Appraisal Associates, Inc., a Dismantlement Study (Dismantlement Study) prepared by Southern Company Services, and </w:t>
      </w:r>
      <w:r w:rsidR="00070274" w:rsidRPr="008B7801">
        <w:rPr>
          <w:rStyle w:val="LineNumber"/>
          <w:rFonts w:ascii="Arial" w:hAnsi="Arial" w:cs="Arial"/>
          <w:szCs w:val="24"/>
        </w:rPr>
        <w:t xml:space="preserve">the Transmission and Distribution </w:t>
      </w:r>
      <w:r w:rsidRPr="008B7801">
        <w:rPr>
          <w:rStyle w:val="LineNumber"/>
          <w:rFonts w:ascii="Arial" w:hAnsi="Arial" w:cs="Arial"/>
          <w:szCs w:val="24"/>
        </w:rPr>
        <w:t>Hurricane Loss and Reserve Performance Analys</w:t>
      </w:r>
      <w:r w:rsidR="00070274" w:rsidRPr="008B7801">
        <w:rPr>
          <w:rStyle w:val="LineNumber"/>
          <w:rFonts w:ascii="Arial" w:hAnsi="Arial" w:cs="Arial"/>
          <w:szCs w:val="24"/>
        </w:rPr>
        <w:t>e</w:t>
      </w:r>
      <w:r w:rsidRPr="008B7801">
        <w:rPr>
          <w:rStyle w:val="LineNumber"/>
          <w:rFonts w:ascii="Arial" w:hAnsi="Arial" w:cs="Arial"/>
          <w:szCs w:val="24"/>
        </w:rPr>
        <w:t xml:space="preserve">s (Storm Study) prepared by Gulf Witness Harris, who is employed with EQECAT, Inc.  </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 xml:space="preserve">Third party studies performed by recognized experts are commonly used and relied upon by accounting experts to make accounting judgments.  Commission Rules 25-6.0436 and 25-6.04364 require Gulf to file a depreciation study and dismantlement study, respectively, a minimum of every four years.  Commission Rule 25-6.0143 requires Gulf to file a Storm Damage Self-Insurance Reserve Study at least once every five years.  These studies are regularly used by accounting </w:t>
      </w:r>
      <w:r w:rsidR="001573FB" w:rsidRPr="008B7801">
        <w:rPr>
          <w:rStyle w:val="LineNumber"/>
          <w:rFonts w:ascii="Arial" w:hAnsi="Arial" w:cs="Arial"/>
          <w:szCs w:val="24"/>
        </w:rPr>
        <w:t xml:space="preserve">professionals </w:t>
      </w:r>
      <w:r w:rsidRPr="008B7801">
        <w:rPr>
          <w:rStyle w:val="LineNumber"/>
          <w:rFonts w:ascii="Arial" w:hAnsi="Arial" w:cs="Arial"/>
          <w:szCs w:val="24"/>
        </w:rPr>
        <w:t xml:space="preserve">as the primary basis for determining proper levels of accounting accruals. In addition, the studies I rely upon to corroborate my opinion were commissioned by Gulf in order to fulfill its obligations under mandates of the Commission.  </w:t>
      </w:r>
    </w:p>
    <w:p w:rsidR="00D06AF2" w:rsidRPr="008B7801" w:rsidRDefault="00D06AF2" w:rsidP="00576C55">
      <w:pPr>
        <w:spacing w:line="480" w:lineRule="atLeast"/>
        <w:ind w:left="720" w:hanging="720"/>
        <w:contextualSpacing/>
        <w:rPr>
          <w:rStyle w:val="LineNumber"/>
          <w:rFonts w:ascii="Arial" w:hAnsi="Arial" w:cs="Arial"/>
          <w:szCs w:val="24"/>
        </w:rPr>
      </w:pPr>
    </w:p>
    <w:p w:rsidR="0063074B"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Are you sponsoring any exhibits?</w:t>
      </w:r>
    </w:p>
    <w:p w:rsidR="0063074B" w:rsidRPr="008B7801" w:rsidRDefault="0063074B"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Yes. I am sponsoring Exhibit CJE-1, Schedules 1 through 5.  Exhibit </w:t>
      </w:r>
      <w:r w:rsidRPr="008B7801">
        <w:rPr>
          <w:rStyle w:val="LineNumber"/>
          <w:rFonts w:ascii="Arial" w:hAnsi="Arial" w:cs="Arial"/>
          <w:szCs w:val="24"/>
        </w:rPr>
        <w:br/>
        <w:t>CJE-1 was prepared under my direction and control, and the information</w:t>
      </w:r>
    </w:p>
    <w:p w:rsidR="00763E9E" w:rsidRPr="008B7801" w:rsidRDefault="00763E9E" w:rsidP="00576C55">
      <w:pPr>
        <w:spacing w:line="480" w:lineRule="atLeast"/>
        <w:ind w:left="720"/>
        <w:rPr>
          <w:rStyle w:val="LineNumber"/>
          <w:rFonts w:ascii="Arial" w:hAnsi="Arial" w:cs="Arial"/>
          <w:szCs w:val="24"/>
        </w:rPr>
      </w:pPr>
      <w:r w:rsidRPr="008B7801">
        <w:rPr>
          <w:rStyle w:val="LineNumber"/>
          <w:rFonts w:ascii="Arial" w:hAnsi="Arial" w:cs="Arial"/>
          <w:szCs w:val="24"/>
        </w:rPr>
        <w:lastRenderedPageBreak/>
        <w:t>contained therein is true and correct to the best of my knowledge and belief.</w:t>
      </w:r>
    </w:p>
    <w:p w:rsidR="00763E9E" w:rsidRPr="008B7801" w:rsidRDefault="00763E9E" w:rsidP="00576C55">
      <w:pPr>
        <w:spacing w:line="480" w:lineRule="atLeast"/>
        <w:ind w:left="720" w:hanging="720"/>
        <w:rPr>
          <w:rStyle w:val="LineNumber"/>
          <w:rFonts w:ascii="Arial" w:hAnsi="Arial" w:cs="Arial"/>
          <w:szCs w:val="24"/>
        </w:rPr>
      </w:pP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Are you sponsoring any of the Minimum Filing Requirements (MFRs) filed by Gulf?</w:t>
      </w: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Yes.  The MFRs that I sponsor or co-sponsor are listed on Schedule 1 of Exhibit CJE-1.  The information contained in the MFRs I sponsor or co-sponsor is true and correct to the best of my knowledge and belief.</w:t>
      </w:r>
    </w:p>
    <w:p w:rsidR="00763E9E" w:rsidRPr="008B7801" w:rsidRDefault="00763E9E" w:rsidP="00576C55">
      <w:pPr>
        <w:spacing w:line="480" w:lineRule="atLeast"/>
        <w:ind w:left="720" w:hanging="720"/>
        <w:rPr>
          <w:rStyle w:val="LineNumber"/>
          <w:rFonts w:ascii="Arial" w:hAnsi="Arial" w:cs="Arial"/>
          <w:szCs w:val="24"/>
        </w:rPr>
      </w:pP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How are the Company’s accounting records maintained?</w:t>
      </w: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Gulf maintains its books and records in accordance with GAAP and the rules and regulations prescribed for public utilities in the Uniform System of Accounts published by the FERC and adopted by the FPSC.</w:t>
      </w:r>
    </w:p>
    <w:p w:rsidR="00763E9E" w:rsidRPr="008B7801" w:rsidRDefault="00763E9E" w:rsidP="00576C55">
      <w:pPr>
        <w:spacing w:line="480" w:lineRule="atLeast"/>
        <w:ind w:left="720" w:hanging="720"/>
        <w:rPr>
          <w:rStyle w:val="LineNumber"/>
          <w:rFonts w:ascii="Arial" w:hAnsi="Arial" w:cs="Arial"/>
          <w:szCs w:val="24"/>
        </w:rPr>
      </w:pPr>
    </w:p>
    <w:p w:rsidR="00763E9E" w:rsidRPr="008B7801" w:rsidRDefault="00763E9E" w:rsidP="00576C55">
      <w:pPr>
        <w:spacing w:line="480" w:lineRule="atLeast"/>
        <w:ind w:left="720" w:hanging="720"/>
        <w:rPr>
          <w:rStyle w:val="LineNumber"/>
          <w:rFonts w:ascii="Arial" w:hAnsi="Arial" w:cs="Arial"/>
          <w:szCs w:val="24"/>
        </w:rPr>
      </w:pPr>
    </w:p>
    <w:p w:rsidR="00763E9E" w:rsidRPr="008B7801" w:rsidRDefault="00763E9E" w:rsidP="00576C55">
      <w:pPr>
        <w:tabs>
          <w:tab w:val="left" w:pos="0"/>
        </w:tabs>
        <w:spacing w:line="480" w:lineRule="atLeast"/>
        <w:jc w:val="center"/>
        <w:rPr>
          <w:rStyle w:val="LineNumber"/>
          <w:rFonts w:ascii="Arial" w:hAnsi="Arial" w:cs="Arial"/>
          <w:b/>
          <w:szCs w:val="24"/>
        </w:rPr>
      </w:pPr>
      <w:r w:rsidRPr="008B7801">
        <w:rPr>
          <w:rStyle w:val="LineNumber"/>
          <w:rFonts w:ascii="Arial" w:hAnsi="Arial" w:cs="Arial"/>
          <w:b/>
          <w:szCs w:val="24"/>
        </w:rPr>
        <w:t>I. ADMINISTRATIVE AND GENERAL EXPENSES</w:t>
      </w:r>
    </w:p>
    <w:p w:rsidR="00763E9E" w:rsidRPr="008B7801" w:rsidRDefault="00763E9E" w:rsidP="00576C55">
      <w:pPr>
        <w:pStyle w:val="ListParagraph"/>
        <w:spacing w:after="0" w:line="480" w:lineRule="atLeast"/>
        <w:ind w:hanging="720"/>
        <w:contextualSpacing w:val="0"/>
        <w:rPr>
          <w:rStyle w:val="LineNumber"/>
          <w:rFonts w:ascii="Arial" w:hAnsi="Arial" w:cs="Arial"/>
          <w:szCs w:val="24"/>
        </w:rPr>
      </w:pP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is Gulf’s A&amp;G O&amp;M expense budget for the 2014 test year?</w:t>
      </w: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Gulf projects an O&amp;M expense level for the A&amp;G function of $89,767,000 in the test year.</w:t>
      </w:r>
    </w:p>
    <w:p w:rsidR="003E1064" w:rsidRPr="008B7801" w:rsidRDefault="003E1064" w:rsidP="00576C55">
      <w:pPr>
        <w:spacing w:line="480" w:lineRule="atLeast"/>
        <w:ind w:left="720" w:hanging="720"/>
        <w:rPr>
          <w:rStyle w:val="LineNumber"/>
          <w:rFonts w:ascii="Arial" w:hAnsi="Arial" w:cs="Arial"/>
          <w:szCs w:val="24"/>
        </w:rPr>
      </w:pPr>
    </w:p>
    <w:p w:rsidR="00763E9E" w:rsidRPr="008B7801" w:rsidRDefault="00D06AF2"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Is Gulf’s projected level of A&amp;G expenses of $89,767,000 in 2014</w:t>
      </w:r>
    </w:p>
    <w:p w:rsidR="00763E9E" w:rsidRPr="008B7801" w:rsidRDefault="00763E9E" w:rsidP="00576C55">
      <w:pPr>
        <w:spacing w:line="480" w:lineRule="atLeast"/>
        <w:ind w:left="720"/>
        <w:rPr>
          <w:rStyle w:val="LineNumber"/>
          <w:rFonts w:ascii="Arial" w:hAnsi="Arial" w:cs="Arial"/>
          <w:szCs w:val="24"/>
        </w:rPr>
      </w:pPr>
      <w:r w:rsidRPr="008B7801">
        <w:rPr>
          <w:rStyle w:val="LineNumber"/>
          <w:rFonts w:ascii="Arial" w:hAnsi="Arial" w:cs="Arial"/>
          <w:szCs w:val="24"/>
        </w:rPr>
        <w:t>reasonable and prudent?</w:t>
      </w: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Yes.  The projected level of A&amp;G expenses is both reasonable and prudent.  Gulf’s 2014 A&amp;G O&amp;M expenses are based on the extensive budget preparation and review process that each planning unit follows as discussed </w:t>
      </w:r>
      <w:r w:rsidRPr="008B7801">
        <w:rPr>
          <w:rStyle w:val="LineNumber"/>
          <w:rFonts w:ascii="Arial" w:hAnsi="Arial" w:cs="Arial"/>
          <w:szCs w:val="24"/>
        </w:rPr>
        <w:lastRenderedPageBreak/>
        <w:t>by Gulf Witness Ritenour.  This process ensures that every item included in the budget is based upon the most accurate and up-to-date assumptions and reflects the reasonable needs of each unit to fulfill its business function.</w:t>
      </w:r>
    </w:p>
    <w:p w:rsidR="00763E9E" w:rsidRPr="008B7801" w:rsidRDefault="00763E9E" w:rsidP="00576C55">
      <w:pPr>
        <w:spacing w:line="480" w:lineRule="atLeast"/>
        <w:ind w:left="720" w:hanging="720"/>
        <w:rPr>
          <w:rStyle w:val="LineNumber"/>
          <w:rFonts w:ascii="Arial" w:hAnsi="Arial" w:cs="Arial"/>
          <w:szCs w:val="24"/>
        </w:rPr>
      </w:pPr>
    </w:p>
    <w:p w:rsidR="00763E9E" w:rsidRPr="008B7801" w:rsidRDefault="00763E9E" w:rsidP="00576C55">
      <w:pPr>
        <w:spacing w:line="480" w:lineRule="atLeast"/>
        <w:ind w:left="720"/>
        <w:rPr>
          <w:rStyle w:val="LineNumber"/>
          <w:rFonts w:ascii="Arial" w:hAnsi="Arial" w:cs="Arial"/>
          <w:szCs w:val="24"/>
        </w:rPr>
      </w:pPr>
      <w:r w:rsidRPr="008B7801">
        <w:rPr>
          <w:rStyle w:val="LineNumber"/>
          <w:rFonts w:ascii="Arial" w:hAnsi="Arial" w:cs="Arial"/>
          <w:szCs w:val="24"/>
        </w:rPr>
        <w:t>The A&amp;G expense budget consists of a wide range of corporate expenses that are not associated with any particular operating function.  There are a number of planning units within the A&amp;G function.  Some of these include Accounting, Finance, Treasury, Human Resources, Information Technology, External Affairs, Supply Chain, and Corporate Services.  Each planning unit within the A&amp;G function is responsible for developing budgets for employees as well as office supplies and expenses within its unit.  The remaining A&amp;G expenses</w:t>
      </w:r>
      <w:r w:rsidR="006152B5">
        <w:rPr>
          <w:rStyle w:val="LineNumber"/>
          <w:rFonts w:ascii="Arial" w:hAnsi="Arial" w:cs="Arial"/>
          <w:szCs w:val="24"/>
        </w:rPr>
        <w:t>—</w:t>
      </w:r>
      <w:r w:rsidRPr="008B7801">
        <w:rPr>
          <w:rStyle w:val="LineNumber"/>
          <w:rFonts w:ascii="Arial" w:hAnsi="Arial" w:cs="Arial"/>
          <w:szCs w:val="24"/>
        </w:rPr>
        <w:t>insurance, employee benefits, and other miscellaneous expenses</w:t>
      </w:r>
      <w:r w:rsidR="006152B5">
        <w:rPr>
          <w:rStyle w:val="LineNumber"/>
          <w:rFonts w:ascii="Arial" w:hAnsi="Arial" w:cs="Arial"/>
          <w:szCs w:val="24"/>
        </w:rPr>
        <w:t>—</w:t>
      </w:r>
      <w:r w:rsidRPr="008B7801">
        <w:rPr>
          <w:rStyle w:val="LineNumber"/>
          <w:rFonts w:ascii="Arial" w:hAnsi="Arial" w:cs="Arial"/>
          <w:szCs w:val="24"/>
        </w:rPr>
        <w:t>are budgeted at a corporate level using the latest assumptions for the projected period.</w:t>
      </w:r>
    </w:p>
    <w:p w:rsidR="00763E9E" w:rsidRPr="008B7801" w:rsidRDefault="00763E9E" w:rsidP="00576C55">
      <w:pPr>
        <w:spacing w:line="480" w:lineRule="atLeast"/>
        <w:ind w:left="720" w:hanging="720"/>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 xml:space="preserve">Is Gulf’s projected level of A&amp;G expenses of $89,767,000 in 2014 representative of a going forward level of A&amp;G expense beyond 2014? </w:t>
      </w:r>
    </w:p>
    <w:p w:rsidR="00763E9E" w:rsidRPr="008B7801" w:rsidRDefault="00763E9E" w:rsidP="00576C55">
      <w:pPr>
        <w:spacing w:line="480" w:lineRule="atLeast"/>
        <w:ind w:left="720" w:hanging="720"/>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Yes.  As noted above and discussed by Ms. Ritenour, the Company’s</w:t>
      </w:r>
    </w:p>
    <w:p w:rsidR="00C63E12" w:rsidRPr="008B7801" w:rsidRDefault="00D06AF2" w:rsidP="00BC537A">
      <w:pPr>
        <w:spacing w:line="480" w:lineRule="atLeast"/>
        <w:ind w:left="720" w:hanging="720"/>
        <w:rPr>
          <w:rStyle w:val="LineNumber"/>
          <w:rFonts w:ascii="Arial" w:hAnsi="Arial" w:cs="Arial"/>
          <w:szCs w:val="24"/>
        </w:rPr>
      </w:pPr>
      <w:r w:rsidRPr="008B7801">
        <w:rPr>
          <w:rStyle w:val="LineNumber"/>
          <w:rFonts w:ascii="Arial" w:hAnsi="Arial" w:cs="Arial"/>
          <w:szCs w:val="24"/>
        </w:rPr>
        <w:tab/>
        <w:t>budget process is very thorough, and O&amp;M projections are prepared at a</w:t>
      </w:r>
    </w:p>
    <w:p w:rsidR="00F02253" w:rsidRPr="008B7801" w:rsidRDefault="00F02253" w:rsidP="00576C55">
      <w:pPr>
        <w:spacing w:line="480" w:lineRule="atLeast"/>
        <w:ind w:left="720"/>
        <w:rPr>
          <w:rStyle w:val="LineNumber"/>
          <w:rFonts w:ascii="Arial" w:hAnsi="Arial" w:cs="Arial"/>
          <w:szCs w:val="24"/>
        </w:rPr>
      </w:pPr>
      <w:r w:rsidRPr="008B7801">
        <w:rPr>
          <w:rStyle w:val="LineNumber"/>
          <w:rFonts w:ascii="Arial" w:hAnsi="Arial" w:cs="Arial"/>
          <w:szCs w:val="24"/>
        </w:rPr>
        <w:t>detailed level for a five year period.  Schedule 2 of Exhibit CJE-1</w:t>
      </w: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compares total A&amp;G expenses, including the net operating income</w:t>
      </w:r>
      <w:r w:rsidR="00D541AF" w:rsidRPr="008B7801">
        <w:rPr>
          <w:rStyle w:val="LineNumber"/>
          <w:rFonts w:ascii="Arial" w:hAnsi="Arial" w:cs="Arial"/>
          <w:szCs w:val="24"/>
        </w:rPr>
        <w:t xml:space="preserve"> (NOI)</w:t>
      </w:r>
      <w:r w:rsidRPr="008B7801">
        <w:rPr>
          <w:rStyle w:val="LineNumber"/>
          <w:rFonts w:ascii="Arial" w:hAnsi="Arial" w:cs="Arial"/>
          <w:szCs w:val="24"/>
        </w:rPr>
        <w:t xml:space="preserve"> adjustments, for the 2014 test year with the projections for the three years 2015 through 2017.  A&amp;G expenses identified in the budget process for the years 2015 through 2017 are in line with the 2014 A&amp;G expenses.</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 xml:space="preserve"> </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lastRenderedPageBreak/>
        <w:t>Q.</w:t>
      </w:r>
      <w:r w:rsidRPr="008B7801">
        <w:rPr>
          <w:rStyle w:val="LineNumber"/>
          <w:rFonts w:ascii="Arial" w:hAnsi="Arial" w:cs="Arial"/>
          <w:szCs w:val="24"/>
        </w:rPr>
        <w:tab/>
        <w:t>Please address the primary factors that have driven Gulf’s overall A&amp;G expenses up since Gulf’s prior rate case.</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Other than </w:t>
      </w:r>
      <w:r w:rsidR="00C53FA4" w:rsidRPr="008B7801">
        <w:rPr>
          <w:rStyle w:val="LineNumber"/>
          <w:rFonts w:ascii="Arial" w:hAnsi="Arial" w:cs="Arial"/>
          <w:szCs w:val="24"/>
        </w:rPr>
        <w:t>pension</w:t>
      </w:r>
      <w:r w:rsidR="001F7380" w:rsidRPr="008B7801">
        <w:rPr>
          <w:rStyle w:val="LineNumber"/>
          <w:rFonts w:ascii="Arial" w:hAnsi="Arial" w:cs="Arial"/>
          <w:szCs w:val="24"/>
        </w:rPr>
        <w:t xml:space="preserve"> </w:t>
      </w:r>
      <w:r w:rsidRPr="008B7801">
        <w:rPr>
          <w:rStyle w:val="LineNumber"/>
          <w:rFonts w:ascii="Arial" w:hAnsi="Arial" w:cs="Arial"/>
          <w:szCs w:val="24"/>
        </w:rPr>
        <w:t xml:space="preserve">costs, which are addressed by Gulf Witness Garvie, there are two primary factors that have resulted in increases in Gulf’s A&amp;G expense since Gulf’s last base rate increase.    </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The first major driver of increased A&amp;G expense is the annual accrual to the property damage reserve.  The balance in Gulf</w:t>
      </w:r>
      <w:r w:rsidR="00D124BB">
        <w:rPr>
          <w:rStyle w:val="LineNumber"/>
          <w:rFonts w:ascii="Arial" w:hAnsi="Arial" w:cs="Arial"/>
          <w:szCs w:val="24"/>
        </w:rPr>
        <w:t>’s</w:t>
      </w:r>
      <w:r w:rsidRPr="008B7801">
        <w:rPr>
          <w:rStyle w:val="LineNumber"/>
          <w:rFonts w:ascii="Arial" w:hAnsi="Arial" w:cs="Arial"/>
          <w:szCs w:val="24"/>
        </w:rPr>
        <w:t xml:space="preserve"> Property Damage Reserve is approximately $32,883,000 as of March 31, 2013.  In Gulf’s last rate case, the Commission determined the appropriate range for that reserve is $48,000,000 to $55,000,000.  Based on the Storm Study’s expected average annual loss to be covered by the reserve of $6,800,000</w:t>
      </w:r>
      <w:r w:rsidR="000D2241" w:rsidRPr="008B7801">
        <w:rPr>
          <w:rStyle w:val="LineNumber"/>
          <w:rFonts w:ascii="Arial" w:hAnsi="Arial" w:cs="Arial"/>
          <w:szCs w:val="24"/>
        </w:rPr>
        <w:t xml:space="preserve"> and the balance in the reserve as of March 31, 2013</w:t>
      </w:r>
      <w:r w:rsidRPr="008B7801">
        <w:rPr>
          <w:rStyle w:val="LineNumber"/>
          <w:rFonts w:ascii="Arial" w:hAnsi="Arial" w:cs="Arial"/>
          <w:szCs w:val="24"/>
        </w:rPr>
        <w:t>, Gulf has determined that an annual accrual to the reserve of $9,000,000 is necessary to allow Gulf a reasonable opportunity to achieve the minimum of the Commission’s target range in seven years</w:t>
      </w:r>
      <w:r w:rsidR="00D541AF" w:rsidRPr="008B7801">
        <w:rPr>
          <w:rStyle w:val="LineNumber"/>
          <w:rFonts w:ascii="Arial" w:hAnsi="Arial" w:cs="Arial"/>
          <w:szCs w:val="24"/>
        </w:rPr>
        <w:t>,</w:t>
      </w:r>
      <w:r w:rsidR="00214D2F" w:rsidRPr="008B7801">
        <w:rPr>
          <w:rStyle w:val="LineNumber"/>
          <w:rFonts w:ascii="Arial" w:hAnsi="Arial" w:cs="Arial"/>
          <w:szCs w:val="24"/>
        </w:rPr>
        <w:t xml:space="preserve"> assuming actual losses do not materially exceed the projected losses</w:t>
      </w:r>
      <w:r w:rsidRPr="008B7801">
        <w:rPr>
          <w:rStyle w:val="LineNumber"/>
          <w:rFonts w:ascii="Arial" w:hAnsi="Arial" w:cs="Arial"/>
          <w:szCs w:val="24"/>
        </w:rPr>
        <w:t>.</w:t>
      </w:r>
    </w:p>
    <w:p w:rsidR="00763E9E" w:rsidRPr="008B7801" w:rsidRDefault="00763E9E" w:rsidP="00576C55">
      <w:pPr>
        <w:spacing w:line="480" w:lineRule="atLeast"/>
        <w:ind w:left="720"/>
        <w:contextualSpacing/>
        <w:rPr>
          <w:rStyle w:val="LineNumber"/>
          <w:rFonts w:ascii="Arial" w:hAnsi="Arial" w:cs="Arial"/>
          <w:szCs w:val="24"/>
        </w:rPr>
      </w:pPr>
    </w:p>
    <w:p w:rsidR="00763E9E" w:rsidRPr="008B7801" w:rsidRDefault="00D06AF2"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The second major driver of increased A&amp;G expense is rate case expense,</w:t>
      </w:r>
      <w:r w:rsidR="00455032">
        <w:rPr>
          <w:rStyle w:val="LineNumber"/>
          <w:rFonts w:ascii="Arial" w:hAnsi="Arial" w:cs="Arial"/>
          <w:szCs w:val="24"/>
        </w:rPr>
        <w:t xml:space="preserve"> </w:t>
      </w:r>
      <w:r w:rsidR="00763E9E" w:rsidRPr="008B7801">
        <w:rPr>
          <w:rStyle w:val="LineNumber"/>
          <w:rFonts w:ascii="Arial" w:hAnsi="Arial" w:cs="Arial"/>
          <w:szCs w:val="24"/>
        </w:rPr>
        <w:t xml:space="preserve">which increased due to the </w:t>
      </w:r>
      <w:r w:rsidR="001573FB" w:rsidRPr="008B7801">
        <w:rPr>
          <w:rStyle w:val="LineNumber"/>
          <w:rFonts w:ascii="Arial" w:hAnsi="Arial" w:cs="Arial"/>
          <w:szCs w:val="24"/>
        </w:rPr>
        <w:t xml:space="preserve">expected </w:t>
      </w:r>
      <w:r w:rsidR="00763E9E" w:rsidRPr="008B7801">
        <w:rPr>
          <w:rStyle w:val="LineNumber"/>
          <w:rFonts w:ascii="Arial" w:hAnsi="Arial" w:cs="Arial"/>
          <w:szCs w:val="24"/>
        </w:rPr>
        <w:t>costs of filing this rate case.</w:t>
      </w:r>
    </w:p>
    <w:p w:rsidR="003E1064" w:rsidRPr="008B7801" w:rsidRDefault="003E1064" w:rsidP="00576C55">
      <w:pPr>
        <w:spacing w:line="480" w:lineRule="atLeast"/>
        <w:ind w:left="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How does Gulf’s 2014 A&amp;G expense forecast compare to the A&amp;G O&amp;M expense benchmark calculation historically employed by the Commission?</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The A&amp;G benchmark is $78,744,000.  This calculation is described in Gulf Witness McMillan’s testimony.  Gulf’s projected 2014 A&amp;G expenses are </w:t>
      </w:r>
      <w:r w:rsidRPr="008B7801">
        <w:rPr>
          <w:rStyle w:val="LineNumber"/>
          <w:rFonts w:ascii="Arial" w:hAnsi="Arial" w:cs="Arial"/>
          <w:szCs w:val="24"/>
        </w:rPr>
        <w:lastRenderedPageBreak/>
        <w:t>$89,767,000.  These A&amp;G expenses exceed the A&amp;G benchmark by $11,023,000.  These values are shown on Exhibit CJE-1, Schedule 3.</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Previously, you mentioned that Gulf’s proposed level of A&amp;G expense was reasonable and prudent.  Please elaborate on this in light of the benchmark variance.</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Gulf’s 2014 A&amp;G expense budget is the product of a sophisticated and demanding budget process that has been described at a corporate level by Ms. Ritenour and at a functional level by me and other witnesses.  This is the budget process that Gulf employs year in and year out to manage its business.  In that process, Gulf does not use the Commission’s O&amp;M benchmark approach.  Gulf’s budget process is very robust and considers matters beyond the Consumer Price Index (CPI) and customer growth. </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 xml:space="preserve">Moreover, as the discussion below shows, some A&amp;G expense increases in the electric utility industry are unrelated to either customer growth or inflation.  In the A&amp;G area, costs can be and are driven by other outside factors.  An example of this includes pension expense in excess of the CPI.  Given the increasing trend in A&amp;G costs, the test year is a conservative representation of the on-going level of expenses. </w:t>
      </w:r>
      <w:r w:rsidR="00525534" w:rsidRPr="008B7801">
        <w:rPr>
          <w:rStyle w:val="LineNumber"/>
          <w:rFonts w:ascii="Arial" w:hAnsi="Arial" w:cs="Arial"/>
          <w:szCs w:val="24"/>
        </w:rPr>
        <w:t xml:space="preserve"> </w:t>
      </w:r>
      <w:r w:rsidRPr="008B7801">
        <w:rPr>
          <w:rStyle w:val="LineNumber"/>
          <w:rFonts w:ascii="Arial" w:hAnsi="Arial" w:cs="Arial"/>
          <w:szCs w:val="24"/>
        </w:rPr>
        <w:t>Gulf’s projected A&amp;G O&amp;M expenses are reasonable, prudent, and necessary.</w:t>
      </w:r>
    </w:p>
    <w:p w:rsidR="003E1064" w:rsidRPr="008B7801" w:rsidRDefault="003E1064" w:rsidP="00576C55">
      <w:pPr>
        <w:spacing w:line="480" w:lineRule="atLeast"/>
        <w:ind w:left="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Please address how Gulf has justified its $11,023,000 A&amp;G benchmark variance.</w:t>
      </w:r>
    </w:p>
    <w:p w:rsidR="00D82B5A" w:rsidRDefault="00904758" w:rsidP="00D82B5A">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Gulf’s A&amp;G benchmark variance is justified by </w:t>
      </w:r>
      <w:r w:rsidR="00F70776">
        <w:rPr>
          <w:rStyle w:val="LineNumber"/>
          <w:rFonts w:ascii="Arial" w:hAnsi="Arial" w:cs="Arial"/>
          <w:szCs w:val="24"/>
        </w:rPr>
        <w:t>Mr.</w:t>
      </w:r>
      <w:r w:rsidRPr="008B7801">
        <w:rPr>
          <w:rStyle w:val="LineNumber"/>
          <w:rFonts w:ascii="Arial" w:hAnsi="Arial" w:cs="Arial"/>
          <w:szCs w:val="24"/>
        </w:rPr>
        <w:t xml:space="preserve"> Garvie and by</w:t>
      </w:r>
      <w:r w:rsidR="00D82B5A">
        <w:rPr>
          <w:rStyle w:val="LineNumber"/>
          <w:rFonts w:ascii="Arial" w:hAnsi="Arial" w:cs="Arial"/>
          <w:szCs w:val="24"/>
        </w:rPr>
        <w:t xml:space="preserve"> </w:t>
      </w:r>
      <w:r w:rsidR="00763E9E" w:rsidRPr="008B7801">
        <w:rPr>
          <w:rStyle w:val="LineNumber"/>
          <w:rFonts w:ascii="Arial" w:hAnsi="Arial" w:cs="Arial"/>
          <w:szCs w:val="24"/>
        </w:rPr>
        <w:t>me.</w:t>
      </w:r>
    </w:p>
    <w:p w:rsidR="00763E9E" w:rsidRPr="008B7801" w:rsidRDefault="00245DE9" w:rsidP="00D82B5A">
      <w:pPr>
        <w:spacing w:line="480" w:lineRule="atLeast"/>
        <w:ind w:left="720"/>
        <w:contextualSpacing/>
        <w:rPr>
          <w:rStyle w:val="LineNumber"/>
          <w:rFonts w:ascii="Arial" w:hAnsi="Arial" w:cs="Arial"/>
          <w:szCs w:val="24"/>
        </w:rPr>
      </w:pPr>
      <w:r w:rsidRPr="008B7801">
        <w:rPr>
          <w:rStyle w:val="LineNumber"/>
          <w:rFonts w:ascii="Arial" w:hAnsi="Arial" w:cs="Arial"/>
          <w:szCs w:val="24"/>
        </w:rPr>
        <w:lastRenderedPageBreak/>
        <w:t xml:space="preserve">Mr. Garvie provides a justification of pension expense that is </w:t>
      </w:r>
      <w:r w:rsidR="00C807E5" w:rsidRPr="008B7801">
        <w:rPr>
          <w:rStyle w:val="LineNumber"/>
          <w:rFonts w:ascii="Arial" w:hAnsi="Arial" w:cs="Arial"/>
          <w:szCs w:val="24"/>
        </w:rPr>
        <w:t>$5,871,000</w:t>
      </w:r>
      <w:r w:rsidRPr="008B7801">
        <w:rPr>
          <w:rStyle w:val="LineNumber"/>
          <w:rFonts w:ascii="Arial" w:hAnsi="Arial" w:cs="Arial"/>
          <w:szCs w:val="24"/>
        </w:rPr>
        <w:t xml:space="preserve"> over the benchmark</w:t>
      </w:r>
      <w:r w:rsidR="00075A12" w:rsidRPr="008B7801">
        <w:rPr>
          <w:rStyle w:val="LineNumber"/>
          <w:rFonts w:ascii="Arial" w:hAnsi="Arial" w:cs="Arial"/>
          <w:szCs w:val="24"/>
        </w:rPr>
        <w:t xml:space="preserve">. </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tabs>
          <w:tab w:val="left" w:pos="1440"/>
        </w:tabs>
        <w:spacing w:line="480" w:lineRule="atLeast"/>
        <w:ind w:left="720"/>
        <w:contextualSpacing/>
        <w:rPr>
          <w:rStyle w:val="LineNumber"/>
          <w:rFonts w:ascii="Arial" w:hAnsi="Arial" w:cs="Arial"/>
          <w:szCs w:val="24"/>
        </w:rPr>
      </w:pPr>
      <w:r w:rsidRPr="008B7801">
        <w:rPr>
          <w:rStyle w:val="LineNumber"/>
          <w:rFonts w:ascii="Arial" w:hAnsi="Arial" w:cs="Arial"/>
          <w:szCs w:val="24"/>
        </w:rPr>
        <w:t>I justify the remaining A&amp;G O&amp;M benchmark variance for the areas listed below as shown on Exhibit CJE-1, Schedule 3:</w:t>
      </w:r>
    </w:p>
    <w:p w:rsidR="00763E9E" w:rsidRPr="008B7801" w:rsidRDefault="00763E9E" w:rsidP="00576C55">
      <w:pPr>
        <w:tabs>
          <w:tab w:val="left" w:pos="1440"/>
        </w:tabs>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1440" w:hanging="720"/>
        <w:contextualSpacing/>
        <w:rPr>
          <w:rStyle w:val="LineNumber"/>
          <w:rFonts w:ascii="Arial" w:hAnsi="Arial" w:cs="Arial"/>
          <w:szCs w:val="24"/>
        </w:rPr>
      </w:pPr>
      <w:r w:rsidRPr="008B7801">
        <w:rPr>
          <w:rStyle w:val="LineNumber"/>
          <w:rFonts w:ascii="Arial" w:hAnsi="Arial" w:cs="Arial"/>
          <w:szCs w:val="24"/>
        </w:rPr>
        <w:t>Property Damage Accrual</w:t>
      </w:r>
      <w:r w:rsidRPr="008B7801">
        <w:rPr>
          <w:rStyle w:val="LineNumber"/>
          <w:rFonts w:ascii="Arial" w:hAnsi="Arial" w:cs="Arial"/>
          <w:szCs w:val="24"/>
        </w:rPr>
        <w:tab/>
      </w:r>
      <w:r w:rsidRPr="008B7801">
        <w:rPr>
          <w:rStyle w:val="LineNumber"/>
          <w:rFonts w:ascii="Arial" w:hAnsi="Arial" w:cs="Arial"/>
          <w:szCs w:val="24"/>
        </w:rPr>
        <w:tab/>
        <w:t>$5,249,000</w:t>
      </w:r>
    </w:p>
    <w:p w:rsidR="00763E9E" w:rsidRPr="008B7801" w:rsidRDefault="00763E9E" w:rsidP="00576C55">
      <w:pPr>
        <w:spacing w:line="480" w:lineRule="atLeast"/>
        <w:ind w:left="1440" w:hanging="720"/>
        <w:contextualSpacing/>
        <w:rPr>
          <w:rStyle w:val="LineNumber"/>
          <w:rFonts w:ascii="Arial" w:hAnsi="Arial" w:cs="Arial"/>
          <w:szCs w:val="24"/>
        </w:rPr>
      </w:pPr>
      <w:r w:rsidRPr="008B7801">
        <w:rPr>
          <w:rStyle w:val="LineNumber"/>
          <w:rFonts w:ascii="Arial" w:hAnsi="Arial" w:cs="Arial"/>
          <w:szCs w:val="24"/>
        </w:rPr>
        <w:t>Rate Case Expense</w:t>
      </w:r>
      <w:r w:rsidRPr="008B7801">
        <w:rPr>
          <w:rStyle w:val="LineNumber"/>
          <w:rFonts w:ascii="Arial" w:hAnsi="Arial" w:cs="Arial"/>
          <w:szCs w:val="24"/>
        </w:rPr>
        <w:tab/>
      </w:r>
      <w:r w:rsidRPr="008B7801">
        <w:rPr>
          <w:rStyle w:val="LineNumber"/>
          <w:rFonts w:ascii="Arial" w:hAnsi="Arial" w:cs="Arial"/>
          <w:szCs w:val="24"/>
        </w:rPr>
        <w:tab/>
      </w:r>
      <w:r w:rsidRPr="008B7801">
        <w:rPr>
          <w:rStyle w:val="LineNumber"/>
          <w:rFonts w:ascii="Arial" w:hAnsi="Arial" w:cs="Arial"/>
          <w:szCs w:val="24"/>
        </w:rPr>
        <w:tab/>
      </w:r>
      <w:r w:rsidRPr="008B7801">
        <w:rPr>
          <w:rStyle w:val="LineNumber"/>
          <w:rFonts w:ascii="Arial" w:hAnsi="Arial" w:cs="Arial"/>
          <w:szCs w:val="24"/>
          <w:u w:val="single"/>
        </w:rPr>
        <w:t xml:space="preserve">     880,000</w:t>
      </w:r>
    </w:p>
    <w:p w:rsidR="00763E9E" w:rsidRPr="008B7801" w:rsidRDefault="00763E9E" w:rsidP="00576C55">
      <w:pPr>
        <w:spacing w:line="480" w:lineRule="atLeast"/>
        <w:ind w:left="1440" w:hanging="720"/>
        <w:contextualSpacing/>
        <w:rPr>
          <w:rStyle w:val="LineNumber"/>
          <w:rFonts w:ascii="Arial" w:hAnsi="Arial" w:cs="Arial"/>
          <w:szCs w:val="24"/>
        </w:rPr>
      </w:pPr>
      <w:r w:rsidRPr="008B7801">
        <w:rPr>
          <w:rStyle w:val="LineNumber"/>
          <w:rFonts w:ascii="Arial" w:hAnsi="Arial" w:cs="Arial"/>
          <w:szCs w:val="24"/>
        </w:rPr>
        <w:t>Total</w:t>
      </w:r>
      <w:r w:rsidRPr="008B7801">
        <w:rPr>
          <w:rStyle w:val="LineNumber"/>
          <w:rFonts w:ascii="Arial" w:hAnsi="Arial" w:cs="Arial"/>
          <w:szCs w:val="24"/>
        </w:rPr>
        <w:tab/>
      </w:r>
      <w:r w:rsidRPr="008B7801">
        <w:rPr>
          <w:rStyle w:val="LineNumber"/>
          <w:rFonts w:ascii="Arial" w:hAnsi="Arial" w:cs="Arial"/>
          <w:szCs w:val="24"/>
        </w:rPr>
        <w:tab/>
      </w:r>
      <w:r w:rsidRPr="008B7801">
        <w:rPr>
          <w:rStyle w:val="LineNumber"/>
          <w:rFonts w:ascii="Arial" w:hAnsi="Arial" w:cs="Arial"/>
          <w:szCs w:val="24"/>
        </w:rPr>
        <w:tab/>
      </w:r>
      <w:r w:rsidRPr="008B7801">
        <w:rPr>
          <w:rStyle w:val="LineNumber"/>
          <w:rFonts w:ascii="Arial" w:hAnsi="Arial" w:cs="Arial"/>
          <w:szCs w:val="24"/>
        </w:rPr>
        <w:tab/>
        <w:t xml:space="preserve">           $6,129,000</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 xml:space="preserve">           </w:t>
      </w:r>
    </w:p>
    <w:p w:rsidR="00285094"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 xml:space="preserve">Additionally, I justify why there should be no disallowance of D&amp;O liability insurance expense. </w:t>
      </w:r>
    </w:p>
    <w:p w:rsidR="00285094" w:rsidRPr="008B7801" w:rsidRDefault="00285094" w:rsidP="00576C55">
      <w:pPr>
        <w:spacing w:line="480" w:lineRule="atLeast"/>
        <w:ind w:left="720"/>
        <w:contextualSpacing/>
        <w:rPr>
          <w:rStyle w:val="LineNumber"/>
          <w:rFonts w:ascii="Arial" w:hAnsi="Arial" w:cs="Arial"/>
          <w:szCs w:val="24"/>
        </w:rPr>
      </w:pPr>
    </w:p>
    <w:p w:rsidR="00075A12" w:rsidRPr="008B7801" w:rsidRDefault="00763E9E" w:rsidP="00576C55">
      <w:pPr>
        <w:pStyle w:val="ListParagraph"/>
        <w:numPr>
          <w:ilvl w:val="0"/>
          <w:numId w:val="2"/>
        </w:numPr>
        <w:spacing w:after="0" w:line="480" w:lineRule="atLeast"/>
        <w:jc w:val="center"/>
        <w:rPr>
          <w:rStyle w:val="LineNumber"/>
          <w:rFonts w:ascii="Arial" w:hAnsi="Arial" w:cs="Arial"/>
          <w:szCs w:val="24"/>
        </w:rPr>
      </w:pPr>
      <w:r w:rsidRPr="008B7801">
        <w:rPr>
          <w:rStyle w:val="LineNumber"/>
          <w:rFonts w:ascii="Arial" w:hAnsi="Arial" w:cs="Arial"/>
          <w:szCs w:val="24"/>
        </w:rPr>
        <w:t>Property Damage Accrual</w:t>
      </w:r>
    </w:p>
    <w:p w:rsidR="00A755C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is the benchmark variance for the property damage reserve accrual on Exhibit CJE-1, Schedule 3?</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The 2014 level for the property damage reserve accrual is $9,000,000, which is $5,249,000 above the benchmark.</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 xml:space="preserve">Please address why Gulf’s 2014 annual accrual to the property damage reserve exceeds the benchmark by $5,249,000. </w:t>
      </w:r>
    </w:p>
    <w:p w:rsidR="00B61777" w:rsidRPr="008B7801" w:rsidRDefault="00B61777"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As I discuss later in my testimony, this annual accrual level is the level of</w:t>
      </w: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 xml:space="preserve">the expected average annual loss to be covered by the reserve, $6,800,000, as determined in Gulf’s 2011 Storm Study, and an additional annual amount of $2,200,000 as an increase to the reserve.  Allowing the </w:t>
      </w:r>
      <w:r w:rsidRPr="008B7801">
        <w:rPr>
          <w:rStyle w:val="LineNumber"/>
          <w:rFonts w:ascii="Arial" w:hAnsi="Arial" w:cs="Arial"/>
          <w:szCs w:val="24"/>
        </w:rPr>
        <w:lastRenderedPageBreak/>
        <w:t xml:space="preserve">proposed annual accrual at this level would enable Gulf to reach the bottom of its Commission-approved target range for the property damage reserve in seven years </w:t>
      </w:r>
      <w:r w:rsidR="00B53385" w:rsidRPr="008B7801">
        <w:rPr>
          <w:rStyle w:val="LineNumber"/>
          <w:rFonts w:ascii="Arial" w:hAnsi="Arial" w:cs="Arial"/>
          <w:szCs w:val="24"/>
        </w:rPr>
        <w:t>assuming actual losses do not materially exceed the projected losses</w:t>
      </w:r>
      <w:r w:rsidRPr="008B7801">
        <w:rPr>
          <w:rStyle w:val="LineNumber"/>
          <w:rFonts w:ascii="Arial" w:hAnsi="Arial" w:cs="Arial"/>
          <w:szCs w:val="24"/>
        </w:rPr>
        <w:t xml:space="preserve">.  Maintenance of a property damage reserve that can handle a significant but not catastrophic storm spreads the cost of the storms out to each generation of Gulf’s customers, recognizing that </w:t>
      </w:r>
      <w:r w:rsidR="00D124BB">
        <w:rPr>
          <w:rStyle w:val="LineNumber"/>
          <w:rFonts w:ascii="Arial" w:hAnsi="Arial" w:cs="Arial"/>
          <w:szCs w:val="24"/>
        </w:rPr>
        <w:t>property damage</w:t>
      </w:r>
      <w:r w:rsidRPr="008B7801">
        <w:rPr>
          <w:rStyle w:val="LineNumber"/>
          <w:rFonts w:ascii="Arial" w:hAnsi="Arial" w:cs="Arial"/>
          <w:szCs w:val="24"/>
        </w:rPr>
        <w:t xml:space="preserve"> cost recovery is a continuing cost of service even in years </w:t>
      </w:r>
      <w:r w:rsidR="001573FB" w:rsidRPr="008B7801">
        <w:rPr>
          <w:rStyle w:val="LineNumber"/>
          <w:rFonts w:ascii="Arial" w:hAnsi="Arial" w:cs="Arial"/>
          <w:szCs w:val="24"/>
        </w:rPr>
        <w:t xml:space="preserve">when </w:t>
      </w:r>
      <w:r w:rsidRPr="008B7801">
        <w:rPr>
          <w:rStyle w:val="LineNumber"/>
          <w:rFonts w:ascii="Arial" w:hAnsi="Arial" w:cs="Arial"/>
          <w:szCs w:val="24"/>
        </w:rPr>
        <w:t>there are no storms.  A properly funded property damage reserve helps mitigate a situation where customers who happen to be served during a storm event or shortly thereafter absorb the entire storm’s cost through a storm surcharge.</w:t>
      </w:r>
    </w:p>
    <w:p w:rsidR="00763E9E" w:rsidRPr="008B7801" w:rsidRDefault="00763E9E" w:rsidP="00576C55">
      <w:pPr>
        <w:spacing w:line="480" w:lineRule="atLeast"/>
        <w:ind w:left="720"/>
        <w:contextualSpacing/>
        <w:rPr>
          <w:rStyle w:val="LineNumber"/>
          <w:rFonts w:ascii="Arial" w:hAnsi="Arial" w:cs="Arial"/>
          <w:szCs w:val="24"/>
        </w:rPr>
      </w:pP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 xml:space="preserve">The current annual </w:t>
      </w:r>
      <w:r w:rsidR="00525534" w:rsidRPr="008B7801">
        <w:rPr>
          <w:rStyle w:val="LineNumber"/>
          <w:rFonts w:ascii="Arial" w:hAnsi="Arial" w:cs="Arial"/>
          <w:szCs w:val="24"/>
        </w:rPr>
        <w:t xml:space="preserve">property damage </w:t>
      </w:r>
      <w:r w:rsidRPr="008B7801">
        <w:rPr>
          <w:rStyle w:val="LineNumber"/>
          <w:rFonts w:ascii="Arial" w:hAnsi="Arial" w:cs="Arial"/>
          <w:szCs w:val="24"/>
        </w:rPr>
        <w:t>accrual</w:t>
      </w:r>
      <w:r w:rsidR="0017263C" w:rsidRPr="008B7801">
        <w:rPr>
          <w:rStyle w:val="LineNumber"/>
          <w:rFonts w:ascii="Arial" w:hAnsi="Arial" w:cs="Arial"/>
          <w:szCs w:val="24"/>
        </w:rPr>
        <w:t xml:space="preserve"> was</w:t>
      </w:r>
      <w:r w:rsidRPr="008B7801">
        <w:rPr>
          <w:rStyle w:val="LineNumber"/>
          <w:rFonts w:ascii="Arial" w:hAnsi="Arial" w:cs="Arial"/>
          <w:szCs w:val="24"/>
        </w:rPr>
        <w:t xml:space="preserve"> approved in November 1996 in Order No. PSC-96-1334-FOF-EI in Docket No. 951433-EI</w:t>
      </w:r>
      <w:r w:rsidR="00525534" w:rsidRPr="008B7801">
        <w:rPr>
          <w:rStyle w:val="LineNumber"/>
          <w:rFonts w:ascii="Arial" w:hAnsi="Arial" w:cs="Arial"/>
          <w:szCs w:val="24"/>
        </w:rPr>
        <w:t>.</w:t>
      </w:r>
      <w:r w:rsidRPr="008B7801">
        <w:rPr>
          <w:rStyle w:val="LineNumber"/>
          <w:rFonts w:ascii="Arial" w:hAnsi="Arial" w:cs="Arial"/>
          <w:szCs w:val="24"/>
        </w:rPr>
        <w:t xml:space="preserve"> </w:t>
      </w:r>
      <w:r w:rsidR="00525534" w:rsidRPr="008B7801">
        <w:rPr>
          <w:rStyle w:val="LineNumber"/>
          <w:rFonts w:ascii="Arial" w:hAnsi="Arial" w:cs="Arial"/>
          <w:szCs w:val="24"/>
        </w:rPr>
        <w:t xml:space="preserve"> This $3,500,000 accrual</w:t>
      </w:r>
      <w:r w:rsidRPr="008B7801">
        <w:rPr>
          <w:rStyle w:val="LineNumber"/>
          <w:rFonts w:ascii="Arial" w:hAnsi="Arial" w:cs="Arial"/>
          <w:szCs w:val="24"/>
        </w:rPr>
        <w:t xml:space="preserve"> has not been adjusted for inflation or customer growth.  Gulf’s proposed $9,000,000 annual accrual to achieve the Commission-approved reserve target is a $5,500,000 increase in the annual accrual and a $5,249,000 increase over the benchmark.  The increase is justified because it supports the Commission’s goal of building an adequate reserve to cover most storms and recognizes that storm costs are a recurring cost of service.  </w:t>
      </w:r>
    </w:p>
    <w:p w:rsidR="00BC79FD" w:rsidRPr="008B7801" w:rsidRDefault="00BC79FD" w:rsidP="00576C55">
      <w:pPr>
        <w:spacing w:line="480" w:lineRule="atLeast"/>
        <w:ind w:left="720"/>
        <w:contextualSpacing/>
        <w:rPr>
          <w:rStyle w:val="LineNumber"/>
          <w:rFonts w:ascii="Arial" w:hAnsi="Arial" w:cs="Arial"/>
          <w:szCs w:val="24"/>
        </w:rPr>
      </w:pPr>
    </w:p>
    <w:p w:rsidR="00763E9E" w:rsidRPr="008B7801" w:rsidRDefault="00763E9E" w:rsidP="00576C55">
      <w:pPr>
        <w:spacing w:line="480" w:lineRule="atLeast"/>
        <w:contextualSpacing/>
        <w:jc w:val="center"/>
        <w:rPr>
          <w:rStyle w:val="LineNumber"/>
          <w:rFonts w:ascii="Arial" w:hAnsi="Arial" w:cs="Arial"/>
          <w:szCs w:val="24"/>
        </w:rPr>
      </w:pPr>
      <w:r w:rsidRPr="008B7801">
        <w:rPr>
          <w:rStyle w:val="LineNumber"/>
          <w:rFonts w:ascii="Arial" w:hAnsi="Arial" w:cs="Arial"/>
          <w:szCs w:val="24"/>
        </w:rPr>
        <w:t>B. Rate Case Expense</w:t>
      </w:r>
    </w:p>
    <w:p w:rsidR="00763E9E" w:rsidRPr="008B7801" w:rsidRDefault="00763E9E" w:rsidP="00576C55">
      <w:pPr>
        <w:widowControl w:val="0"/>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 xml:space="preserve">The next category of A&amp;G O&amp;M benchmark justification is rate case expense.  Please explain how the estimated rate case expense for the 2013 rate case was calculated and address the associated benchmark variance </w:t>
      </w:r>
      <w:r w:rsidRPr="008B7801">
        <w:rPr>
          <w:rStyle w:val="LineNumber"/>
          <w:rFonts w:ascii="Arial" w:hAnsi="Arial" w:cs="Arial"/>
          <w:szCs w:val="24"/>
        </w:rPr>
        <w:lastRenderedPageBreak/>
        <w:t>for rate case expense on Exhibit CJE-1, Schedule 3.</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Gulf’s recent rate case experience shows that the cost of a rate case continues to increase due to more discovery, more contested issues and more witnesses as part of a rate case.  To address these additional demands, Gulf</w:t>
      </w:r>
      <w:r w:rsidR="00A65566" w:rsidRPr="008B7801">
        <w:rPr>
          <w:rStyle w:val="LineNumber"/>
          <w:rFonts w:ascii="Arial" w:hAnsi="Arial" w:cs="Arial"/>
          <w:szCs w:val="24"/>
        </w:rPr>
        <w:t xml:space="preserve"> anticipates</w:t>
      </w:r>
      <w:r w:rsidRPr="008B7801">
        <w:rPr>
          <w:rStyle w:val="LineNumber"/>
          <w:rFonts w:ascii="Arial" w:hAnsi="Arial" w:cs="Arial"/>
          <w:szCs w:val="24"/>
        </w:rPr>
        <w:t xml:space="preserve"> </w:t>
      </w:r>
      <w:r w:rsidR="005F5111" w:rsidRPr="008B7801">
        <w:rPr>
          <w:rStyle w:val="LineNumber"/>
          <w:rFonts w:ascii="Arial" w:hAnsi="Arial" w:cs="Arial"/>
          <w:szCs w:val="24"/>
        </w:rPr>
        <w:t>incurring</w:t>
      </w:r>
      <w:r w:rsidRPr="008B7801">
        <w:rPr>
          <w:rStyle w:val="LineNumber"/>
          <w:rFonts w:ascii="Arial" w:hAnsi="Arial" w:cs="Arial"/>
          <w:szCs w:val="24"/>
        </w:rPr>
        <w:t xml:space="preserve"> more expenses for incremental labor resources</w:t>
      </w:r>
      <w:r w:rsidR="00A65566" w:rsidRPr="008B7801">
        <w:rPr>
          <w:rStyle w:val="LineNumber"/>
          <w:rFonts w:ascii="Arial" w:hAnsi="Arial" w:cs="Arial"/>
          <w:szCs w:val="24"/>
        </w:rPr>
        <w:t>,</w:t>
      </w:r>
      <w:r w:rsidRPr="008B7801">
        <w:rPr>
          <w:rStyle w:val="LineNumber"/>
          <w:rFonts w:ascii="Arial" w:hAnsi="Arial" w:cs="Arial"/>
          <w:szCs w:val="24"/>
        </w:rPr>
        <w:t xml:space="preserve"> additional outside consulting and legal fees than was approved in its last rate case </w:t>
      </w:r>
      <w:r w:rsidR="002D5FF3" w:rsidRPr="008B7801">
        <w:rPr>
          <w:rStyle w:val="LineNumber"/>
          <w:rFonts w:ascii="Arial" w:hAnsi="Arial" w:cs="Arial"/>
          <w:szCs w:val="24"/>
        </w:rPr>
        <w:t xml:space="preserve">after </w:t>
      </w:r>
      <w:r w:rsidRPr="008B7801">
        <w:rPr>
          <w:rStyle w:val="LineNumber"/>
          <w:rFonts w:ascii="Arial" w:hAnsi="Arial" w:cs="Arial"/>
          <w:szCs w:val="24"/>
        </w:rPr>
        <w:t>escalat</w:t>
      </w:r>
      <w:r w:rsidR="002D5FF3" w:rsidRPr="008B7801">
        <w:rPr>
          <w:rStyle w:val="LineNumber"/>
          <w:rFonts w:ascii="Arial" w:hAnsi="Arial" w:cs="Arial"/>
          <w:szCs w:val="24"/>
        </w:rPr>
        <w:t>ion</w:t>
      </w:r>
      <w:r w:rsidRPr="008B7801">
        <w:rPr>
          <w:rStyle w:val="LineNumber"/>
          <w:rFonts w:ascii="Arial" w:hAnsi="Arial" w:cs="Arial"/>
          <w:szCs w:val="24"/>
        </w:rPr>
        <w:t xml:space="preserve"> </w:t>
      </w:r>
      <w:r w:rsidR="00236ECF" w:rsidRPr="008B7801">
        <w:rPr>
          <w:rStyle w:val="LineNumber"/>
          <w:rFonts w:ascii="Arial" w:hAnsi="Arial" w:cs="Arial"/>
          <w:szCs w:val="24"/>
        </w:rPr>
        <w:t xml:space="preserve">for </w:t>
      </w:r>
      <w:r w:rsidRPr="008B7801">
        <w:rPr>
          <w:rStyle w:val="LineNumber"/>
          <w:rFonts w:ascii="Arial" w:hAnsi="Arial" w:cs="Arial"/>
          <w:szCs w:val="24"/>
        </w:rPr>
        <w:t>CPI and customer growth.</w:t>
      </w:r>
    </w:p>
    <w:p w:rsidR="00763E9E" w:rsidRPr="008B7801" w:rsidRDefault="00763E9E" w:rsidP="00576C55">
      <w:pPr>
        <w:spacing w:line="480" w:lineRule="atLeast"/>
        <w:ind w:left="720" w:hanging="720"/>
        <w:contextualSpacing/>
        <w:rPr>
          <w:rStyle w:val="LineNumber"/>
          <w:rFonts w:ascii="Arial" w:hAnsi="Arial" w:cs="Arial"/>
          <w:szCs w:val="24"/>
        </w:rPr>
      </w:pPr>
    </w:p>
    <w:p w:rsidR="005B2BC4"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 xml:space="preserve">The Company estimates rate case expense for its 2013 rate case to be $4,922,000.  This amount was calculated by taking the rate case expense incurred in Gulf’s </w:t>
      </w:r>
      <w:r w:rsidR="006D5754" w:rsidRPr="008B7801">
        <w:rPr>
          <w:rStyle w:val="LineNumber"/>
          <w:rFonts w:ascii="Arial" w:hAnsi="Arial" w:cs="Arial"/>
          <w:szCs w:val="24"/>
        </w:rPr>
        <w:t xml:space="preserve">2011 </w:t>
      </w:r>
      <w:r w:rsidRPr="008B7801">
        <w:rPr>
          <w:rStyle w:val="LineNumber"/>
          <w:rFonts w:ascii="Arial" w:hAnsi="Arial" w:cs="Arial"/>
          <w:szCs w:val="24"/>
        </w:rPr>
        <w:t>rate case, $4,26</w:t>
      </w:r>
      <w:r w:rsidR="009B31C9" w:rsidRPr="008B7801">
        <w:rPr>
          <w:rStyle w:val="LineNumber"/>
          <w:rFonts w:ascii="Arial" w:hAnsi="Arial" w:cs="Arial"/>
          <w:szCs w:val="24"/>
        </w:rPr>
        <w:t>8</w:t>
      </w:r>
      <w:r w:rsidRPr="008B7801">
        <w:rPr>
          <w:rStyle w:val="LineNumber"/>
          <w:rFonts w:ascii="Arial" w:hAnsi="Arial" w:cs="Arial"/>
          <w:szCs w:val="24"/>
        </w:rPr>
        <w:t>,000</w:t>
      </w:r>
      <w:r w:rsidR="00214D2F" w:rsidRPr="008B7801">
        <w:rPr>
          <w:rStyle w:val="LineNumber"/>
          <w:rFonts w:ascii="Arial" w:hAnsi="Arial" w:cs="Arial"/>
          <w:szCs w:val="24"/>
        </w:rPr>
        <w:t xml:space="preserve"> and adding </w:t>
      </w:r>
      <w:r w:rsidR="009B31C9" w:rsidRPr="008B7801">
        <w:rPr>
          <w:rStyle w:val="LineNumber"/>
          <w:rFonts w:ascii="Arial" w:hAnsi="Arial" w:cs="Arial"/>
          <w:szCs w:val="24"/>
        </w:rPr>
        <w:t>an additional amount for attorney resources for Human Resource issues and discovery, depreciation and storm study witnesses and incremental labor due to the demands of a rate case</w:t>
      </w:r>
      <w:r w:rsidRPr="008B7801">
        <w:rPr>
          <w:rStyle w:val="LineNumber"/>
          <w:rFonts w:ascii="Arial" w:hAnsi="Arial" w:cs="Arial"/>
          <w:szCs w:val="24"/>
        </w:rPr>
        <w:t xml:space="preserve">.  </w:t>
      </w:r>
      <w:r w:rsidR="009B31C9" w:rsidRPr="008B7801">
        <w:rPr>
          <w:rStyle w:val="LineNumber"/>
          <w:rFonts w:ascii="Arial" w:hAnsi="Arial" w:cs="Arial"/>
          <w:szCs w:val="24"/>
        </w:rPr>
        <w:t>The incremental labor represents c</w:t>
      </w:r>
      <w:r w:rsidRPr="008B7801">
        <w:rPr>
          <w:rStyle w:val="LineNumber"/>
          <w:rFonts w:ascii="Arial" w:hAnsi="Arial" w:cs="Arial"/>
          <w:szCs w:val="24"/>
        </w:rPr>
        <w:t xml:space="preserve">ertain positions </w:t>
      </w:r>
      <w:r w:rsidR="009B31C9" w:rsidRPr="008B7801">
        <w:rPr>
          <w:rStyle w:val="LineNumber"/>
          <w:rFonts w:ascii="Arial" w:hAnsi="Arial" w:cs="Arial"/>
          <w:szCs w:val="24"/>
        </w:rPr>
        <w:t xml:space="preserve">which </w:t>
      </w:r>
      <w:r w:rsidRPr="008B7801">
        <w:rPr>
          <w:rStyle w:val="LineNumber"/>
          <w:rFonts w:ascii="Arial" w:hAnsi="Arial" w:cs="Arial"/>
          <w:szCs w:val="24"/>
        </w:rPr>
        <w:t xml:space="preserve">have been temporarily backfilled with contract employees in order to meet the incremental labor demands associated with a rate case filing.  This incremental labor is necessary to ensure that both normal business operations and internal controls continue to operate effectively while the Company is handling the demands of a case.  </w:t>
      </w:r>
      <w:r w:rsidR="009B31C9" w:rsidRPr="008B7801">
        <w:rPr>
          <w:rStyle w:val="LineNumber"/>
          <w:rFonts w:ascii="Arial" w:hAnsi="Arial" w:cs="Arial"/>
          <w:szCs w:val="24"/>
        </w:rPr>
        <w:t xml:space="preserve">The additional amount was partially offset by one less rate design consultant. </w:t>
      </w:r>
    </w:p>
    <w:p w:rsidR="00EF7963" w:rsidRPr="008B7801" w:rsidRDefault="00EF7963" w:rsidP="00576C55">
      <w:pPr>
        <w:spacing w:line="480" w:lineRule="atLeast"/>
        <w:ind w:left="720"/>
        <w:contextualSpacing/>
        <w:rPr>
          <w:rStyle w:val="LineNumber"/>
          <w:rFonts w:ascii="Arial" w:hAnsi="Arial" w:cs="Arial"/>
          <w:szCs w:val="24"/>
        </w:rPr>
      </w:pP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The benchmark variance of $880,000 is due to an NOI adjustment of $930,000 in the 2014 test year.  This NOI adjustment</w:t>
      </w:r>
      <w:r w:rsidR="00DB4864" w:rsidRPr="008B7801">
        <w:rPr>
          <w:rStyle w:val="LineNumber"/>
          <w:rFonts w:ascii="Arial" w:hAnsi="Arial" w:cs="Arial"/>
          <w:szCs w:val="24"/>
        </w:rPr>
        <w:t>, which accounts for both the current rate case expense estimate and unrecovered expenses from the prior rate case,</w:t>
      </w:r>
      <w:r w:rsidRPr="008B7801">
        <w:rPr>
          <w:rStyle w:val="LineNumber"/>
          <w:rFonts w:ascii="Arial" w:hAnsi="Arial" w:cs="Arial"/>
          <w:szCs w:val="24"/>
        </w:rPr>
        <w:t xml:space="preserve"> is discussed in Ms. Ritenour’s testimony.</w:t>
      </w:r>
    </w:p>
    <w:p w:rsidR="00763E9E" w:rsidRPr="008B7801" w:rsidRDefault="00763E9E" w:rsidP="00576C55">
      <w:pPr>
        <w:spacing w:line="480" w:lineRule="atLeast"/>
        <w:contextualSpacing/>
        <w:jc w:val="center"/>
        <w:rPr>
          <w:rStyle w:val="LineNumber"/>
          <w:rFonts w:ascii="Arial" w:eastAsiaTheme="minorEastAsia" w:hAnsi="Arial" w:cs="Arial"/>
          <w:szCs w:val="24"/>
        </w:rPr>
      </w:pPr>
      <w:r w:rsidRPr="008B7801">
        <w:rPr>
          <w:rStyle w:val="LineNumber"/>
          <w:rFonts w:ascii="Arial" w:eastAsiaTheme="minorEastAsia" w:hAnsi="Arial" w:cs="Arial"/>
          <w:szCs w:val="24"/>
        </w:rPr>
        <w:lastRenderedPageBreak/>
        <w:t>C. Director</w:t>
      </w:r>
      <w:r w:rsidR="00406BBF" w:rsidRPr="008B7801">
        <w:rPr>
          <w:rStyle w:val="LineNumber"/>
          <w:rFonts w:ascii="Arial" w:eastAsiaTheme="minorEastAsia" w:hAnsi="Arial" w:cs="Arial"/>
          <w:szCs w:val="24"/>
        </w:rPr>
        <w:t>s</w:t>
      </w:r>
      <w:r w:rsidRPr="008B7801">
        <w:rPr>
          <w:rStyle w:val="LineNumber"/>
          <w:rFonts w:ascii="Arial" w:eastAsiaTheme="minorEastAsia" w:hAnsi="Arial" w:cs="Arial"/>
          <w:szCs w:val="24"/>
        </w:rPr>
        <w:t xml:space="preserve"> and Officer</w:t>
      </w:r>
      <w:r w:rsidR="00406BBF" w:rsidRPr="008B7801">
        <w:rPr>
          <w:rStyle w:val="LineNumber"/>
          <w:rFonts w:ascii="Arial" w:eastAsiaTheme="minorEastAsia" w:hAnsi="Arial" w:cs="Arial"/>
          <w:szCs w:val="24"/>
        </w:rPr>
        <w:t>s</w:t>
      </w:r>
      <w:r w:rsidRPr="008B7801">
        <w:rPr>
          <w:rStyle w:val="LineNumber"/>
          <w:rFonts w:ascii="Arial" w:eastAsiaTheme="minorEastAsia" w:hAnsi="Arial" w:cs="Arial"/>
          <w:szCs w:val="24"/>
        </w:rPr>
        <w:t xml:space="preserve"> Liability Insurance</w:t>
      </w:r>
    </w:p>
    <w:p w:rsidR="00763E9E" w:rsidRPr="008B7801" w:rsidRDefault="00763E9E" w:rsidP="00576C55">
      <w:pPr>
        <w:tabs>
          <w:tab w:val="left" w:pos="720"/>
        </w:tabs>
        <w:spacing w:line="480" w:lineRule="atLeast"/>
        <w:ind w:left="720" w:hanging="720"/>
        <w:contextualSpacing/>
        <w:rPr>
          <w:rStyle w:val="LineNumber"/>
          <w:rFonts w:ascii="Arial" w:eastAsiaTheme="minorEastAsia" w:hAnsi="Arial" w:cs="Arial"/>
          <w:szCs w:val="24"/>
        </w:rPr>
      </w:pPr>
      <w:r w:rsidRPr="008B7801">
        <w:rPr>
          <w:rStyle w:val="LineNumber"/>
          <w:rFonts w:ascii="Arial" w:eastAsiaTheme="minorEastAsia" w:hAnsi="Arial" w:cs="Arial"/>
          <w:szCs w:val="24"/>
        </w:rPr>
        <w:t>Q.</w:t>
      </w:r>
      <w:r w:rsidRPr="008B7801">
        <w:rPr>
          <w:rStyle w:val="LineNumber"/>
          <w:rFonts w:ascii="Arial" w:eastAsiaTheme="minorEastAsia" w:hAnsi="Arial" w:cs="Arial"/>
          <w:szCs w:val="24"/>
        </w:rPr>
        <w:tab/>
        <w:t xml:space="preserve">Should the Commission allow the Company’s test year expense for D&amp;O liability insurance? </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eastAsiaTheme="minorEastAsia" w:hAnsi="Arial" w:cs="Arial"/>
          <w:szCs w:val="24"/>
        </w:rPr>
        <w:t>A.</w:t>
      </w:r>
      <w:r w:rsidRPr="008B7801">
        <w:rPr>
          <w:rStyle w:val="LineNumber"/>
          <w:rFonts w:ascii="Arial" w:eastAsiaTheme="minorEastAsia" w:hAnsi="Arial" w:cs="Arial"/>
          <w:szCs w:val="24"/>
        </w:rPr>
        <w:tab/>
        <w:t xml:space="preserve">Yes.  The </w:t>
      </w:r>
      <w:r w:rsidR="00DB4864" w:rsidRPr="008B7801">
        <w:rPr>
          <w:rStyle w:val="LineNumber"/>
          <w:rFonts w:ascii="Arial" w:eastAsiaTheme="minorEastAsia" w:hAnsi="Arial" w:cs="Arial"/>
          <w:szCs w:val="24"/>
        </w:rPr>
        <w:t xml:space="preserve">$95,000 </w:t>
      </w:r>
      <w:r w:rsidRPr="008B7801">
        <w:rPr>
          <w:rStyle w:val="LineNumber"/>
          <w:rFonts w:ascii="Arial" w:eastAsiaTheme="minorEastAsia" w:hAnsi="Arial" w:cs="Arial"/>
          <w:szCs w:val="24"/>
        </w:rPr>
        <w:t>premium paid by Gulf for D&amp;O liability insurance directly benefits customers and is a necessary and reasonable expense for the Company to do business.</w:t>
      </w:r>
    </w:p>
    <w:p w:rsidR="00763E9E" w:rsidRPr="008B7801" w:rsidRDefault="00763E9E" w:rsidP="00576C55">
      <w:pPr>
        <w:tabs>
          <w:tab w:val="left" w:pos="1440"/>
        </w:tabs>
        <w:spacing w:line="480" w:lineRule="atLeast"/>
        <w:ind w:left="720" w:hanging="720"/>
        <w:contextualSpacing/>
        <w:jc w:val="center"/>
        <w:rPr>
          <w:rStyle w:val="LineNumber"/>
          <w:rFonts w:ascii="Arial" w:eastAsiaTheme="minorEastAsia" w:hAnsi="Arial" w:cs="Arial"/>
          <w:szCs w:val="24"/>
        </w:rPr>
      </w:pPr>
    </w:p>
    <w:p w:rsidR="00763E9E" w:rsidRPr="008B7801" w:rsidRDefault="00763E9E" w:rsidP="00576C55">
      <w:pPr>
        <w:tabs>
          <w:tab w:val="left" w:pos="1440"/>
        </w:tabs>
        <w:spacing w:line="480" w:lineRule="atLeast"/>
        <w:ind w:left="720" w:hanging="720"/>
        <w:contextualSpacing/>
        <w:rPr>
          <w:rStyle w:val="LineNumber"/>
          <w:rFonts w:ascii="Arial" w:eastAsiaTheme="minorEastAsia" w:hAnsi="Arial" w:cs="Arial"/>
          <w:szCs w:val="24"/>
        </w:rPr>
      </w:pPr>
      <w:r w:rsidRPr="008B7801">
        <w:rPr>
          <w:rStyle w:val="LineNumber"/>
          <w:rFonts w:ascii="Arial" w:eastAsiaTheme="minorEastAsia" w:hAnsi="Arial" w:cs="Arial"/>
          <w:szCs w:val="24"/>
        </w:rPr>
        <w:t>Q.</w:t>
      </w:r>
      <w:r w:rsidRPr="008B7801">
        <w:rPr>
          <w:rStyle w:val="LineNumber"/>
          <w:rFonts w:ascii="Arial" w:eastAsiaTheme="minorEastAsia" w:hAnsi="Arial" w:cs="Arial"/>
          <w:szCs w:val="24"/>
        </w:rPr>
        <w:tab/>
        <w:t>How do customers benefit from D&amp;O liability insurance?</w:t>
      </w:r>
    </w:p>
    <w:p w:rsidR="00763E9E" w:rsidRPr="008B7801" w:rsidRDefault="00763E9E" w:rsidP="00576C55">
      <w:pPr>
        <w:tabs>
          <w:tab w:val="left" w:pos="1440"/>
        </w:tabs>
        <w:spacing w:line="480" w:lineRule="atLeast"/>
        <w:ind w:left="720" w:hanging="720"/>
        <w:contextualSpacing/>
        <w:rPr>
          <w:rStyle w:val="LineNumber"/>
          <w:rFonts w:ascii="Arial" w:eastAsiaTheme="minorEastAsia" w:hAnsi="Arial" w:cs="Arial"/>
          <w:szCs w:val="24"/>
        </w:rPr>
      </w:pPr>
      <w:r w:rsidRPr="008B7801">
        <w:rPr>
          <w:rStyle w:val="LineNumber"/>
          <w:rFonts w:ascii="Arial" w:eastAsiaTheme="minorEastAsia" w:hAnsi="Arial" w:cs="Arial"/>
          <w:szCs w:val="24"/>
        </w:rPr>
        <w:t>A.</w:t>
      </w:r>
      <w:r w:rsidRPr="008B7801">
        <w:rPr>
          <w:rStyle w:val="LineNumber"/>
          <w:rFonts w:ascii="Arial" w:eastAsiaTheme="minorEastAsia" w:hAnsi="Arial" w:cs="Arial"/>
          <w:szCs w:val="24"/>
        </w:rPr>
        <w:tab/>
        <w:t xml:space="preserve">A company, such as Gulf, must have competent and skilled directors and officers to lead it.  These individuals would be difficult to attract and retain if the Company did not have D&amp;O liability insurance.  Directors and officers help ensure oversight and management of the Company, which in turn benefits the customers.  D&amp;O liability insurance also helps protect the assets of the Company, which are used to serve Gulf’s customers.  D&amp;O liability insurance is a legitimate and necessary cost of providing service.  </w:t>
      </w:r>
    </w:p>
    <w:p w:rsidR="003E1064" w:rsidRPr="008B7801" w:rsidRDefault="003E1064" w:rsidP="00576C55">
      <w:pPr>
        <w:tabs>
          <w:tab w:val="left" w:pos="1440"/>
        </w:tabs>
        <w:spacing w:line="480" w:lineRule="atLeast"/>
        <w:ind w:left="720" w:hanging="720"/>
        <w:contextualSpacing/>
        <w:rPr>
          <w:rStyle w:val="LineNumber"/>
          <w:rFonts w:ascii="Arial" w:eastAsiaTheme="minorEastAsia"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Please provide a brief summary of the Commission’s approach in Gulf’s last rate case related to D&amp;O liability insurance.</w:t>
      </w:r>
    </w:p>
    <w:p w:rsidR="00763E9E" w:rsidRPr="008B7801" w:rsidRDefault="00763E9E" w:rsidP="00576C55">
      <w:pPr>
        <w:spacing w:line="480" w:lineRule="atLeast"/>
        <w:ind w:left="720" w:hanging="720"/>
        <w:contextualSpacing/>
        <w:rPr>
          <w:rStyle w:val="LineNumber"/>
          <w:rFonts w:ascii="Arial" w:eastAsiaTheme="minorEastAsia" w:hAnsi="Arial" w:cs="Arial"/>
          <w:szCs w:val="24"/>
        </w:rPr>
      </w:pPr>
      <w:r w:rsidRPr="008B7801">
        <w:rPr>
          <w:rStyle w:val="LineNumber"/>
          <w:rFonts w:ascii="Arial" w:hAnsi="Arial" w:cs="Arial"/>
          <w:szCs w:val="24"/>
        </w:rPr>
        <w:t>A.</w:t>
      </w:r>
      <w:r w:rsidRPr="008B7801">
        <w:rPr>
          <w:rStyle w:val="LineNumber"/>
          <w:rFonts w:ascii="Arial" w:hAnsi="Arial" w:cs="Arial"/>
          <w:szCs w:val="24"/>
        </w:rPr>
        <w:tab/>
        <w:t>In Gulf’s last rate case, the Commission agreed with Gulf that D&amp;O liability insurance is prudent and necessary for a publicly held company to have, and that it ensures the Company will be able to attract and retain skilled leadership.  However, the Commission felt that both shareholders and customers receive benefits from D&amp;O liability insurance and the associated cost should be shared equally between the shareholders and the customers.</w:t>
      </w:r>
    </w:p>
    <w:p w:rsidR="00763E9E" w:rsidRPr="008B7801" w:rsidRDefault="00763E9E" w:rsidP="00576C55">
      <w:pPr>
        <w:tabs>
          <w:tab w:val="left" w:pos="720"/>
        </w:tabs>
        <w:spacing w:line="480" w:lineRule="atLeast"/>
        <w:ind w:left="720" w:hanging="720"/>
        <w:contextualSpacing/>
        <w:rPr>
          <w:rStyle w:val="LineNumber"/>
          <w:rFonts w:ascii="Arial" w:eastAsiaTheme="minorEastAsia" w:hAnsi="Arial" w:cs="Arial"/>
          <w:szCs w:val="24"/>
        </w:rPr>
      </w:pPr>
      <w:r w:rsidRPr="008B7801">
        <w:rPr>
          <w:rStyle w:val="LineNumber"/>
          <w:rFonts w:ascii="Arial" w:eastAsiaTheme="minorEastAsia" w:hAnsi="Arial" w:cs="Arial"/>
          <w:szCs w:val="24"/>
        </w:rPr>
        <w:lastRenderedPageBreak/>
        <w:t>Q.</w:t>
      </w:r>
      <w:r w:rsidRPr="008B7801">
        <w:rPr>
          <w:rStyle w:val="LineNumber"/>
          <w:rFonts w:ascii="Arial" w:eastAsiaTheme="minorEastAsia" w:hAnsi="Arial" w:cs="Arial"/>
          <w:szCs w:val="24"/>
        </w:rPr>
        <w:tab/>
        <w:t>Does Gulf’s request for $95,000 of D&amp;O liability premiums include premiums related to protection of Southern Company shareholders?</w:t>
      </w:r>
    </w:p>
    <w:p w:rsidR="00763E9E" w:rsidRPr="008B7801" w:rsidRDefault="00763E9E" w:rsidP="00576C55">
      <w:pPr>
        <w:tabs>
          <w:tab w:val="left" w:pos="1440"/>
        </w:tabs>
        <w:spacing w:line="480" w:lineRule="atLeast"/>
        <w:ind w:left="720" w:hanging="720"/>
        <w:contextualSpacing/>
        <w:rPr>
          <w:rStyle w:val="LineNumber"/>
          <w:rFonts w:ascii="Arial" w:eastAsiaTheme="minorEastAsia" w:hAnsi="Arial" w:cs="Arial"/>
          <w:szCs w:val="24"/>
        </w:rPr>
      </w:pPr>
      <w:r w:rsidRPr="008B7801">
        <w:rPr>
          <w:rStyle w:val="LineNumber"/>
          <w:rFonts w:ascii="Arial" w:eastAsiaTheme="minorEastAsia" w:hAnsi="Arial" w:cs="Arial"/>
          <w:szCs w:val="24"/>
        </w:rPr>
        <w:t>A.</w:t>
      </w:r>
      <w:r w:rsidRPr="008B7801">
        <w:rPr>
          <w:rStyle w:val="LineNumber"/>
          <w:rFonts w:ascii="Arial" w:eastAsiaTheme="minorEastAsia" w:hAnsi="Arial" w:cs="Arial"/>
          <w:szCs w:val="24"/>
        </w:rPr>
        <w:tab/>
        <w:t>No.  The total Southern System D&amp;O liability premiums are already split between Southern Company shareholders and customers.  Southern allocates approximately 51</w:t>
      </w:r>
      <w:r w:rsidR="00240E86">
        <w:rPr>
          <w:rStyle w:val="LineNumber"/>
          <w:rFonts w:ascii="Arial" w:eastAsiaTheme="minorEastAsia" w:hAnsi="Arial" w:cs="Arial"/>
          <w:szCs w:val="24"/>
        </w:rPr>
        <w:t xml:space="preserve"> percent</w:t>
      </w:r>
      <w:r w:rsidRPr="008B7801">
        <w:rPr>
          <w:rStyle w:val="LineNumber"/>
          <w:rFonts w:ascii="Arial" w:eastAsiaTheme="minorEastAsia" w:hAnsi="Arial" w:cs="Arial"/>
          <w:szCs w:val="24"/>
        </w:rPr>
        <w:t xml:space="preserve"> of the D&amp;O liability premiums to Southern Company as a cost to the shareholders.  The remaining 49</w:t>
      </w:r>
      <w:r w:rsidR="00240E86">
        <w:rPr>
          <w:rStyle w:val="LineNumber"/>
          <w:rFonts w:ascii="Arial" w:eastAsiaTheme="minorEastAsia" w:hAnsi="Arial" w:cs="Arial"/>
          <w:szCs w:val="24"/>
        </w:rPr>
        <w:t xml:space="preserve"> percent</w:t>
      </w:r>
      <w:r w:rsidRPr="008B7801">
        <w:rPr>
          <w:rStyle w:val="LineNumber"/>
          <w:rFonts w:ascii="Arial" w:eastAsiaTheme="minorEastAsia" w:hAnsi="Arial" w:cs="Arial"/>
          <w:szCs w:val="24"/>
        </w:rPr>
        <w:t xml:space="preserve"> of the premiums are allocated to the subsidiary companies, which includes Gulf.  The $95,000 in Gulf’s test year represents the premiums allocated to Gulf D&amp;O liability coverage only for Gulf’s Directors and Officers, which benefit Gulf’s customers, not shareholders.  </w:t>
      </w:r>
    </w:p>
    <w:p w:rsidR="00763E9E" w:rsidRPr="008B7801" w:rsidRDefault="00763E9E" w:rsidP="00576C55">
      <w:pPr>
        <w:tabs>
          <w:tab w:val="left" w:pos="1440"/>
        </w:tabs>
        <w:spacing w:line="480" w:lineRule="atLeast"/>
        <w:ind w:left="720" w:hanging="720"/>
        <w:contextualSpacing/>
        <w:rPr>
          <w:rStyle w:val="LineNumber"/>
          <w:rFonts w:ascii="Arial" w:eastAsiaTheme="minorEastAsia" w:hAnsi="Arial" w:cs="Arial"/>
          <w:szCs w:val="24"/>
        </w:rPr>
      </w:pPr>
    </w:p>
    <w:p w:rsidR="00992A7F" w:rsidRPr="008B7801" w:rsidRDefault="00992A7F" w:rsidP="00576C55">
      <w:pPr>
        <w:tabs>
          <w:tab w:val="left" w:pos="1440"/>
        </w:tabs>
        <w:spacing w:line="480" w:lineRule="atLeast"/>
        <w:ind w:left="720" w:hanging="720"/>
        <w:contextualSpacing/>
        <w:rPr>
          <w:rStyle w:val="LineNumber"/>
          <w:rFonts w:ascii="Arial" w:eastAsiaTheme="minorEastAsia" w:hAnsi="Arial" w:cs="Arial"/>
          <w:szCs w:val="24"/>
        </w:rPr>
      </w:pPr>
      <w:r w:rsidRPr="008B7801">
        <w:rPr>
          <w:rStyle w:val="LineNumber"/>
          <w:rFonts w:ascii="Arial" w:eastAsiaTheme="minorEastAsia" w:hAnsi="Arial" w:cs="Arial"/>
          <w:szCs w:val="24"/>
        </w:rPr>
        <w:t>Q.</w:t>
      </w:r>
      <w:r w:rsidRPr="008B7801">
        <w:rPr>
          <w:rStyle w:val="LineNumber"/>
          <w:rFonts w:ascii="Arial" w:eastAsiaTheme="minorEastAsia" w:hAnsi="Arial" w:cs="Arial"/>
          <w:szCs w:val="24"/>
        </w:rPr>
        <w:tab/>
        <w:t>What would a stand-alone D&amp;O utility insurance policy cost Gulf’s</w:t>
      </w:r>
    </w:p>
    <w:p w:rsidR="00285094" w:rsidRPr="008B7801" w:rsidRDefault="00992A7F" w:rsidP="00576C55">
      <w:pPr>
        <w:tabs>
          <w:tab w:val="left" w:pos="1440"/>
        </w:tabs>
        <w:spacing w:line="480" w:lineRule="atLeast"/>
        <w:ind w:left="720" w:hanging="720"/>
        <w:contextualSpacing/>
        <w:rPr>
          <w:rStyle w:val="LineNumber"/>
          <w:rFonts w:ascii="Arial" w:eastAsiaTheme="minorEastAsia" w:hAnsi="Arial" w:cs="Arial"/>
          <w:szCs w:val="24"/>
        </w:rPr>
      </w:pPr>
      <w:r w:rsidRPr="008B7801">
        <w:rPr>
          <w:rStyle w:val="LineNumber"/>
          <w:rFonts w:ascii="Arial" w:eastAsiaTheme="minorEastAsia" w:hAnsi="Arial" w:cs="Arial"/>
          <w:szCs w:val="24"/>
        </w:rPr>
        <w:tab/>
      </w:r>
      <w:r w:rsidR="00763E9E" w:rsidRPr="008B7801">
        <w:rPr>
          <w:rStyle w:val="LineNumber"/>
          <w:rFonts w:ascii="Arial" w:eastAsiaTheme="minorEastAsia" w:hAnsi="Arial" w:cs="Arial"/>
          <w:szCs w:val="24"/>
        </w:rPr>
        <w:t>customers?</w:t>
      </w:r>
      <w:r w:rsidR="00285094" w:rsidRPr="008B7801">
        <w:rPr>
          <w:rStyle w:val="LineNumber"/>
          <w:rFonts w:ascii="Arial" w:eastAsiaTheme="minorEastAsia" w:hAnsi="Arial" w:cs="Arial"/>
          <w:szCs w:val="24"/>
        </w:rPr>
        <w:t xml:space="preserve"> </w:t>
      </w:r>
    </w:p>
    <w:p w:rsidR="00763E9E" w:rsidRPr="008B7801" w:rsidRDefault="00285094" w:rsidP="00576C55">
      <w:pPr>
        <w:tabs>
          <w:tab w:val="left" w:pos="1440"/>
        </w:tabs>
        <w:spacing w:line="480" w:lineRule="atLeast"/>
        <w:ind w:left="720" w:hanging="720"/>
        <w:contextualSpacing/>
        <w:rPr>
          <w:rStyle w:val="LineNumber"/>
          <w:rFonts w:ascii="Arial" w:eastAsiaTheme="minorEastAsia" w:hAnsi="Arial" w:cs="Arial"/>
          <w:szCs w:val="24"/>
        </w:rPr>
      </w:pPr>
      <w:r w:rsidRPr="008B7801">
        <w:rPr>
          <w:rStyle w:val="LineNumber"/>
          <w:rFonts w:ascii="Arial" w:eastAsiaTheme="minorEastAsia" w:hAnsi="Arial" w:cs="Arial"/>
          <w:szCs w:val="24"/>
        </w:rPr>
        <w:t>A.</w:t>
      </w:r>
      <w:r w:rsidRPr="008B7801">
        <w:rPr>
          <w:rStyle w:val="LineNumber"/>
          <w:rFonts w:ascii="Arial" w:eastAsiaTheme="minorEastAsia" w:hAnsi="Arial" w:cs="Arial"/>
          <w:szCs w:val="24"/>
        </w:rPr>
        <w:tab/>
        <w:t>If Gulf had to procure its own D&amp;O liability insurance policy, a stand-alone</w:t>
      </w:r>
      <w:r w:rsidR="00392FF9" w:rsidRPr="008B7801">
        <w:rPr>
          <w:rStyle w:val="LineNumber"/>
          <w:rFonts w:ascii="Arial" w:eastAsiaTheme="minorEastAsia" w:hAnsi="Arial" w:cs="Arial"/>
          <w:szCs w:val="24"/>
        </w:rPr>
        <w:t xml:space="preserve"> </w:t>
      </w:r>
      <w:r w:rsidR="00763E9E" w:rsidRPr="008B7801">
        <w:rPr>
          <w:rStyle w:val="LineNumber"/>
          <w:rFonts w:ascii="Arial" w:eastAsiaTheme="minorEastAsia" w:hAnsi="Arial" w:cs="Arial"/>
          <w:szCs w:val="24"/>
        </w:rPr>
        <w:t xml:space="preserve">policy is estimated to cost approximately $825,000 to $1,048,000 annually based on the asset size of Gulf and the level of coverage normally requested for companies the size of Gulf.  Assuming that the costs would be split evenly between shareholders and customers, the amount requested for retail recovery would be approximately $413,000 to $524,000, compared to the amount being requested for recovery, $95,000. </w:t>
      </w:r>
    </w:p>
    <w:p w:rsidR="00763E9E" w:rsidRPr="008B7801" w:rsidRDefault="00763E9E" w:rsidP="00576C55">
      <w:pPr>
        <w:tabs>
          <w:tab w:val="left" w:pos="0"/>
        </w:tabs>
        <w:spacing w:line="480" w:lineRule="atLeast"/>
        <w:ind w:left="720" w:hanging="720"/>
        <w:contextualSpacing/>
        <w:jc w:val="center"/>
        <w:rPr>
          <w:rStyle w:val="LineNumber"/>
          <w:rFonts w:ascii="Arial" w:eastAsiaTheme="minorEastAsia" w:hAnsi="Arial" w:cs="Arial"/>
          <w:szCs w:val="24"/>
        </w:rPr>
      </w:pPr>
    </w:p>
    <w:p w:rsidR="00763E9E" w:rsidRPr="008B7801" w:rsidRDefault="00763E9E" w:rsidP="00576C55">
      <w:pPr>
        <w:tabs>
          <w:tab w:val="left" w:pos="0"/>
        </w:tabs>
        <w:spacing w:line="480" w:lineRule="atLeast"/>
        <w:ind w:left="720" w:hanging="720"/>
        <w:contextualSpacing/>
        <w:jc w:val="center"/>
        <w:rPr>
          <w:rStyle w:val="LineNumber"/>
          <w:rFonts w:ascii="Arial" w:eastAsiaTheme="minorEastAsia" w:hAnsi="Arial" w:cs="Arial"/>
          <w:szCs w:val="24"/>
        </w:rPr>
      </w:pPr>
    </w:p>
    <w:p w:rsidR="00882F3C" w:rsidRPr="008B7801" w:rsidRDefault="00882F3C" w:rsidP="00576C55">
      <w:pPr>
        <w:tabs>
          <w:tab w:val="left" w:pos="0"/>
        </w:tabs>
        <w:spacing w:line="480" w:lineRule="atLeast"/>
        <w:contextualSpacing/>
        <w:jc w:val="center"/>
        <w:rPr>
          <w:rStyle w:val="LineNumber"/>
          <w:rFonts w:ascii="Arial" w:eastAsiaTheme="minorEastAsia" w:hAnsi="Arial" w:cs="Arial"/>
          <w:b/>
          <w:szCs w:val="24"/>
        </w:rPr>
      </w:pPr>
    </w:p>
    <w:p w:rsidR="00882F3C" w:rsidRPr="008B7801" w:rsidRDefault="00882F3C" w:rsidP="00576C55">
      <w:pPr>
        <w:tabs>
          <w:tab w:val="left" w:pos="0"/>
        </w:tabs>
        <w:spacing w:line="480" w:lineRule="atLeast"/>
        <w:contextualSpacing/>
        <w:jc w:val="center"/>
        <w:rPr>
          <w:rStyle w:val="LineNumber"/>
          <w:rFonts w:ascii="Arial" w:eastAsiaTheme="minorEastAsia" w:hAnsi="Arial" w:cs="Arial"/>
          <w:b/>
          <w:szCs w:val="24"/>
        </w:rPr>
      </w:pPr>
    </w:p>
    <w:p w:rsidR="00882F3C" w:rsidRPr="008B7801" w:rsidRDefault="00882F3C" w:rsidP="00576C55">
      <w:pPr>
        <w:tabs>
          <w:tab w:val="left" w:pos="0"/>
        </w:tabs>
        <w:spacing w:line="480" w:lineRule="atLeast"/>
        <w:contextualSpacing/>
        <w:jc w:val="center"/>
        <w:rPr>
          <w:rStyle w:val="LineNumber"/>
          <w:rFonts w:ascii="Arial" w:eastAsiaTheme="minorEastAsia" w:hAnsi="Arial" w:cs="Arial"/>
          <w:b/>
          <w:szCs w:val="24"/>
        </w:rPr>
      </w:pPr>
    </w:p>
    <w:p w:rsidR="00763E9E" w:rsidRPr="008B7801" w:rsidRDefault="00763E9E" w:rsidP="00576C55">
      <w:pPr>
        <w:tabs>
          <w:tab w:val="left" w:pos="0"/>
        </w:tabs>
        <w:spacing w:line="480" w:lineRule="atLeast"/>
        <w:contextualSpacing/>
        <w:jc w:val="center"/>
        <w:rPr>
          <w:rStyle w:val="LineNumber"/>
          <w:rFonts w:ascii="Arial" w:hAnsi="Arial" w:cs="Arial"/>
          <w:b/>
          <w:szCs w:val="24"/>
        </w:rPr>
      </w:pPr>
      <w:r w:rsidRPr="008B7801">
        <w:rPr>
          <w:rStyle w:val="LineNumber"/>
          <w:rFonts w:ascii="Arial" w:eastAsiaTheme="minorEastAsia" w:hAnsi="Arial" w:cs="Arial"/>
          <w:b/>
          <w:szCs w:val="24"/>
        </w:rPr>
        <w:lastRenderedPageBreak/>
        <w:t xml:space="preserve">II. </w:t>
      </w:r>
      <w:r w:rsidRPr="008B7801">
        <w:rPr>
          <w:rStyle w:val="LineNumber"/>
          <w:rFonts w:ascii="Arial" w:hAnsi="Arial" w:cs="Arial"/>
          <w:b/>
          <w:szCs w:val="24"/>
        </w:rPr>
        <w:t>PROPERTY DAMAGE ACCRUAL</w:t>
      </w:r>
    </w:p>
    <w:p w:rsidR="00763E9E" w:rsidRPr="008B7801" w:rsidRDefault="00763E9E" w:rsidP="00576C55">
      <w:pPr>
        <w:pStyle w:val="ListParagraph"/>
        <w:spacing w:after="0" w:line="480" w:lineRule="atLeast"/>
        <w:ind w:hanging="720"/>
        <w:rPr>
          <w:rStyle w:val="LineNumber"/>
          <w:rFonts w:ascii="Arial" w:hAnsi="Arial" w:cs="Arial"/>
          <w:szCs w:val="24"/>
        </w:rPr>
      </w:pPr>
    </w:p>
    <w:p w:rsidR="00D624CF" w:rsidRPr="008B7801" w:rsidRDefault="00D624CF"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 xml:space="preserve">What is the property damage </w:t>
      </w:r>
      <w:r w:rsidR="00BD6629" w:rsidRPr="008B7801">
        <w:rPr>
          <w:rStyle w:val="LineNumber"/>
          <w:rFonts w:ascii="Arial" w:hAnsi="Arial" w:cs="Arial"/>
          <w:szCs w:val="24"/>
        </w:rPr>
        <w:t>accrual</w:t>
      </w:r>
      <w:r w:rsidRPr="008B7801">
        <w:rPr>
          <w:rStyle w:val="LineNumber"/>
          <w:rFonts w:ascii="Arial" w:hAnsi="Arial" w:cs="Arial"/>
          <w:szCs w:val="24"/>
        </w:rPr>
        <w:t xml:space="preserve"> designed to cover?</w:t>
      </w:r>
    </w:p>
    <w:p w:rsidR="00D624CF" w:rsidRPr="008B7801" w:rsidRDefault="00D624CF"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Per Commission Rule 25-6.0143, this account is established to provide for losses through accident, fire, flood, storms and similar type hazards to the utility’s own property or property leased from others, which is not covered by insurance.  This account would also include provisions for the deductible amounts contained in property loss insurance policies held by the utility.</w:t>
      </w:r>
    </w:p>
    <w:p w:rsidR="00D624CF" w:rsidRPr="008B7801" w:rsidRDefault="00D624CF" w:rsidP="00576C55">
      <w:pPr>
        <w:spacing w:line="480" w:lineRule="atLeast"/>
        <w:ind w:left="720" w:hanging="720"/>
        <w:contextualSpacing/>
        <w:rPr>
          <w:rStyle w:val="LineNumber"/>
          <w:rFonts w:ascii="Arial" w:hAnsi="Arial" w:cs="Arial"/>
          <w:szCs w:val="24"/>
        </w:rPr>
      </w:pPr>
    </w:p>
    <w:p w:rsidR="00D624CF" w:rsidRPr="008B7801" w:rsidRDefault="00D624CF"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is Gulf asking to recover in its property damage accrual?</w:t>
      </w:r>
    </w:p>
    <w:p w:rsidR="00D624CF" w:rsidRPr="008B7801" w:rsidRDefault="00D624CF"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Gulf has taken a conservative approach to the request for this accrual.  Gulf is asking to set the accrual amount </w:t>
      </w:r>
      <w:r w:rsidR="00DB4864" w:rsidRPr="008B7801">
        <w:rPr>
          <w:rStyle w:val="LineNumber"/>
          <w:rFonts w:ascii="Arial" w:hAnsi="Arial" w:cs="Arial"/>
          <w:szCs w:val="24"/>
        </w:rPr>
        <w:t>based on</w:t>
      </w:r>
      <w:r w:rsidR="00BD6629" w:rsidRPr="008B7801">
        <w:rPr>
          <w:rStyle w:val="LineNumber"/>
          <w:rFonts w:ascii="Arial" w:hAnsi="Arial" w:cs="Arial"/>
          <w:szCs w:val="24"/>
        </w:rPr>
        <w:t>ly on potential</w:t>
      </w:r>
      <w:r w:rsidRPr="008B7801">
        <w:rPr>
          <w:rStyle w:val="LineNumber"/>
          <w:rFonts w:ascii="Arial" w:hAnsi="Arial" w:cs="Arial"/>
          <w:szCs w:val="24"/>
        </w:rPr>
        <w:t xml:space="preserve"> hurricane</w:t>
      </w:r>
      <w:r w:rsidR="00BD6629" w:rsidRPr="008B7801">
        <w:rPr>
          <w:rStyle w:val="LineNumber"/>
          <w:rFonts w:ascii="Arial" w:hAnsi="Arial" w:cs="Arial"/>
          <w:szCs w:val="24"/>
        </w:rPr>
        <w:t xml:space="preserve"> damage</w:t>
      </w:r>
      <w:r w:rsidRPr="008B7801">
        <w:rPr>
          <w:rStyle w:val="LineNumber"/>
          <w:rFonts w:ascii="Arial" w:hAnsi="Arial" w:cs="Arial"/>
          <w:szCs w:val="24"/>
        </w:rPr>
        <w:t>.  The accrual amount requested does not include any expected damage for tropical storms, fire, flood or other storms not covered by insurance or any expected insurance deductibles.</w:t>
      </w:r>
    </w:p>
    <w:p w:rsidR="00D624CF" w:rsidRPr="008B7801" w:rsidRDefault="00D624CF"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property damage accrual has been included in the projected test year?</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Gulf has included a property damage accrual of $9,000,000 in the 2014 test year.  This represents an increase from Gulf’s current accrual of $3,500,000 per year approved by the Commission in Order No. PSC-12-0179-FOF-EI, issued on April 3, 2012 in Docket No. 110138-EI and results in an NOI adjustment of $5,500,000 for the test year as discussed in Ms. Ritenour’s testimony.</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lastRenderedPageBreak/>
        <w:t>Q.</w:t>
      </w:r>
      <w:r w:rsidRPr="008B7801">
        <w:rPr>
          <w:rStyle w:val="LineNumber"/>
          <w:rFonts w:ascii="Arial" w:hAnsi="Arial" w:cs="Arial"/>
          <w:szCs w:val="24"/>
        </w:rPr>
        <w:tab/>
        <w:t>When was the current annual accrual first approved?</w:t>
      </w:r>
    </w:p>
    <w:p w:rsidR="00763E9E" w:rsidRPr="008B7801" w:rsidRDefault="00763E9E" w:rsidP="00036079">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The current annual </w:t>
      </w:r>
      <w:r w:rsidR="00D124BB">
        <w:rPr>
          <w:rStyle w:val="LineNumber"/>
          <w:rFonts w:ascii="Arial" w:hAnsi="Arial" w:cs="Arial"/>
          <w:szCs w:val="24"/>
        </w:rPr>
        <w:t xml:space="preserve">property damage </w:t>
      </w:r>
      <w:r w:rsidRPr="008B7801">
        <w:rPr>
          <w:rStyle w:val="LineNumber"/>
          <w:rFonts w:ascii="Arial" w:hAnsi="Arial" w:cs="Arial"/>
          <w:szCs w:val="24"/>
        </w:rPr>
        <w:t xml:space="preserve">accrual of $3,500,000 was first approved in </w:t>
      </w:r>
      <w:r w:rsidR="006D4025">
        <w:rPr>
          <w:rStyle w:val="LineNumber"/>
          <w:rFonts w:ascii="Arial" w:hAnsi="Arial" w:cs="Arial"/>
          <w:szCs w:val="24"/>
        </w:rPr>
        <w:t xml:space="preserve">1996 in </w:t>
      </w:r>
      <w:r w:rsidR="006D4025" w:rsidRPr="008B7801">
        <w:rPr>
          <w:rStyle w:val="LineNumber"/>
          <w:rFonts w:ascii="Arial" w:hAnsi="Arial" w:cs="Arial"/>
          <w:szCs w:val="24"/>
        </w:rPr>
        <w:t>Docket No. 951433-EI</w:t>
      </w:r>
      <w:r w:rsidR="006D4025">
        <w:rPr>
          <w:rStyle w:val="LineNumber"/>
          <w:rFonts w:ascii="Arial" w:hAnsi="Arial" w:cs="Arial"/>
          <w:szCs w:val="24"/>
        </w:rPr>
        <w:t>,</w:t>
      </w:r>
      <w:r w:rsidR="006D4025" w:rsidRPr="008B7801">
        <w:rPr>
          <w:rStyle w:val="LineNumber"/>
          <w:rFonts w:ascii="Arial" w:hAnsi="Arial" w:cs="Arial"/>
          <w:szCs w:val="24"/>
        </w:rPr>
        <w:t xml:space="preserve"> </w:t>
      </w:r>
      <w:r w:rsidRPr="008B7801">
        <w:rPr>
          <w:rStyle w:val="LineNumber"/>
          <w:rFonts w:ascii="Arial" w:hAnsi="Arial" w:cs="Arial"/>
          <w:szCs w:val="24"/>
        </w:rPr>
        <w:t>Order No. PSC-96-1334-FOF-EI.</w:t>
      </w:r>
      <w:r w:rsidR="00D124BB">
        <w:rPr>
          <w:rStyle w:val="LineNumber"/>
          <w:rFonts w:ascii="Arial" w:hAnsi="Arial" w:cs="Arial"/>
          <w:szCs w:val="24"/>
        </w:rPr>
        <w:t xml:space="preserve"> </w:t>
      </w:r>
      <w:r w:rsidRPr="008B7801">
        <w:rPr>
          <w:rStyle w:val="LineNumber"/>
          <w:rFonts w:ascii="Arial" w:hAnsi="Arial" w:cs="Arial"/>
          <w:szCs w:val="24"/>
        </w:rPr>
        <w:t xml:space="preserve"> If that annual accrual were escalated for CPI and customer growth during the intervening period, the accrual would be approximately $7,217,000.</w:t>
      </w:r>
    </w:p>
    <w:p w:rsidR="00763E9E" w:rsidRPr="008B7801" w:rsidRDefault="00763E9E" w:rsidP="00576C55">
      <w:pPr>
        <w:spacing w:line="480" w:lineRule="atLeast"/>
        <w:ind w:left="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Please explain the increase over the approved annual accrual amount.</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The Commission approved a new target range for the property damage reserve of $48,000,000 to $55,000,000 in Docket No. 110138-EI, Order No. PSC-12-0179-FOF-EI.  Based on the current approved annual accrual of $3,500,000 and the expected average annual loss of $6,800,000 charged to the reserve, it is unlikely Gulf will reach the bottom of the approved target range established by the Commission.  The annual accrual of $9,000,000 is based on the expected average annual </w:t>
      </w:r>
      <w:r w:rsidR="00DB4864" w:rsidRPr="008B7801">
        <w:rPr>
          <w:rStyle w:val="LineNumber"/>
          <w:rFonts w:ascii="Arial" w:hAnsi="Arial" w:cs="Arial"/>
          <w:szCs w:val="24"/>
        </w:rPr>
        <w:t xml:space="preserve">hurricane </w:t>
      </w:r>
      <w:r w:rsidRPr="008B7801">
        <w:rPr>
          <w:rStyle w:val="LineNumber"/>
          <w:rFonts w:ascii="Arial" w:hAnsi="Arial" w:cs="Arial"/>
          <w:szCs w:val="24"/>
        </w:rPr>
        <w:t>loss charged to the reserve of $6,800,000 and an additional annual amount of $2,200,000 to increase the reserve.  This accrual level would allow the</w:t>
      </w:r>
      <w:r w:rsidR="001B57F5" w:rsidRPr="008B7801">
        <w:rPr>
          <w:rStyle w:val="LineNumber"/>
          <w:rFonts w:ascii="Arial" w:hAnsi="Arial" w:cs="Arial"/>
          <w:szCs w:val="24"/>
        </w:rPr>
        <w:t xml:space="preserve"> Company to build the reserve over a period of approximately seven years</w:t>
      </w:r>
      <w:r w:rsidR="00285094" w:rsidRPr="008B7801">
        <w:rPr>
          <w:rStyle w:val="LineNumber"/>
          <w:rFonts w:ascii="Arial" w:hAnsi="Arial" w:cs="Arial"/>
          <w:szCs w:val="24"/>
        </w:rPr>
        <w:t xml:space="preserve"> to </w:t>
      </w:r>
      <w:r w:rsidRPr="008B7801">
        <w:rPr>
          <w:rStyle w:val="LineNumber"/>
          <w:rFonts w:ascii="Arial" w:hAnsi="Arial" w:cs="Arial"/>
          <w:szCs w:val="24"/>
        </w:rPr>
        <w:t>potentially reach the bottom of the approved range for the</w:t>
      </w:r>
      <w:r w:rsidR="00455032">
        <w:rPr>
          <w:rStyle w:val="LineNumber"/>
          <w:rFonts w:ascii="Arial" w:hAnsi="Arial" w:cs="Arial"/>
          <w:szCs w:val="24"/>
        </w:rPr>
        <w:t xml:space="preserve"> </w:t>
      </w:r>
      <w:r w:rsidRPr="008B7801">
        <w:rPr>
          <w:rStyle w:val="LineNumber"/>
          <w:rFonts w:ascii="Arial" w:hAnsi="Arial" w:cs="Arial"/>
          <w:szCs w:val="24"/>
        </w:rPr>
        <w:t>reserve</w:t>
      </w:r>
      <w:r w:rsidR="00214D2F" w:rsidRPr="008B7801">
        <w:rPr>
          <w:rStyle w:val="LineNumber"/>
          <w:rFonts w:ascii="Arial" w:hAnsi="Arial" w:cs="Arial"/>
          <w:szCs w:val="24"/>
        </w:rPr>
        <w:t xml:space="preserve"> assuming actual losses do not materially exceed the projected </w:t>
      </w:r>
      <w:r w:rsidR="00E93E7A" w:rsidRPr="008B7801">
        <w:rPr>
          <w:rStyle w:val="LineNumber"/>
          <w:rFonts w:ascii="Arial" w:hAnsi="Arial" w:cs="Arial"/>
          <w:szCs w:val="24"/>
        </w:rPr>
        <w:t>losses.</w:t>
      </w:r>
    </w:p>
    <w:p w:rsidR="00E93E7A" w:rsidRPr="008B7801" w:rsidRDefault="00E93E7A" w:rsidP="00576C55">
      <w:pPr>
        <w:spacing w:line="480" w:lineRule="atLeast"/>
        <w:ind w:left="720" w:hanging="720"/>
        <w:contextualSpacing/>
        <w:rPr>
          <w:rStyle w:val="LineNumber"/>
          <w:rFonts w:ascii="Arial" w:hAnsi="Arial" w:cs="Arial"/>
          <w:szCs w:val="24"/>
        </w:rPr>
      </w:pPr>
    </w:p>
    <w:p w:rsidR="00882F3C" w:rsidRPr="008B7801" w:rsidRDefault="00882F3C"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Have you reached any conclusion about the adequacy of the current $3,500,000 annual accrual?</w:t>
      </w:r>
    </w:p>
    <w:p w:rsidR="00763E9E" w:rsidRPr="008B7801" w:rsidRDefault="00882F3C" w:rsidP="00643581">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Yes.  The goal of the Commission, as stated in Gulf’s last rate case, Order</w:t>
      </w:r>
      <w:r w:rsidR="00455032">
        <w:rPr>
          <w:rStyle w:val="LineNumber"/>
          <w:rFonts w:ascii="Arial" w:hAnsi="Arial" w:cs="Arial"/>
          <w:szCs w:val="24"/>
        </w:rPr>
        <w:t xml:space="preserve"> </w:t>
      </w:r>
      <w:r w:rsidR="00763E9E" w:rsidRPr="008B7801">
        <w:rPr>
          <w:rStyle w:val="LineNumber"/>
          <w:rFonts w:ascii="Arial" w:hAnsi="Arial" w:cs="Arial"/>
          <w:szCs w:val="24"/>
        </w:rPr>
        <w:t xml:space="preserve">PSC-12-0179-FOF-EI, Docket No. 110138-EI, is that the reserve shall be </w:t>
      </w:r>
      <w:r w:rsidR="00763E9E" w:rsidRPr="008B7801">
        <w:rPr>
          <w:rStyle w:val="LineNumber"/>
          <w:rFonts w:ascii="Arial" w:hAnsi="Arial" w:cs="Arial"/>
          <w:szCs w:val="24"/>
        </w:rPr>
        <w:lastRenderedPageBreak/>
        <w:t>sufficient to cover most, but not all storms.</w:t>
      </w:r>
      <w:r w:rsidR="00D124BB">
        <w:rPr>
          <w:rStyle w:val="LineNumber"/>
          <w:rFonts w:ascii="Arial" w:hAnsi="Arial" w:cs="Arial"/>
          <w:szCs w:val="24"/>
        </w:rPr>
        <w:t xml:space="preserve"> </w:t>
      </w:r>
      <w:r w:rsidR="00763E9E" w:rsidRPr="008B7801">
        <w:rPr>
          <w:rStyle w:val="LineNumber"/>
          <w:rFonts w:ascii="Arial" w:hAnsi="Arial" w:cs="Arial"/>
          <w:szCs w:val="24"/>
        </w:rPr>
        <w:t xml:space="preserve"> As Mr. Harris shows in his testimony, the reserve balance that a $3,500,000 annual </w:t>
      </w:r>
      <w:r w:rsidR="00D124BB">
        <w:rPr>
          <w:rStyle w:val="LineNumber"/>
          <w:rFonts w:ascii="Arial" w:hAnsi="Arial" w:cs="Arial"/>
          <w:szCs w:val="24"/>
        </w:rPr>
        <w:t xml:space="preserve">property damage </w:t>
      </w:r>
      <w:r w:rsidR="00763E9E" w:rsidRPr="008B7801">
        <w:rPr>
          <w:rStyle w:val="LineNumber"/>
          <w:rFonts w:ascii="Arial" w:hAnsi="Arial" w:cs="Arial"/>
          <w:szCs w:val="24"/>
        </w:rPr>
        <w:t xml:space="preserve">accrual is projected to produce is too small to pay for many losses from even Category 1 and Category 2 </w:t>
      </w:r>
      <w:r w:rsidR="00D124BB">
        <w:rPr>
          <w:rStyle w:val="LineNumber"/>
          <w:rFonts w:ascii="Arial" w:hAnsi="Arial" w:cs="Arial"/>
          <w:szCs w:val="24"/>
        </w:rPr>
        <w:t>hurricanes</w:t>
      </w:r>
      <w:r w:rsidR="00763E9E" w:rsidRPr="008B7801">
        <w:rPr>
          <w:rStyle w:val="LineNumber"/>
          <w:rFonts w:ascii="Arial" w:hAnsi="Arial" w:cs="Arial"/>
          <w:szCs w:val="24"/>
        </w:rPr>
        <w:t xml:space="preserve">. </w:t>
      </w:r>
    </w:p>
    <w:p w:rsidR="00763E9E" w:rsidRPr="008B7801" w:rsidRDefault="00763E9E" w:rsidP="00BC537A">
      <w:pPr>
        <w:spacing w:line="480" w:lineRule="atLeast"/>
        <w:ind w:left="720" w:hanging="720"/>
        <w:contextualSpacing/>
        <w:rPr>
          <w:rStyle w:val="LineNumber"/>
          <w:rFonts w:ascii="Arial" w:hAnsi="Arial" w:cs="Arial"/>
          <w:szCs w:val="24"/>
        </w:rPr>
      </w:pPr>
    </w:p>
    <w:p w:rsidR="003E1064"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 xml:space="preserve">What this tells me is that the Commission was wise to increase the </w:t>
      </w:r>
      <w:r w:rsidR="00D124BB">
        <w:rPr>
          <w:rStyle w:val="LineNumber"/>
          <w:rFonts w:ascii="Arial" w:hAnsi="Arial" w:cs="Arial"/>
          <w:szCs w:val="24"/>
        </w:rPr>
        <w:t xml:space="preserve">property damage </w:t>
      </w:r>
      <w:r w:rsidRPr="008B7801">
        <w:rPr>
          <w:rStyle w:val="LineNumber"/>
          <w:rFonts w:ascii="Arial" w:hAnsi="Arial" w:cs="Arial"/>
          <w:szCs w:val="24"/>
        </w:rPr>
        <w:t xml:space="preserve">reserve target in the last case to a range of $48,000,000 to $55,000,000.  However, for Gulf to be able to reach those increased reserve target levels, it must also increase its annual accrual.  Increasing the reserve target without increasing the annual accrual necessary </w:t>
      </w:r>
      <w:r w:rsidR="00744EC0" w:rsidRPr="008B7801">
        <w:rPr>
          <w:rStyle w:val="LineNumber"/>
          <w:rFonts w:ascii="Arial" w:hAnsi="Arial" w:cs="Arial"/>
          <w:szCs w:val="24"/>
        </w:rPr>
        <w:t xml:space="preserve">to </w:t>
      </w:r>
      <w:r w:rsidRPr="008B7801">
        <w:rPr>
          <w:rStyle w:val="LineNumber"/>
          <w:rFonts w:ascii="Arial" w:hAnsi="Arial" w:cs="Arial"/>
          <w:szCs w:val="24"/>
        </w:rPr>
        <w:t xml:space="preserve">achieve the target makes the increase in the reserve target unattainable or dependent upon an extended period of time with annual </w:t>
      </w:r>
      <w:r w:rsidR="00D124BB">
        <w:rPr>
          <w:rStyle w:val="LineNumber"/>
          <w:rFonts w:ascii="Arial" w:hAnsi="Arial" w:cs="Arial"/>
          <w:szCs w:val="24"/>
        </w:rPr>
        <w:t>hurricane</w:t>
      </w:r>
      <w:r w:rsidRPr="008B7801">
        <w:rPr>
          <w:rStyle w:val="LineNumber"/>
          <w:rFonts w:ascii="Arial" w:hAnsi="Arial" w:cs="Arial"/>
          <w:szCs w:val="24"/>
        </w:rPr>
        <w:t xml:space="preserve"> damage well below the projected average.  For Gulf to have a reserve adequate to cover all Category 1 and Category 2 hurricanes, the Company needs to </w:t>
      </w: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have not only a higher reserve level, but also a higher annual accrual.</w:t>
      </w:r>
    </w:p>
    <w:p w:rsidR="00D43DB5" w:rsidRPr="008B7801" w:rsidRDefault="00D43DB5" w:rsidP="00576C55">
      <w:pPr>
        <w:spacing w:line="480" w:lineRule="atLeast"/>
        <w:ind w:left="720"/>
        <w:contextualSpacing/>
        <w:rPr>
          <w:rStyle w:val="LineNumber"/>
          <w:rFonts w:ascii="Arial" w:hAnsi="Arial" w:cs="Arial"/>
          <w:szCs w:val="24"/>
        </w:rPr>
      </w:pPr>
    </w:p>
    <w:p w:rsidR="0017263C" w:rsidRPr="008B7801" w:rsidRDefault="00763E9E" w:rsidP="00576C55">
      <w:pPr>
        <w:spacing w:line="480" w:lineRule="atLeast"/>
        <w:ind w:left="720" w:hanging="720"/>
        <w:rPr>
          <w:rFonts w:ascii="Arial" w:hAnsi="Arial" w:cs="Arial"/>
          <w:szCs w:val="24"/>
        </w:rPr>
      </w:pPr>
      <w:r w:rsidRPr="008B7801">
        <w:rPr>
          <w:rFonts w:ascii="Arial" w:hAnsi="Arial" w:cs="Arial"/>
          <w:szCs w:val="24"/>
        </w:rPr>
        <w:t>Q.</w:t>
      </w:r>
      <w:r w:rsidRPr="008B7801">
        <w:rPr>
          <w:rFonts w:ascii="Arial" w:hAnsi="Arial" w:cs="Arial"/>
          <w:szCs w:val="24"/>
        </w:rPr>
        <w:tab/>
        <w:t xml:space="preserve">Is </w:t>
      </w:r>
      <w:r w:rsidR="00406639" w:rsidRPr="008B7801">
        <w:rPr>
          <w:rFonts w:ascii="Arial" w:hAnsi="Arial" w:cs="Arial"/>
          <w:szCs w:val="24"/>
        </w:rPr>
        <w:t>the January 2011 Storm Study the</w:t>
      </w:r>
      <w:r w:rsidRPr="008B7801">
        <w:rPr>
          <w:rFonts w:ascii="Arial" w:hAnsi="Arial" w:cs="Arial"/>
          <w:szCs w:val="24"/>
        </w:rPr>
        <w:t xml:space="preserve"> most current </w:t>
      </w:r>
      <w:r w:rsidR="00406639" w:rsidRPr="008B7801">
        <w:rPr>
          <w:rFonts w:ascii="Arial" w:hAnsi="Arial" w:cs="Arial"/>
          <w:szCs w:val="24"/>
        </w:rPr>
        <w:t>s</w:t>
      </w:r>
      <w:r w:rsidRPr="008B7801">
        <w:rPr>
          <w:rFonts w:ascii="Arial" w:hAnsi="Arial" w:cs="Arial"/>
          <w:szCs w:val="24"/>
        </w:rPr>
        <w:t xml:space="preserve">tudy? </w:t>
      </w:r>
    </w:p>
    <w:p w:rsidR="0017263C" w:rsidRPr="008B7801" w:rsidRDefault="0017263C" w:rsidP="00576C55">
      <w:pPr>
        <w:spacing w:line="480" w:lineRule="atLeast"/>
        <w:ind w:left="720" w:hanging="720"/>
        <w:rPr>
          <w:rFonts w:ascii="Arial" w:hAnsi="Arial" w:cs="Arial"/>
          <w:szCs w:val="24"/>
        </w:rPr>
      </w:pPr>
      <w:r w:rsidRPr="008B7801">
        <w:rPr>
          <w:rFonts w:ascii="Arial" w:hAnsi="Arial" w:cs="Arial"/>
          <w:szCs w:val="24"/>
        </w:rPr>
        <w:t>A.</w:t>
      </w:r>
      <w:r w:rsidRPr="008B7801">
        <w:rPr>
          <w:rFonts w:ascii="Arial" w:hAnsi="Arial" w:cs="Arial"/>
          <w:szCs w:val="24"/>
        </w:rPr>
        <w:tab/>
        <w:t>Yes.  Commission Rule 25-6.0143 requires that a storm study be filed at</w:t>
      </w:r>
    </w:p>
    <w:p w:rsidR="00763E9E" w:rsidRPr="008B7801" w:rsidRDefault="00763E9E" w:rsidP="00576C55">
      <w:pPr>
        <w:spacing w:line="480" w:lineRule="atLeast"/>
        <w:ind w:left="720"/>
        <w:rPr>
          <w:rFonts w:ascii="Arial" w:hAnsi="Arial" w:cs="Arial"/>
          <w:szCs w:val="24"/>
        </w:rPr>
      </w:pPr>
      <w:r w:rsidRPr="008B7801">
        <w:rPr>
          <w:rFonts w:ascii="Arial" w:hAnsi="Arial" w:cs="Arial"/>
          <w:szCs w:val="24"/>
        </w:rPr>
        <w:t>least once every five years.  This study was completed in January 2011</w:t>
      </w:r>
      <w:r w:rsidR="00926F6F" w:rsidRPr="008B7801">
        <w:rPr>
          <w:rFonts w:ascii="Arial" w:hAnsi="Arial" w:cs="Arial"/>
          <w:szCs w:val="24"/>
        </w:rPr>
        <w:t>,</w:t>
      </w:r>
      <w:r w:rsidRPr="008B7801">
        <w:rPr>
          <w:rFonts w:ascii="Arial" w:hAnsi="Arial" w:cs="Arial"/>
          <w:szCs w:val="24"/>
        </w:rPr>
        <w:t xml:space="preserve"> and the next study is due January 2016.</w:t>
      </w:r>
    </w:p>
    <w:p w:rsidR="00926F6F" w:rsidRPr="008B7801" w:rsidRDefault="00926F6F" w:rsidP="00576C55">
      <w:pPr>
        <w:spacing w:line="480" w:lineRule="atLeast"/>
        <w:ind w:left="720" w:hanging="720"/>
        <w:rPr>
          <w:rFonts w:ascii="Arial" w:hAnsi="Arial" w:cs="Arial"/>
          <w:szCs w:val="24"/>
        </w:rPr>
      </w:pPr>
    </w:p>
    <w:p w:rsidR="00763E9E" w:rsidRPr="008B7801" w:rsidRDefault="00763E9E" w:rsidP="00576C55">
      <w:pPr>
        <w:spacing w:line="480" w:lineRule="atLeast"/>
        <w:ind w:left="720" w:hanging="720"/>
        <w:rPr>
          <w:rFonts w:ascii="Arial" w:hAnsi="Arial" w:cs="Arial"/>
          <w:szCs w:val="24"/>
        </w:rPr>
      </w:pPr>
      <w:r w:rsidRPr="008B7801">
        <w:rPr>
          <w:rFonts w:ascii="Arial" w:hAnsi="Arial" w:cs="Arial"/>
          <w:szCs w:val="24"/>
        </w:rPr>
        <w:t>Q.</w:t>
      </w:r>
      <w:r w:rsidRPr="008B7801">
        <w:rPr>
          <w:rFonts w:ascii="Arial" w:hAnsi="Arial" w:cs="Arial"/>
          <w:szCs w:val="24"/>
        </w:rPr>
        <w:tab/>
        <w:t xml:space="preserve">Since the </w:t>
      </w:r>
      <w:r w:rsidR="00D124BB">
        <w:rPr>
          <w:rFonts w:ascii="Arial" w:hAnsi="Arial" w:cs="Arial"/>
          <w:szCs w:val="24"/>
        </w:rPr>
        <w:t>Storm S</w:t>
      </w:r>
      <w:r w:rsidRPr="008B7801">
        <w:rPr>
          <w:rFonts w:ascii="Arial" w:hAnsi="Arial" w:cs="Arial"/>
          <w:szCs w:val="24"/>
        </w:rPr>
        <w:t>tudy was done several years ago are the results still valid?</w:t>
      </w:r>
    </w:p>
    <w:p w:rsidR="00926F6F" w:rsidRDefault="00753629" w:rsidP="00643581">
      <w:pPr>
        <w:spacing w:line="480" w:lineRule="atLeast"/>
        <w:ind w:left="720" w:hanging="720"/>
        <w:rPr>
          <w:rFonts w:ascii="Arial" w:hAnsi="Arial" w:cs="Arial"/>
          <w:szCs w:val="24"/>
        </w:rPr>
      </w:pPr>
      <w:r w:rsidRPr="008B7801">
        <w:rPr>
          <w:rFonts w:ascii="Arial" w:hAnsi="Arial" w:cs="Arial"/>
          <w:szCs w:val="24"/>
        </w:rPr>
        <w:t>A.</w:t>
      </w:r>
      <w:r w:rsidRPr="008B7801">
        <w:rPr>
          <w:rFonts w:ascii="Arial" w:hAnsi="Arial" w:cs="Arial"/>
          <w:szCs w:val="24"/>
        </w:rPr>
        <w:tab/>
        <w:t>Yes.  Given the recent vintage of the last study, Gulf did not see the</w:t>
      </w:r>
      <w:r w:rsidR="00455032">
        <w:rPr>
          <w:rFonts w:ascii="Arial" w:hAnsi="Arial" w:cs="Arial"/>
          <w:szCs w:val="24"/>
        </w:rPr>
        <w:t xml:space="preserve"> </w:t>
      </w:r>
      <w:r w:rsidR="00EA2834" w:rsidRPr="008B7801">
        <w:rPr>
          <w:rFonts w:ascii="Arial" w:hAnsi="Arial" w:cs="Arial"/>
          <w:szCs w:val="24"/>
        </w:rPr>
        <w:t>need to increase rate case expense by commissioning a new study.</w:t>
      </w:r>
    </w:p>
    <w:p w:rsidR="00763E9E" w:rsidRPr="008B7801" w:rsidRDefault="00EA2834" w:rsidP="00576C55">
      <w:pPr>
        <w:spacing w:line="480" w:lineRule="atLeast"/>
        <w:ind w:left="720"/>
        <w:rPr>
          <w:rFonts w:ascii="Arial" w:hAnsi="Arial" w:cs="Arial"/>
          <w:szCs w:val="24"/>
        </w:rPr>
      </w:pPr>
      <w:r w:rsidRPr="008B7801">
        <w:rPr>
          <w:rFonts w:ascii="Arial" w:hAnsi="Arial" w:cs="Arial"/>
          <w:szCs w:val="24"/>
        </w:rPr>
        <w:lastRenderedPageBreak/>
        <w:t xml:space="preserve">Gulf’s judgment that an updated study was not needed was based on its </w:t>
      </w:r>
      <w:r w:rsidR="00744EC0" w:rsidRPr="008B7801">
        <w:rPr>
          <w:rFonts w:ascii="Arial" w:hAnsi="Arial" w:cs="Arial"/>
          <w:szCs w:val="24"/>
        </w:rPr>
        <w:t xml:space="preserve">expectation </w:t>
      </w:r>
      <w:r w:rsidRPr="008B7801">
        <w:rPr>
          <w:rFonts w:ascii="Arial" w:hAnsi="Arial" w:cs="Arial"/>
          <w:szCs w:val="24"/>
        </w:rPr>
        <w:t xml:space="preserve">that a new study would not likely yield </w:t>
      </w:r>
      <w:r w:rsidR="00744EC0" w:rsidRPr="008B7801">
        <w:rPr>
          <w:rFonts w:ascii="Arial" w:hAnsi="Arial" w:cs="Arial"/>
          <w:szCs w:val="24"/>
        </w:rPr>
        <w:t>lower</w:t>
      </w:r>
      <w:r w:rsidRPr="008B7801">
        <w:rPr>
          <w:rFonts w:ascii="Arial" w:hAnsi="Arial" w:cs="Arial"/>
          <w:szCs w:val="24"/>
        </w:rPr>
        <w:t xml:space="preserve"> results.  For instance, adding two years of additional experience to the existing 107 year historical record used by EQECAT would not likely result in significant changes in storm frequency and severity distributions.  While Gulf’s reserve balance has grown from the $27,000,000 used in the </w:t>
      </w:r>
      <w:r w:rsidR="00D124BB">
        <w:rPr>
          <w:rFonts w:ascii="Arial" w:hAnsi="Arial" w:cs="Arial"/>
          <w:szCs w:val="24"/>
        </w:rPr>
        <w:t>S</w:t>
      </w:r>
      <w:r w:rsidRPr="008B7801">
        <w:rPr>
          <w:rFonts w:ascii="Arial" w:hAnsi="Arial" w:cs="Arial"/>
          <w:szCs w:val="24"/>
        </w:rPr>
        <w:t xml:space="preserve">torm </w:t>
      </w:r>
      <w:r w:rsidR="00D124BB">
        <w:rPr>
          <w:rFonts w:ascii="Arial" w:hAnsi="Arial" w:cs="Arial"/>
          <w:szCs w:val="24"/>
        </w:rPr>
        <w:t>S</w:t>
      </w:r>
      <w:r w:rsidRPr="008B7801">
        <w:rPr>
          <w:rFonts w:ascii="Arial" w:hAnsi="Arial" w:cs="Arial"/>
          <w:szCs w:val="24"/>
        </w:rPr>
        <w:t xml:space="preserve">tudy to over $32,000,000 when we began putting our case together, that growth in the reserve is offset by a </w:t>
      </w:r>
      <w:r w:rsidR="00744EC0" w:rsidRPr="008B7801">
        <w:rPr>
          <w:rFonts w:ascii="Arial" w:hAnsi="Arial" w:cs="Arial"/>
          <w:szCs w:val="24"/>
        </w:rPr>
        <w:t xml:space="preserve">much </w:t>
      </w:r>
      <w:r w:rsidRPr="008B7801">
        <w:rPr>
          <w:rFonts w:ascii="Arial" w:hAnsi="Arial" w:cs="Arial"/>
          <w:szCs w:val="24"/>
        </w:rPr>
        <w:t>larger balance of transmission and distribution (T&amp;D) assets at risk today compared to the end of 2009, the date used to value the at-risk assets used in Gulf’s Storm Study.  The existing assets have increased by the value of inflation over three years.  In addition, Gulf has made additional investment in T&amp;D assets of over $128,000,000, or more than 16 percent, over the last three years.  Given these factors, Gulf thought it wise to forego additional costs to</w:t>
      </w:r>
      <w:r w:rsidR="001F7380" w:rsidRPr="008B7801">
        <w:rPr>
          <w:rFonts w:ascii="Arial" w:hAnsi="Arial" w:cs="Arial"/>
          <w:szCs w:val="24"/>
        </w:rPr>
        <w:t xml:space="preserve"> </w:t>
      </w:r>
      <w:r w:rsidR="00C53FA4" w:rsidRPr="008B7801">
        <w:rPr>
          <w:rFonts w:ascii="Arial" w:hAnsi="Arial" w:cs="Arial"/>
          <w:szCs w:val="24"/>
        </w:rPr>
        <w:t>likely</w:t>
      </w:r>
      <w:r w:rsidRPr="008B7801">
        <w:rPr>
          <w:rFonts w:ascii="Arial" w:hAnsi="Arial" w:cs="Arial"/>
          <w:szCs w:val="24"/>
        </w:rPr>
        <w:t xml:space="preserve"> come to the same conclusion – the</w:t>
      </w:r>
      <w:r w:rsidR="0017263C" w:rsidRPr="008B7801">
        <w:rPr>
          <w:rFonts w:ascii="Arial" w:hAnsi="Arial" w:cs="Arial"/>
          <w:szCs w:val="24"/>
        </w:rPr>
        <w:t xml:space="preserve"> current $3,500,000 annual reserve accrual is too small to grow the reserve</w:t>
      </w:r>
      <w:r w:rsidR="00285094" w:rsidRPr="008B7801">
        <w:rPr>
          <w:rFonts w:ascii="Arial" w:hAnsi="Arial" w:cs="Arial"/>
          <w:szCs w:val="24"/>
        </w:rPr>
        <w:t xml:space="preserve"> </w:t>
      </w:r>
      <w:r w:rsidRPr="008B7801">
        <w:rPr>
          <w:rFonts w:ascii="Arial" w:hAnsi="Arial" w:cs="Arial"/>
          <w:szCs w:val="24"/>
        </w:rPr>
        <w:t>to targeted levels and is too small to cover most storms.</w:t>
      </w:r>
    </w:p>
    <w:p w:rsidR="007B4F58" w:rsidRPr="008B7801" w:rsidRDefault="007B4F58" w:rsidP="00576C55">
      <w:pPr>
        <w:spacing w:line="480" w:lineRule="atLeast"/>
        <w:ind w:left="720"/>
        <w:rP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are the key policy considerations relating to the recovery of property damage costs?</w:t>
      </w:r>
    </w:p>
    <w:p w:rsidR="00763E9E"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The Commission has recognized that storm restoration is a cost of providing electric service in Florida. Therefore, it is properly recoverable through rates and charges of the Company.  While the exact timing of storms cannot be predicted, it is certain that tropical storms and hurricanes will affect Gulf’s system over time, and the Company will incur costs for restoring power.</w:t>
      </w:r>
    </w:p>
    <w:p w:rsidR="00F40620" w:rsidRPr="008B7801" w:rsidRDefault="00F40620"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lastRenderedPageBreak/>
        <w:t xml:space="preserve">All customers should contribute to the cost of storm restoration, even if no storm strikes in a particular year.  Since storms will occur and only their timing is uncertain, the true cost of providing electric service should include an allowance for a level of restoration activity that approximates at least the average expected annual </w:t>
      </w:r>
      <w:r w:rsidR="00D124BB">
        <w:rPr>
          <w:rStyle w:val="LineNumber"/>
          <w:rFonts w:ascii="Arial" w:hAnsi="Arial" w:cs="Arial"/>
          <w:szCs w:val="24"/>
        </w:rPr>
        <w:t>property damage</w:t>
      </w:r>
      <w:r w:rsidRPr="008B7801">
        <w:rPr>
          <w:rStyle w:val="LineNumber"/>
          <w:rFonts w:ascii="Arial" w:hAnsi="Arial" w:cs="Arial"/>
          <w:szCs w:val="24"/>
        </w:rPr>
        <w:t xml:space="preserve"> costs over time.</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 xml:space="preserve">How much does Gulf’s requested $5,500,000 increase in the annual accrual to the </w:t>
      </w:r>
      <w:r w:rsidR="00D124BB">
        <w:rPr>
          <w:rStyle w:val="LineNumber"/>
          <w:rFonts w:ascii="Arial" w:hAnsi="Arial" w:cs="Arial"/>
          <w:szCs w:val="24"/>
        </w:rPr>
        <w:t>property damage reserve</w:t>
      </w:r>
      <w:r w:rsidRPr="008B7801">
        <w:rPr>
          <w:rStyle w:val="LineNumber"/>
          <w:rFonts w:ascii="Arial" w:hAnsi="Arial" w:cs="Arial"/>
          <w:szCs w:val="24"/>
        </w:rPr>
        <w:t xml:space="preserve"> affect a 1,000 kWh monthly residential bill?</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It would increase such a bill by $0.49 for customers using 1,000 kWh per month.</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634" w:hanging="634"/>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How does the increase of $0.49 for residential customers using 1,000 kWh per month compare to the storm surcharge approved by the Commission after Hurricane Ivan because the property damage reserve was completely exhausted?</w:t>
      </w:r>
    </w:p>
    <w:p w:rsidR="00E93E7A" w:rsidRPr="008B7801" w:rsidRDefault="00E93E7A" w:rsidP="00576C55">
      <w:pPr>
        <w:spacing w:line="480" w:lineRule="atLeast"/>
        <w:ind w:left="634" w:hanging="634"/>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The storm surcharge approved by the Commission after Hurricane Ivan</w:t>
      </w:r>
    </w:p>
    <w:p w:rsidR="005A6154" w:rsidRDefault="00763E9E" w:rsidP="00576C55">
      <w:pPr>
        <w:spacing w:line="480" w:lineRule="atLeast"/>
        <w:ind w:left="634"/>
        <w:rPr>
          <w:rStyle w:val="LineNumber"/>
          <w:rFonts w:ascii="Arial" w:hAnsi="Arial" w:cs="Arial"/>
          <w:szCs w:val="24"/>
        </w:rPr>
      </w:pPr>
      <w:r w:rsidRPr="008B7801">
        <w:rPr>
          <w:rStyle w:val="LineNumber"/>
          <w:rFonts w:ascii="Arial" w:hAnsi="Arial" w:cs="Arial"/>
          <w:szCs w:val="24"/>
        </w:rPr>
        <w:t xml:space="preserve">was $2.71 per 1,000 kWh per month for the first twelve months and was projected to run an additional twelve months at $2.57 per 1,000 kWh per month during a time when Gulf’s customers were also paying for their </w:t>
      </w:r>
      <w:r w:rsidR="00D43DB5" w:rsidRPr="008B7801">
        <w:rPr>
          <w:rStyle w:val="LineNumber"/>
          <w:rFonts w:ascii="Arial" w:hAnsi="Arial" w:cs="Arial"/>
          <w:szCs w:val="24"/>
        </w:rPr>
        <w:t xml:space="preserve">individual </w:t>
      </w:r>
      <w:r w:rsidRPr="008B7801">
        <w:rPr>
          <w:rStyle w:val="LineNumber"/>
          <w:rFonts w:ascii="Arial" w:hAnsi="Arial" w:cs="Arial"/>
          <w:szCs w:val="24"/>
        </w:rPr>
        <w:t xml:space="preserve">hurricane losses.  The $2.57 surcharge per 1,000 kWh per month was extended another 27 months due to Hurricanes Dennis and Katrina hitting the next hurricane season and driving the property damage reserve into a further deficit position.  Gulf seeks a monthly increase of $0.49 per 1,000 kWh per month to mitigate the prospect of much higher storm </w:t>
      </w:r>
    </w:p>
    <w:p w:rsidR="00763E9E" w:rsidRPr="008B7801" w:rsidRDefault="00763E9E" w:rsidP="00576C55">
      <w:pPr>
        <w:spacing w:line="480" w:lineRule="atLeast"/>
        <w:ind w:left="634"/>
        <w:rPr>
          <w:rStyle w:val="LineNumber"/>
          <w:rFonts w:ascii="Arial" w:hAnsi="Arial" w:cs="Arial"/>
          <w:szCs w:val="24"/>
        </w:rPr>
      </w:pPr>
      <w:r w:rsidRPr="008B7801">
        <w:rPr>
          <w:rStyle w:val="LineNumber"/>
          <w:rFonts w:ascii="Arial" w:hAnsi="Arial" w:cs="Arial"/>
          <w:szCs w:val="24"/>
        </w:rPr>
        <w:lastRenderedPageBreak/>
        <w:t xml:space="preserve">surcharges at a time when Gulf’s customers would be paying for their </w:t>
      </w:r>
      <w:r w:rsidR="00D43DB5" w:rsidRPr="008B7801">
        <w:rPr>
          <w:rStyle w:val="LineNumber"/>
          <w:rFonts w:ascii="Arial" w:hAnsi="Arial" w:cs="Arial"/>
          <w:szCs w:val="24"/>
        </w:rPr>
        <w:t xml:space="preserve">own </w:t>
      </w:r>
      <w:r w:rsidRPr="008B7801">
        <w:rPr>
          <w:rStyle w:val="LineNumber"/>
          <w:rFonts w:ascii="Arial" w:hAnsi="Arial" w:cs="Arial"/>
          <w:szCs w:val="24"/>
        </w:rPr>
        <w:t>hurricane losses.</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Please provide a brief history of Gulf’s and the Commission’s approach to property damage cost recovery.</w:t>
      </w:r>
    </w:p>
    <w:p w:rsidR="00D968F8" w:rsidRPr="008B7801" w:rsidRDefault="00D968F8"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The Commission has consistently endorsed an overall framework related</w:t>
      </w: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to storm restoration costs which consists of three main parts:</w:t>
      </w:r>
    </w:p>
    <w:p w:rsidR="00763E9E" w:rsidRPr="008B7801" w:rsidRDefault="00763E9E" w:rsidP="00576C55">
      <w:pPr>
        <w:spacing w:line="480" w:lineRule="atLeast"/>
        <w:ind w:left="1440" w:hanging="720"/>
        <w:contextualSpacing/>
        <w:rPr>
          <w:rStyle w:val="LineNumber"/>
          <w:rFonts w:ascii="Arial" w:hAnsi="Arial" w:cs="Arial"/>
          <w:szCs w:val="24"/>
        </w:rPr>
      </w:pPr>
      <w:r w:rsidRPr="008B7801">
        <w:rPr>
          <w:rStyle w:val="LineNumber"/>
          <w:rFonts w:ascii="Arial" w:hAnsi="Arial" w:cs="Arial"/>
          <w:szCs w:val="24"/>
        </w:rPr>
        <w:t xml:space="preserve">     a.</w:t>
      </w:r>
      <w:r w:rsidRPr="008B7801">
        <w:rPr>
          <w:rStyle w:val="LineNumber"/>
          <w:rFonts w:ascii="Arial" w:hAnsi="Arial" w:cs="Arial"/>
          <w:szCs w:val="24"/>
        </w:rPr>
        <w:tab/>
        <w:t>an annual property damage accrual adjusted over time as circumstances change,</w:t>
      </w:r>
    </w:p>
    <w:p w:rsidR="0015783F" w:rsidRPr="008B7801" w:rsidRDefault="00763E9E" w:rsidP="00576C55">
      <w:pPr>
        <w:spacing w:line="480" w:lineRule="atLeast"/>
        <w:ind w:left="1440" w:hanging="720"/>
        <w:contextualSpacing/>
        <w:rPr>
          <w:rStyle w:val="LineNumber"/>
          <w:rFonts w:ascii="Arial" w:hAnsi="Arial" w:cs="Arial"/>
          <w:szCs w:val="24"/>
        </w:rPr>
      </w:pPr>
      <w:r w:rsidRPr="008B7801">
        <w:rPr>
          <w:rStyle w:val="LineNumber"/>
          <w:rFonts w:ascii="Arial" w:hAnsi="Arial" w:cs="Arial"/>
          <w:szCs w:val="24"/>
        </w:rPr>
        <w:t xml:space="preserve">     b.</w:t>
      </w:r>
      <w:r w:rsidRPr="008B7801">
        <w:rPr>
          <w:rStyle w:val="LineNumber"/>
          <w:rFonts w:ascii="Arial" w:hAnsi="Arial" w:cs="Arial"/>
          <w:szCs w:val="24"/>
        </w:rPr>
        <w:tab/>
        <w:t>a reserve adequate to accommodate most but not all storm years, and</w:t>
      </w:r>
    </w:p>
    <w:p w:rsidR="00763E9E" w:rsidRPr="008B7801" w:rsidRDefault="00763E9E" w:rsidP="00576C55">
      <w:pPr>
        <w:spacing w:line="480" w:lineRule="atLeast"/>
        <w:ind w:left="1440" w:hanging="720"/>
        <w:contextualSpacing/>
        <w:rPr>
          <w:rStyle w:val="LineNumber"/>
          <w:rFonts w:ascii="Arial" w:hAnsi="Arial" w:cs="Arial"/>
          <w:szCs w:val="24"/>
        </w:rPr>
      </w:pPr>
      <w:r w:rsidRPr="008B7801">
        <w:rPr>
          <w:rStyle w:val="LineNumber"/>
          <w:rFonts w:ascii="Arial" w:hAnsi="Arial" w:cs="Arial"/>
          <w:szCs w:val="24"/>
        </w:rPr>
        <w:t xml:space="preserve">     c.</w:t>
      </w:r>
      <w:r w:rsidRPr="008B7801">
        <w:rPr>
          <w:rStyle w:val="LineNumber"/>
          <w:rFonts w:ascii="Arial" w:hAnsi="Arial" w:cs="Arial"/>
          <w:szCs w:val="24"/>
        </w:rPr>
        <w:tab/>
        <w:t>a provision for utilities to seek recovery of costs that exceed the reserve.</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How do these mechanisms enable Gulf to recover the costs of storm restoration while balancing customer interests?</w:t>
      </w:r>
    </w:p>
    <w:p w:rsidR="00D52540" w:rsidRPr="008B7801" w:rsidRDefault="00D52540"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These mechanisms allow for on-going recovery of reasonable amounts to</w:t>
      </w: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 xml:space="preserve">provide for the costs of future storms by spreading the costs over a number of years.  The </w:t>
      </w:r>
      <w:r w:rsidR="00F40620">
        <w:rPr>
          <w:rStyle w:val="LineNumber"/>
          <w:rFonts w:ascii="Arial" w:hAnsi="Arial" w:cs="Arial"/>
          <w:szCs w:val="24"/>
        </w:rPr>
        <w:t xml:space="preserve">property damage </w:t>
      </w:r>
      <w:r w:rsidRPr="008B7801">
        <w:rPr>
          <w:rStyle w:val="LineNumber"/>
          <w:rFonts w:ascii="Arial" w:hAnsi="Arial" w:cs="Arial"/>
          <w:szCs w:val="24"/>
        </w:rPr>
        <w:t xml:space="preserve">accrual also ensures that all customers contribute to the cost of recovering from storms, whose timing is unknown. </w:t>
      </w:r>
    </w:p>
    <w:p w:rsidR="00763E9E" w:rsidRPr="008B7801" w:rsidRDefault="00763E9E" w:rsidP="00576C55">
      <w:pPr>
        <w:spacing w:line="480" w:lineRule="atLeast"/>
        <w:ind w:left="720"/>
        <w:contextualSpacing/>
        <w:rPr>
          <w:rStyle w:val="LineNumber"/>
          <w:rFonts w:ascii="Arial" w:hAnsi="Arial" w:cs="Arial"/>
          <w:szCs w:val="24"/>
        </w:rPr>
      </w:pPr>
    </w:p>
    <w:p w:rsidR="00763E9E"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In Gulf’s last rate case, the Commission approved an increase to the target amount for Gulf’s property damage reserve.  Why is it important to maintain an adequate reserve?</w:t>
      </w:r>
    </w:p>
    <w:p w:rsidR="00BA36D0" w:rsidRPr="008B7801" w:rsidRDefault="00BA36D0"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There are numerous reasons for maintaining an adequate reserve.  First, an</w:t>
      </w:r>
    </w:p>
    <w:p w:rsidR="00763E9E" w:rsidRPr="008B7801" w:rsidRDefault="00763E9E" w:rsidP="00643581">
      <w:pPr>
        <w:spacing w:line="480" w:lineRule="atLeast"/>
        <w:ind w:left="720"/>
        <w:contextualSpacing/>
        <w:rPr>
          <w:rStyle w:val="LineNumber"/>
          <w:rFonts w:ascii="Arial" w:hAnsi="Arial" w:cs="Arial"/>
          <w:szCs w:val="24"/>
        </w:rPr>
      </w:pPr>
      <w:r w:rsidRPr="008B7801">
        <w:rPr>
          <w:rStyle w:val="LineNumber"/>
          <w:rFonts w:ascii="Arial" w:hAnsi="Arial" w:cs="Arial"/>
          <w:szCs w:val="24"/>
        </w:rPr>
        <w:lastRenderedPageBreak/>
        <w:t xml:space="preserve">adequate reserve diminishes (but does not eliminate) the likelihood of having to impose surcharges on customers to pay for </w:t>
      </w:r>
      <w:r w:rsidR="00F40620">
        <w:rPr>
          <w:rStyle w:val="LineNumber"/>
          <w:rFonts w:ascii="Arial" w:hAnsi="Arial" w:cs="Arial"/>
          <w:szCs w:val="24"/>
        </w:rPr>
        <w:t>hurricane</w:t>
      </w:r>
      <w:r w:rsidRPr="008B7801">
        <w:rPr>
          <w:rStyle w:val="LineNumber"/>
          <w:rFonts w:ascii="Arial" w:hAnsi="Arial" w:cs="Arial"/>
          <w:szCs w:val="24"/>
        </w:rPr>
        <w:t xml:space="preserve"> losses.  Avoiding surcharges in a post-</w:t>
      </w:r>
      <w:r w:rsidR="00F40620">
        <w:rPr>
          <w:rStyle w:val="LineNumber"/>
          <w:rFonts w:ascii="Arial" w:hAnsi="Arial" w:cs="Arial"/>
          <w:szCs w:val="24"/>
        </w:rPr>
        <w:t>hurricane</w:t>
      </w:r>
      <w:r w:rsidRPr="008B7801">
        <w:rPr>
          <w:rStyle w:val="LineNumber"/>
          <w:rFonts w:ascii="Arial" w:hAnsi="Arial" w:cs="Arial"/>
          <w:szCs w:val="24"/>
        </w:rPr>
        <w:t xml:space="preserve"> period is greatly beneficial to customers as they too must struggle with the challenges of </w:t>
      </w:r>
      <w:r w:rsidR="00F40620">
        <w:rPr>
          <w:rStyle w:val="LineNumber"/>
          <w:rFonts w:ascii="Arial" w:hAnsi="Arial" w:cs="Arial"/>
          <w:szCs w:val="24"/>
        </w:rPr>
        <w:t>hurricane</w:t>
      </w:r>
      <w:r w:rsidRPr="008B7801">
        <w:rPr>
          <w:rStyle w:val="LineNumber"/>
          <w:rFonts w:ascii="Arial" w:hAnsi="Arial" w:cs="Arial"/>
          <w:szCs w:val="24"/>
        </w:rPr>
        <w:t xml:space="preserve"> recovery.  Second, an adequate reserve acts like an effective insurance policy.  It allows “premiums” in the form of rates to be recovered from all customers a little at a time to cover large losses of an infrequent nature.  Third, an adequate reserve assures that financial resources are available to quickly and efficiently repair damages and restore service to customers.  Fourth, an adequate reserve diminishes the likelihood of the reserve going negative as it did twice in the 2004-2005 time period.  And fifth, an adequate reserve allows for insurance deductibles for Gulf’s generating plants and other non-T&amp;D assets. </w:t>
      </w:r>
      <w:r w:rsidR="00D43DB5" w:rsidRPr="008B7801">
        <w:rPr>
          <w:rStyle w:val="LineNumber"/>
          <w:rFonts w:ascii="Arial" w:hAnsi="Arial" w:cs="Arial"/>
          <w:szCs w:val="24"/>
        </w:rPr>
        <w:t>For instance, t</w:t>
      </w:r>
      <w:r w:rsidRPr="008B7801">
        <w:rPr>
          <w:rStyle w:val="LineNumber"/>
          <w:rFonts w:ascii="Arial" w:hAnsi="Arial" w:cs="Arial"/>
          <w:szCs w:val="24"/>
        </w:rPr>
        <w:t>he deductible for the All Risk policy covering non-T&amp;D assets is $25,000,000 for named windstorm and wind driven water</w:t>
      </w:r>
      <w:r w:rsidR="00BB2C31" w:rsidRPr="008B7801">
        <w:rPr>
          <w:rStyle w:val="LineNumber"/>
          <w:rFonts w:ascii="Arial" w:hAnsi="Arial" w:cs="Arial"/>
          <w:szCs w:val="24"/>
        </w:rPr>
        <w:t xml:space="preserve">, and any such deductible would </w:t>
      </w:r>
      <w:r w:rsidR="00D43DB5" w:rsidRPr="008B7801">
        <w:rPr>
          <w:rStyle w:val="LineNumber"/>
          <w:rFonts w:ascii="Arial" w:hAnsi="Arial" w:cs="Arial"/>
          <w:szCs w:val="24"/>
        </w:rPr>
        <w:t xml:space="preserve">also </w:t>
      </w:r>
      <w:r w:rsidR="00BB2C31" w:rsidRPr="008B7801">
        <w:rPr>
          <w:rStyle w:val="LineNumber"/>
          <w:rFonts w:ascii="Arial" w:hAnsi="Arial" w:cs="Arial"/>
          <w:szCs w:val="24"/>
        </w:rPr>
        <w:t xml:space="preserve">be charged to the </w:t>
      </w:r>
      <w:r w:rsidR="00D624CF" w:rsidRPr="008B7801">
        <w:rPr>
          <w:rStyle w:val="LineNumber"/>
          <w:rFonts w:ascii="Arial" w:hAnsi="Arial" w:cs="Arial"/>
          <w:szCs w:val="24"/>
        </w:rPr>
        <w:t>property damage</w:t>
      </w:r>
      <w:r w:rsidR="00BB2C31" w:rsidRPr="008B7801">
        <w:rPr>
          <w:rStyle w:val="LineNumber"/>
          <w:rFonts w:ascii="Arial" w:hAnsi="Arial" w:cs="Arial"/>
          <w:szCs w:val="24"/>
        </w:rPr>
        <w:t xml:space="preserve"> reserve</w:t>
      </w:r>
      <w:r w:rsidRPr="008B7801">
        <w:rPr>
          <w:rStyle w:val="LineNumber"/>
          <w:rFonts w:ascii="Arial" w:hAnsi="Arial" w:cs="Arial"/>
          <w:szCs w:val="24"/>
        </w:rPr>
        <w:t>.</w:t>
      </w:r>
    </w:p>
    <w:p w:rsidR="00763E9E" w:rsidRDefault="00763E9E" w:rsidP="00576C55">
      <w:pPr>
        <w:spacing w:line="480" w:lineRule="atLeast"/>
        <w:ind w:left="720" w:hanging="720"/>
        <w:contextualSpacing/>
        <w:rPr>
          <w:rStyle w:val="LineNumber"/>
          <w:rFonts w:ascii="Arial" w:hAnsi="Arial" w:cs="Arial"/>
          <w:szCs w:val="24"/>
        </w:rPr>
      </w:pPr>
    </w:p>
    <w:p w:rsidR="00BA36D0" w:rsidRPr="008B7801" w:rsidRDefault="00BA36D0" w:rsidP="00576C55">
      <w:pPr>
        <w:spacing w:line="480" w:lineRule="atLeast"/>
        <w:ind w:left="720" w:hanging="720"/>
        <w:contextualSpacing/>
        <w:rPr>
          <w:rStyle w:val="LineNumber"/>
          <w:rFonts w:ascii="Arial" w:hAnsi="Arial" w:cs="Arial"/>
          <w:szCs w:val="24"/>
        </w:rPr>
      </w:pPr>
    </w:p>
    <w:p w:rsidR="00763E9E" w:rsidRPr="008B7801" w:rsidRDefault="00763E9E" w:rsidP="00576C55">
      <w:pPr>
        <w:pStyle w:val="ListParagraph"/>
        <w:spacing w:after="0" w:line="480" w:lineRule="atLeast"/>
        <w:ind w:left="0"/>
        <w:jc w:val="center"/>
        <w:rPr>
          <w:rStyle w:val="LineNumber"/>
          <w:rFonts w:ascii="Arial" w:hAnsi="Arial" w:cs="Arial"/>
          <w:b/>
          <w:szCs w:val="24"/>
        </w:rPr>
      </w:pPr>
      <w:r w:rsidRPr="008B7801">
        <w:rPr>
          <w:rStyle w:val="LineNumber"/>
          <w:rFonts w:ascii="Arial" w:hAnsi="Arial" w:cs="Arial"/>
          <w:b/>
          <w:szCs w:val="24"/>
        </w:rPr>
        <w:t>III. DEPRECIATION</w:t>
      </w:r>
    </w:p>
    <w:p w:rsidR="00763E9E" w:rsidRPr="008B7801" w:rsidRDefault="00763E9E" w:rsidP="00576C55">
      <w:pPr>
        <w:pStyle w:val="ListParagraph"/>
        <w:spacing w:after="0" w:line="480" w:lineRule="atLeast"/>
        <w:ind w:hanging="720"/>
        <w:rPr>
          <w:rStyle w:val="LineNumber"/>
          <w:rFonts w:ascii="Arial" w:hAnsi="Arial" w:cs="Arial"/>
          <w:szCs w:val="24"/>
        </w:rPr>
      </w:pPr>
    </w:p>
    <w:p w:rsidR="00763E9E" w:rsidRPr="008B7801" w:rsidRDefault="00763E9E" w:rsidP="00576C55">
      <w:pPr>
        <w:spacing w:line="480" w:lineRule="atLeast"/>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is the basis for Gulf’s depreciation expense in 2014?</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Gulf’s depreciation expense reflects the depreciation rates approved by the Commission in Order No. PSC-10-0458-PAA-EI, issued on </w:t>
      </w: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July 19, 2010 in Docket No. 090319-EI, the depreciation rate for the Perdido Landfill Facility approved by the Commission in Order No. PSC-10-0674-</w:t>
      </w:r>
      <w:r w:rsidRPr="008B7801">
        <w:rPr>
          <w:rStyle w:val="LineNumber"/>
          <w:rFonts w:ascii="Arial" w:hAnsi="Arial" w:cs="Arial"/>
          <w:szCs w:val="24"/>
        </w:rPr>
        <w:lastRenderedPageBreak/>
        <w:t>PAA-EI, issued on November 9, 2010 in Docket No. 100368-EI, and the depreciation rate for the Advanced Metering Infrastructure meters approved by the Commission in Order No. PSC-12-0179-FOF-EI, issued on April 3, 2012 in Docket No. 110138-EI.  In accordance with Commission Rule 25-6.0436, which requires Gulf to file a new depreciation study every four years, Gulf filed its 2013 Depreciation Study</w:t>
      </w:r>
      <w:r w:rsidR="008D3DE2" w:rsidRPr="008B7801">
        <w:rPr>
          <w:rStyle w:val="LineNumber"/>
          <w:rFonts w:ascii="Arial" w:hAnsi="Arial" w:cs="Arial"/>
          <w:szCs w:val="24"/>
        </w:rPr>
        <w:t>,</w:t>
      </w:r>
      <w:r w:rsidR="00895D48" w:rsidRPr="008B7801">
        <w:rPr>
          <w:rStyle w:val="LineNumber"/>
          <w:rFonts w:ascii="Arial" w:hAnsi="Arial" w:cs="Arial"/>
          <w:szCs w:val="24"/>
        </w:rPr>
        <w:t xml:space="preserve"> </w:t>
      </w:r>
      <w:r w:rsidR="007922EB" w:rsidRPr="008B7801">
        <w:rPr>
          <w:rStyle w:val="LineNumber"/>
          <w:rFonts w:ascii="Arial" w:hAnsi="Arial" w:cs="Arial"/>
          <w:szCs w:val="24"/>
        </w:rPr>
        <w:t>D</w:t>
      </w:r>
      <w:r w:rsidR="00A60B1A" w:rsidRPr="008B7801">
        <w:rPr>
          <w:rStyle w:val="LineNumber"/>
          <w:rFonts w:ascii="Arial" w:hAnsi="Arial" w:cs="Arial"/>
          <w:szCs w:val="24"/>
        </w:rPr>
        <w:t xml:space="preserve">ocket </w:t>
      </w:r>
      <w:r w:rsidR="007922EB" w:rsidRPr="008B7801">
        <w:rPr>
          <w:rStyle w:val="LineNumber"/>
          <w:rFonts w:ascii="Arial" w:hAnsi="Arial" w:cs="Arial"/>
          <w:szCs w:val="24"/>
        </w:rPr>
        <w:t xml:space="preserve">No. </w:t>
      </w:r>
      <w:r w:rsidR="00A60B1A" w:rsidRPr="008B7801">
        <w:rPr>
          <w:rStyle w:val="LineNumber"/>
          <w:rFonts w:ascii="Arial" w:hAnsi="Arial" w:cs="Arial"/>
          <w:szCs w:val="24"/>
        </w:rPr>
        <w:t>13</w:t>
      </w:r>
      <w:r w:rsidR="00E003CB" w:rsidRPr="008B7801">
        <w:rPr>
          <w:rStyle w:val="LineNumber"/>
          <w:rFonts w:ascii="Arial" w:hAnsi="Arial" w:cs="Arial"/>
          <w:szCs w:val="24"/>
        </w:rPr>
        <w:t>0151</w:t>
      </w:r>
      <w:r w:rsidR="007922EB" w:rsidRPr="008B7801">
        <w:rPr>
          <w:rStyle w:val="LineNumber"/>
          <w:rFonts w:ascii="Arial" w:hAnsi="Arial" w:cs="Arial"/>
          <w:szCs w:val="24"/>
        </w:rPr>
        <w:t>-EI</w:t>
      </w:r>
      <w:r w:rsidR="008D3DE2" w:rsidRPr="008B7801">
        <w:rPr>
          <w:rStyle w:val="LineNumber"/>
          <w:rFonts w:ascii="Arial" w:hAnsi="Arial" w:cs="Arial"/>
          <w:szCs w:val="24"/>
        </w:rPr>
        <w:t>,</w:t>
      </w:r>
      <w:r w:rsidRPr="008B7801">
        <w:rPr>
          <w:rStyle w:val="LineNumber"/>
          <w:rFonts w:ascii="Arial" w:hAnsi="Arial" w:cs="Arial"/>
          <w:szCs w:val="24"/>
        </w:rPr>
        <w:t xml:space="preserve"> with the Commission on May 24, 2013.  The Depreciation Study is sponsored by Mr. Huck as Exhibit PSH-1</w:t>
      </w:r>
      <w:r w:rsidR="00744EC0" w:rsidRPr="008B7801">
        <w:rPr>
          <w:rStyle w:val="LineNumber"/>
          <w:rFonts w:ascii="Arial" w:hAnsi="Arial" w:cs="Arial"/>
          <w:szCs w:val="24"/>
        </w:rPr>
        <w:t>,</w:t>
      </w:r>
      <w:r w:rsidRPr="008B7801">
        <w:rPr>
          <w:rStyle w:val="LineNumber"/>
          <w:rFonts w:ascii="Arial" w:hAnsi="Arial" w:cs="Arial"/>
          <w:szCs w:val="24"/>
        </w:rPr>
        <w:t xml:space="preserve"> and the Company has made an NOI adjustment of $2,199,000 to the 2014 test year to reflect an increase in depreciation expense based on the results of the Depreciation Study.  A reconciliation of total depreciation expense in Gulf’s 2014 test year to the calculated expense based on the proposed</w:t>
      </w:r>
      <w:r w:rsidR="0052323E" w:rsidRPr="008B7801">
        <w:rPr>
          <w:rStyle w:val="LineNumber"/>
          <w:rFonts w:ascii="Arial" w:hAnsi="Arial" w:cs="Arial"/>
          <w:szCs w:val="24"/>
        </w:rPr>
        <w:t xml:space="preserve"> rates in Gulf’s 2013 Depreciation Study can be found on Exhibit CJE-1,</w:t>
      </w:r>
      <w:r w:rsidR="001E73DB" w:rsidRPr="008B7801">
        <w:rPr>
          <w:rStyle w:val="LineNumber"/>
          <w:rFonts w:ascii="Arial" w:hAnsi="Arial" w:cs="Arial"/>
          <w:szCs w:val="24"/>
        </w:rPr>
        <w:t xml:space="preserve"> </w:t>
      </w:r>
      <w:r w:rsidRPr="008B7801">
        <w:rPr>
          <w:rStyle w:val="LineNumber"/>
          <w:rFonts w:ascii="Arial" w:hAnsi="Arial" w:cs="Arial"/>
          <w:szCs w:val="24"/>
        </w:rPr>
        <w:t xml:space="preserve">Schedule 4.   </w:t>
      </w:r>
    </w:p>
    <w:p w:rsidR="00763E9E" w:rsidRPr="008B7801"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 xml:space="preserve"> </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Did the Depreciation Study follow generally accepted practices in the field of depreciation?</w:t>
      </w:r>
    </w:p>
    <w:p w:rsidR="00763E9E" w:rsidRPr="008B7801" w:rsidRDefault="00763E9E" w:rsidP="00576C55">
      <w:pPr>
        <w:spacing w:line="480" w:lineRule="atLeast"/>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Yes.  The methods and practices are discussed in Mr. Huck’s testimony.</w:t>
      </w:r>
    </w:p>
    <w:p w:rsidR="0015783F" w:rsidRPr="008B7801" w:rsidRDefault="0015783F" w:rsidP="00576C55">
      <w:pPr>
        <w:spacing w:line="480" w:lineRule="atLeast"/>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is the basis for the plant balances used in Gulf’s new Depreciation Study?</w:t>
      </w: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The new Depreciation Study’s analysis is based on projected plant and reserve balances as of December 31, 2013.  The results of these analyses are then applied to estimated balances through the end of 2014.  The composite depreciation rates, which are based on the new Depreciation Study, are used to calculate the Company adjustment to the 2014 test year.  </w:t>
      </w:r>
      <w:r w:rsidRPr="008B7801">
        <w:rPr>
          <w:rStyle w:val="LineNumber"/>
          <w:rFonts w:ascii="Arial" w:hAnsi="Arial" w:cs="Arial"/>
          <w:szCs w:val="24"/>
        </w:rPr>
        <w:lastRenderedPageBreak/>
        <w:t>Further assumptions and details of the Depreciation Study are discussed in Mr. Huck’s testimony.</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 xml:space="preserve">Q. </w:t>
      </w:r>
      <w:r w:rsidRPr="008B7801">
        <w:rPr>
          <w:rStyle w:val="LineNumber"/>
          <w:rFonts w:ascii="Arial" w:hAnsi="Arial" w:cs="Arial"/>
          <w:szCs w:val="24"/>
        </w:rPr>
        <w:tab/>
        <w:t>Has the FPSC approved Gulf’s 2013 Depreciation Study?</w:t>
      </w:r>
    </w:p>
    <w:p w:rsidR="00D968F8" w:rsidRPr="008B7801" w:rsidRDefault="00D968F8"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 xml:space="preserve">Not at this time.  </w:t>
      </w:r>
      <w:r w:rsidRPr="008B7801">
        <w:rPr>
          <w:rStyle w:val="LineNumber"/>
          <w:rFonts w:ascii="Arial" w:eastAsiaTheme="minorEastAsia" w:hAnsi="Arial" w:cs="Arial"/>
          <w:szCs w:val="24"/>
        </w:rPr>
        <w:t>The Company asks that the final outcome of the FPS</w:t>
      </w:r>
      <w:r w:rsidR="00F40620">
        <w:rPr>
          <w:rStyle w:val="LineNumber"/>
          <w:rFonts w:ascii="Arial" w:eastAsiaTheme="minorEastAsia" w:hAnsi="Arial" w:cs="Arial"/>
          <w:szCs w:val="24"/>
        </w:rPr>
        <w:t>C’s review and approval of the D</w:t>
      </w:r>
      <w:r w:rsidRPr="008B7801">
        <w:rPr>
          <w:rStyle w:val="LineNumber"/>
          <w:rFonts w:ascii="Arial" w:eastAsiaTheme="minorEastAsia" w:hAnsi="Arial" w:cs="Arial"/>
          <w:szCs w:val="24"/>
        </w:rPr>
        <w:t xml:space="preserve">epreciation </w:t>
      </w:r>
      <w:r w:rsidR="00F40620">
        <w:rPr>
          <w:rStyle w:val="LineNumber"/>
          <w:rFonts w:ascii="Arial" w:eastAsiaTheme="minorEastAsia" w:hAnsi="Arial" w:cs="Arial"/>
          <w:szCs w:val="24"/>
        </w:rPr>
        <w:t>S</w:t>
      </w:r>
      <w:r w:rsidRPr="008B7801">
        <w:rPr>
          <w:rStyle w:val="LineNumber"/>
          <w:rFonts w:ascii="Arial" w:eastAsiaTheme="minorEastAsia" w:hAnsi="Arial" w:cs="Arial"/>
          <w:szCs w:val="24"/>
        </w:rPr>
        <w:t>tudy be reflected in the 2014 test</w:t>
      </w:r>
    </w:p>
    <w:p w:rsidR="00763E9E" w:rsidRPr="008B7801" w:rsidRDefault="00763E9E" w:rsidP="00576C55">
      <w:pPr>
        <w:spacing w:line="480" w:lineRule="atLeast"/>
        <w:ind w:left="720"/>
        <w:contextualSpacing/>
        <w:rPr>
          <w:rStyle w:val="LineNumber"/>
          <w:rFonts w:ascii="Arial" w:eastAsiaTheme="minorEastAsia" w:hAnsi="Arial" w:cs="Arial"/>
          <w:szCs w:val="24"/>
        </w:rPr>
      </w:pPr>
      <w:r w:rsidRPr="008B7801">
        <w:rPr>
          <w:rStyle w:val="LineNumber"/>
          <w:rFonts w:ascii="Arial" w:eastAsiaTheme="minorEastAsia" w:hAnsi="Arial" w:cs="Arial"/>
          <w:szCs w:val="24"/>
        </w:rPr>
        <w:t xml:space="preserve">year </w:t>
      </w:r>
      <w:r w:rsidR="00182C30" w:rsidRPr="008B7801">
        <w:rPr>
          <w:rStyle w:val="LineNumber"/>
          <w:rFonts w:ascii="Arial" w:eastAsiaTheme="minorEastAsia" w:hAnsi="Arial" w:cs="Arial"/>
          <w:szCs w:val="24"/>
        </w:rPr>
        <w:t>expenses used as the basis for setting rates in this docket.</w:t>
      </w:r>
    </w:p>
    <w:p w:rsidR="008D2A0F" w:rsidRPr="008B7801" w:rsidRDefault="008D2A0F" w:rsidP="00576C55">
      <w:pPr>
        <w:spacing w:line="480" w:lineRule="atLeast"/>
        <w:contextualSpacing/>
        <w:jc w:val="center"/>
        <w:rPr>
          <w:rStyle w:val="LineNumber"/>
          <w:rFonts w:ascii="Arial" w:hAnsi="Arial" w:cs="Arial"/>
          <w:b/>
          <w:szCs w:val="24"/>
        </w:rPr>
      </w:pPr>
    </w:p>
    <w:p w:rsidR="008D2A0F" w:rsidRPr="008B7801" w:rsidRDefault="008D2A0F" w:rsidP="00576C55">
      <w:pPr>
        <w:spacing w:line="480" w:lineRule="atLeast"/>
        <w:contextualSpacing/>
        <w:jc w:val="center"/>
        <w:rPr>
          <w:rStyle w:val="LineNumber"/>
          <w:rFonts w:ascii="Arial" w:hAnsi="Arial" w:cs="Arial"/>
          <w:b/>
          <w:szCs w:val="24"/>
        </w:rPr>
      </w:pPr>
    </w:p>
    <w:p w:rsidR="00763E9E" w:rsidRPr="008B7801" w:rsidRDefault="00763E9E" w:rsidP="00576C55">
      <w:pPr>
        <w:spacing w:line="480" w:lineRule="atLeast"/>
        <w:contextualSpacing/>
        <w:jc w:val="center"/>
        <w:rPr>
          <w:rStyle w:val="LineNumber"/>
          <w:rFonts w:ascii="Arial" w:hAnsi="Arial" w:cs="Arial"/>
          <w:b/>
          <w:szCs w:val="24"/>
        </w:rPr>
      </w:pPr>
      <w:r w:rsidRPr="008B7801">
        <w:rPr>
          <w:rStyle w:val="LineNumber"/>
          <w:rFonts w:ascii="Arial" w:hAnsi="Arial" w:cs="Arial"/>
          <w:b/>
          <w:szCs w:val="24"/>
        </w:rPr>
        <w:t>IV. DISMANTLEMENT</w:t>
      </w:r>
    </w:p>
    <w:p w:rsidR="00763E9E" w:rsidRPr="008B7801" w:rsidRDefault="00763E9E" w:rsidP="00576C55">
      <w:pPr>
        <w:spacing w:line="480" w:lineRule="atLeast"/>
        <w:ind w:left="1440" w:hanging="720"/>
        <w:contextualSpacing/>
        <w:jc w:val="center"/>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is the basis for Gulf’s dismantlement expense in 2014?</w:t>
      </w:r>
    </w:p>
    <w:p w:rsidR="00763E9E" w:rsidRPr="008B7801" w:rsidRDefault="00763E9E" w:rsidP="00F40620">
      <w:pPr>
        <w:widowControl w:val="0"/>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Gulf’s dismantlement expense reflects the dismantlement amounts approved by the Commission in Order No. PSC-10-0458-PAA-EI, issued on July 19, 2010 in Docket No. 090319-EI.  In accordance with Commission Rule 25-6.04364, which requires Gulf to file a new Dismantlement Study every four years, Gulf filed its 2013 Dismantlement Study</w:t>
      </w:r>
      <w:r w:rsidR="008D3DE2" w:rsidRPr="008B7801">
        <w:rPr>
          <w:rStyle w:val="LineNumber"/>
          <w:rFonts w:ascii="Arial" w:hAnsi="Arial" w:cs="Arial"/>
          <w:szCs w:val="24"/>
        </w:rPr>
        <w:t xml:space="preserve">, </w:t>
      </w:r>
      <w:r w:rsidR="007922EB" w:rsidRPr="008B7801">
        <w:rPr>
          <w:rStyle w:val="LineNumber"/>
          <w:rFonts w:ascii="Arial" w:hAnsi="Arial" w:cs="Arial"/>
          <w:szCs w:val="24"/>
        </w:rPr>
        <w:t>D</w:t>
      </w:r>
      <w:r w:rsidR="00895D48" w:rsidRPr="008B7801">
        <w:rPr>
          <w:rStyle w:val="LineNumber"/>
          <w:rFonts w:ascii="Arial" w:hAnsi="Arial" w:cs="Arial"/>
          <w:szCs w:val="24"/>
        </w:rPr>
        <w:t xml:space="preserve">ocket </w:t>
      </w:r>
      <w:r w:rsidR="007922EB" w:rsidRPr="008B7801">
        <w:rPr>
          <w:rStyle w:val="LineNumber"/>
          <w:rFonts w:ascii="Arial" w:hAnsi="Arial" w:cs="Arial"/>
          <w:szCs w:val="24"/>
        </w:rPr>
        <w:t xml:space="preserve">No. </w:t>
      </w:r>
      <w:r w:rsidR="00895D48" w:rsidRPr="008B7801">
        <w:rPr>
          <w:rStyle w:val="LineNumber"/>
          <w:rFonts w:ascii="Arial" w:hAnsi="Arial" w:cs="Arial"/>
          <w:szCs w:val="24"/>
        </w:rPr>
        <w:t>13</w:t>
      </w:r>
      <w:r w:rsidR="00384452" w:rsidRPr="008B7801">
        <w:rPr>
          <w:rStyle w:val="LineNumber"/>
          <w:rFonts w:ascii="Arial" w:hAnsi="Arial" w:cs="Arial"/>
          <w:szCs w:val="24"/>
        </w:rPr>
        <w:t>0151</w:t>
      </w:r>
      <w:r w:rsidR="007922EB" w:rsidRPr="008B7801">
        <w:rPr>
          <w:rStyle w:val="LineNumber"/>
          <w:rFonts w:ascii="Arial" w:hAnsi="Arial" w:cs="Arial"/>
          <w:szCs w:val="24"/>
        </w:rPr>
        <w:t>-EI</w:t>
      </w:r>
      <w:r w:rsidR="008D3DE2" w:rsidRPr="008B7801">
        <w:rPr>
          <w:rStyle w:val="LineNumber"/>
          <w:rFonts w:ascii="Arial" w:hAnsi="Arial" w:cs="Arial"/>
          <w:szCs w:val="24"/>
        </w:rPr>
        <w:t>,</w:t>
      </w:r>
      <w:r w:rsidRPr="008B7801">
        <w:rPr>
          <w:rStyle w:val="LineNumber"/>
          <w:rFonts w:ascii="Arial" w:hAnsi="Arial" w:cs="Arial"/>
          <w:szCs w:val="24"/>
        </w:rPr>
        <w:t xml:space="preserve"> with the Commission on May 24, 2013.  The Dismantlement Study is Exhibit CJE-1, Schedule 5, and the Company has made an NOI adjustment of (</w:t>
      </w:r>
      <w:r w:rsidR="00DF1111" w:rsidRPr="008B7801">
        <w:rPr>
          <w:rStyle w:val="LineNumber"/>
          <w:rFonts w:ascii="Arial" w:hAnsi="Arial" w:cs="Arial"/>
          <w:szCs w:val="24"/>
        </w:rPr>
        <w:t>$</w:t>
      </w:r>
      <w:r w:rsidRPr="008B7801">
        <w:rPr>
          <w:rStyle w:val="LineNumber"/>
          <w:rFonts w:ascii="Arial" w:hAnsi="Arial" w:cs="Arial"/>
          <w:szCs w:val="24"/>
        </w:rPr>
        <w:t>2,496,000) to the 2014 test year to reflect a decrease in dismantlement expense based on the results of the Dismantlement Study.  A reconciliation of total dismantlement expense in Gulf’s 2014 test year to the calculated expense based on the proposed rates in Gulf’s 2013 Dismantlement Study can be found on Exhibit CJE-1, Schedule 4.</w:t>
      </w:r>
    </w:p>
    <w:p w:rsidR="00763E9E" w:rsidRPr="008B7801" w:rsidRDefault="00763E9E"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eastAsiaTheme="minorEastAsia" w:hAnsi="Arial" w:cs="Arial"/>
          <w:szCs w:val="24"/>
        </w:rPr>
      </w:pPr>
      <w:r w:rsidRPr="008B7801">
        <w:rPr>
          <w:rStyle w:val="LineNumber"/>
          <w:rFonts w:ascii="Arial" w:eastAsiaTheme="minorEastAsia" w:hAnsi="Arial" w:cs="Arial"/>
          <w:szCs w:val="24"/>
        </w:rPr>
        <w:lastRenderedPageBreak/>
        <w:t>Q.</w:t>
      </w:r>
      <w:r w:rsidRPr="008B7801">
        <w:rPr>
          <w:rStyle w:val="LineNumber"/>
          <w:rFonts w:ascii="Arial" w:eastAsiaTheme="minorEastAsia" w:hAnsi="Arial" w:cs="Arial"/>
          <w:szCs w:val="24"/>
        </w:rPr>
        <w:tab/>
        <w:t>Has the FPSC approved Gulf’s 2013 Dismantlement Study?</w:t>
      </w:r>
    </w:p>
    <w:p w:rsidR="00763E9E" w:rsidRPr="008B7801" w:rsidRDefault="00763E9E" w:rsidP="00576C55">
      <w:pPr>
        <w:tabs>
          <w:tab w:val="left" w:pos="0"/>
        </w:tabs>
        <w:spacing w:line="480" w:lineRule="atLeast"/>
        <w:ind w:left="720" w:hanging="720"/>
        <w:contextualSpacing/>
        <w:rPr>
          <w:rStyle w:val="LineNumber"/>
          <w:rFonts w:ascii="Arial" w:eastAsiaTheme="minorEastAsia" w:hAnsi="Arial" w:cs="Arial"/>
          <w:szCs w:val="24"/>
        </w:rPr>
      </w:pPr>
      <w:r w:rsidRPr="008B7801">
        <w:rPr>
          <w:rStyle w:val="LineNumber"/>
          <w:rFonts w:ascii="Arial" w:eastAsiaTheme="minorEastAsia" w:hAnsi="Arial" w:cs="Arial"/>
          <w:szCs w:val="24"/>
        </w:rPr>
        <w:t>A.</w:t>
      </w:r>
      <w:r w:rsidRPr="008B7801">
        <w:rPr>
          <w:rStyle w:val="LineNumber"/>
          <w:rFonts w:ascii="Arial" w:eastAsiaTheme="minorEastAsia" w:hAnsi="Arial" w:cs="Arial"/>
          <w:szCs w:val="24"/>
        </w:rPr>
        <w:tab/>
        <w:t xml:space="preserve">Not at this time.  </w:t>
      </w:r>
      <w:r w:rsidR="00DF1111" w:rsidRPr="008B7801">
        <w:rPr>
          <w:rStyle w:val="LineNumber"/>
          <w:rFonts w:ascii="Arial" w:eastAsiaTheme="minorEastAsia" w:hAnsi="Arial" w:cs="Arial"/>
          <w:szCs w:val="24"/>
        </w:rPr>
        <w:t xml:space="preserve">The study is performed consistent with generally accepted industry standard dismantlement methods.  </w:t>
      </w:r>
      <w:r w:rsidRPr="008B7801">
        <w:rPr>
          <w:rStyle w:val="LineNumber"/>
          <w:rFonts w:ascii="Arial" w:eastAsiaTheme="minorEastAsia" w:hAnsi="Arial" w:cs="Arial"/>
          <w:szCs w:val="24"/>
        </w:rPr>
        <w:t xml:space="preserve">The study results are based on Gulf’s </w:t>
      </w:r>
      <w:r w:rsidR="00DF1111" w:rsidRPr="008B7801">
        <w:rPr>
          <w:rStyle w:val="LineNumber"/>
          <w:rFonts w:ascii="Arial" w:eastAsiaTheme="minorEastAsia" w:hAnsi="Arial" w:cs="Arial"/>
          <w:szCs w:val="24"/>
        </w:rPr>
        <w:t xml:space="preserve">projected </w:t>
      </w:r>
      <w:r w:rsidRPr="008B7801">
        <w:rPr>
          <w:rStyle w:val="LineNumber"/>
          <w:rFonts w:ascii="Arial" w:eastAsiaTheme="minorEastAsia" w:hAnsi="Arial" w:cs="Arial"/>
          <w:szCs w:val="24"/>
        </w:rPr>
        <w:t>plant in service and incorporate the latest disposal, removal and salvage pricing</w:t>
      </w:r>
      <w:r w:rsidR="00DF1111" w:rsidRPr="008B7801">
        <w:rPr>
          <w:rStyle w:val="LineNumber"/>
          <w:rFonts w:ascii="Arial" w:eastAsiaTheme="minorEastAsia" w:hAnsi="Arial" w:cs="Arial"/>
          <w:szCs w:val="24"/>
        </w:rPr>
        <w:t>.</w:t>
      </w:r>
      <w:r w:rsidRPr="008B7801">
        <w:rPr>
          <w:rStyle w:val="LineNumber"/>
          <w:rFonts w:ascii="Arial" w:eastAsiaTheme="minorEastAsia" w:hAnsi="Arial" w:cs="Arial"/>
          <w:szCs w:val="24"/>
        </w:rPr>
        <w:t xml:space="preserve">  The Company asks that the final outcome of the FPSC’s review and approval of the Dismantlement Study be reflected in the 2014 test year </w:t>
      </w:r>
      <w:r w:rsidR="00182C30" w:rsidRPr="008B7801">
        <w:rPr>
          <w:rStyle w:val="LineNumber"/>
          <w:rFonts w:ascii="Arial" w:eastAsiaTheme="minorEastAsia" w:hAnsi="Arial" w:cs="Arial"/>
          <w:szCs w:val="24"/>
        </w:rPr>
        <w:t>expenses used as the basis for setting rates in this docket.</w:t>
      </w:r>
    </w:p>
    <w:p w:rsidR="00763E9E" w:rsidRPr="008B7801" w:rsidRDefault="00763E9E" w:rsidP="00576C55">
      <w:pPr>
        <w:tabs>
          <w:tab w:val="left" w:pos="0"/>
        </w:tabs>
        <w:spacing w:line="480" w:lineRule="atLeast"/>
        <w:ind w:left="720" w:hanging="720"/>
        <w:contextualSpacing/>
        <w:rPr>
          <w:rStyle w:val="LineNumber"/>
          <w:rFonts w:ascii="Arial" w:eastAsiaTheme="minorEastAsia" w:hAnsi="Arial" w:cs="Arial"/>
          <w:szCs w:val="24"/>
        </w:rPr>
      </w:pPr>
    </w:p>
    <w:p w:rsidR="00763E9E" w:rsidRPr="008B7801" w:rsidRDefault="00763E9E" w:rsidP="00576C55">
      <w:pPr>
        <w:tabs>
          <w:tab w:val="left" w:pos="0"/>
        </w:tabs>
        <w:spacing w:line="480" w:lineRule="atLeast"/>
        <w:contextualSpacing/>
        <w:rPr>
          <w:rStyle w:val="LineNumber"/>
          <w:rFonts w:ascii="Arial" w:eastAsiaTheme="minorEastAsia" w:hAnsi="Arial" w:cs="Arial"/>
          <w:szCs w:val="24"/>
        </w:rPr>
      </w:pPr>
      <w:r w:rsidRPr="008B7801">
        <w:rPr>
          <w:rStyle w:val="LineNumber"/>
          <w:rFonts w:ascii="Arial" w:eastAsiaTheme="minorEastAsia" w:hAnsi="Arial" w:cs="Arial"/>
          <w:szCs w:val="24"/>
        </w:rPr>
        <w:t>Q.</w:t>
      </w:r>
      <w:r w:rsidRPr="008B7801">
        <w:rPr>
          <w:rStyle w:val="LineNumber"/>
          <w:rFonts w:ascii="Arial" w:eastAsiaTheme="minorEastAsia" w:hAnsi="Arial" w:cs="Arial"/>
          <w:szCs w:val="24"/>
        </w:rPr>
        <w:tab/>
        <w:t>What is the net effect of the depreciation and dismantlement studies?</w:t>
      </w:r>
    </w:p>
    <w:p w:rsidR="00763E9E" w:rsidRPr="008B7801" w:rsidRDefault="00182C30" w:rsidP="00576C55">
      <w:pPr>
        <w:pStyle w:val="ListParagraph"/>
        <w:numPr>
          <w:ilvl w:val="0"/>
          <w:numId w:val="1"/>
        </w:numPr>
        <w:tabs>
          <w:tab w:val="left" w:pos="0"/>
        </w:tabs>
        <w:spacing w:after="0" w:line="480" w:lineRule="atLeast"/>
        <w:ind w:hanging="720"/>
        <w:rPr>
          <w:rStyle w:val="LineNumber"/>
          <w:rFonts w:ascii="Arial" w:eastAsiaTheme="minorEastAsia" w:hAnsi="Arial" w:cs="Arial"/>
          <w:b/>
          <w:szCs w:val="24"/>
        </w:rPr>
      </w:pPr>
      <w:r w:rsidRPr="008B7801">
        <w:rPr>
          <w:rStyle w:val="LineNumber"/>
          <w:rFonts w:ascii="Arial" w:eastAsiaTheme="minorEastAsia" w:hAnsi="Arial" w:cs="Arial"/>
          <w:szCs w:val="24"/>
        </w:rPr>
        <w:t>Gulf’s combined a</w:t>
      </w:r>
      <w:r w:rsidR="00763E9E" w:rsidRPr="008B7801">
        <w:rPr>
          <w:rStyle w:val="LineNumber"/>
          <w:rFonts w:ascii="Arial" w:eastAsiaTheme="minorEastAsia" w:hAnsi="Arial" w:cs="Arial"/>
          <w:szCs w:val="24"/>
        </w:rPr>
        <w:t>nnual expense for depreciation and dismantlement would decrease by $297,000.</w:t>
      </w:r>
    </w:p>
    <w:p w:rsidR="00763E9E" w:rsidRPr="008B7801" w:rsidRDefault="00763E9E" w:rsidP="00576C55">
      <w:pPr>
        <w:tabs>
          <w:tab w:val="left" w:pos="0"/>
        </w:tabs>
        <w:spacing w:line="480" w:lineRule="atLeast"/>
        <w:rPr>
          <w:rStyle w:val="LineNumber"/>
          <w:rFonts w:ascii="Arial" w:eastAsiaTheme="minorEastAsia" w:hAnsi="Arial" w:cs="Arial"/>
          <w:b/>
          <w:szCs w:val="24"/>
        </w:rPr>
      </w:pPr>
      <w:r w:rsidRPr="008B7801">
        <w:rPr>
          <w:rStyle w:val="LineNumber"/>
          <w:rFonts w:ascii="Arial" w:eastAsiaTheme="minorEastAsia" w:hAnsi="Arial" w:cs="Arial"/>
          <w:szCs w:val="24"/>
        </w:rPr>
        <w:t xml:space="preserve"> </w:t>
      </w:r>
    </w:p>
    <w:p w:rsidR="001D062A" w:rsidRPr="008B7801" w:rsidRDefault="001D062A" w:rsidP="00576C55">
      <w:pPr>
        <w:spacing w:line="480" w:lineRule="atLeast"/>
        <w:contextualSpacing/>
        <w:jc w:val="center"/>
        <w:rPr>
          <w:rStyle w:val="LineNumber"/>
          <w:rFonts w:ascii="Arial" w:hAnsi="Arial" w:cs="Arial"/>
          <w:b/>
          <w:szCs w:val="24"/>
        </w:rPr>
      </w:pPr>
    </w:p>
    <w:p w:rsidR="00763E9E" w:rsidRPr="008B7801" w:rsidRDefault="00763E9E" w:rsidP="00576C55">
      <w:pPr>
        <w:spacing w:line="480" w:lineRule="atLeast"/>
        <w:contextualSpacing/>
        <w:jc w:val="center"/>
        <w:rPr>
          <w:rStyle w:val="LineNumber"/>
          <w:rFonts w:ascii="Arial" w:hAnsi="Arial" w:cs="Arial"/>
          <w:b/>
          <w:szCs w:val="24"/>
        </w:rPr>
      </w:pPr>
      <w:r w:rsidRPr="008B7801">
        <w:rPr>
          <w:rStyle w:val="LineNumber"/>
          <w:rFonts w:ascii="Arial" w:hAnsi="Arial" w:cs="Arial"/>
          <w:b/>
          <w:szCs w:val="24"/>
        </w:rPr>
        <w:t>V. INCOME TAX EXPENSE</w:t>
      </w:r>
    </w:p>
    <w:p w:rsidR="00763E9E" w:rsidRPr="008B7801" w:rsidRDefault="00763E9E" w:rsidP="00576C55">
      <w:pPr>
        <w:spacing w:line="480" w:lineRule="atLeast"/>
        <w:ind w:left="1440" w:hanging="720"/>
        <w:contextualSpacing/>
        <w:jc w:val="center"/>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What amount of income tax expense is included for the 2014 test year?</w:t>
      </w:r>
    </w:p>
    <w:p w:rsidR="00763E9E"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T</w:t>
      </w:r>
      <w:r w:rsidR="00182C30" w:rsidRPr="008B7801">
        <w:rPr>
          <w:rStyle w:val="LineNumber"/>
          <w:rFonts w:ascii="Arial" w:hAnsi="Arial" w:cs="Arial"/>
          <w:szCs w:val="24"/>
        </w:rPr>
        <w:t>he t</w:t>
      </w:r>
      <w:r w:rsidRPr="008B7801">
        <w:rPr>
          <w:rStyle w:val="LineNumber"/>
          <w:rFonts w:ascii="Arial" w:hAnsi="Arial" w:cs="Arial"/>
          <w:szCs w:val="24"/>
        </w:rPr>
        <w:t>otal federal and state income tax provision for the test year is $65,944,000 as shown on MFR C-22.</w:t>
      </w:r>
    </w:p>
    <w:p w:rsidR="00D82B5A" w:rsidRPr="008B7801" w:rsidRDefault="00D82B5A" w:rsidP="00576C55">
      <w:pPr>
        <w:spacing w:line="480" w:lineRule="atLeast"/>
        <w:ind w:left="720" w:hanging="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How was this amount calculated?</w:t>
      </w:r>
    </w:p>
    <w:p w:rsidR="00763E9E"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The income tax expense was calculated in accordance with GAAP and is consistent with the way income tax expense was calculated and approved by the Commission in the last rate case.  Income tax expense for the test year was computed in the same manner used for ratemaking purposes over the last two decades.</w:t>
      </w:r>
    </w:p>
    <w:p w:rsidR="00763E9E" w:rsidRPr="008B7801" w:rsidRDefault="00763E9E" w:rsidP="00576C55">
      <w:pPr>
        <w:spacing w:line="480" w:lineRule="atLeast"/>
        <w:contextualSpacing/>
        <w:jc w:val="center"/>
        <w:rPr>
          <w:rStyle w:val="LineNumber"/>
          <w:rFonts w:ascii="Arial" w:hAnsi="Arial" w:cs="Arial"/>
          <w:b/>
          <w:szCs w:val="24"/>
        </w:rPr>
      </w:pPr>
      <w:r w:rsidRPr="008B7801">
        <w:rPr>
          <w:rStyle w:val="LineNumber"/>
          <w:rFonts w:ascii="Arial" w:hAnsi="Arial" w:cs="Arial"/>
          <w:b/>
          <w:szCs w:val="24"/>
        </w:rPr>
        <w:lastRenderedPageBreak/>
        <w:t>VI. SUMMARY</w:t>
      </w:r>
    </w:p>
    <w:p w:rsidR="00763E9E" w:rsidRPr="008B7801" w:rsidRDefault="00763E9E" w:rsidP="00576C55">
      <w:pPr>
        <w:spacing w:line="480" w:lineRule="atLeast"/>
        <w:ind w:left="1440" w:hanging="720"/>
        <w:contextualSpacing/>
        <w:jc w:val="center"/>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Please summarize your testimony.</w:t>
      </w:r>
    </w:p>
    <w:p w:rsidR="00763E9E" w:rsidRPr="008B7801" w:rsidRDefault="00763E9E" w:rsidP="00576C55">
      <w:pPr>
        <w:tabs>
          <w:tab w:val="left" w:pos="720"/>
        </w:tabs>
        <w:spacing w:line="480" w:lineRule="atLeast"/>
        <w:ind w:left="720" w:hanging="720"/>
        <w:contextualSpacing/>
        <w:rPr>
          <w:rStyle w:val="LineNumber"/>
          <w:rFonts w:ascii="Arial" w:eastAsiaTheme="minorEastAsia" w:hAnsi="Arial" w:cs="Arial"/>
          <w:szCs w:val="24"/>
        </w:rPr>
      </w:pPr>
      <w:r w:rsidRPr="008B7801">
        <w:rPr>
          <w:rStyle w:val="LineNumber"/>
          <w:rFonts w:ascii="Arial" w:hAnsi="Arial" w:cs="Arial"/>
          <w:szCs w:val="24"/>
        </w:rPr>
        <w:t>A.</w:t>
      </w:r>
      <w:r w:rsidRPr="008B7801">
        <w:rPr>
          <w:rStyle w:val="LineNumber"/>
          <w:rFonts w:ascii="Arial" w:hAnsi="Arial" w:cs="Arial"/>
          <w:szCs w:val="24"/>
        </w:rPr>
        <w:tab/>
        <w:t>The level of A&amp;G costs requested in this case is reasonable, prudent and necessary to enable Gulf to continue to provide high quality, reliable electric service to our customers. Although some of these costs exceed the O&amp;M benchmark, I, along with Mr. Garvie, have explained how these variances were influenced by factors outside the control of the Company and justified their levels.  Also, t</w:t>
      </w:r>
      <w:r w:rsidRPr="008B7801">
        <w:rPr>
          <w:rStyle w:val="LineNumber"/>
          <w:rFonts w:ascii="Arial" w:eastAsiaTheme="minorEastAsia" w:hAnsi="Arial" w:cs="Arial"/>
          <w:szCs w:val="24"/>
        </w:rPr>
        <w:t>he premiums paid by Gulf for D&amp;O liability insurance already exclude the premiums related to D&amp;O liability insurance coverage for Southern Company, which is paid by shareholders.  Therefore, there should be no disallowance of any portion of the D&amp;O liability insurance expense in the test year.</w:t>
      </w:r>
    </w:p>
    <w:p w:rsidR="00763E9E" w:rsidRPr="008B7801" w:rsidRDefault="00763E9E" w:rsidP="00576C55">
      <w:pPr>
        <w:tabs>
          <w:tab w:val="left" w:pos="720"/>
        </w:tabs>
        <w:spacing w:line="480" w:lineRule="atLeast"/>
        <w:ind w:left="720" w:hanging="720"/>
        <w:contextualSpacing/>
        <w:rPr>
          <w:rStyle w:val="LineNumber"/>
          <w:rFonts w:ascii="Arial" w:hAnsi="Arial" w:cs="Arial"/>
          <w:szCs w:val="24"/>
        </w:rPr>
      </w:pPr>
    </w:p>
    <w:p w:rsidR="00763E9E" w:rsidRDefault="00763E9E" w:rsidP="00576C55">
      <w:pPr>
        <w:tabs>
          <w:tab w:val="left" w:pos="720"/>
        </w:tabs>
        <w:spacing w:line="480" w:lineRule="atLeast"/>
        <w:ind w:left="720"/>
        <w:contextualSpacing/>
        <w:rPr>
          <w:rStyle w:val="LineNumber"/>
          <w:rFonts w:ascii="Arial" w:hAnsi="Arial" w:cs="Arial"/>
          <w:szCs w:val="24"/>
        </w:rPr>
      </w:pPr>
      <w:r w:rsidRPr="008B7801">
        <w:rPr>
          <w:rStyle w:val="LineNumber"/>
          <w:rFonts w:ascii="Arial" w:hAnsi="Arial" w:cs="Arial"/>
          <w:szCs w:val="24"/>
        </w:rPr>
        <w:t>Gulf’s requested property damage accrual is an appropriate amount that balances the interests of the Company and our customers in accordance with established Commission policy.</w:t>
      </w:r>
    </w:p>
    <w:p w:rsidR="00F40620" w:rsidRDefault="00F40620" w:rsidP="00576C55">
      <w:pPr>
        <w:spacing w:line="480" w:lineRule="atLeast"/>
        <w:ind w:left="720"/>
        <w:contextualSpacing/>
        <w:rPr>
          <w:rStyle w:val="LineNumber"/>
          <w:rFonts w:ascii="Arial" w:hAnsi="Arial" w:cs="Arial"/>
          <w:szCs w:val="24"/>
        </w:rPr>
      </w:pPr>
    </w:p>
    <w:p w:rsidR="00763E9E" w:rsidRDefault="00763E9E" w:rsidP="00576C55">
      <w:pPr>
        <w:spacing w:line="480" w:lineRule="atLeast"/>
        <w:ind w:left="720"/>
        <w:contextualSpacing/>
        <w:rPr>
          <w:rStyle w:val="LineNumber"/>
          <w:rFonts w:ascii="Arial" w:hAnsi="Arial" w:cs="Arial"/>
          <w:szCs w:val="24"/>
        </w:rPr>
      </w:pPr>
      <w:r w:rsidRPr="008B7801">
        <w:rPr>
          <w:rStyle w:val="LineNumber"/>
          <w:rFonts w:ascii="Arial" w:hAnsi="Arial" w:cs="Arial"/>
          <w:szCs w:val="24"/>
        </w:rPr>
        <w:t>The requested levels of depreciation, amortization and dismantlement expense are reasonable, prudent and necessary.  The test year income tax expense has been calculated appropriately.</w:t>
      </w:r>
    </w:p>
    <w:p w:rsidR="00D04A97" w:rsidRPr="008B7801" w:rsidRDefault="00D04A97" w:rsidP="00576C55">
      <w:pPr>
        <w:spacing w:line="480" w:lineRule="atLeast"/>
        <w:ind w:left="720"/>
        <w:contextualSpacing/>
        <w:rPr>
          <w:rStyle w:val="LineNumber"/>
          <w:rFonts w:ascii="Arial" w:hAnsi="Arial" w:cs="Arial"/>
          <w:szCs w:val="24"/>
        </w:rPr>
      </w:pPr>
    </w:p>
    <w:p w:rsidR="00763E9E" w:rsidRPr="008B7801" w:rsidRDefault="00763E9E" w:rsidP="00576C55">
      <w:pPr>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Q.</w:t>
      </w:r>
      <w:r w:rsidRPr="008B7801">
        <w:rPr>
          <w:rStyle w:val="LineNumber"/>
          <w:rFonts w:ascii="Arial" w:hAnsi="Arial" w:cs="Arial"/>
          <w:szCs w:val="24"/>
        </w:rPr>
        <w:tab/>
        <w:t>Does this conclude your testimony?</w:t>
      </w:r>
    </w:p>
    <w:p w:rsidR="00763E9E" w:rsidRPr="008B7801" w:rsidRDefault="00763E9E" w:rsidP="00576C55">
      <w:pPr>
        <w:tabs>
          <w:tab w:val="left" w:pos="720"/>
        </w:tabs>
        <w:spacing w:line="480" w:lineRule="atLeast"/>
        <w:ind w:left="720" w:hanging="720"/>
        <w:contextualSpacing/>
        <w:rPr>
          <w:rStyle w:val="LineNumber"/>
          <w:rFonts w:ascii="Arial" w:hAnsi="Arial" w:cs="Arial"/>
          <w:szCs w:val="24"/>
        </w:rPr>
      </w:pPr>
      <w:r w:rsidRPr="008B7801">
        <w:rPr>
          <w:rStyle w:val="LineNumber"/>
          <w:rFonts w:ascii="Arial" w:hAnsi="Arial" w:cs="Arial"/>
          <w:szCs w:val="24"/>
        </w:rPr>
        <w:t>A.</w:t>
      </w:r>
      <w:r w:rsidRPr="008B7801">
        <w:rPr>
          <w:rStyle w:val="LineNumber"/>
          <w:rFonts w:ascii="Arial" w:hAnsi="Arial" w:cs="Arial"/>
          <w:szCs w:val="24"/>
        </w:rPr>
        <w:tab/>
        <w:t>Yes.</w:t>
      </w:r>
    </w:p>
    <w:p w:rsidR="00424BAA" w:rsidRPr="008B7801" w:rsidRDefault="00424BAA" w:rsidP="00576C55">
      <w:pPr>
        <w:spacing w:line="480" w:lineRule="atLeast"/>
        <w:ind w:left="720"/>
        <w:rPr>
          <w:rFonts w:ascii="Arial" w:hAnsi="Arial" w:cs="Arial"/>
          <w:szCs w:val="24"/>
        </w:rPr>
      </w:pPr>
    </w:p>
    <w:p w:rsidR="005F5111" w:rsidRPr="00AB3349" w:rsidRDefault="005F5111" w:rsidP="00576C55">
      <w:pPr>
        <w:spacing w:line="480" w:lineRule="atLeast"/>
        <w:ind w:left="720"/>
        <w:rPr>
          <w:rFonts w:ascii="Arial" w:hAnsi="Arial" w:cs="Arial"/>
          <w:szCs w:val="24"/>
        </w:rPr>
        <w:sectPr w:rsidR="005F5111" w:rsidRPr="00AB3349" w:rsidSect="00BC537A">
          <w:headerReference w:type="default" r:id="rId16"/>
          <w:pgSz w:w="12240" w:h="15840" w:code="1"/>
          <w:pgMar w:top="1570" w:right="1440" w:bottom="1800" w:left="1987" w:header="720" w:footer="720" w:gutter="0"/>
          <w:lnNumType w:countBy="1"/>
          <w:cols w:space="720"/>
          <w:titlePg/>
          <w:docGrid w:linePitch="326"/>
        </w:sectPr>
      </w:pPr>
    </w:p>
    <w:p w:rsidR="00763E9E" w:rsidRPr="00AB3349" w:rsidRDefault="00763E9E" w:rsidP="00763E9E">
      <w:pPr>
        <w:suppressLineNumbers/>
        <w:jc w:val="center"/>
        <w:rPr>
          <w:rFonts w:ascii="Arial" w:hAnsi="Arial" w:cs="Arial"/>
          <w:szCs w:val="24"/>
        </w:rPr>
      </w:pPr>
      <w:r w:rsidRPr="00AB3349">
        <w:rPr>
          <w:rFonts w:ascii="Arial" w:hAnsi="Arial" w:cs="Arial"/>
          <w:szCs w:val="24"/>
        </w:rPr>
        <w:lastRenderedPageBreak/>
        <w:t>AFFIDAVIT</w:t>
      </w:r>
    </w:p>
    <w:p w:rsidR="00763E9E" w:rsidRPr="00AB3349" w:rsidRDefault="00763E9E" w:rsidP="00763E9E">
      <w:pPr>
        <w:suppressLineNumbers/>
        <w:rPr>
          <w:rFonts w:ascii="Arial" w:hAnsi="Arial" w:cs="Arial"/>
          <w:szCs w:val="24"/>
        </w:rPr>
      </w:pPr>
    </w:p>
    <w:p w:rsidR="00763E9E" w:rsidRPr="00AB3349" w:rsidRDefault="00763E9E" w:rsidP="00763E9E">
      <w:pPr>
        <w:suppressLineNumbers/>
        <w:rPr>
          <w:rFonts w:ascii="Arial" w:hAnsi="Arial" w:cs="Arial"/>
          <w:szCs w:val="24"/>
        </w:rPr>
      </w:pPr>
    </w:p>
    <w:p w:rsidR="00763E9E" w:rsidRPr="00AB3349" w:rsidRDefault="00763E9E" w:rsidP="00763E9E">
      <w:pPr>
        <w:suppressLineNumbers/>
        <w:rPr>
          <w:rFonts w:ascii="Arial" w:hAnsi="Arial" w:cs="Arial"/>
          <w:szCs w:val="24"/>
        </w:rPr>
      </w:pPr>
      <w:r w:rsidRPr="00AB3349">
        <w:rPr>
          <w:rFonts w:ascii="Arial" w:hAnsi="Arial" w:cs="Arial"/>
          <w:szCs w:val="24"/>
        </w:rPr>
        <w:t xml:space="preserve">STATE OF FLORIDA   </w:t>
      </w:r>
      <w:r w:rsidRPr="00AB3349">
        <w:rPr>
          <w:rFonts w:ascii="Arial" w:hAnsi="Arial" w:cs="Arial"/>
          <w:szCs w:val="24"/>
        </w:rPr>
        <w:tab/>
        <w:t>)</w:t>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t>Docket No. 130140-EI</w:t>
      </w:r>
    </w:p>
    <w:p w:rsidR="00763E9E" w:rsidRPr="00AB3349" w:rsidRDefault="00763E9E" w:rsidP="00763E9E">
      <w:pPr>
        <w:suppressLineNumbers/>
        <w:ind w:firstLine="720"/>
        <w:rPr>
          <w:rFonts w:ascii="Arial" w:hAnsi="Arial" w:cs="Arial"/>
          <w:szCs w:val="24"/>
        </w:rPr>
      </w:pPr>
      <w:r w:rsidRPr="00AB3349">
        <w:rPr>
          <w:rFonts w:ascii="Arial" w:hAnsi="Arial" w:cs="Arial"/>
          <w:szCs w:val="24"/>
        </w:rPr>
        <w:tab/>
      </w:r>
      <w:r w:rsidRPr="00AB3349">
        <w:rPr>
          <w:rFonts w:ascii="Arial" w:hAnsi="Arial" w:cs="Arial"/>
          <w:szCs w:val="24"/>
        </w:rPr>
        <w:tab/>
      </w:r>
      <w:r w:rsidRPr="00AB3349">
        <w:rPr>
          <w:rFonts w:ascii="Arial" w:hAnsi="Arial" w:cs="Arial"/>
          <w:szCs w:val="24"/>
        </w:rPr>
        <w:tab/>
        <w:t>)</w:t>
      </w:r>
    </w:p>
    <w:p w:rsidR="00763E9E" w:rsidRPr="00AB3349" w:rsidRDefault="00763E9E" w:rsidP="00763E9E">
      <w:pPr>
        <w:suppressLineNumbers/>
        <w:rPr>
          <w:rFonts w:ascii="Arial" w:hAnsi="Arial" w:cs="Arial"/>
          <w:szCs w:val="24"/>
        </w:rPr>
      </w:pPr>
      <w:r w:rsidRPr="00AB3349">
        <w:rPr>
          <w:rFonts w:ascii="Arial" w:hAnsi="Arial" w:cs="Arial"/>
          <w:szCs w:val="24"/>
        </w:rPr>
        <w:t xml:space="preserve">COUNTY OF ESCAMBIA </w:t>
      </w:r>
      <w:r w:rsidRPr="00AB3349">
        <w:rPr>
          <w:rFonts w:ascii="Arial" w:hAnsi="Arial" w:cs="Arial"/>
          <w:szCs w:val="24"/>
        </w:rPr>
        <w:tab/>
        <w:t>)</w:t>
      </w:r>
    </w:p>
    <w:p w:rsidR="00763E9E" w:rsidRPr="00AB3349" w:rsidRDefault="00763E9E" w:rsidP="00763E9E">
      <w:pPr>
        <w:suppressLineNumbers/>
        <w:rPr>
          <w:rFonts w:ascii="Arial" w:hAnsi="Arial" w:cs="Arial"/>
          <w:szCs w:val="24"/>
        </w:rPr>
      </w:pPr>
    </w:p>
    <w:p w:rsidR="00763E9E" w:rsidRPr="00AB3349" w:rsidRDefault="00763E9E" w:rsidP="00763E9E">
      <w:pPr>
        <w:suppressLineNumbers/>
        <w:rPr>
          <w:rFonts w:ascii="Arial" w:hAnsi="Arial" w:cs="Arial"/>
          <w:szCs w:val="24"/>
        </w:rPr>
      </w:pPr>
    </w:p>
    <w:p w:rsidR="00763E9E" w:rsidRPr="00AB3349" w:rsidRDefault="00763E9E" w:rsidP="00763E9E">
      <w:pPr>
        <w:suppressLineNumbers/>
        <w:rPr>
          <w:rFonts w:ascii="Arial" w:hAnsi="Arial" w:cs="Arial"/>
          <w:szCs w:val="24"/>
        </w:rPr>
      </w:pPr>
    </w:p>
    <w:p w:rsidR="00763E9E" w:rsidRPr="00AB3349" w:rsidRDefault="00763E9E" w:rsidP="00763E9E">
      <w:pPr>
        <w:spacing w:line="480" w:lineRule="auto"/>
        <w:rPr>
          <w:rFonts w:ascii="Arial" w:hAnsi="Arial" w:cs="Arial"/>
          <w:szCs w:val="24"/>
        </w:rPr>
      </w:pPr>
      <w:r w:rsidRPr="00AB3349">
        <w:rPr>
          <w:rFonts w:ascii="Arial" w:hAnsi="Arial" w:cs="Arial"/>
          <w:szCs w:val="24"/>
        </w:rPr>
        <w:tab/>
        <w:t>Before me the undersigned authority, personally appeared Constance J. Erickson, who being first duly sworn, deposes, and says that she is the Comptroller of Gulf Power Company, a Florida corporation, and that the foregoing is true and correct to the best of her knowledge, information, and belief.  She is personally known to me.</w:t>
      </w:r>
    </w:p>
    <w:p w:rsidR="00763E9E" w:rsidRPr="00AB3349" w:rsidRDefault="00763E9E" w:rsidP="00763E9E">
      <w:pPr>
        <w:suppressLineNumbers/>
        <w:rPr>
          <w:rFonts w:ascii="Arial" w:hAnsi="Arial" w:cs="Arial"/>
          <w:szCs w:val="24"/>
        </w:rPr>
      </w:pPr>
    </w:p>
    <w:p w:rsidR="00763E9E" w:rsidRPr="00AB3349" w:rsidRDefault="00763E9E" w:rsidP="00763E9E">
      <w:pPr>
        <w:pStyle w:val="s2"/>
        <w:suppressLineNumbers/>
        <w:spacing w:before="0" w:beforeAutospacing="0" w:after="0" w:afterAutospacing="0" w:line="252" w:lineRule="atLeast"/>
        <w:ind w:left="3600"/>
        <w:rPr>
          <w:rStyle w:val="s4"/>
          <w:rFonts w:ascii="Arial" w:hAnsi="Arial" w:cs="Arial"/>
        </w:rPr>
      </w:pPr>
      <w:r w:rsidRPr="00AB3349">
        <w:rPr>
          <w:rStyle w:val="s4"/>
          <w:rFonts w:ascii="Arial" w:hAnsi="Arial" w:cs="Arial"/>
        </w:rPr>
        <w:t xml:space="preserve">The signed original affidavit is attached to the </w:t>
      </w:r>
    </w:p>
    <w:p w:rsidR="00763E9E" w:rsidRPr="00AB3349" w:rsidRDefault="00763E9E" w:rsidP="00763E9E">
      <w:pPr>
        <w:pStyle w:val="s2"/>
        <w:suppressLineNumbers/>
        <w:spacing w:before="0" w:beforeAutospacing="0" w:after="0" w:afterAutospacing="0" w:line="252" w:lineRule="atLeast"/>
        <w:rPr>
          <w:rFonts w:ascii="Arial" w:hAnsi="Arial" w:cs="Arial"/>
        </w:rPr>
      </w:pPr>
      <w:r w:rsidRPr="00AB3349">
        <w:rPr>
          <w:rStyle w:val="s4"/>
          <w:rFonts w:ascii="Arial" w:hAnsi="Arial" w:cs="Arial"/>
        </w:rPr>
        <w:tab/>
      </w:r>
      <w:r w:rsidRPr="00AB3349">
        <w:rPr>
          <w:rStyle w:val="s4"/>
          <w:rFonts w:ascii="Arial" w:hAnsi="Arial" w:cs="Arial"/>
        </w:rPr>
        <w:tab/>
      </w:r>
      <w:r w:rsidRPr="00AB3349">
        <w:rPr>
          <w:rStyle w:val="s4"/>
          <w:rFonts w:ascii="Arial" w:hAnsi="Arial" w:cs="Arial"/>
        </w:rPr>
        <w:tab/>
      </w:r>
      <w:r w:rsidRPr="00AB3349">
        <w:rPr>
          <w:rStyle w:val="s4"/>
          <w:rFonts w:ascii="Arial" w:hAnsi="Arial" w:cs="Arial"/>
        </w:rPr>
        <w:tab/>
      </w:r>
      <w:r w:rsidRPr="00AB3349">
        <w:rPr>
          <w:rStyle w:val="s4"/>
          <w:rFonts w:ascii="Arial" w:hAnsi="Arial" w:cs="Arial"/>
        </w:rPr>
        <w:tab/>
        <w:t>original testimony on file with the FPSC.</w:t>
      </w:r>
    </w:p>
    <w:p w:rsidR="00763E9E" w:rsidRPr="00AB3349" w:rsidRDefault="00763E9E" w:rsidP="00763E9E">
      <w:pPr>
        <w:suppressLineNumbers/>
        <w:rPr>
          <w:rFonts w:ascii="Arial" w:hAnsi="Arial" w:cs="Arial"/>
          <w:szCs w:val="24"/>
        </w:rPr>
      </w:pPr>
    </w:p>
    <w:p w:rsidR="00763E9E" w:rsidRPr="00AB3349" w:rsidRDefault="00763E9E" w:rsidP="00763E9E">
      <w:pPr>
        <w:suppressLineNumbers/>
        <w:rPr>
          <w:rFonts w:ascii="Arial" w:hAnsi="Arial" w:cs="Arial"/>
          <w:szCs w:val="24"/>
        </w:rPr>
      </w:pPr>
    </w:p>
    <w:p w:rsidR="00763E9E" w:rsidRPr="00AB3349" w:rsidRDefault="00763E9E" w:rsidP="00763E9E">
      <w:pPr>
        <w:suppressLineNumbers/>
        <w:ind w:right="-756"/>
        <w:rPr>
          <w:rFonts w:ascii="Arial" w:hAnsi="Arial" w:cs="Arial"/>
          <w:szCs w:val="24"/>
        </w:rPr>
      </w:pP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t xml:space="preserve">     s/___________________________________</w:t>
      </w:r>
    </w:p>
    <w:p w:rsidR="00763E9E" w:rsidRPr="00AB3349" w:rsidRDefault="00763E9E" w:rsidP="00763E9E">
      <w:pPr>
        <w:suppressLineNumbers/>
        <w:rPr>
          <w:rFonts w:ascii="Arial" w:hAnsi="Arial" w:cs="Arial"/>
          <w:szCs w:val="24"/>
        </w:rPr>
      </w:pP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t xml:space="preserve">     Constance J. Erickson</w:t>
      </w:r>
    </w:p>
    <w:p w:rsidR="00763E9E" w:rsidRPr="00AB3349" w:rsidRDefault="00763E9E" w:rsidP="00763E9E">
      <w:pPr>
        <w:suppressLineNumbers/>
        <w:rPr>
          <w:rFonts w:ascii="Arial" w:hAnsi="Arial" w:cs="Arial"/>
          <w:szCs w:val="24"/>
        </w:rPr>
      </w:pP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t xml:space="preserve">     Comptroller</w:t>
      </w:r>
    </w:p>
    <w:p w:rsidR="00763E9E" w:rsidRPr="00AB3349" w:rsidRDefault="00763E9E" w:rsidP="00763E9E">
      <w:pPr>
        <w:suppressLineNumbers/>
        <w:ind w:right="-576"/>
        <w:rPr>
          <w:rFonts w:ascii="Arial" w:hAnsi="Arial" w:cs="Arial"/>
          <w:szCs w:val="24"/>
        </w:rPr>
      </w:pP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p>
    <w:p w:rsidR="00763E9E" w:rsidRPr="00AB3349" w:rsidRDefault="00763E9E" w:rsidP="00763E9E">
      <w:pPr>
        <w:suppressLineNumbers/>
        <w:rPr>
          <w:rFonts w:ascii="Arial" w:hAnsi="Arial" w:cs="Arial"/>
          <w:szCs w:val="24"/>
        </w:rPr>
      </w:pPr>
    </w:p>
    <w:p w:rsidR="00763E9E" w:rsidRPr="00AB3349" w:rsidRDefault="00763E9E" w:rsidP="00763E9E">
      <w:pPr>
        <w:suppressLineNumbers/>
        <w:rPr>
          <w:rFonts w:ascii="Arial" w:hAnsi="Arial" w:cs="Arial"/>
          <w:szCs w:val="24"/>
        </w:rPr>
      </w:pPr>
    </w:p>
    <w:p w:rsidR="00763E9E" w:rsidRPr="00AB3349" w:rsidRDefault="00763E9E" w:rsidP="00763E9E">
      <w:pPr>
        <w:suppressLineNumbers/>
        <w:spacing w:line="480" w:lineRule="auto"/>
        <w:ind w:right="-576"/>
        <w:rPr>
          <w:rFonts w:ascii="Arial" w:hAnsi="Arial" w:cs="Arial"/>
          <w:szCs w:val="24"/>
        </w:rPr>
      </w:pPr>
      <w:r w:rsidRPr="00AB3349">
        <w:rPr>
          <w:rFonts w:ascii="Arial" w:hAnsi="Arial" w:cs="Arial"/>
          <w:szCs w:val="24"/>
        </w:rPr>
        <w:tab/>
        <w:t>Sworn to and subscribed before me this ______ day of _____________, 2013.</w:t>
      </w:r>
    </w:p>
    <w:p w:rsidR="00763E9E" w:rsidRPr="00AB3349" w:rsidRDefault="00763E9E" w:rsidP="00763E9E">
      <w:pPr>
        <w:suppressLineNumbers/>
        <w:rPr>
          <w:rFonts w:ascii="Arial" w:hAnsi="Arial" w:cs="Arial"/>
          <w:szCs w:val="24"/>
        </w:rPr>
      </w:pPr>
    </w:p>
    <w:p w:rsidR="00763E9E" w:rsidRPr="00AB3349" w:rsidRDefault="00763E9E" w:rsidP="00763E9E">
      <w:pPr>
        <w:suppressLineNumbers/>
        <w:rPr>
          <w:rFonts w:ascii="Arial" w:hAnsi="Arial" w:cs="Arial"/>
          <w:szCs w:val="24"/>
        </w:rPr>
      </w:pPr>
      <w:r w:rsidRPr="00AB3349">
        <w:rPr>
          <w:rFonts w:ascii="Arial" w:hAnsi="Arial" w:cs="Arial"/>
          <w:szCs w:val="24"/>
        </w:rPr>
        <w:t>________________________________________</w:t>
      </w:r>
    </w:p>
    <w:p w:rsidR="00763E9E" w:rsidRPr="00AB3349" w:rsidRDefault="00763E9E" w:rsidP="00763E9E">
      <w:pPr>
        <w:suppressLineNumbers/>
        <w:rPr>
          <w:rFonts w:ascii="Arial" w:hAnsi="Arial" w:cs="Arial"/>
          <w:szCs w:val="24"/>
        </w:rPr>
      </w:pPr>
      <w:r w:rsidRPr="00AB3349">
        <w:rPr>
          <w:rFonts w:ascii="Arial" w:hAnsi="Arial" w:cs="Arial"/>
          <w:szCs w:val="24"/>
        </w:rPr>
        <w:t>Notary Public, State of Florida at Large</w:t>
      </w:r>
    </w:p>
    <w:p w:rsidR="00763E9E" w:rsidRPr="00AB3349" w:rsidRDefault="00763E9E" w:rsidP="00763E9E">
      <w:pPr>
        <w:suppressLineNumbers/>
        <w:rPr>
          <w:rFonts w:ascii="Arial" w:hAnsi="Arial" w:cs="Arial"/>
          <w:szCs w:val="24"/>
        </w:rPr>
      </w:pPr>
    </w:p>
    <w:p w:rsidR="00763E9E" w:rsidRPr="00AB3349" w:rsidRDefault="00763E9E" w:rsidP="00763E9E">
      <w:pPr>
        <w:suppressLineNumbers/>
        <w:rPr>
          <w:rFonts w:ascii="Arial" w:hAnsi="Arial" w:cs="Arial"/>
          <w:szCs w:val="24"/>
        </w:rPr>
      </w:pPr>
      <w:r w:rsidRPr="00AB3349">
        <w:rPr>
          <w:rFonts w:ascii="Arial" w:hAnsi="Arial" w:cs="Arial"/>
          <w:szCs w:val="24"/>
        </w:rPr>
        <w:t>Commission No. ___________________________</w:t>
      </w:r>
    </w:p>
    <w:p w:rsidR="00763E9E" w:rsidRPr="00AB3349" w:rsidRDefault="00763E9E" w:rsidP="00763E9E">
      <w:pPr>
        <w:suppressLineNumbers/>
        <w:rPr>
          <w:rFonts w:ascii="Arial" w:hAnsi="Arial" w:cs="Arial"/>
          <w:szCs w:val="24"/>
        </w:rPr>
      </w:pPr>
    </w:p>
    <w:p w:rsidR="00763E9E" w:rsidRPr="00AB3349" w:rsidRDefault="00763E9E" w:rsidP="00763E9E">
      <w:pPr>
        <w:suppressLineNumbers/>
        <w:rPr>
          <w:rFonts w:ascii="Arial" w:hAnsi="Arial" w:cs="Arial"/>
          <w:szCs w:val="24"/>
        </w:rPr>
      </w:pPr>
      <w:r w:rsidRPr="00AB3349">
        <w:rPr>
          <w:rFonts w:ascii="Arial" w:hAnsi="Arial" w:cs="Arial"/>
          <w:szCs w:val="24"/>
        </w:rPr>
        <w:t>My Commission Expires _____________________</w:t>
      </w:r>
    </w:p>
    <w:p w:rsidR="00763E9E" w:rsidRPr="00AB3349" w:rsidRDefault="00763E9E" w:rsidP="00763E9E">
      <w:pPr>
        <w:suppressLineNumbers/>
        <w:rPr>
          <w:rFonts w:ascii="Arial" w:hAnsi="Arial" w:cs="Arial"/>
          <w:szCs w:val="24"/>
        </w:rPr>
        <w:sectPr w:rsidR="00763E9E" w:rsidRPr="00AB3349" w:rsidSect="00BC537A">
          <w:headerReference w:type="first" r:id="rId17"/>
          <w:footerReference w:type="first" r:id="rId18"/>
          <w:pgSz w:w="12240" w:h="15840" w:code="1"/>
          <w:pgMar w:top="1570" w:right="1440" w:bottom="1800" w:left="1987" w:header="720" w:footer="720" w:gutter="0"/>
          <w:cols w:space="720"/>
          <w:titlePg/>
          <w:docGrid w:linePitch="326"/>
        </w:sectPr>
      </w:pPr>
      <w:r w:rsidRPr="00AB3349">
        <w:rPr>
          <w:rFonts w:ascii="Arial" w:hAnsi="Arial" w:cs="Arial"/>
          <w:szCs w:val="24"/>
        </w:rPr>
        <w:br w:type="page"/>
      </w:r>
    </w:p>
    <w:p w:rsidR="00763E9E" w:rsidRPr="00AB3349" w:rsidRDefault="00763E9E" w:rsidP="00763E9E">
      <w:pPr>
        <w:tabs>
          <w:tab w:val="left" w:pos="1440"/>
        </w:tabs>
        <w:rPr>
          <w:rFonts w:ascii="Arial" w:hAnsi="Arial" w:cs="Arial"/>
          <w:szCs w:val="24"/>
        </w:rPr>
      </w:pPr>
    </w:p>
    <w:p w:rsidR="00763E9E" w:rsidRPr="00AB3349" w:rsidRDefault="00763E9E" w:rsidP="00763E9E">
      <w:pPr>
        <w:tabs>
          <w:tab w:val="left" w:pos="1440"/>
        </w:tabs>
        <w:jc w:val="center"/>
        <w:rPr>
          <w:rFonts w:ascii="Arial" w:hAnsi="Arial" w:cs="Arial"/>
          <w:szCs w:val="24"/>
        </w:rPr>
      </w:pPr>
      <w:r w:rsidRPr="00AB3349">
        <w:rPr>
          <w:rFonts w:ascii="Arial" w:hAnsi="Arial" w:cs="Arial"/>
          <w:szCs w:val="24"/>
        </w:rPr>
        <w:t>Responsibility for Minimum Filing Requirements</w:t>
      </w:r>
    </w:p>
    <w:p w:rsidR="00763E9E" w:rsidRPr="00AB3349" w:rsidRDefault="00763E9E" w:rsidP="00763E9E">
      <w:pPr>
        <w:tabs>
          <w:tab w:val="left" w:pos="1440"/>
        </w:tabs>
        <w:rPr>
          <w:rFonts w:ascii="Arial" w:hAnsi="Arial" w:cs="Arial"/>
          <w:szCs w:val="24"/>
        </w:rPr>
      </w:pP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u w:val="single"/>
        </w:rPr>
        <w:t>Schedule</w:t>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u w:val="single"/>
        </w:rPr>
        <w:t>Title</w:t>
      </w:r>
    </w:p>
    <w:p w:rsidR="00763E9E" w:rsidRPr="00AB3349" w:rsidRDefault="00763E9E" w:rsidP="00643581">
      <w:pPr>
        <w:tabs>
          <w:tab w:val="left" w:pos="1440"/>
        </w:tabs>
        <w:spacing w:line="480" w:lineRule="atLeast"/>
        <w:ind w:left="720" w:hanging="540"/>
        <w:rPr>
          <w:rFonts w:ascii="Arial" w:hAnsi="Arial" w:cs="Arial"/>
          <w:szCs w:val="24"/>
        </w:rPr>
      </w:pPr>
      <w:r w:rsidRPr="00AB3349">
        <w:rPr>
          <w:rFonts w:ascii="Arial" w:hAnsi="Arial" w:cs="Arial"/>
          <w:szCs w:val="24"/>
        </w:rPr>
        <w:t>B-4</w:t>
      </w:r>
      <w:r w:rsidRPr="00AB3349">
        <w:rPr>
          <w:rFonts w:ascii="Arial" w:hAnsi="Arial" w:cs="Arial"/>
          <w:szCs w:val="24"/>
        </w:rPr>
        <w:tab/>
      </w:r>
      <w:r w:rsidRPr="00AB3349">
        <w:rPr>
          <w:rFonts w:ascii="Arial" w:hAnsi="Arial" w:cs="Arial"/>
          <w:szCs w:val="24"/>
        </w:rPr>
        <w:tab/>
        <w:t>Two Year Historical Balance Sheet</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B-21</w:t>
      </w:r>
      <w:r w:rsidRPr="00AB3349">
        <w:rPr>
          <w:rFonts w:ascii="Arial" w:hAnsi="Arial" w:cs="Arial"/>
          <w:szCs w:val="24"/>
        </w:rPr>
        <w:tab/>
      </w:r>
      <w:r w:rsidRPr="00AB3349">
        <w:rPr>
          <w:rFonts w:ascii="Arial" w:hAnsi="Arial" w:cs="Arial"/>
          <w:szCs w:val="24"/>
        </w:rPr>
        <w:tab/>
        <w:t>Accumulated Provision Accounts</w:t>
      </w:r>
      <w:r w:rsidR="00157DEA">
        <w:rPr>
          <w:rFonts w:ascii="Arial" w:hAnsi="Arial" w:cs="Arial"/>
          <w:szCs w:val="24"/>
        </w:rPr>
        <w:t xml:space="preserve"> </w:t>
      </w:r>
      <w:r w:rsidR="00157DEA" w:rsidRPr="00AB3349">
        <w:rPr>
          <w:rFonts w:ascii="Arial" w:hAnsi="Arial" w:cs="Arial"/>
          <w:szCs w:val="24"/>
        </w:rPr>
        <w:t>–</w:t>
      </w:r>
      <w:r w:rsidRPr="00AB3349">
        <w:rPr>
          <w:rFonts w:ascii="Arial" w:hAnsi="Arial" w:cs="Arial"/>
          <w:szCs w:val="24"/>
        </w:rPr>
        <w:t xml:space="preserve"> 228.1, 228.2 and 228.4</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B-22</w:t>
      </w:r>
      <w:r w:rsidRPr="00AB3349">
        <w:rPr>
          <w:rFonts w:ascii="Arial" w:hAnsi="Arial" w:cs="Arial"/>
          <w:szCs w:val="24"/>
        </w:rPr>
        <w:tab/>
      </w:r>
      <w:r w:rsidRPr="00AB3349">
        <w:rPr>
          <w:rFonts w:ascii="Arial" w:hAnsi="Arial" w:cs="Arial"/>
          <w:szCs w:val="24"/>
        </w:rPr>
        <w:tab/>
        <w:t>Total Accumulated Deferred Income Taxes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B-23</w:t>
      </w:r>
      <w:r w:rsidRPr="00AB3349">
        <w:rPr>
          <w:rFonts w:ascii="Arial" w:hAnsi="Arial" w:cs="Arial"/>
          <w:szCs w:val="24"/>
        </w:rPr>
        <w:tab/>
      </w:r>
      <w:r w:rsidRPr="00AB3349">
        <w:rPr>
          <w:rFonts w:ascii="Arial" w:hAnsi="Arial" w:cs="Arial"/>
          <w:szCs w:val="24"/>
        </w:rPr>
        <w:tab/>
        <w:t>Investment Tax Credits – Annual Analysis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 xml:space="preserve">B-24 </w:t>
      </w:r>
      <w:r w:rsidRPr="00AB3349">
        <w:rPr>
          <w:rFonts w:ascii="Arial" w:hAnsi="Arial" w:cs="Arial"/>
          <w:szCs w:val="24"/>
        </w:rPr>
        <w:tab/>
        <w:t>Leasing Arrangements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B-25</w:t>
      </w:r>
      <w:r w:rsidRPr="00AB3349">
        <w:rPr>
          <w:rFonts w:ascii="Arial" w:hAnsi="Arial" w:cs="Arial"/>
          <w:szCs w:val="24"/>
        </w:rPr>
        <w:tab/>
      </w:r>
      <w:r w:rsidRPr="00AB3349">
        <w:rPr>
          <w:rFonts w:ascii="Arial" w:hAnsi="Arial" w:cs="Arial"/>
          <w:szCs w:val="24"/>
        </w:rPr>
        <w:tab/>
        <w:t>Accounting Policy Changes Affecting Rate Base</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C-6</w:t>
      </w:r>
      <w:r w:rsidRPr="00AB3349">
        <w:rPr>
          <w:rFonts w:ascii="Arial" w:hAnsi="Arial" w:cs="Arial"/>
          <w:szCs w:val="24"/>
        </w:rPr>
        <w:tab/>
      </w:r>
      <w:r w:rsidRPr="00AB3349">
        <w:rPr>
          <w:rFonts w:ascii="Arial" w:hAnsi="Arial" w:cs="Arial"/>
          <w:szCs w:val="24"/>
        </w:rPr>
        <w:tab/>
        <w:t>Budgeted Versus Actual Operating Revenues and Expenses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C-8</w:t>
      </w:r>
      <w:r w:rsidRPr="00AB3349">
        <w:rPr>
          <w:rFonts w:ascii="Arial" w:hAnsi="Arial" w:cs="Arial"/>
          <w:szCs w:val="24"/>
        </w:rPr>
        <w:tab/>
      </w:r>
      <w:r w:rsidRPr="00AB3349">
        <w:rPr>
          <w:rFonts w:ascii="Arial" w:hAnsi="Arial" w:cs="Arial"/>
          <w:szCs w:val="24"/>
        </w:rPr>
        <w:tab/>
        <w:t>Detail of Changes in Expenses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C-9</w:t>
      </w:r>
      <w:r w:rsidRPr="00AB3349">
        <w:rPr>
          <w:rFonts w:ascii="Arial" w:hAnsi="Arial" w:cs="Arial"/>
          <w:szCs w:val="24"/>
        </w:rPr>
        <w:tab/>
      </w:r>
      <w:r w:rsidRPr="00AB3349">
        <w:rPr>
          <w:rFonts w:ascii="Arial" w:hAnsi="Arial" w:cs="Arial"/>
          <w:szCs w:val="24"/>
        </w:rPr>
        <w:tab/>
        <w:t>Five Year Analysis – Change in Cost</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C-10</w:t>
      </w:r>
      <w:r w:rsidRPr="00AB3349">
        <w:rPr>
          <w:rFonts w:ascii="Arial" w:hAnsi="Arial" w:cs="Arial"/>
          <w:szCs w:val="24"/>
        </w:rPr>
        <w:tab/>
      </w:r>
      <w:r w:rsidRPr="00AB3349">
        <w:rPr>
          <w:rFonts w:ascii="Arial" w:hAnsi="Arial" w:cs="Arial"/>
          <w:szCs w:val="24"/>
        </w:rPr>
        <w:tab/>
        <w:t>Detail of Rate Case Expenses for Outside Consultants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C-12</w:t>
      </w:r>
      <w:r w:rsidRPr="00AB3349">
        <w:rPr>
          <w:rFonts w:ascii="Arial" w:hAnsi="Arial" w:cs="Arial"/>
          <w:szCs w:val="24"/>
        </w:rPr>
        <w:tab/>
      </w:r>
      <w:r w:rsidRPr="00AB3349">
        <w:rPr>
          <w:rFonts w:ascii="Arial" w:hAnsi="Arial" w:cs="Arial"/>
          <w:szCs w:val="24"/>
        </w:rPr>
        <w:tab/>
        <w:t>Administrative Expenses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C-13</w:t>
      </w:r>
      <w:r w:rsidRPr="00AB3349">
        <w:rPr>
          <w:rFonts w:ascii="Arial" w:hAnsi="Arial" w:cs="Arial"/>
          <w:szCs w:val="24"/>
        </w:rPr>
        <w:tab/>
      </w:r>
      <w:r w:rsidRPr="00AB3349">
        <w:rPr>
          <w:rFonts w:ascii="Arial" w:hAnsi="Arial" w:cs="Arial"/>
          <w:szCs w:val="24"/>
        </w:rPr>
        <w:tab/>
        <w:t>Miscellaneous General Expenses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C-15</w:t>
      </w:r>
      <w:r w:rsidRPr="00AB3349">
        <w:rPr>
          <w:rFonts w:ascii="Arial" w:hAnsi="Arial" w:cs="Arial"/>
          <w:szCs w:val="24"/>
        </w:rPr>
        <w:tab/>
      </w:r>
      <w:r w:rsidRPr="00AB3349">
        <w:rPr>
          <w:rFonts w:ascii="Arial" w:hAnsi="Arial" w:cs="Arial"/>
          <w:szCs w:val="24"/>
        </w:rPr>
        <w:tab/>
        <w:t>Industry Association Dues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C-16</w:t>
      </w:r>
      <w:r w:rsidRPr="00AB3349">
        <w:rPr>
          <w:rFonts w:ascii="Arial" w:hAnsi="Arial" w:cs="Arial"/>
          <w:szCs w:val="24"/>
        </w:rPr>
        <w:tab/>
      </w:r>
      <w:r w:rsidRPr="00AB3349">
        <w:rPr>
          <w:rFonts w:ascii="Arial" w:hAnsi="Arial" w:cs="Arial"/>
          <w:szCs w:val="24"/>
        </w:rPr>
        <w:tab/>
        <w:t>Outside Professional Services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C-17</w:t>
      </w:r>
      <w:r w:rsidRPr="00AB3349">
        <w:rPr>
          <w:rFonts w:ascii="Arial" w:hAnsi="Arial" w:cs="Arial"/>
          <w:szCs w:val="24"/>
        </w:rPr>
        <w:tab/>
      </w:r>
      <w:r w:rsidRPr="00AB3349">
        <w:rPr>
          <w:rFonts w:ascii="Arial" w:hAnsi="Arial" w:cs="Arial"/>
          <w:szCs w:val="24"/>
        </w:rPr>
        <w:tab/>
        <w:t>Pension Cost</w:t>
      </w:r>
    </w:p>
    <w:p w:rsidR="00763E9E" w:rsidRPr="00AB3349" w:rsidRDefault="00763E9E" w:rsidP="004C6100">
      <w:pPr>
        <w:spacing w:line="480" w:lineRule="atLeast"/>
        <w:ind w:left="1440" w:hanging="1260"/>
        <w:rPr>
          <w:rFonts w:ascii="Arial" w:hAnsi="Arial" w:cs="Arial"/>
          <w:szCs w:val="24"/>
        </w:rPr>
      </w:pPr>
      <w:r w:rsidRPr="00AB3349">
        <w:rPr>
          <w:rFonts w:ascii="Arial" w:hAnsi="Arial" w:cs="Arial"/>
          <w:szCs w:val="24"/>
        </w:rPr>
        <w:t>C-18</w:t>
      </w:r>
      <w:r w:rsidRPr="00AB3349">
        <w:rPr>
          <w:rFonts w:ascii="Arial" w:hAnsi="Arial" w:cs="Arial"/>
          <w:szCs w:val="24"/>
        </w:rPr>
        <w:tab/>
        <w:t>Lobbying Expenses, Other Political Expenses and Civic/Charitable Contributions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C-19</w:t>
      </w:r>
      <w:r w:rsidRPr="00AB3349">
        <w:rPr>
          <w:rFonts w:ascii="Arial" w:hAnsi="Arial" w:cs="Arial"/>
          <w:szCs w:val="24"/>
        </w:rPr>
        <w:tab/>
      </w:r>
      <w:r w:rsidRPr="00AB3349">
        <w:rPr>
          <w:rFonts w:ascii="Arial" w:hAnsi="Arial" w:cs="Arial"/>
          <w:szCs w:val="24"/>
        </w:rPr>
        <w:tab/>
        <w:t>Amortization/Recovery Schedule</w:t>
      </w:r>
      <w:r w:rsidR="00B914BD">
        <w:rPr>
          <w:rFonts w:ascii="Arial" w:hAnsi="Arial" w:cs="Arial"/>
          <w:szCs w:val="24"/>
        </w:rPr>
        <w:t xml:space="preserve"> </w:t>
      </w:r>
      <w:r w:rsidR="00B914BD" w:rsidRPr="00AB3349">
        <w:rPr>
          <w:rFonts w:ascii="Arial" w:hAnsi="Arial" w:cs="Arial"/>
          <w:szCs w:val="24"/>
        </w:rPr>
        <w:t>–</w:t>
      </w:r>
      <w:r w:rsidR="00B914BD">
        <w:rPr>
          <w:rFonts w:ascii="Arial" w:hAnsi="Arial" w:cs="Arial"/>
          <w:szCs w:val="24"/>
        </w:rPr>
        <w:t xml:space="preserve"> </w:t>
      </w:r>
      <w:r w:rsidRPr="00AB3349">
        <w:rPr>
          <w:rFonts w:ascii="Arial" w:hAnsi="Arial" w:cs="Arial"/>
          <w:szCs w:val="24"/>
        </w:rPr>
        <w:t>12 Months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C-20</w:t>
      </w:r>
      <w:r w:rsidRPr="00AB3349">
        <w:rPr>
          <w:rFonts w:ascii="Arial" w:hAnsi="Arial" w:cs="Arial"/>
          <w:szCs w:val="24"/>
        </w:rPr>
        <w:tab/>
      </w:r>
      <w:r w:rsidRPr="00AB3349">
        <w:rPr>
          <w:rFonts w:ascii="Arial" w:hAnsi="Arial" w:cs="Arial"/>
          <w:szCs w:val="24"/>
        </w:rPr>
        <w:tab/>
        <w:t>Taxes Other than Income Taxes</w:t>
      </w:r>
    </w:p>
    <w:p w:rsidR="004C6100" w:rsidRDefault="00763E9E" w:rsidP="00763E9E">
      <w:pPr>
        <w:spacing w:line="480" w:lineRule="atLeast"/>
        <w:ind w:left="720" w:hanging="540"/>
        <w:rPr>
          <w:rFonts w:ascii="Arial" w:hAnsi="Arial" w:cs="Arial"/>
          <w:szCs w:val="24"/>
        </w:rPr>
      </w:pPr>
      <w:r w:rsidRPr="00AB3349">
        <w:rPr>
          <w:rFonts w:ascii="Arial" w:hAnsi="Arial" w:cs="Arial"/>
          <w:szCs w:val="24"/>
        </w:rPr>
        <w:t>C-21</w:t>
      </w:r>
      <w:r w:rsidRPr="00AB3349">
        <w:rPr>
          <w:rFonts w:ascii="Arial" w:hAnsi="Arial" w:cs="Arial"/>
          <w:szCs w:val="24"/>
        </w:rPr>
        <w:tab/>
      </w:r>
      <w:r w:rsidRPr="00AB3349">
        <w:rPr>
          <w:rFonts w:ascii="Arial" w:hAnsi="Arial" w:cs="Arial"/>
          <w:szCs w:val="24"/>
        </w:rPr>
        <w:tab/>
        <w:t>Revenue Taxes</w:t>
      </w:r>
      <w:r w:rsidR="004C6100">
        <w:rPr>
          <w:rFonts w:ascii="Arial" w:hAnsi="Arial" w:cs="Arial"/>
          <w:szCs w:val="24"/>
        </w:rPr>
        <w:br w:type="page"/>
      </w:r>
    </w:p>
    <w:p w:rsidR="004B08C0" w:rsidRDefault="004B08C0" w:rsidP="004C6100">
      <w:pPr>
        <w:tabs>
          <w:tab w:val="left" w:pos="1440"/>
        </w:tabs>
        <w:jc w:val="center"/>
        <w:rPr>
          <w:rFonts w:ascii="Arial" w:hAnsi="Arial" w:cs="Arial"/>
          <w:szCs w:val="24"/>
        </w:rPr>
      </w:pPr>
    </w:p>
    <w:p w:rsidR="004C6100" w:rsidRPr="00AB3349" w:rsidRDefault="004C6100" w:rsidP="004C6100">
      <w:pPr>
        <w:tabs>
          <w:tab w:val="left" w:pos="1440"/>
        </w:tabs>
        <w:jc w:val="center"/>
        <w:rPr>
          <w:rFonts w:ascii="Arial" w:hAnsi="Arial" w:cs="Arial"/>
          <w:szCs w:val="24"/>
        </w:rPr>
      </w:pPr>
      <w:r w:rsidRPr="00AB3349">
        <w:rPr>
          <w:rFonts w:ascii="Arial" w:hAnsi="Arial" w:cs="Arial"/>
          <w:szCs w:val="24"/>
        </w:rPr>
        <w:t>Responsibility for Minimum Filing Requirements</w:t>
      </w:r>
    </w:p>
    <w:p w:rsidR="004C6100" w:rsidRPr="00AB3349" w:rsidRDefault="004C6100" w:rsidP="004C6100">
      <w:pPr>
        <w:tabs>
          <w:tab w:val="left" w:pos="1440"/>
        </w:tabs>
        <w:rPr>
          <w:rFonts w:ascii="Arial" w:hAnsi="Arial" w:cs="Arial"/>
          <w:szCs w:val="24"/>
        </w:rPr>
      </w:pPr>
    </w:p>
    <w:p w:rsidR="004C6100" w:rsidRPr="00AB3349" w:rsidRDefault="004C6100" w:rsidP="004C6100">
      <w:pPr>
        <w:spacing w:line="480" w:lineRule="atLeast"/>
        <w:ind w:left="720" w:hanging="540"/>
        <w:rPr>
          <w:rFonts w:ascii="Arial" w:hAnsi="Arial" w:cs="Arial"/>
          <w:szCs w:val="24"/>
        </w:rPr>
      </w:pPr>
      <w:r w:rsidRPr="00AB3349">
        <w:rPr>
          <w:rFonts w:ascii="Arial" w:hAnsi="Arial" w:cs="Arial"/>
          <w:szCs w:val="24"/>
          <w:u w:val="single"/>
        </w:rPr>
        <w:t>Schedule</w:t>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u w:val="single"/>
        </w:rPr>
        <w:t>Title</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C-22</w:t>
      </w:r>
      <w:r w:rsidRPr="00AB3349">
        <w:rPr>
          <w:rFonts w:ascii="Arial" w:hAnsi="Arial" w:cs="Arial"/>
          <w:szCs w:val="24"/>
        </w:rPr>
        <w:tab/>
      </w:r>
      <w:r w:rsidRPr="00AB3349">
        <w:rPr>
          <w:rFonts w:ascii="Arial" w:hAnsi="Arial" w:cs="Arial"/>
          <w:szCs w:val="24"/>
        </w:rPr>
        <w:tab/>
        <w:t>State and Federal Income Tax Calculation</w:t>
      </w:r>
    </w:p>
    <w:p w:rsidR="00763E9E" w:rsidRPr="00AB3349" w:rsidRDefault="00763E9E" w:rsidP="0054016F">
      <w:pPr>
        <w:spacing w:line="480" w:lineRule="atLeast"/>
        <w:ind w:left="720" w:hanging="540"/>
        <w:rPr>
          <w:rFonts w:ascii="Arial" w:hAnsi="Arial" w:cs="Arial"/>
          <w:szCs w:val="24"/>
        </w:rPr>
      </w:pPr>
      <w:r w:rsidRPr="00AB3349">
        <w:rPr>
          <w:rFonts w:ascii="Arial" w:hAnsi="Arial" w:cs="Arial"/>
          <w:szCs w:val="24"/>
        </w:rPr>
        <w:t>C-25</w:t>
      </w:r>
      <w:r w:rsidRPr="00AB3349">
        <w:rPr>
          <w:rFonts w:ascii="Arial" w:hAnsi="Arial" w:cs="Arial"/>
          <w:szCs w:val="24"/>
        </w:rPr>
        <w:tab/>
      </w:r>
      <w:r w:rsidR="0054016F">
        <w:rPr>
          <w:rFonts w:ascii="Arial" w:hAnsi="Arial" w:cs="Arial"/>
          <w:szCs w:val="24"/>
        </w:rPr>
        <w:tab/>
      </w:r>
      <w:r w:rsidRPr="00AB3349">
        <w:rPr>
          <w:rFonts w:ascii="Arial" w:hAnsi="Arial" w:cs="Arial"/>
          <w:szCs w:val="24"/>
        </w:rPr>
        <w:t>Deferred Tax Adjustment</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C-26</w:t>
      </w:r>
      <w:r w:rsidRPr="00AB3349">
        <w:rPr>
          <w:rFonts w:ascii="Arial" w:hAnsi="Arial" w:cs="Arial"/>
          <w:szCs w:val="24"/>
        </w:rPr>
        <w:tab/>
      </w:r>
      <w:r w:rsidRPr="00AB3349">
        <w:rPr>
          <w:rFonts w:ascii="Arial" w:hAnsi="Arial" w:cs="Arial"/>
          <w:szCs w:val="24"/>
        </w:rPr>
        <w:tab/>
        <w:t>Income Tax Returns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C-27</w:t>
      </w:r>
      <w:r w:rsidRPr="00AB3349">
        <w:rPr>
          <w:rFonts w:ascii="Arial" w:hAnsi="Arial" w:cs="Arial"/>
          <w:szCs w:val="24"/>
        </w:rPr>
        <w:tab/>
      </w:r>
      <w:r w:rsidRPr="00AB3349">
        <w:rPr>
          <w:rFonts w:ascii="Arial" w:hAnsi="Arial" w:cs="Arial"/>
          <w:szCs w:val="24"/>
        </w:rPr>
        <w:tab/>
        <w:t>Consolidated Tax Information</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C-28</w:t>
      </w:r>
      <w:r w:rsidRPr="00AB3349">
        <w:rPr>
          <w:rFonts w:ascii="Arial" w:hAnsi="Arial" w:cs="Arial"/>
          <w:szCs w:val="24"/>
        </w:rPr>
        <w:tab/>
      </w:r>
      <w:r w:rsidRPr="00AB3349">
        <w:rPr>
          <w:rFonts w:ascii="Arial" w:hAnsi="Arial" w:cs="Arial"/>
          <w:szCs w:val="24"/>
        </w:rPr>
        <w:tab/>
        <w:t>Miscellaneous Tax Information</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C-29</w:t>
      </w:r>
      <w:r w:rsidRPr="00AB3349">
        <w:rPr>
          <w:rFonts w:ascii="Arial" w:hAnsi="Arial" w:cs="Arial"/>
          <w:szCs w:val="24"/>
        </w:rPr>
        <w:tab/>
      </w:r>
      <w:r w:rsidRPr="00AB3349">
        <w:rPr>
          <w:rFonts w:ascii="Arial" w:hAnsi="Arial" w:cs="Arial"/>
          <w:szCs w:val="24"/>
        </w:rPr>
        <w:tab/>
        <w:t xml:space="preserve">Gains and Losses on Disposition of Plant </w:t>
      </w:r>
      <w:r w:rsidR="00B47098">
        <w:rPr>
          <w:rFonts w:ascii="Arial" w:hAnsi="Arial" w:cs="Arial"/>
          <w:szCs w:val="24"/>
        </w:rPr>
        <w:t>or</w:t>
      </w:r>
      <w:r w:rsidR="00B47098" w:rsidRPr="00AB3349">
        <w:rPr>
          <w:rFonts w:ascii="Arial" w:hAnsi="Arial" w:cs="Arial"/>
          <w:szCs w:val="24"/>
        </w:rPr>
        <w:t xml:space="preserve"> </w:t>
      </w:r>
      <w:r w:rsidRPr="00AB3349">
        <w:rPr>
          <w:rFonts w:ascii="Arial" w:hAnsi="Arial" w:cs="Arial"/>
          <w:szCs w:val="24"/>
        </w:rPr>
        <w:t>Property</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C-30</w:t>
      </w:r>
      <w:r w:rsidRPr="00AB3349">
        <w:rPr>
          <w:rFonts w:ascii="Arial" w:hAnsi="Arial" w:cs="Arial"/>
          <w:szCs w:val="24"/>
        </w:rPr>
        <w:tab/>
      </w:r>
      <w:r w:rsidRPr="00AB3349">
        <w:rPr>
          <w:rFonts w:ascii="Arial" w:hAnsi="Arial" w:cs="Arial"/>
          <w:szCs w:val="24"/>
        </w:rPr>
        <w:tab/>
        <w:t>Transactions with Affiliated Companies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C-31</w:t>
      </w:r>
      <w:r w:rsidRPr="00AB3349">
        <w:rPr>
          <w:rFonts w:ascii="Arial" w:hAnsi="Arial" w:cs="Arial"/>
          <w:szCs w:val="24"/>
        </w:rPr>
        <w:tab/>
      </w:r>
      <w:r w:rsidRPr="00AB3349">
        <w:rPr>
          <w:rFonts w:ascii="Arial" w:hAnsi="Arial" w:cs="Arial"/>
          <w:szCs w:val="24"/>
        </w:rPr>
        <w:tab/>
        <w:t>Affiliated Company Relationships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C-41</w:t>
      </w:r>
      <w:r w:rsidRPr="00AB3349">
        <w:rPr>
          <w:rFonts w:ascii="Arial" w:hAnsi="Arial" w:cs="Arial"/>
          <w:szCs w:val="24"/>
        </w:rPr>
        <w:tab/>
      </w:r>
      <w:r w:rsidRPr="00AB3349">
        <w:rPr>
          <w:rFonts w:ascii="Arial" w:hAnsi="Arial" w:cs="Arial"/>
          <w:szCs w:val="24"/>
        </w:rPr>
        <w:tab/>
        <w:t>O&amp;M Benchmark Variance by Function</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C-43</w:t>
      </w:r>
      <w:r w:rsidRPr="00AB3349">
        <w:rPr>
          <w:rFonts w:ascii="Arial" w:hAnsi="Arial" w:cs="Arial"/>
          <w:szCs w:val="24"/>
        </w:rPr>
        <w:tab/>
      </w:r>
      <w:r w:rsidRPr="00AB3349">
        <w:rPr>
          <w:rFonts w:ascii="Arial" w:hAnsi="Arial" w:cs="Arial"/>
          <w:szCs w:val="24"/>
        </w:rPr>
        <w:tab/>
        <w:t>Security Costs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F-1</w:t>
      </w:r>
      <w:r w:rsidRPr="00AB3349">
        <w:rPr>
          <w:rFonts w:ascii="Arial" w:hAnsi="Arial" w:cs="Arial"/>
          <w:szCs w:val="24"/>
        </w:rPr>
        <w:tab/>
      </w:r>
      <w:r w:rsidRPr="00AB3349">
        <w:rPr>
          <w:rFonts w:ascii="Arial" w:hAnsi="Arial" w:cs="Arial"/>
          <w:szCs w:val="24"/>
        </w:rPr>
        <w:tab/>
        <w:t>Annual and Quarterly Reports to Shareholders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F-2</w:t>
      </w:r>
      <w:r w:rsidRPr="00AB3349">
        <w:rPr>
          <w:rFonts w:ascii="Arial" w:hAnsi="Arial" w:cs="Arial"/>
          <w:szCs w:val="24"/>
        </w:rPr>
        <w:tab/>
      </w:r>
      <w:r w:rsidRPr="00AB3349">
        <w:rPr>
          <w:rFonts w:ascii="Arial" w:hAnsi="Arial" w:cs="Arial"/>
          <w:szCs w:val="24"/>
        </w:rPr>
        <w:tab/>
        <w:t>SEC Reports</w:t>
      </w:r>
    </w:p>
    <w:p w:rsidR="00763E9E" w:rsidRPr="00AB3349" w:rsidRDefault="00763E9E" w:rsidP="00763E9E">
      <w:pPr>
        <w:spacing w:line="480" w:lineRule="atLeast"/>
        <w:ind w:left="720" w:hanging="540"/>
        <w:rPr>
          <w:rFonts w:ascii="Arial" w:hAnsi="Arial" w:cs="Arial"/>
          <w:szCs w:val="24"/>
        </w:rPr>
      </w:pPr>
      <w:r w:rsidRPr="00AB3349">
        <w:rPr>
          <w:rFonts w:ascii="Arial" w:hAnsi="Arial" w:cs="Arial"/>
          <w:szCs w:val="24"/>
        </w:rPr>
        <w:t>F-8</w:t>
      </w:r>
      <w:r w:rsidRPr="00AB3349">
        <w:rPr>
          <w:rFonts w:ascii="Arial" w:hAnsi="Arial" w:cs="Arial"/>
          <w:szCs w:val="24"/>
        </w:rPr>
        <w:tab/>
      </w:r>
      <w:r w:rsidRPr="00AB3349">
        <w:rPr>
          <w:rFonts w:ascii="Arial" w:hAnsi="Arial" w:cs="Arial"/>
          <w:szCs w:val="24"/>
        </w:rPr>
        <w:tab/>
        <w:t>Assumptions</w:t>
      </w:r>
    </w:p>
    <w:p w:rsidR="00763E9E" w:rsidRPr="00AB3349" w:rsidRDefault="00763E9E" w:rsidP="00763E9E">
      <w:pPr>
        <w:spacing w:line="480" w:lineRule="atLeast"/>
        <w:ind w:left="720" w:hanging="540"/>
        <w:rPr>
          <w:rFonts w:ascii="Arial" w:hAnsi="Arial" w:cs="Arial"/>
          <w:szCs w:val="24"/>
        </w:rPr>
      </w:pPr>
    </w:p>
    <w:p w:rsidR="00763E9E" w:rsidRPr="00AB3349" w:rsidRDefault="00763E9E" w:rsidP="00763E9E">
      <w:pPr>
        <w:spacing w:line="480" w:lineRule="atLeast"/>
        <w:ind w:left="720" w:hanging="540"/>
        <w:rPr>
          <w:rFonts w:ascii="Arial" w:hAnsi="Arial" w:cs="Arial"/>
          <w:szCs w:val="24"/>
        </w:rPr>
      </w:pPr>
    </w:p>
    <w:p w:rsidR="00763E9E" w:rsidRDefault="00763E9E" w:rsidP="00763E9E">
      <w:pPr>
        <w:rPr>
          <w:rFonts w:ascii="Arial" w:hAnsi="Arial"/>
        </w:rPr>
        <w:sectPr w:rsidR="00763E9E" w:rsidSect="00576C55">
          <w:headerReference w:type="default" r:id="rId19"/>
          <w:footerReference w:type="default" r:id="rId20"/>
          <w:headerReference w:type="first" r:id="rId21"/>
          <w:pgSz w:w="12240" w:h="15840" w:code="1"/>
          <w:pgMar w:top="1570" w:right="1440" w:bottom="1800" w:left="1987" w:header="720" w:footer="720" w:gutter="0"/>
          <w:cols w:space="720"/>
          <w:titlePg/>
          <w:docGrid w:linePitch="326"/>
        </w:sectPr>
      </w:pPr>
    </w:p>
    <w:p w:rsidR="00763E9E" w:rsidRDefault="00763E9E" w:rsidP="007A1D80">
      <w:pPr>
        <w:tabs>
          <w:tab w:val="left" w:pos="-720"/>
        </w:tabs>
        <w:ind w:left="-720"/>
        <w:rPr>
          <w:rFonts w:ascii="Arial" w:hAnsi="Arial"/>
        </w:rPr>
      </w:pPr>
      <w:r>
        <w:rPr>
          <w:rFonts w:ascii="Arial" w:hAnsi="Arial"/>
        </w:rPr>
        <w:lastRenderedPageBreak/>
        <w:t xml:space="preserve">         </w:t>
      </w:r>
      <w:r>
        <w:rPr>
          <w:rFonts w:ascii="Arial" w:hAnsi="Arial"/>
        </w:rPr>
        <w:tab/>
      </w:r>
      <w:r>
        <w:rPr>
          <w:rFonts w:ascii="Arial" w:hAnsi="Arial"/>
        </w:rPr>
        <w:tab/>
      </w:r>
      <w:r>
        <w:rPr>
          <w:rFonts w:ascii="Arial" w:hAnsi="Arial"/>
        </w:rPr>
        <w:tab/>
      </w:r>
      <w:r>
        <w:rPr>
          <w:rFonts w:ascii="Arial" w:hAnsi="Arial"/>
        </w:rPr>
        <w:tab/>
      </w:r>
    </w:p>
    <w:p w:rsidR="00763E9E" w:rsidRDefault="004C6100" w:rsidP="00763E9E">
      <w:pPr>
        <w:tabs>
          <w:tab w:val="left" w:pos="1440"/>
        </w:tabs>
        <w:rPr>
          <w:rFonts w:ascii="Arial" w:hAnsi="Arial"/>
        </w:rPr>
        <w:sectPr w:rsidR="00763E9E" w:rsidSect="00643581">
          <w:headerReference w:type="first" r:id="rId22"/>
          <w:pgSz w:w="12240" w:h="15840" w:code="1"/>
          <w:pgMar w:top="1570" w:right="1440" w:bottom="1800" w:left="1987" w:header="720" w:footer="720" w:gutter="0"/>
          <w:cols w:space="720"/>
          <w:titlePg/>
          <w:docGrid w:linePitch="326"/>
        </w:sectPr>
      </w:pPr>
      <w:r w:rsidRPr="004C6100">
        <w:rPr>
          <w:noProof/>
        </w:rPr>
        <w:drawing>
          <wp:anchor distT="0" distB="0" distL="114300" distR="114300" simplePos="0" relativeHeight="251658240" behindDoc="1" locked="0" layoutInCell="1" allowOverlap="1" wp14:anchorId="1285CD85" wp14:editId="322A20A3">
            <wp:simplePos x="0" y="0"/>
            <wp:positionH relativeFrom="column">
              <wp:posOffset>-812800</wp:posOffset>
            </wp:positionH>
            <wp:positionV relativeFrom="paragraph">
              <wp:posOffset>1402715</wp:posOffset>
            </wp:positionV>
            <wp:extent cx="7111365" cy="4104640"/>
            <wp:effectExtent l="0" t="0" r="0" b="0"/>
            <wp:wrapTight wrapText="bothSides">
              <wp:wrapPolygon edited="0">
                <wp:start x="20968" y="17251"/>
                <wp:lineTo x="20853" y="12640"/>
                <wp:lineTo x="20274" y="5321"/>
                <wp:lineTo x="19927" y="5722"/>
                <wp:lineTo x="19001" y="17151"/>
                <wp:lineTo x="18827" y="13241"/>
                <wp:lineTo x="18191" y="4620"/>
                <wp:lineTo x="17439" y="4620"/>
                <wp:lineTo x="17149" y="8329"/>
                <wp:lineTo x="16860" y="4620"/>
                <wp:lineTo x="15587" y="4620"/>
                <wp:lineTo x="15298" y="8329"/>
                <wp:lineTo x="15298" y="17251"/>
                <wp:lineTo x="14372" y="17251"/>
                <wp:lineTo x="14372" y="8128"/>
                <wp:lineTo x="14141" y="5021"/>
                <wp:lineTo x="13446" y="5923"/>
                <wp:lineTo x="13446" y="5823"/>
                <wp:lineTo x="12520" y="209"/>
                <wp:lineTo x="8817" y="109"/>
                <wp:lineTo x="7891" y="7527"/>
                <wp:lineTo x="6966" y="5823"/>
                <wp:lineTo x="6040" y="5823"/>
                <wp:lineTo x="5982" y="5722"/>
                <wp:lineTo x="5114" y="4620"/>
                <wp:lineTo x="4130" y="4820"/>
                <wp:lineTo x="3262" y="5722"/>
                <wp:lineTo x="3205" y="5823"/>
                <wp:lineTo x="2337" y="5823"/>
                <wp:lineTo x="1411" y="4720"/>
                <wp:lineTo x="485" y="4620"/>
                <wp:lineTo x="196" y="5021"/>
                <wp:lineTo x="196" y="5422"/>
                <wp:lineTo x="1411" y="5622"/>
                <wp:lineTo x="2337" y="20359"/>
                <wp:lineTo x="14372" y="20359"/>
                <wp:lineTo x="15298" y="18654"/>
                <wp:lineTo x="20968" y="18554"/>
                <wp:lineTo x="20968" y="1725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7111365" cy="410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763E9E">
        <w:rPr>
          <w:noProof/>
        </w:rPr>
        <w:t>.</w:t>
      </w:r>
      <w:r w:rsidR="00763E9E">
        <w:rPr>
          <w:rFonts w:ascii="Arial" w:hAnsi="Arial"/>
        </w:rPr>
        <w:t xml:space="preserve"> </w:t>
      </w:r>
    </w:p>
    <w:p w:rsidR="004B08C0" w:rsidRDefault="00763E9E" w:rsidP="0054016F">
      <w:pPr>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4B08C0" w:rsidRPr="00A3019C" w:rsidRDefault="004B08C0" w:rsidP="00A3019C">
      <w:pPr>
        <w:tabs>
          <w:tab w:val="left" w:pos="1440"/>
        </w:tabs>
        <w:jc w:val="center"/>
        <w:rPr>
          <w:rFonts w:ascii="Arial" w:hAnsi="Arial"/>
          <w:b/>
        </w:rPr>
      </w:pPr>
      <w:r w:rsidRPr="00A3019C">
        <w:rPr>
          <w:rFonts w:ascii="Arial" w:hAnsi="Arial"/>
          <w:b/>
        </w:rPr>
        <w:t>A&amp;G</w:t>
      </w:r>
      <w:r w:rsidR="00A3019C">
        <w:rPr>
          <w:rFonts w:ascii="Arial" w:hAnsi="Arial"/>
          <w:b/>
        </w:rPr>
        <w:t xml:space="preserve"> - </w:t>
      </w:r>
      <w:r w:rsidRPr="00A3019C">
        <w:rPr>
          <w:rFonts w:ascii="Arial" w:hAnsi="Arial"/>
          <w:b/>
        </w:rPr>
        <w:t>Benchmark Variance</w:t>
      </w:r>
    </w:p>
    <w:p w:rsidR="004B08C0" w:rsidRDefault="004B08C0" w:rsidP="0054016F">
      <w:pPr>
        <w:tabs>
          <w:tab w:val="left" w:pos="1440"/>
        </w:tabs>
        <w:rPr>
          <w:rFonts w:ascii="Arial" w:hAnsi="Arial"/>
        </w:rPr>
      </w:pPr>
    </w:p>
    <w:p w:rsidR="004B08C0" w:rsidRDefault="00A3019C" w:rsidP="00A3019C">
      <w:pPr>
        <w:tabs>
          <w:tab w:val="left" w:pos="1440"/>
        </w:tabs>
        <w:jc w:val="center"/>
        <w:rPr>
          <w:rFonts w:ascii="Arial" w:hAnsi="Arial"/>
          <w:u w:val="single"/>
        </w:rPr>
      </w:pPr>
      <w:r>
        <w:rPr>
          <w:rFonts w:ascii="Arial" w:hAnsi="Arial"/>
        </w:rPr>
        <w:tab/>
      </w:r>
      <w:r>
        <w:rPr>
          <w:rFonts w:ascii="Arial" w:hAnsi="Arial"/>
        </w:rPr>
        <w:tab/>
      </w:r>
      <w:r>
        <w:rPr>
          <w:rFonts w:ascii="Arial" w:hAnsi="Arial"/>
        </w:rPr>
        <w:tab/>
      </w:r>
      <w:r>
        <w:rPr>
          <w:rFonts w:ascii="Arial" w:hAnsi="Arial"/>
        </w:rPr>
        <w:tab/>
      </w:r>
      <w:r w:rsidR="004B08C0" w:rsidRPr="004B08C0">
        <w:rPr>
          <w:rFonts w:ascii="Arial" w:hAnsi="Arial"/>
          <w:u w:val="single"/>
        </w:rPr>
        <w:t>($000)</w:t>
      </w:r>
    </w:p>
    <w:p w:rsidR="004B08C0" w:rsidRDefault="004B08C0" w:rsidP="0054016F">
      <w:pPr>
        <w:tabs>
          <w:tab w:val="left" w:pos="1440"/>
        </w:tabs>
        <w:rPr>
          <w:rFonts w:ascii="Arial" w:hAnsi="Arial"/>
          <w:u w:val="single"/>
        </w:rPr>
      </w:pPr>
    </w:p>
    <w:p w:rsidR="004B08C0" w:rsidRDefault="004B08C0" w:rsidP="00A3019C">
      <w:pPr>
        <w:tabs>
          <w:tab w:val="left" w:pos="1440"/>
        </w:tabs>
        <w:jc w:val="center"/>
        <w:rPr>
          <w:rFonts w:ascii="Arial" w:hAnsi="Arial"/>
        </w:rPr>
      </w:pPr>
      <w:r>
        <w:rPr>
          <w:rFonts w:ascii="Arial" w:hAnsi="Arial"/>
        </w:rPr>
        <w:t>Test Year Adjusted Benchmark</w:t>
      </w:r>
      <w:r>
        <w:rPr>
          <w:rFonts w:ascii="Arial" w:hAnsi="Arial"/>
        </w:rPr>
        <w:tab/>
        <w:t>78,744</w:t>
      </w:r>
    </w:p>
    <w:p w:rsidR="004B08C0" w:rsidRDefault="004B08C0" w:rsidP="00A3019C">
      <w:pPr>
        <w:tabs>
          <w:tab w:val="left" w:pos="1440"/>
        </w:tabs>
        <w:jc w:val="center"/>
        <w:rPr>
          <w:rFonts w:ascii="Arial" w:hAnsi="Arial"/>
        </w:rPr>
      </w:pPr>
      <w:r>
        <w:rPr>
          <w:rFonts w:ascii="Arial" w:hAnsi="Arial"/>
        </w:rPr>
        <w:t>Test Year Adjusted Request</w:t>
      </w:r>
      <w:r>
        <w:rPr>
          <w:rFonts w:ascii="Arial" w:hAnsi="Arial"/>
        </w:rPr>
        <w:tab/>
        <w:t>89,767</w:t>
      </w:r>
    </w:p>
    <w:p w:rsidR="004B08C0" w:rsidRDefault="004B08C0" w:rsidP="00A3019C">
      <w:pPr>
        <w:tabs>
          <w:tab w:val="left" w:pos="1440"/>
        </w:tabs>
        <w:jc w:val="center"/>
        <w:rPr>
          <w:rFonts w:ascii="Arial" w:hAnsi="Arial"/>
        </w:rPr>
      </w:pPr>
      <w:r>
        <w:rPr>
          <w:rFonts w:ascii="Arial" w:hAnsi="Arial"/>
        </w:rPr>
        <w:t>System Benchmark Variance</w:t>
      </w:r>
      <w:r>
        <w:rPr>
          <w:rFonts w:ascii="Arial" w:hAnsi="Arial"/>
        </w:rPr>
        <w:tab/>
        <w:t>11,023</w:t>
      </w:r>
    </w:p>
    <w:p w:rsidR="004B08C0" w:rsidRDefault="004B08C0" w:rsidP="00A3019C">
      <w:pPr>
        <w:tabs>
          <w:tab w:val="left" w:pos="1440"/>
        </w:tabs>
        <w:jc w:val="center"/>
        <w:rPr>
          <w:rFonts w:ascii="Arial" w:hAnsi="Arial"/>
        </w:rPr>
      </w:pPr>
    </w:p>
    <w:p w:rsidR="004B08C0" w:rsidRPr="004B08C0" w:rsidRDefault="00A3019C" w:rsidP="00A3019C">
      <w:pPr>
        <w:tabs>
          <w:tab w:val="left" w:pos="1440"/>
        </w:tabs>
        <w:jc w:val="center"/>
        <w:rPr>
          <w:rFonts w:ascii="Arial" w:hAnsi="Arial"/>
        </w:rPr>
      </w:pPr>
      <w:r w:rsidRPr="00A3019C">
        <w:rPr>
          <w:rFonts w:ascii="Arial" w:hAnsi="Arial"/>
        </w:rPr>
        <w:t xml:space="preserve"> </w:t>
      </w:r>
      <w:r w:rsidR="004B08C0" w:rsidRPr="00A3019C">
        <w:rPr>
          <w:rFonts w:ascii="Arial" w:hAnsi="Arial"/>
          <w:u w:val="single"/>
        </w:rPr>
        <w:t>Description</w:t>
      </w:r>
      <w:r w:rsidR="004B08C0">
        <w:rPr>
          <w:rFonts w:ascii="Arial" w:hAnsi="Arial"/>
        </w:rPr>
        <w:tab/>
      </w:r>
      <w:r w:rsidR="004B08C0">
        <w:rPr>
          <w:rFonts w:ascii="Arial" w:hAnsi="Arial"/>
        </w:rPr>
        <w:tab/>
      </w:r>
      <w:r w:rsidR="004B08C0">
        <w:rPr>
          <w:rFonts w:ascii="Arial" w:hAnsi="Arial"/>
        </w:rPr>
        <w:tab/>
      </w:r>
      <w:r w:rsidR="004B08C0">
        <w:rPr>
          <w:rFonts w:ascii="Arial" w:hAnsi="Arial"/>
        </w:rPr>
        <w:tab/>
      </w:r>
      <w:r w:rsidR="004B08C0" w:rsidRPr="00A3019C">
        <w:rPr>
          <w:rFonts w:ascii="Arial" w:hAnsi="Arial"/>
          <w:u w:val="single"/>
        </w:rPr>
        <w:t>Variance</w:t>
      </w:r>
    </w:p>
    <w:p w:rsidR="004B08C0" w:rsidRDefault="004B08C0" w:rsidP="00A3019C">
      <w:pPr>
        <w:tabs>
          <w:tab w:val="left" w:pos="1440"/>
        </w:tabs>
        <w:jc w:val="center"/>
        <w:rPr>
          <w:rFonts w:ascii="Arial" w:hAnsi="Arial"/>
        </w:rPr>
      </w:pPr>
    </w:p>
    <w:p w:rsidR="00A3019C" w:rsidRDefault="00A3019C" w:rsidP="00A3019C">
      <w:pPr>
        <w:tabs>
          <w:tab w:val="left" w:pos="1440"/>
        </w:tabs>
        <w:rPr>
          <w:rFonts w:ascii="Arial" w:hAnsi="Arial"/>
        </w:rPr>
      </w:pPr>
      <w:r>
        <w:rPr>
          <w:rFonts w:ascii="Arial" w:hAnsi="Arial"/>
        </w:rPr>
        <w:tab/>
      </w:r>
      <w:r>
        <w:rPr>
          <w:rFonts w:ascii="Arial" w:hAnsi="Arial"/>
        </w:rPr>
        <w:tab/>
        <w:t xml:space="preserve"> Pension Expense</w:t>
      </w:r>
      <w:r>
        <w:rPr>
          <w:rFonts w:ascii="Arial" w:hAnsi="Arial"/>
        </w:rPr>
        <w:tab/>
      </w:r>
      <w:r>
        <w:rPr>
          <w:rFonts w:ascii="Arial" w:hAnsi="Arial"/>
        </w:rPr>
        <w:tab/>
      </w:r>
      <w:r>
        <w:rPr>
          <w:rFonts w:ascii="Arial" w:hAnsi="Arial"/>
        </w:rPr>
        <w:tab/>
        <w:t xml:space="preserve">   5,871</w:t>
      </w:r>
    </w:p>
    <w:p w:rsidR="00A3019C" w:rsidRDefault="00A3019C" w:rsidP="00A3019C">
      <w:pPr>
        <w:tabs>
          <w:tab w:val="left" w:pos="1440"/>
        </w:tabs>
        <w:rPr>
          <w:rFonts w:ascii="Arial" w:hAnsi="Arial"/>
        </w:rPr>
      </w:pPr>
      <w:r>
        <w:rPr>
          <w:rFonts w:ascii="Arial" w:hAnsi="Arial"/>
        </w:rPr>
        <w:tab/>
      </w:r>
      <w:r>
        <w:rPr>
          <w:rFonts w:ascii="Arial" w:hAnsi="Arial"/>
        </w:rPr>
        <w:tab/>
        <w:t xml:space="preserve"> Property Damage Accrual</w:t>
      </w:r>
      <w:r>
        <w:rPr>
          <w:rFonts w:ascii="Arial" w:hAnsi="Arial"/>
        </w:rPr>
        <w:tab/>
      </w:r>
      <w:r>
        <w:rPr>
          <w:rFonts w:ascii="Arial" w:hAnsi="Arial"/>
        </w:rPr>
        <w:tab/>
        <w:t xml:space="preserve">   5,249</w:t>
      </w:r>
    </w:p>
    <w:p w:rsidR="00A3019C" w:rsidRDefault="00A3019C" w:rsidP="00A3019C">
      <w:pPr>
        <w:tabs>
          <w:tab w:val="left" w:pos="1440"/>
        </w:tabs>
        <w:rPr>
          <w:rFonts w:ascii="Arial" w:hAnsi="Arial"/>
        </w:rPr>
      </w:pPr>
      <w:r>
        <w:rPr>
          <w:rFonts w:ascii="Arial" w:hAnsi="Arial"/>
        </w:rPr>
        <w:tab/>
      </w:r>
      <w:r>
        <w:rPr>
          <w:rFonts w:ascii="Arial" w:hAnsi="Arial"/>
        </w:rPr>
        <w:tab/>
        <w:t xml:space="preserve"> Rate Case Expense</w:t>
      </w:r>
      <w:r>
        <w:rPr>
          <w:rFonts w:ascii="Arial" w:hAnsi="Arial"/>
        </w:rPr>
        <w:tab/>
      </w:r>
      <w:r>
        <w:rPr>
          <w:rFonts w:ascii="Arial" w:hAnsi="Arial"/>
        </w:rPr>
        <w:tab/>
      </w:r>
      <w:r w:rsidRPr="00A3019C">
        <w:rPr>
          <w:rFonts w:ascii="Arial" w:hAnsi="Arial"/>
          <w:u w:val="single"/>
        </w:rPr>
        <w:t xml:space="preserve">   </w:t>
      </w:r>
      <w:r>
        <w:rPr>
          <w:rFonts w:ascii="Arial" w:hAnsi="Arial"/>
          <w:u w:val="single"/>
        </w:rPr>
        <w:t xml:space="preserve"> </w:t>
      </w:r>
      <w:r w:rsidRPr="00A3019C">
        <w:rPr>
          <w:rFonts w:ascii="Arial" w:hAnsi="Arial"/>
          <w:u w:val="single"/>
        </w:rPr>
        <w:t xml:space="preserve">  8</w:t>
      </w:r>
      <w:r>
        <w:rPr>
          <w:rFonts w:ascii="Arial" w:hAnsi="Arial"/>
          <w:u w:val="single"/>
        </w:rPr>
        <w:t>8</w:t>
      </w:r>
      <w:r w:rsidRPr="00A3019C">
        <w:rPr>
          <w:rFonts w:ascii="Arial" w:hAnsi="Arial"/>
          <w:u w:val="single"/>
        </w:rPr>
        <w:t>0</w:t>
      </w:r>
    </w:p>
    <w:p w:rsidR="00A3019C" w:rsidRPr="00A3019C" w:rsidRDefault="00A3019C" w:rsidP="00A3019C">
      <w:pPr>
        <w:tabs>
          <w:tab w:val="left" w:pos="1440"/>
        </w:tabs>
        <w:jc w:val="center"/>
        <w:rPr>
          <w:rFonts w:ascii="Arial" w:hAnsi="Arial"/>
          <w:u w:val="single"/>
        </w:rPr>
      </w:pPr>
      <w:r>
        <w:rPr>
          <w:rFonts w:ascii="Arial" w:hAnsi="Arial"/>
        </w:rPr>
        <w:tab/>
      </w:r>
      <w:r>
        <w:rPr>
          <w:rFonts w:ascii="Arial" w:hAnsi="Arial"/>
        </w:rPr>
        <w:tab/>
      </w:r>
      <w:r>
        <w:rPr>
          <w:rFonts w:ascii="Arial" w:hAnsi="Arial"/>
        </w:rPr>
        <w:tab/>
        <w:t xml:space="preserve">           </w:t>
      </w:r>
      <w:r w:rsidRPr="00A3019C">
        <w:rPr>
          <w:rFonts w:ascii="Arial" w:hAnsi="Arial"/>
          <w:u w:val="single"/>
        </w:rPr>
        <w:t>12,000</w:t>
      </w:r>
    </w:p>
    <w:p w:rsidR="007A1D80" w:rsidRDefault="00763E9E" w:rsidP="0054016F">
      <w:pPr>
        <w:tabs>
          <w:tab w:val="left" w:pos="1440"/>
        </w:tabs>
        <w:rPr>
          <w:rFonts w:ascii="Arial" w:hAnsi="Arial"/>
        </w:rPr>
      </w:pPr>
      <w:r>
        <w:rPr>
          <w:rFonts w:ascii="Arial" w:hAnsi="Arial"/>
        </w:rPr>
        <w:tab/>
      </w:r>
      <w:r>
        <w:rPr>
          <w:rFonts w:ascii="Arial" w:hAnsi="Arial"/>
        </w:rPr>
        <w:tab/>
      </w:r>
    </w:p>
    <w:p w:rsidR="003D6237" w:rsidRDefault="003D6237" w:rsidP="007A1D80">
      <w:pPr>
        <w:tabs>
          <w:tab w:val="left" w:pos="1440"/>
        </w:tabs>
        <w:rPr>
          <w:rFonts w:ascii="Arial" w:hAnsi="Arial"/>
        </w:rPr>
      </w:pPr>
    </w:p>
    <w:p w:rsidR="00763E9E" w:rsidRDefault="00763E9E" w:rsidP="00763E9E">
      <w:pPr>
        <w:tabs>
          <w:tab w:val="left" w:pos="1440"/>
        </w:tabs>
        <w:ind w:left="4320"/>
        <w:rPr>
          <w:rFonts w:ascii="Arial" w:hAnsi="Arial"/>
        </w:rPr>
      </w:pPr>
    </w:p>
    <w:p w:rsidR="003D6237" w:rsidRDefault="003D6237" w:rsidP="003D6237">
      <w:pPr>
        <w:tabs>
          <w:tab w:val="left" w:pos="1440"/>
        </w:tabs>
        <w:jc w:val="center"/>
        <w:rPr>
          <w:rFonts w:ascii="Arial" w:hAnsi="Arial"/>
        </w:rPr>
      </w:pPr>
    </w:p>
    <w:p w:rsidR="00763E9E" w:rsidRDefault="00763E9E" w:rsidP="00763E9E">
      <w:pPr>
        <w:tabs>
          <w:tab w:val="left" w:pos="1440"/>
        </w:tabs>
        <w:jc w:val="center"/>
        <w:rPr>
          <w:rFonts w:ascii="Arial" w:hAnsi="Arial"/>
        </w:rPr>
      </w:pPr>
    </w:p>
    <w:p w:rsidR="00763E9E" w:rsidRDefault="00763E9E" w:rsidP="00763E9E">
      <w:pPr>
        <w:tabs>
          <w:tab w:val="left" w:pos="1440"/>
        </w:tabs>
        <w:jc w:val="center"/>
        <w:rPr>
          <w:rFonts w:ascii="Arial" w:hAnsi="Arial"/>
        </w:rPr>
      </w:pPr>
    </w:p>
    <w:p w:rsidR="00763E9E" w:rsidRDefault="00763E9E" w:rsidP="00763E9E">
      <w:pPr>
        <w:tabs>
          <w:tab w:val="left" w:pos="1440"/>
        </w:tabs>
        <w:jc w:val="center"/>
        <w:rPr>
          <w:rFonts w:ascii="Arial" w:hAnsi="Arial"/>
          <w:noProof/>
        </w:rPr>
      </w:pPr>
    </w:p>
    <w:p w:rsidR="00763E9E" w:rsidRDefault="00763E9E" w:rsidP="00763E9E">
      <w:pPr>
        <w:tabs>
          <w:tab w:val="left" w:pos="1440"/>
        </w:tabs>
        <w:jc w:val="center"/>
        <w:rPr>
          <w:rFonts w:ascii="Arial" w:hAnsi="Arial"/>
        </w:rPr>
      </w:pPr>
    </w:p>
    <w:p w:rsidR="00763E9E" w:rsidRDefault="00763E9E" w:rsidP="00763E9E">
      <w:pPr>
        <w:tabs>
          <w:tab w:val="left" w:pos="1440"/>
        </w:tabs>
        <w:jc w:val="center"/>
        <w:rPr>
          <w:rFonts w:ascii="Arial" w:hAnsi="Arial"/>
        </w:rPr>
      </w:pPr>
    </w:p>
    <w:p w:rsidR="00763E9E" w:rsidRDefault="00763E9E" w:rsidP="00763E9E">
      <w:pPr>
        <w:tabs>
          <w:tab w:val="left" w:pos="1440"/>
        </w:tabs>
        <w:jc w:val="center"/>
        <w:rPr>
          <w:rFonts w:ascii="Arial" w:hAnsi="Arial"/>
          <w:noProof/>
        </w:rPr>
      </w:pPr>
    </w:p>
    <w:p w:rsidR="00763E9E" w:rsidRDefault="00763E9E" w:rsidP="00763E9E">
      <w:pPr>
        <w:tabs>
          <w:tab w:val="left" w:pos="1440"/>
        </w:tabs>
        <w:jc w:val="center"/>
        <w:rPr>
          <w:rFonts w:ascii="Arial" w:hAnsi="Arial"/>
          <w:noProof/>
        </w:rPr>
      </w:pPr>
    </w:p>
    <w:p w:rsidR="00763E9E" w:rsidRDefault="00763E9E" w:rsidP="00763E9E">
      <w:pPr>
        <w:tabs>
          <w:tab w:val="left" w:pos="1440"/>
        </w:tabs>
        <w:jc w:val="center"/>
        <w:rPr>
          <w:rFonts w:ascii="Arial" w:hAnsi="Arial"/>
          <w:noProof/>
        </w:rPr>
      </w:pPr>
    </w:p>
    <w:p w:rsidR="00763E9E" w:rsidRDefault="00763E9E" w:rsidP="00763E9E">
      <w:pPr>
        <w:tabs>
          <w:tab w:val="left" w:pos="1440"/>
        </w:tabs>
        <w:jc w:val="center"/>
        <w:rPr>
          <w:rFonts w:ascii="Arial" w:hAnsi="Arial"/>
          <w:noProof/>
          <w:sz w:val="20"/>
        </w:rPr>
        <w:sectPr w:rsidR="00763E9E" w:rsidSect="00455032">
          <w:headerReference w:type="first" r:id="rId24"/>
          <w:pgSz w:w="12240" w:h="15840" w:code="1"/>
          <w:pgMar w:top="1570" w:right="1440" w:bottom="1800" w:left="1987" w:header="720" w:footer="720" w:gutter="0"/>
          <w:cols w:space="720"/>
          <w:titlePg/>
          <w:docGrid w:linePitch="326"/>
        </w:sectPr>
      </w:pPr>
    </w:p>
    <w:p w:rsidR="00C261CD" w:rsidRDefault="00763E9E" w:rsidP="0054016F">
      <w:pPr>
        <w:tabs>
          <w:tab w:val="left" w:pos="1440"/>
        </w:tabs>
        <w:jc w:val="center"/>
        <w:rPr>
          <w:rFonts w:ascii="Arial" w:hAnsi="Arial"/>
        </w:rPr>
      </w:pPr>
      <w:r>
        <w:rPr>
          <w:rFonts w:ascii="Arial" w:hAnsi="Arial"/>
          <w:noProof/>
          <w:sz w:val="20"/>
        </w:rPr>
        <w:lastRenderedPageBreak/>
        <w:tab/>
      </w:r>
      <w:r>
        <w:rPr>
          <w:rFonts w:ascii="Arial" w:hAnsi="Arial"/>
          <w:noProof/>
          <w:sz w:val="20"/>
        </w:rPr>
        <w:tab/>
      </w:r>
      <w:r>
        <w:rPr>
          <w:rFonts w:ascii="Arial" w:hAnsi="Arial"/>
          <w:noProof/>
          <w:sz w:val="20"/>
        </w:rPr>
        <w:tab/>
      </w:r>
    </w:p>
    <w:p w:rsidR="00763E9E" w:rsidRDefault="00763E9E" w:rsidP="00763E9E">
      <w:pPr>
        <w:tabs>
          <w:tab w:val="left" w:pos="1440"/>
        </w:tabs>
        <w:rPr>
          <w:rFonts w:ascii="Arial" w:hAnsi="Arial"/>
          <w:sz w:val="20"/>
        </w:rPr>
      </w:pPr>
    </w:p>
    <w:p w:rsidR="00763E9E" w:rsidRPr="008056B9" w:rsidRDefault="009D09F9" w:rsidP="00763E9E">
      <w:pPr>
        <w:tabs>
          <w:tab w:val="left" w:pos="1440"/>
        </w:tabs>
        <w:rPr>
          <w:rFonts w:ascii="Arial" w:hAnsi="Arial"/>
        </w:rPr>
        <w:sectPr w:rsidR="00763E9E" w:rsidRPr="008056B9" w:rsidSect="00455032">
          <w:headerReference w:type="first" r:id="rId25"/>
          <w:pgSz w:w="12240" w:h="15840" w:code="1"/>
          <w:pgMar w:top="1570" w:right="1440" w:bottom="1800" w:left="1987" w:header="720" w:footer="720" w:gutter="0"/>
          <w:cols w:space="720"/>
          <w:titlePg/>
          <w:docGrid w:linePitch="326"/>
        </w:sectPr>
      </w:pPr>
      <w:r w:rsidRPr="009D09F9">
        <w:rPr>
          <w:noProof/>
        </w:rPr>
        <w:drawing>
          <wp:inline distT="0" distB="0" distL="0" distR="0" wp14:anchorId="03B92F06" wp14:editId="724DAF20">
            <wp:extent cx="5596255" cy="5544963"/>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96255" cy="5544963"/>
                    </a:xfrm>
                    <a:prstGeom prst="rect">
                      <a:avLst/>
                    </a:prstGeom>
                    <a:noFill/>
                    <a:ln>
                      <a:noFill/>
                    </a:ln>
                  </pic:spPr>
                </pic:pic>
              </a:graphicData>
            </a:graphic>
          </wp:inline>
        </w:drawing>
      </w:r>
    </w:p>
    <w:p w:rsidR="00763E9E" w:rsidRDefault="00763E9E" w:rsidP="0054016F">
      <w:pPr>
        <w:tabs>
          <w:tab w:val="left" w:pos="1440"/>
        </w:tabs>
        <w:jc w:val="center"/>
        <w:rPr>
          <w:rFonts w:ascii="Arial" w:hAnsi="Arial"/>
          <w:noProof/>
          <w:sz w:val="20"/>
        </w:rPr>
      </w:pPr>
      <w:r>
        <w:rPr>
          <w:rFonts w:ascii="Arial" w:hAnsi="Arial"/>
        </w:rPr>
        <w:lastRenderedPageBreak/>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763E9E" w:rsidRDefault="00763E9E" w:rsidP="00763E9E">
      <w:pPr>
        <w:rPr>
          <w:rFonts w:ascii="Arial" w:hAnsi="Arial"/>
        </w:rPr>
      </w:pPr>
    </w:p>
    <w:p w:rsidR="00A852E1" w:rsidRPr="00643581" w:rsidRDefault="00A852E1" w:rsidP="00643581">
      <w:pPr>
        <w:spacing w:line="480" w:lineRule="atLeast"/>
        <w:rPr>
          <w:rFonts w:ascii="Arial" w:hAnsi="Arial" w:cs="Arial"/>
          <w:szCs w:val="24"/>
        </w:rPr>
      </w:pPr>
      <w:r w:rsidRPr="00643581">
        <w:rPr>
          <w:rFonts w:ascii="Arial" w:hAnsi="Arial" w:cs="Arial"/>
          <w:szCs w:val="24"/>
        </w:rPr>
        <w:t>Gulf Power’s 2013 D</w:t>
      </w:r>
      <w:r w:rsidR="001E6AAF">
        <w:rPr>
          <w:rFonts w:ascii="Arial" w:hAnsi="Arial" w:cs="Arial"/>
          <w:szCs w:val="24"/>
        </w:rPr>
        <w:t>ismantling</w:t>
      </w:r>
      <w:r w:rsidRPr="00643581">
        <w:rPr>
          <w:rFonts w:ascii="Arial" w:hAnsi="Arial" w:cs="Arial"/>
          <w:szCs w:val="24"/>
        </w:rPr>
        <w:t xml:space="preserve"> Study was filed on May 2</w:t>
      </w:r>
      <w:r w:rsidR="001E6AAF">
        <w:rPr>
          <w:rFonts w:ascii="Arial" w:hAnsi="Arial" w:cs="Arial"/>
          <w:szCs w:val="24"/>
        </w:rPr>
        <w:t>4</w:t>
      </w:r>
      <w:r w:rsidRPr="00643581">
        <w:rPr>
          <w:rFonts w:ascii="Arial" w:hAnsi="Arial" w:cs="Arial"/>
          <w:szCs w:val="24"/>
        </w:rPr>
        <w:t xml:space="preserve">, 2013 in Docket No. 130151 and is incorporated herein by reference.  Gulf’s 2013 </w:t>
      </w:r>
      <w:r w:rsidR="003D3ABC">
        <w:rPr>
          <w:rFonts w:ascii="Arial" w:hAnsi="Arial" w:cs="Arial"/>
          <w:szCs w:val="24"/>
        </w:rPr>
        <w:t>Dismantling</w:t>
      </w:r>
      <w:r w:rsidR="003D3ABC" w:rsidRPr="00643581">
        <w:rPr>
          <w:rFonts w:ascii="Arial" w:hAnsi="Arial" w:cs="Arial"/>
          <w:szCs w:val="24"/>
        </w:rPr>
        <w:t xml:space="preserve"> </w:t>
      </w:r>
      <w:r w:rsidRPr="00643581">
        <w:rPr>
          <w:rFonts w:ascii="Arial" w:hAnsi="Arial" w:cs="Arial"/>
          <w:szCs w:val="24"/>
        </w:rPr>
        <w:t>Study is identified in the Commission’s records as Document Numbers 0286</w:t>
      </w:r>
      <w:r w:rsidR="001E6AAF">
        <w:rPr>
          <w:rFonts w:ascii="Arial" w:hAnsi="Arial" w:cs="Arial"/>
          <w:szCs w:val="24"/>
        </w:rPr>
        <w:t>9</w:t>
      </w:r>
      <w:r w:rsidRPr="00643581">
        <w:rPr>
          <w:rFonts w:ascii="Arial" w:hAnsi="Arial" w:cs="Arial"/>
          <w:szCs w:val="24"/>
        </w:rPr>
        <w:t>-13 and 028</w:t>
      </w:r>
      <w:r w:rsidR="001E6AAF">
        <w:rPr>
          <w:rFonts w:ascii="Arial" w:hAnsi="Arial" w:cs="Arial"/>
          <w:szCs w:val="24"/>
        </w:rPr>
        <w:t>70</w:t>
      </w:r>
      <w:r w:rsidRPr="00643581">
        <w:rPr>
          <w:rFonts w:ascii="Arial" w:hAnsi="Arial" w:cs="Arial"/>
          <w:szCs w:val="24"/>
        </w:rPr>
        <w:t xml:space="preserve">-13.   </w:t>
      </w:r>
    </w:p>
    <w:p w:rsidR="00763E9E" w:rsidRDefault="00763E9E" w:rsidP="00763E9E">
      <w:pPr>
        <w:rPr>
          <w:rFonts w:ascii="Arial" w:hAnsi="Arial"/>
        </w:rPr>
      </w:pPr>
    </w:p>
    <w:p w:rsidR="00763E9E" w:rsidRDefault="00763E9E" w:rsidP="00763E9E"/>
    <w:p w:rsidR="00304E4B" w:rsidRDefault="00304E4B"/>
    <w:sectPr w:rsidR="00304E4B" w:rsidSect="00455032">
      <w:headerReference w:type="first" r:id="rId27"/>
      <w:pgSz w:w="12240" w:h="15840" w:code="1"/>
      <w:pgMar w:top="1570" w:right="1440" w:bottom="1800" w:left="198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DC4" w:rsidRPr="00794B0B" w:rsidRDefault="00B46DC4" w:rsidP="00763E9E">
      <w:r>
        <w:separator/>
      </w:r>
    </w:p>
  </w:endnote>
  <w:endnote w:type="continuationSeparator" w:id="0">
    <w:p w:rsidR="00B46DC4" w:rsidRPr="00794B0B" w:rsidRDefault="00B46DC4" w:rsidP="0076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3B" w:rsidRDefault="004820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EC6" w:rsidRDefault="00AB3349" w:rsidP="001702D7">
    <w:pPr>
      <w:pStyle w:val="Footer"/>
      <w:tabs>
        <w:tab w:val="clear" w:pos="4680"/>
        <w:tab w:val="clear" w:pos="9360"/>
        <w:tab w:val="left" w:pos="3510"/>
        <w:tab w:val="left" w:pos="3870"/>
        <w:tab w:val="right" w:pos="8820"/>
      </w:tabs>
      <w:rPr>
        <w:rFonts w:ascii="Arial" w:hAnsi="Arial" w:cs="Arial"/>
      </w:rPr>
    </w:pPr>
    <w:r w:rsidRPr="00655FB9">
      <w:rPr>
        <w:rFonts w:ascii="Arial" w:hAnsi="Arial" w:cs="Arial"/>
      </w:rPr>
      <w:t>Docket No. 13</w:t>
    </w:r>
    <w:r>
      <w:rPr>
        <w:rFonts w:ascii="Arial" w:hAnsi="Arial" w:cs="Arial"/>
      </w:rPr>
      <w:t>0140</w:t>
    </w:r>
    <w:r w:rsidRPr="00655FB9">
      <w:rPr>
        <w:rFonts w:ascii="Arial" w:hAnsi="Arial" w:cs="Arial"/>
      </w:rPr>
      <w:t>-EI</w:t>
    </w:r>
    <w:r>
      <w:rPr>
        <w:rFonts w:ascii="Arial" w:hAnsi="Arial" w:cs="Arial"/>
      </w:rPr>
      <w:tab/>
    </w:r>
    <w:r w:rsidR="00A12850">
      <w:rPr>
        <w:rFonts w:ascii="Arial" w:hAnsi="Arial" w:cs="Arial"/>
      </w:rPr>
      <w:t xml:space="preserve">Page </w:t>
    </w:r>
    <w:r w:rsidR="00C807E5" w:rsidRPr="00061BB8">
      <w:rPr>
        <w:rFonts w:ascii="Arial" w:hAnsi="Arial" w:cs="Arial"/>
      </w:rPr>
      <w:fldChar w:fldCharType="begin"/>
    </w:r>
    <w:r w:rsidRPr="00655FB9">
      <w:rPr>
        <w:rFonts w:ascii="Arial" w:hAnsi="Arial" w:cs="Arial"/>
      </w:rPr>
      <w:instrText xml:space="preserve"> PAGE   \* MERGEFORMAT </w:instrText>
    </w:r>
    <w:r w:rsidR="00C807E5" w:rsidRPr="00061BB8">
      <w:rPr>
        <w:rFonts w:ascii="Arial" w:hAnsi="Arial" w:cs="Arial"/>
      </w:rPr>
      <w:fldChar w:fldCharType="separate"/>
    </w:r>
    <w:r w:rsidR="005B6E31">
      <w:rPr>
        <w:rFonts w:ascii="Arial" w:hAnsi="Arial" w:cs="Arial"/>
        <w:noProof/>
      </w:rPr>
      <w:t>23</w:t>
    </w:r>
    <w:r w:rsidR="00C807E5" w:rsidRPr="00061BB8">
      <w:rPr>
        <w:rFonts w:ascii="Arial" w:hAnsi="Arial" w:cs="Arial"/>
      </w:rPr>
      <w:fldChar w:fldCharType="end"/>
    </w:r>
    <w:r w:rsidRPr="00655FB9">
      <w:rPr>
        <w:rFonts w:ascii="Arial" w:hAnsi="Arial" w:cs="Arial"/>
      </w:rPr>
      <w:ptab w:relativeTo="margin" w:alignment="right" w:leader="none"/>
    </w:r>
    <w:r w:rsidRPr="00655FB9">
      <w:rPr>
        <w:rFonts w:ascii="Arial" w:hAnsi="Arial" w:cs="Arial"/>
      </w:rPr>
      <w:t>Witness: Constance J. Erickson</w:t>
    </w:r>
  </w:p>
  <w:p w:rsidR="004C6100" w:rsidRPr="004C6100" w:rsidRDefault="004C6100" w:rsidP="00AB3349">
    <w:pPr>
      <w:pStyle w:val="Footer"/>
      <w:tabs>
        <w:tab w:val="clear" w:pos="4680"/>
        <w:tab w:val="clear" w:pos="9360"/>
        <w:tab w:val="left" w:pos="3780"/>
        <w:tab w:val="left" w:pos="3870"/>
        <w:tab w:val="right" w:pos="8640"/>
      </w:tabs>
      <w:rPr>
        <w:rFonts w:ascii="Arial" w:hAnsi="Arial" w:cs="Arial"/>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3B" w:rsidRDefault="004820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EC6" w:rsidRDefault="00BB2C31" w:rsidP="001702D7">
    <w:pPr>
      <w:pStyle w:val="Footer"/>
      <w:tabs>
        <w:tab w:val="clear" w:pos="4680"/>
        <w:tab w:val="clear" w:pos="9360"/>
        <w:tab w:val="left" w:pos="3510"/>
        <w:tab w:val="left" w:pos="3870"/>
        <w:tab w:val="right" w:pos="8820"/>
      </w:tabs>
      <w:rPr>
        <w:rFonts w:ascii="Arial" w:hAnsi="Arial" w:cs="Arial"/>
      </w:rPr>
    </w:pPr>
    <w:r w:rsidRPr="00655FB9">
      <w:rPr>
        <w:rFonts w:ascii="Arial" w:hAnsi="Arial" w:cs="Arial"/>
      </w:rPr>
      <w:t>Docket No. 13</w:t>
    </w:r>
    <w:r>
      <w:rPr>
        <w:rFonts w:ascii="Arial" w:hAnsi="Arial" w:cs="Arial"/>
      </w:rPr>
      <w:t>0140</w:t>
    </w:r>
    <w:r w:rsidRPr="00655FB9">
      <w:rPr>
        <w:rFonts w:ascii="Arial" w:hAnsi="Arial" w:cs="Arial"/>
      </w:rPr>
      <w:t>-EI</w:t>
    </w:r>
    <w:r w:rsidR="00AB3349">
      <w:rPr>
        <w:rFonts w:ascii="Arial" w:hAnsi="Arial" w:cs="Arial"/>
      </w:rPr>
      <w:tab/>
    </w:r>
    <w:r w:rsidR="00A12850">
      <w:rPr>
        <w:rFonts w:ascii="Arial" w:hAnsi="Arial" w:cs="Arial"/>
      </w:rPr>
      <w:t xml:space="preserve">Page </w:t>
    </w:r>
    <w:r w:rsidR="00C807E5" w:rsidRPr="00061BB8">
      <w:rPr>
        <w:rFonts w:ascii="Arial" w:hAnsi="Arial" w:cs="Arial"/>
      </w:rPr>
      <w:fldChar w:fldCharType="begin"/>
    </w:r>
    <w:r w:rsidRPr="00655FB9">
      <w:rPr>
        <w:rFonts w:ascii="Arial" w:hAnsi="Arial" w:cs="Arial"/>
      </w:rPr>
      <w:instrText xml:space="preserve"> PAGE   \* MERGEFORMAT </w:instrText>
    </w:r>
    <w:r w:rsidR="00C807E5" w:rsidRPr="00061BB8">
      <w:rPr>
        <w:rFonts w:ascii="Arial" w:hAnsi="Arial" w:cs="Arial"/>
      </w:rPr>
      <w:fldChar w:fldCharType="separate"/>
    </w:r>
    <w:r w:rsidR="0048203B">
      <w:rPr>
        <w:rFonts w:ascii="Arial" w:hAnsi="Arial" w:cs="Arial"/>
        <w:noProof/>
      </w:rPr>
      <w:t>2</w:t>
    </w:r>
    <w:r w:rsidR="00C807E5" w:rsidRPr="00061BB8">
      <w:rPr>
        <w:rFonts w:ascii="Arial" w:hAnsi="Arial" w:cs="Arial"/>
      </w:rPr>
      <w:fldChar w:fldCharType="end"/>
    </w:r>
    <w:r w:rsidRPr="00655FB9">
      <w:rPr>
        <w:rFonts w:ascii="Arial" w:hAnsi="Arial" w:cs="Arial"/>
      </w:rPr>
      <w:ptab w:relativeTo="margin" w:alignment="right" w:leader="none"/>
    </w:r>
    <w:r w:rsidRPr="00655FB9">
      <w:rPr>
        <w:rFonts w:ascii="Arial" w:hAnsi="Arial" w:cs="Arial"/>
      </w:rPr>
      <w:t>Witness: Constance J. Erickson</w:t>
    </w:r>
  </w:p>
  <w:p w:rsidR="004C6100" w:rsidRPr="004C6100" w:rsidRDefault="004C6100" w:rsidP="00AB3349">
    <w:pPr>
      <w:pStyle w:val="Footer"/>
      <w:tabs>
        <w:tab w:val="clear" w:pos="4680"/>
        <w:tab w:val="clear" w:pos="9360"/>
        <w:tab w:val="left" w:pos="3780"/>
        <w:tab w:val="left" w:pos="3870"/>
        <w:tab w:val="right" w:pos="9180"/>
      </w:tabs>
      <w:rPr>
        <w:rFonts w:ascii="Arial" w:hAnsi="Arial" w:cs="Arial"/>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EC6" w:rsidRPr="00E53B35" w:rsidRDefault="0048203B" w:rsidP="00E53B3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EC6" w:rsidRPr="004778E7" w:rsidRDefault="0048203B" w:rsidP="00767E8B">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DC4" w:rsidRPr="00794B0B" w:rsidRDefault="00B46DC4" w:rsidP="00763E9E">
      <w:r>
        <w:separator/>
      </w:r>
    </w:p>
  </w:footnote>
  <w:footnote w:type="continuationSeparator" w:id="0">
    <w:p w:rsidR="00B46DC4" w:rsidRPr="00794B0B" w:rsidRDefault="00B46DC4" w:rsidP="00763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3B" w:rsidRDefault="0048203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0" w:rsidRDefault="004C6100" w:rsidP="00643581">
    <w:pPr>
      <w:tabs>
        <w:tab w:val="left" w:pos="1440"/>
      </w:tabs>
      <w:ind w:left="5040"/>
      <w:rPr>
        <w:rFonts w:ascii="Arial" w:hAnsi="Arial"/>
      </w:rPr>
    </w:pPr>
    <w:r>
      <w:rPr>
        <w:rFonts w:ascii="Arial" w:hAnsi="Arial"/>
      </w:rPr>
      <w:t>Florida Public Service Commission</w:t>
    </w:r>
  </w:p>
  <w:p w:rsidR="004C6100" w:rsidRDefault="004C6100" w:rsidP="00643581">
    <w:pPr>
      <w:tabs>
        <w:tab w:val="left" w:pos="1440"/>
      </w:tabs>
      <w:ind w:left="5040"/>
      <w:rPr>
        <w:rFonts w:ascii="Arial" w:hAnsi="Arial"/>
      </w:rPr>
    </w:pPr>
    <w:r>
      <w:rPr>
        <w:rFonts w:ascii="Arial" w:hAnsi="Arial"/>
      </w:rPr>
      <w:t xml:space="preserve">Docket No. </w:t>
    </w:r>
    <w:r w:rsidRPr="001E17C6">
      <w:rPr>
        <w:rFonts w:ascii="Arial" w:hAnsi="Arial"/>
      </w:rPr>
      <w:t>130140</w:t>
    </w:r>
    <w:r>
      <w:rPr>
        <w:rFonts w:ascii="Arial" w:hAnsi="Arial"/>
      </w:rPr>
      <w:t>-EI</w:t>
    </w:r>
  </w:p>
  <w:p w:rsidR="004C6100" w:rsidRDefault="004C6100" w:rsidP="00643581">
    <w:pPr>
      <w:tabs>
        <w:tab w:val="left" w:pos="1440"/>
      </w:tabs>
      <w:ind w:left="5040"/>
      <w:rPr>
        <w:rFonts w:ascii="Arial" w:hAnsi="Arial"/>
      </w:rPr>
    </w:pPr>
    <w:r>
      <w:rPr>
        <w:rFonts w:ascii="Arial" w:hAnsi="Arial"/>
      </w:rPr>
      <w:t>GULF POWER COMPANY</w:t>
    </w:r>
  </w:p>
  <w:p w:rsidR="004C6100" w:rsidRDefault="004C6100" w:rsidP="00643581">
    <w:pPr>
      <w:tabs>
        <w:tab w:val="left" w:pos="1440"/>
      </w:tabs>
      <w:ind w:left="5040"/>
      <w:rPr>
        <w:rFonts w:ascii="Arial" w:hAnsi="Arial"/>
      </w:rPr>
    </w:pPr>
    <w:r>
      <w:rPr>
        <w:rFonts w:ascii="Arial" w:hAnsi="Arial"/>
      </w:rPr>
      <w:t>Witness: C</w:t>
    </w:r>
    <w:r w:rsidR="00D31403">
      <w:rPr>
        <w:rFonts w:ascii="Arial" w:hAnsi="Arial"/>
      </w:rPr>
      <w:t>onnie</w:t>
    </w:r>
    <w:r>
      <w:rPr>
        <w:rFonts w:ascii="Arial" w:hAnsi="Arial"/>
      </w:rPr>
      <w:t xml:space="preserve"> J. Erickson</w:t>
    </w:r>
  </w:p>
  <w:p w:rsidR="004C6100" w:rsidRDefault="004C6100" w:rsidP="00643581">
    <w:pPr>
      <w:tabs>
        <w:tab w:val="left" w:pos="1440"/>
      </w:tabs>
      <w:ind w:left="5040"/>
      <w:rPr>
        <w:rFonts w:ascii="Arial" w:hAnsi="Arial"/>
      </w:rPr>
    </w:pPr>
    <w:r>
      <w:rPr>
        <w:rFonts w:ascii="Arial" w:hAnsi="Arial"/>
      </w:rPr>
      <w:t>Exhibit No. ____ (CJE-1)</w:t>
    </w:r>
  </w:p>
  <w:p w:rsidR="004C6100" w:rsidRDefault="0054016F" w:rsidP="00643581">
    <w:pPr>
      <w:tabs>
        <w:tab w:val="left" w:pos="1440"/>
      </w:tabs>
      <w:ind w:left="5040"/>
      <w:rPr>
        <w:rFonts w:ascii="Arial" w:hAnsi="Arial"/>
      </w:rPr>
    </w:pPr>
    <w:r>
      <w:rPr>
        <w:rFonts w:ascii="Arial" w:hAnsi="Arial"/>
      </w:rPr>
      <w:t>Schedule 4</w:t>
    </w:r>
  </w:p>
  <w:p w:rsidR="004C6100" w:rsidRDefault="004C6100" w:rsidP="00643581">
    <w:pPr>
      <w:tabs>
        <w:tab w:val="left" w:pos="1440"/>
      </w:tabs>
      <w:ind w:left="5040"/>
      <w:rPr>
        <w:rFonts w:ascii="Arial" w:hAnsi="Arial"/>
      </w:rPr>
    </w:pPr>
    <w:r>
      <w:rPr>
        <w:rFonts w:ascii="Arial" w:hAnsi="Arial"/>
      </w:rPr>
      <w:t>Page 1 of 1</w:t>
    </w:r>
  </w:p>
  <w:p w:rsidR="004C6100" w:rsidRDefault="004C610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16F" w:rsidRDefault="0054016F" w:rsidP="00643581">
    <w:pPr>
      <w:tabs>
        <w:tab w:val="left" w:pos="1440"/>
      </w:tabs>
      <w:ind w:left="5040"/>
      <w:rPr>
        <w:rFonts w:ascii="Arial" w:hAnsi="Arial"/>
      </w:rPr>
    </w:pPr>
    <w:r>
      <w:rPr>
        <w:rFonts w:ascii="Arial" w:hAnsi="Arial"/>
      </w:rPr>
      <w:t>Florida Public Service Commission</w:t>
    </w:r>
  </w:p>
  <w:p w:rsidR="0054016F" w:rsidRDefault="0054016F" w:rsidP="00293DCF">
    <w:pPr>
      <w:tabs>
        <w:tab w:val="left" w:pos="1440"/>
      </w:tabs>
      <w:ind w:left="5040"/>
      <w:rPr>
        <w:rFonts w:ascii="Arial" w:hAnsi="Arial"/>
      </w:rPr>
    </w:pPr>
    <w:r>
      <w:rPr>
        <w:rFonts w:ascii="Arial" w:hAnsi="Arial"/>
      </w:rPr>
      <w:t xml:space="preserve">Docket No. </w:t>
    </w:r>
    <w:r w:rsidRPr="001E17C6">
      <w:rPr>
        <w:rFonts w:ascii="Arial" w:hAnsi="Arial"/>
      </w:rPr>
      <w:t>130140</w:t>
    </w:r>
    <w:r>
      <w:rPr>
        <w:rFonts w:ascii="Arial" w:hAnsi="Arial"/>
      </w:rPr>
      <w:t>-EI</w:t>
    </w:r>
  </w:p>
  <w:p w:rsidR="0054016F" w:rsidRDefault="0054016F" w:rsidP="00293DCF">
    <w:pPr>
      <w:tabs>
        <w:tab w:val="left" w:pos="1440"/>
      </w:tabs>
      <w:ind w:left="5040"/>
      <w:rPr>
        <w:rFonts w:ascii="Arial" w:hAnsi="Arial"/>
      </w:rPr>
    </w:pPr>
    <w:r>
      <w:rPr>
        <w:rFonts w:ascii="Arial" w:hAnsi="Arial"/>
      </w:rPr>
      <w:t>GULF POWER COMPANY</w:t>
    </w:r>
  </w:p>
  <w:p w:rsidR="0054016F" w:rsidRDefault="0054016F" w:rsidP="00293DCF">
    <w:pPr>
      <w:tabs>
        <w:tab w:val="left" w:pos="1440"/>
      </w:tabs>
      <w:ind w:left="5040"/>
      <w:rPr>
        <w:rFonts w:ascii="Arial" w:hAnsi="Arial"/>
      </w:rPr>
    </w:pPr>
    <w:r>
      <w:rPr>
        <w:rFonts w:ascii="Arial" w:hAnsi="Arial"/>
      </w:rPr>
      <w:t>Witness: C</w:t>
    </w:r>
    <w:r w:rsidR="00D31403">
      <w:rPr>
        <w:rFonts w:ascii="Arial" w:hAnsi="Arial"/>
      </w:rPr>
      <w:t>onnie</w:t>
    </w:r>
    <w:r>
      <w:rPr>
        <w:rFonts w:ascii="Arial" w:hAnsi="Arial"/>
      </w:rPr>
      <w:t xml:space="preserve"> J. Erickson</w:t>
    </w:r>
  </w:p>
  <w:p w:rsidR="0054016F" w:rsidRDefault="0054016F" w:rsidP="00293DCF">
    <w:pPr>
      <w:tabs>
        <w:tab w:val="left" w:pos="1440"/>
      </w:tabs>
      <w:ind w:left="5040"/>
      <w:rPr>
        <w:rFonts w:ascii="Arial" w:hAnsi="Arial"/>
      </w:rPr>
    </w:pPr>
    <w:r>
      <w:rPr>
        <w:rFonts w:ascii="Arial" w:hAnsi="Arial"/>
      </w:rPr>
      <w:t>Exhibit No. ____ (CJE-1)</w:t>
    </w:r>
  </w:p>
  <w:p w:rsidR="0054016F" w:rsidRDefault="0054016F" w:rsidP="00293DCF">
    <w:pPr>
      <w:tabs>
        <w:tab w:val="left" w:pos="1440"/>
      </w:tabs>
      <w:ind w:left="5040"/>
      <w:rPr>
        <w:rFonts w:ascii="Arial" w:hAnsi="Arial"/>
      </w:rPr>
    </w:pPr>
    <w:r>
      <w:rPr>
        <w:rFonts w:ascii="Arial" w:hAnsi="Arial"/>
      </w:rPr>
      <w:t>Schedule 5</w:t>
    </w:r>
  </w:p>
  <w:p w:rsidR="0054016F" w:rsidRDefault="0054016F" w:rsidP="00293DCF">
    <w:pPr>
      <w:tabs>
        <w:tab w:val="left" w:pos="1440"/>
      </w:tabs>
      <w:ind w:left="5040"/>
      <w:rPr>
        <w:rFonts w:ascii="Arial" w:hAnsi="Arial"/>
      </w:rPr>
    </w:pPr>
    <w:r>
      <w:rPr>
        <w:rFonts w:ascii="Arial" w:hAnsi="Arial"/>
      </w:rPr>
      <w:t>Page 1 of 1</w:t>
    </w:r>
  </w:p>
  <w:p w:rsidR="0054016F" w:rsidRDefault="005401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3B" w:rsidRDefault="004820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3B" w:rsidRDefault="004820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0" w:rsidRDefault="004C610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0" w:rsidRDefault="004C6100" w:rsidP="004C6100">
    <w:pPr>
      <w:tabs>
        <w:tab w:val="left" w:pos="1440"/>
      </w:tabs>
      <w:rPr>
        <w:rFonts w:ascii="Arial" w:hAnsi="Arial"/>
      </w:rPr>
    </w:pPr>
  </w:p>
  <w:p w:rsidR="004C6100" w:rsidRDefault="004C610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0" w:rsidRDefault="004C6100" w:rsidP="00643581">
    <w:pPr>
      <w:tabs>
        <w:tab w:val="left" w:pos="1440"/>
      </w:tabs>
      <w:ind w:left="5040"/>
      <w:rPr>
        <w:rFonts w:ascii="Arial" w:hAnsi="Arial"/>
      </w:rPr>
    </w:pPr>
    <w:r>
      <w:rPr>
        <w:rFonts w:ascii="Arial" w:hAnsi="Arial"/>
      </w:rPr>
      <w:t>Florida Public Service Commission</w:t>
    </w:r>
  </w:p>
  <w:p w:rsidR="004C6100" w:rsidRDefault="004C6100" w:rsidP="00643581">
    <w:pPr>
      <w:tabs>
        <w:tab w:val="left" w:pos="1440"/>
      </w:tabs>
      <w:ind w:left="5040"/>
      <w:rPr>
        <w:rFonts w:ascii="Arial" w:hAnsi="Arial"/>
      </w:rPr>
    </w:pPr>
    <w:r>
      <w:rPr>
        <w:rFonts w:ascii="Arial" w:hAnsi="Arial"/>
      </w:rPr>
      <w:t xml:space="preserve">Docket No. </w:t>
    </w:r>
    <w:r w:rsidRPr="001E17C6">
      <w:rPr>
        <w:rFonts w:ascii="Arial" w:hAnsi="Arial"/>
      </w:rPr>
      <w:t>130140</w:t>
    </w:r>
    <w:r>
      <w:rPr>
        <w:rFonts w:ascii="Arial" w:hAnsi="Arial"/>
      </w:rPr>
      <w:t>-EI</w:t>
    </w:r>
  </w:p>
  <w:p w:rsidR="004C6100" w:rsidRDefault="004C6100" w:rsidP="00643581">
    <w:pPr>
      <w:tabs>
        <w:tab w:val="left" w:pos="1440"/>
      </w:tabs>
      <w:ind w:left="5040"/>
      <w:rPr>
        <w:rFonts w:ascii="Arial" w:hAnsi="Arial"/>
      </w:rPr>
    </w:pPr>
    <w:r>
      <w:rPr>
        <w:rFonts w:ascii="Arial" w:hAnsi="Arial"/>
      </w:rPr>
      <w:t>GULF POWER COMPANY</w:t>
    </w:r>
  </w:p>
  <w:p w:rsidR="004C6100" w:rsidRDefault="004C6100" w:rsidP="00643581">
    <w:pPr>
      <w:tabs>
        <w:tab w:val="left" w:pos="1440"/>
      </w:tabs>
      <w:ind w:left="5040"/>
      <w:rPr>
        <w:rFonts w:ascii="Arial" w:hAnsi="Arial"/>
      </w:rPr>
    </w:pPr>
    <w:r>
      <w:rPr>
        <w:rFonts w:ascii="Arial" w:hAnsi="Arial"/>
      </w:rPr>
      <w:t>Witness: C</w:t>
    </w:r>
    <w:r w:rsidR="00D31403">
      <w:rPr>
        <w:rFonts w:ascii="Arial" w:hAnsi="Arial"/>
      </w:rPr>
      <w:t>onnie</w:t>
    </w:r>
    <w:r>
      <w:rPr>
        <w:rFonts w:ascii="Arial" w:hAnsi="Arial"/>
      </w:rPr>
      <w:t xml:space="preserve"> J. Erickson</w:t>
    </w:r>
  </w:p>
  <w:p w:rsidR="004C6100" w:rsidRDefault="004C6100" w:rsidP="00643581">
    <w:pPr>
      <w:tabs>
        <w:tab w:val="left" w:pos="1440"/>
      </w:tabs>
      <w:ind w:left="5040"/>
      <w:rPr>
        <w:rFonts w:ascii="Arial" w:hAnsi="Arial"/>
      </w:rPr>
    </w:pPr>
    <w:r>
      <w:rPr>
        <w:rFonts w:ascii="Arial" w:hAnsi="Arial"/>
      </w:rPr>
      <w:t>Exhibit No. ____ (CJE-1)</w:t>
    </w:r>
  </w:p>
  <w:p w:rsidR="004C6100" w:rsidRDefault="004C6100" w:rsidP="00643581">
    <w:pPr>
      <w:tabs>
        <w:tab w:val="left" w:pos="1440"/>
      </w:tabs>
      <w:ind w:left="5040"/>
      <w:rPr>
        <w:rFonts w:ascii="Arial" w:hAnsi="Arial"/>
      </w:rPr>
    </w:pPr>
    <w:r>
      <w:rPr>
        <w:rFonts w:ascii="Arial" w:hAnsi="Arial"/>
      </w:rPr>
      <w:t>Schedule 1</w:t>
    </w:r>
  </w:p>
  <w:p w:rsidR="004C6100" w:rsidRDefault="004C6100" w:rsidP="00643581">
    <w:pPr>
      <w:tabs>
        <w:tab w:val="left" w:pos="1440"/>
      </w:tabs>
      <w:ind w:left="5040"/>
      <w:rPr>
        <w:rFonts w:ascii="Arial" w:hAnsi="Arial"/>
      </w:rPr>
    </w:pPr>
    <w:r>
      <w:rPr>
        <w:rFonts w:ascii="Arial" w:hAnsi="Arial"/>
      </w:rPr>
      <w:t>Page 2 of 2</w:t>
    </w:r>
  </w:p>
  <w:p w:rsidR="004C6100" w:rsidRDefault="004C610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0" w:rsidRDefault="004C6100" w:rsidP="00643581">
    <w:pPr>
      <w:tabs>
        <w:tab w:val="left" w:pos="1440"/>
      </w:tabs>
      <w:ind w:left="5040"/>
      <w:rPr>
        <w:rFonts w:ascii="Arial" w:hAnsi="Arial"/>
      </w:rPr>
    </w:pPr>
    <w:r>
      <w:rPr>
        <w:rFonts w:ascii="Arial" w:hAnsi="Arial"/>
      </w:rPr>
      <w:t>Florida Public Service Commission</w:t>
    </w:r>
  </w:p>
  <w:p w:rsidR="004C6100" w:rsidRDefault="004C6100" w:rsidP="00643581">
    <w:pPr>
      <w:tabs>
        <w:tab w:val="left" w:pos="1440"/>
      </w:tabs>
      <w:ind w:left="5040"/>
      <w:rPr>
        <w:rFonts w:ascii="Arial" w:hAnsi="Arial"/>
      </w:rPr>
    </w:pPr>
    <w:r>
      <w:rPr>
        <w:rFonts w:ascii="Arial" w:hAnsi="Arial"/>
      </w:rPr>
      <w:t xml:space="preserve">Docket No. </w:t>
    </w:r>
    <w:r w:rsidRPr="001E17C6">
      <w:rPr>
        <w:rFonts w:ascii="Arial" w:hAnsi="Arial"/>
      </w:rPr>
      <w:t>130140</w:t>
    </w:r>
    <w:r>
      <w:rPr>
        <w:rFonts w:ascii="Arial" w:hAnsi="Arial"/>
      </w:rPr>
      <w:t>-EI</w:t>
    </w:r>
  </w:p>
  <w:p w:rsidR="004C6100" w:rsidRDefault="004C6100" w:rsidP="00643581">
    <w:pPr>
      <w:tabs>
        <w:tab w:val="left" w:pos="1440"/>
      </w:tabs>
      <w:ind w:left="5040"/>
      <w:rPr>
        <w:rFonts w:ascii="Arial" w:hAnsi="Arial"/>
      </w:rPr>
    </w:pPr>
    <w:r>
      <w:rPr>
        <w:rFonts w:ascii="Arial" w:hAnsi="Arial"/>
      </w:rPr>
      <w:t>GULF POWER COMPANY</w:t>
    </w:r>
  </w:p>
  <w:p w:rsidR="004C6100" w:rsidRDefault="004C6100" w:rsidP="00643581">
    <w:pPr>
      <w:tabs>
        <w:tab w:val="left" w:pos="1440"/>
      </w:tabs>
      <w:ind w:left="5040"/>
      <w:rPr>
        <w:rFonts w:ascii="Arial" w:hAnsi="Arial"/>
      </w:rPr>
    </w:pPr>
    <w:r>
      <w:rPr>
        <w:rFonts w:ascii="Arial" w:hAnsi="Arial"/>
      </w:rPr>
      <w:t>Witness: C</w:t>
    </w:r>
    <w:r w:rsidR="00D31403">
      <w:rPr>
        <w:rFonts w:ascii="Arial" w:hAnsi="Arial"/>
      </w:rPr>
      <w:t>onnie</w:t>
    </w:r>
    <w:r>
      <w:rPr>
        <w:rFonts w:ascii="Arial" w:hAnsi="Arial"/>
      </w:rPr>
      <w:t xml:space="preserve"> J. Erickson</w:t>
    </w:r>
  </w:p>
  <w:p w:rsidR="004C6100" w:rsidRDefault="004C6100" w:rsidP="00643581">
    <w:pPr>
      <w:tabs>
        <w:tab w:val="left" w:pos="1440"/>
      </w:tabs>
      <w:ind w:left="5040"/>
      <w:rPr>
        <w:rFonts w:ascii="Arial" w:hAnsi="Arial"/>
      </w:rPr>
    </w:pPr>
    <w:r>
      <w:rPr>
        <w:rFonts w:ascii="Arial" w:hAnsi="Arial"/>
      </w:rPr>
      <w:t>Exhibit No. ____ (CJE-1)</w:t>
    </w:r>
  </w:p>
  <w:p w:rsidR="004C6100" w:rsidRDefault="004C6100" w:rsidP="00643581">
    <w:pPr>
      <w:tabs>
        <w:tab w:val="left" w:pos="1440"/>
      </w:tabs>
      <w:ind w:left="5040"/>
      <w:rPr>
        <w:rFonts w:ascii="Arial" w:hAnsi="Arial"/>
      </w:rPr>
    </w:pPr>
    <w:r>
      <w:rPr>
        <w:rFonts w:ascii="Arial" w:hAnsi="Arial"/>
      </w:rPr>
      <w:t>Schedule 1</w:t>
    </w:r>
  </w:p>
  <w:p w:rsidR="004C6100" w:rsidRDefault="004C6100" w:rsidP="00643581">
    <w:pPr>
      <w:tabs>
        <w:tab w:val="left" w:pos="1440"/>
      </w:tabs>
      <w:ind w:left="5040"/>
      <w:rPr>
        <w:rFonts w:ascii="Arial" w:hAnsi="Arial"/>
      </w:rPr>
    </w:pPr>
    <w:r>
      <w:rPr>
        <w:rFonts w:ascii="Arial" w:hAnsi="Arial"/>
      </w:rPr>
      <w:t>Page 1 of 2</w:t>
    </w:r>
  </w:p>
  <w:p w:rsidR="004C6100" w:rsidRDefault="004C610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0" w:rsidRDefault="004C6100" w:rsidP="00643581">
    <w:pPr>
      <w:tabs>
        <w:tab w:val="left" w:pos="1440"/>
      </w:tabs>
      <w:ind w:left="5040"/>
      <w:rPr>
        <w:rFonts w:ascii="Arial" w:hAnsi="Arial"/>
      </w:rPr>
    </w:pPr>
    <w:r>
      <w:rPr>
        <w:rFonts w:ascii="Arial" w:hAnsi="Arial"/>
      </w:rPr>
      <w:t>Florida Public Service Commission</w:t>
    </w:r>
  </w:p>
  <w:p w:rsidR="004C6100" w:rsidRDefault="004C6100" w:rsidP="00643581">
    <w:pPr>
      <w:tabs>
        <w:tab w:val="left" w:pos="1440"/>
      </w:tabs>
      <w:ind w:left="5040"/>
      <w:rPr>
        <w:rFonts w:ascii="Arial" w:hAnsi="Arial"/>
      </w:rPr>
    </w:pPr>
    <w:r>
      <w:rPr>
        <w:rFonts w:ascii="Arial" w:hAnsi="Arial"/>
      </w:rPr>
      <w:t xml:space="preserve">Docket No. </w:t>
    </w:r>
    <w:r w:rsidRPr="001E17C6">
      <w:rPr>
        <w:rFonts w:ascii="Arial" w:hAnsi="Arial"/>
      </w:rPr>
      <w:t>130140</w:t>
    </w:r>
    <w:r>
      <w:rPr>
        <w:rFonts w:ascii="Arial" w:hAnsi="Arial"/>
      </w:rPr>
      <w:t>-EI</w:t>
    </w:r>
  </w:p>
  <w:p w:rsidR="004C6100" w:rsidRDefault="004C6100" w:rsidP="00643581">
    <w:pPr>
      <w:tabs>
        <w:tab w:val="left" w:pos="1440"/>
      </w:tabs>
      <w:ind w:left="5040"/>
      <w:rPr>
        <w:rFonts w:ascii="Arial" w:hAnsi="Arial"/>
      </w:rPr>
    </w:pPr>
    <w:r>
      <w:rPr>
        <w:rFonts w:ascii="Arial" w:hAnsi="Arial"/>
      </w:rPr>
      <w:t>GULF POWER COMPANY</w:t>
    </w:r>
  </w:p>
  <w:p w:rsidR="004C6100" w:rsidRDefault="004C6100" w:rsidP="00643581">
    <w:pPr>
      <w:tabs>
        <w:tab w:val="left" w:pos="1440"/>
      </w:tabs>
      <w:ind w:left="5040"/>
      <w:rPr>
        <w:rFonts w:ascii="Arial" w:hAnsi="Arial"/>
      </w:rPr>
    </w:pPr>
    <w:r>
      <w:rPr>
        <w:rFonts w:ascii="Arial" w:hAnsi="Arial"/>
      </w:rPr>
      <w:t>Witness: C</w:t>
    </w:r>
    <w:r w:rsidR="00D31403">
      <w:rPr>
        <w:rFonts w:ascii="Arial" w:hAnsi="Arial"/>
      </w:rPr>
      <w:t>onnie</w:t>
    </w:r>
    <w:r>
      <w:rPr>
        <w:rFonts w:ascii="Arial" w:hAnsi="Arial"/>
      </w:rPr>
      <w:t xml:space="preserve"> J. Erickson</w:t>
    </w:r>
  </w:p>
  <w:p w:rsidR="004C6100" w:rsidRDefault="004C6100" w:rsidP="00643581">
    <w:pPr>
      <w:tabs>
        <w:tab w:val="left" w:pos="1440"/>
      </w:tabs>
      <w:ind w:left="5040"/>
      <w:rPr>
        <w:rFonts w:ascii="Arial" w:hAnsi="Arial"/>
      </w:rPr>
    </w:pPr>
    <w:r>
      <w:rPr>
        <w:rFonts w:ascii="Arial" w:hAnsi="Arial"/>
      </w:rPr>
      <w:t>Exhibit No. ____ (CJE-1)</w:t>
    </w:r>
  </w:p>
  <w:p w:rsidR="004C6100" w:rsidRDefault="004C6100" w:rsidP="00643581">
    <w:pPr>
      <w:tabs>
        <w:tab w:val="left" w:pos="1440"/>
      </w:tabs>
      <w:ind w:left="5040"/>
      <w:rPr>
        <w:rFonts w:ascii="Arial" w:hAnsi="Arial"/>
      </w:rPr>
    </w:pPr>
    <w:r>
      <w:rPr>
        <w:rFonts w:ascii="Arial" w:hAnsi="Arial"/>
      </w:rPr>
      <w:t>Schedule 2</w:t>
    </w:r>
  </w:p>
  <w:p w:rsidR="004C6100" w:rsidRDefault="004C6100" w:rsidP="00643581">
    <w:pPr>
      <w:tabs>
        <w:tab w:val="left" w:pos="1440"/>
      </w:tabs>
      <w:ind w:left="5040"/>
      <w:rPr>
        <w:rFonts w:ascii="Arial" w:hAnsi="Arial"/>
      </w:rPr>
    </w:pPr>
    <w:r>
      <w:rPr>
        <w:rFonts w:ascii="Arial" w:hAnsi="Arial"/>
      </w:rPr>
      <w:t>Page 1 of 1</w:t>
    </w:r>
  </w:p>
  <w:p w:rsidR="004C6100" w:rsidRDefault="004C610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0" w:rsidRDefault="004C6100" w:rsidP="00643581">
    <w:pPr>
      <w:tabs>
        <w:tab w:val="left" w:pos="1440"/>
        <w:tab w:val="left" w:pos="5040"/>
      </w:tabs>
      <w:ind w:left="5040"/>
      <w:rPr>
        <w:rFonts w:ascii="Arial" w:hAnsi="Arial"/>
      </w:rPr>
    </w:pPr>
    <w:r>
      <w:rPr>
        <w:rFonts w:ascii="Arial" w:hAnsi="Arial"/>
      </w:rPr>
      <w:t>Florida Public Service Commission</w:t>
    </w:r>
  </w:p>
  <w:p w:rsidR="004C6100" w:rsidRDefault="004C6100" w:rsidP="00643581">
    <w:pPr>
      <w:tabs>
        <w:tab w:val="left" w:pos="1440"/>
        <w:tab w:val="left" w:pos="5040"/>
      </w:tabs>
      <w:ind w:left="5040"/>
      <w:rPr>
        <w:rFonts w:ascii="Arial" w:hAnsi="Arial"/>
      </w:rPr>
    </w:pPr>
    <w:r>
      <w:rPr>
        <w:rFonts w:ascii="Arial" w:hAnsi="Arial"/>
      </w:rPr>
      <w:t xml:space="preserve">Docket No. </w:t>
    </w:r>
    <w:r w:rsidRPr="001E17C6">
      <w:rPr>
        <w:rFonts w:ascii="Arial" w:hAnsi="Arial"/>
      </w:rPr>
      <w:t>130140</w:t>
    </w:r>
    <w:r>
      <w:rPr>
        <w:rFonts w:ascii="Arial" w:hAnsi="Arial"/>
      </w:rPr>
      <w:t>-EI</w:t>
    </w:r>
  </w:p>
  <w:p w:rsidR="004C6100" w:rsidRDefault="004C6100" w:rsidP="00643581">
    <w:pPr>
      <w:tabs>
        <w:tab w:val="left" w:pos="1440"/>
        <w:tab w:val="left" w:pos="5040"/>
      </w:tabs>
      <w:ind w:left="5040"/>
      <w:rPr>
        <w:rFonts w:ascii="Arial" w:hAnsi="Arial"/>
      </w:rPr>
    </w:pPr>
    <w:r>
      <w:rPr>
        <w:rFonts w:ascii="Arial" w:hAnsi="Arial"/>
      </w:rPr>
      <w:t>GULF POWER COMPANY</w:t>
    </w:r>
  </w:p>
  <w:p w:rsidR="004C6100" w:rsidRDefault="004C6100" w:rsidP="00643581">
    <w:pPr>
      <w:tabs>
        <w:tab w:val="left" w:pos="1440"/>
        <w:tab w:val="left" w:pos="5040"/>
      </w:tabs>
      <w:ind w:left="5040"/>
      <w:rPr>
        <w:rFonts w:ascii="Arial" w:hAnsi="Arial"/>
      </w:rPr>
    </w:pPr>
    <w:r>
      <w:rPr>
        <w:rFonts w:ascii="Arial" w:hAnsi="Arial"/>
      </w:rPr>
      <w:t>Witness: C</w:t>
    </w:r>
    <w:r w:rsidR="00D31403">
      <w:rPr>
        <w:rFonts w:ascii="Arial" w:hAnsi="Arial"/>
      </w:rPr>
      <w:t>onnie</w:t>
    </w:r>
    <w:r>
      <w:rPr>
        <w:rFonts w:ascii="Arial" w:hAnsi="Arial"/>
      </w:rPr>
      <w:t xml:space="preserve"> J. Erickson</w:t>
    </w:r>
  </w:p>
  <w:p w:rsidR="004C6100" w:rsidRDefault="004C6100" w:rsidP="00643581">
    <w:pPr>
      <w:tabs>
        <w:tab w:val="left" w:pos="1440"/>
        <w:tab w:val="left" w:pos="5040"/>
      </w:tabs>
      <w:ind w:left="5040"/>
      <w:rPr>
        <w:rFonts w:ascii="Arial" w:hAnsi="Arial"/>
      </w:rPr>
    </w:pPr>
    <w:r>
      <w:rPr>
        <w:rFonts w:ascii="Arial" w:hAnsi="Arial"/>
      </w:rPr>
      <w:t>Exhibit No. ____ (CJE-1)</w:t>
    </w:r>
  </w:p>
  <w:p w:rsidR="004C6100" w:rsidRDefault="004C6100" w:rsidP="00643581">
    <w:pPr>
      <w:tabs>
        <w:tab w:val="left" w:pos="1440"/>
        <w:tab w:val="left" w:pos="5040"/>
      </w:tabs>
      <w:ind w:left="5040"/>
      <w:rPr>
        <w:rFonts w:ascii="Arial" w:hAnsi="Arial"/>
      </w:rPr>
    </w:pPr>
    <w:r>
      <w:rPr>
        <w:rFonts w:ascii="Arial" w:hAnsi="Arial"/>
      </w:rPr>
      <w:t>Schedule 3</w:t>
    </w:r>
  </w:p>
  <w:p w:rsidR="004C6100" w:rsidRDefault="004C6100" w:rsidP="00643581">
    <w:pPr>
      <w:tabs>
        <w:tab w:val="left" w:pos="1440"/>
        <w:tab w:val="left" w:pos="5040"/>
      </w:tabs>
      <w:ind w:left="5040"/>
      <w:rPr>
        <w:rFonts w:ascii="Arial" w:hAnsi="Arial"/>
      </w:rPr>
    </w:pPr>
    <w:r>
      <w:rPr>
        <w:rFonts w:ascii="Arial" w:hAnsi="Arial"/>
      </w:rPr>
      <w:t>Page 1 of 1</w:t>
    </w:r>
  </w:p>
  <w:p w:rsidR="004C6100" w:rsidRDefault="004C6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83494"/>
    <w:multiLevelType w:val="hybridMultilevel"/>
    <w:tmpl w:val="F71E069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45B02"/>
    <w:multiLevelType w:val="hybridMultilevel"/>
    <w:tmpl w:val="8646A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
  <w:docVars>
    <w:docVar w:name="85TrailerDate" w:val="0"/>
    <w:docVar w:name="85TrailerDateField" w:val="0"/>
    <w:docVar w:name="85TrailerDraft" w:val="0"/>
    <w:docVar w:name="85TrailerTime" w:val="0"/>
    <w:docVar w:name="85TrailerType" w:val="102"/>
    <w:docVar w:name="MPDocID" w:val="WPB_ACTIVE 5518392.1"/>
    <w:docVar w:name="MPDocIDTemplate" w:val="%l |%n|.%v|"/>
    <w:docVar w:name="MPDocIDTemplateDefault" w:val="%l |%n|.%v|"/>
    <w:docVar w:name="NewDocStampType" w:val="7"/>
    <w:docVar w:name="zzmpFixed_MacPacVersion" w:val="9.0"/>
  </w:docVars>
  <w:rsids>
    <w:rsidRoot w:val="00763E9E"/>
    <w:rsid w:val="00000DE4"/>
    <w:rsid w:val="00004EB9"/>
    <w:rsid w:val="00017FCE"/>
    <w:rsid w:val="00022F05"/>
    <w:rsid w:val="00023284"/>
    <w:rsid w:val="00036079"/>
    <w:rsid w:val="000369FD"/>
    <w:rsid w:val="00042A7B"/>
    <w:rsid w:val="000466DD"/>
    <w:rsid w:val="0005120F"/>
    <w:rsid w:val="00064847"/>
    <w:rsid w:val="000656DB"/>
    <w:rsid w:val="00066B71"/>
    <w:rsid w:val="000674B4"/>
    <w:rsid w:val="00070274"/>
    <w:rsid w:val="00073583"/>
    <w:rsid w:val="00075A12"/>
    <w:rsid w:val="0009235A"/>
    <w:rsid w:val="000A7F94"/>
    <w:rsid w:val="000B100C"/>
    <w:rsid w:val="000D2241"/>
    <w:rsid w:val="000E4C92"/>
    <w:rsid w:val="000E67EF"/>
    <w:rsid w:val="000F6427"/>
    <w:rsid w:val="00100D1B"/>
    <w:rsid w:val="001012EE"/>
    <w:rsid w:val="00102907"/>
    <w:rsid w:val="00103144"/>
    <w:rsid w:val="00104A83"/>
    <w:rsid w:val="00110D45"/>
    <w:rsid w:val="00115998"/>
    <w:rsid w:val="001204BE"/>
    <w:rsid w:val="00122ED0"/>
    <w:rsid w:val="0012313F"/>
    <w:rsid w:val="001238CC"/>
    <w:rsid w:val="001302CA"/>
    <w:rsid w:val="00130823"/>
    <w:rsid w:val="0013101F"/>
    <w:rsid w:val="001357FD"/>
    <w:rsid w:val="00142884"/>
    <w:rsid w:val="001508FD"/>
    <w:rsid w:val="00152D1A"/>
    <w:rsid w:val="001573FB"/>
    <w:rsid w:val="0015783F"/>
    <w:rsid w:val="00157DEA"/>
    <w:rsid w:val="00164A60"/>
    <w:rsid w:val="00166F12"/>
    <w:rsid w:val="001702D7"/>
    <w:rsid w:val="0017263C"/>
    <w:rsid w:val="00182C30"/>
    <w:rsid w:val="00185B9C"/>
    <w:rsid w:val="00191738"/>
    <w:rsid w:val="00195833"/>
    <w:rsid w:val="001B32CB"/>
    <w:rsid w:val="001B57F5"/>
    <w:rsid w:val="001B6F03"/>
    <w:rsid w:val="001D062A"/>
    <w:rsid w:val="001D7FDE"/>
    <w:rsid w:val="001E11FB"/>
    <w:rsid w:val="001E20F2"/>
    <w:rsid w:val="001E6AAF"/>
    <w:rsid w:val="001E73DB"/>
    <w:rsid w:val="001E7A62"/>
    <w:rsid w:val="001F2B1E"/>
    <w:rsid w:val="001F45A8"/>
    <w:rsid w:val="001F55AD"/>
    <w:rsid w:val="001F608F"/>
    <w:rsid w:val="001F7380"/>
    <w:rsid w:val="002121F5"/>
    <w:rsid w:val="00214D2F"/>
    <w:rsid w:val="00236ECF"/>
    <w:rsid w:val="00240C8A"/>
    <w:rsid w:val="00240E86"/>
    <w:rsid w:val="00245DE9"/>
    <w:rsid w:val="00251D5D"/>
    <w:rsid w:val="0026239E"/>
    <w:rsid w:val="00265AB6"/>
    <w:rsid w:val="00276442"/>
    <w:rsid w:val="00285094"/>
    <w:rsid w:val="00293DCF"/>
    <w:rsid w:val="002A02C8"/>
    <w:rsid w:val="002A6BF2"/>
    <w:rsid w:val="002C3B95"/>
    <w:rsid w:val="002D12D2"/>
    <w:rsid w:val="002D45A7"/>
    <w:rsid w:val="002D5FF3"/>
    <w:rsid w:val="002F1CD3"/>
    <w:rsid w:val="002F6376"/>
    <w:rsid w:val="00303DA8"/>
    <w:rsid w:val="00304E4B"/>
    <w:rsid w:val="00314F0C"/>
    <w:rsid w:val="00327C88"/>
    <w:rsid w:val="00337415"/>
    <w:rsid w:val="00360970"/>
    <w:rsid w:val="00360EA2"/>
    <w:rsid w:val="0036608B"/>
    <w:rsid w:val="003731A4"/>
    <w:rsid w:val="00380169"/>
    <w:rsid w:val="00380B0B"/>
    <w:rsid w:val="00384452"/>
    <w:rsid w:val="003855C9"/>
    <w:rsid w:val="003862D3"/>
    <w:rsid w:val="003910C4"/>
    <w:rsid w:val="0039124D"/>
    <w:rsid w:val="00392FF9"/>
    <w:rsid w:val="003933D3"/>
    <w:rsid w:val="003956F4"/>
    <w:rsid w:val="003A5B8B"/>
    <w:rsid w:val="003B2CFF"/>
    <w:rsid w:val="003B35F3"/>
    <w:rsid w:val="003B5E0B"/>
    <w:rsid w:val="003B73AA"/>
    <w:rsid w:val="003D1E44"/>
    <w:rsid w:val="003D3ABC"/>
    <w:rsid w:val="003D6237"/>
    <w:rsid w:val="003E1064"/>
    <w:rsid w:val="003E2B26"/>
    <w:rsid w:val="003F3145"/>
    <w:rsid w:val="0040074C"/>
    <w:rsid w:val="00406639"/>
    <w:rsid w:val="00406BBF"/>
    <w:rsid w:val="00411507"/>
    <w:rsid w:val="00421033"/>
    <w:rsid w:val="00422B7C"/>
    <w:rsid w:val="00424BAA"/>
    <w:rsid w:val="004266B3"/>
    <w:rsid w:val="00427D81"/>
    <w:rsid w:val="00445EBB"/>
    <w:rsid w:val="00453F7B"/>
    <w:rsid w:val="00455032"/>
    <w:rsid w:val="0045616A"/>
    <w:rsid w:val="004621F9"/>
    <w:rsid w:val="00467067"/>
    <w:rsid w:val="004709B0"/>
    <w:rsid w:val="004744DE"/>
    <w:rsid w:val="00476C8F"/>
    <w:rsid w:val="0048203B"/>
    <w:rsid w:val="004830BF"/>
    <w:rsid w:val="00484C46"/>
    <w:rsid w:val="004865DF"/>
    <w:rsid w:val="00497FEE"/>
    <w:rsid w:val="004A047C"/>
    <w:rsid w:val="004B0742"/>
    <w:rsid w:val="004B08C0"/>
    <w:rsid w:val="004B785A"/>
    <w:rsid w:val="004C5F36"/>
    <w:rsid w:val="004C6100"/>
    <w:rsid w:val="004C7B21"/>
    <w:rsid w:val="004E3781"/>
    <w:rsid w:val="004F10FA"/>
    <w:rsid w:val="004F25A3"/>
    <w:rsid w:val="004F28C5"/>
    <w:rsid w:val="00517CD7"/>
    <w:rsid w:val="00522496"/>
    <w:rsid w:val="0052323E"/>
    <w:rsid w:val="00525534"/>
    <w:rsid w:val="0054016F"/>
    <w:rsid w:val="00552558"/>
    <w:rsid w:val="00566AFD"/>
    <w:rsid w:val="00576C55"/>
    <w:rsid w:val="0058197B"/>
    <w:rsid w:val="00582D89"/>
    <w:rsid w:val="005859E2"/>
    <w:rsid w:val="00586E15"/>
    <w:rsid w:val="005928C1"/>
    <w:rsid w:val="005A5856"/>
    <w:rsid w:val="005A6154"/>
    <w:rsid w:val="005B0EE5"/>
    <w:rsid w:val="005B2BC4"/>
    <w:rsid w:val="005B2F75"/>
    <w:rsid w:val="005B43CD"/>
    <w:rsid w:val="005B4FED"/>
    <w:rsid w:val="005B6E31"/>
    <w:rsid w:val="005E7785"/>
    <w:rsid w:val="005F0790"/>
    <w:rsid w:val="005F5111"/>
    <w:rsid w:val="00605F98"/>
    <w:rsid w:val="006152B5"/>
    <w:rsid w:val="00620594"/>
    <w:rsid w:val="00620F1F"/>
    <w:rsid w:val="00623EBF"/>
    <w:rsid w:val="0063074B"/>
    <w:rsid w:val="00643581"/>
    <w:rsid w:val="006450C1"/>
    <w:rsid w:val="00645F81"/>
    <w:rsid w:val="006550BA"/>
    <w:rsid w:val="0065619D"/>
    <w:rsid w:val="006710B2"/>
    <w:rsid w:val="006A1524"/>
    <w:rsid w:val="006A47F8"/>
    <w:rsid w:val="006B5441"/>
    <w:rsid w:val="006D4025"/>
    <w:rsid w:val="006D5754"/>
    <w:rsid w:val="006F1507"/>
    <w:rsid w:val="006F2B46"/>
    <w:rsid w:val="007022CE"/>
    <w:rsid w:val="007031FB"/>
    <w:rsid w:val="00706269"/>
    <w:rsid w:val="007135A6"/>
    <w:rsid w:val="007252B7"/>
    <w:rsid w:val="00727CB2"/>
    <w:rsid w:val="00732441"/>
    <w:rsid w:val="00736077"/>
    <w:rsid w:val="00740A79"/>
    <w:rsid w:val="00744EC0"/>
    <w:rsid w:val="00753629"/>
    <w:rsid w:val="007538FE"/>
    <w:rsid w:val="007571F9"/>
    <w:rsid w:val="007627AB"/>
    <w:rsid w:val="00763E9E"/>
    <w:rsid w:val="00770075"/>
    <w:rsid w:val="00776B25"/>
    <w:rsid w:val="00780F71"/>
    <w:rsid w:val="0078685C"/>
    <w:rsid w:val="007922EB"/>
    <w:rsid w:val="00792DAD"/>
    <w:rsid w:val="0079372A"/>
    <w:rsid w:val="007A1D80"/>
    <w:rsid w:val="007A37A8"/>
    <w:rsid w:val="007B176D"/>
    <w:rsid w:val="007B4F58"/>
    <w:rsid w:val="007C30A0"/>
    <w:rsid w:val="007C384B"/>
    <w:rsid w:val="007D1067"/>
    <w:rsid w:val="007D4F30"/>
    <w:rsid w:val="007D5817"/>
    <w:rsid w:val="007D5DE8"/>
    <w:rsid w:val="007E3EA9"/>
    <w:rsid w:val="007F7F4A"/>
    <w:rsid w:val="00804076"/>
    <w:rsid w:val="0081124C"/>
    <w:rsid w:val="0083014B"/>
    <w:rsid w:val="00834216"/>
    <w:rsid w:val="008513FB"/>
    <w:rsid w:val="00854C95"/>
    <w:rsid w:val="00870345"/>
    <w:rsid w:val="008803F6"/>
    <w:rsid w:val="0088162F"/>
    <w:rsid w:val="00882F3C"/>
    <w:rsid w:val="00895D48"/>
    <w:rsid w:val="008A4AF5"/>
    <w:rsid w:val="008A6BBB"/>
    <w:rsid w:val="008B7042"/>
    <w:rsid w:val="008B760F"/>
    <w:rsid w:val="008B7801"/>
    <w:rsid w:val="008C4D7A"/>
    <w:rsid w:val="008D0D6B"/>
    <w:rsid w:val="008D2A0F"/>
    <w:rsid w:val="008D3DE2"/>
    <w:rsid w:val="008E0B32"/>
    <w:rsid w:val="008E1C9C"/>
    <w:rsid w:val="008F42D0"/>
    <w:rsid w:val="008F4394"/>
    <w:rsid w:val="008F67C9"/>
    <w:rsid w:val="00904758"/>
    <w:rsid w:val="00910712"/>
    <w:rsid w:val="00913AEF"/>
    <w:rsid w:val="00915F82"/>
    <w:rsid w:val="00917A7B"/>
    <w:rsid w:val="00922298"/>
    <w:rsid w:val="009247BE"/>
    <w:rsid w:val="00926F6F"/>
    <w:rsid w:val="0093080E"/>
    <w:rsid w:val="00932219"/>
    <w:rsid w:val="00942B2C"/>
    <w:rsid w:val="009704CB"/>
    <w:rsid w:val="009712EE"/>
    <w:rsid w:val="00981454"/>
    <w:rsid w:val="009922A0"/>
    <w:rsid w:val="00992A7F"/>
    <w:rsid w:val="009A0A82"/>
    <w:rsid w:val="009B2215"/>
    <w:rsid w:val="009B31C9"/>
    <w:rsid w:val="009C5F8F"/>
    <w:rsid w:val="009D09F9"/>
    <w:rsid w:val="009E120C"/>
    <w:rsid w:val="009E3DF3"/>
    <w:rsid w:val="009F0B1E"/>
    <w:rsid w:val="009F0C49"/>
    <w:rsid w:val="009F7397"/>
    <w:rsid w:val="00A01A5F"/>
    <w:rsid w:val="00A06DBD"/>
    <w:rsid w:val="00A1042E"/>
    <w:rsid w:val="00A108FB"/>
    <w:rsid w:val="00A12850"/>
    <w:rsid w:val="00A17B0A"/>
    <w:rsid w:val="00A2027B"/>
    <w:rsid w:val="00A3019C"/>
    <w:rsid w:val="00A30D75"/>
    <w:rsid w:val="00A52532"/>
    <w:rsid w:val="00A53D42"/>
    <w:rsid w:val="00A56602"/>
    <w:rsid w:val="00A60B1A"/>
    <w:rsid w:val="00A65566"/>
    <w:rsid w:val="00A66892"/>
    <w:rsid w:val="00A73019"/>
    <w:rsid w:val="00A755CE"/>
    <w:rsid w:val="00A756A6"/>
    <w:rsid w:val="00A76840"/>
    <w:rsid w:val="00A77A8A"/>
    <w:rsid w:val="00A80A5D"/>
    <w:rsid w:val="00A852E1"/>
    <w:rsid w:val="00A8763F"/>
    <w:rsid w:val="00A901BC"/>
    <w:rsid w:val="00AB0357"/>
    <w:rsid w:val="00AB3349"/>
    <w:rsid w:val="00AC4352"/>
    <w:rsid w:val="00AC65BD"/>
    <w:rsid w:val="00AD0360"/>
    <w:rsid w:val="00AD07A5"/>
    <w:rsid w:val="00AD16DD"/>
    <w:rsid w:val="00AD6A85"/>
    <w:rsid w:val="00AE6B90"/>
    <w:rsid w:val="00AF2DAE"/>
    <w:rsid w:val="00AF31C5"/>
    <w:rsid w:val="00B17F0F"/>
    <w:rsid w:val="00B22D43"/>
    <w:rsid w:val="00B432BB"/>
    <w:rsid w:val="00B435B8"/>
    <w:rsid w:val="00B46DC4"/>
    <w:rsid w:val="00B47098"/>
    <w:rsid w:val="00B53385"/>
    <w:rsid w:val="00B53776"/>
    <w:rsid w:val="00B541F7"/>
    <w:rsid w:val="00B563EF"/>
    <w:rsid w:val="00B61777"/>
    <w:rsid w:val="00B66C60"/>
    <w:rsid w:val="00B66F08"/>
    <w:rsid w:val="00B727EE"/>
    <w:rsid w:val="00B73AE9"/>
    <w:rsid w:val="00B914BD"/>
    <w:rsid w:val="00BA36D0"/>
    <w:rsid w:val="00BB0794"/>
    <w:rsid w:val="00BB189A"/>
    <w:rsid w:val="00BB2C31"/>
    <w:rsid w:val="00BB5973"/>
    <w:rsid w:val="00BC537A"/>
    <w:rsid w:val="00BC79FD"/>
    <w:rsid w:val="00BD6629"/>
    <w:rsid w:val="00BF5D64"/>
    <w:rsid w:val="00C01983"/>
    <w:rsid w:val="00C14A26"/>
    <w:rsid w:val="00C14D2B"/>
    <w:rsid w:val="00C22988"/>
    <w:rsid w:val="00C24DD1"/>
    <w:rsid w:val="00C261CD"/>
    <w:rsid w:val="00C32320"/>
    <w:rsid w:val="00C436C2"/>
    <w:rsid w:val="00C43B97"/>
    <w:rsid w:val="00C44A34"/>
    <w:rsid w:val="00C45A9F"/>
    <w:rsid w:val="00C4718E"/>
    <w:rsid w:val="00C53FA4"/>
    <w:rsid w:val="00C63E12"/>
    <w:rsid w:val="00C64502"/>
    <w:rsid w:val="00C807E5"/>
    <w:rsid w:val="00C875DF"/>
    <w:rsid w:val="00C96883"/>
    <w:rsid w:val="00CD1EF1"/>
    <w:rsid w:val="00CE4730"/>
    <w:rsid w:val="00D04A97"/>
    <w:rsid w:val="00D06AF2"/>
    <w:rsid w:val="00D124BB"/>
    <w:rsid w:val="00D23A5B"/>
    <w:rsid w:val="00D31403"/>
    <w:rsid w:val="00D33D23"/>
    <w:rsid w:val="00D40BAF"/>
    <w:rsid w:val="00D43DB5"/>
    <w:rsid w:val="00D454A9"/>
    <w:rsid w:val="00D52540"/>
    <w:rsid w:val="00D53E55"/>
    <w:rsid w:val="00D541AF"/>
    <w:rsid w:val="00D54607"/>
    <w:rsid w:val="00D624CF"/>
    <w:rsid w:val="00D75AE4"/>
    <w:rsid w:val="00D81577"/>
    <w:rsid w:val="00D82B5A"/>
    <w:rsid w:val="00D951E9"/>
    <w:rsid w:val="00D968F8"/>
    <w:rsid w:val="00DB2E63"/>
    <w:rsid w:val="00DB4864"/>
    <w:rsid w:val="00DC7268"/>
    <w:rsid w:val="00DD051B"/>
    <w:rsid w:val="00DD51A7"/>
    <w:rsid w:val="00DE63A4"/>
    <w:rsid w:val="00DF1111"/>
    <w:rsid w:val="00DF5A5D"/>
    <w:rsid w:val="00E003CB"/>
    <w:rsid w:val="00E02651"/>
    <w:rsid w:val="00E20144"/>
    <w:rsid w:val="00E32205"/>
    <w:rsid w:val="00E4611A"/>
    <w:rsid w:val="00E47729"/>
    <w:rsid w:val="00E62D0A"/>
    <w:rsid w:val="00E71FDF"/>
    <w:rsid w:val="00E81A07"/>
    <w:rsid w:val="00E82251"/>
    <w:rsid w:val="00E8661E"/>
    <w:rsid w:val="00E93E7A"/>
    <w:rsid w:val="00E97C12"/>
    <w:rsid w:val="00EA033D"/>
    <w:rsid w:val="00EA0E2B"/>
    <w:rsid w:val="00EA2834"/>
    <w:rsid w:val="00EA413E"/>
    <w:rsid w:val="00EC5219"/>
    <w:rsid w:val="00EE0C76"/>
    <w:rsid w:val="00EE3021"/>
    <w:rsid w:val="00EE6984"/>
    <w:rsid w:val="00EE79BD"/>
    <w:rsid w:val="00EF23E5"/>
    <w:rsid w:val="00EF31CF"/>
    <w:rsid w:val="00EF7963"/>
    <w:rsid w:val="00F02253"/>
    <w:rsid w:val="00F111B1"/>
    <w:rsid w:val="00F17B3E"/>
    <w:rsid w:val="00F32338"/>
    <w:rsid w:val="00F40620"/>
    <w:rsid w:val="00F5543C"/>
    <w:rsid w:val="00F577DC"/>
    <w:rsid w:val="00F6069E"/>
    <w:rsid w:val="00F66BDF"/>
    <w:rsid w:val="00F70776"/>
    <w:rsid w:val="00F72644"/>
    <w:rsid w:val="00F76181"/>
    <w:rsid w:val="00F76DA6"/>
    <w:rsid w:val="00F779F8"/>
    <w:rsid w:val="00F80B37"/>
    <w:rsid w:val="00F81607"/>
    <w:rsid w:val="00F82683"/>
    <w:rsid w:val="00F83E81"/>
    <w:rsid w:val="00F92B17"/>
    <w:rsid w:val="00FA4CF8"/>
    <w:rsid w:val="00FC0F75"/>
    <w:rsid w:val="00FC3EF6"/>
    <w:rsid w:val="00FD0AE2"/>
    <w:rsid w:val="00FD44C3"/>
    <w:rsid w:val="00FD593F"/>
    <w:rsid w:val="00FE1298"/>
    <w:rsid w:val="00FE5F6B"/>
    <w:rsid w:val="00FF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ne number"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E9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2D1A"/>
    <w:pPr>
      <w:widowControl w:val="0"/>
      <w:spacing w:after="240"/>
      <w:ind w:firstLine="720"/>
    </w:pPr>
  </w:style>
  <w:style w:type="character" w:customStyle="1" w:styleId="BodyTextChar">
    <w:name w:val="Body Text Char"/>
    <w:basedOn w:val="DefaultParagraphFont"/>
    <w:link w:val="BodyText"/>
    <w:rsid w:val="00AF31C5"/>
    <w:rPr>
      <w:sz w:val="24"/>
      <w:szCs w:val="24"/>
      <w:lang w:eastAsia="en-US"/>
    </w:rPr>
  </w:style>
  <w:style w:type="paragraph" w:customStyle="1" w:styleId="BodyTextContinued">
    <w:name w:val="Body Text Continued"/>
    <w:basedOn w:val="BodyText"/>
    <w:next w:val="BodyText"/>
    <w:rsid w:val="00152D1A"/>
    <w:pPr>
      <w:ind w:firstLine="0"/>
    </w:pPr>
  </w:style>
  <w:style w:type="paragraph" w:styleId="Quote">
    <w:name w:val="Quote"/>
    <w:basedOn w:val="Normal"/>
    <w:next w:val="BodyTextContinued"/>
    <w:link w:val="QuoteChar"/>
    <w:qFormat/>
    <w:rsid w:val="00152D1A"/>
    <w:pPr>
      <w:spacing w:after="240"/>
      <w:ind w:left="1440" w:right="1440"/>
    </w:pPr>
  </w:style>
  <w:style w:type="character" w:customStyle="1" w:styleId="QuoteChar">
    <w:name w:val="Quote Char"/>
    <w:basedOn w:val="DefaultParagraphFont"/>
    <w:link w:val="Quote"/>
    <w:rsid w:val="00AF31C5"/>
    <w:rPr>
      <w:sz w:val="24"/>
      <w:lang w:eastAsia="en-US"/>
    </w:rPr>
  </w:style>
  <w:style w:type="paragraph" w:styleId="Header">
    <w:name w:val="header"/>
    <w:basedOn w:val="Normal"/>
    <w:link w:val="HeaderChar"/>
    <w:rsid w:val="00152D1A"/>
    <w:pPr>
      <w:tabs>
        <w:tab w:val="center" w:pos="4680"/>
        <w:tab w:val="right" w:pos="9360"/>
      </w:tabs>
    </w:pPr>
  </w:style>
  <w:style w:type="character" w:customStyle="1" w:styleId="HeaderChar">
    <w:name w:val="Header Char"/>
    <w:basedOn w:val="DefaultParagraphFont"/>
    <w:link w:val="Header"/>
    <w:rsid w:val="00AF31C5"/>
    <w:rPr>
      <w:sz w:val="24"/>
      <w:szCs w:val="24"/>
      <w:lang w:eastAsia="en-US"/>
    </w:rPr>
  </w:style>
  <w:style w:type="paragraph" w:styleId="Footer">
    <w:name w:val="footer"/>
    <w:basedOn w:val="Normal"/>
    <w:link w:val="FooterChar"/>
    <w:uiPriority w:val="99"/>
    <w:rsid w:val="00152D1A"/>
    <w:pPr>
      <w:tabs>
        <w:tab w:val="center" w:pos="4680"/>
        <w:tab w:val="right" w:pos="9360"/>
      </w:tabs>
    </w:pPr>
  </w:style>
  <w:style w:type="character" w:customStyle="1" w:styleId="FooterChar">
    <w:name w:val="Footer Char"/>
    <w:basedOn w:val="DefaultParagraphFont"/>
    <w:link w:val="Footer"/>
    <w:uiPriority w:val="99"/>
    <w:rsid w:val="00AF31C5"/>
    <w:rPr>
      <w:sz w:val="24"/>
      <w:szCs w:val="24"/>
      <w:lang w:eastAsia="en-US"/>
    </w:rPr>
  </w:style>
  <w:style w:type="character" w:styleId="PageNumber">
    <w:name w:val="page number"/>
    <w:basedOn w:val="DefaultParagraphFont"/>
    <w:rsid w:val="00152D1A"/>
  </w:style>
  <w:style w:type="paragraph" w:styleId="ListParagraph">
    <w:name w:val="List Paragraph"/>
    <w:basedOn w:val="Normal"/>
    <w:uiPriority w:val="34"/>
    <w:qFormat/>
    <w:rsid w:val="00763E9E"/>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rsid w:val="00763E9E"/>
    <w:rPr>
      <w:sz w:val="16"/>
      <w:szCs w:val="16"/>
    </w:rPr>
  </w:style>
  <w:style w:type="paragraph" w:styleId="CommentText">
    <w:name w:val="annotation text"/>
    <w:basedOn w:val="Normal"/>
    <w:link w:val="CommentTextChar1"/>
    <w:uiPriority w:val="99"/>
    <w:rsid w:val="00763E9E"/>
    <w:rPr>
      <w:sz w:val="20"/>
    </w:rPr>
  </w:style>
  <w:style w:type="character" w:customStyle="1" w:styleId="CommentTextChar">
    <w:name w:val="Comment Text Char"/>
    <w:basedOn w:val="DefaultParagraphFont"/>
    <w:rsid w:val="00763E9E"/>
    <w:rPr>
      <w:lang w:eastAsia="en-US"/>
    </w:rPr>
  </w:style>
  <w:style w:type="character" w:customStyle="1" w:styleId="CommentTextChar1">
    <w:name w:val="Comment Text Char1"/>
    <w:basedOn w:val="DefaultParagraphFont"/>
    <w:link w:val="CommentText"/>
    <w:uiPriority w:val="99"/>
    <w:rsid w:val="00763E9E"/>
    <w:rPr>
      <w:lang w:eastAsia="en-US"/>
    </w:rPr>
  </w:style>
  <w:style w:type="paragraph" w:customStyle="1" w:styleId="s2">
    <w:name w:val="s2"/>
    <w:basedOn w:val="Normal"/>
    <w:rsid w:val="00763E9E"/>
    <w:pPr>
      <w:spacing w:before="100" w:beforeAutospacing="1" w:after="100" w:afterAutospacing="1"/>
    </w:pPr>
    <w:rPr>
      <w:rFonts w:eastAsiaTheme="minorHAnsi"/>
      <w:szCs w:val="24"/>
    </w:rPr>
  </w:style>
  <w:style w:type="character" w:customStyle="1" w:styleId="s4">
    <w:name w:val="s4"/>
    <w:basedOn w:val="DefaultParagraphFont"/>
    <w:rsid w:val="00763E9E"/>
  </w:style>
  <w:style w:type="character" w:styleId="LineNumber">
    <w:name w:val="line number"/>
    <w:basedOn w:val="DefaultParagraphFont"/>
    <w:uiPriority w:val="99"/>
    <w:rsid w:val="00763E9E"/>
    <w:rPr>
      <w:rFonts w:ascii="Times New Roman" w:hAnsi="Times New Roman"/>
      <w:sz w:val="24"/>
    </w:rPr>
  </w:style>
  <w:style w:type="paragraph" w:styleId="BalloonText">
    <w:name w:val="Balloon Text"/>
    <w:basedOn w:val="Normal"/>
    <w:link w:val="BalloonTextChar"/>
    <w:rsid w:val="00763E9E"/>
    <w:rPr>
      <w:rFonts w:ascii="Tahoma" w:hAnsi="Tahoma" w:cs="Tahoma"/>
      <w:sz w:val="16"/>
      <w:szCs w:val="16"/>
    </w:rPr>
  </w:style>
  <w:style w:type="character" w:customStyle="1" w:styleId="BalloonTextChar">
    <w:name w:val="Balloon Text Char"/>
    <w:basedOn w:val="DefaultParagraphFont"/>
    <w:link w:val="BalloonText"/>
    <w:rsid w:val="00763E9E"/>
    <w:rPr>
      <w:rFonts w:ascii="Tahoma" w:hAnsi="Tahoma" w:cs="Tahoma"/>
      <w:sz w:val="16"/>
      <w:szCs w:val="16"/>
      <w:lang w:eastAsia="en-US"/>
    </w:rPr>
  </w:style>
  <w:style w:type="character" w:customStyle="1" w:styleId="zzmpTrailerItem">
    <w:name w:val="zzmpTrailerItem"/>
    <w:basedOn w:val="DefaultParagraphFont"/>
    <w:rsid w:val="00763E9E"/>
    <w:rPr>
      <w:rFonts w:ascii="Times New Roman" w:hAnsi="Times New Roman" w:cs="Times New Roman"/>
      <w:dstrike w:val="0"/>
      <w:noProof/>
      <w:color w:val="auto"/>
      <w:spacing w:val="0"/>
      <w:position w:val="0"/>
      <w:sz w:val="16"/>
      <w:szCs w:val="16"/>
      <w:u w:val="none"/>
      <w:effect w:val="antsRed"/>
      <w:vertAlign w:val="baseline"/>
    </w:rPr>
  </w:style>
  <w:style w:type="paragraph" w:styleId="CommentSubject">
    <w:name w:val="annotation subject"/>
    <w:basedOn w:val="CommentText"/>
    <w:next w:val="CommentText"/>
    <w:link w:val="CommentSubjectChar"/>
    <w:rsid w:val="000D2241"/>
    <w:rPr>
      <w:b/>
      <w:bCs/>
    </w:rPr>
  </w:style>
  <w:style w:type="character" w:customStyle="1" w:styleId="CommentSubjectChar">
    <w:name w:val="Comment Subject Char"/>
    <w:basedOn w:val="CommentTextChar1"/>
    <w:link w:val="CommentSubject"/>
    <w:rsid w:val="000D2241"/>
    <w:rPr>
      <w:b/>
      <w:bCs/>
      <w:lang w:eastAsia="en-US"/>
    </w:rPr>
  </w:style>
  <w:style w:type="paragraph" w:styleId="Revision">
    <w:name w:val="Revision"/>
    <w:hidden/>
    <w:uiPriority w:val="99"/>
    <w:semiHidden/>
    <w:rsid w:val="00AB3349"/>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ne number"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E9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2D1A"/>
    <w:pPr>
      <w:widowControl w:val="0"/>
      <w:spacing w:after="240"/>
      <w:ind w:firstLine="720"/>
    </w:pPr>
  </w:style>
  <w:style w:type="character" w:customStyle="1" w:styleId="BodyTextChar">
    <w:name w:val="Body Text Char"/>
    <w:basedOn w:val="DefaultParagraphFont"/>
    <w:link w:val="BodyText"/>
    <w:rsid w:val="00AF31C5"/>
    <w:rPr>
      <w:sz w:val="24"/>
      <w:szCs w:val="24"/>
      <w:lang w:eastAsia="en-US"/>
    </w:rPr>
  </w:style>
  <w:style w:type="paragraph" w:customStyle="1" w:styleId="BodyTextContinued">
    <w:name w:val="Body Text Continued"/>
    <w:basedOn w:val="BodyText"/>
    <w:next w:val="BodyText"/>
    <w:rsid w:val="00152D1A"/>
    <w:pPr>
      <w:ind w:firstLine="0"/>
    </w:pPr>
  </w:style>
  <w:style w:type="paragraph" w:styleId="Quote">
    <w:name w:val="Quote"/>
    <w:basedOn w:val="Normal"/>
    <w:next w:val="BodyTextContinued"/>
    <w:link w:val="QuoteChar"/>
    <w:qFormat/>
    <w:rsid w:val="00152D1A"/>
    <w:pPr>
      <w:spacing w:after="240"/>
      <w:ind w:left="1440" w:right="1440"/>
    </w:pPr>
  </w:style>
  <w:style w:type="character" w:customStyle="1" w:styleId="QuoteChar">
    <w:name w:val="Quote Char"/>
    <w:basedOn w:val="DefaultParagraphFont"/>
    <w:link w:val="Quote"/>
    <w:rsid w:val="00AF31C5"/>
    <w:rPr>
      <w:sz w:val="24"/>
      <w:lang w:eastAsia="en-US"/>
    </w:rPr>
  </w:style>
  <w:style w:type="paragraph" w:styleId="Header">
    <w:name w:val="header"/>
    <w:basedOn w:val="Normal"/>
    <w:link w:val="HeaderChar"/>
    <w:rsid w:val="00152D1A"/>
    <w:pPr>
      <w:tabs>
        <w:tab w:val="center" w:pos="4680"/>
        <w:tab w:val="right" w:pos="9360"/>
      </w:tabs>
    </w:pPr>
  </w:style>
  <w:style w:type="character" w:customStyle="1" w:styleId="HeaderChar">
    <w:name w:val="Header Char"/>
    <w:basedOn w:val="DefaultParagraphFont"/>
    <w:link w:val="Header"/>
    <w:rsid w:val="00AF31C5"/>
    <w:rPr>
      <w:sz w:val="24"/>
      <w:szCs w:val="24"/>
      <w:lang w:eastAsia="en-US"/>
    </w:rPr>
  </w:style>
  <w:style w:type="paragraph" w:styleId="Footer">
    <w:name w:val="footer"/>
    <w:basedOn w:val="Normal"/>
    <w:link w:val="FooterChar"/>
    <w:uiPriority w:val="99"/>
    <w:rsid w:val="00152D1A"/>
    <w:pPr>
      <w:tabs>
        <w:tab w:val="center" w:pos="4680"/>
        <w:tab w:val="right" w:pos="9360"/>
      </w:tabs>
    </w:pPr>
  </w:style>
  <w:style w:type="character" w:customStyle="1" w:styleId="FooterChar">
    <w:name w:val="Footer Char"/>
    <w:basedOn w:val="DefaultParagraphFont"/>
    <w:link w:val="Footer"/>
    <w:uiPriority w:val="99"/>
    <w:rsid w:val="00AF31C5"/>
    <w:rPr>
      <w:sz w:val="24"/>
      <w:szCs w:val="24"/>
      <w:lang w:eastAsia="en-US"/>
    </w:rPr>
  </w:style>
  <w:style w:type="character" w:styleId="PageNumber">
    <w:name w:val="page number"/>
    <w:basedOn w:val="DefaultParagraphFont"/>
    <w:rsid w:val="00152D1A"/>
  </w:style>
  <w:style w:type="paragraph" w:styleId="ListParagraph">
    <w:name w:val="List Paragraph"/>
    <w:basedOn w:val="Normal"/>
    <w:uiPriority w:val="34"/>
    <w:qFormat/>
    <w:rsid w:val="00763E9E"/>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rsid w:val="00763E9E"/>
    <w:rPr>
      <w:sz w:val="16"/>
      <w:szCs w:val="16"/>
    </w:rPr>
  </w:style>
  <w:style w:type="paragraph" w:styleId="CommentText">
    <w:name w:val="annotation text"/>
    <w:basedOn w:val="Normal"/>
    <w:link w:val="CommentTextChar1"/>
    <w:uiPriority w:val="99"/>
    <w:rsid w:val="00763E9E"/>
    <w:rPr>
      <w:sz w:val="20"/>
    </w:rPr>
  </w:style>
  <w:style w:type="character" w:customStyle="1" w:styleId="CommentTextChar">
    <w:name w:val="Comment Text Char"/>
    <w:basedOn w:val="DefaultParagraphFont"/>
    <w:rsid w:val="00763E9E"/>
    <w:rPr>
      <w:lang w:eastAsia="en-US"/>
    </w:rPr>
  </w:style>
  <w:style w:type="character" w:customStyle="1" w:styleId="CommentTextChar1">
    <w:name w:val="Comment Text Char1"/>
    <w:basedOn w:val="DefaultParagraphFont"/>
    <w:link w:val="CommentText"/>
    <w:uiPriority w:val="99"/>
    <w:rsid w:val="00763E9E"/>
    <w:rPr>
      <w:lang w:eastAsia="en-US"/>
    </w:rPr>
  </w:style>
  <w:style w:type="paragraph" w:customStyle="1" w:styleId="s2">
    <w:name w:val="s2"/>
    <w:basedOn w:val="Normal"/>
    <w:rsid w:val="00763E9E"/>
    <w:pPr>
      <w:spacing w:before="100" w:beforeAutospacing="1" w:after="100" w:afterAutospacing="1"/>
    </w:pPr>
    <w:rPr>
      <w:rFonts w:eastAsiaTheme="minorHAnsi"/>
      <w:szCs w:val="24"/>
    </w:rPr>
  </w:style>
  <w:style w:type="character" w:customStyle="1" w:styleId="s4">
    <w:name w:val="s4"/>
    <w:basedOn w:val="DefaultParagraphFont"/>
    <w:rsid w:val="00763E9E"/>
  </w:style>
  <w:style w:type="character" w:styleId="LineNumber">
    <w:name w:val="line number"/>
    <w:basedOn w:val="DefaultParagraphFont"/>
    <w:uiPriority w:val="99"/>
    <w:rsid w:val="00763E9E"/>
    <w:rPr>
      <w:rFonts w:ascii="Times New Roman" w:hAnsi="Times New Roman"/>
      <w:sz w:val="24"/>
    </w:rPr>
  </w:style>
  <w:style w:type="paragraph" w:styleId="BalloonText">
    <w:name w:val="Balloon Text"/>
    <w:basedOn w:val="Normal"/>
    <w:link w:val="BalloonTextChar"/>
    <w:rsid w:val="00763E9E"/>
    <w:rPr>
      <w:rFonts w:ascii="Tahoma" w:hAnsi="Tahoma" w:cs="Tahoma"/>
      <w:sz w:val="16"/>
      <w:szCs w:val="16"/>
    </w:rPr>
  </w:style>
  <w:style w:type="character" w:customStyle="1" w:styleId="BalloonTextChar">
    <w:name w:val="Balloon Text Char"/>
    <w:basedOn w:val="DefaultParagraphFont"/>
    <w:link w:val="BalloonText"/>
    <w:rsid w:val="00763E9E"/>
    <w:rPr>
      <w:rFonts w:ascii="Tahoma" w:hAnsi="Tahoma" w:cs="Tahoma"/>
      <w:sz w:val="16"/>
      <w:szCs w:val="16"/>
      <w:lang w:eastAsia="en-US"/>
    </w:rPr>
  </w:style>
  <w:style w:type="character" w:customStyle="1" w:styleId="zzmpTrailerItem">
    <w:name w:val="zzmpTrailerItem"/>
    <w:basedOn w:val="DefaultParagraphFont"/>
    <w:rsid w:val="00763E9E"/>
    <w:rPr>
      <w:rFonts w:ascii="Times New Roman" w:hAnsi="Times New Roman" w:cs="Times New Roman"/>
      <w:dstrike w:val="0"/>
      <w:noProof/>
      <w:color w:val="auto"/>
      <w:spacing w:val="0"/>
      <w:position w:val="0"/>
      <w:sz w:val="16"/>
      <w:szCs w:val="16"/>
      <w:u w:val="none"/>
      <w:effect w:val="antsRed"/>
      <w:vertAlign w:val="baseline"/>
    </w:rPr>
  </w:style>
  <w:style w:type="paragraph" w:styleId="CommentSubject">
    <w:name w:val="annotation subject"/>
    <w:basedOn w:val="CommentText"/>
    <w:next w:val="CommentText"/>
    <w:link w:val="CommentSubjectChar"/>
    <w:rsid w:val="000D2241"/>
    <w:rPr>
      <w:b/>
      <w:bCs/>
    </w:rPr>
  </w:style>
  <w:style w:type="character" w:customStyle="1" w:styleId="CommentSubjectChar">
    <w:name w:val="Comment Subject Char"/>
    <w:basedOn w:val="CommentTextChar1"/>
    <w:link w:val="CommentSubject"/>
    <w:rsid w:val="000D2241"/>
    <w:rPr>
      <w:b/>
      <w:bCs/>
      <w:lang w:eastAsia="en-US"/>
    </w:rPr>
  </w:style>
  <w:style w:type="paragraph" w:styleId="Revision">
    <w:name w:val="Revision"/>
    <w:hidden/>
    <w:uiPriority w:val="99"/>
    <w:semiHidden/>
    <w:rsid w:val="00AB334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21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F69E-7420-4CC4-A24F-795BB57A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5436</Words>
  <Characters>29507</Characters>
  <Application>Microsoft Office Word</Application>
  <DocSecurity>0</DocSecurity>
  <Lines>245</Lines>
  <Paragraphs>69</Paragraphs>
  <ScaleCrop>false</ScaleCrop>
  <Company/>
  <LinksUpToDate>false</LinksUpToDate>
  <CharactersWithSpaces>34874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2013-07-30T20:37:00Z</dcterms:created>
  <dcterms:modified xsi:type="dcterms:W3CDTF">2013-07-30T20:37:00Z</dcterms:modified>
</cp:coreProperties>
</file>