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BE4FD5">
            <w:pPr>
              <w:jc w:val="center"/>
            </w:pPr>
            <w:r>
              <w:rPr>
                <w:noProof/>
              </w:rPr>
              <w:drawing>
                <wp:inline distT="0" distB="0" distL="0" distR="0" wp14:anchorId="33D14D9B" wp14:editId="7F9AF87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25F63">
            <w:pPr>
              <w:pStyle w:val="MemoHeading"/>
            </w:pPr>
            <w:bookmarkStart w:id="1" w:name="FilingDate"/>
            <w:r>
              <w:t>April 2,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125F63" w:rsidRDefault="00125F63">
            <w:pPr>
              <w:pStyle w:val="MemoHeading"/>
            </w:pPr>
            <w:bookmarkStart w:id="2" w:name="From"/>
            <w:r>
              <w:t>Division of Accounting and Finance (</w:t>
            </w:r>
            <w:r w:rsidR="00636744">
              <w:t>Norris, Fletcher</w:t>
            </w:r>
            <w:r>
              <w:t>)</w:t>
            </w:r>
          </w:p>
          <w:p w:rsidR="00125F63" w:rsidRPr="00125F63" w:rsidRDefault="00125F63" w:rsidP="00125F63">
            <w:r>
              <w:t>Division of Economics (Ortega, Hudson)</w:t>
            </w:r>
          </w:p>
          <w:p w:rsidR="007C0528" w:rsidRDefault="00125F63">
            <w:pPr>
              <w:pStyle w:val="MemoHeading"/>
            </w:pPr>
            <w:r>
              <w:t>Office of the General Counsel (Barrera)</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125F63">
            <w:pPr>
              <w:pStyle w:val="MemoHeadingRe"/>
            </w:pPr>
            <w:bookmarkStart w:id="3" w:name="Re"/>
            <w:r>
              <w:t>Docket No. 150069-WS – Settlement proposal for possible overearnings by Southlake Utilities, Inc. in Lake County.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125F63">
            <w:pPr>
              <w:pStyle w:val="MemoHeading"/>
            </w:pPr>
            <w:bookmarkStart w:id="4" w:name="AgendaDate"/>
            <w:r>
              <w:t>04/16/15</w:t>
            </w:r>
            <w:bookmarkEnd w:id="4"/>
            <w:r w:rsidR="007C0528">
              <w:t xml:space="preserve"> – </w:t>
            </w:r>
            <w:bookmarkStart w:id="5" w:name="PermittedStatus"/>
            <w:r>
              <w:t xml:space="preserve">Regular Agenda – </w:t>
            </w:r>
            <w:r w:rsidR="0062308F">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Default="00125F6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PREHEARING OFFICER:</w:t>
            </w:r>
          </w:p>
        </w:tc>
        <w:tc>
          <w:tcPr>
            <w:tcW w:w="5785" w:type="dxa"/>
            <w:tcBorders>
              <w:top w:val="nil"/>
              <w:left w:val="nil"/>
              <w:bottom w:val="nil"/>
              <w:right w:val="nil"/>
            </w:tcBorders>
            <w:shd w:val="clear" w:color="auto" w:fill="auto"/>
          </w:tcPr>
          <w:p w:rsidR="007C0528" w:rsidRDefault="00125F6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8" w:name="CriticalDatesLabel"/>
            <w:r>
              <w:rPr>
                <w:b/>
              </w:rPr>
              <w:t>CRITICAL DATES:</w:t>
            </w:r>
            <w:bookmarkEnd w:id="8"/>
          </w:p>
        </w:tc>
        <w:tc>
          <w:tcPr>
            <w:tcW w:w="5785" w:type="dxa"/>
            <w:tcBorders>
              <w:top w:val="nil"/>
              <w:left w:val="nil"/>
              <w:bottom w:val="nil"/>
              <w:right w:val="nil"/>
            </w:tcBorders>
            <w:shd w:val="clear" w:color="auto" w:fill="auto"/>
          </w:tcPr>
          <w:p w:rsidR="007C0528" w:rsidRDefault="00125F6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r>
              <w:rPr>
                <w:b/>
              </w:rP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25F63">
            <w:pPr>
              <w:pStyle w:val="MemoHeading"/>
            </w:pPr>
            <w:bookmarkStart w:id="10" w:name="SpecialInstructions"/>
            <w:r>
              <w:t>None</w:t>
            </w:r>
            <w:bookmarkEnd w:id="10"/>
          </w:p>
        </w:tc>
      </w:tr>
    </w:tbl>
    <w:p w:rsidR="007C0528" w:rsidRPr="00EA044D" w:rsidRDefault="007C0528">
      <w:pPr>
        <w:pStyle w:val="BodyText"/>
        <w:rPr>
          <w:u w:val="single"/>
        </w:rPr>
      </w:pPr>
    </w:p>
    <w:p w:rsidR="00EA044D" w:rsidRPr="00EA044D" w:rsidRDefault="00EA044D">
      <w:pPr>
        <w:pStyle w:val="RecommendationMajorSectionHeading"/>
      </w:pPr>
      <w:bookmarkStart w:id="11" w:name="RecToC"/>
      <w:bookmarkEnd w:id="11"/>
      <w:r w:rsidRPr="00EA044D">
        <w:t>Case Background</w:t>
      </w:r>
    </w:p>
    <w:p w:rsidR="00EA2273" w:rsidRDefault="00EA044D" w:rsidP="00D62F83">
      <w:pPr>
        <w:pStyle w:val="RecommendationMajorSectionHeading"/>
        <w:ind w:firstLine="720"/>
        <w:jc w:val="both"/>
        <w:rPr>
          <w:b w:val="0"/>
          <w:u w:val="none"/>
        </w:rPr>
      </w:pPr>
      <w:r w:rsidRPr="00EA044D">
        <w:rPr>
          <w:b w:val="0"/>
          <w:u w:val="none"/>
        </w:rPr>
        <w:t>Southlake</w:t>
      </w:r>
      <w:r w:rsidR="00A83DCB">
        <w:rPr>
          <w:b w:val="0"/>
          <w:u w:val="none"/>
        </w:rPr>
        <w:t xml:space="preserve"> Utilities, Inc. (Southlake or U</w:t>
      </w:r>
      <w:r w:rsidRPr="00EA044D">
        <w:rPr>
          <w:b w:val="0"/>
          <w:u w:val="none"/>
        </w:rPr>
        <w:t>tility) is a Class B utility providing water and wastewater service to approximately 2,</w:t>
      </w:r>
      <w:r w:rsidR="00BE4FD5">
        <w:rPr>
          <w:b w:val="0"/>
          <w:u w:val="none"/>
        </w:rPr>
        <w:t>800</w:t>
      </w:r>
      <w:r w:rsidRPr="00EA044D">
        <w:rPr>
          <w:b w:val="0"/>
          <w:u w:val="none"/>
        </w:rPr>
        <w:t xml:space="preserve"> water and 2,</w:t>
      </w:r>
      <w:r w:rsidR="00BE4FD5">
        <w:rPr>
          <w:b w:val="0"/>
          <w:u w:val="none"/>
        </w:rPr>
        <w:t>664</w:t>
      </w:r>
      <w:r w:rsidRPr="00EA044D">
        <w:rPr>
          <w:b w:val="0"/>
          <w:u w:val="none"/>
        </w:rPr>
        <w:t xml:space="preserve"> wastewater customers in Lake </w:t>
      </w:r>
      <w:proofErr w:type="gramStart"/>
      <w:r w:rsidRPr="00EA044D">
        <w:rPr>
          <w:b w:val="0"/>
          <w:u w:val="none"/>
        </w:rPr>
        <w:t>County.</w:t>
      </w:r>
      <w:proofErr w:type="gramEnd"/>
      <w:r w:rsidRPr="00EA044D">
        <w:rPr>
          <w:b w:val="0"/>
          <w:u w:val="none"/>
        </w:rPr>
        <w:t xml:space="preserve">  Water and wastewater rates were last established for this utility in </w:t>
      </w:r>
      <w:r>
        <w:rPr>
          <w:b w:val="0"/>
          <w:u w:val="none"/>
        </w:rPr>
        <w:t>2008</w:t>
      </w:r>
      <w:r w:rsidR="00BE4FD5">
        <w:rPr>
          <w:b w:val="0"/>
          <w:u w:val="none"/>
        </w:rPr>
        <w:t>.</w:t>
      </w:r>
      <w:r w:rsidRPr="00EA044D">
        <w:rPr>
          <w:rStyle w:val="FootnoteReference"/>
          <w:b w:val="0"/>
          <w:u w:val="none"/>
        </w:rPr>
        <w:footnoteReference w:id="1"/>
      </w:r>
    </w:p>
    <w:p w:rsidR="00BE4FD5" w:rsidRDefault="0062308F" w:rsidP="00BE4FD5">
      <w:pPr>
        <w:pStyle w:val="BodyText"/>
      </w:pPr>
      <w:r w:rsidRPr="00A83DCB">
        <w:t>S</w:t>
      </w:r>
      <w:r w:rsidRPr="00512AF2">
        <w:t xml:space="preserve">taff’s review of the 2012 Annual Report for </w:t>
      </w:r>
      <w:r>
        <w:t xml:space="preserve">Southlake, filed </w:t>
      </w:r>
      <w:r w:rsidR="005B3BFE" w:rsidRPr="005B3BFE">
        <w:t>April 25,</w:t>
      </w:r>
      <w:r w:rsidRPr="005B3BFE">
        <w:t xml:space="preserve"> 2013, reveale</w:t>
      </w:r>
      <w:r w:rsidRPr="00512AF2">
        <w:t>d possible overearnings</w:t>
      </w:r>
      <w:r>
        <w:t xml:space="preserve">.  </w:t>
      </w:r>
      <w:r w:rsidR="00BE4FD5" w:rsidRPr="00A83DCB">
        <w:t xml:space="preserve">On </w:t>
      </w:r>
      <w:r w:rsidR="00CD02FF">
        <w:t xml:space="preserve">November </w:t>
      </w:r>
      <w:r w:rsidR="00512AF2" w:rsidRPr="00A83DCB">
        <w:t>1</w:t>
      </w:r>
      <w:r w:rsidR="00BE4FD5" w:rsidRPr="00A83DCB">
        <w:t>,</w:t>
      </w:r>
      <w:r w:rsidR="00512AF2" w:rsidRPr="00A83DCB">
        <w:t xml:space="preserve"> 2013</w:t>
      </w:r>
      <w:r w:rsidR="002C53C9">
        <w:t>,</w:t>
      </w:r>
      <w:r w:rsidR="00BE4FD5" w:rsidRPr="00A83DCB">
        <w:t xml:space="preserve"> the Commission approved a pass-through </w:t>
      </w:r>
      <w:r w:rsidR="00512AF2" w:rsidRPr="00A83DCB">
        <w:t xml:space="preserve">and 4-year </w:t>
      </w:r>
      <w:r w:rsidR="00BE4FD5" w:rsidRPr="00A83DCB">
        <w:t>rate</w:t>
      </w:r>
      <w:r w:rsidR="00512AF2" w:rsidRPr="00A83DCB">
        <w:t xml:space="preserve"> reduction</w:t>
      </w:r>
      <w:r w:rsidR="00BE4FD5" w:rsidRPr="00A83DCB">
        <w:t xml:space="preserve"> adjustment</w:t>
      </w:r>
      <w:r>
        <w:t>,</w:t>
      </w:r>
      <w:r w:rsidR="00BE4FD5" w:rsidRPr="00A83DCB">
        <w:t xml:space="preserve"> which represente</w:t>
      </w:r>
      <w:r w:rsidR="00BE4FD5" w:rsidRPr="00E91EB6">
        <w:t>d a $</w:t>
      </w:r>
      <w:r w:rsidR="00E91EB6" w:rsidRPr="00E91EB6">
        <w:t>34,497</w:t>
      </w:r>
      <w:r w:rsidR="002C53C9">
        <w:t>-</w:t>
      </w:r>
      <w:r w:rsidR="00BE4FD5" w:rsidRPr="00E91EB6">
        <w:t>reve</w:t>
      </w:r>
      <w:r w:rsidR="00BE4FD5" w:rsidRPr="00A83DCB">
        <w:t xml:space="preserve">nue </w:t>
      </w:r>
      <w:r w:rsidR="00A83DCB" w:rsidRPr="00A83DCB">
        <w:t>de</w:t>
      </w:r>
      <w:r w:rsidR="00BE4FD5" w:rsidRPr="00A83DCB">
        <w:t>crease</w:t>
      </w:r>
      <w:r w:rsidR="00E91EB6">
        <w:t xml:space="preserve"> for each system</w:t>
      </w:r>
      <w:r w:rsidR="00BE4FD5" w:rsidRPr="00A83DCB">
        <w:t xml:space="preserve">.  </w:t>
      </w:r>
      <w:r w:rsidR="004B22F6">
        <w:t xml:space="preserve">  </w:t>
      </w:r>
      <w:r w:rsidR="00BE4FD5" w:rsidRPr="00512AF2">
        <w:t xml:space="preserve">Subsequently, staff engaged in discussions with the Utility regarding these possible overearnings.  </w:t>
      </w:r>
      <w:r w:rsidR="00CD02FF">
        <w:t xml:space="preserve">Since those initial discussions, staff completed its earnings analysis based on </w:t>
      </w:r>
      <w:r w:rsidR="002C53C9">
        <w:t xml:space="preserve">the </w:t>
      </w:r>
      <w:r w:rsidR="002C53C9">
        <w:lastRenderedPageBreak/>
        <w:t xml:space="preserve">Utility’s </w:t>
      </w:r>
      <w:r w:rsidR="00CD02FF">
        <w:t xml:space="preserve">numerous </w:t>
      </w:r>
      <w:r w:rsidR="002C53C9">
        <w:t xml:space="preserve">responses to </w:t>
      </w:r>
      <w:r w:rsidR="009C3D13">
        <w:t xml:space="preserve">data requests, </w:t>
      </w:r>
      <w:r w:rsidR="00CD02FF">
        <w:t>as well as Southlake’s 2013 Annual Report</w:t>
      </w:r>
      <w:r>
        <w:t xml:space="preserve">, filed </w:t>
      </w:r>
      <w:r w:rsidR="0060087D" w:rsidRPr="0060087D">
        <w:t>April 25,</w:t>
      </w:r>
      <w:r w:rsidRPr="0060087D">
        <w:t xml:space="preserve"> 201</w:t>
      </w:r>
      <w:r>
        <w:t>4</w:t>
      </w:r>
      <w:r w:rsidR="00CD02FF">
        <w:t xml:space="preserve">.  </w:t>
      </w:r>
      <w:r w:rsidR="009C3D13">
        <w:t>During</w:t>
      </w:r>
      <w:r w:rsidR="00CD02FF">
        <w:t xml:space="preserve"> staff’s earning</w:t>
      </w:r>
      <w:r w:rsidR="00CD02FF" w:rsidRPr="005B3BFE">
        <w:t>s</w:t>
      </w:r>
      <w:r w:rsidRPr="005B3BFE">
        <w:t>’</w:t>
      </w:r>
      <w:r w:rsidR="00CD02FF" w:rsidRPr="005B3BFE">
        <w:t xml:space="preserve"> anal</w:t>
      </w:r>
      <w:r w:rsidR="00CD02FF">
        <w:t xml:space="preserve">ysis, </w:t>
      </w:r>
      <w:r w:rsidR="00BE4FD5" w:rsidRPr="00512AF2">
        <w:t>the Office of Public Counsel</w:t>
      </w:r>
      <w:r w:rsidR="00CD02FF">
        <w:t xml:space="preserve"> participated in informal meetings regarding the Utility’s possible overearnings.  </w:t>
      </w:r>
      <w:r w:rsidR="00BE4FD5" w:rsidRPr="00A83DCB">
        <w:t xml:space="preserve">In a letter dated </w:t>
      </w:r>
      <w:r w:rsidR="00A83DCB">
        <w:t>February 25</w:t>
      </w:r>
      <w:r w:rsidR="00A83DCB" w:rsidRPr="00125F63">
        <w:t>, 201</w:t>
      </w:r>
      <w:r w:rsidR="00A83DCB">
        <w:t>5</w:t>
      </w:r>
      <w:r w:rsidR="00BE4FD5" w:rsidRPr="00A83DCB">
        <w:t xml:space="preserve">, </w:t>
      </w:r>
      <w:r w:rsidR="00A83DCB">
        <w:t>Southlake</w:t>
      </w:r>
      <w:r w:rsidR="00BE4FD5" w:rsidRPr="00A83DCB">
        <w:t xml:space="preserve"> proposed a settlement offer to addr</w:t>
      </w:r>
      <w:r w:rsidR="004B22F6">
        <w:t xml:space="preserve">ess the possible overearnings.  </w:t>
      </w:r>
      <w:r w:rsidR="00A83DCB">
        <w:t>Southlake</w:t>
      </w:r>
      <w:r w:rsidR="00B411AA">
        <w:t xml:space="preserve"> </w:t>
      </w:r>
      <w:r w:rsidR="00BE4FD5" w:rsidRPr="00A83DCB">
        <w:t xml:space="preserve">proposed to </w:t>
      </w:r>
      <w:r w:rsidR="00BE4FD5" w:rsidRPr="004B22F6">
        <w:t>refund</w:t>
      </w:r>
      <w:r w:rsidR="004B22F6">
        <w:t xml:space="preserve"> total </w:t>
      </w:r>
      <w:r w:rsidR="002C53C9">
        <w:t xml:space="preserve">possible </w:t>
      </w:r>
      <w:r w:rsidR="004B22F6">
        <w:t xml:space="preserve">overearnings in the amount </w:t>
      </w:r>
      <w:r w:rsidR="0094507F">
        <w:t xml:space="preserve">of </w:t>
      </w:r>
      <w:r w:rsidR="0094507F" w:rsidRPr="004B22F6">
        <w:t>$</w:t>
      </w:r>
      <w:r w:rsidR="004B22F6" w:rsidRPr="004B22F6">
        <w:t>233,076</w:t>
      </w:r>
      <w:r w:rsidR="004B22F6">
        <w:t xml:space="preserve"> for water and $8,387 for wastewater</w:t>
      </w:r>
      <w:r w:rsidR="00BE4FD5" w:rsidRPr="004B22F6">
        <w:t>.  Further,</w:t>
      </w:r>
      <w:r w:rsidR="004B22F6" w:rsidRPr="004B22F6">
        <w:t xml:space="preserve"> the</w:t>
      </w:r>
      <w:r w:rsidR="004B22F6">
        <w:t xml:space="preserve"> Utility also proposed to reduce rates by </w:t>
      </w:r>
      <w:r w:rsidR="004B22F6" w:rsidRPr="004B22F6">
        <w:t>21.47 percent for water and 0.73 percent for wastewater.</w:t>
      </w:r>
      <w:r w:rsidR="004B22F6">
        <w:t xml:space="preserve"> </w:t>
      </w:r>
      <w:r w:rsidR="00BE4FD5">
        <w:t xml:space="preserve"> The Utility’s proposed settlement is attached to this recommendation as Attachment A.</w:t>
      </w:r>
    </w:p>
    <w:p w:rsidR="00BE4FD5" w:rsidRDefault="00BE4FD5" w:rsidP="00BE4FD5">
      <w:pPr>
        <w:pStyle w:val="BodyText"/>
      </w:pPr>
      <w:r>
        <w:t>The purpose of this recommendation is to present the settlement proposal to the Commission for approval.  The Commission has jurisdiction pursuant to Sections 367.081, 367.082, and 367.121, Florida Statutes.</w:t>
      </w:r>
    </w:p>
    <w:p w:rsidR="00BE4FD5" w:rsidRDefault="00BE4FD5" w:rsidP="00BE4FD5">
      <w:pPr>
        <w:pStyle w:val="BodyText"/>
      </w:pPr>
    </w:p>
    <w:p w:rsidR="00BE4FD5" w:rsidRPr="00BE4FD5" w:rsidRDefault="00BE4FD5" w:rsidP="00BE4FD5">
      <w:pPr>
        <w:pStyle w:val="BodyText"/>
        <w:sectPr w:rsidR="00BE4FD5" w:rsidRPr="00BE4FD5">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125F63" w:rsidRDefault="00125F63">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BC4988">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BC4988">
        <w:rPr>
          <w:noProof/>
        </w:rPr>
        <w:instrText>1</w:instrText>
      </w:r>
      <w:r>
        <w:fldChar w:fldCharType="end"/>
      </w:r>
      <w:r>
        <w:tab/>
        <w:instrText xml:space="preserve"> (Norris, Ortega)" \l 1 </w:instrText>
      </w:r>
      <w:r>
        <w:fldChar w:fldCharType="end"/>
      </w:r>
      <w:r>
        <w:t> </w:t>
      </w:r>
    </w:p>
    <w:p w:rsidR="00125F63" w:rsidRDefault="00125F63">
      <w:pPr>
        <w:pStyle w:val="BodyText"/>
      </w:pPr>
      <w:r>
        <w:t> Should the Commission accept the settlement offer proposed by Southlake Utilities, Inc.?</w:t>
      </w:r>
    </w:p>
    <w:p w:rsidR="00125F63" w:rsidRDefault="00125F63">
      <w:pPr>
        <w:pStyle w:val="IssueSubsectionHeading"/>
        <w:rPr>
          <w:vanish/>
          <w:specVanish/>
        </w:rPr>
      </w:pPr>
      <w:r>
        <w:rPr>
          <w:b/>
          <w:u w:val="single"/>
        </w:rPr>
        <w:t>Recommendation</w:t>
      </w:r>
      <w:r>
        <w:t>: </w:t>
      </w:r>
    </w:p>
    <w:p w:rsidR="00125F63" w:rsidRDefault="00125F63" w:rsidP="00BE4FD5">
      <w:pPr>
        <w:pStyle w:val="Default"/>
        <w:spacing w:after="240"/>
        <w:jc w:val="both"/>
      </w:pPr>
      <w:r>
        <w:t> </w:t>
      </w:r>
      <w:r w:rsidR="00CD02FF">
        <w:t xml:space="preserve">Yes.  </w:t>
      </w:r>
      <w:r w:rsidRPr="00125F63">
        <w:t xml:space="preserve">Pursuant to the settlement proposal, </w:t>
      </w:r>
      <w:r>
        <w:t>Southlake</w:t>
      </w:r>
      <w:r w:rsidRPr="00125F63">
        <w:t xml:space="preserve"> will make an across</w:t>
      </w:r>
      <w:r w:rsidR="00CD02FF">
        <w:t>-</w:t>
      </w:r>
      <w:r>
        <w:t>the</w:t>
      </w:r>
      <w:r w:rsidR="00CD02FF">
        <w:t>-</w:t>
      </w:r>
      <w:r w:rsidRPr="00125F63">
        <w:t xml:space="preserve">board rate reduction of </w:t>
      </w:r>
      <w:r w:rsidR="00461CA4">
        <w:t xml:space="preserve">$233,076 </w:t>
      </w:r>
      <w:r w:rsidRPr="00125F63">
        <w:t xml:space="preserve">or </w:t>
      </w:r>
      <w:r w:rsidR="00461CA4">
        <w:t>21.47</w:t>
      </w:r>
      <w:r w:rsidRPr="00125F63">
        <w:t xml:space="preserve"> percent of total revenues</w:t>
      </w:r>
      <w:r w:rsidR="00461CA4">
        <w:t xml:space="preserve"> for water and $8,387 or 0.73 percent for wastewater</w:t>
      </w:r>
      <w:r w:rsidRPr="00125F63">
        <w:t>, as well as a refun</w:t>
      </w:r>
      <w:r w:rsidRPr="00461CA4">
        <w:t>d of $</w:t>
      </w:r>
      <w:r w:rsidR="00461CA4" w:rsidRPr="00461CA4">
        <w:t>233,076 for w</w:t>
      </w:r>
      <w:r w:rsidR="00461CA4">
        <w:t>ater and $8,387 for wastewater</w:t>
      </w:r>
      <w:r w:rsidR="002C53C9">
        <w:t xml:space="preserve"> over a 6-month period in 2015</w:t>
      </w:r>
      <w:r w:rsidR="00461CA4">
        <w:t xml:space="preserve">.  </w:t>
      </w:r>
      <w:r w:rsidRPr="00125F63">
        <w:t xml:space="preserve">The Utility should file a proposed customer notice reflecting the Commission's decision within </w:t>
      </w:r>
      <w:r w:rsidR="0062308F">
        <w:t xml:space="preserve">15 days of the Commission vote.  </w:t>
      </w:r>
      <w:r w:rsidRPr="00125F63">
        <w:t>The approved rates should be effective for service rendered on or after the stam</w:t>
      </w:r>
      <w:r w:rsidR="0062308F">
        <w:t xml:space="preserve">ped approval date of the tariff, </w:t>
      </w:r>
      <w:r w:rsidRPr="00125F63">
        <w:t>pursuant to Rule 25-30.475(1), Florida Administrative Code (F.A.C.), after staff has verified that the proposed customer notice is adequate and this notice has</w:t>
      </w:r>
      <w:r w:rsidR="002C53C9">
        <w:t xml:space="preserve"> been provided to the customer.  </w:t>
      </w:r>
      <w:r w:rsidRPr="00125F63">
        <w:t>The Utility should provide proof that the customers have received notice within 10 days after the date of the notice.</w:t>
      </w:r>
      <w:r>
        <w:rPr>
          <w:sz w:val="23"/>
          <w:szCs w:val="23"/>
        </w:rPr>
        <w:t xml:space="preserve"> </w:t>
      </w:r>
      <w:r>
        <w:t xml:space="preserve">  (Norris, Ortega)</w:t>
      </w:r>
    </w:p>
    <w:p w:rsidR="00125F63" w:rsidRDefault="00125F63">
      <w:pPr>
        <w:pStyle w:val="IssueSubsectionHeading"/>
        <w:rPr>
          <w:vanish/>
          <w:specVanish/>
        </w:rPr>
      </w:pPr>
      <w:r>
        <w:rPr>
          <w:b/>
          <w:u w:val="single"/>
        </w:rPr>
        <w:t>Staff Analysis</w:t>
      </w:r>
      <w:r>
        <w:t>: </w:t>
      </w:r>
    </w:p>
    <w:p w:rsidR="005B3BFE" w:rsidRDefault="00B50A14" w:rsidP="00A0269B">
      <w:pPr>
        <w:spacing w:after="240"/>
        <w:jc w:val="both"/>
      </w:pPr>
      <w:r>
        <w:t xml:space="preserve"> </w:t>
      </w:r>
      <w:proofErr w:type="gramStart"/>
      <w:r>
        <w:t>Staff’s  review</w:t>
      </w:r>
      <w:proofErr w:type="gramEnd"/>
      <w:r>
        <w:t xml:space="preserve"> of Southlake’s 2012 Annual Report, filed </w:t>
      </w:r>
      <w:r w:rsidR="005B3BFE" w:rsidRPr="005B3BFE">
        <w:t>April 25, 2013</w:t>
      </w:r>
      <w:r w:rsidR="005B3BFE">
        <w:t>,</w:t>
      </w:r>
      <w:r>
        <w:t xml:space="preserve"> revealed possible overearnings.   As a result, sta</w:t>
      </w:r>
      <w:r w:rsidR="00202E73">
        <w:t xml:space="preserve">ff </w:t>
      </w:r>
      <w:r w:rsidR="00FA2779">
        <w:t>sent</w:t>
      </w:r>
      <w:r w:rsidR="00202E73">
        <w:t xml:space="preserve"> data requests to the U</w:t>
      </w:r>
      <w:r>
        <w:t xml:space="preserve">tility to obtain </w:t>
      </w:r>
      <w:r w:rsidR="00202E73">
        <w:t xml:space="preserve">the </w:t>
      </w:r>
      <w:r>
        <w:t>data necessary to</w:t>
      </w:r>
      <w:r w:rsidR="00202E73">
        <w:t xml:space="preserve"> make a better</w:t>
      </w:r>
      <w:r w:rsidR="005B3BFE">
        <w:t xml:space="preserve"> evaluation </w:t>
      </w:r>
      <w:r w:rsidR="00202E73">
        <w:t>of the Utility’s</w:t>
      </w:r>
      <w:r w:rsidR="005B3BFE">
        <w:t xml:space="preserve"> </w:t>
      </w:r>
      <w:r w:rsidR="0034643A">
        <w:t>financial position, to evaluate the likelihood of continued overearnings</w:t>
      </w:r>
      <w:r w:rsidR="00AD5D52">
        <w:t>,</w:t>
      </w:r>
      <w:r w:rsidR="00202E73">
        <w:t xml:space="preserve"> and to</w:t>
      </w:r>
      <w:r>
        <w:t xml:space="preserve"> </w:t>
      </w:r>
      <w:r w:rsidR="005B3BFE">
        <w:t>examine</w:t>
      </w:r>
      <w:r>
        <w:t xml:space="preserve"> the level of revenues necessary to support ongoing utility o</w:t>
      </w:r>
      <w:r w:rsidR="00202E73">
        <w:t xml:space="preserve">perations.  </w:t>
      </w:r>
      <w:r w:rsidR="005B3BFE">
        <w:t>Staff’s</w:t>
      </w:r>
      <w:r w:rsidR="00202E73">
        <w:t xml:space="preserve"> analysis</w:t>
      </w:r>
      <w:r w:rsidR="005B3BFE">
        <w:t xml:space="preserve"> also</w:t>
      </w:r>
      <w:r w:rsidR="00202E73">
        <w:t xml:space="preserve"> incorporated the U</w:t>
      </w:r>
      <w:r>
        <w:t xml:space="preserve">tility’s needs for continuing capital improvements and operating expenses.   </w:t>
      </w:r>
    </w:p>
    <w:p w:rsidR="002C53C9" w:rsidRDefault="00202E73" w:rsidP="00A0269B">
      <w:pPr>
        <w:spacing w:after="240"/>
        <w:ind w:firstLine="720"/>
        <w:jc w:val="both"/>
      </w:pPr>
      <w:r>
        <w:t>Based on staff’s</w:t>
      </w:r>
      <w:r w:rsidR="005B3BFE">
        <w:t xml:space="preserve"> final</w:t>
      </w:r>
      <w:r>
        <w:t xml:space="preserve"> analysis,</w:t>
      </w:r>
      <w:r>
        <w:rPr>
          <w:rStyle w:val="FootnoteReference"/>
        </w:rPr>
        <w:footnoteReference w:id="2"/>
      </w:r>
      <w:r>
        <w:t xml:space="preserve"> Southlake proposed a settlement to address possible </w:t>
      </w:r>
      <w:proofErr w:type="spellStart"/>
      <w:r>
        <w:t>ovearnings</w:t>
      </w:r>
      <w:proofErr w:type="spellEnd"/>
      <w:r>
        <w:t xml:space="preserve"> by letter dated February 25, 2015.</w:t>
      </w:r>
      <w:r w:rsidR="005B3BFE">
        <w:t xml:space="preserve">  </w:t>
      </w:r>
      <w:r w:rsidR="00125F63" w:rsidRPr="00125F63">
        <w:t xml:space="preserve">Specifically, the Utility agreed to </w:t>
      </w:r>
      <w:r w:rsidR="00461CA4" w:rsidRPr="00125F63">
        <w:t>make an across</w:t>
      </w:r>
      <w:r w:rsidR="00CD02FF">
        <w:t>-the-</w:t>
      </w:r>
      <w:r w:rsidR="00461CA4" w:rsidRPr="00125F63">
        <w:t xml:space="preserve">board rate reduction of </w:t>
      </w:r>
      <w:r w:rsidR="00461CA4">
        <w:t xml:space="preserve">$233,076 </w:t>
      </w:r>
      <w:r w:rsidR="00461CA4" w:rsidRPr="00125F63">
        <w:t xml:space="preserve">or </w:t>
      </w:r>
      <w:r w:rsidR="00461CA4">
        <w:t>21.47</w:t>
      </w:r>
      <w:r w:rsidR="00461CA4" w:rsidRPr="00125F63">
        <w:t xml:space="preserve"> percent of total revenues</w:t>
      </w:r>
      <w:r w:rsidR="00461CA4">
        <w:t xml:space="preserve"> for water and $8,387 or 0.73 percent for wastewater.  </w:t>
      </w:r>
      <w:r w:rsidR="00125F63" w:rsidRPr="00125F63">
        <w:t>Further, the Utility stated it w</w:t>
      </w:r>
      <w:r w:rsidR="00A0269B">
        <w:t>ill</w:t>
      </w:r>
      <w:r w:rsidR="00461CA4">
        <w:t xml:space="preserve"> make</w:t>
      </w:r>
      <w:r w:rsidR="00125F63" w:rsidRPr="00125F63">
        <w:t xml:space="preserve"> </w:t>
      </w:r>
      <w:r w:rsidR="00461CA4" w:rsidRPr="00125F63">
        <w:t>a refun</w:t>
      </w:r>
      <w:r w:rsidR="00461CA4" w:rsidRPr="00461CA4">
        <w:t>d of $233,076 for w</w:t>
      </w:r>
      <w:r w:rsidR="00461CA4">
        <w:t>ater and $8,387 for wastewater</w:t>
      </w:r>
      <w:r w:rsidR="002C53C9">
        <w:t xml:space="preserve"> over a 6-month period in 2015</w:t>
      </w:r>
      <w:r w:rsidR="00461CA4">
        <w:t xml:space="preserve">. </w:t>
      </w:r>
    </w:p>
    <w:p w:rsidR="00125F63" w:rsidRDefault="00A0269B" w:rsidP="00A0269B">
      <w:pPr>
        <w:pStyle w:val="BodyText"/>
        <w:spacing w:after="0"/>
        <w:ind w:firstLine="0"/>
        <w:contextualSpacing/>
        <w:jc w:val="center"/>
      </w:pPr>
      <w:r>
        <w:t>Table 1</w:t>
      </w:r>
    </w:p>
    <w:tbl>
      <w:tblPr>
        <w:tblW w:w="5686" w:type="dxa"/>
        <w:jc w:val="center"/>
        <w:tblInd w:w="93" w:type="dxa"/>
        <w:tblLook w:val="04A0" w:firstRow="1" w:lastRow="0" w:firstColumn="1" w:lastColumn="0" w:noHBand="0" w:noVBand="1"/>
      </w:tblPr>
      <w:tblGrid>
        <w:gridCol w:w="266"/>
        <w:gridCol w:w="2711"/>
        <w:gridCol w:w="1188"/>
        <w:gridCol w:w="1255"/>
        <w:gridCol w:w="266"/>
      </w:tblGrid>
      <w:tr w:rsidR="00A0269B" w:rsidTr="00A0269B">
        <w:trPr>
          <w:trHeight w:val="341"/>
          <w:jc w:val="center"/>
        </w:trPr>
        <w:tc>
          <w:tcPr>
            <w:tcW w:w="5686"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0269B" w:rsidRDefault="00A0269B" w:rsidP="00A0269B">
            <w:pPr>
              <w:jc w:val="center"/>
              <w:rPr>
                <w:rFonts w:ascii="Calibri" w:hAnsi="Calibri"/>
                <w:color w:val="000000"/>
                <w:sz w:val="22"/>
                <w:szCs w:val="22"/>
              </w:rPr>
            </w:pPr>
            <w:r>
              <w:t>Determination of Rate Reduction and Refund</w:t>
            </w:r>
          </w:p>
        </w:tc>
      </w:tr>
      <w:tr w:rsidR="00FC0BE4" w:rsidTr="00A0269B">
        <w:trPr>
          <w:trHeight w:val="300"/>
          <w:jc w:val="center"/>
        </w:trPr>
        <w:tc>
          <w:tcPr>
            <w:tcW w:w="266" w:type="dxa"/>
            <w:tcBorders>
              <w:top w:val="single" w:sz="4" w:space="0" w:color="auto"/>
              <w:left w:val="single" w:sz="4" w:space="0" w:color="auto"/>
              <w:bottom w:val="nil"/>
              <w:right w:val="nil"/>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c>
          <w:tcPr>
            <w:tcW w:w="2711" w:type="dxa"/>
            <w:tcBorders>
              <w:top w:val="single" w:sz="4" w:space="0" w:color="auto"/>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 </w:t>
            </w:r>
          </w:p>
        </w:tc>
        <w:tc>
          <w:tcPr>
            <w:tcW w:w="1188" w:type="dxa"/>
            <w:tcBorders>
              <w:top w:val="single" w:sz="4" w:space="0" w:color="auto"/>
              <w:left w:val="nil"/>
              <w:bottom w:val="nil"/>
              <w:right w:val="nil"/>
            </w:tcBorders>
            <w:shd w:val="clear" w:color="000000" w:fill="FFFFFF"/>
            <w:noWrap/>
            <w:vAlign w:val="bottom"/>
            <w:hideMark/>
          </w:tcPr>
          <w:p w:rsidR="00FC0BE4" w:rsidRPr="002C53C9" w:rsidRDefault="00FC0BE4">
            <w:pPr>
              <w:jc w:val="center"/>
              <w:rPr>
                <w:color w:val="000000"/>
                <w:sz w:val="22"/>
                <w:szCs w:val="22"/>
                <w:u w:val="single"/>
              </w:rPr>
            </w:pPr>
            <w:r w:rsidRPr="002C53C9">
              <w:rPr>
                <w:color w:val="000000"/>
                <w:sz w:val="22"/>
                <w:szCs w:val="22"/>
                <w:u w:val="single"/>
              </w:rPr>
              <w:t>Water</w:t>
            </w:r>
          </w:p>
        </w:tc>
        <w:tc>
          <w:tcPr>
            <w:tcW w:w="1255" w:type="dxa"/>
            <w:tcBorders>
              <w:top w:val="single" w:sz="4" w:space="0" w:color="auto"/>
              <w:left w:val="nil"/>
              <w:bottom w:val="nil"/>
              <w:right w:val="nil"/>
            </w:tcBorders>
            <w:shd w:val="clear" w:color="000000" w:fill="FFFFFF"/>
            <w:noWrap/>
            <w:vAlign w:val="bottom"/>
            <w:hideMark/>
          </w:tcPr>
          <w:p w:rsidR="00FC0BE4" w:rsidRPr="002C53C9" w:rsidRDefault="00FC0BE4">
            <w:pPr>
              <w:jc w:val="center"/>
              <w:rPr>
                <w:color w:val="000000"/>
                <w:sz w:val="22"/>
                <w:szCs w:val="22"/>
                <w:u w:val="single"/>
              </w:rPr>
            </w:pPr>
            <w:r w:rsidRPr="002C53C9">
              <w:rPr>
                <w:color w:val="000000"/>
                <w:sz w:val="22"/>
                <w:szCs w:val="22"/>
                <w:u w:val="single"/>
              </w:rPr>
              <w:t>Wastewater</w:t>
            </w:r>
          </w:p>
        </w:tc>
        <w:tc>
          <w:tcPr>
            <w:tcW w:w="266" w:type="dxa"/>
            <w:tcBorders>
              <w:top w:val="single" w:sz="4" w:space="0" w:color="auto"/>
              <w:left w:val="nil"/>
              <w:bottom w:val="nil"/>
              <w:right w:val="single" w:sz="4" w:space="0" w:color="auto"/>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r>
      <w:tr w:rsidR="00FC0BE4" w:rsidTr="00A0269B">
        <w:trPr>
          <w:trHeight w:val="300"/>
          <w:jc w:val="center"/>
        </w:trPr>
        <w:tc>
          <w:tcPr>
            <w:tcW w:w="266" w:type="dxa"/>
            <w:tcBorders>
              <w:top w:val="nil"/>
              <w:left w:val="single" w:sz="4" w:space="0" w:color="auto"/>
              <w:bottom w:val="nil"/>
              <w:right w:val="nil"/>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Possible Overearnings</w:t>
            </w:r>
          </w:p>
        </w:tc>
        <w:tc>
          <w:tcPr>
            <w:tcW w:w="1188"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u w:val="double"/>
              </w:rPr>
            </w:pPr>
            <w:r>
              <w:rPr>
                <w:color w:val="000000"/>
                <w:sz w:val="22"/>
                <w:szCs w:val="22"/>
                <w:u w:val="double"/>
              </w:rPr>
              <w:t>$233,076</w:t>
            </w:r>
          </w:p>
        </w:tc>
        <w:tc>
          <w:tcPr>
            <w:tcW w:w="1255"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u w:val="double"/>
              </w:rPr>
            </w:pPr>
            <w:r>
              <w:rPr>
                <w:color w:val="000000"/>
                <w:sz w:val="22"/>
                <w:szCs w:val="22"/>
                <w:u w:val="double"/>
              </w:rPr>
              <w:t>$8,387</w:t>
            </w:r>
          </w:p>
        </w:tc>
        <w:tc>
          <w:tcPr>
            <w:tcW w:w="266" w:type="dxa"/>
            <w:tcBorders>
              <w:top w:val="nil"/>
              <w:left w:val="nil"/>
              <w:bottom w:val="nil"/>
              <w:right w:val="single" w:sz="4" w:space="0" w:color="auto"/>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r>
      <w:tr w:rsidR="00FC0BE4" w:rsidTr="00A0269B">
        <w:trPr>
          <w:trHeight w:val="300"/>
          <w:jc w:val="center"/>
        </w:trPr>
        <w:tc>
          <w:tcPr>
            <w:tcW w:w="266" w:type="dxa"/>
            <w:tcBorders>
              <w:top w:val="nil"/>
              <w:left w:val="single" w:sz="4" w:space="0" w:color="auto"/>
              <w:bottom w:val="nil"/>
              <w:right w:val="nil"/>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 </w:t>
            </w:r>
          </w:p>
        </w:tc>
        <w:tc>
          <w:tcPr>
            <w:tcW w:w="1255" w:type="dxa"/>
            <w:tcBorders>
              <w:top w:val="nil"/>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 </w:t>
            </w:r>
          </w:p>
        </w:tc>
        <w:tc>
          <w:tcPr>
            <w:tcW w:w="266" w:type="dxa"/>
            <w:tcBorders>
              <w:top w:val="nil"/>
              <w:left w:val="nil"/>
              <w:bottom w:val="nil"/>
              <w:right w:val="single" w:sz="4" w:space="0" w:color="auto"/>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r>
      <w:tr w:rsidR="00FC0BE4" w:rsidTr="00A0269B">
        <w:trPr>
          <w:trHeight w:val="300"/>
          <w:jc w:val="center"/>
        </w:trPr>
        <w:tc>
          <w:tcPr>
            <w:tcW w:w="266" w:type="dxa"/>
            <w:tcBorders>
              <w:top w:val="nil"/>
              <w:left w:val="single" w:sz="4" w:space="0" w:color="auto"/>
              <w:bottom w:val="nil"/>
              <w:right w:val="nil"/>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Proposed Rate Reduction</w:t>
            </w:r>
          </w:p>
        </w:tc>
        <w:tc>
          <w:tcPr>
            <w:tcW w:w="1188"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u w:val="double"/>
              </w:rPr>
            </w:pPr>
            <w:r>
              <w:rPr>
                <w:color w:val="000000"/>
                <w:sz w:val="22"/>
                <w:szCs w:val="22"/>
                <w:u w:val="double"/>
              </w:rPr>
              <w:t>($233,076)</w:t>
            </w:r>
          </w:p>
        </w:tc>
        <w:tc>
          <w:tcPr>
            <w:tcW w:w="1255"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u w:val="double"/>
              </w:rPr>
            </w:pPr>
            <w:r>
              <w:rPr>
                <w:color w:val="000000"/>
                <w:sz w:val="22"/>
                <w:szCs w:val="22"/>
                <w:u w:val="double"/>
              </w:rPr>
              <w:t>($8,387)</w:t>
            </w:r>
          </w:p>
        </w:tc>
        <w:tc>
          <w:tcPr>
            <w:tcW w:w="266" w:type="dxa"/>
            <w:tcBorders>
              <w:top w:val="nil"/>
              <w:left w:val="nil"/>
              <w:bottom w:val="nil"/>
              <w:right w:val="single" w:sz="4" w:space="0" w:color="auto"/>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r>
      <w:tr w:rsidR="00FC0BE4" w:rsidTr="00A0269B">
        <w:trPr>
          <w:trHeight w:val="300"/>
          <w:jc w:val="center"/>
        </w:trPr>
        <w:tc>
          <w:tcPr>
            <w:tcW w:w="266" w:type="dxa"/>
            <w:tcBorders>
              <w:top w:val="nil"/>
              <w:left w:val="single" w:sz="4" w:space="0" w:color="auto"/>
              <w:bottom w:val="nil"/>
              <w:right w:val="nil"/>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Proposed Rate Reduction %</w:t>
            </w:r>
          </w:p>
        </w:tc>
        <w:tc>
          <w:tcPr>
            <w:tcW w:w="1188"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u w:val="double"/>
              </w:rPr>
            </w:pPr>
            <w:r>
              <w:rPr>
                <w:color w:val="000000"/>
                <w:sz w:val="22"/>
                <w:szCs w:val="22"/>
                <w:u w:val="double"/>
              </w:rPr>
              <w:t>(21.47%)</w:t>
            </w:r>
          </w:p>
        </w:tc>
        <w:tc>
          <w:tcPr>
            <w:tcW w:w="1255"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u w:val="double"/>
              </w:rPr>
            </w:pPr>
            <w:r>
              <w:rPr>
                <w:color w:val="000000"/>
                <w:sz w:val="22"/>
                <w:szCs w:val="22"/>
                <w:u w:val="double"/>
              </w:rPr>
              <w:t>(0.73%)</w:t>
            </w:r>
          </w:p>
        </w:tc>
        <w:tc>
          <w:tcPr>
            <w:tcW w:w="266" w:type="dxa"/>
            <w:tcBorders>
              <w:top w:val="nil"/>
              <w:left w:val="nil"/>
              <w:bottom w:val="nil"/>
              <w:right w:val="single" w:sz="4" w:space="0" w:color="auto"/>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r>
      <w:tr w:rsidR="00FC0BE4" w:rsidTr="00A0269B">
        <w:trPr>
          <w:trHeight w:val="300"/>
          <w:jc w:val="center"/>
        </w:trPr>
        <w:tc>
          <w:tcPr>
            <w:tcW w:w="266" w:type="dxa"/>
            <w:tcBorders>
              <w:top w:val="nil"/>
              <w:left w:val="single" w:sz="4" w:space="0" w:color="auto"/>
              <w:bottom w:val="nil"/>
              <w:right w:val="nil"/>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 </w:t>
            </w:r>
          </w:p>
        </w:tc>
        <w:tc>
          <w:tcPr>
            <w:tcW w:w="1188"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rPr>
            </w:pPr>
            <w:r>
              <w:rPr>
                <w:color w:val="000000"/>
                <w:sz w:val="22"/>
                <w:szCs w:val="22"/>
              </w:rPr>
              <w:t> </w:t>
            </w:r>
          </w:p>
        </w:tc>
        <w:tc>
          <w:tcPr>
            <w:tcW w:w="1255"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rPr>
            </w:pPr>
            <w:r>
              <w:rPr>
                <w:color w:val="000000"/>
                <w:sz w:val="22"/>
                <w:szCs w:val="22"/>
              </w:rPr>
              <w:t> </w:t>
            </w:r>
          </w:p>
        </w:tc>
        <w:tc>
          <w:tcPr>
            <w:tcW w:w="266" w:type="dxa"/>
            <w:tcBorders>
              <w:top w:val="nil"/>
              <w:left w:val="nil"/>
              <w:bottom w:val="nil"/>
              <w:right w:val="single" w:sz="4" w:space="0" w:color="auto"/>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r>
      <w:tr w:rsidR="00FC0BE4" w:rsidTr="00A0269B">
        <w:trPr>
          <w:trHeight w:val="300"/>
          <w:jc w:val="center"/>
        </w:trPr>
        <w:tc>
          <w:tcPr>
            <w:tcW w:w="266" w:type="dxa"/>
            <w:tcBorders>
              <w:top w:val="nil"/>
              <w:left w:val="single" w:sz="4" w:space="0" w:color="auto"/>
              <w:bottom w:val="nil"/>
              <w:right w:val="nil"/>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nil"/>
              <w:right w:val="nil"/>
            </w:tcBorders>
            <w:shd w:val="clear" w:color="000000" w:fill="FFFFFF"/>
            <w:noWrap/>
            <w:vAlign w:val="bottom"/>
            <w:hideMark/>
          </w:tcPr>
          <w:p w:rsidR="00FC0BE4" w:rsidRDefault="00FC0BE4">
            <w:pPr>
              <w:rPr>
                <w:color w:val="000000"/>
                <w:sz w:val="22"/>
                <w:szCs w:val="22"/>
              </w:rPr>
            </w:pPr>
            <w:r>
              <w:rPr>
                <w:color w:val="000000"/>
                <w:sz w:val="22"/>
                <w:szCs w:val="22"/>
              </w:rPr>
              <w:t>Proposed Refund</w:t>
            </w:r>
          </w:p>
        </w:tc>
        <w:tc>
          <w:tcPr>
            <w:tcW w:w="1188"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u w:val="double"/>
              </w:rPr>
            </w:pPr>
            <w:r>
              <w:rPr>
                <w:color w:val="000000"/>
                <w:sz w:val="22"/>
                <w:szCs w:val="22"/>
                <w:u w:val="double"/>
              </w:rPr>
              <w:t>$233,076</w:t>
            </w:r>
          </w:p>
        </w:tc>
        <w:tc>
          <w:tcPr>
            <w:tcW w:w="1255" w:type="dxa"/>
            <w:tcBorders>
              <w:top w:val="nil"/>
              <w:left w:val="nil"/>
              <w:bottom w:val="nil"/>
              <w:right w:val="nil"/>
            </w:tcBorders>
            <w:shd w:val="clear" w:color="000000" w:fill="FFFFFF"/>
            <w:noWrap/>
            <w:vAlign w:val="bottom"/>
            <w:hideMark/>
          </w:tcPr>
          <w:p w:rsidR="00FC0BE4" w:rsidRDefault="00FC0BE4">
            <w:pPr>
              <w:jc w:val="right"/>
              <w:rPr>
                <w:color w:val="000000"/>
                <w:sz w:val="22"/>
                <w:szCs w:val="22"/>
                <w:u w:val="double"/>
              </w:rPr>
            </w:pPr>
            <w:r>
              <w:rPr>
                <w:color w:val="000000"/>
                <w:sz w:val="22"/>
                <w:szCs w:val="22"/>
                <w:u w:val="double"/>
              </w:rPr>
              <w:t>$8,387</w:t>
            </w:r>
          </w:p>
        </w:tc>
        <w:tc>
          <w:tcPr>
            <w:tcW w:w="266" w:type="dxa"/>
            <w:tcBorders>
              <w:top w:val="nil"/>
              <w:left w:val="nil"/>
              <w:bottom w:val="nil"/>
              <w:right w:val="single" w:sz="4" w:space="0" w:color="auto"/>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r>
      <w:tr w:rsidR="00FC0BE4" w:rsidTr="00A0269B">
        <w:trPr>
          <w:trHeight w:val="180"/>
          <w:jc w:val="center"/>
        </w:trPr>
        <w:tc>
          <w:tcPr>
            <w:tcW w:w="266" w:type="dxa"/>
            <w:tcBorders>
              <w:top w:val="nil"/>
              <w:left w:val="single" w:sz="4" w:space="0" w:color="auto"/>
              <w:bottom w:val="single" w:sz="4" w:space="0" w:color="auto"/>
              <w:right w:val="nil"/>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c>
          <w:tcPr>
            <w:tcW w:w="2711" w:type="dxa"/>
            <w:tcBorders>
              <w:top w:val="nil"/>
              <w:left w:val="nil"/>
              <w:bottom w:val="single" w:sz="4" w:space="0" w:color="auto"/>
              <w:right w:val="nil"/>
            </w:tcBorders>
            <w:shd w:val="clear" w:color="000000" w:fill="FFFFFF"/>
            <w:noWrap/>
            <w:vAlign w:val="bottom"/>
            <w:hideMark/>
          </w:tcPr>
          <w:p w:rsidR="00FC0BE4" w:rsidRDefault="00FC0BE4">
            <w:pPr>
              <w:rPr>
                <w:color w:val="000000"/>
                <w:sz w:val="22"/>
                <w:szCs w:val="22"/>
              </w:rPr>
            </w:pPr>
            <w:r>
              <w:rPr>
                <w:color w:val="000000"/>
                <w:sz w:val="22"/>
                <w:szCs w:val="22"/>
              </w:rPr>
              <w:t> </w:t>
            </w:r>
          </w:p>
        </w:tc>
        <w:tc>
          <w:tcPr>
            <w:tcW w:w="1188" w:type="dxa"/>
            <w:tcBorders>
              <w:top w:val="nil"/>
              <w:left w:val="nil"/>
              <w:bottom w:val="single" w:sz="4" w:space="0" w:color="auto"/>
              <w:right w:val="nil"/>
            </w:tcBorders>
            <w:shd w:val="clear" w:color="000000" w:fill="FFFFFF"/>
            <w:noWrap/>
            <w:vAlign w:val="bottom"/>
            <w:hideMark/>
          </w:tcPr>
          <w:p w:rsidR="00FC0BE4" w:rsidRDefault="00FC0BE4">
            <w:pPr>
              <w:rPr>
                <w:color w:val="000000"/>
                <w:sz w:val="22"/>
                <w:szCs w:val="22"/>
              </w:rPr>
            </w:pPr>
            <w:r>
              <w:rPr>
                <w:color w:val="000000"/>
                <w:sz w:val="22"/>
                <w:szCs w:val="22"/>
              </w:rPr>
              <w:t> </w:t>
            </w:r>
          </w:p>
        </w:tc>
        <w:tc>
          <w:tcPr>
            <w:tcW w:w="1255" w:type="dxa"/>
            <w:tcBorders>
              <w:top w:val="nil"/>
              <w:left w:val="nil"/>
              <w:bottom w:val="single" w:sz="4" w:space="0" w:color="auto"/>
              <w:right w:val="nil"/>
            </w:tcBorders>
            <w:shd w:val="clear" w:color="000000" w:fill="FFFFFF"/>
            <w:noWrap/>
            <w:vAlign w:val="bottom"/>
            <w:hideMark/>
          </w:tcPr>
          <w:p w:rsidR="00FC0BE4" w:rsidRDefault="00FC0BE4">
            <w:pPr>
              <w:rPr>
                <w:color w:val="000000"/>
                <w:sz w:val="22"/>
                <w:szCs w:val="22"/>
              </w:rPr>
            </w:pPr>
            <w:r>
              <w:rPr>
                <w:color w:val="000000"/>
                <w:sz w:val="22"/>
                <w:szCs w:val="22"/>
              </w:rPr>
              <w:t> </w:t>
            </w:r>
          </w:p>
        </w:tc>
        <w:tc>
          <w:tcPr>
            <w:tcW w:w="266" w:type="dxa"/>
            <w:tcBorders>
              <w:top w:val="nil"/>
              <w:left w:val="nil"/>
              <w:bottom w:val="single" w:sz="4" w:space="0" w:color="auto"/>
              <w:right w:val="single" w:sz="4" w:space="0" w:color="auto"/>
            </w:tcBorders>
            <w:shd w:val="clear" w:color="000000" w:fill="FFFFFF"/>
            <w:noWrap/>
            <w:vAlign w:val="bottom"/>
            <w:hideMark/>
          </w:tcPr>
          <w:p w:rsidR="00FC0BE4" w:rsidRDefault="00FC0BE4">
            <w:pPr>
              <w:rPr>
                <w:rFonts w:ascii="Calibri" w:hAnsi="Calibri"/>
                <w:color w:val="000000"/>
                <w:sz w:val="22"/>
                <w:szCs w:val="22"/>
              </w:rPr>
            </w:pPr>
            <w:r>
              <w:rPr>
                <w:rFonts w:ascii="Calibri" w:hAnsi="Calibri"/>
                <w:color w:val="000000"/>
                <w:sz w:val="22"/>
                <w:szCs w:val="22"/>
              </w:rPr>
              <w:t> </w:t>
            </w:r>
          </w:p>
        </w:tc>
      </w:tr>
    </w:tbl>
    <w:p w:rsidR="00FC0BE4" w:rsidRDefault="00FC0BE4" w:rsidP="00FC0BE4">
      <w:pPr>
        <w:pStyle w:val="BodyText"/>
        <w:spacing w:after="0"/>
        <w:jc w:val="center"/>
      </w:pPr>
    </w:p>
    <w:p w:rsidR="00125F63" w:rsidRPr="00A83DCB" w:rsidRDefault="00F740F7" w:rsidP="00CD02FF">
      <w:pPr>
        <w:pStyle w:val="BodyText"/>
      </w:pPr>
      <w:r>
        <w:t xml:space="preserve">Since the Utility’s last rate case, the Utility has experienced </w:t>
      </w:r>
      <w:r w:rsidR="00AE0A4D">
        <w:t xml:space="preserve">significant </w:t>
      </w:r>
      <w:r w:rsidR="0038621F">
        <w:t>customer growth</w:t>
      </w:r>
      <w:r w:rsidR="00CD02FF">
        <w:t xml:space="preserve"> which staff believes has contributed to the overearnings.  </w:t>
      </w:r>
      <w:r w:rsidR="00125F63" w:rsidRPr="00A83DCB">
        <w:t xml:space="preserve">Staff believes that </w:t>
      </w:r>
      <w:r w:rsidRPr="00A83DCB">
        <w:t>Southlake’s</w:t>
      </w:r>
      <w:r w:rsidR="00125F63" w:rsidRPr="00A83DCB">
        <w:t xml:space="preserve"> proposed settlement is a reasonable resolution because it will address the possible overearnings on a prospective basis. </w:t>
      </w:r>
      <w:r w:rsidR="00CD02FF">
        <w:t xml:space="preserve"> </w:t>
      </w:r>
      <w:r w:rsidR="00125F63" w:rsidRPr="00A83DCB">
        <w:t xml:space="preserve">Further, staff believes that it is in the public interest for the Commission </w:t>
      </w:r>
      <w:r w:rsidR="00125F63" w:rsidRPr="00A83DCB">
        <w:lastRenderedPageBreak/>
        <w:t xml:space="preserve">to approve the settlement proposal because this settlement offer promotes administrative efficiency, avoiding the time and expense of a formal earnings investigation. </w:t>
      </w:r>
    </w:p>
    <w:p w:rsidR="0034643A" w:rsidRDefault="00125F63" w:rsidP="00BE4FD5">
      <w:pPr>
        <w:pStyle w:val="Default"/>
        <w:spacing w:after="240"/>
        <w:jc w:val="both"/>
      </w:pPr>
      <w:r w:rsidRPr="00A83DCB">
        <w:tab/>
      </w:r>
      <w:r w:rsidR="00374493" w:rsidRPr="00A83DCB">
        <w:t xml:space="preserve">In keeping with </w:t>
      </w:r>
      <w:r w:rsidR="00CD02FF">
        <w:t>the Commission’s</w:t>
      </w:r>
      <w:r w:rsidR="00374493" w:rsidRPr="00A83DCB">
        <w:t xml:space="preserve"> long-standing practice of encouraging parties to settle contested </w:t>
      </w:r>
      <w:r w:rsidR="00374493" w:rsidRPr="00461CA4">
        <w:t>proceedings,</w:t>
      </w:r>
      <w:r w:rsidR="00374493" w:rsidRPr="00461CA4">
        <w:rPr>
          <w:rStyle w:val="FootnoteReference"/>
        </w:rPr>
        <w:footnoteReference w:id="3"/>
      </w:r>
      <w:r w:rsidR="00374493" w:rsidRPr="00461CA4">
        <w:t xml:space="preserve"> staff recommends that the Commission approve the settlement proposal.</w:t>
      </w:r>
      <w:r w:rsidR="002C53C9">
        <w:t xml:space="preserve">  Staff notes that this recommendation is consistent with other Commission decisions regarding possible overearnings.</w:t>
      </w:r>
      <w:r w:rsidR="002C53C9">
        <w:rPr>
          <w:rStyle w:val="FootnoteReference"/>
        </w:rPr>
        <w:footnoteReference w:id="4"/>
      </w:r>
      <w:r w:rsidR="00374493" w:rsidRPr="00461CA4">
        <w:t xml:space="preserve">  </w:t>
      </w:r>
    </w:p>
    <w:p w:rsidR="00374493" w:rsidRPr="00A83DCB" w:rsidRDefault="00125F63" w:rsidP="0034643A">
      <w:pPr>
        <w:pStyle w:val="Default"/>
        <w:spacing w:after="240"/>
        <w:ind w:firstLine="720"/>
        <w:jc w:val="both"/>
      </w:pPr>
      <w:r w:rsidRPr="00461CA4">
        <w:t>Schedule No</w:t>
      </w:r>
      <w:r w:rsidR="0070767C">
        <w:t>s</w:t>
      </w:r>
      <w:r w:rsidRPr="00461CA4">
        <w:t>. 1</w:t>
      </w:r>
      <w:r w:rsidR="0070767C">
        <w:t>-A and 1-B</w:t>
      </w:r>
      <w:r w:rsidR="00AE0A4D">
        <w:t xml:space="preserve"> reflect</w:t>
      </w:r>
      <w:r w:rsidRPr="00461CA4">
        <w:t xml:space="preserve"> the </w:t>
      </w:r>
      <w:r w:rsidR="00461CA4" w:rsidRPr="00461CA4">
        <w:t xml:space="preserve">Utility’s </w:t>
      </w:r>
      <w:r w:rsidR="0070767C">
        <w:t>existing</w:t>
      </w:r>
      <w:r w:rsidR="00461CA4" w:rsidRPr="00461CA4">
        <w:t xml:space="preserve"> rates</w:t>
      </w:r>
      <w:r w:rsidRPr="00461CA4">
        <w:t xml:space="preserve"> and staff's recommended rates per th</w:t>
      </w:r>
      <w:r w:rsidR="00CD02FF">
        <w:t xml:space="preserve">e Utility's settlement proposal.  </w:t>
      </w:r>
      <w:r w:rsidRPr="00A83DCB">
        <w:t xml:space="preserve">Staff will continue to monitor the earnings of the Utility, and if any subsequent overearnings are identified, staff may open a formal earnings investigation. </w:t>
      </w:r>
    </w:p>
    <w:p w:rsidR="00374493" w:rsidRPr="00A83DCB" w:rsidRDefault="00374493" w:rsidP="00BE4FD5">
      <w:pPr>
        <w:pStyle w:val="Default"/>
        <w:spacing w:after="240"/>
        <w:ind w:firstLine="720"/>
        <w:jc w:val="both"/>
      </w:pPr>
      <w:r w:rsidRPr="00A83DCB">
        <w:t>Staff also recommends that within 15 days of the Commission vote, the Utility should file a proposed customer notice and revised tariff sheets which are consistent with the Commission's decision.  The approved rates should be effective for service rendered on or after the stamped approval date of the tariff, pursuant to Rule 25-30.475(1), F.A.C., after staff has verified that the proposed customer notice is adequate and the notice has been provided to the customers.  Southlake should provide proof that the customers have received notice within 10 days after the date of the notice.</w:t>
      </w:r>
    </w:p>
    <w:p w:rsidR="00374493" w:rsidRPr="00A83DCB" w:rsidRDefault="00374493" w:rsidP="00374493">
      <w:pPr>
        <w:pStyle w:val="Default"/>
      </w:pPr>
    </w:p>
    <w:p w:rsidR="00F740F7" w:rsidRDefault="00F740F7">
      <w:pPr>
        <w:pStyle w:val="IssueHeading"/>
        <w:rPr>
          <w:vanish/>
          <w:specVanish/>
        </w:rPr>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BC4988">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BC4988">
        <w:rPr>
          <w:noProof/>
        </w:rPr>
        <w:instrText>2</w:instrText>
      </w:r>
      <w:r>
        <w:fldChar w:fldCharType="end"/>
      </w:r>
      <w:r>
        <w:tab/>
        <w:instrText xml:space="preserve">" \l 1 </w:instrText>
      </w:r>
      <w:r>
        <w:fldChar w:fldCharType="end"/>
      </w:r>
      <w:r>
        <w:t> </w:t>
      </w:r>
    </w:p>
    <w:p w:rsidR="00F740F7" w:rsidRDefault="00F740F7">
      <w:pPr>
        <w:pStyle w:val="BodyText"/>
      </w:pPr>
      <w:r>
        <w:t> Should this docket be closed?</w:t>
      </w:r>
    </w:p>
    <w:p w:rsidR="00F740F7" w:rsidRDefault="00F740F7">
      <w:pPr>
        <w:pStyle w:val="IssueSubsectionHeading"/>
        <w:rPr>
          <w:vanish/>
          <w:specVanish/>
        </w:rPr>
      </w:pPr>
      <w:r>
        <w:rPr>
          <w:b/>
          <w:u w:val="single"/>
        </w:rPr>
        <w:t>Recommendation</w:t>
      </w:r>
      <w:r>
        <w:t>: </w:t>
      </w:r>
    </w:p>
    <w:p w:rsidR="00F740F7" w:rsidRDefault="00F740F7">
      <w:pPr>
        <w:pStyle w:val="BodyText"/>
      </w:pPr>
      <w:r>
        <w:t> </w:t>
      </w:r>
      <w:r w:rsidR="00EA044D" w:rsidRPr="00A56398">
        <w:t>No.  If no timely protest is received from a substantially affected person upon expiration of the protest period, the PAA Order will become final upon the issuance of a Consummating Order.  However, this docket should remain open to allow staff to verify completion of the refund d</w:t>
      </w:r>
      <w:r w:rsidR="00EA044D">
        <w:t>iscussed</w:t>
      </w:r>
      <w:r w:rsidR="00EA044D" w:rsidRPr="00A56398">
        <w:t xml:space="preserve"> in Issue </w:t>
      </w:r>
      <w:r w:rsidR="00EA044D">
        <w:t>1 and to verify that the revised tariff sheets and customer notice have been filed by the Utility and approved by staff</w:t>
      </w:r>
      <w:r w:rsidR="00EA044D" w:rsidRPr="00A56398">
        <w:t>.  Once staff has verified that the refund</w:t>
      </w:r>
      <w:r w:rsidR="00EA044D">
        <w:t>s</w:t>
      </w:r>
      <w:r w:rsidR="00EA044D" w:rsidRPr="00A56398">
        <w:t xml:space="preserve"> ha</w:t>
      </w:r>
      <w:r w:rsidR="00EA044D">
        <w:t>ve</w:t>
      </w:r>
      <w:r w:rsidR="00EA044D" w:rsidRPr="00A56398">
        <w:t xml:space="preserve"> been made in accordance with Rule 25-30.360, F.A.C., the docket should be closed administratively.</w:t>
      </w:r>
      <w:r w:rsidR="00F92122">
        <w:t xml:space="preserve">  </w:t>
      </w:r>
      <w:r w:rsidR="00EA044D">
        <w:t>(Barrera, Norris)</w:t>
      </w:r>
    </w:p>
    <w:p w:rsidR="00F740F7" w:rsidRDefault="00F740F7">
      <w:pPr>
        <w:pStyle w:val="IssueSubsectionHeading"/>
        <w:rPr>
          <w:vanish/>
          <w:specVanish/>
        </w:rPr>
      </w:pPr>
      <w:r>
        <w:rPr>
          <w:b/>
          <w:u w:val="single"/>
        </w:rPr>
        <w:t>Staff Analysis</w:t>
      </w:r>
      <w:r>
        <w:t>: </w:t>
      </w:r>
    </w:p>
    <w:p w:rsidR="0070767C" w:rsidRDefault="00F740F7">
      <w:pPr>
        <w:pStyle w:val="BodyText"/>
      </w:pPr>
      <w:r>
        <w:t> </w:t>
      </w:r>
      <w:r w:rsidR="00EA044D" w:rsidRPr="00A56398">
        <w:t>If no timely protest is received from a substantially affected person upon expiration of the protest period, the PAA Order will become final upon the issuance of a Consummating Order.  However, this docket should remain open to allow staff to verify completion of the refund d</w:t>
      </w:r>
      <w:r w:rsidR="00EA044D">
        <w:t>iscussed</w:t>
      </w:r>
      <w:r w:rsidR="00EA044D" w:rsidRPr="00A56398">
        <w:t xml:space="preserve"> in Issue </w:t>
      </w:r>
      <w:r w:rsidR="00EA044D">
        <w:t>1 and to verify that the revised tariff sheets and customer notice have been filed by the Utility and approved by staff</w:t>
      </w:r>
      <w:r w:rsidR="00EA044D" w:rsidRPr="00A56398">
        <w:t>.  Once staff has verified that the refund</w:t>
      </w:r>
      <w:r w:rsidR="00EA044D">
        <w:t>s</w:t>
      </w:r>
      <w:r w:rsidR="00EA044D" w:rsidRPr="00A56398">
        <w:t xml:space="preserve"> ha</w:t>
      </w:r>
      <w:r w:rsidR="00EA044D">
        <w:t>ve</w:t>
      </w:r>
      <w:r w:rsidR="00EA044D" w:rsidRPr="00A56398">
        <w:t xml:space="preserve"> been made in accordance with Rule 25-30.360, F.A.C., the docket should be closed administratively.</w:t>
      </w:r>
    </w:p>
    <w:p w:rsidR="0001154C" w:rsidRDefault="0070767C" w:rsidP="0070767C">
      <w:pPr>
        <w:sectPr w:rsidR="0001154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br w:type="page"/>
      </w:r>
    </w:p>
    <w:p w:rsidR="0070767C" w:rsidRDefault="0070767C" w:rsidP="0070767C"/>
    <w:p w:rsidR="00F740F7" w:rsidRDefault="0070767C" w:rsidP="0094507F">
      <w:pPr>
        <w:pStyle w:val="BodyText"/>
        <w:jc w:val="left"/>
      </w:pPr>
      <w:r>
        <w:rPr>
          <w:noProof/>
        </w:rPr>
        <w:drawing>
          <wp:inline distT="0" distB="0" distL="0" distR="0" wp14:anchorId="6D3349C4" wp14:editId="63A1D15F">
            <wp:extent cx="5419725" cy="7439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1052" cy="7440846"/>
                    </a:xfrm>
                    <a:prstGeom prst="rect">
                      <a:avLst/>
                    </a:prstGeom>
                    <a:noFill/>
                    <a:ln>
                      <a:noFill/>
                    </a:ln>
                  </pic:spPr>
                </pic:pic>
              </a:graphicData>
            </a:graphic>
          </wp:inline>
        </w:drawing>
      </w:r>
    </w:p>
    <w:p w:rsidR="00AE0A4D" w:rsidRDefault="0083469C">
      <w:pPr>
        <w:sectPr w:rsidR="00AE0A4D" w:rsidSect="0068481F">
          <w:headerReference w:type="default" r:id="rId16"/>
          <w:pgSz w:w="12240" w:h="15840" w:code="1"/>
          <w:pgMar w:top="1584" w:right="1440" w:bottom="1440" w:left="1440" w:header="720" w:footer="720" w:gutter="0"/>
          <w:cols w:space="720"/>
          <w:formProt w:val="0"/>
          <w:docGrid w:linePitch="360"/>
        </w:sectPr>
      </w:pPr>
      <w:r>
        <w:br w:type="page"/>
      </w:r>
    </w:p>
    <w:tbl>
      <w:tblPr>
        <w:tblW w:w="8868" w:type="dxa"/>
        <w:jc w:val="center"/>
        <w:tblInd w:w="93" w:type="dxa"/>
        <w:tblLook w:val="04A0" w:firstRow="1" w:lastRow="0" w:firstColumn="1" w:lastColumn="0" w:noHBand="0" w:noVBand="1"/>
      </w:tblPr>
      <w:tblGrid>
        <w:gridCol w:w="276"/>
        <w:gridCol w:w="5120"/>
        <w:gridCol w:w="1600"/>
        <w:gridCol w:w="1872"/>
      </w:tblGrid>
      <w:tr w:rsidR="00A42456" w:rsidTr="00A42456">
        <w:trPr>
          <w:trHeight w:val="300"/>
          <w:jc w:val="center"/>
        </w:trPr>
        <w:tc>
          <w:tcPr>
            <w:tcW w:w="276" w:type="dxa"/>
            <w:tcBorders>
              <w:top w:val="single" w:sz="8" w:space="0" w:color="000000"/>
              <w:left w:val="single" w:sz="8" w:space="0" w:color="000000"/>
              <w:bottom w:val="nil"/>
              <w:right w:val="nil"/>
            </w:tcBorders>
            <w:noWrap/>
            <w:vAlign w:val="bottom"/>
            <w:hideMark/>
          </w:tcPr>
          <w:p w:rsidR="00A42456" w:rsidRDefault="00A42456">
            <w:pPr>
              <w:rPr>
                <w:rFonts w:ascii="SWISS" w:hAnsi="SWISS" w:cs="Arial"/>
                <w:sz w:val="20"/>
                <w:szCs w:val="20"/>
              </w:rPr>
            </w:pPr>
            <w:bookmarkStart w:id="15" w:name="RANGE!A1:D40"/>
            <w:r>
              <w:rPr>
                <w:rFonts w:ascii="SWISS" w:hAnsi="SWISS" w:cs="Arial"/>
                <w:sz w:val="20"/>
                <w:szCs w:val="20"/>
              </w:rPr>
              <w:lastRenderedPageBreak/>
              <w:t> </w:t>
            </w:r>
            <w:bookmarkEnd w:id="15"/>
          </w:p>
        </w:tc>
        <w:tc>
          <w:tcPr>
            <w:tcW w:w="5120" w:type="dxa"/>
            <w:tcBorders>
              <w:top w:val="single" w:sz="8" w:space="0" w:color="000000"/>
              <w:left w:val="nil"/>
              <w:bottom w:val="nil"/>
              <w:right w:val="nil"/>
            </w:tcBorders>
            <w:noWrap/>
            <w:vAlign w:val="bottom"/>
            <w:hideMark/>
          </w:tcPr>
          <w:p w:rsidR="00A42456" w:rsidRDefault="00A42456">
            <w:pPr>
              <w:rPr>
                <w:rFonts w:ascii="SWISS" w:hAnsi="SWISS" w:cs="Arial"/>
                <w:b/>
                <w:bCs/>
                <w:sz w:val="20"/>
                <w:szCs w:val="20"/>
              </w:rPr>
            </w:pPr>
            <w:r>
              <w:rPr>
                <w:rFonts w:ascii="SWISS" w:hAnsi="SWISS" w:cs="Arial"/>
                <w:b/>
                <w:bCs/>
                <w:sz w:val="20"/>
                <w:szCs w:val="20"/>
              </w:rPr>
              <w:t>SOUTHLAKE UTILITIES, INC.</w:t>
            </w:r>
          </w:p>
        </w:tc>
        <w:tc>
          <w:tcPr>
            <w:tcW w:w="3472" w:type="dxa"/>
            <w:gridSpan w:val="2"/>
            <w:tcBorders>
              <w:top w:val="single" w:sz="8" w:space="0" w:color="000000"/>
              <w:left w:val="nil"/>
              <w:bottom w:val="nil"/>
              <w:right w:val="single" w:sz="8" w:space="0" w:color="000000"/>
            </w:tcBorders>
            <w:noWrap/>
            <w:vAlign w:val="bottom"/>
            <w:hideMark/>
          </w:tcPr>
          <w:p w:rsidR="00A42456" w:rsidRDefault="00A42456" w:rsidP="00A42456">
            <w:pPr>
              <w:jc w:val="right"/>
              <w:rPr>
                <w:rFonts w:ascii="SWISS" w:hAnsi="SWISS" w:cs="Arial"/>
                <w:b/>
                <w:bCs/>
                <w:sz w:val="20"/>
                <w:szCs w:val="20"/>
              </w:rPr>
            </w:pPr>
            <w:r>
              <w:rPr>
                <w:rFonts w:ascii="SWISS" w:hAnsi="SWISS" w:cs="Arial"/>
                <w:b/>
                <w:bCs/>
                <w:sz w:val="20"/>
                <w:szCs w:val="20"/>
              </w:rPr>
              <w:t> SCHEDULE NO. 1-A</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b/>
                <w:bCs/>
                <w:sz w:val="20"/>
                <w:szCs w:val="20"/>
              </w:rPr>
            </w:pPr>
            <w:r>
              <w:rPr>
                <w:rFonts w:ascii="SWISS" w:hAnsi="SWISS" w:cs="Arial"/>
                <w:b/>
                <w:bCs/>
                <w:sz w:val="20"/>
                <w:szCs w:val="20"/>
              </w:rPr>
              <w:t>TEST YEAR ENDED DECEMBER 31, 2013</w:t>
            </w:r>
          </w:p>
        </w:tc>
        <w:tc>
          <w:tcPr>
            <w:tcW w:w="3472" w:type="dxa"/>
            <w:gridSpan w:val="2"/>
            <w:tcBorders>
              <w:top w:val="nil"/>
              <w:left w:val="nil"/>
              <w:bottom w:val="nil"/>
              <w:right w:val="single" w:sz="8" w:space="0" w:color="000000"/>
            </w:tcBorders>
            <w:noWrap/>
            <w:vAlign w:val="bottom"/>
            <w:hideMark/>
          </w:tcPr>
          <w:p w:rsidR="00A42456" w:rsidRDefault="00A42456" w:rsidP="00F92122">
            <w:pPr>
              <w:jc w:val="right"/>
              <w:rPr>
                <w:rFonts w:ascii="SWISS" w:hAnsi="SWISS" w:cs="Arial"/>
                <w:b/>
                <w:bCs/>
                <w:sz w:val="20"/>
                <w:szCs w:val="20"/>
              </w:rPr>
            </w:pPr>
            <w:r>
              <w:rPr>
                <w:rFonts w:ascii="SWISS" w:hAnsi="SWISS" w:cs="Arial"/>
                <w:b/>
                <w:bCs/>
                <w:sz w:val="20"/>
                <w:szCs w:val="20"/>
              </w:rPr>
              <w:t>D</w:t>
            </w:r>
            <w:r w:rsidR="00F92122">
              <w:rPr>
                <w:rFonts w:ascii="SWISS" w:hAnsi="SWISS" w:cs="Arial"/>
                <w:b/>
                <w:bCs/>
                <w:sz w:val="20"/>
                <w:szCs w:val="20"/>
              </w:rPr>
              <w:t>OCKET NO</w:t>
            </w:r>
            <w:r>
              <w:rPr>
                <w:rFonts w:ascii="SWISS" w:hAnsi="SWISS" w:cs="Arial"/>
                <w:b/>
                <w:bCs/>
                <w:sz w:val="20"/>
                <w:szCs w:val="20"/>
              </w:rPr>
              <w:t>. 150069-WS</w:t>
            </w:r>
          </w:p>
        </w:tc>
      </w:tr>
      <w:tr w:rsidR="00A42456" w:rsidTr="00F92122">
        <w:trPr>
          <w:trHeight w:val="315"/>
          <w:jc w:val="center"/>
        </w:trPr>
        <w:tc>
          <w:tcPr>
            <w:tcW w:w="276" w:type="dxa"/>
            <w:tcBorders>
              <w:top w:val="nil"/>
              <w:left w:val="single" w:sz="8" w:space="0" w:color="000000"/>
              <w:bottom w:val="single" w:sz="4" w:space="0" w:color="auto"/>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tcBorders>
              <w:bottom w:val="single" w:sz="4" w:space="0" w:color="auto"/>
            </w:tcBorders>
            <w:noWrap/>
            <w:vAlign w:val="bottom"/>
            <w:hideMark/>
          </w:tcPr>
          <w:p w:rsidR="00A42456" w:rsidRDefault="00A42456">
            <w:pPr>
              <w:rPr>
                <w:rFonts w:ascii="SWISS" w:hAnsi="SWISS" w:cs="Arial"/>
                <w:b/>
                <w:bCs/>
                <w:sz w:val="20"/>
                <w:szCs w:val="20"/>
              </w:rPr>
            </w:pPr>
            <w:r>
              <w:rPr>
                <w:rFonts w:ascii="SWISS" w:hAnsi="SWISS" w:cs="Arial"/>
                <w:b/>
                <w:bCs/>
                <w:sz w:val="20"/>
                <w:szCs w:val="20"/>
              </w:rPr>
              <w:t>MONTHLY WATER RATES</w:t>
            </w:r>
          </w:p>
        </w:tc>
        <w:tc>
          <w:tcPr>
            <w:tcW w:w="1600" w:type="dxa"/>
            <w:tcBorders>
              <w:bottom w:val="single" w:sz="4" w:space="0" w:color="auto"/>
            </w:tcBorders>
            <w:noWrap/>
            <w:vAlign w:val="bottom"/>
            <w:hideMark/>
          </w:tcPr>
          <w:p w:rsidR="00A42456" w:rsidRDefault="00A42456">
            <w:pPr>
              <w:rPr>
                <w:sz w:val="20"/>
                <w:szCs w:val="20"/>
              </w:rPr>
            </w:pPr>
          </w:p>
        </w:tc>
        <w:tc>
          <w:tcPr>
            <w:tcW w:w="1872" w:type="dxa"/>
            <w:tcBorders>
              <w:top w:val="nil"/>
              <w:left w:val="nil"/>
              <w:bottom w:val="single" w:sz="4" w:space="0" w:color="auto"/>
              <w:right w:val="single" w:sz="8" w:space="0" w:color="000000"/>
            </w:tcBorders>
            <w:noWrap/>
            <w:vAlign w:val="bottom"/>
            <w:hideMark/>
          </w:tcPr>
          <w:p w:rsidR="00A42456" w:rsidRDefault="00A42456">
            <w:pPr>
              <w:jc w:val="right"/>
              <w:rPr>
                <w:rFonts w:ascii="SWISS" w:hAnsi="SWISS" w:cs="Arial"/>
                <w:b/>
                <w:bCs/>
                <w:sz w:val="20"/>
                <w:szCs w:val="20"/>
              </w:rPr>
            </w:pPr>
            <w:r>
              <w:rPr>
                <w:rFonts w:ascii="SWISS" w:hAnsi="SWISS" w:cs="Arial"/>
                <w:b/>
                <w:bCs/>
                <w:sz w:val="20"/>
                <w:szCs w:val="20"/>
              </w:rPr>
              <w:t> </w:t>
            </w:r>
          </w:p>
        </w:tc>
      </w:tr>
      <w:tr w:rsidR="00A42456" w:rsidTr="00F92122">
        <w:trPr>
          <w:trHeight w:val="300"/>
          <w:jc w:val="center"/>
        </w:trPr>
        <w:tc>
          <w:tcPr>
            <w:tcW w:w="5396" w:type="dxa"/>
            <w:gridSpan w:val="2"/>
            <w:tcBorders>
              <w:top w:val="single" w:sz="4" w:space="0" w:color="auto"/>
              <w:left w:val="single" w:sz="8" w:space="0" w:color="000000"/>
              <w:bottom w:val="nil"/>
              <w:right w:val="nil"/>
            </w:tcBorders>
            <w:shd w:val="clear" w:color="auto" w:fill="D9D9D9"/>
            <w:noWrap/>
            <w:vAlign w:val="bottom"/>
            <w:hideMark/>
          </w:tcPr>
          <w:p w:rsidR="00A42456" w:rsidRDefault="00A42456">
            <w:pPr>
              <w:jc w:val="center"/>
              <w:rPr>
                <w:rFonts w:ascii="SWISS" w:hAnsi="SWISS" w:cs="Arial"/>
                <w:sz w:val="20"/>
                <w:szCs w:val="20"/>
              </w:rPr>
            </w:pPr>
            <w:r>
              <w:rPr>
                <w:rFonts w:ascii="SWISS" w:hAnsi="SWISS" w:cs="Arial"/>
                <w:sz w:val="20"/>
                <w:szCs w:val="20"/>
              </w:rPr>
              <w:t> </w:t>
            </w:r>
          </w:p>
        </w:tc>
        <w:tc>
          <w:tcPr>
            <w:tcW w:w="1600" w:type="dxa"/>
            <w:tcBorders>
              <w:top w:val="single" w:sz="4" w:space="0" w:color="auto"/>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UTILITY</w:t>
            </w:r>
          </w:p>
        </w:tc>
        <w:tc>
          <w:tcPr>
            <w:tcW w:w="1872" w:type="dxa"/>
            <w:tcBorders>
              <w:top w:val="single" w:sz="4" w:space="0" w:color="auto"/>
              <w:left w:val="nil"/>
              <w:bottom w:val="nil"/>
              <w:right w:val="single" w:sz="8" w:space="0" w:color="000000"/>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STAFF</w:t>
            </w:r>
          </w:p>
        </w:tc>
      </w:tr>
      <w:tr w:rsidR="00A42456" w:rsidTr="00A42456">
        <w:trPr>
          <w:trHeight w:val="300"/>
          <w:jc w:val="center"/>
        </w:trPr>
        <w:tc>
          <w:tcPr>
            <w:tcW w:w="5396" w:type="dxa"/>
            <w:gridSpan w:val="2"/>
            <w:tcBorders>
              <w:top w:val="nil"/>
              <w:left w:val="single" w:sz="8" w:space="0" w:color="000000"/>
              <w:bottom w:val="nil"/>
              <w:right w:val="nil"/>
            </w:tcBorders>
            <w:shd w:val="clear" w:color="auto" w:fill="D9D9D9"/>
            <w:noWrap/>
            <w:vAlign w:val="bottom"/>
            <w:hideMark/>
          </w:tcPr>
          <w:p w:rsidR="00A42456" w:rsidRDefault="00A42456">
            <w:pPr>
              <w:jc w:val="center"/>
              <w:rPr>
                <w:rFonts w:ascii="SWISS" w:hAnsi="SWISS" w:cs="Arial"/>
                <w:sz w:val="20"/>
                <w:szCs w:val="20"/>
              </w:rPr>
            </w:pPr>
            <w:r>
              <w:rPr>
                <w:rFonts w:ascii="SWISS" w:hAnsi="SWISS" w:cs="Arial"/>
                <w:sz w:val="20"/>
                <w:szCs w:val="20"/>
              </w:rPr>
              <w:t> </w:t>
            </w:r>
          </w:p>
        </w:tc>
        <w:tc>
          <w:tcPr>
            <w:tcW w:w="1600" w:type="dxa"/>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EXISTING</w:t>
            </w:r>
          </w:p>
        </w:tc>
        <w:tc>
          <w:tcPr>
            <w:tcW w:w="1872" w:type="dxa"/>
            <w:tcBorders>
              <w:top w:val="nil"/>
              <w:left w:val="nil"/>
              <w:bottom w:val="nil"/>
              <w:right w:val="single" w:sz="8" w:space="0" w:color="000000"/>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RECOMMENDED</w:t>
            </w:r>
          </w:p>
        </w:tc>
      </w:tr>
      <w:tr w:rsidR="00A42456" w:rsidTr="00A42456">
        <w:trPr>
          <w:trHeight w:val="315"/>
          <w:jc w:val="center"/>
        </w:trPr>
        <w:tc>
          <w:tcPr>
            <w:tcW w:w="5396" w:type="dxa"/>
            <w:gridSpan w:val="2"/>
            <w:tcBorders>
              <w:top w:val="nil"/>
              <w:left w:val="single" w:sz="8" w:space="0" w:color="000000"/>
              <w:bottom w:val="single" w:sz="8" w:space="0" w:color="000000"/>
              <w:right w:val="nil"/>
            </w:tcBorders>
            <w:shd w:val="clear" w:color="auto" w:fill="D9D9D9"/>
            <w:noWrap/>
            <w:vAlign w:val="bottom"/>
            <w:hideMark/>
          </w:tcPr>
          <w:p w:rsidR="00A42456" w:rsidRDefault="00A42456">
            <w:pPr>
              <w:jc w:val="center"/>
              <w:rPr>
                <w:rFonts w:ascii="SWISS" w:hAnsi="SWISS" w:cs="Arial"/>
                <w:sz w:val="20"/>
                <w:szCs w:val="20"/>
              </w:rPr>
            </w:pPr>
            <w:r>
              <w:rPr>
                <w:rFonts w:ascii="SWISS" w:hAnsi="SWISS" w:cs="Arial"/>
                <w:sz w:val="20"/>
                <w:szCs w:val="20"/>
              </w:rPr>
              <w:t> </w:t>
            </w:r>
          </w:p>
        </w:tc>
        <w:tc>
          <w:tcPr>
            <w:tcW w:w="1600" w:type="dxa"/>
            <w:tcBorders>
              <w:top w:val="nil"/>
              <w:left w:val="nil"/>
              <w:bottom w:val="single" w:sz="8" w:space="0" w:color="000000"/>
              <w:right w:val="nil"/>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RATES</w:t>
            </w:r>
          </w:p>
        </w:tc>
        <w:tc>
          <w:tcPr>
            <w:tcW w:w="1872" w:type="dxa"/>
            <w:tcBorders>
              <w:top w:val="nil"/>
              <w:left w:val="nil"/>
              <w:bottom w:val="single" w:sz="8" w:space="0" w:color="000000"/>
              <w:right w:val="single" w:sz="8" w:space="0" w:color="000000"/>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RATES</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rPr>
            </w:pPr>
            <w:r>
              <w:rPr>
                <w:rFonts w:ascii="SWISS" w:hAnsi="SWISS" w:cs="Arial"/>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rPr>
                <w:rFonts w:ascii="SWISS" w:hAnsi="SWISS" w:cs="Arial"/>
              </w:rPr>
            </w:pPr>
            <w:r>
              <w:rPr>
                <w:rFonts w:ascii="SWISS" w:hAnsi="SWISS" w:cs="Arial"/>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b/>
                <w:bCs/>
                <w:sz w:val="20"/>
                <w:szCs w:val="20"/>
                <w:u w:val="single"/>
              </w:rPr>
            </w:pPr>
            <w:r>
              <w:rPr>
                <w:rFonts w:ascii="SWISS" w:hAnsi="SWISS" w:cs="Arial"/>
                <w:b/>
                <w:bCs/>
                <w:sz w:val="20"/>
                <w:szCs w:val="20"/>
                <w:u w:val="single"/>
              </w:rPr>
              <w:t>Residential, General, and Bulk Service</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Base Facility Charge by Meter Size</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5/8" x 3/4"</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$8.72</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$6.83</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$21.81</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$17.08</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 1/2"</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$43.63</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$34.15</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2"</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$69.81</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$54.64</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3"</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$139.63</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$109.28</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4"</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$218.16</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$170.75</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6"</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$436.31</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$341.50</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rPr>
            </w:pPr>
            <w:r>
              <w:rPr>
                <w:rFonts w:ascii="SWISS" w:hAnsi="SWISS" w:cs="Arial"/>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rPr>
                <w:rFonts w:ascii="SWISS" w:hAnsi="SWISS" w:cs="Arial"/>
              </w:rPr>
            </w:pPr>
            <w:r>
              <w:rPr>
                <w:rFonts w:ascii="SWISS" w:hAnsi="SWISS" w:cs="Arial"/>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6720" w:type="dxa"/>
            <w:gridSpan w:val="2"/>
            <w:noWrap/>
            <w:vAlign w:val="bottom"/>
            <w:hideMark/>
          </w:tcPr>
          <w:p w:rsidR="00A42456" w:rsidRDefault="00A42456">
            <w:pPr>
              <w:rPr>
                <w:rFonts w:ascii="SWISS" w:hAnsi="SWISS" w:cs="Arial"/>
                <w:color w:val="000000"/>
                <w:sz w:val="20"/>
                <w:szCs w:val="20"/>
              </w:rPr>
            </w:pPr>
            <w:r>
              <w:rPr>
                <w:rFonts w:ascii="SWISS" w:hAnsi="SWISS" w:cs="Arial"/>
                <w:color w:val="000000"/>
                <w:sz w:val="20"/>
                <w:szCs w:val="20"/>
              </w:rPr>
              <w:t>Charge per 1,000 gallons - Residential</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0-10,000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$0.98</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$0.77</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10,001 - 20,000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$1.47</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$1.15</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rPr>
            </w:pPr>
            <w:r>
              <w:rPr>
                <w:rFonts w:ascii="SWISS" w:hAnsi="SWISS" w:cs="Arial"/>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Over 20,000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$1.97</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$1.54</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rPr>
            </w:pPr>
            <w:r>
              <w:rPr>
                <w:rFonts w:ascii="SWISS" w:hAnsi="SWISS" w:cs="Arial"/>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rPr>
                <w:rFonts w:ascii="SWISS" w:hAnsi="SWISS" w:cs="Arial"/>
              </w:rPr>
            </w:pPr>
            <w:r>
              <w:rPr>
                <w:rFonts w:ascii="SWISS" w:hAnsi="SWISS" w:cs="Arial"/>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Charge per 1,000 gallons - General and Bulk</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$1.29</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$1.01</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b/>
                <w:bCs/>
                <w:sz w:val="20"/>
                <w:szCs w:val="20"/>
                <w:u w:val="single"/>
              </w:rPr>
            </w:pPr>
            <w:r>
              <w:rPr>
                <w:rFonts w:ascii="SWISS" w:hAnsi="SWISS" w:cs="Arial"/>
                <w:b/>
                <w:bCs/>
                <w:sz w:val="20"/>
                <w:szCs w:val="20"/>
                <w:u w:val="single"/>
              </w:rPr>
              <w:t>Fire Protection Service</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Base Facility Charge by Meter Size</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 1/2"</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$3.63</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$2.85</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2"</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$5.82</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$4.55</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3"</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$11.63</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$9.11</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4"</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$18.18</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$14.23</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6"</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$36.37</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$28.46</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8"</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$58.18</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$45.53</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10"</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$80.00</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$65.45</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b/>
                <w:bCs/>
                <w:sz w:val="20"/>
                <w:szCs w:val="20"/>
                <w:u w:val="single"/>
              </w:rPr>
            </w:pPr>
            <w:r>
              <w:rPr>
                <w:rFonts w:ascii="SWISS" w:hAnsi="SWISS" w:cs="Arial"/>
                <w:b/>
                <w:bCs/>
                <w:sz w:val="20"/>
                <w:szCs w:val="20"/>
                <w:u w:val="single"/>
              </w:rPr>
              <w:t>Typical Residential 5/8" x 3/4" Meter Bill Comparison</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3,000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$11.66</w:t>
            </w: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$9.14</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5,000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$13.62</w:t>
            </w: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$10.68</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10,000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$18.52</w:t>
            </w: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$14.53</w:t>
            </w:r>
          </w:p>
        </w:tc>
      </w:tr>
      <w:tr w:rsidR="00A42456" w:rsidTr="00A42456">
        <w:trPr>
          <w:trHeight w:val="315"/>
          <w:jc w:val="center"/>
        </w:trPr>
        <w:tc>
          <w:tcPr>
            <w:tcW w:w="276" w:type="dxa"/>
            <w:tcBorders>
              <w:top w:val="nil"/>
              <w:left w:val="single" w:sz="8" w:space="0" w:color="000000"/>
              <w:bottom w:val="single" w:sz="8" w:space="0" w:color="000000"/>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tcBorders>
              <w:top w:val="nil"/>
              <w:left w:val="nil"/>
              <w:bottom w:val="single" w:sz="8" w:space="0" w:color="000000"/>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1600" w:type="dxa"/>
            <w:tcBorders>
              <w:top w:val="nil"/>
              <w:left w:val="nil"/>
              <w:bottom w:val="single" w:sz="8" w:space="0" w:color="000000"/>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1872" w:type="dxa"/>
            <w:tcBorders>
              <w:top w:val="nil"/>
              <w:left w:val="nil"/>
              <w:bottom w:val="single" w:sz="8" w:space="0" w:color="000000"/>
              <w:right w:val="single" w:sz="8" w:space="0" w:color="000000"/>
            </w:tcBorders>
            <w:noWrap/>
            <w:vAlign w:val="bottom"/>
            <w:hideMark/>
          </w:tcPr>
          <w:p w:rsidR="00A42456" w:rsidRDefault="00A42456">
            <w:pPr>
              <w:rPr>
                <w:rFonts w:ascii="SWISS" w:hAnsi="SWISS" w:cs="Arial"/>
                <w:sz w:val="20"/>
                <w:szCs w:val="20"/>
              </w:rPr>
            </w:pPr>
            <w:r>
              <w:rPr>
                <w:rFonts w:ascii="SWISS" w:hAnsi="SWISS" w:cs="Arial"/>
                <w:sz w:val="20"/>
                <w:szCs w:val="20"/>
              </w:rPr>
              <w:t> </w:t>
            </w:r>
          </w:p>
        </w:tc>
      </w:tr>
    </w:tbl>
    <w:p w:rsidR="00F92122" w:rsidRDefault="00F92122" w:rsidP="0070767C">
      <w:pPr>
        <w:pStyle w:val="BodyText"/>
        <w:ind w:firstLine="0"/>
        <w:sectPr w:rsidR="00F92122" w:rsidSect="0068481F">
          <w:headerReference w:type="default" r:id="rId17"/>
          <w:pgSz w:w="12240" w:h="15840" w:code="1"/>
          <w:pgMar w:top="1584" w:right="1440" w:bottom="1440" w:left="1440" w:header="720" w:footer="720" w:gutter="0"/>
          <w:cols w:space="720"/>
          <w:formProt w:val="0"/>
          <w:docGrid w:linePitch="360"/>
        </w:sectPr>
      </w:pPr>
    </w:p>
    <w:tbl>
      <w:tblPr>
        <w:tblW w:w="8868" w:type="dxa"/>
        <w:jc w:val="center"/>
        <w:tblInd w:w="93" w:type="dxa"/>
        <w:tblLook w:val="04A0" w:firstRow="1" w:lastRow="0" w:firstColumn="1" w:lastColumn="0" w:noHBand="0" w:noVBand="1"/>
      </w:tblPr>
      <w:tblGrid>
        <w:gridCol w:w="276"/>
        <w:gridCol w:w="5120"/>
        <w:gridCol w:w="1600"/>
        <w:gridCol w:w="1872"/>
      </w:tblGrid>
      <w:tr w:rsidR="00A42456" w:rsidTr="00A42456">
        <w:trPr>
          <w:trHeight w:val="300"/>
          <w:jc w:val="center"/>
        </w:trPr>
        <w:tc>
          <w:tcPr>
            <w:tcW w:w="276" w:type="dxa"/>
            <w:tcBorders>
              <w:top w:val="single" w:sz="8" w:space="0" w:color="000000"/>
              <w:left w:val="single" w:sz="8" w:space="0" w:color="000000"/>
              <w:bottom w:val="nil"/>
              <w:right w:val="nil"/>
            </w:tcBorders>
            <w:noWrap/>
            <w:vAlign w:val="bottom"/>
            <w:hideMark/>
          </w:tcPr>
          <w:p w:rsidR="00A42456" w:rsidRDefault="00A42456">
            <w:pPr>
              <w:rPr>
                <w:rFonts w:ascii="SWISS" w:hAnsi="SWISS" w:cs="Arial"/>
                <w:sz w:val="20"/>
                <w:szCs w:val="20"/>
              </w:rPr>
            </w:pPr>
            <w:bookmarkStart w:id="16" w:name="RANGE!A1:D34"/>
            <w:r>
              <w:rPr>
                <w:rFonts w:ascii="SWISS" w:hAnsi="SWISS" w:cs="Arial"/>
                <w:sz w:val="20"/>
                <w:szCs w:val="20"/>
              </w:rPr>
              <w:lastRenderedPageBreak/>
              <w:t> </w:t>
            </w:r>
            <w:bookmarkEnd w:id="16"/>
          </w:p>
        </w:tc>
        <w:tc>
          <w:tcPr>
            <w:tcW w:w="5120" w:type="dxa"/>
            <w:tcBorders>
              <w:top w:val="single" w:sz="8" w:space="0" w:color="000000"/>
              <w:left w:val="nil"/>
              <w:bottom w:val="nil"/>
              <w:right w:val="nil"/>
            </w:tcBorders>
            <w:noWrap/>
            <w:vAlign w:val="bottom"/>
            <w:hideMark/>
          </w:tcPr>
          <w:p w:rsidR="00A42456" w:rsidRDefault="00A42456">
            <w:pPr>
              <w:rPr>
                <w:rFonts w:ascii="SWISS" w:hAnsi="SWISS" w:cs="Arial"/>
                <w:b/>
                <w:bCs/>
                <w:sz w:val="20"/>
                <w:szCs w:val="20"/>
              </w:rPr>
            </w:pPr>
            <w:r>
              <w:rPr>
                <w:rFonts w:ascii="SWISS" w:hAnsi="SWISS" w:cs="Arial"/>
                <w:b/>
                <w:bCs/>
                <w:sz w:val="20"/>
                <w:szCs w:val="20"/>
              </w:rPr>
              <w:t>SOUTHLAKE UTILITIES, INC.</w:t>
            </w:r>
          </w:p>
        </w:tc>
        <w:tc>
          <w:tcPr>
            <w:tcW w:w="3472" w:type="dxa"/>
            <w:gridSpan w:val="2"/>
            <w:tcBorders>
              <w:top w:val="single" w:sz="8" w:space="0" w:color="000000"/>
              <w:left w:val="nil"/>
              <w:bottom w:val="nil"/>
              <w:right w:val="single" w:sz="8" w:space="0" w:color="000000"/>
            </w:tcBorders>
            <w:noWrap/>
            <w:vAlign w:val="bottom"/>
            <w:hideMark/>
          </w:tcPr>
          <w:p w:rsidR="00A42456" w:rsidRDefault="00A42456" w:rsidP="00A42456">
            <w:pPr>
              <w:jc w:val="right"/>
              <w:rPr>
                <w:rFonts w:ascii="SWISS" w:hAnsi="SWISS" w:cs="Arial"/>
                <w:b/>
                <w:bCs/>
                <w:sz w:val="20"/>
                <w:szCs w:val="20"/>
              </w:rPr>
            </w:pPr>
            <w:r>
              <w:rPr>
                <w:rFonts w:ascii="SWISS" w:hAnsi="SWISS" w:cs="Arial"/>
                <w:b/>
                <w:bCs/>
                <w:sz w:val="20"/>
                <w:szCs w:val="20"/>
              </w:rPr>
              <w:t> SCHEDULE NO. 1-B</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b/>
                <w:bCs/>
                <w:sz w:val="20"/>
                <w:szCs w:val="20"/>
              </w:rPr>
            </w:pPr>
            <w:r>
              <w:rPr>
                <w:rFonts w:ascii="SWISS" w:hAnsi="SWISS" w:cs="Arial"/>
                <w:b/>
                <w:bCs/>
                <w:sz w:val="20"/>
                <w:szCs w:val="20"/>
              </w:rPr>
              <w:t>TEST YEAR ENDED DECEMBER 31, 2013</w:t>
            </w:r>
          </w:p>
        </w:tc>
        <w:tc>
          <w:tcPr>
            <w:tcW w:w="3472" w:type="dxa"/>
            <w:gridSpan w:val="2"/>
            <w:tcBorders>
              <w:top w:val="nil"/>
              <w:left w:val="nil"/>
              <w:bottom w:val="nil"/>
              <w:right w:val="single" w:sz="8" w:space="0" w:color="000000"/>
            </w:tcBorders>
            <w:noWrap/>
            <w:vAlign w:val="bottom"/>
            <w:hideMark/>
          </w:tcPr>
          <w:p w:rsidR="00A42456" w:rsidRDefault="00A42456" w:rsidP="00F92122">
            <w:pPr>
              <w:jc w:val="right"/>
              <w:rPr>
                <w:rFonts w:ascii="SWISS" w:hAnsi="SWISS" w:cs="Arial"/>
                <w:b/>
                <w:bCs/>
                <w:sz w:val="20"/>
                <w:szCs w:val="20"/>
              </w:rPr>
            </w:pPr>
            <w:r>
              <w:rPr>
                <w:rFonts w:ascii="SWISS" w:hAnsi="SWISS" w:cs="Arial"/>
                <w:b/>
                <w:bCs/>
                <w:sz w:val="20"/>
                <w:szCs w:val="20"/>
              </w:rPr>
              <w:t>D</w:t>
            </w:r>
            <w:r w:rsidR="00F92122">
              <w:rPr>
                <w:rFonts w:ascii="SWISS" w:hAnsi="SWISS" w:cs="Arial"/>
                <w:b/>
                <w:bCs/>
                <w:sz w:val="20"/>
                <w:szCs w:val="20"/>
              </w:rPr>
              <w:t>OCKET NO</w:t>
            </w:r>
            <w:r>
              <w:rPr>
                <w:rFonts w:ascii="SWISS" w:hAnsi="SWISS" w:cs="Arial"/>
                <w:b/>
                <w:bCs/>
                <w:sz w:val="20"/>
                <w:szCs w:val="20"/>
              </w:rPr>
              <w:t>. 150069-WS</w:t>
            </w:r>
          </w:p>
        </w:tc>
      </w:tr>
      <w:tr w:rsidR="00A42456" w:rsidTr="00F92122">
        <w:trPr>
          <w:trHeight w:val="315"/>
          <w:jc w:val="center"/>
        </w:trPr>
        <w:tc>
          <w:tcPr>
            <w:tcW w:w="276" w:type="dxa"/>
            <w:tcBorders>
              <w:top w:val="nil"/>
              <w:left w:val="single" w:sz="8" w:space="0" w:color="000000"/>
              <w:bottom w:val="single" w:sz="4" w:space="0" w:color="auto"/>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tcBorders>
              <w:bottom w:val="single" w:sz="4" w:space="0" w:color="auto"/>
            </w:tcBorders>
            <w:noWrap/>
            <w:vAlign w:val="bottom"/>
            <w:hideMark/>
          </w:tcPr>
          <w:p w:rsidR="00A42456" w:rsidRDefault="00A42456">
            <w:pPr>
              <w:rPr>
                <w:rFonts w:ascii="SWISS" w:hAnsi="SWISS" w:cs="Arial"/>
                <w:b/>
                <w:bCs/>
                <w:sz w:val="20"/>
                <w:szCs w:val="20"/>
              </w:rPr>
            </w:pPr>
            <w:r>
              <w:rPr>
                <w:rFonts w:ascii="SWISS" w:hAnsi="SWISS" w:cs="Arial"/>
                <w:b/>
                <w:bCs/>
                <w:sz w:val="20"/>
                <w:szCs w:val="20"/>
              </w:rPr>
              <w:t>MONTHLY WASTEWATER RATES</w:t>
            </w:r>
          </w:p>
        </w:tc>
        <w:tc>
          <w:tcPr>
            <w:tcW w:w="1600" w:type="dxa"/>
            <w:tcBorders>
              <w:bottom w:val="single" w:sz="4" w:space="0" w:color="auto"/>
            </w:tcBorders>
            <w:noWrap/>
            <w:vAlign w:val="bottom"/>
            <w:hideMark/>
          </w:tcPr>
          <w:p w:rsidR="00A42456" w:rsidRDefault="00A42456">
            <w:pPr>
              <w:rPr>
                <w:sz w:val="20"/>
                <w:szCs w:val="20"/>
              </w:rPr>
            </w:pPr>
          </w:p>
        </w:tc>
        <w:tc>
          <w:tcPr>
            <w:tcW w:w="1872" w:type="dxa"/>
            <w:tcBorders>
              <w:top w:val="nil"/>
              <w:left w:val="nil"/>
              <w:bottom w:val="single" w:sz="4" w:space="0" w:color="auto"/>
              <w:right w:val="single" w:sz="8" w:space="0" w:color="000000"/>
            </w:tcBorders>
            <w:noWrap/>
            <w:vAlign w:val="bottom"/>
            <w:hideMark/>
          </w:tcPr>
          <w:p w:rsidR="00A42456" w:rsidRDefault="00A42456">
            <w:pPr>
              <w:jc w:val="right"/>
              <w:rPr>
                <w:rFonts w:ascii="SWISS" w:hAnsi="SWISS" w:cs="Arial"/>
                <w:b/>
                <w:bCs/>
                <w:sz w:val="20"/>
                <w:szCs w:val="20"/>
              </w:rPr>
            </w:pPr>
            <w:r>
              <w:rPr>
                <w:rFonts w:ascii="SWISS" w:hAnsi="SWISS" w:cs="Arial"/>
                <w:b/>
                <w:bCs/>
                <w:sz w:val="20"/>
                <w:szCs w:val="20"/>
              </w:rPr>
              <w:t> </w:t>
            </w:r>
          </w:p>
        </w:tc>
      </w:tr>
      <w:tr w:rsidR="00A42456" w:rsidTr="00F92122">
        <w:trPr>
          <w:trHeight w:val="300"/>
          <w:jc w:val="center"/>
        </w:trPr>
        <w:tc>
          <w:tcPr>
            <w:tcW w:w="5396" w:type="dxa"/>
            <w:gridSpan w:val="2"/>
            <w:tcBorders>
              <w:top w:val="single" w:sz="4" w:space="0" w:color="auto"/>
              <w:left w:val="single" w:sz="8" w:space="0" w:color="000000"/>
              <w:bottom w:val="nil"/>
              <w:right w:val="nil"/>
            </w:tcBorders>
            <w:shd w:val="clear" w:color="auto" w:fill="D9D9D9"/>
            <w:noWrap/>
            <w:vAlign w:val="bottom"/>
            <w:hideMark/>
          </w:tcPr>
          <w:p w:rsidR="00A42456" w:rsidRDefault="00A42456">
            <w:pPr>
              <w:jc w:val="center"/>
              <w:rPr>
                <w:rFonts w:ascii="SWISS" w:hAnsi="SWISS" w:cs="Arial"/>
                <w:sz w:val="20"/>
                <w:szCs w:val="20"/>
              </w:rPr>
            </w:pPr>
            <w:r>
              <w:rPr>
                <w:rFonts w:ascii="SWISS" w:hAnsi="SWISS" w:cs="Arial"/>
                <w:sz w:val="20"/>
                <w:szCs w:val="20"/>
              </w:rPr>
              <w:t> </w:t>
            </w:r>
          </w:p>
        </w:tc>
        <w:tc>
          <w:tcPr>
            <w:tcW w:w="1600" w:type="dxa"/>
            <w:tcBorders>
              <w:top w:val="single" w:sz="4" w:space="0" w:color="auto"/>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UTILITY</w:t>
            </w:r>
          </w:p>
        </w:tc>
        <w:tc>
          <w:tcPr>
            <w:tcW w:w="1872" w:type="dxa"/>
            <w:tcBorders>
              <w:top w:val="single" w:sz="4" w:space="0" w:color="auto"/>
              <w:left w:val="nil"/>
              <w:bottom w:val="nil"/>
              <w:right w:val="single" w:sz="8" w:space="0" w:color="000000"/>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STAFF</w:t>
            </w:r>
          </w:p>
        </w:tc>
      </w:tr>
      <w:tr w:rsidR="00A42456" w:rsidTr="00A42456">
        <w:trPr>
          <w:trHeight w:val="300"/>
          <w:jc w:val="center"/>
        </w:trPr>
        <w:tc>
          <w:tcPr>
            <w:tcW w:w="5396" w:type="dxa"/>
            <w:gridSpan w:val="2"/>
            <w:tcBorders>
              <w:top w:val="nil"/>
              <w:left w:val="single" w:sz="8" w:space="0" w:color="000000"/>
              <w:bottom w:val="nil"/>
              <w:right w:val="nil"/>
            </w:tcBorders>
            <w:shd w:val="clear" w:color="auto" w:fill="D9D9D9"/>
            <w:noWrap/>
            <w:vAlign w:val="bottom"/>
            <w:hideMark/>
          </w:tcPr>
          <w:p w:rsidR="00A42456" w:rsidRDefault="00A42456">
            <w:pPr>
              <w:jc w:val="center"/>
              <w:rPr>
                <w:rFonts w:ascii="SWISS" w:hAnsi="SWISS" w:cs="Arial"/>
                <w:sz w:val="20"/>
                <w:szCs w:val="20"/>
              </w:rPr>
            </w:pPr>
            <w:r>
              <w:rPr>
                <w:rFonts w:ascii="SWISS" w:hAnsi="SWISS" w:cs="Arial"/>
                <w:sz w:val="20"/>
                <w:szCs w:val="20"/>
              </w:rPr>
              <w:t> </w:t>
            </w:r>
          </w:p>
        </w:tc>
        <w:tc>
          <w:tcPr>
            <w:tcW w:w="1600" w:type="dxa"/>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EXISTING</w:t>
            </w:r>
          </w:p>
        </w:tc>
        <w:tc>
          <w:tcPr>
            <w:tcW w:w="1872" w:type="dxa"/>
            <w:tcBorders>
              <w:top w:val="nil"/>
              <w:left w:val="nil"/>
              <w:bottom w:val="nil"/>
              <w:right w:val="single" w:sz="8" w:space="0" w:color="000000"/>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RECOMMENDED</w:t>
            </w:r>
          </w:p>
        </w:tc>
      </w:tr>
      <w:tr w:rsidR="00A42456" w:rsidTr="00A42456">
        <w:trPr>
          <w:trHeight w:val="315"/>
          <w:jc w:val="center"/>
        </w:trPr>
        <w:tc>
          <w:tcPr>
            <w:tcW w:w="5396" w:type="dxa"/>
            <w:gridSpan w:val="2"/>
            <w:tcBorders>
              <w:top w:val="nil"/>
              <w:left w:val="single" w:sz="8" w:space="0" w:color="000000"/>
              <w:bottom w:val="single" w:sz="8" w:space="0" w:color="000000"/>
              <w:right w:val="nil"/>
            </w:tcBorders>
            <w:shd w:val="clear" w:color="auto" w:fill="D9D9D9"/>
            <w:noWrap/>
            <w:vAlign w:val="bottom"/>
            <w:hideMark/>
          </w:tcPr>
          <w:p w:rsidR="00A42456" w:rsidRDefault="00A42456">
            <w:pPr>
              <w:jc w:val="center"/>
              <w:rPr>
                <w:rFonts w:ascii="SWISS" w:hAnsi="SWISS" w:cs="Arial"/>
                <w:sz w:val="20"/>
                <w:szCs w:val="20"/>
              </w:rPr>
            </w:pPr>
            <w:r>
              <w:rPr>
                <w:rFonts w:ascii="SWISS" w:hAnsi="SWISS" w:cs="Arial"/>
                <w:sz w:val="20"/>
                <w:szCs w:val="20"/>
              </w:rPr>
              <w:t> </w:t>
            </w:r>
          </w:p>
        </w:tc>
        <w:tc>
          <w:tcPr>
            <w:tcW w:w="1600" w:type="dxa"/>
            <w:tcBorders>
              <w:top w:val="nil"/>
              <w:left w:val="nil"/>
              <w:bottom w:val="single" w:sz="8" w:space="0" w:color="000000"/>
              <w:right w:val="nil"/>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RATES</w:t>
            </w:r>
          </w:p>
        </w:tc>
        <w:tc>
          <w:tcPr>
            <w:tcW w:w="1872" w:type="dxa"/>
            <w:tcBorders>
              <w:top w:val="nil"/>
              <w:left w:val="nil"/>
              <w:bottom w:val="single" w:sz="8" w:space="0" w:color="000000"/>
              <w:right w:val="single" w:sz="8" w:space="0" w:color="000000"/>
            </w:tcBorders>
            <w:shd w:val="clear" w:color="auto" w:fill="D9D9D9"/>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RATES</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rPr>
            </w:pPr>
            <w:r>
              <w:rPr>
                <w:rFonts w:ascii="SWISS" w:hAnsi="SWISS" w:cs="Arial"/>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rPr>
                <w:rFonts w:ascii="SWISS" w:hAnsi="SWISS" w:cs="Arial"/>
              </w:rPr>
            </w:pPr>
            <w:r>
              <w:rPr>
                <w:rFonts w:ascii="SWISS" w:hAnsi="SWISS" w:cs="Arial"/>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b/>
                <w:bCs/>
                <w:sz w:val="20"/>
                <w:szCs w:val="20"/>
                <w:u w:val="single"/>
              </w:rPr>
            </w:pPr>
            <w:r>
              <w:rPr>
                <w:rFonts w:ascii="SWISS" w:hAnsi="SWISS" w:cs="Arial"/>
                <w:b/>
                <w:bCs/>
                <w:sz w:val="20"/>
                <w:szCs w:val="20"/>
                <w:u w:val="single"/>
              </w:rPr>
              <w:t>Residential Service</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auto"/>
            </w:tcBorders>
            <w:noWrap/>
            <w:vAlign w:val="bottom"/>
            <w:hideMark/>
          </w:tcPr>
          <w:p w:rsidR="00A42456" w:rsidRDefault="00A42456">
            <w:pPr>
              <w:jc w:val="center"/>
              <w:rPr>
                <w:rFonts w:ascii="SWISS" w:hAnsi="SWISS" w:cs="Arial"/>
                <w:b/>
                <w:bCs/>
                <w:sz w:val="20"/>
                <w:szCs w:val="20"/>
              </w:rPr>
            </w:pPr>
            <w:r>
              <w:rPr>
                <w:rFonts w:ascii="SWISS" w:hAnsi="SWISS" w:cs="Arial"/>
                <w:b/>
                <w:bCs/>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Base Facility Charge - All Meter Sizes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$14.45</w:t>
            </w: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$14.34</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auto"/>
            </w:tcBorders>
            <w:noWrap/>
            <w:vAlign w:val="bottom"/>
            <w:hideMark/>
          </w:tcPr>
          <w:p w:rsidR="00A42456" w:rsidRDefault="00A42456">
            <w:pPr>
              <w:rPr>
                <w:rFonts w:ascii="SWISS" w:hAnsi="SWISS" w:cs="Arial"/>
              </w:rPr>
            </w:pPr>
            <w:r>
              <w:rPr>
                <w:rFonts w:ascii="SWISS" w:hAnsi="SWISS" w:cs="Arial"/>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color w:val="000000"/>
                <w:sz w:val="20"/>
                <w:szCs w:val="20"/>
              </w:rPr>
            </w:pPr>
            <w:r>
              <w:rPr>
                <w:rFonts w:ascii="SWISS" w:hAnsi="SWISS" w:cs="Arial"/>
                <w:color w:val="000000"/>
                <w:sz w:val="20"/>
                <w:szCs w:val="20"/>
              </w:rPr>
              <w:t>Charge per 1,000 gallons - Residential</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$1.35</w:t>
            </w: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$1.34</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*10,000 gallon cap</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auto"/>
            </w:tcBorders>
            <w:noWrap/>
            <w:vAlign w:val="bottom"/>
            <w:hideMark/>
          </w:tcPr>
          <w:p w:rsidR="00A42456" w:rsidRDefault="00A42456">
            <w:pPr>
              <w:rPr>
                <w:rFonts w:ascii="SWISS" w:hAnsi="SWISS" w:cs="Arial"/>
              </w:rPr>
            </w:pPr>
            <w:r>
              <w:rPr>
                <w:rFonts w:ascii="SWISS" w:hAnsi="SWISS" w:cs="Arial"/>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b/>
                <w:bCs/>
                <w:sz w:val="20"/>
                <w:szCs w:val="20"/>
                <w:u w:val="single"/>
              </w:rPr>
            </w:pPr>
            <w:r>
              <w:rPr>
                <w:rFonts w:ascii="SWISS" w:hAnsi="SWISS" w:cs="Arial"/>
                <w:b/>
                <w:bCs/>
                <w:sz w:val="20"/>
                <w:szCs w:val="20"/>
                <w:u w:val="single"/>
              </w:rPr>
              <w:t>General and Bulk Service</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Base Facility Charge by Meter Size</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5/8 x 3/4"</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$14.45</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$14.34</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$36.12</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$35.85</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 1/2"</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$72.23</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$71.70</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2"</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$115.56</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$114.72</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3"</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$231.12</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$229.44</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4"</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$361.12</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$358.50</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6"</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$722.25</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$717.00</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Charge per 1,000 Gallons - General and Bulk Service</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$1.62</w:t>
            </w: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$1.61</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sz w:val="20"/>
                <w:szCs w:val="20"/>
              </w:rPr>
            </w:pP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b/>
                <w:bCs/>
                <w:sz w:val="20"/>
                <w:szCs w:val="20"/>
                <w:u w:val="single"/>
              </w:rPr>
            </w:pPr>
            <w:r>
              <w:rPr>
                <w:rFonts w:ascii="SWISS" w:hAnsi="SWISS" w:cs="Arial"/>
                <w:b/>
                <w:bCs/>
                <w:sz w:val="20"/>
                <w:szCs w:val="20"/>
                <w:u w:val="single"/>
              </w:rPr>
              <w:t>Typical Residential 5/8" x 3/4" Meter Bill Comparison</w:t>
            </w:r>
          </w:p>
        </w:tc>
        <w:tc>
          <w:tcPr>
            <w:tcW w:w="1600" w:type="dxa"/>
            <w:noWrap/>
            <w:vAlign w:val="bottom"/>
            <w:hideMark/>
          </w:tcPr>
          <w:p w:rsidR="00A42456" w:rsidRDefault="00A42456">
            <w:pPr>
              <w:rPr>
                <w:sz w:val="20"/>
                <w:szCs w:val="20"/>
              </w:rPr>
            </w:pPr>
          </w:p>
        </w:tc>
        <w:tc>
          <w:tcPr>
            <w:tcW w:w="1872" w:type="dxa"/>
            <w:tcBorders>
              <w:top w:val="nil"/>
              <w:left w:val="nil"/>
              <w:bottom w:val="nil"/>
              <w:right w:val="single" w:sz="8" w:space="0" w:color="000000"/>
            </w:tcBorders>
            <w:noWrap/>
            <w:vAlign w:val="bottom"/>
            <w:hideMark/>
          </w:tcPr>
          <w:p w:rsidR="00A42456" w:rsidRDefault="00A42456">
            <w:pPr>
              <w:jc w:val="right"/>
              <w:rPr>
                <w:rFonts w:ascii="SWISS" w:hAnsi="SWISS" w:cs="Arial"/>
                <w:sz w:val="20"/>
                <w:szCs w:val="20"/>
              </w:rPr>
            </w:pPr>
            <w:r>
              <w:rPr>
                <w:rFonts w:ascii="SWISS" w:hAnsi="SWISS" w:cs="Arial"/>
                <w:sz w:val="20"/>
                <w:szCs w:val="20"/>
              </w:rPr>
              <w:t> </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3,000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$18.50</w:t>
            </w: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$18.36</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5,000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$21.20</w:t>
            </w: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$21.04</w:t>
            </w:r>
          </w:p>
        </w:tc>
      </w:tr>
      <w:tr w:rsidR="00A42456" w:rsidTr="00A42456">
        <w:trPr>
          <w:trHeight w:val="300"/>
          <w:jc w:val="center"/>
        </w:trPr>
        <w:tc>
          <w:tcPr>
            <w:tcW w:w="276" w:type="dxa"/>
            <w:tcBorders>
              <w:top w:val="nil"/>
              <w:left w:val="single" w:sz="8" w:space="0" w:color="000000"/>
              <w:bottom w:val="nil"/>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noWrap/>
            <w:vAlign w:val="bottom"/>
            <w:hideMark/>
          </w:tcPr>
          <w:p w:rsidR="00A42456" w:rsidRDefault="00A42456">
            <w:pPr>
              <w:rPr>
                <w:rFonts w:ascii="SWISS" w:hAnsi="SWISS" w:cs="Arial"/>
                <w:sz w:val="20"/>
                <w:szCs w:val="20"/>
              </w:rPr>
            </w:pPr>
            <w:r>
              <w:rPr>
                <w:rFonts w:ascii="SWISS" w:hAnsi="SWISS" w:cs="Arial"/>
                <w:sz w:val="20"/>
                <w:szCs w:val="20"/>
              </w:rPr>
              <w:t>10,000 Gallons</w:t>
            </w:r>
          </w:p>
        </w:tc>
        <w:tc>
          <w:tcPr>
            <w:tcW w:w="1600" w:type="dxa"/>
            <w:noWrap/>
            <w:vAlign w:val="bottom"/>
            <w:hideMark/>
          </w:tcPr>
          <w:p w:rsidR="00A42456" w:rsidRDefault="00A42456">
            <w:pPr>
              <w:jc w:val="right"/>
              <w:rPr>
                <w:rFonts w:ascii="SWISS" w:hAnsi="SWISS" w:cs="Arial"/>
                <w:sz w:val="20"/>
                <w:szCs w:val="20"/>
              </w:rPr>
            </w:pPr>
            <w:r>
              <w:rPr>
                <w:rFonts w:ascii="SWISS" w:hAnsi="SWISS" w:cs="Arial"/>
                <w:sz w:val="20"/>
                <w:szCs w:val="20"/>
              </w:rPr>
              <w:t>$27.95</w:t>
            </w:r>
          </w:p>
        </w:tc>
        <w:tc>
          <w:tcPr>
            <w:tcW w:w="1872" w:type="dxa"/>
            <w:tcBorders>
              <w:top w:val="nil"/>
              <w:left w:val="nil"/>
              <w:bottom w:val="nil"/>
              <w:right w:val="single" w:sz="8" w:space="0" w:color="auto"/>
            </w:tcBorders>
            <w:noWrap/>
            <w:vAlign w:val="bottom"/>
            <w:hideMark/>
          </w:tcPr>
          <w:p w:rsidR="00A42456" w:rsidRDefault="00A42456">
            <w:pPr>
              <w:jc w:val="right"/>
              <w:rPr>
                <w:rFonts w:ascii="SWISS" w:hAnsi="SWISS" w:cs="Arial"/>
                <w:sz w:val="20"/>
                <w:szCs w:val="20"/>
              </w:rPr>
            </w:pPr>
            <w:r>
              <w:rPr>
                <w:rFonts w:ascii="SWISS" w:hAnsi="SWISS" w:cs="Arial"/>
                <w:sz w:val="20"/>
                <w:szCs w:val="20"/>
              </w:rPr>
              <w:t>$27.74</w:t>
            </w:r>
          </w:p>
        </w:tc>
      </w:tr>
      <w:tr w:rsidR="00A42456" w:rsidTr="00A42456">
        <w:trPr>
          <w:trHeight w:val="315"/>
          <w:jc w:val="center"/>
        </w:trPr>
        <w:tc>
          <w:tcPr>
            <w:tcW w:w="276" w:type="dxa"/>
            <w:tcBorders>
              <w:top w:val="nil"/>
              <w:left w:val="single" w:sz="8" w:space="0" w:color="000000"/>
              <w:bottom w:val="single" w:sz="8" w:space="0" w:color="000000"/>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5120" w:type="dxa"/>
            <w:tcBorders>
              <w:top w:val="nil"/>
              <w:left w:val="nil"/>
              <w:bottom w:val="single" w:sz="8" w:space="0" w:color="000000"/>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1600" w:type="dxa"/>
            <w:tcBorders>
              <w:top w:val="nil"/>
              <w:left w:val="nil"/>
              <w:bottom w:val="single" w:sz="8" w:space="0" w:color="000000"/>
              <w:right w:val="nil"/>
            </w:tcBorders>
            <w:noWrap/>
            <w:vAlign w:val="bottom"/>
            <w:hideMark/>
          </w:tcPr>
          <w:p w:rsidR="00A42456" w:rsidRDefault="00A42456">
            <w:pPr>
              <w:rPr>
                <w:rFonts w:ascii="SWISS" w:hAnsi="SWISS" w:cs="Arial"/>
                <w:sz w:val="20"/>
                <w:szCs w:val="20"/>
              </w:rPr>
            </w:pPr>
            <w:r>
              <w:rPr>
                <w:rFonts w:ascii="SWISS" w:hAnsi="SWISS" w:cs="Arial"/>
                <w:sz w:val="20"/>
                <w:szCs w:val="20"/>
              </w:rPr>
              <w:t> </w:t>
            </w:r>
          </w:p>
        </w:tc>
        <w:tc>
          <w:tcPr>
            <w:tcW w:w="1872" w:type="dxa"/>
            <w:tcBorders>
              <w:top w:val="nil"/>
              <w:left w:val="nil"/>
              <w:bottom w:val="single" w:sz="8" w:space="0" w:color="000000"/>
              <w:right w:val="single" w:sz="8" w:space="0" w:color="000000"/>
            </w:tcBorders>
            <w:noWrap/>
            <w:vAlign w:val="bottom"/>
            <w:hideMark/>
          </w:tcPr>
          <w:p w:rsidR="00A42456" w:rsidRDefault="00A42456">
            <w:pPr>
              <w:rPr>
                <w:rFonts w:ascii="SWISS" w:hAnsi="SWISS" w:cs="Arial"/>
                <w:sz w:val="20"/>
                <w:szCs w:val="20"/>
              </w:rPr>
            </w:pPr>
            <w:r>
              <w:rPr>
                <w:rFonts w:ascii="SWISS" w:hAnsi="SWISS" w:cs="Arial"/>
                <w:sz w:val="20"/>
                <w:szCs w:val="20"/>
              </w:rPr>
              <w:t> </w:t>
            </w:r>
          </w:p>
        </w:tc>
      </w:tr>
    </w:tbl>
    <w:p w:rsidR="00BE4FD5" w:rsidRDefault="00BE4FD5" w:rsidP="00BE4FD5">
      <w:pPr>
        <w:pStyle w:val="BodyText"/>
        <w:ind w:firstLine="0"/>
      </w:pPr>
    </w:p>
    <w:sectPr w:rsidR="00BE4FD5"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A14" w:rsidRDefault="00B50A14">
      <w:r>
        <w:separator/>
      </w:r>
    </w:p>
  </w:endnote>
  <w:endnote w:type="continuationSeparator" w:id="0">
    <w:p w:rsidR="00B50A14" w:rsidRDefault="00B5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35920">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A14" w:rsidRDefault="00B50A14">
      <w:r>
        <w:separator/>
      </w:r>
    </w:p>
  </w:footnote>
  <w:footnote w:type="continuationSeparator" w:id="0">
    <w:p w:rsidR="00B50A14" w:rsidRDefault="00B50A14">
      <w:r>
        <w:continuationSeparator/>
      </w:r>
    </w:p>
  </w:footnote>
  <w:footnote w:id="1">
    <w:p w:rsidR="00B50A14" w:rsidRPr="00237E95" w:rsidRDefault="00B50A14" w:rsidP="00EA044D">
      <w:pPr>
        <w:pStyle w:val="FootnoteText"/>
        <w:rPr>
          <w:u w:val="single"/>
        </w:rPr>
      </w:pPr>
      <w:r>
        <w:rPr>
          <w:rStyle w:val="FootnoteReference"/>
        </w:rPr>
        <w:footnoteRef/>
      </w:r>
      <w:r>
        <w:t xml:space="preserve"> </w:t>
      </w:r>
      <w:r w:rsidR="00FA2779" w:rsidRPr="00FA2779">
        <w:rPr>
          <w:u w:val="single"/>
        </w:rPr>
        <w:t>See</w:t>
      </w:r>
      <w:r w:rsidR="00FA2779">
        <w:t xml:space="preserve"> </w:t>
      </w:r>
      <w:r w:rsidRPr="00665ABD">
        <w:t>Order No.</w:t>
      </w:r>
      <w:r>
        <w:t xml:space="preserve"> PSC-09-0623-PAA-WS</w:t>
      </w:r>
      <w:r w:rsidRPr="00665ABD">
        <w:t xml:space="preserve">, issued </w:t>
      </w:r>
      <w:r>
        <w:t>September 15, 2009</w:t>
      </w:r>
      <w:r w:rsidRPr="00665ABD">
        <w:t xml:space="preserve">, in Docket No. </w:t>
      </w:r>
      <w:r>
        <w:t>080597</w:t>
      </w:r>
      <w:r w:rsidRPr="00665ABD">
        <w:t xml:space="preserve">-WS, </w:t>
      </w:r>
      <w:r w:rsidRPr="00665ABD">
        <w:rPr>
          <w:u w:val="single"/>
        </w:rPr>
        <w:t xml:space="preserve">In re: </w:t>
      </w:r>
      <w:r w:rsidRPr="00237E95">
        <w:rPr>
          <w:u w:val="single"/>
        </w:rPr>
        <w:t xml:space="preserve">Application for </w:t>
      </w:r>
      <w:r>
        <w:rPr>
          <w:u w:val="single"/>
        </w:rPr>
        <w:t>increase in water and wastewater r</w:t>
      </w:r>
      <w:r w:rsidRPr="00237E95">
        <w:rPr>
          <w:u w:val="single"/>
        </w:rPr>
        <w:t xml:space="preserve">ates in Lake County by </w:t>
      </w:r>
      <w:r>
        <w:rPr>
          <w:u w:val="single"/>
        </w:rPr>
        <w:t>Southlake Utilities, Inc.</w:t>
      </w:r>
    </w:p>
  </w:footnote>
  <w:footnote w:id="2">
    <w:p w:rsidR="00202E73" w:rsidRDefault="00202E73" w:rsidP="00202E73">
      <w:pPr>
        <w:pStyle w:val="FootnoteText"/>
      </w:pPr>
      <w:r>
        <w:rPr>
          <w:rStyle w:val="FootnoteReference"/>
        </w:rPr>
        <w:footnoteRef/>
      </w:r>
      <w:r>
        <w:t xml:space="preserve"> Document No. 01253-15, in Docket No. 150069-WS.</w:t>
      </w:r>
    </w:p>
  </w:footnote>
  <w:footnote w:id="3">
    <w:p w:rsidR="00B50A14" w:rsidRDefault="00B50A14" w:rsidP="00374493">
      <w:pPr>
        <w:pStyle w:val="FootnoteText"/>
      </w:pPr>
      <w:r>
        <w:rPr>
          <w:rStyle w:val="FootnoteReference"/>
        </w:rPr>
        <w:footnoteRef/>
      </w:r>
      <w:r>
        <w:t xml:space="preserve"> </w:t>
      </w:r>
      <w:r>
        <w:rPr>
          <w:u w:val="single"/>
        </w:rPr>
        <w:t>See</w:t>
      </w:r>
      <w:r>
        <w:t xml:space="preserve"> Order Nos. PSC-09-0711-AS-WS, issued October 26, 2009, in Docket No. 080249-WS, </w:t>
      </w:r>
      <w:r>
        <w:rPr>
          <w:u w:val="single"/>
        </w:rPr>
        <w:t>In re: Application for increase in water and wastewater rates in Pasco County by Labrador  Utilities, Inc.</w:t>
      </w:r>
      <w:r>
        <w:t xml:space="preserve">; PSC-08-0640-AS-WU, issued October 3, 2008, in Docket No. 070601-WU, </w:t>
      </w:r>
      <w:r>
        <w:rPr>
          <w:u w:val="single"/>
        </w:rPr>
        <w:t xml:space="preserve">In re: Application for staff-assisted rate case in Pasco County by </w:t>
      </w:r>
      <w:proofErr w:type="spellStart"/>
      <w:r>
        <w:rPr>
          <w:u w:val="single"/>
        </w:rPr>
        <w:t>Orangeland</w:t>
      </w:r>
      <w:proofErr w:type="spellEnd"/>
      <w:r>
        <w:rPr>
          <w:u w:val="single"/>
        </w:rPr>
        <w:t xml:space="preserve"> Water Supply</w:t>
      </w:r>
      <w:r>
        <w:t xml:space="preserve">; and PSC-07-0534-AS-WS, issued June 26, 2007, in Docket No. 060261-WS, </w:t>
      </w:r>
      <w:r>
        <w:rPr>
          <w:u w:val="single"/>
        </w:rPr>
        <w:t xml:space="preserve">In re: Application for increase in water and wastewater rates in Lake County by Utilities, Inc. of </w:t>
      </w:r>
      <w:proofErr w:type="spellStart"/>
      <w:r>
        <w:rPr>
          <w:u w:val="single"/>
        </w:rPr>
        <w:t>Pennbrooke</w:t>
      </w:r>
      <w:proofErr w:type="spellEnd"/>
      <w:r>
        <w:t>.</w:t>
      </w:r>
    </w:p>
  </w:footnote>
  <w:footnote w:id="4">
    <w:p w:rsidR="00B50A14" w:rsidRDefault="00B50A14">
      <w:pPr>
        <w:pStyle w:val="FootnoteText"/>
      </w:pPr>
      <w:r>
        <w:rPr>
          <w:rStyle w:val="FootnoteReference"/>
        </w:rPr>
        <w:footnoteRef/>
      </w:r>
      <w:r>
        <w:t xml:space="preserve"> </w:t>
      </w:r>
      <w:r w:rsidRPr="002C53C9">
        <w:rPr>
          <w:u w:val="single"/>
        </w:rPr>
        <w:t>See</w:t>
      </w:r>
      <w:r>
        <w:t xml:space="preserve"> Order Nos. </w:t>
      </w:r>
      <w:r w:rsidRPr="002C53C9">
        <w:t xml:space="preserve">PSC-11-0012-PAA-SU, issued January </w:t>
      </w:r>
      <w:r>
        <w:t>4</w:t>
      </w:r>
      <w:r w:rsidRPr="002C53C9">
        <w:t xml:space="preserve">, 2011, in Docket No. 100446-SU, </w:t>
      </w:r>
      <w:r w:rsidRPr="00E029D8">
        <w:rPr>
          <w:u w:val="single"/>
        </w:rPr>
        <w:t>In re: Settlement proposal for possible overearnings by Tierra Verde Utilities, Inc. in Pinellas County</w:t>
      </w:r>
      <w:r w:rsidRPr="00E029D8">
        <w:t xml:space="preserve">; PSC-10-0680-PAA-SU, issued </w:t>
      </w:r>
      <w:r>
        <w:t xml:space="preserve">November 15, 2010 </w:t>
      </w:r>
      <w:r w:rsidRPr="00E029D8">
        <w:t xml:space="preserve">in Docket No. 100379-SU, </w:t>
      </w:r>
      <w:r w:rsidRPr="00E029D8">
        <w:rPr>
          <w:u w:val="single"/>
        </w:rPr>
        <w:t xml:space="preserve">In re: Settlement proposal for possible overearnings by </w:t>
      </w:r>
      <w:r>
        <w:rPr>
          <w:u w:val="single"/>
        </w:rPr>
        <w:t>Mid-County Services, Inc.</w:t>
      </w:r>
      <w:r w:rsidRPr="00E029D8">
        <w:rPr>
          <w:u w:val="single"/>
        </w:rPr>
        <w:t xml:space="preserve"> in Pinellas County</w:t>
      </w:r>
      <w:r w:rsidRPr="00E029D8">
        <w:t xml:space="preserve">; and PSC-05-0956-PAA-SU, issued October 7, 2005, in Docket No. 050540-SU, </w:t>
      </w:r>
      <w:r w:rsidRPr="00E029D8">
        <w:rPr>
          <w:u w:val="single"/>
        </w:rPr>
        <w:t>In re: Settlement offer for possible overearnings in Marion County by BFF Corp.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150069-WS</w:t>
    </w:r>
    <w:bookmarkEnd w:id="13"/>
  </w:p>
  <w:p w:rsidR="00B50A14" w:rsidRDefault="00B50A14">
    <w:pPr>
      <w:pStyle w:val="Header"/>
    </w:pPr>
    <w:r>
      <w:t xml:space="preserve">Date: </w:t>
    </w:r>
    <w:fldSimple w:instr=" REF FilingDate ">
      <w:r w:rsidR="00BC4988">
        <w:t>April 2,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rsidP="00220732">
    <w:pPr>
      <w:pStyle w:val="Header"/>
      <w:tabs>
        <w:tab w:val="clear" w:pos="4320"/>
        <w:tab w:val="clear" w:pos="8640"/>
        <w:tab w:val="right" w:pos="9360"/>
      </w:tabs>
    </w:pPr>
    <w:r>
      <w:fldChar w:fldCharType="begin"/>
    </w:r>
    <w:r>
      <w:instrText xml:space="preserve"> REF DocketLabel</w:instrText>
    </w:r>
    <w:r>
      <w:fldChar w:fldCharType="separate"/>
    </w:r>
    <w:r w:rsidR="00BC4988">
      <w:t>Docket No.</w:t>
    </w:r>
    <w:r>
      <w:fldChar w:fldCharType="end"/>
    </w:r>
    <w:r>
      <w:t xml:space="preserve"> </w:t>
    </w:r>
    <w:r>
      <w:fldChar w:fldCharType="begin"/>
    </w:r>
    <w:r>
      <w:instrText xml:space="preserve"> REF DocketList</w:instrText>
    </w:r>
    <w:r>
      <w:fldChar w:fldCharType="separate"/>
    </w:r>
    <w:r w:rsidR="00BC4988">
      <w:t>150069-WS</w:t>
    </w:r>
    <w:r>
      <w:fldChar w:fldCharType="end"/>
    </w:r>
    <w:r>
      <w:tab/>
      <w:t xml:space="preserve">Issue </w:t>
    </w:r>
    <w:fldSimple w:instr=" Seq Issue \c \* Arabic ">
      <w:r w:rsidR="00F35920">
        <w:rPr>
          <w:noProof/>
        </w:rPr>
        <w:t>2</w:t>
      </w:r>
    </w:fldSimple>
  </w:p>
  <w:p w:rsidR="00B50A14" w:rsidRDefault="00B50A14">
    <w:pPr>
      <w:pStyle w:val="Header"/>
    </w:pPr>
    <w:r>
      <w:t xml:space="preserve">Date: </w:t>
    </w:r>
    <w:fldSimple w:instr=" REF FilingDate ">
      <w:r w:rsidR="00BC4988">
        <w:t>April 2,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rsidP="00220732">
    <w:pPr>
      <w:pStyle w:val="Header"/>
      <w:tabs>
        <w:tab w:val="clear" w:pos="4320"/>
        <w:tab w:val="clear" w:pos="8640"/>
        <w:tab w:val="right" w:pos="9360"/>
      </w:tabs>
    </w:pPr>
    <w:r>
      <w:fldChar w:fldCharType="begin"/>
    </w:r>
    <w:r>
      <w:instrText xml:space="preserve"> REF DocketLabel</w:instrText>
    </w:r>
    <w:r>
      <w:fldChar w:fldCharType="separate"/>
    </w:r>
    <w:r w:rsidR="00BC4988">
      <w:t>Docket No.</w:t>
    </w:r>
    <w:r>
      <w:fldChar w:fldCharType="end"/>
    </w:r>
    <w:r>
      <w:t xml:space="preserve"> </w:t>
    </w:r>
    <w:r>
      <w:fldChar w:fldCharType="begin"/>
    </w:r>
    <w:r>
      <w:instrText xml:space="preserve"> REF DocketList</w:instrText>
    </w:r>
    <w:r>
      <w:fldChar w:fldCharType="separate"/>
    </w:r>
    <w:r w:rsidR="00BC4988">
      <w:t>150069-WS</w:t>
    </w:r>
    <w:r>
      <w:fldChar w:fldCharType="end"/>
    </w:r>
    <w:r>
      <w:tab/>
      <w:t>Attachment A</w:t>
    </w:r>
  </w:p>
  <w:p w:rsidR="00B50A14" w:rsidRDefault="00B50A14">
    <w:pPr>
      <w:pStyle w:val="Header"/>
    </w:pPr>
    <w:r>
      <w:t xml:space="preserve">Date: </w:t>
    </w:r>
    <w:fldSimple w:instr=" REF FilingDate ">
      <w:r w:rsidR="00BC4988">
        <w:t>April 2, 2015</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rsidP="00220732">
    <w:pPr>
      <w:pStyle w:val="Header"/>
      <w:tabs>
        <w:tab w:val="clear" w:pos="4320"/>
        <w:tab w:val="clear" w:pos="8640"/>
        <w:tab w:val="right" w:pos="9360"/>
      </w:tabs>
    </w:pPr>
    <w:r>
      <w:fldChar w:fldCharType="begin"/>
    </w:r>
    <w:r>
      <w:instrText xml:space="preserve"> REF DocketLabel</w:instrText>
    </w:r>
    <w:r>
      <w:fldChar w:fldCharType="separate"/>
    </w:r>
    <w:r w:rsidR="00BC4988">
      <w:t>Docket No.</w:t>
    </w:r>
    <w:r>
      <w:fldChar w:fldCharType="end"/>
    </w:r>
    <w:r>
      <w:t xml:space="preserve"> </w:t>
    </w:r>
    <w:r>
      <w:fldChar w:fldCharType="begin"/>
    </w:r>
    <w:r>
      <w:instrText xml:space="preserve"> REF DocketList</w:instrText>
    </w:r>
    <w:r>
      <w:fldChar w:fldCharType="separate"/>
    </w:r>
    <w:r w:rsidR="00BC4988">
      <w:t>150069-WS</w:t>
    </w:r>
    <w:r>
      <w:fldChar w:fldCharType="end"/>
    </w:r>
    <w:r>
      <w:tab/>
      <w:t>Schedule 1-A</w:t>
    </w:r>
  </w:p>
  <w:p w:rsidR="00B50A14" w:rsidRDefault="00B50A14">
    <w:pPr>
      <w:pStyle w:val="Header"/>
    </w:pPr>
    <w:r>
      <w:t xml:space="preserve">Date: </w:t>
    </w:r>
    <w:fldSimple w:instr=" REF FilingDate ">
      <w:r w:rsidR="00BC4988">
        <w:t>April 2, 2015</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A14" w:rsidRDefault="00B50A14" w:rsidP="00220732">
    <w:pPr>
      <w:pStyle w:val="Header"/>
      <w:tabs>
        <w:tab w:val="clear" w:pos="4320"/>
        <w:tab w:val="clear" w:pos="8640"/>
        <w:tab w:val="right" w:pos="9360"/>
      </w:tabs>
    </w:pPr>
    <w:r>
      <w:fldChar w:fldCharType="begin"/>
    </w:r>
    <w:r>
      <w:instrText xml:space="preserve"> REF DocketLabel</w:instrText>
    </w:r>
    <w:r>
      <w:fldChar w:fldCharType="separate"/>
    </w:r>
    <w:r w:rsidR="00BC4988">
      <w:t>Docket No.</w:t>
    </w:r>
    <w:r>
      <w:fldChar w:fldCharType="end"/>
    </w:r>
    <w:r>
      <w:t xml:space="preserve"> </w:t>
    </w:r>
    <w:r>
      <w:fldChar w:fldCharType="begin"/>
    </w:r>
    <w:r>
      <w:instrText xml:space="preserve"> REF DocketList</w:instrText>
    </w:r>
    <w:r>
      <w:fldChar w:fldCharType="separate"/>
    </w:r>
    <w:r w:rsidR="00BC4988">
      <w:t>150069-WS</w:t>
    </w:r>
    <w:r>
      <w:fldChar w:fldCharType="end"/>
    </w:r>
    <w:r>
      <w:tab/>
      <w:t>Schedule 1-B</w:t>
    </w:r>
  </w:p>
  <w:p w:rsidR="00B50A14" w:rsidRDefault="00B50A14">
    <w:pPr>
      <w:pStyle w:val="Header"/>
    </w:pPr>
    <w:r>
      <w:t xml:space="preserve">Date: </w:t>
    </w:r>
    <w:fldSimple w:instr=" REF FilingDate ">
      <w:r w:rsidR="00BC4988">
        <w:t>April 2, 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125F63"/>
    <w:rsid w:val="0001154C"/>
    <w:rsid w:val="00070DCB"/>
    <w:rsid w:val="000D4319"/>
    <w:rsid w:val="00117C8C"/>
    <w:rsid w:val="00125F63"/>
    <w:rsid w:val="001307AF"/>
    <w:rsid w:val="00191E1F"/>
    <w:rsid w:val="001B4FEE"/>
    <w:rsid w:val="001B51C5"/>
    <w:rsid w:val="001C52B5"/>
    <w:rsid w:val="001D0D3E"/>
    <w:rsid w:val="00202E73"/>
    <w:rsid w:val="002044E6"/>
    <w:rsid w:val="00204CEA"/>
    <w:rsid w:val="00205C82"/>
    <w:rsid w:val="00205DC2"/>
    <w:rsid w:val="00220732"/>
    <w:rsid w:val="00225C3F"/>
    <w:rsid w:val="00292D82"/>
    <w:rsid w:val="002963CB"/>
    <w:rsid w:val="002C53C9"/>
    <w:rsid w:val="002D226D"/>
    <w:rsid w:val="003037E1"/>
    <w:rsid w:val="003103EC"/>
    <w:rsid w:val="003144EF"/>
    <w:rsid w:val="00322F74"/>
    <w:rsid w:val="003315DF"/>
    <w:rsid w:val="00340073"/>
    <w:rsid w:val="0034643A"/>
    <w:rsid w:val="00373180"/>
    <w:rsid w:val="00374493"/>
    <w:rsid w:val="0038621F"/>
    <w:rsid w:val="003B2510"/>
    <w:rsid w:val="003C2CC4"/>
    <w:rsid w:val="003E0EFC"/>
    <w:rsid w:val="003E4A2B"/>
    <w:rsid w:val="003E76C2"/>
    <w:rsid w:val="003F7FDD"/>
    <w:rsid w:val="00412DAE"/>
    <w:rsid w:val="00461CA4"/>
    <w:rsid w:val="00485C98"/>
    <w:rsid w:val="004B22F6"/>
    <w:rsid w:val="004C4390"/>
    <w:rsid w:val="004C4AF7"/>
    <w:rsid w:val="004D2881"/>
    <w:rsid w:val="00512AF2"/>
    <w:rsid w:val="005614BD"/>
    <w:rsid w:val="0057154F"/>
    <w:rsid w:val="00597730"/>
    <w:rsid w:val="005A4AA2"/>
    <w:rsid w:val="005B3BFE"/>
    <w:rsid w:val="005D2E7D"/>
    <w:rsid w:val="005D561B"/>
    <w:rsid w:val="005F468D"/>
    <w:rsid w:val="0060087D"/>
    <w:rsid w:val="00615423"/>
    <w:rsid w:val="006165B2"/>
    <w:rsid w:val="0062308F"/>
    <w:rsid w:val="00625D97"/>
    <w:rsid w:val="00625F1C"/>
    <w:rsid w:val="00630CEB"/>
    <w:rsid w:val="00636744"/>
    <w:rsid w:val="00667036"/>
    <w:rsid w:val="0068481F"/>
    <w:rsid w:val="006945C1"/>
    <w:rsid w:val="00696F5D"/>
    <w:rsid w:val="006D3A97"/>
    <w:rsid w:val="00705B04"/>
    <w:rsid w:val="0070767C"/>
    <w:rsid w:val="007349DC"/>
    <w:rsid w:val="0074365E"/>
    <w:rsid w:val="007515FD"/>
    <w:rsid w:val="0076433A"/>
    <w:rsid w:val="00780C09"/>
    <w:rsid w:val="00780DDF"/>
    <w:rsid w:val="00787DBC"/>
    <w:rsid w:val="007A04A1"/>
    <w:rsid w:val="007A1840"/>
    <w:rsid w:val="007C0528"/>
    <w:rsid w:val="007C3D38"/>
    <w:rsid w:val="007E0CE7"/>
    <w:rsid w:val="007E317A"/>
    <w:rsid w:val="00816624"/>
    <w:rsid w:val="00822562"/>
    <w:rsid w:val="00823663"/>
    <w:rsid w:val="00832DDC"/>
    <w:rsid w:val="0083469C"/>
    <w:rsid w:val="00850BAC"/>
    <w:rsid w:val="00854A3E"/>
    <w:rsid w:val="00855D08"/>
    <w:rsid w:val="0088233B"/>
    <w:rsid w:val="008B62AE"/>
    <w:rsid w:val="008F7736"/>
    <w:rsid w:val="00901086"/>
    <w:rsid w:val="00901C8A"/>
    <w:rsid w:val="00905886"/>
    <w:rsid w:val="009145D6"/>
    <w:rsid w:val="00922002"/>
    <w:rsid w:val="0093658B"/>
    <w:rsid w:val="0094507F"/>
    <w:rsid w:val="00945BD6"/>
    <w:rsid w:val="00951C45"/>
    <w:rsid w:val="00971207"/>
    <w:rsid w:val="009863B0"/>
    <w:rsid w:val="0099139A"/>
    <w:rsid w:val="0099673A"/>
    <w:rsid w:val="009A7C96"/>
    <w:rsid w:val="009C3D13"/>
    <w:rsid w:val="009D46E5"/>
    <w:rsid w:val="009D568A"/>
    <w:rsid w:val="009F04EC"/>
    <w:rsid w:val="00A019B9"/>
    <w:rsid w:val="00A0269B"/>
    <w:rsid w:val="00A12508"/>
    <w:rsid w:val="00A175B6"/>
    <w:rsid w:val="00A21835"/>
    <w:rsid w:val="00A33A51"/>
    <w:rsid w:val="00A40A30"/>
    <w:rsid w:val="00A41CA6"/>
    <w:rsid w:val="00A42456"/>
    <w:rsid w:val="00A47FFC"/>
    <w:rsid w:val="00A54FF9"/>
    <w:rsid w:val="00A83DCB"/>
    <w:rsid w:val="00A92FB1"/>
    <w:rsid w:val="00A95A0C"/>
    <w:rsid w:val="00AA2765"/>
    <w:rsid w:val="00AA77B5"/>
    <w:rsid w:val="00AB6C5D"/>
    <w:rsid w:val="00AD5D52"/>
    <w:rsid w:val="00AE0A4D"/>
    <w:rsid w:val="00B00063"/>
    <w:rsid w:val="00B05B51"/>
    <w:rsid w:val="00B15370"/>
    <w:rsid w:val="00B17BEB"/>
    <w:rsid w:val="00B21A3C"/>
    <w:rsid w:val="00B234ED"/>
    <w:rsid w:val="00B25CA3"/>
    <w:rsid w:val="00B34F36"/>
    <w:rsid w:val="00B411AA"/>
    <w:rsid w:val="00B50A14"/>
    <w:rsid w:val="00B7669E"/>
    <w:rsid w:val="00B83C49"/>
    <w:rsid w:val="00BA0D55"/>
    <w:rsid w:val="00BC188A"/>
    <w:rsid w:val="00BC4988"/>
    <w:rsid w:val="00BE4FD5"/>
    <w:rsid w:val="00BF5010"/>
    <w:rsid w:val="00C36977"/>
    <w:rsid w:val="00C60BA3"/>
    <w:rsid w:val="00C623F7"/>
    <w:rsid w:val="00C86896"/>
    <w:rsid w:val="00C907A8"/>
    <w:rsid w:val="00C93211"/>
    <w:rsid w:val="00CA0818"/>
    <w:rsid w:val="00CA30DA"/>
    <w:rsid w:val="00CB33E9"/>
    <w:rsid w:val="00CD02FF"/>
    <w:rsid w:val="00CF0DA8"/>
    <w:rsid w:val="00CF4453"/>
    <w:rsid w:val="00D04BE4"/>
    <w:rsid w:val="00D14127"/>
    <w:rsid w:val="00D411DB"/>
    <w:rsid w:val="00D62F83"/>
    <w:rsid w:val="00D81563"/>
    <w:rsid w:val="00D9073E"/>
    <w:rsid w:val="00D9221D"/>
    <w:rsid w:val="00DB1C78"/>
    <w:rsid w:val="00DD150B"/>
    <w:rsid w:val="00E029D8"/>
    <w:rsid w:val="00E20A7D"/>
    <w:rsid w:val="00E375CA"/>
    <w:rsid w:val="00E65EBC"/>
    <w:rsid w:val="00E73432"/>
    <w:rsid w:val="00E77B0C"/>
    <w:rsid w:val="00E838B0"/>
    <w:rsid w:val="00E85A7D"/>
    <w:rsid w:val="00E86A7C"/>
    <w:rsid w:val="00E878E1"/>
    <w:rsid w:val="00E91EB6"/>
    <w:rsid w:val="00EA044D"/>
    <w:rsid w:val="00EA2273"/>
    <w:rsid w:val="00EC3FBB"/>
    <w:rsid w:val="00ED2D56"/>
    <w:rsid w:val="00ED3A87"/>
    <w:rsid w:val="00ED5B67"/>
    <w:rsid w:val="00EF3FEE"/>
    <w:rsid w:val="00F04B59"/>
    <w:rsid w:val="00F12B1C"/>
    <w:rsid w:val="00F15855"/>
    <w:rsid w:val="00F1789C"/>
    <w:rsid w:val="00F32978"/>
    <w:rsid w:val="00F35920"/>
    <w:rsid w:val="00F713C0"/>
    <w:rsid w:val="00F740F7"/>
    <w:rsid w:val="00F75DDC"/>
    <w:rsid w:val="00F92122"/>
    <w:rsid w:val="00FA2779"/>
    <w:rsid w:val="00FA32DE"/>
    <w:rsid w:val="00FA59CD"/>
    <w:rsid w:val="00FB1740"/>
    <w:rsid w:val="00FC0BE4"/>
    <w:rsid w:val="00FC6D7D"/>
    <w:rsid w:val="00FD4FED"/>
    <w:rsid w:val="00FE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Default">
    <w:name w:val="Default"/>
    <w:rsid w:val="00125F63"/>
    <w:pPr>
      <w:autoSpaceDE w:val="0"/>
      <w:autoSpaceDN w:val="0"/>
      <w:adjustRightInd w:val="0"/>
    </w:pPr>
    <w:rPr>
      <w:color w:val="000000"/>
      <w:sz w:val="24"/>
      <w:szCs w:val="24"/>
    </w:rPr>
  </w:style>
  <w:style w:type="paragraph" w:customStyle="1" w:styleId="CM9">
    <w:name w:val="CM9"/>
    <w:basedOn w:val="Default"/>
    <w:next w:val="Default"/>
    <w:uiPriority w:val="99"/>
    <w:rsid w:val="00125F63"/>
    <w:rPr>
      <w:color w:val="auto"/>
    </w:rPr>
  </w:style>
  <w:style w:type="paragraph" w:customStyle="1" w:styleId="CM2">
    <w:name w:val="CM2"/>
    <w:basedOn w:val="Default"/>
    <w:next w:val="Default"/>
    <w:uiPriority w:val="99"/>
    <w:rsid w:val="00125F63"/>
    <w:pPr>
      <w:spacing w:line="271" w:lineRule="atLeast"/>
    </w:pPr>
    <w:rPr>
      <w:color w:val="auto"/>
    </w:rPr>
  </w:style>
  <w:style w:type="character" w:styleId="FootnoteReference">
    <w:name w:val="footnote reference"/>
    <w:basedOn w:val="DefaultParagraphFont"/>
    <w:rsid w:val="00374493"/>
    <w:rPr>
      <w:vertAlign w:val="superscript"/>
    </w:rPr>
  </w:style>
  <w:style w:type="paragraph" w:styleId="Revision">
    <w:name w:val="Revision"/>
    <w:hidden/>
    <w:uiPriority w:val="99"/>
    <w:semiHidden/>
    <w:rsid w:val="00A4245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Default">
    <w:name w:val="Default"/>
    <w:rsid w:val="00125F63"/>
    <w:pPr>
      <w:autoSpaceDE w:val="0"/>
      <w:autoSpaceDN w:val="0"/>
      <w:adjustRightInd w:val="0"/>
    </w:pPr>
    <w:rPr>
      <w:color w:val="000000"/>
      <w:sz w:val="24"/>
      <w:szCs w:val="24"/>
    </w:rPr>
  </w:style>
  <w:style w:type="paragraph" w:customStyle="1" w:styleId="CM9">
    <w:name w:val="CM9"/>
    <w:basedOn w:val="Default"/>
    <w:next w:val="Default"/>
    <w:uiPriority w:val="99"/>
    <w:rsid w:val="00125F63"/>
    <w:rPr>
      <w:color w:val="auto"/>
    </w:rPr>
  </w:style>
  <w:style w:type="paragraph" w:customStyle="1" w:styleId="CM2">
    <w:name w:val="CM2"/>
    <w:basedOn w:val="Default"/>
    <w:next w:val="Default"/>
    <w:uiPriority w:val="99"/>
    <w:rsid w:val="00125F63"/>
    <w:pPr>
      <w:spacing w:line="271" w:lineRule="atLeast"/>
    </w:pPr>
    <w:rPr>
      <w:color w:val="auto"/>
    </w:rPr>
  </w:style>
  <w:style w:type="character" w:styleId="FootnoteReference">
    <w:name w:val="footnote reference"/>
    <w:basedOn w:val="DefaultParagraphFont"/>
    <w:rsid w:val="00374493"/>
    <w:rPr>
      <w:vertAlign w:val="superscript"/>
    </w:rPr>
  </w:style>
  <w:style w:type="paragraph" w:styleId="Revision">
    <w:name w:val="Revision"/>
    <w:hidden/>
    <w:uiPriority w:val="99"/>
    <w:semiHidden/>
    <w:rsid w:val="00A424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3156">
      <w:bodyDiv w:val="1"/>
      <w:marLeft w:val="0"/>
      <w:marRight w:val="0"/>
      <w:marTop w:val="0"/>
      <w:marBottom w:val="0"/>
      <w:divBdr>
        <w:top w:val="none" w:sz="0" w:space="0" w:color="auto"/>
        <w:left w:val="none" w:sz="0" w:space="0" w:color="auto"/>
        <w:bottom w:val="none" w:sz="0" w:space="0" w:color="auto"/>
        <w:right w:val="none" w:sz="0" w:space="0" w:color="auto"/>
      </w:divBdr>
    </w:div>
    <w:div w:id="931667449">
      <w:bodyDiv w:val="1"/>
      <w:marLeft w:val="0"/>
      <w:marRight w:val="0"/>
      <w:marTop w:val="0"/>
      <w:marBottom w:val="0"/>
      <w:divBdr>
        <w:top w:val="none" w:sz="0" w:space="0" w:color="auto"/>
        <w:left w:val="none" w:sz="0" w:space="0" w:color="auto"/>
        <w:bottom w:val="none" w:sz="0" w:space="0" w:color="auto"/>
        <w:right w:val="none" w:sz="0" w:space="0" w:color="auto"/>
      </w:divBdr>
    </w:div>
    <w:div w:id="1193304274">
      <w:bodyDiv w:val="1"/>
      <w:marLeft w:val="0"/>
      <w:marRight w:val="0"/>
      <w:marTop w:val="0"/>
      <w:marBottom w:val="0"/>
      <w:divBdr>
        <w:top w:val="none" w:sz="0" w:space="0" w:color="auto"/>
        <w:left w:val="none" w:sz="0" w:space="0" w:color="auto"/>
        <w:bottom w:val="none" w:sz="0" w:space="0" w:color="auto"/>
        <w:right w:val="none" w:sz="0" w:space="0" w:color="auto"/>
      </w:divBdr>
    </w:div>
    <w:div w:id="1304316559">
      <w:bodyDiv w:val="1"/>
      <w:marLeft w:val="0"/>
      <w:marRight w:val="0"/>
      <w:marTop w:val="0"/>
      <w:marBottom w:val="0"/>
      <w:divBdr>
        <w:top w:val="none" w:sz="0" w:space="0" w:color="auto"/>
        <w:left w:val="none" w:sz="0" w:space="0" w:color="auto"/>
        <w:bottom w:val="none" w:sz="0" w:space="0" w:color="auto"/>
        <w:right w:val="none" w:sz="0" w:space="0" w:color="auto"/>
      </w:divBdr>
    </w:div>
    <w:div w:id="1554778937">
      <w:bodyDiv w:val="1"/>
      <w:marLeft w:val="0"/>
      <w:marRight w:val="0"/>
      <w:marTop w:val="0"/>
      <w:marBottom w:val="0"/>
      <w:divBdr>
        <w:top w:val="none" w:sz="0" w:space="0" w:color="auto"/>
        <w:left w:val="none" w:sz="0" w:space="0" w:color="auto"/>
        <w:bottom w:val="none" w:sz="0" w:space="0" w:color="auto"/>
        <w:right w:val="none" w:sz="0" w:space="0" w:color="auto"/>
      </w:divBdr>
    </w:div>
    <w:div w:id="211138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4F9F-9667-4244-AC07-EEC2B7E7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Andrea Mick</cp:lastModifiedBy>
  <cp:revision>2</cp:revision>
  <cp:lastPrinted>2015-03-31T19:31:00Z</cp:lastPrinted>
  <dcterms:created xsi:type="dcterms:W3CDTF">2015-04-02T15:26:00Z</dcterms:created>
  <dcterms:modified xsi:type="dcterms:W3CDTF">2015-04-02T15:26:00Z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150069-WS</vt:lpwstr>
  </property>
  <property fmtid="{D5CDD505-2E9C-101B-9397-08002B2CF9AE}" pid="3" name="MasterDocument">
    <vt:bool>false</vt:bool>
  </property>
</Properties>
</file>