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5689" w:rsidP="00845689">
      <w:pPr>
        <w:pStyle w:val="OrderHeading"/>
      </w:pPr>
      <w:r>
        <w:t>BEFORE THE FLORIDA PUBLIC SERVICE COMMISSION</w:t>
      </w:r>
    </w:p>
    <w:p w:rsidR="00845689" w:rsidRDefault="00845689" w:rsidP="00845689">
      <w:pPr>
        <w:pStyle w:val="OrderHeading"/>
      </w:pPr>
    </w:p>
    <w:p w:rsidR="00845689" w:rsidRDefault="00845689" w:rsidP="008456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5689" w:rsidRPr="00C63FCF" w:rsidTr="00C63FCF">
        <w:trPr>
          <w:trHeight w:val="828"/>
        </w:trPr>
        <w:tc>
          <w:tcPr>
            <w:tcW w:w="4788" w:type="dxa"/>
            <w:tcBorders>
              <w:bottom w:val="single" w:sz="8" w:space="0" w:color="auto"/>
              <w:right w:val="double" w:sz="6" w:space="0" w:color="auto"/>
            </w:tcBorders>
            <w:shd w:val="clear" w:color="auto" w:fill="auto"/>
          </w:tcPr>
          <w:p w:rsidR="00845689" w:rsidRDefault="0084568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45689" w:rsidRDefault="00845689" w:rsidP="00845689">
            <w:pPr>
              <w:pStyle w:val="OrderBody"/>
            </w:pPr>
            <w:r>
              <w:t xml:space="preserve">DOCKET NO. </w:t>
            </w:r>
            <w:bookmarkStart w:id="1" w:name="SSDocketNo"/>
            <w:bookmarkEnd w:id="1"/>
            <w:r>
              <w:t>150001-EI</w:t>
            </w:r>
          </w:p>
          <w:p w:rsidR="00845689" w:rsidRDefault="00845689" w:rsidP="00C63FCF">
            <w:pPr>
              <w:pStyle w:val="OrderBody"/>
              <w:tabs>
                <w:tab w:val="center" w:pos="4320"/>
                <w:tab w:val="right" w:pos="8640"/>
              </w:tabs>
              <w:jc w:val="left"/>
            </w:pPr>
            <w:r>
              <w:t xml:space="preserve">ORDER NO. </w:t>
            </w:r>
            <w:bookmarkStart w:id="2" w:name="OrderNo0161"/>
            <w:r w:rsidR="00B860E9">
              <w:t>PSC-15-0161-PCO-EI</w:t>
            </w:r>
            <w:bookmarkEnd w:id="2"/>
          </w:p>
          <w:p w:rsidR="00845689" w:rsidRDefault="00845689" w:rsidP="00C63FCF">
            <w:pPr>
              <w:pStyle w:val="OrderBody"/>
              <w:tabs>
                <w:tab w:val="center" w:pos="4320"/>
                <w:tab w:val="right" w:pos="8640"/>
              </w:tabs>
              <w:jc w:val="left"/>
            </w:pPr>
            <w:r>
              <w:t xml:space="preserve">ISSUED: </w:t>
            </w:r>
            <w:r w:rsidR="00B860E9">
              <w:t>April 30, 2015</w:t>
            </w:r>
          </w:p>
        </w:tc>
      </w:tr>
    </w:tbl>
    <w:p w:rsidR="00845689" w:rsidRDefault="00845689" w:rsidP="00845689"/>
    <w:p w:rsidR="00845689" w:rsidRDefault="00845689" w:rsidP="00845689"/>
    <w:p w:rsidR="00845689" w:rsidRPr="00E46E1F" w:rsidRDefault="00845689">
      <w:pPr>
        <w:ind w:firstLine="720"/>
        <w:jc w:val="both"/>
      </w:pPr>
      <w:bookmarkStart w:id="3" w:name="Commissioners"/>
      <w:bookmarkEnd w:id="3"/>
      <w:r w:rsidRPr="00E46E1F">
        <w:t>The following Commissioners participated in the disposition of this matter:</w:t>
      </w:r>
    </w:p>
    <w:p w:rsidR="00845689" w:rsidRPr="00E46E1F" w:rsidRDefault="00845689"/>
    <w:p w:rsidR="00845689" w:rsidRDefault="00845689">
      <w:pPr>
        <w:jc w:val="center"/>
      </w:pPr>
      <w:r>
        <w:t>ART GRAHAM</w:t>
      </w:r>
      <w:r w:rsidRPr="00E46E1F">
        <w:t>, Chairman</w:t>
      </w:r>
    </w:p>
    <w:p w:rsidR="00845689" w:rsidRPr="00E46E1F" w:rsidRDefault="00845689">
      <w:pPr>
        <w:jc w:val="center"/>
      </w:pPr>
      <w:r w:rsidRPr="00E46E1F">
        <w:t>LISA POLAK EDGAR</w:t>
      </w:r>
    </w:p>
    <w:p w:rsidR="00845689" w:rsidRDefault="00845689">
      <w:pPr>
        <w:jc w:val="center"/>
      </w:pPr>
      <w:r>
        <w:t>RONALD A. BRISÉ</w:t>
      </w:r>
    </w:p>
    <w:p w:rsidR="00845689" w:rsidRDefault="00845689">
      <w:pPr>
        <w:jc w:val="center"/>
      </w:pPr>
      <w:r>
        <w:t>JULIE I. BROWN</w:t>
      </w:r>
    </w:p>
    <w:p w:rsidR="00845689" w:rsidRDefault="00845689">
      <w:pPr>
        <w:jc w:val="center"/>
      </w:pPr>
      <w:r>
        <w:t>JIMMY PATRONIS</w:t>
      </w:r>
    </w:p>
    <w:p w:rsidR="00CB5276" w:rsidRDefault="00CB5276">
      <w:pPr>
        <w:pStyle w:val="OrderBody"/>
      </w:pPr>
    </w:p>
    <w:p w:rsidR="00845689" w:rsidRDefault="00845689" w:rsidP="00845689">
      <w:pPr>
        <w:pStyle w:val="CenterUnderline"/>
      </w:pPr>
      <w:r>
        <w:t>ORDER</w:t>
      </w:r>
      <w:bookmarkStart w:id="4" w:name="OrderTitle"/>
      <w:r>
        <w:t xml:space="preserve"> APPROVING PETITION FOR MID-COURSE CORRECTION </w:t>
      </w:r>
      <w:bookmarkEnd w:id="4"/>
    </w:p>
    <w:p w:rsidR="00845689" w:rsidRDefault="00845689" w:rsidP="00845689">
      <w:pPr>
        <w:pStyle w:val="CenterUnderline"/>
      </w:pPr>
    </w:p>
    <w:p w:rsidR="00845689" w:rsidRDefault="00845689" w:rsidP="00845689">
      <w:pPr>
        <w:pStyle w:val="OrderBody"/>
      </w:pPr>
      <w:r>
        <w:t>BY THE COMMISSION:</w:t>
      </w:r>
    </w:p>
    <w:p w:rsidR="00845689" w:rsidRDefault="00845689" w:rsidP="00845689">
      <w:pPr>
        <w:pStyle w:val="OrderBody"/>
      </w:pPr>
    </w:p>
    <w:p w:rsidR="00845689" w:rsidRDefault="00845689" w:rsidP="00845689">
      <w:pPr>
        <w:pStyle w:val="BodyText"/>
        <w:jc w:val="both"/>
      </w:pPr>
      <w:bookmarkStart w:id="5" w:name="OrderText"/>
      <w:bookmarkEnd w:id="5"/>
      <w:r>
        <w:tab/>
        <w:t>On March 9, 2015, Florida Power &amp; Light Company (</w:t>
      </w:r>
      <w:smartTag w:uri="urn:schemas-microsoft-com:office:smarttags" w:element="stockticker">
        <w:r>
          <w:t>FPL</w:t>
        </w:r>
      </w:smartTag>
      <w:r>
        <w:t xml:space="preserve">) filed a Petition for Mid-Course Correction to its 2015 Fuel Adjustment Factors (Petition).  </w:t>
      </w:r>
      <w:smartTag w:uri="urn:schemas-microsoft-com:office:smarttags" w:element="stockticker">
        <w:r>
          <w:t>FPL</w:t>
        </w:r>
      </w:smartTag>
      <w:r>
        <w:t xml:space="preserve"> seeks to reduce its 2015 fuel and purchased power cost recovery factors (fuel factors) approved in Order No. PSC-14-0701-FOF-EI</w:t>
      </w:r>
      <w:r>
        <w:rPr>
          <w:rStyle w:val="FootnoteReference"/>
        </w:rPr>
        <w:footnoteReference w:id="1"/>
      </w:r>
      <w:r>
        <w:t xml:space="preserve"> (2014 Fuel Order), effective in the first billing cycle in May 2015.  </w:t>
      </w:r>
      <w:smartTag w:uri="urn:schemas-microsoft-com:office:smarttags" w:element="stockticker">
        <w:r>
          <w:t>FPL</w:t>
        </w:r>
      </w:smartTag>
      <w:r>
        <w:t>’s requested reduction is primarily due to a decrease in projected 2015 natural gas prices.</w:t>
      </w:r>
    </w:p>
    <w:p w:rsidR="00845689" w:rsidRDefault="00845689" w:rsidP="00845689">
      <w:pPr>
        <w:pStyle w:val="BodyText"/>
        <w:ind w:firstLine="720"/>
        <w:jc w:val="both"/>
      </w:pPr>
      <w:r>
        <w:t xml:space="preserve">Mid-course corrections are part of the fuel and purchased power cost recovery clause (fuel clause) proceeding, and such corrections are used by </w:t>
      </w:r>
      <w:r w:rsidR="004D075D">
        <w:t xml:space="preserve">us </w:t>
      </w:r>
      <w:r>
        <w:t xml:space="preserve">between fuel clause hearings whenever costs deviate from revenues by a significant margin.  </w:t>
      </w:r>
      <w:r w:rsidRPr="00645888">
        <w:t xml:space="preserve">Petitions for mid-course corrections to fuel factors are addressed by </w:t>
      </w:r>
      <w:r>
        <w:t xml:space="preserve">Rule </w:t>
      </w:r>
      <w:r w:rsidRPr="00645888">
        <w:t>25-6.04</w:t>
      </w:r>
      <w:r>
        <w:t>2</w:t>
      </w:r>
      <w:r w:rsidRPr="00645888">
        <w:t>4, Florida Administrative Code</w:t>
      </w:r>
      <w:r>
        <w:t xml:space="preserve"> (F.A.C.)</w:t>
      </w:r>
      <w:r w:rsidRPr="00645888">
        <w:t xml:space="preserve">.  Under </w:t>
      </w:r>
      <w:r w:rsidRPr="001A1CE2">
        <w:t xml:space="preserve">this rule, a utility must notify </w:t>
      </w:r>
      <w:r w:rsidR="004D075D">
        <w:t>us</w:t>
      </w:r>
      <w:r w:rsidRPr="001A1CE2">
        <w:t xml:space="preserve"> whenever it expects to experience an under-recovery or over-recovery greater than 10 percent. FPL originally projected an over-recovery of approximately $218 million or 6.51 percent.  However, this amount included costs and gas purchases associated with the Woodford Project.  On Ma</w:t>
      </w:r>
      <w:r>
        <w:t>rch 25, 2015, in response to a staff data r</w:t>
      </w:r>
      <w:r w:rsidRPr="001A1CE2">
        <w:t xml:space="preserve">equest, FPL provided revised E1 through E10 schedules without the Woodford Project which reflect an over-recovery of approximately $219 million or 6.54 percent and modified its request </w:t>
      </w:r>
      <w:r w:rsidRPr="00BD3F68">
        <w:t>based on</w:t>
      </w:r>
      <w:r w:rsidRPr="001A1CE2">
        <w:t xml:space="preserve"> this revised amount. </w:t>
      </w:r>
      <w:r w:rsidRPr="001A1CE2">
        <w:rPr>
          <w:rStyle w:val="FootnoteReference"/>
        </w:rPr>
        <w:footnoteReference w:id="2"/>
      </w:r>
      <w:r>
        <w:t xml:space="preserve">   </w:t>
      </w:r>
    </w:p>
    <w:p w:rsidR="00845689" w:rsidRDefault="00845689" w:rsidP="00845689">
      <w:pPr>
        <w:pStyle w:val="BodyText"/>
        <w:jc w:val="both"/>
      </w:pPr>
      <w:r>
        <w:tab/>
        <w:t>Mid-course corrections are considered preliminary procedural decisions, and any over-recoveries or under-recoveries caused by or resulting from the new fuel factors adopted by the mid-course correction may be included in the following year’s fuel factors.</w:t>
      </w:r>
    </w:p>
    <w:p w:rsidR="00845689" w:rsidRDefault="00845689" w:rsidP="00845689">
      <w:pPr>
        <w:pStyle w:val="BodyText"/>
        <w:ind w:firstLine="720"/>
        <w:jc w:val="both"/>
      </w:pPr>
      <w:r>
        <w:lastRenderedPageBreak/>
        <w:t>Our jurisdiction to consider fuel clause proceedings derives from our authority to set fair and reasonable rates, found in Section 366.05, Florida Statutes.</w:t>
      </w:r>
    </w:p>
    <w:p w:rsidR="00845689" w:rsidRDefault="00845689" w:rsidP="00845689">
      <w:pPr>
        <w:pStyle w:val="BodyText"/>
        <w:ind w:firstLine="720"/>
        <w:jc w:val="both"/>
      </w:pPr>
      <w:r>
        <w:t>FPL’s currently authorized 2015 fuel factors were set</w:t>
      </w:r>
      <w:r w:rsidR="004D075D">
        <w:t xml:space="preserve"> </w:t>
      </w:r>
      <w:r>
        <w:t>at the October 25, 2014 fuel hearing, and established in the 2014 Fuel Order.  These factors are based on FPL’s projected fuel costs for 2015, plus the true-up amount from 2014.</w:t>
      </w:r>
    </w:p>
    <w:p w:rsidR="00845689" w:rsidRDefault="00845689" w:rsidP="00845689">
      <w:pPr>
        <w:pStyle w:val="BodyText"/>
        <w:ind w:firstLine="720"/>
        <w:jc w:val="both"/>
      </w:pPr>
      <w:r>
        <w:t>FPL states that its original projected cost for natural gas used NYMEX</w:t>
      </w:r>
      <w:r>
        <w:rPr>
          <w:rStyle w:val="FootnoteReference"/>
        </w:rPr>
        <w:footnoteReference w:id="3"/>
      </w:r>
      <w:r>
        <w:t xml:space="preserve"> futures contract prices for each month of 2015, based on a forward curve as of July 28, 2014.  Forward curve prices represent the price of gas for delivery in a particular month in the future.  Futures contracts are actively traded and the prices can change hour-by-hour throughout a trading day.  </w:t>
      </w:r>
    </w:p>
    <w:p w:rsidR="00845689" w:rsidRPr="004C479D" w:rsidRDefault="00845689" w:rsidP="00845689">
      <w:pPr>
        <w:pStyle w:val="BodyText"/>
        <w:ind w:firstLine="720"/>
        <w:jc w:val="both"/>
      </w:pPr>
      <w:r>
        <w:t>In its P</w:t>
      </w:r>
      <w:r w:rsidRPr="004C479D">
        <w:t xml:space="preserve">etition, </w:t>
      </w:r>
      <w:smartTag w:uri="urn:schemas-microsoft-com:office:smarttags" w:element="stockticker">
        <w:r w:rsidRPr="004C479D">
          <w:t>FPL</w:t>
        </w:r>
      </w:smartTag>
      <w:r w:rsidRPr="004C479D">
        <w:t xml:space="preserve"> noted that projected natural gas commodity prices have declined substantially since its original projections were developed.  For its mid-course calculations, </w:t>
      </w:r>
      <w:smartTag w:uri="urn:schemas-microsoft-com:office:smarttags" w:element="stockticker">
        <w:r w:rsidRPr="004C479D">
          <w:t>FPL</w:t>
        </w:r>
      </w:smartTag>
      <w:r w:rsidRPr="004C479D">
        <w:t xml:space="preserve"> used NYMEX futures contract prices based on a forward curve as of February 2, 2015.  According to FPL, the decrease in 2015 projected gas prices from the original projections to the mid-course projections is about 10</w:t>
      </w:r>
      <w:r>
        <w:t>.5</w:t>
      </w:r>
      <w:r w:rsidRPr="004C479D">
        <w:t xml:space="preserve"> percent.</w:t>
      </w:r>
    </w:p>
    <w:p w:rsidR="00845689" w:rsidRPr="001A1CE2" w:rsidRDefault="00845689" w:rsidP="00845689">
      <w:pPr>
        <w:pStyle w:val="BodyText"/>
        <w:ind w:firstLine="720"/>
        <w:jc w:val="both"/>
      </w:pPr>
      <w:r w:rsidRPr="00C10297">
        <w:t xml:space="preserve">In addition, </w:t>
      </w:r>
      <w:smartTag w:uri="urn:schemas-microsoft-com:office:smarttags" w:element="stockticker">
        <w:r w:rsidRPr="00C10297">
          <w:t>FPL</w:t>
        </w:r>
      </w:smartTag>
      <w:r w:rsidRPr="00C10297">
        <w:t xml:space="preserve"> updated its 2014 true-up amount to reflect twelve months of </w:t>
      </w:r>
      <w:r>
        <w:t>actual data</w:t>
      </w:r>
      <w:r w:rsidRPr="00C10297">
        <w:t xml:space="preserve"> (January through December 2014)</w:t>
      </w:r>
      <w:r>
        <w:t xml:space="preserve">.  </w:t>
      </w:r>
      <w:r w:rsidRPr="00C10297">
        <w:t>Originally, this true-up was an under-</w:t>
      </w:r>
      <w:r>
        <w:t xml:space="preserve">recovery </w:t>
      </w:r>
      <w:r w:rsidRPr="00C10297">
        <w:t>of $266,562,206. The mid-cours</w:t>
      </w:r>
      <w:r w:rsidRPr="001A1CE2">
        <w:t xml:space="preserve">e filing shows the actual under-recovery for 2014 was </w:t>
      </w:r>
      <w:r w:rsidRPr="001A1CE2">
        <w:rPr>
          <w:b/>
        </w:rPr>
        <w:t>$</w:t>
      </w:r>
      <w:r w:rsidRPr="001A1CE2">
        <w:t xml:space="preserve">256,473,369 or a $10,088,837 reduction in the 2014 under-recovery amount. </w:t>
      </w:r>
    </w:p>
    <w:p w:rsidR="00845689" w:rsidRPr="001A1CE2" w:rsidRDefault="00845689" w:rsidP="00845689">
      <w:pPr>
        <w:pStyle w:val="BodyText"/>
        <w:ind w:firstLine="720"/>
        <w:jc w:val="both"/>
      </w:pPr>
      <w:r>
        <w:t>I</w:t>
      </w:r>
      <w:r w:rsidRPr="001A1CE2">
        <w:t xml:space="preserve">n its Petition, FPL projected its end of year net true up for 2015 would be an over-recovery of $218,050,115 (6.51%), based on actual figures for January and estimated figures for February through December 2015, as shown on Schedule E1-B.   In the revised Schedule E1-B, </w:t>
      </w:r>
      <w:r>
        <w:t xml:space="preserve">which excludes costs and </w:t>
      </w:r>
      <w:r w:rsidR="009C414D">
        <w:t xml:space="preserve">gas purchase </w:t>
      </w:r>
      <w:r>
        <w:t xml:space="preserve">projections associated with the Woodford Project, </w:t>
      </w:r>
      <w:r w:rsidRPr="001A1CE2">
        <w:t>the end of year net true up for 2015 would be an over-recovery of $219,029,577 (6.54%), a difference of $979,462.</w:t>
      </w:r>
    </w:p>
    <w:p w:rsidR="00845689" w:rsidRPr="001A1CE2" w:rsidRDefault="00845689" w:rsidP="00845689">
      <w:pPr>
        <w:pStyle w:val="BodyText"/>
        <w:ind w:firstLine="720"/>
        <w:jc w:val="both"/>
      </w:pPr>
      <w:r w:rsidRPr="001A1CE2">
        <w:t xml:space="preserve">For 2015, </w:t>
      </w:r>
      <w:smartTag w:uri="urn:schemas-microsoft-com:office:smarttags" w:element="stockticker">
        <w:r w:rsidRPr="001A1CE2">
          <w:t>FPL</w:t>
        </w:r>
      </w:smartTag>
      <w:r w:rsidRPr="001A1CE2">
        <w:t xml:space="preserve"> projects its</w:t>
      </w:r>
      <w:r w:rsidR="004D075D">
        <w:t xml:space="preserve"> </w:t>
      </w:r>
      <w:r w:rsidRPr="001A1CE2">
        <w:t xml:space="preserve">generation mix will be approximately 73 percent natural gas.  Therefore, a decrease in the projected cost of gas for </w:t>
      </w:r>
      <w:smartTag w:uri="urn:schemas-microsoft-com:office:smarttags" w:element="stockticker">
        <w:r w:rsidRPr="001A1CE2">
          <w:t>FPL</w:t>
        </w:r>
      </w:smartTag>
      <w:r w:rsidRPr="001A1CE2">
        <w:t xml:space="preserve"> can significantly decrease its fuel factors.   </w:t>
      </w:r>
    </w:p>
    <w:p w:rsidR="00845689" w:rsidRDefault="00845689" w:rsidP="00845689">
      <w:pPr>
        <w:pStyle w:val="BodyText"/>
        <w:ind w:firstLine="720"/>
        <w:jc w:val="both"/>
      </w:pPr>
      <w:smartTag w:uri="urn:schemas-microsoft-com:office:smarttags" w:element="stockticker">
        <w:r w:rsidRPr="001A1CE2">
          <w:t>FPL</w:t>
        </w:r>
      </w:smartTag>
      <w:r w:rsidRPr="001A1CE2">
        <w:t>’s current 1,000 kilowatt hour (kWh) residential bill is $100.12 per month with a fuel component of $30.96.  Applying the fuel factors from this revised mid-course correction, the residential bill for 1,000 kWh of usage will be $97.11, a reduction of $3.01 per month for the period May through December 2015, as shown in Attachment B.</w:t>
      </w:r>
    </w:p>
    <w:p w:rsidR="00845689" w:rsidRDefault="00845689" w:rsidP="00845689">
      <w:pPr>
        <w:pStyle w:val="BodyText"/>
        <w:ind w:firstLine="720"/>
        <w:jc w:val="both"/>
        <w:rPr>
          <w:rFonts w:cs="Calibri"/>
        </w:rPr>
      </w:pPr>
      <w:r w:rsidRPr="00BD3F68">
        <w:rPr>
          <w:rFonts w:cs="Calibri"/>
        </w:rPr>
        <w:t xml:space="preserve">FPL has requested that the revised fuel factors become effective with the first billing cycle of May 2015.  This case is scheduled to be voted on at the April 16, 2015 agenda conference or 15 days before the May 2015 billing cycle begins.  Typically, effective dates are set a minimum of 30 days after </w:t>
      </w:r>
      <w:r w:rsidR="004D075D">
        <w:rPr>
          <w:rFonts w:cs="Calibri"/>
        </w:rPr>
        <w:t xml:space="preserve">our </w:t>
      </w:r>
      <w:r w:rsidRPr="00BD3F68">
        <w:rPr>
          <w:rFonts w:cs="Calibri"/>
        </w:rPr>
        <w:t>vote modifying charges as the result of a mid-course correction.</w:t>
      </w:r>
      <w:r w:rsidRPr="00BD3F68">
        <w:rPr>
          <w:rStyle w:val="FootnoteReference"/>
          <w:rFonts w:cs="Calibri"/>
        </w:rPr>
        <w:footnoteReference w:id="4"/>
      </w:r>
      <w:r w:rsidRPr="00BD3F68">
        <w:rPr>
          <w:rFonts w:cs="Calibri"/>
        </w:rPr>
        <w:t xml:space="preserve">  This time limit is imposed in order not to have new rates applied to energy </w:t>
      </w:r>
      <w:r w:rsidRPr="00BD3F68">
        <w:rPr>
          <w:rFonts w:cs="Calibri"/>
        </w:rPr>
        <w:lastRenderedPageBreak/>
        <w:t xml:space="preserve">consumed before the effective date of </w:t>
      </w:r>
      <w:r w:rsidR="004D075D">
        <w:rPr>
          <w:rFonts w:cs="Calibri"/>
        </w:rPr>
        <w:t xml:space="preserve">our </w:t>
      </w:r>
      <w:r w:rsidRPr="00BD3F68">
        <w:rPr>
          <w:rFonts w:cs="Calibri"/>
        </w:rPr>
        <w:t xml:space="preserve">action, i.e., the date of the vote.   However, </w:t>
      </w:r>
      <w:r w:rsidR="004D075D">
        <w:rPr>
          <w:rFonts w:cs="Calibri"/>
        </w:rPr>
        <w:t xml:space="preserve">we have </w:t>
      </w:r>
      <w:r w:rsidRPr="00BD3F68">
        <w:rPr>
          <w:rFonts w:cs="Calibri"/>
        </w:rPr>
        <w:t>also implemented charges in less than 30 days when circumstances warrant.</w:t>
      </w:r>
      <w:r w:rsidRPr="00BD3F68">
        <w:rPr>
          <w:rStyle w:val="FootnoteReference"/>
          <w:rFonts w:cs="Calibri"/>
        </w:rPr>
        <w:footnoteReference w:id="5"/>
      </w:r>
      <w:r w:rsidRPr="00BD3F68">
        <w:rPr>
          <w:rFonts w:cs="Calibri"/>
        </w:rPr>
        <w:t xml:space="preserve">  Further, the Florida Supreme Court has recognized that the fuel adjustment clause proceeding “is a continuous proceeding and operates to a utility’s benefit by eliminating regulatory lag.”</w:t>
      </w:r>
      <w:r w:rsidRPr="00BD3F68">
        <w:rPr>
          <w:rStyle w:val="FootnoteReference"/>
          <w:rFonts w:cs="Calibri"/>
        </w:rPr>
        <w:footnoteReference w:id="6"/>
      </w:r>
      <w:r w:rsidRPr="00BD3F68">
        <w:rPr>
          <w:rFonts w:cs="Calibri"/>
        </w:rPr>
        <w:t xml:space="preserve">  Therefore, finding that there was competent, substantial evidence to support </w:t>
      </w:r>
      <w:r w:rsidR="004D075D">
        <w:rPr>
          <w:rFonts w:cs="Calibri"/>
        </w:rPr>
        <w:t>our</w:t>
      </w:r>
      <w:r w:rsidRPr="00BD3F68">
        <w:rPr>
          <w:rFonts w:cs="Calibri"/>
        </w:rPr>
        <w:t xml:space="preserve"> 1984 decision</w:t>
      </w:r>
      <w:r w:rsidRPr="00BD3F68">
        <w:rPr>
          <w:rStyle w:val="FootnoteReference"/>
          <w:rFonts w:cs="Calibri"/>
        </w:rPr>
        <w:footnoteReference w:id="7"/>
      </w:r>
      <w:r w:rsidRPr="00BD3F68">
        <w:rPr>
          <w:rFonts w:cs="Calibri"/>
        </w:rPr>
        <w:t xml:space="preserve"> with regard to 1980, 1981 and 1982 fuel costs </w:t>
      </w:r>
      <w:r w:rsidR="004D075D">
        <w:rPr>
          <w:rFonts w:cs="Calibri"/>
        </w:rPr>
        <w:t xml:space="preserve">that we had </w:t>
      </w:r>
      <w:r w:rsidRPr="00BD3F68">
        <w:rPr>
          <w:rFonts w:cs="Calibri"/>
        </w:rPr>
        <w:t xml:space="preserve">previously allowed, the Court affirmed </w:t>
      </w:r>
      <w:r w:rsidR="00AC17F5">
        <w:rPr>
          <w:rFonts w:cs="Calibri"/>
        </w:rPr>
        <w:t xml:space="preserve">our </w:t>
      </w:r>
      <w:r w:rsidRPr="00BD3F68">
        <w:rPr>
          <w:rFonts w:cs="Calibri"/>
        </w:rPr>
        <w:t>decision disallowing $2.2 million related to managerial imprudence in the purchase of coal, finding that: “This authorization to collect fuel costs close to the time they are incurred should not be used to divest the Commission of the jurisdiction and power to review the prudence of these costs.”</w:t>
      </w:r>
      <w:r w:rsidRPr="00BD3F68">
        <w:rPr>
          <w:rStyle w:val="FootnoteReference"/>
          <w:rFonts w:cs="Calibri"/>
        </w:rPr>
        <w:footnoteReference w:id="8"/>
      </w:r>
    </w:p>
    <w:p w:rsidR="00845689" w:rsidRPr="00BD3F68" w:rsidRDefault="00845689" w:rsidP="00845689">
      <w:pPr>
        <w:pStyle w:val="BodyText"/>
        <w:ind w:firstLine="720"/>
        <w:jc w:val="both"/>
        <w:rPr>
          <w:rFonts w:cs="Calibri"/>
        </w:rPr>
      </w:pPr>
      <w:r w:rsidRPr="00BD3F68">
        <w:rPr>
          <w:rFonts w:cs="Calibri"/>
        </w:rPr>
        <w:t xml:space="preserve">In this instance, FPL has argued that there can be no prejudice to the customers since their total rate would be decreasing, not increasing.  Therefore, customers would get the benefit of reduced rates as quickly as administratively possible.   Based on the nature of the fuel adjustment clause as recognized by the Florida Supreme Court, </w:t>
      </w:r>
      <w:r w:rsidR="00AC17F5">
        <w:rPr>
          <w:rFonts w:cs="Calibri"/>
        </w:rPr>
        <w:t xml:space="preserve">we have </w:t>
      </w:r>
      <w:r w:rsidRPr="00BD3F68">
        <w:rPr>
          <w:rFonts w:cs="Calibri"/>
        </w:rPr>
        <w:t>the ability to shorten the time to less than 30 days and</w:t>
      </w:r>
      <w:r w:rsidR="00AC17F5">
        <w:rPr>
          <w:rFonts w:cs="Calibri"/>
        </w:rPr>
        <w:t xml:space="preserve"> therefore we find </w:t>
      </w:r>
      <w:r w:rsidRPr="00BD3F68">
        <w:rPr>
          <w:rFonts w:cs="Calibri"/>
        </w:rPr>
        <w:t xml:space="preserve">that the effective date </w:t>
      </w:r>
      <w:r w:rsidR="00AC17F5">
        <w:rPr>
          <w:rFonts w:cs="Calibri"/>
        </w:rPr>
        <w:t>for the revised fuel factors shall be</w:t>
      </w:r>
      <w:r w:rsidRPr="00BD3F68">
        <w:rPr>
          <w:rFonts w:cs="Calibri"/>
        </w:rPr>
        <w:t xml:space="preserve"> set at the first billing cycle in May 2015, which falls on May 1, 2015.</w:t>
      </w:r>
    </w:p>
    <w:p w:rsidR="00CB5276" w:rsidRDefault="00845689" w:rsidP="00AC17F5">
      <w:pPr>
        <w:pStyle w:val="OrderBody"/>
        <w:ind w:firstLine="720"/>
        <w:rPr>
          <w:rFonts w:cs="Calibri"/>
        </w:rPr>
      </w:pPr>
      <w:r w:rsidRPr="00BD3F68">
        <w:rPr>
          <w:rFonts w:cs="Calibri"/>
        </w:rPr>
        <w:t xml:space="preserve">FPL has stated through its response to a staff data request that during the period April 1 through April 30, 2015, it intends to provide pre-vote notice of its mid-course correction request through bill inserts.  Should </w:t>
      </w:r>
      <w:r w:rsidR="00AC17F5">
        <w:rPr>
          <w:rFonts w:cs="Calibri"/>
        </w:rPr>
        <w:t>we</w:t>
      </w:r>
      <w:r w:rsidRPr="00BD3F68">
        <w:rPr>
          <w:rFonts w:cs="Calibri"/>
        </w:rPr>
        <w:t xml:space="preserve"> approve its request, FPL intends to notify its customers beginning on April 17, 2015, via a bill message on all bills that lower fuel factors have been approved effective May 1, 2015, and to direct customers to its website where current and approved rates will be listed.  </w:t>
      </w:r>
      <w:r w:rsidR="00AC17F5">
        <w:rPr>
          <w:rFonts w:cs="Calibri"/>
        </w:rPr>
        <w:t>We find</w:t>
      </w:r>
      <w:r w:rsidRPr="00BD3F68">
        <w:rPr>
          <w:rFonts w:cs="Calibri"/>
        </w:rPr>
        <w:t xml:space="preserve"> that FPL’s proposed notices are reasonable and sh</w:t>
      </w:r>
      <w:r w:rsidR="00F72ABD">
        <w:rPr>
          <w:rFonts w:cs="Calibri"/>
        </w:rPr>
        <w:t>all</w:t>
      </w:r>
      <w:r w:rsidRPr="00BD3F68">
        <w:rPr>
          <w:rFonts w:cs="Calibri"/>
        </w:rPr>
        <w:t xml:space="preserve"> be </w:t>
      </w:r>
      <w:r w:rsidR="002D4FA6">
        <w:rPr>
          <w:rFonts w:cs="Calibri"/>
        </w:rPr>
        <w:t>implemented.</w:t>
      </w:r>
    </w:p>
    <w:p w:rsidR="002D4FA6" w:rsidRDefault="002D4FA6" w:rsidP="00845689">
      <w:pPr>
        <w:jc w:val="both"/>
      </w:pPr>
    </w:p>
    <w:p w:rsidR="00AC17F5" w:rsidRDefault="00AC17F5" w:rsidP="00845689">
      <w:pPr>
        <w:jc w:val="both"/>
      </w:pPr>
      <w:r>
        <w:tab/>
        <w:t>Based on the foregoing, it is</w:t>
      </w:r>
    </w:p>
    <w:p w:rsidR="00AC17F5" w:rsidRDefault="00AC17F5" w:rsidP="00845689">
      <w:pPr>
        <w:jc w:val="both"/>
      </w:pPr>
    </w:p>
    <w:p w:rsidR="00AC17F5" w:rsidRDefault="00AC17F5" w:rsidP="00845689">
      <w:pPr>
        <w:jc w:val="both"/>
      </w:pPr>
      <w:r>
        <w:tab/>
        <w:t>ORDERED that Florida Power &amp; Light Company’s Petition for Mid-Course Correction of its 2015 fuel factors is hereby approved.  It is fu</w:t>
      </w:r>
      <w:r w:rsidR="00FB2E85">
        <w:t>r</w:t>
      </w:r>
      <w:r>
        <w:t>ther</w:t>
      </w:r>
    </w:p>
    <w:p w:rsidR="00AC17F5" w:rsidRDefault="00AC17F5" w:rsidP="00845689">
      <w:pPr>
        <w:jc w:val="both"/>
      </w:pPr>
    </w:p>
    <w:p w:rsidR="00503AF6" w:rsidRDefault="00AC17F5" w:rsidP="00845689">
      <w:pPr>
        <w:jc w:val="both"/>
      </w:pPr>
      <w:r>
        <w:tab/>
        <w:t>ORDERED that the revised fuel factors</w:t>
      </w:r>
      <w:r w:rsidR="00503AF6">
        <w:t>, as stated on Attachment A,</w:t>
      </w:r>
      <w:r>
        <w:t xml:space="preserve"> shall become effective </w:t>
      </w:r>
      <w:r w:rsidR="00503AF6">
        <w:t>with</w:t>
      </w:r>
      <w:r>
        <w:t xml:space="preserve"> the first billing</w:t>
      </w:r>
      <w:r w:rsidR="00503AF6">
        <w:t xml:space="preserve"> cycle in May 2015, which falls on May 1, 2015.  It is further</w:t>
      </w:r>
    </w:p>
    <w:p w:rsidR="002D4FA6" w:rsidRDefault="002D4FA6" w:rsidP="00845689">
      <w:pPr>
        <w:jc w:val="both"/>
      </w:pPr>
    </w:p>
    <w:p w:rsidR="002D4FA6" w:rsidRDefault="002D4FA6" w:rsidP="00845689">
      <w:pPr>
        <w:jc w:val="both"/>
      </w:pPr>
      <w:r>
        <w:tab/>
      </w:r>
      <w:r w:rsidR="00503AF6">
        <w:t>ORDERED that this</w:t>
      </w:r>
      <w:r>
        <w:t xml:space="preserve"> docket shall remain open.</w:t>
      </w:r>
      <w:r w:rsidR="00503AF6">
        <w:t xml:space="preserve"> </w:t>
      </w:r>
    </w:p>
    <w:p w:rsidR="002D4FA6" w:rsidRDefault="002D4FA6" w:rsidP="00845689">
      <w:pPr>
        <w:jc w:val="both"/>
      </w:pPr>
    </w:p>
    <w:p w:rsidR="002D4FA6" w:rsidRDefault="002D4FA6" w:rsidP="002D4FA6">
      <w:pPr>
        <w:keepNext/>
        <w:keepLines/>
        <w:jc w:val="both"/>
      </w:pPr>
      <w:r>
        <w:lastRenderedPageBreak/>
        <w:tab/>
        <w:t xml:space="preserve">By ORDER of the Florida Public Service Commission this </w:t>
      </w:r>
      <w:bookmarkStart w:id="6" w:name="replaceDate"/>
      <w:bookmarkEnd w:id="6"/>
      <w:r w:rsidR="00B860E9">
        <w:rPr>
          <w:u w:val="single"/>
        </w:rPr>
        <w:t>30th</w:t>
      </w:r>
      <w:r w:rsidR="00B860E9">
        <w:t xml:space="preserve"> day of </w:t>
      </w:r>
      <w:r w:rsidR="00B860E9">
        <w:rPr>
          <w:u w:val="single"/>
        </w:rPr>
        <w:t>April</w:t>
      </w:r>
      <w:r w:rsidR="00B860E9">
        <w:t xml:space="preserve">, </w:t>
      </w:r>
      <w:r w:rsidR="00B860E9">
        <w:rPr>
          <w:u w:val="single"/>
        </w:rPr>
        <w:t>2015</w:t>
      </w:r>
      <w:r w:rsidR="00B860E9">
        <w:t>.</w:t>
      </w:r>
    </w:p>
    <w:p w:rsidR="00A44500" w:rsidRDefault="00A44500" w:rsidP="002D4FA6">
      <w:pPr>
        <w:keepNext/>
        <w:keepLines/>
        <w:jc w:val="both"/>
      </w:pPr>
    </w:p>
    <w:p w:rsidR="00A44500" w:rsidRDefault="00A44500" w:rsidP="002D4FA6">
      <w:pPr>
        <w:keepNext/>
        <w:keepLines/>
        <w:jc w:val="both"/>
      </w:pPr>
      <w:bookmarkStart w:id="7" w:name="_GoBack"/>
      <w:bookmarkEnd w:id="7"/>
    </w:p>
    <w:p w:rsidR="00B860E9" w:rsidRPr="00B860E9" w:rsidRDefault="00B860E9" w:rsidP="002D4F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D4FA6" w:rsidTr="009C414D">
        <w:tc>
          <w:tcPr>
            <w:tcW w:w="686" w:type="dxa"/>
            <w:shd w:val="clear" w:color="auto" w:fill="auto"/>
          </w:tcPr>
          <w:p w:rsidR="00F72ABD" w:rsidRDefault="00F72ABD" w:rsidP="002D4FA6">
            <w:pPr>
              <w:keepNext/>
              <w:keepLines/>
              <w:jc w:val="both"/>
            </w:pPr>
            <w:bookmarkStart w:id="8" w:name="bkmrkSignature" w:colFirst="0" w:colLast="0"/>
          </w:p>
        </w:tc>
        <w:tc>
          <w:tcPr>
            <w:tcW w:w="4034" w:type="dxa"/>
            <w:tcBorders>
              <w:bottom w:val="single" w:sz="4" w:space="0" w:color="auto"/>
            </w:tcBorders>
            <w:shd w:val="clear" w:color="auto" w:fill="auto"/>
          </w:tcPr>
          <w:p w:rsidR="002D4FA6" w:rsidRDefault="00A44500" w:rsidP="002D4FA6">
            <w:pPr>
              <w:keepNext/>
              <w:keepLines/>
              <w:jc w:val="both"/>
            </w:pPr>
            <w:r>
              <w:t>/s/ Hong Wang</w:t>
            </w:r>
          </w:p>
        </w:tc>
      </w:tr>
      <w:bookmarkEnd w:id="8"/>
      <w:tr w:rsidR="002D4FA6" w:rsidTr="009C414D">
        <w:tc>
          <w:tcPr>
            <w:tcW w:w="686" w:type="dxa"/>
            <w:shd w:val="clear" w:color="auto" w:fill="auto"/>
          </w:tcPr>
          <w:p w:rsidR="002D4FA6" w:rsidRDefault="002D4FA6" w:rsidP="002D4FA6">
            <w:pPr>
              <w:keepNext/>
              <w:keepLines/>
              <w:jc w:val="both"/>
            </w:pPr>
          </w:p>
        </w:tc>
        <w:tc>
          <w:tcPr>
            <w:tcW w:w="4034" w:type="dxa"/>
            <w:tcBorders>
              <w:top w:val="single" w:sz="4" w:space="0" w:color="auto"/>
            </w:tcBorders>
            <w:shd w:val="clear" w:color="auto" w:fill="auto"/>
          </w:tcPr>
          <w:p w:rsidR="00B860E9" w:rsidRDefault="00B860E9" w:rsidP="002D4FA6">
            <w:pPr>
              <w:keepNext/>
              <w:keepLines/>
              <w:jc w:val="both"/>
            </w:pPr>
            <w:r>
              <w:t>HONG WANG</w:t>
            </w:r>
          </w:p>
          <w:p w:rsidR="002D4FA6" w:rsidRDefault="00B860E9" w:rsidP="002D4FA6">
            <w:pPr>
              <w:keepNext/>
              <w:keepLines/>
              <w:jc w:val="both"/>
            </w:pPr>
            <w:r>
              <w:t>Chief Deputy Commission Clerk</w:t>
            </w:r>
          </w:p>
        </w:tc>
      </w:tr>
    </w:tbl>
    <w:p w:rsidR="002D4FA6" w:rsidRDefault="002D4FA6" w:rsidP="002D4FA6">
      <w:pPr>
        <w:pStyle w:val="OrderSigInfo"/>
        <w:keepNext/>
        <w:keepLines/>
      </w:pPr>
      <w:r>
        <w:t>Florida Public Service Commission</w:t>
      </w:r>
    </w:p>
    <w:p w:rsidR="002D4FA6" w:rsidRDefault="002D4FA6" w:rsidP="002D4FA6">
      <w:pPr>
        <w:pStyle w:val="OrderSigInfo"/>
        <w:keepNext/>
        <w:keepLines/>
      </w:pPr>
      <w:r>
        <w:t>2540 Shumard Oak Boulevard</w:t>
      </w:r>
    </w:p>
    <w:p w:rsidR="002D4FA6" w:rsidRDefault="002D4FA6" w:rsidP="002D4FA6">
      <w:pPr>
        <w:pStyle w:val="OrderSigInfo"/>
        <w:keepNext/>
        <w:keepLines/>
      </w:pPr>
      <w:r>
        <w:t>Tallahassee, Florida  32399</w:t>
      </w:r>
    </w:p>
    <w:p w:rsidR="002D4FA6" w:rsidRDefault="002D4FA6" w:rsidP="002D4FA6">
      <w:pPr>
        <w:pStyle w:val="OrderSigInfo"/>
        <w:keepNext/>
        <w:keepLines/>
      </w:pPr>
      <w:r>
        <w:t>(850) 413</w:t>
      </w:r>
      <w:r>
        <w:noBreakHyphen/>
        <w:t>6770</w:t>
      </w:r>
    </w:p>
    <w:p w:rsidR="002D4FA6" w:rsidRDefault="002D4FA6" w:rsidP="002D4FA6">
      <w:pPr>
        <w:pStyle w:val="OrderSigInfo"/>
        <w:keepNext/>
        <w:keepLines/>
      </w:pPr>
      <w:r>
        <w:t>www.floridapsc.com</w:t>
      </w:r>
    </w:p>
    <w:p w:rsidR="002D4FA6" w:rsidRDefault="002D4FA6" w:rsidP="002D4FA6">
      <w:pPr>
        <w:pStyle w:val="OrderSigInfo"/>
        <w:keepNext/>
        <w:keepLines/>
      </w:pPr>
    </w:p>
    <w:p w:rsidR="002D4FA6" w:rsidRDefault="002D4FA6" w:rsidP="002D4FA6">
      <w:pPr>
        <w:pStyle w:val="OrderSigInfo"/>
        <w:keepNext/>
        <w:keepLines/>
      </w:pPr>
      <w:r>
        <w:t>Copies furnished:  A copy of this document is provided to the parties of record at the time of issuance and, if applicable, interested persons.</w:t>
      </w:r>
    </w:p>
    <w:p w:rsidR="002D4FA6" w:rsidRDefault="00503AF6" w:rsidP="002D4FA6">
      <w:pPr>
        <w:pStyle w:val="OrderBody"/>
        <w:keepNext/>
        <w:keepLines/>
      </w:pPr>
      <w:r>
        <w:tab/>
      </w:r>
      <w:r w:rsidR="00AC17F5">
        <w:t xml:space="preserve">    </w:t>
      </w:r>
    </w:p>
    <w:p w:rsidR="002D4FA6" w:rsidRDefault="002D4FA6" w:rsidP="002D4FA6">
      <w:pPr>
        <w:keepNext/>
        <w:keepLines/>
        <w:jc w:val="both"/>
      </w:pPr>
      <w:r>
        <w:t>SBr</w:t>
      </w:r>
    </w:p>
    <w:p w:rsidR="002D4FA6" w:rsidRDefault="002D4FA6" w:rsidP="00845689">
      <w:pPr>
        <w:jc w:val="both"/>
      </w:pPr>
    </w:p>
    <w:p w:rsidR="002D4FA6" w:rsidRDefault="002D4FA6" w:rsidP="002D4FA6">
      <w:pPr>
        <w:pStyle w:val="CenterUnderline"/>
      </w:pPr>
      <w:r>
        <w:t>NOTICE OF FURTHER PROCEEDINGS OR JUDICIAL REVIEW</w:t>
      </w:r>
    </w:p>
    <w:p w:rsidR="002D4FA6" w:rsidRDefault="002D4FA6" w:rsidP="002D4FA6">
      <w:pPr>
        <w:pStyle w:val="CenterUnderline"/>
      </w:pPr>
    </w:p>
    <w:p w:rsidR="002D4FA6" w:rsidRDefault="002D4FA6" w:rsidP="002D4F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D4FA6" w:rsidRDefault="002D4FA6" w:rsidP="002D4FA6">
      <w:pPr>
        <w:pStyle w:val="OrderBody"/>
      </w:pPr>
    </w:p>
    <w:p w:rsidR="002D4FA6" w:rsidRDefault="002D4FA6" w:rsidP="002D4FA6">
      <w:pPr>
        <w:pStyle w:val="OrderBody"/>
      </w:pPr>
      <w:r>
        <w:tab/>
        <w:t>Mediation may be available on a case-by-case basis.  If mediation is conducted, it does not affect a substantially interested person's right to a hearing.</w:t>
      </w:r>
    </w:p>
    <w:p w:rsidR="002D4FA6" w:rsidRDefault="002D4FA6" w:rsidP="002D4FA6">
      <w:pPr>
        <w:pStyle w:val="OrderBody"/>
      </w:pPr>
    </w:p>
    <w:p w:rsidR="002D4FA6" w:rsidRDefault="002D4FA6" w:rsidP="009C41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72ABD" w:rsidRDefault="00F72ABD">
      <w:r>
        <w:br w:type="page"/>
      </w:r>
    </w:p>
    <w:p w:rsidR="00F72ABD" w:rsidRDefault="00F72ABD" w:rsidP="009C414D">
      <w:pPr>
        <w:pStyle w:val="OrderBody"/>
      </w:pPr>
    </w:p>
    <w:p w:rsidR="002D4FA6" w:rsidRPr="009C414D" w:rsidRDefault="002D4FA6" w:rsidP="009C414D">
      <w:pPr>
        <w:jc w:val="right"/>
      </w:pPr>
      <w:r w:rsidRPr="009C414D">
        <w:t>ATTACHMENT A</w:t>
      </w:r>
    </w:p>
    <w:p w:rsidR="002D4FA6" w:rsidRPr="009C414D" w:rsidRDefault="002D4FA6" w:rsidP="009C414D">
      <w:pPr>
        <w:jc w:val="right"/>
      </w:pPr>
      <w:r w:rsidRPr="009C414D">
        <w:t>Page 1 of 2</w:t>
      </w:r>
    </w:p>
    <w:p w:rsidR="002D4FA6" w:rsidRPr="002D4FA6" w:rsidRDefault="002D4FA6" w:rsidP="002D4FA6">
      <w:pPr>
        <w:pStyle w:val="BodyTex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3327"/>
        <w:gridCol w:w="1533"/>
        <w:gridCol w:w="1702"/>
        <w:gridCol w:w="1916"/>
      </w:tblGrid>
      <w:tr w:rsidR="002D4FA6" w:rsidTr="00AA6C2B">
        <w:trPr>
          <w:trHeight w:val="737"/>
        </w:trPr>
        <w:tc>
          <w:tcPr>
            <w:tcW w:w="9576" w:type="dxa"/>
            <w:gridSpan w:val="5"/>
            <w:shd w:val="clear" w:color="auto" w:fill="auto"/>
            <w:vAlign w:val="center"/>
          </w:tcPr>
          <w:p w:rsidR="002D4FA6" w:rsidRPr="00CF2D5D" w:rsidRDefault="002D4FA6" w:rsidP="00AA6C2B">
            <w:pPr>
              <w:autoSpaceDE w:val="0"/>
              <w:autoSpaceDN w:val="0"/>
              <w:adjustRightInd w:val="0"/>
              <w:jc w:val="center"/>
              <w:rPr>
                <w:b/>
              </w:rPr>
            </w:pPr>
            <w:r w:rsidRPr="006E294A">
              <w:rPr>
                <w:b/>
              </w:rPr>
              <w:t xml:space="preserve">Fuel </w:t>
            </w:r>
            <w:r>
              <w:rPr>
                <w:b/>
              </w:rPr>
              <w:t xml:space="preserve">Cost </w:t>
            </w:r>
            <w:r w:rsidRPr="006E294A">
              <w:rPr>
                <w:b/>
              </w:rPr>
              <w:t>Recovery Factors</w:t>
            </w:r>
            <w:r>
              <w:rPr>
                <w:b/>
              </w:rPr>
              <w:t xml:space="preserve"> May 2015 – December 2015</w:t>
            </w:r>
          </w:p>
        </w:tc>
      </w:tr>
      <w:tr w:rsidR="002D4FA6" w:rsidTr="00AA6C2B">
        <w:trPr>
          <w:trHeight w:val="562"/>
        </w:trPr>
        <w:tc>
          <w:tcPr>
            <w:tcW w:w="1098" w:type="dxa"/>
            <w:shd w:val="clear" w:color="auto" w:fill="D9D9D9"/>
            <w:vAlign w:val="center"/>
          </w:tcPr>
          <w:p w:rsidR="002D4FA6" w:rsidRDefault="002D4FA6" w:rsidP="00AA6C2B">
            <w:pPr>
              <w:autoSpaceDE w:val="0"/>
              <w:autoSpaceDN w:val="0"/>
              <w:adjustRightInd w:val="0"/>
              <w:jc w:val="center"/>
            </w:pPr>
            <w:r>
              <w:t>GROUP</w:t>
            </w:r>
          </w:p>
        </w:tc>
        <w:tc>
          <w:tcPr>
            <w:tcW w:w="3327" w:type="dxa"/>
            <w:shd w:val="clear" w:color="auto" w:fill="D9D9D9"/>
            <w:vAlign w:val="center"/>
          </w:tcPr>
          <w:p w:rsidR="002D4FA6" w:rsidRDefault="002D4FA6" w:rsidP="00AA6C2B">
            <w:pPr>
              <w:autoSpaceDE w:val="0"/>
              <w:autoSpaceDN w:val="0"/>
              <w:adjustRightInd w:val="0"/>
              <w:jc w:val="center"/>
            </w:pPr>
            <w:r>
              <w:t>RATE SCHEDULE</w:t>
            </w:r>
          </w:p>
        </w:tc>
        <w:tc>
          <w:tcPr>
            <w:tcW w:w="1533" w:type="dxa"/>
            <w:shd w:val="clear" w:color="auto" w:fill="D9D9D9"/>
            <w:vAlign w:val="center"/>
          </w:tcPr>
          <w:p w:rsidR="002D4FA6" w:rsidRDefault="002D4FA6" w:rsidP="00AA6C2B">
            <w:pPr>
              <w:autoSpaceDE w:val="0"/>
              <w:autoSpaceDN w:val="0"/>
              <w:adjustRightInd w:val="0"/>
              <w:jc w:val="center"/>
            </w:pPr>
            <w:r>
              <w:t>AVERAGE FACTOR</w:t>
            </w:r>
          </w:p>
        </w:tc>
        <w:tc>
          <w:tcPr>
            <w:tcW w:w="1702" w:type="dxa"/>
            <w:shd w:val="clear" w:color="auto" w:fill="D9D9D9"/>
          </w:tcPr>
          <w:p w:rsidR="002D4FA6" w:rsidRDefault="002D4FA6" w:rsidP="00AA6C2B">
            <w:pPr>
              <w:autoSpaceDE w:val="0"/>
              <w:autoSpaceDN w:val="0"/>
              <w:adjustRightInd w:val="0"/>
              <w:jc w:val="center"/>
            </w:pPr>
            <w:r>
              <w:t>FUEL RECOVERY LOSS MULTIPLIER</w:t>
            </w:r>
          </w:p>
        </w:tc>
        <w:tc>
          <w:tcPr>
            <w:tcW w:w="1916" w:type="dxa"/>
            <w:shd w:val="clear" w:color="auto" w:fill="D9D9D9"/>
            <w:vAlign w:val="center"/>
          </w:tcPr>
          <w:p w:rsidR="002D4FA6" w:rsidRDefault="002D4FA6" w:rsidP="00AA6C2B">
            <w:pPr>
              <w:autoSpaceDE w:val="0"/>
              <w:autoSpaceDN w:val="0"/>
              <w:adjustRightInd w:val="0"/>
              <w:jc w:val="center"/>
            </w:pPr>
            <w:r>
              <w:t>FUEL RECOVERY FACTOR</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A</w:t>
            </w:r>
          </w:p>
        </w:tc>
        <w:tc>
          <w:tcPr>
            <w:tcW w:w="3327" w:type="dxa"/>
            <w:shd w:val="clear" w:color="auto" w:fill="auto"/>
          </w:tcPr>
          <w:p w:rsidR="002D4FA6" w:rsidRDefault="002D4FA6" w:rsidP="00AA6C2B">
            <w:pPr>
              <w:autoSpaceDE w:val="0"/>
              <w:autoSpaceDN w:val="0"/>
              <w:adjustRightInd w:val="0"/>
              <w:jc w:val="center"/>
            </w:pPr>
            <w:r>
              <w:t>RS-1 first 1,000kWh</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2.802</w:t>
            </w:r>
          </w:p>
        </w:tc>
      </w:tr>
      <w:tr w:rsidR="002D4FA6" w:rsidTr="00AA6C2B">
        <w:tc>
          <w:tcPr>
            <w:tcW w:w="1098" w:type="dxa"/>
            <w:vMerge/>
            <w:shd w:val="clear" w:color="auto" w:fill="auto"/>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RS-1 all additional kWh</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3.802</w:t>
            </w:r>
          </w:p>
        </w:tc>
      </w:tr>
      <w:tr w:rsidR="002D4FA6" w:rsidTr="00AA6C2B">
        <w:tc>
          <w:tcPr>
            <w:tcW w:w="1098" w:type="dxa"/>
            <w:shd w:val="clear" w:color="auto" w:fill="auto"/>
          </w:tcPr>
          <w:p w:rsidR="002D4FA6" w:rsidRDefault="002D4FA6" w:rsidP="00AA6C2B">
            <w:pPr>
              <w:autoSpaceDE w:val="0"/>
              <w:autoSpaceDN w:val="0"/>
              <w:adjustRightInd w:val="0"/>
              <w:jc w:val="center"/>
            </w:pPr>
            <w:r>
              <w:t>A</w:t>
            </w:r>
          </w:p>
        </w:tc>
        <w:tc>
          <w:tcPr>
            <w:tcW w:w="3327" w:type="dxa"/>
            <w:shd w:val="clear" w:color="auto" w:fill="auto"/>
          </w:tcPr>
          <w:p w:rsidR="002D4FA6" w:rsidRDefault="002D4FA6" w:rsidP="00AA6C2B">
            <w:pPr>
              <w:autoSpaceDE w:val="0"/>
              <w:autoSpaceDN w:val="0"/>
              <w:adjustRightInd w:val="0"/>
              <w:jc w:val="center"/>
            </w:pPr>
            <w:r>
              <w:t>GS-1, SL-2, GSCU-1, WIES-1</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3.130</w:t>
            </w:r>
          </w:p>
        </w:tc>
      </w:tr>
      <w:tr w:rsidR="002D4FA6" w:rsidTr="00AA6C2B">
        <w:tc>
          <w:tcPr>
            <w:tcW w:w="1098" w:type="dxa"/>
            <w:shd w:val="clear" w:color="auto" w:fill="auto"/>
          </w:tcPr>
          <w:p w:rsidR="002D4FA6" w:rsidRDefault="002D4FA6" w:rsidP="00AA6C2B">
            <w:pPr>
              <w:autoSpaceDE w:val="0"/>
              <w:autoSpaceDN w:val="0"/>
              <w:adjustRightInd w:val="0"/>
              <w:jc w:val="center"/>
            </w:pPr>
            <w:r>
              <w:t>A-1</w:t>
            </w:r>
          </w:p>
        </w:tc>
        <w:tc>
          <w:tcPr>
            <w:tcW w:w="3327" w:type="dxa"/>
            <w:shd w:val="clear" w:color="auto" w:fill="auto"/>
          </w:tcPr>
          <w:p w:rsidR="002D4FA6" w:rsidRDefault="002D4FA6" w:rsidP="00AA6C2B">
            <w:pPr>
              <w:autoSpaceDE w:val="0"/>
              <w:autoSpaceDN w:val="0"/>
              <w:adjustRightInd w:val="0"/>
              <w:jc w:val="center"/>
            </w:pPr>
            <w:r>
              <w:t>SL-1, OL-1, PL-1</w:t>
            </w:r>
          </w:p>
        </w:tc>
        <w:tc>
          <w:tcPr>
            <w:tcW w:w="1533" w:type="dxa"/>
            <w:shd w:val="clear" w:color="auto" w:fill="auto"/>
          </w:tcPr>
          <w:p w:rsidR="002D4FA6" w:rsidRDefault="002D4FA6" w:rsidP="00AA6C2B">
            <w:pPr>
              <w:autoSpaceDE w:val="0"/>
              <w:autoSpaceDN w:val="0"/>
              <w:adjustRightInd w:val="0"/>
              <w:jc w:val="center"/>
            </w:pPr>
            <w:r>
              <w:t>2.898</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2.907</w:t>
            </w:r>
          </w:p>
        </w:tc>
      </w:tr>
      <w:tr w:rsidR="002D4FA6" w:rsidTr="00AA6C2B">
        <w:tc>
          <w:tcPr>
            <w:tcW w:w="1098" w:type="dxa"/>
            <w:shd w:val="clear" w:color="auto" w:fill="auto"/>
          </w:tcPr>
          <w:p w:rsidR="002D4FA6" w:rsidRDefault="002D4FA6" w:rsidP="00AA6C2B">
            <w:pPr>
              <w:autoSpaceDE w:val="0"/>
              <w:autoSpaceDN w:val="0"/>
              <w:adjustRightInd w:val="0"/>
              <w:jc w:val="center"/>
            </w:pPr>
            <w:r>
              <w:t>B</w:t>
            </w:r>
          </w:p>
        </w:tc>
        <w:tc>
          <w:tcPr>
            <w:tcW w:w="3327" w:type="dxa"/>
            <w:shd w:val="clear" w:color="auto" w:fill="auto"/>
          </w:tcPr>
          <w:p w:rsidR="002D4FA6" w:rsidRDefault="002D4FA6" w:rsidP="00AA6C2B">
            <w:pPr>
              <w:autoSpaceDE w:val="0"/>
              <w:autoSpaceDN w:val="0"/>
              <w:adjustRightInd w:val="0"/>
              <w:jc w:val="center"/>
            </w:pPr>
            <w:r>
              <w:t>GSD-1</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1.00291</w:t>
            </w:r>
          </w:p>
        </w:tc>
        <w:tc>
          <w:tcPr>
            <w:tcW w:w="1916" w:type="dxa"/>
            <w:shd w:val="clear" w:color="auto" w:fill="auto"/>
          </w:tcPr>
          <w:p w:rsidR="002D4FA6" w:rsidRDefault="002D4FA6" w:rsidP="00AA6C2B">
            <w:pPr>
              <w:autoSpaceDE w:val="0"/>
              <w:autoSpaceDN w:val="0"/>
              <w:adjustRightInd w:val="0"/>
              <w:jc w:val="center"/>
            </w:pPr>
            <w:r>
              <w:t>3.130</w:t>
            </w:r>
          </w:p>
        </w:tc>
      </w:tr>
      <w:tr w:rsidR="002D4FA6" w:rsidTr="00AA6C2B">
        <w:tc>
          <w:tcPr>
            <w:tcW w:w="1098" w:type="dxa"/>
            <w:shd w:val="clear" w:color="auto" w:fill="auto"/>
          </w:tcPr>
          <w:p w:rsidR="002D4FA6" w:rsidRDefault="002D4FA6" w:rsidP="00AA6C2B">
            <w:pPr>
              <w:autoSpaceDE w:val="0"/>
              <w:autoSpaceDN w:val="0"/>
              <w:adjustRightInd w:val="0"/>
              <w:jc w:val="center"/>
            </w:pPr>
            <w:r>
              <w:t>C</w:t>
            </w:r>
          </w:p>
        </w:tc>
        <w:tc>
          <w:tcPr>
            <w:tcW w:w="3327" w:type="dxa"/>
            <w:shd w:val="clear" w:color="auto" w:fill="auto"/>
          </w:tcPr>
          <w:p w:rsidR="002D4FA6" w:rsidRDefault="002D4FA6" w:rsidP="00AA6C2B">
            <w:pPr>
              <w:autoSpaceDE w:val="0"/>
              <w:autoSpaceDN w:val="0"/>
              <w:adjustRightInd w:val="0"/>
              <w:jc w:val="center"/>
            </w:pPr>
            <w:r>
              <w:t>GSLD-1, CS-1</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1.00195</w:t>
            </w:r>
          </w:p>
        </w:tc>
        <w:tc>
          <w:tcPr>
            <w:tcW w:w="1916" w:type="dxa"/>
            <w:shd w:val="clear" w:color="auto" w:fill="auto"/>
          </w:tcPr>
          <w:p w:rsidR="002D4FA6" w:rsidRDefault="002D4FA6" w:rsidP="00AA6C2B">
            <w:pPr>
              <w:autoSpaceDE w:val="0"/>
              <w:autoSpaceDN w:val="0"/>
              <w:adjustRightInd w:val="0"/>
              <w:jc w:val="center"/>
            </w:pPr>
            <w:r>
              <w:t>3.127</w:t>
            </w:r>
          </w:p>
        </w:tc>
      </w:tr>
      <w:tr w:rsidR="002D4FA6" w:rsidTr="00AA6C2B">
        <w:tc>
          <w:tcPr>
            <w:tcW w:w="1098" w:type="dxa"/>
            <w:shd w:val="clear" w:color="auto" w:fill="auto"/>
          </w:tcPr>
          <w:p w:rsidR="002D4FA6" w:rsidRDefault="002D4FA6" w:rsidP="00AA6C2B">
            <w:pPr>
              <w:autoSpaceDE w:val="0"/>
              <w:autoSpaceDN w:val="0"/>
              <w:adjustRightInd w:val="0"/>
              <w:jc w:val="center"/>
            </w:pPr>
            <w:r>
              <w:t>D</w:t>
            </w:r>
          </w:p>
        </w:tc>
        <w:tc>
          <w:tcPr>
            <w:tcW w:w="3327" w:type="dxa"/>
            <w:shd w:val="clear" w:color="auto" w:fill="auto"/>
          </w:tcPr>
          <w:p w:rsidR="002D4FA6" w:rsidRDefault="002D4FA6" w:rsidP="00AA6C2B">
            <w:pPr>
              <w:autoSpaceDE w:val="0"/>
              <w:autoSpaceDN w:val="0"/>
              <w:adjustRightInd w:val="0"/>
              <w:jc w:val="center"/>
            </w:pPr>
            <w:r>
              <w:t>GSLD-2, CS-2, OS-2, MET</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0.99342</w:t>
            </w:r>
          </w:p>
        </w:tc>
        <w:tc>
          <w:tcPr>
            <w:tcW w:w="1916" w:type="dxa"/>
            <w:shd w:val="clear" w:color="auto" w:fill="auto"/>
          </w:tcPr>
          <w:p w:rsidR="002D4FA6" w:rsidRDefault="002D4FA6" w:rsidP="00AA6C2B">
            <w:pPr>
              <w:autoSpaceDE w:val="0"/>
              <w:autoSpaceDN w:val="0"/>
              <w:adjustRightInd w:val="0"/>
              <w:jc w:val="center"/>
            </w:pPr>
            <w:r>
              <w:t>3.100</w:t>
            </w:r>
          </w:p>
        </w:tc>
      </w:tr>
      <w:tr w:rsidR="002D4FA6" w:rsidTr="00AA6C2B">
        <w:tc>
          <w:tcPr>
            <w:tcW w:w="1098" w:type="dxa"/>
            <w:shd w:val="clear" w:color="auto" w:fill="auto"/>
          </w:tcPr>
          <w:p w:rsidR="002D4FA6" w:rsidRDefault="002D4FA6" w:rsidP="00AA6C2B">
            <w:pPr>
              <w:autoSpaceDE w:val="0"/>
              <w:autoSpaceDN w:val="0"/>
              <w:adjustRightInd w:val="0"/>
              <w:jc w:val="center"/>
            </w:pPr>
            <w:r>
              <w:t>E</w:t>
            </w:r>
          </w:p>
        </w:tc>
        <w:tc>
          <w:tcPr>
            <w:tcW w:w="3327" w:type="dxa"/>
            <w:shd w:val="clear" w:color="auto" w:fill="auto"/>
          </w:tcPr>
          <w:p w:rsidR="002D4FA6" w:rsidRDefault="002D4FA6" w:rsidP="00AA6C2B">
            <w:pPr>
              <w:autoSpaceDE w:val="0"/>
              <w:autoSpaceDN w:val="0"/>
              <w:adjustRightInd w:val="0"/>
              <w:jc w:val="center"/>
            </w:pPr>
            <w:r>
              <w:t>GSLD-3, CS-3</w:t>
            </w:r>
          </w:p>
        </w:tc>
        <w:tc>
          <w:tcPr>
            <w:tcW w:w="1533" w:type="dxa"/>
            <w:shd w:val="clear" w:color="auto" w:fill="auto"/>
          </w:tcPr>
          <w:p w:rsidR="002D4FA6" w:rsidRDefault="002D4FA6" w:rsidP="00AA6C2B">
            <w:pPr>
              <w:autoSpaceDE w:val="0"/>
              <w:autoSpaceDN w:val="0"/>
              <w:adjustRightInd w:val="0"/>
              <w:jc w:val="center"/>
            </w:pPr>
            <w:r>
              <w:t>3.121</w:t>
            </w:r>
          </w:p>
        </w:tc>
        <w:tc>
          <w:tcPr>
            <w:tcW w:w="1702" w:type="dxa"/>
            <w:shd w:val="clear" w:color="auto" w:fill="auto"/>
          </w:tcPr>
          <w:p w:rsidR="002D4FA6" w:rsidRDefault="002D4FA6" w:rsidP="00AA6C2B">
            <w:pPr>
              <w:autoSpaceDE w:val="0"/>
              <w:autoSpaceDN w:val="0"/>
              <w:adjustRightInd w:val="0"/>
              <w:jc w:val="center"/>
            </w:pPr>
            <w:r>
              <w:t>0.96700</w:t>
            </w:r>
          </w:p>
        </w:tc>
        <w:tc>
          <w:tcPr>
            <w:tcW w:w="1916" w:type="dxa"/>
            <w:shd w:val="clear" w:color="auto" w:fill="auto"/>
          </w:tcPr>
          <w:p w:rsidR="002D4FA6" w:rsidRDefault="002D4FA6" w:rsidP="00AA6C2B">
            <w:pPr>
              <w:autoSpaceDE w:val="0"/>
              <w:autoSpaceDN w:val="0"/>
              <w:adjustRightInd w:val="0"/>
              <w:jc w:val="center"/>
            </w:pPr>
            <w:r>
              <w:t>3.018</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A</w:t>
            </w:r>
          </w:p>
        </w:tc>
        <w:tc>
          <w:tcPr>
            <w:tcW w:w="3327" w:type="dxa"/>
            <w:shd w:val="clear" w:color="auto" w:fill="auto"/>
          </w:tcPr>
          <w:p w:rsidR="002D4FA6" w:rsidRDefault="002D4FA6" w:rsidP="00AA6C2B">
            <w:pPr>
              <w:autoSpaceDE w:val="0"/>
              <w:autoSpaceDN w:val="0"/>
              <w:adjustRightInd w:val="0"/>
              <w:jc w:val="center"/>
            </w:pPr>
            <w:r>
              <w:t xml:space="preserve">GST-1 On-Peak </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3.952</w:t>
            </w:r>
          </w:p>
        </w:tc>
      </w:tr>
      <w:tr w:rsidR="002D4FA6" w:rsidTr="00AA6C2B">
        <w:tc>
          <w:tcPr>
            <w:tcW w:w="1098" w:type="dxa"/>
            <w:vMerge/>
            <w:shd w:val="clear" w:color="auto" w:fill="auto"/>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 xml:space="preserve">Off-Peak </w:t>
            </w:r>
          </w:p>
        </w:tc>
        <w:tc>
          <w:tcPr>
            <w:tcW w:w="1533" w:type="dxa"/>
            <w:shd w:val="clear" w:color="auto" w:fill="auto"/>
          </w:tcPr>
          <w:p w:rsidR="002D4FA6" w:rsidRDefault="002D4FA6" w:rsidP="00AA6C2B">
            <w:pPr>
              <w:autoSpaceDE w:val="0"/>
              <w:autoSpaceDN w:val="0"/>
              <w:adjustRightInd w:val="0"/>
              <w:jc w:val="center"/>
            </w:pPr>
            <w:r>
              <w:t>2.700</w:t>
            </w:r>
          </w:p>
        </w:tc>
        <w:tc>
          <w:tcPr>
            <w:tcW w:w="1702" w:type="dxa"/>
            <w:shd w:val="clear" w:color="auto" w:fill="auto"/>
          </w:tcPr>
          <w:p w:rsidR="002D4FA6" w:rsidRDefault="002D4FA6" w:rsidP="00AA6C2B">
            <w:pPr>
              <w:autoSpaceDE w:val="0"/>
              <w:autoSpaceDN w:val="0"/>
              <w:adjustRightInd w:val="0"/>
              <w:jc w:val="center"/>
            </w:pPr>
            <w:r>
              <w:t>1.00299</w:t>
            </w:r>
          </w:p>
        </w:tc>
        <w:tc>
          <w:tcPr>
            <w:tcW w:w="1916" w:type="dxa"/>
            <w:shd w:val="clear" w:color="auto" w:fill="auto"/>
          </w:tcPr>
          <w:p w:rsidR="002D4FA6" w:rsidRDefault="002D4FA6" w:rsidP="00AA6C2B">
            <w:pPr>
              <w:autoSpaceDE w:val="0"/>
              <w:autoSpaceDN w:val="0"/>
              <w:adjustRightInd w:val="0"/>
              <w:jc w:val="center"/>
            </w:pPr>
            <w:r>
              <w:t>2.708</w:t>
            </w:r>
          </w:p>
        </w:tc>
      </w:tr>
      <w:tr w:rsidR="002D4FA6" w:rsidTr="00AA6C2B">
        <w:tc>
          <w:tcPr>
            <w:tcW w:w="1098" w:type="dxa"/>
            <w:vMerge/>
            <w:shd w:val="clear" w:color="auto" w:fill="auto"/>
            <w:vAlign w:val="center"/>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 xml:space="preserve">RTR-1 On-Peak </w:t>
            </w:r>
          </w:p>
        </w:tc>
        <w:tc>
          <w:tcPr>
            <w:tcW w:w="1533" w:type="dxa"/>
            <w:shd w:val="clear" w:color="auto" w:fill="auto"/>
          </w:tcPr>
          <w:p w:rsidR="002D4FA6" w:rsidRDefault="002D4FA6" w:rsidP="00AA6C2B">
            <w:pPr>
              <w:autoSpaceDE w:val="0"/>
              <w:autoSpaceDN w:val="0"/>
              <w:adjustRightInd w:val="0"/>
              <w:jc w:val="center"/>
            </w:pPr>
          </w:p>
        </w:tc>
        <w:tc>
          <w:tcPr>
            <w:tcW w:w="1702" w:type="dxa"/>
            <w:shd w:val="clear" w:color="auto" w:fill="auto"/>
          </w:tcPr>
          <w:p w:rsidR="002D4FA6" w:rsidRDefault="002D4FA6" w:rsidP="00AA6C2B">
            <w:pPr>
              <w:autoSpaceDE w:val="0"/>
              <w:autoSpaceDN w:val="0"/>
              <w:adjustRightInd w:val="0"/>
              <w:jc w:val="center"/>
            </w:pPr>
          </w:p>
        </w:tc>
        <w:tc>
          <w:tcPr>
            <w:tcW w:w="1916" w:type="dxa"/>
            <w:shd w:val="clear" w:color="auto" w:fill="auto"/>
          </w:tcPr>
          <w:p w:rsidR="002D4FA6" w:rsidRDefault="002D4FA6" w:rsidP="00AA6C2B">
            <w:pPr>
              <w:autoSpaceDE w:val="0"/>
              <w:autoSpaceDN w:val="0"/>
              <w:adjustRightInd w:val="0"/>
              <w:jc w:val="center"/>
            </w:pPr>
            <w:r>
              <w:t>0.822</w:t>
            </w:r>
          </w:p>
        </w:tc>
      </w:tr>
      <w:tr w:rsidR="002D4FA6" w:rsidTr="00AA6C2B">
        <w:tc>
          <w:tcPr>
            <w:tcW w:w="1098" w:type="dxa"/>
            <w:vMerge/>
            <w:shd w:val="clear" w:color="auto" w:fill="auto"/>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 xml:space="preserve">Off-Peak </w:t>
            </w:r>
          </w:p>
        </w:tc>
        <w:tc>
          <w:tcPr>
            <w:tcW w:w="1533" w:type="dxa"/>
            <w:shd w:val="clear" w:color="auto" w:fill="auto"/>
          </w:tcPr>
          <w:p w:rsidR="002D4FA6" w:rsidRDefault="002D4FA6" w:rsidP="00AA6C2B">
            <w:pPr>
              <w:autoSpaceDE w:val="0"/>
              <w:autoSpaceDN w:val="0"/>
              <w:adjustRightInd w:val="0"/>
              <w:jc w:val="center"/>
            </w:pPr>
          </w:p>
        </w:tc>
        <w:tc>
          <w:tcPr>
            <w:tcW w:w="1702" w:type="dxa"/>
            <w:shd w:val="clear" w:color="auto" w:fill="auto"/>
          </w:tcPr>
          <w:p w:rsidR="002D4FA6" w:rsidRDefault="002D4FA6" w:rsidP="00AA6C2B">
            <w:pPr>
              <w:autoSpaceDE w:val="0"/>
              <w:autoSpaceDN w:val="0"/>
              <w:adjustRightInd w:val="0"/>
              <w:jc w:val="center"/>
            </w:pPr>
          </w:p>
        </w:tc>
        <w:tc>
          <w:tcPr>
            <w:tcW w:w="1916" w:type="dxa"/>
            <w:shd w:val="clear" w:color="auto" w:fill="auto"/>
          </w:tcPr>
          <w:p w:rsidR="002D4FA6" w:rsidRDefault="002D4FA6" w:rsidP="00AA6C2B">
            <w:pPr>
              <w:autoSpaceDE w:val="0"/>
              <w:autoSpaceDN w:val="0"/>
              <w:adjustRightInd w:val="0"/>
              <w:jc w:val="center"/>
            </w:pPr>
            <w:r>
              <w:t>(0.422)</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B</w:t>
            </w:r>
          </w:p>
        </w:tc>
        <w:tc>
          <w:tcPr>
            <w:tcW w:w="3327" w:type="dxa"/>
            <w:shd w:val="clear" w:color="auto" w:fill="auto"/>
          </w:tcPr>
          <w:p w:rsidR="002D4FA6" w:rsidRDefault="002D4FA6" w:rsidP="00AA6C2B">
            <w:pPr>
              <w:autoSpaceDE w:val="0"/>
              <w:autoSpaceDN w:val="0"/>
              <w:adjustRightInd w:val="0"/>
              <w:jc w:val="center"/>
            </w:pPr>
            <w:r>
              <w:t>GSDT-1, CILC-1(G), HLFT-1 On-Peak</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1.00291</w:t>
            </w:r>
          </w:p>
        </w:tc>
        <w:tc>
          <w:tcPr>
            <w:tcW w:w="1916" w:type="dxa"/>
            <w:shd w:val="clear" w:color="auto" w:fill="auto"/>
          </w:tcPr>
          <w:p w:rsidR="002D4FA6" w:rsidRDefault="002D4FA6" w:rsidP="00AA6C2B">
            <w:pPr>
              <w:autoSpaceDE w:val="0"/>
              <w:autoSpaceDN w:val="0"/>
              <w:adjustRightInd w:val="0"/>
              <w:jc w:val="center"/>
            </w:pPr>
            <w:r>
              <w:t>3.952</w:t>
            </w:r>
          </w:p>
        </w:tc>
      </w:tr>
      <w:tr w:rsidR="002D4FA6" w:rsidTr="00AA6C2B">
        <w:tc>
          <w:tcPr>
            <w:tcW w:w="1098" w:type="dxa"/>
            <w:vMerge/>
            <w:shd w:val="clear" w:color="auto" w:fill="auto"/>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Off-Peak</w:t>
            </w:r>
          </w:p>
        </w:tc>
        <w:tc>
          <w:tcPr>
            <w:tcW w:w="1533" w:type="dxa"/>
            <w:shd w:val="clear" w:color="auto" w:fill="auto"/>
          </w:tcPr>
          <w:p w:rsidR="002D4FA6" w:rsidRDefault="002D4FA6" w:rsidP="00AA6C2B">
            <w:pPr>
              <w:autoSpaceDE w:val="0"/>
              <w:autoSpaceDN w:val="0"/>
              <w:adjustRightInd w:val="0"/>
              <w:jc w:val="center"/>
            </w:pPr>
            <w:r>
              <w:t>2.700</w:t>
            </w:r>
          </w:p>
        </w:tc>
        <w:tc>
          <w:tcPr>
            <w:tcW w:w="1702" w:type="dxa"/>
            <w:shd w:val="clear" w:color="auto" w:fill="auto"/>
          </w:tcPr>
          <w:p w:rsidR="002D4FA6" w:rsidRDefault="002D4FA6" w:rsidP="00AA6C2B">
            <w:pPr>
              <w:autoSpaceDE w:val="0"/>
              <w:autoSpaceDN w:val="0"/>
              <w:adjustRightInd w:val="0"/>
              <w:jc w:val="center"/>
            </w:pPr>
            <w:r>
              <w:t>1.00291</w:t>
            </w:r>
          </w:p>
        </w:tc>
        <w:tc>
          <w:tcPr>
            <w:tcW w:w="1916" w:type="dxa"/>
            <w:shd w:val="clear" w:color="auto" w:fill="auto"/>
          </w:tcPr>
          <w:p w:rsidR="002D4FA6" w:rsidRDefault="002D4FA6" w:rsidP="00AA6C2B">
            <w:pPr>
              <w:autoSpaceDE w:val="0"/>
              <w:autoSpaceDN w:val="0"/>
              <w:adjustRightInd w:val="0"/>
              <w:jc w:val="center"/>
            </w:pPr>
            <w:r>
              <w:t>2.708</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C</w:t>
            </w:r>
          </w:p>
        </w:tc>
        <w:tc>
          <w:tcPr>
            <w:tcW w:w="3327" w:type="dxa"/>
            <w:shd w:val="clear" w:color="auto" w:fill="auto"/>
          </w:tcPr>
          <w:p w:rsidR="002D4FA6" w:rsidRDefault="002D4FA6" w:rsidP="00AA6C2B">
            <w:pPr>
              <w:autoSpaceDE w:val="0"/>
              <w:autoSpaceDN w:val="0"/>
              <w:adjustRightInd w:val="0"/>
              <w:jc w:val="center"/>
            </w:pPr>
            <w:r>
              <w:t xml:space="preserve">GSLDT-1, CST-1, HLFT-2 </w:t>
            </w:r>
          </w:p>
          <w:p w:rsidR="002D4FA6" w:rsidRDefault="002D4FA6" w:rsidP="00AA6C2B">
            <w:pPr>
              <w:autoSpaceDE w:val="0"/>
              <w:autoSpaceDN w:val="0"/>
              <w:adjustRightInd w:val="0"/>
              <w:jc w:val="center"/>
            </w:pPr>
            <w:r>
              <w:t>On-Peak</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1.00195</w:t>
            </w:r>
          </w:p>
        </w:tc>
        <w:tc>
          <w:tcPr>
            <w:tcW w:w="1916" w:type="dxa"/>
            <w:shd w:val="clear" w:color="auto" w:fill="auto"/>
          </w:tcPr>
          <w:p w:rsidR="002D4FA6" w:rsidRDefault="002D4FA6" w:rsidP="00AA6C2B">
            <w:pPr>
              <w:autoSpaceDE w:val="0"/>
              <w:autoSpaceDN w:val="0"/>
              <w:adjustRightInd w:val="0"/>
              <w:jc w:val="center"/>
            </w:pPr>
            <w:r>
              <w:t>3.948</w:t>
            </w:r>
          </w:p>
        </w:tc>
      </w:tr>
      <w:tr w:rsidR="002D4FA6" w:rsidTr="00AA6C2B">
        <w:tc>
          <w:tcPr>
            <w:tcW w:w="1098" w:type="dxa"/>
            <w:vMerge/>
            <w:shd w:val="clear" w:color="auto" w:fill="auto"/>
            <w:vAlign w:val="center"/>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Off-Peak</w:t>
            </w:r>
          </w:p>
        </w:tc>
        <w:tc>
          <w:tcPr>
            <w:tcW w:w="1533" w:type="dxa"/>
            <w:shd w:val="clear" w:color="auto" w:fill="auto"/>
          </w:tcPr>
          <w:p w:rsidR="002D4FA6" w:rsidRDefault="002D4FA6" w:rsidP="00AA6C2B">
            <w:pPr>
              <w:autoSpaceDE w:val="0"/>
              <w:autoSpaceDN w:val="0"/>
              <w:adjustRightInd w:val="0"/>
              <w:jc w:val="center"/>
            </w:pPr>
            <w:r>
              <w:t>2.700</w:t>
            </w:r>
          </w:p>
        </w:tc>
        <w:tc>
          <w:tcPr>
            <w:tcW w:w="1702" w:type="dxa"/>
            <w:shd w:val="clear" w:color="auto" w:fill="auto"/>
          </w:tcPr>
          <w:p w:rsidR="002D4FA6" w:rsidRDefault="002D4FA6" w:rsidP="00AA6C2B">
            <w:pPr>
              <w:autoSpaceDE w:val="0"/>
              <w:autoSpaceDN w:val="0"/>
              <w:adjustRightInd w:val="0"/>
              <w:jc w:val="center"/>
            </w:pPr>
            <w:r>
              <w:t>1.00195</w:t>
            </w:r>
          </w:p>
        </w:tc>
        <w:tc>
          <w:tcPr>
            <w:tcW w:w="1916" w:type="dxa"/>
            <w:shd w:val="clear" w:color="auto" w:fill="auto"/>
          </w:tcPr>
          <w:p w:rsidR="002D4FA6" w:rsidRDefault="002D4FA6" w:rsidP="00AA6C2B">
            <w:pPr>
              <w:autoSpaceDE w:val="0"/>
              <w:autoSpaceDN w:val="0"/>
              <w:adjustRightInd w:val="0"/>
              <w:jc w:val="center"/>
            </w:pPr>
            <w:r>
              <w:t>2.705</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D</w:t>
            </w:r>
          </w:p>
        </w:tc>
        <w:tc>
          <w:tcPr>
            <w:tcW w:w="3327" w:type="dxa"/>
            <w:shd w:val="clear" w:color="auto" w:fill="auto"/>
          </w:tcPr>
          <w:p w:rsidR="002D4FA6" w:rsidRDefault="002D4FA6" w:rsidP="00AA6C2B">
            <w:pPr>
              <w:autoSpaceDE w:val="0"/>
              <w:autoSpaceDN w:val="0"/>
              <w:adjustRightInd w:val="0"/>
              <w:jc w:val="center"/>
            </w:pPr>
            <w:r>
              <w:t>GSLDT-2, CST-2, HLFT-3</w:t>
            </w:r>
          </w:p>
          <w:p w:rsidR="002D4FA6" w:rsidRDefault="002D4FA6" w:rsidP="00AA6C2B">
            <w:pPr>
              <w:autoSpaceDE w:val="0"/>
              <w:autoSpaceDN w:val="0"/>
              <w:adjustRightInd w:val="0"/>
              <w:jc w:val="center"/>
            </w:pPr>
            <w:r>
              <w:t xml:space="preserve"> On-Peak</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0.99410</w:t>
            </w:r>
          </w:p>
        </w:tc>
        <w:tc>
          <w:tcPr>
            <w:tcW w:w="1916" w:type="dxa"/>
            <w:shd w:val="clear" w:color="auto" w:fill="auto"/>
          </w:tcPr>
          <w:p w:rsidR="002D4FA6" w:rsidRDefault="002D4FA6" w:rsidP="00AA6C2B">
            <w:pPr>
              <w:autoSpaceDE w:val="0"/>
              <w:autoSpaceDN w:val="0"/>
              <w:adjustRightInd w:val="0"/>
              <w:jc w:val="center"/>
            </w:pPr>
            <w:r>
              <w:t>3.917</w:t>
            </w:r>
          </w:p>
        </w:tc>
      </w:tr>
      <w:tr w:rsidR="002D4FA6" w:rsidTr="00AA6C2B">
        <w:tc>
          <w:tcPr>
            <w:tcW w:w="1098" w:type="dxa"/>
            <w:vMerge/>
            <w:shd w:val="clear" w:color="auto" w:fill="auto"/>
            <w:vAlign w:val="center"/>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Off-Peak</w:t>
            </w:r>
          </w:p>
        </w:tc>
        <w:tc>
          <w:tcPr>
            <w:tcW w:w="1533" w:type="dxa"/>
            <w:shd w:val="clear" w:color="auto" w:fill="auto"/>
          </w:tcPr>
          <w:p w:rsidR="002D4FA6" w:rsidRDefault="002D4FA6" w:rsidP="00AA6C2B">
            <w:pPr>
              <w:autoSpaceDE w:val="0"/>
              <w:autoSpaceDN w:val="0"/>
              <w:adjustRightInd w:val="0"/>
              <w:jc w:val="center"/>
            </w:pPr>
            <w:r>
              <w:t>2.700</w:t>
            </w:r>
          </w:p>
        </w:tc>
        <w:tc>
          <w:tcPr>
            <w:tcW w:w="1702" w:type="dxa"/>
            <w:shd w:val="clear" w:color="auto" w:fill="auto"/>
          </w:tcPr>
          <w:p w:rsidR="002D4FA6" w:rsidRDefault="002D4FA6" w:rsidP="00AA6C2B">
            <w:pPr>
              <w:autoSpaceDE w:val="0"/>
              <w:autoSpaceDN w:val="0"/>
              <w:adjustRightInd w:val="0"/>
              <w:jc w:val="center"/>
            </w:pPr>
            <w:r>
              <w:t>0.99410</w:t>
            </w:r>
          </w:p>
        </w:tc>
        <w:tc>
          <w:tcPr>
            <w:tcW w:w="1916" w:type="dxa"/>
            <w:shd w:val="clear" w:color="auto" w:fill="auto"/>
          </w:tcPr>
          <w:p w:rsidR="002D4FA6" w:rsidRDefault="002D4FA6" w:rsidP="00AA6C2B">
            <w:pPr>
              <w:autoSpaceDE w:val="0"/>
              <w:autoSpaceDN w:val="0"/>
              <w:adjustRightInd w:val="0"/>
              <w:jc w:val="center"/>
            </w:pPr>
            <w:r>
              <w:t>2.684</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E</w:t>
            </w:r>
          </w:p>
        </w:tc>
        <w:tc>
          <w:tcPr>
            <w:tcW w:w="3327" w:type="dxa"/>
            <w:shd w:val="clear" w:color="auto" w:fill="auto"/>
          </w:tcPr>
          <w:p w:rsidR="002D4FA6" w:rsidRDefault="002D4FA6" w:rsidP="00AA6C2B">
            <w:pPr>
              <w:autoSpaceDE w:val="0"/>
              <w:autoSpaceDN w:val="0"/>
              <w:adjustRightInd w:val="0"/>
              <w:jc w:val="center"/>
            </w:pPr>
            <w:r>
              <w:t>GSLDT-3, CST-3, CILC-1(T), ISST-1(T)</w:t>
            </w:r>
          </w:p>
          <w:p w:rsidR="002D4FA6" w:rsidRDefault="002D4FA6" w:rsidP="00AA6C2B">
            <w:pPr>
              <w:autoSpaceDE w:val="0"/>
              <w:autoSpaceDN w:val="0"/>
              <w:adjustRightInd w:val="0"/>
              <w:jc w:val="center"/>
            </w:pPr>
            <w:r>
              <w:t xml:space="preserve"> On-Peak</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0.96700</w:t>
            </w:r>
          </w:p>
        </w:tc>
        <w:tc>
          <w:tcPr>
            <w:tcW w:w="1916" w:type="dxa"/>
            <w:shd w:val="clear" w:color="auto" w:fill="auto"/>
          </w:tcPr>
          <w:p w:rsidR="002D4FA6" w:rsidRDefault="002D4FA6" w:rsidP="00AA6C2B">
            <w:pPr>
              <w:autoSpaceDE w:val="0"/>
              <w:autoSpaceDN w:val="0"/>
              <w:adjustRightInd w:val="0"/>
              <w:jc w:val="center"/>
            </w:pPr>
            <w:r>
              <w:t>3.810</w:t>
            </w:r>
          </w:p>
        </w:tc>
      </w:tr>
      <w:tr w:rsidR="002D4FA6" w:rsidTr="00AA6C2B">
        <w:tc>
          <w:tcPr>
            <w:tcW w:w="1098" w:type="dxa"/>
            <w:vMerge/>
            <w:shd w:val="clear" w:color="auto" w:fill="auto"/>
            <w:vAlign w:val="center"/>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 xml:space="preserve">Off-Peak </w:t>
            </w:r>
          </w:p>
        </w:tc>
        <w:tc>
          <w:tcPr>
            <w:tcW w:w="1533" w:type="dxa"/>
            <w:shd w:val="clear" w:color="auto" w:fill="auto"/>
          </w:tcPr>
          <w:p w:rsidR="002D4FA6" w:rsidRDefault="002D4FA6" w:rsidP="00AA6C2B">
            <w:pPr>
              <w:autoSpaceDE w:val="0"/>
              <w:autoSpaceDN w:val="0"/>
              <w:adjustRightInd w:val="0"/>
              <w:jc w:val="center"/>
            </w:pPr>
            <w:r>
              <w:t>2.700</w:t>
            </w:r>
          </w:p>
        </w:tc>
        <w:tc>
          <w:tcPr>
            <w:tcW w:w="1702" w:type="dxa"/>
            <w:shd w:val="clear" w:color="auto" w:fill="auto"/>
          </w:tcPr>
          <w:p w:rsidR="002D4FA6" w:rsidRDefault="002D4FA6" w:rsidP="00AA6C2B">
            <w:pPr>
              <w:autoSpaceDE w:val="0"/>
              <w:autoSpaceDN w:val="0"/>
              <w:adjustRightInd w:val="0"/>
              <w:jc w:val="center"/>
            </w:pPr>
            <w:r>
              <w:t>0.96700</w:t>
            </w:r>
          </w:p>
        </w:tc>
        <w:tc>
          <w:tcPr>
            <w:tcW w:w="1916" w:type="dxa"/>
            <w:shd w:val="clear" w:color="auto" w:fill="auto"/>
          </w:tcPr>
          <w:p w:rsidR="002D4FA6" w:rsidRDefault="002D4FA6" w:rsidP="00AA6C2B">
            <w:pPr>
              <w:autoSpaceDE w:val="0"/>
              <w:autoSpaceDN w:val="0"/>
              <w:adjustRightInd w:val="0"/>
              <w:jc w:val="center"/>
            </w:pPr>
            <w:r>
              <w:t>2.611</w:t>
            </w:r>
          </w:p>
        </w:tc>
      </w:tr>
      <w:tr w:rsidR="002D4FA6" w:rsidTr="00AA6C2B">
        <w:tc>
          <w:tcPr>
            <w:tcW w:w="1098" w:type="dxa"/>
            <w:vMerge w:val="restart"/>
            <w:shd w:val="clear" w:color="auto" w:fill="auto"/>
            <w:vAlign w:val="center"/>
          </w:tcPr>
          <w:p w:rsidR="002D4FA6" w:rsidRDefault="002D4FA6" w:rsidP="00AA6C2B">
            <w:pPr>
              <w:autoSpaceDE w:val="0"/>
              <w:autoSpaceDN w:val="0"/>
              <w:adjustRightInd w:val="0"/>
              <w:jc w:val="center"/>
            </w:pPr>
            <w:r>
              <w:t>F</w:t>
            </w:r>
          </w:p>
        </w:tc>
        <w:tc>
          <w:tcPr>
            <w:tcW w:w="3327" w:type="dxa"/>
            <w:shd w:val="clear" w:color="auto" w:fill="auto"/>
          </w:tcPr>
          <w:p w:rsidR="002D4FA6" w:rsidRDefault="002D4FA6" w:rsidP="00AA6C2B">
            <w:pPr>
              <w:autoSpaceDE w:val="0"/>
              <w:autoSpaceDN w:val="0"/>
              <w:adjustRightInd w:val="0"/>
              <w:jc w:val="center"/>
            </w:pPr>
            <w:r>
              <w:t>CILC-1(D), ISST-1(D)</w:t>
            </w:r>
          </w:p>
          <w:p w:rsidR="002D4FA6" w:rsidRDefault="002D4FA6" w:rsidP="00AA6C2B">
            <w:pPr>
              <w:autoSpaceDE w:val="0"/>
              <w:autoSpaceDN w:val="0"/>
              <w:adjustRightInd w:val="0"/>
              <w:jc w:val="center"/>
            </w:pPr>
            <w:r>
              <w:t>On-Peak</w:t>
            </w:r>
          </w:p>
        </w:tc>
        <w:tc>
          <w:tcPr>
            <w:tcW w:w="1533" w:type="dxa"/>
            <w:shd w:val="clear" w:color="auto" w:fill="auto"/>
          </w:tcPr>
          <w:p w:rsidR="002D4FA6" w:rsidRDefault="002D4FA6" w:rsidP="00AA6C2B">
            <w:pPr>
              <w:autoSpaceDE w:val="0"/>
              <w:autoSpaceDN w:val="0"/>
              <w:adjustRightInd w:val="0"/>
              <w:jc w:val="center"/>
            </w:pPr>
            <w:r>
              <w:t>3.940</w:t>
            </w:r>
          </w:p>
        </w:tc>
        <w:tc>
          <w:tcPr>
            <w:tcW w:w="1702" w:type="dxa"/>
            <w:shd w:val="clear" w:color="auto" w:fill="auto"/>
          </w:tcPr>
          <w:p w:rsidR="002D4FA6" w:rsidRDefault="002D4FA6" w:rsidP="00AA6C2B">
            <w:pPr>
              <w:autoSpaceDE w:val="0"/>
              <w:autoSpaceDN w:val="0"/>
              <w:adjustRightInd w:val="0"/>
              <w:jc w:val="center"/>
            </w:pPr>
            <w:r>
              <w:t>0.99318</w:t>
            </w:r>
          </w:p>
        </w:tc>
        <w:tc>
          <w:tcPr>
            <w:tcW w:w="1916" w:type="dxa"/>
            <w:shd w:val="clear" w:color="auto" w:fill="auto"/>
          </w:tcPr>
          <w:p w:rsidR="002D4FA6" w:rsidRDefault="002D4FA6" w:rsidP="00AA6C2B">
            <w:pPr>
              <w:autoSpaceDE w:val="0"/>
              <w:autoSpaceDN w:val="0"/>
              <w:adjustRightInd w:val="0"/>
              <w:jc w:val="center"/>
            </w:pPr>
            <w:r>
              <w:t>3.914</w:t>
            </w:r>
          </w:p>
        </w:tc>
      </w:tr>
      <w:tr w:rsidR="002D4FA6" w:rsidTr="00AA6C2B">
        <w:tc>
          <w:tcPr>
            <w:tcW w:w="1098" w:type="dxa"/>
            <w:vMerge/>
            <w:shd w:val="clear" w:color="auto" w:fill="auto"/>
          </w:tcPr>
          <w:p w:rsidR="002D4FA6" w:rsidRDefault="002D4FA6" w:rsidP="00AA6C2B">
            <w:pPr>
              <w:autoSpaceDE w:val="0"/>
              <w:autoSpaceDN w:val="0"/>
              <w:adjustRightInd w:val="0"/>
              <w:jc w:val="center"/>
            </w:pPr>
          </w:p>
        </w:tc>
        <w:tc>
          <w:tcPr>
            <w:tcW w:w="3327" w:type="dxa"/>
            <w:shd w:val="clear" w:color="auto" w:fill="auto"/>
          </w:tcPr>
          <w:p w:rsidR="002D4FA6" w:rsidRDefault="002D4FA6" w:rsidP="00AA6C2B">
            <w:pPr>
              <w:autoSpaceDE w:val="0"/>
              <w:autoSpaceDN w:val="0"/>
              <w:adjustRightInd w:val="0"/>
              <w:jc w:val="center"/>
            </w:pPr>
            <w:r>
              <w:t>Off-Peak</w:t>
            </w:r>
          </w:p>
        </w:tc>
        <w:tc>
          <w:tcPr>
            <w:tcW w:w="1533" w:type="dxa"/>
            <w:shd w:val="clear" w:color="auto" w:fill="auto"/>
          </w:tcPr>
          <w:p w:rsidR="002D4FA6" w:rsidRDefault="002D4FA6" w:rsidP="00AA6C2B">
            <w:pPr>
              <w:tabs>
                <w:tab w:val="left" w:pos="372"/>
                <w:tab w:val="center" w:pos="658"/>
              </w:tabs>
              <w:autoSpaceDE w:val="0"/>
              <w:autoSpaceDN w:val="0"/>
              <w:adjustRightInd w:val="0"/>
            </w:pPr>
            <w:r>
              <w:tab/>
              <w:t>2.700</w:t>
            </w:r>
          </w:p>
        </w:tc>
        <w:tc>
          <w:tcPr>
            <w:tcW w:w="1702" w:type="dxa"/>
            <w:shd w:val="clear" w:color="auto" w:fill="auto"/>
          </w:tcPr>
          <w:p w:rsidR="002D4FA6" w:rsidRDefault="002D4FA6" w:rsidP="00AA6C2B">
            <w:pPr>
              <w:autoSpaceDE w:val="0"/>
              <w:autoSpaceDN w:val="0"/>
              <w:adjustRightInd w:val="0"/>
              <w:jc w:val="center"/>
            </w:pPr>
            <w:r>
              <w:t>0.99318</w:t>
            </w:r>
          </w:p>
        </w:tc>
        <w:tc>
          <w:tcPr>
            <w:tcW w:w="1916" w:type="dxa"/>
            <w:shd w:val="clear" w:color="auto" w:fill="auto"/>
          </w:tcPr>
          <w:p w:rsidR="002D4FA6" w:rsidRPr="00D236FA" w:rsidRDefault="002D4FA6" w:rsidP="00AA6C2B">
            <w:pPr>
              <w:autoSpaceDE w:val="0"/>
              <w:autoSpaceDN w:val="0"/>
              <w:adjustRightInd w:val="0"/>
              <w:jc w:val="center"/>
            </w:pPr>
            <w:r>
              <w:t>2.682</w:t>
            </w:r>
          </w:p>
        </w:tc>
      </w:tr>
    </w:tbl>
    <w:p w:rsidR="002D4FA6" w:rsidRDefault="002D4FA6" w:rsidP="002D4FA6">
      <w:pPr>
        <w:autoSpaceDE w:val="0"/>
        <w:autoSpaceDN w:val="0"/>
        <w:adjustRightInd w:val="0"/>
        <w:ind w:left="1440" w:hanging="1440"/>
        <w:jc w:val="both"/>
        <w:rPr>
          <w:sz w:val="16"/>
          <w:szCs w:val="16"/>
        </w:rPr>
      </w:pPr>
    </w:p>
    <w:p w:rsidR="002D4FA6" w:rsidRDefault="002D4FA6" w:rsidP="002D4FA6"/>
    <w:p w:rsidR="002D4FA6" w:rsidRDefault="002D4FA6" w:rsidP="002D4FA6">
      <w:pPr>
        <w:pStyle w:val="OrderBody"/>
      </w:pPr>
      <w:r>
        <w:br w:type="page"/>
      </w:r>
    </w:p>
    <w:p w:rsidR="002D4FA6" w:rsidRDefault="009C414D" w:rsidP="009C414D">
      <w:pPr>
        <w:pStyle w:val="OrderBody"/>
        <w:jc w:val="right"/>
      </w:pPr>
      <w:r>
        <w:lastRenderedPageBreak/>
        <w:t>ATTACHMENT A</w:t>
      </w:r>
    </w:p>
    <w:p w:rsidR="009C414D" w:rsidRDefault="009C414D" w:rsidP="009C414D">
      <w:pPr>
        <w:pStyle w:val="OrderBody"/>
        <w:jc w:val="right"/>
      </w:pPr>
      <w:r>
        <w:t>Page 2 of 2</w:t>
      </w:r>
    </w:p>
    <w:p w:rsidR="002D4FA6" w:rsidRDefault="002D4FA6" w:rsidP="002D4FA6"/>
    <w:p w:rsidR="009C414D" w:rsidRDefault="009C414D" w:rsidP="002D4F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94"/>
        <w:gridCol w:w="1606"/>
        <w:gridCol w:w="1672"/>
        <w:gridCol w:w="1916"/>
      </w:tblGrid>
      <w:tr w:rsidR="002D4FA6" w:rsidTr="00AA6C2B">
        <w:tc>
          <w:tcPr>
            <w:tcW w:w="9576" w:type="dxa"/>
            <w:gridSpan w:val="5"/>
            <w:shd w:val="clear" w:color="auto" w:fill="auto"/>
          </w:tcPr>
          <w:p w:rsidR="002D4FA6" w:rsidRPr="006E294A" w:rsidRDefault="002D4FA6" w:rsidP="00AA6C2B">
            <w:pPr>
              <w:autoSpaceDE w:val="0"/>
              <w:autoSpaceDN w:val="0"/>
              <w:adjustRightInd w:val="0"/>
              <w:jc w:val="center"/>
              <w:rPr>
                <w:b/>
              </w:rPr>
            </w:pPr>
            <w:r w:rsidRPr="006E294A">
              <w:rPr>
                <w:b/>
              </w:rPr>
              <w:t>Seasonal Demand Time of Use Rider (SDTR) Fuel Recovery Factors</w:t>
            </w:r>
          </w:p>
          <w:p w:rsidR="002D4FA6" w:rsidRPr="0091659B" w:rsidRDefault="002D4FA6" w:rsidP="00AA6C2B">
            <w:pPr>
              <w:autoSpaceDE w:val="0"/>
              <w:autoSpaceDN w:val="0"/>
              <w:adjustRightInd w:val="0"/>
              <w:jc w:val="center"/>
            </w:pPr>
            <w:r w:rsidRPr="0091659B">
              <w:t xml:space="preserve">On-Peak: June 2015 through September 2015 </w:t>
            </w:r>
          </w:p>
          <w:p w:rsidR="002D4FA6" w:rsidRPr="0091659B" w:rsidRDefault="002D4FA6" w:rsidP="00AA6C2B">
            <w:pPr>
              <w:autoSpaceDE w:val="0"/>
              <w:autoSpaceDN w:val="0"/>
              <w:adjustRightInd w:val="0"/>
              <w:jc w:val="center"/>
            </w:pPr>
            <w:r w:rsidRPr="0091659B">
              <w:t>Weekdays 3:00 pm to 6:00 pm</w:t>
            </w:r>
          </w:p>
          <w:p w:rsidR="002D4FA6" w:rsidRDefault="002D4FA6" w:rsidP="00AA6C2B">
            <w:pPr>
              <w:autoSpaceDE w:val="0"/>
              <w:autoSpaceDN w:val="0"/>
              <w:adjustRightInd w:val="0"/>
              <w:jc w:val="center"/>
            </w:pPr>
            <w:r w:rsidRPr="0091659B">
              <w:t xml:space="preserve">Off-Peak: All Other Hours </w:t>
            </w:r>
          </w:p>
        </w:tc>
      </w:tr>
      <w:tr w:rsidR="002D4FA6" w:rsidTr="00AA6C2B">
        <w:trPr>
          <w:trHeight w:val="562"/>
        </w:trPr>
        <w:tc>
          <w:tcPr>
            <w:tcW w:w="1188" w:type="dxa"/>
            <w:shd w:val="clear" w:color="auto" w:fill="D9D9D9"/>
            <w:vAlign w:val="center"/>
          </w:tcPr>
          <w:p w:rsidR="002D4FA6" w:rsidRDefault="002D4FA6" w:rsidP="00AA6C2B">
            <w:pPr>
              <w:autoSpaceDE w:val="0"/>
              <w:autoSpaceDN w:val="0"/>
              <w:adjustRightInd w:val="0"/>
              <w:jc w:val="center"/>
            </w:pPr>
            <w:r>
              <w:t>GROUP</w:t>
            </w:r>
          </w:p>
        </w:tc>
        <w:tc>
          <w:tcPr>
            <w:tcW w:w="3194" w:type="dxa"/>
            <w:shd w:val="clear" w:color="auto" w:fill="D9D9D9"/>
            <w:vAlign w:val="center"/>
          </w:tcPr>
          <w:p w:rsidR="002D4FA6" w:rsidRDefault="002D4FA6" w:rsidP="00AA6C2B">
            <w:pPr>
              <w:autoSpaceDE w:val="0"/>
              <w:autoSpaceDN w:val="0"/>
              <w:adjustRightInd w:val="0"/>
              <w:jc w:val="center"/>
            </w:pPr>
            <w:r>
              <w:t>OTHERWISE APPLICABLE RATE SCHEDULE</w:t>
            </w:r>
          </w:p>
        </w:tc>
        <w:tc>
          <w:tcPr>
            <w:tcW w:w="1606" w:type="dxa"/>
            <w:shd w:val="clear" w:color="auto" w:fill="D9D9D9"/>
            <w:vAlign w:val="center"/>
          </w:tcPr>
          <w:p w:rsidR="002D4FA6" w:rsidRDefault="002D4FA6" w:rsidP="00AA6C2B">
            <w:pPr>
              <w:autoSpaceDE w:val="0"/>
              <w:autoSpaceDN w:val="0"/>
              <w:adjustRightInd w:val="0"/>
              <w:jc w:val="center"/>
            </w:pPr>
            <w:r>
              <w:t>AVERAGE FACTOR</w:t>
            </w:r>
          </w:p>
        </w:tc>
        <w:tc>
          <w:tcPr>
            <w:tcW w:w="1672" w:type="dxa"/>
            <w:shd w:val="clear" w:color="auto" w:fill="D9D9D9"/>
          </w:tcPr>
          <w:p w:rsidR="002D4FA6" w:rsidRDefault="002D4FA6" w:rsidP="00AA6C2B">
            <w:pPr>
              <w:autoSpaceDE w:val="0"/>
              <w:autoSpaceDN w:val="0"/>
              <w:adjustRightInd w:val="0"/>
              <w:jc w:val="center"/>
            </w:pPr>
            <w:r>
              <w:t>FUEL RECOVERY LOSS MULTIPLIER</w:t>
            </w:r>
          </w:p>
        </w:tc>
        <w:tc>
          <w:tcPr>
            <w:tcW w:w="1916" w:type="dxa"/>
            <w:shd w:val="clear" w:color="auto" w:fill="D9D9D9"/>
          </w:tcPr>
          <w:p w:rsidR="002D4FA6" w:rsidRDefault="002D4FA6" w:rsidP="00AA6C2B">
            <w:pPr>
              <w:autoSpaceDE w:val="0"/>
              <w:autoSpaceDN w:val="0"/>
              <w:adjustRightInd w:val="0"/>
              <w:jc w:val="center"/>
            </w:pPr>
            <w:r>
              <w:t>SDTR</w:t>
            </w:r>
          </w:p>
          <w:p w:rsidR="002D4FA6" w:rsidRDefault="002D4FA6" w:rsidP="00AA6C2B">
            <w:pPr>
              <w:autoSpaceDE w:val="0"/>
              <w:autoSpaceDN w:val="0"/>
              <w:adjustRightInd w:val="0"/>
              <w:jc w:val="center"/>
            </w:pPr>
            <w:r>
              <w:t>FUEL RECOVERY FACTOR</w:t>
            </w:r>
          </w:p>
        </w:tc>
      </w:tr>
      <w:tr w:rsidR="002D4FA6" w:rsidTr="00AA6C2B">
        <w:tc>
          <w:tcPr>
            <w:tcW w:w="1188" w:type="dxa"/>
            <w:vMerge w:val="restart"/>
            <w:shd w:val="clear" w:color="auto" w:fill="auto"/>
            <w:vAlign w:val="center"/>
          </w:tcPr>
          <w:p w:rsidR="002D4FA6" w:rsidRDefault="002D4FA6" w:rsidP="00AA6C2B">
            <w:pPr>
              <w:autoSpaceDE w:val="0"/>
              <w:autoSpaceDN w:val="0"/>
              <w:adjustRightInd w:val="0"/>
              <w:jc w:val="center"/>
            </w:pPr>
            <w:r>
              <w:t>B</w:t>
            </w:r>
          </w:p>
        </w:tc>
        <w:tc>
          <w:tcPr>
            <w:tcW w:w="3194" w:type="dxa"/>
            <w:shd w:val="clear" w:color="auto" w:fill="auto"/>
          </w:tcPr>
          <w:p w:rsidR="002D4FA6" w:rsidRDefault="002D4FA6" w:rsidP="00AA6C2B">
            <w:pPr>
              <w:autoSpaceDE w:val="0"/>
              <w:autoSpaceDN w:val="0"/>
              <w:adjustRightInd w:val="0"/>
              <w:jc w:val="center"/>
            </w:pPr>
            <w:r>
              <w:t>GSD(T)-1 On-Peak</w:t>
            </w:r>
          </w:p>
        </w:tc>
        <w:tc>
          <w:tcPr>
            <w:tcW w:w="1606" w:type="dxa"/>
            <w:shd w:val="clear" w:color="auto" w:fill="auto"/>
          </w:tcPr>
          <w:p w:rsidR="002D4FA6" w:rsidRDefault="002D4FA6" w:rsidP="00AA6C2B">
            <w:pPr>
              <w:autoSpaceDE w:val="0"/>
              <w:autoSpaceDN w:val="0"/>
              <w:adjustRightInd w:val="0"/>
              <w:jc w:val="center"/>
            </w:pPr>
            <w:r>
              <w:t>5.743</w:t>
            </w:r>
          </w:p>
        </w:tc>
        <w:tc>
          <w:tcPr>
            <w:tcW w:w="1672" w:type="dxa"/>
            <w:shd w:val="clear" w:color="auto" w:fill="auto"/>
          </w:tcPr>
          <w:p w:rsidR="002D4FA6" w:rsidRDefault="002D4FA6" w:rsidP="00AA6C2B">
            <w:pPr>
              <w:autoSpaceDE w:val="0"/>
              <w:autoSpaceDN w:val="0"/>
              <w:adjustRightInd w:val="0"/>
              <w:jc w:val="center"/>
            </w:pPr>
            <w:r>
              <w:t>1.00291</w:t>
            </w:r>
          </w:p>
        </w:tc>
        <w:tc>
          <w:tcPr>
            <w:tcW w:w="1916" w:type="dxa"/>
            <w:shd w:val="clear" w:color="auto" w:fill="auto"/>
          </w:tcPr>
          <w:p w:rsidR="002D4FA6" w:rsidRDefault="002D4FA6" w:rsidP="00AA6C2B">
            <w:pPr>
              <w:autoSpaceDE w:val="0"/>
              <w:autoSpaceDN w:val="0"/>
              <w:adjustRightInd w:val="0"/>
              <w:jc w:val="center"/>
            </w:pPr>
            <w:r>
              <w:t>5.759</w:t>
            </w:r>
          </w:p>
        </w:tc>
      </w:tr>
      <w:tr w:rsidR="002D4FA6" w:rsidTr="00AA6C2B">
        <w:tc>
          <w:tcPr>
            <w:tcW w:w="1188" w:type="dxa"/>
            <w:vMerge/>
            <w:shd w:val="clear" w:color="auto" w:fill="auto"/>
            <w:vAlign w:val="center"/>
          </w:tcPr>
          <w:p w:rsidR="002D4FA6" w:rsidRDefault="002D4FA6" w:rsidP="00AA6C2B">
            <w:pPr>
              <w:autoSpaceDE w:val="0"/>
              <w:autoSpaceDN w:val="0"/>
              <w:adjustRightInd w:val="0"/>
              <w:jc w:val="center"/>
            </w:pPr>
          </w:p>
        </w:tc>
        <w:tc>
          <w:tcPr>
            <w:tcW w:w="3194" w:type="dxa"/>
            <w:shd w:val="clear" w:color="auto" w:fill="auto"/>
          </w:tcPr>
          <w:p w:rsidR="002D4FA6" w:rsidRDefault="002D4FA6" w:rsidP="00AA6C2B">
            <w:pPr>
              <w:autoSpaceDE w:val="0"/>
              <w:autoSpaceDN w:val="0"/>
              <w:adjustRightInd w:val="0"/>
              <w:jc w:val="center"/>
            </w:pPr>
            <w:r>
              <w:t>Off-Peak</w:t>
            </w:r>
          </w:p>
        </w:tc>
        <w:tc>
          <w:tcPr>
            <w:tcW w:w="1606" w:type="dxa"/>
            <w:shd w:val="clear" w:color="auto" w:fill="auto"/>
          </w:tcPr>
          <w:p w:rsidR="002D4FA6" w:rsidRDefault="002D4FA6" w:rsidP="00AA6C2B">
            <w:pPr>
              <w:autoSpaceDE w:val="0"/>
              <w:autoSpaceDN w:val="0"/>
              <w:adjustRightInd w:val="0"/>
              <w:jc w:val="center"/>
            </w:pPr>
            <w:r>
              <w:t>2.647</w:t>
            </w:r>
          </w:p>
        </w:tc>
        <w:tc>
          <w:tcPr>
            <w:tcW w:w="1672" w:type="dxa"/>
            <w:shd w:val="clear" w:color="auto" w:fill="auto"/>
          </w:tcPr>
          <w:p w:rsidR="002D4FA6" w:rsidRDefault="002D4FA6" w:rsidP="00AA6C2B">
            <w:pPr>
              <w:autoSpaceDE w:val="0"/>
              <w:autoSpaceDN w:val="0"/>
              <w:adjustRightInd w:val="0"/>
              <w:jc w:val="center"/>
            </w:pPr>
            <w:r>
              <w:t>1.00291</w:t>
            </w:r>
          </w:p>
        </w:tc>
        <w:tc>
          <w:tcPr>
            <w:tcW w:w="1916" w:type="dxa"/>
            <w:shd w:val="clear" w:color="auto" w:fill="auto"/>
          </w:tcPr>
          <w:p w:rsidR="002D4FA6" w:rsidRDefault="002D4FA6" w:rsidP="00AA6C2B">
            <w:pPr>
              <w:autoSpaceDE w:val="0"/>
              <w:autoSpaceDN w:val="0"/>
              <w:adjustRightInd w:val="0"/>
              <w:jc w:val="center"/>
            </w:pPr>
            <w:r>
              <w:t>2.654</w:t>
            </w:r>
          </w:p>
        </w:tc>
      </w:tr>
      <w:tr w:rsidR="002D4FA6" w:rsidTr="00AA6C2B">
        <w:tc>
          <w:tcPr>
            <w:tcW w:w="1188" w:type="dxa"/>
            <w:vMerge w:val="restart"/>
            <w:shd w:val="clear" w:color="auto" w:fill="auto"/>
            <w:vAlign w:val="center"/>
          </w:tcPr>
          <w:p w:rsidR="002D4FA6" w:rsidRDefault="002D4FA6" w:rsidP="00AA6C2B">
            <w:pPr>
              <w:autoSpaceDE w:val="0"/>
              <w:autoSpaceDN w:val="0"/>
              <w:adjustRightInd w:val="0"/>
              <w:jc w:val="center"/>
            </w:pPr>
            <w:r>
              <w:t>C</w:t>
            </w:r>
          </w:p>
        </w:tc>
        <w:tc>
          <w:tcPr>
            <w:tcW w:w="3194" w:type="dxa"/>
            <w:shd w:val="clear" w:color="auto" w:fill="auto"/>
          </w:tcPr>
          <w:p w:rsidR="002D4FA6" w:rsidRDefault="002D4FA6" w:rsidP="00AA6C2B">
            <w:pPr>
              <w:autoSpaceDE w:val="0"/>
              <w:autoSpaceDN w:val="0"/>
              <w:adjustRightInd w:val="0"/>
              <w:jc w:val="center"/>
            </w:pPr>
            <w:r>
              <w:t>GSLD(T)-1 On-Peak</w:t>
            </w:r>
          </w:p>
        </w:tc>
        <w:tc>
          <w:tcPr>
            <w:tcW w:w="1606" w:type="dxa"/>
            <w:shd w:val="clear" w:color="auto" w:fill="auto"/>
          </w:tcPr>
          <w:p w:rsidR="002D4FA6" w:rsidRDefault="002D4FA6" w:rsidP="00AA6C2B">
            <w:pPr>
              <w:autoSpaceDE w:val="0"/>
              <w:autoSpaceDN w:val="0"/>
              <w:adjustRightInd w:val="0"/>
              <w:jc w:val="center"/>
            </w:pPr>
            <w:r>
              <w:t>5.743</w:t>
            </w:r>
          </w:p>
        </w:tc>
        <w:tc>
          <w:tcPr>
            <w:tcW w:w="1672" w:type="dxa"/>
            <w:shd w:val="clear" w:color="auto" w:fill="auto"/>
          </w:tcPr>
          <w:p w:rsidR="002D4FA6" w:rsidRDefault="002D4FA6" w:rsidP="00AA6C2B">
            <w:pPr>
              <w:autoSpaceDE w:val="0"/>
              <w:autoSpaceDN w:val="0"/>
              <w:adjustRightInd w:val="0"/>
              <w:jc w:val="center"/>
            </w:pPr>
            <w:r>
              <w:t>1.00195</w:t>
            </w:r>
          </w:p>
        </w:tc>
        <w:tc>
          <w:tcPr>
            <w:tcW w:w="1916" w:type="dxa"/>
            <w:shd w:val="clear" w:color="auto" w:fill="auto"/>
          </w:tcPr>
          <w:p w:rsidR="002D4FA6" w:rsidRDefault="002D4FA6" w:rsidP="00AA6C2B">
            <w:pPr>
              <w:autoSpaceDE w:val="0"/>
              <w:autoSpaceDN w:val="0"/>
              <w:adjustRightInd w:val="0"/>
              <w:jc w:val="center"/>
            </w:pPr>
            <w:r>
              <w:t>5.754</w:t>
            </w:r>
          </w:p>
        </w:tc>
      </w:tr>
      <w:tr w:rsidR="002D4FA6" w:rsidTr="00AA6C2B">
        <w:tc>
          <w:tcPr>
            <w:tcW w:w="1188" w:type="dxa"/>
            <w:vMerge/>
            <w:shd w:val="clear" w:color="auto" w:fill="auto"/>
            <w:vAlign w:val="center"/>
          </w:tcPr>
          <w:p w:rsidR="002D4FA6" w:rsidRDefault="002D4FA6" w:rsidP="00AA6C2B">
            <w:pPr>
              <w:autoSpaceDE w:val="0"/>
              <w:autoSpaceDN w:val="0"/>
              <w:adjustRightInd w:val="0"/>
              <w:jc w:val="center"/>
            </w:pPr>
          </w:p>
        </w:tc>
        <w:tc>
          <w:tcPr>
            <w:tcW w:w="3194" w:type="dxa"/>
            <w:shd w:val="clear" w:color="auto" w:fill="auto"/>
          </w:tcPr>
          <w:p w:rsidR="002D4FA6" w:rsidRDefault="002D4FA6" w:rsidP="00AA6C2B">
            <w:pPr>
              <w:autoSpaceDE w:val="0"/>
              <w:autoSpaceDN w:val="0"/>
              <w:adjustRightInd w:val="0"/>
              <w:jc w:val="center"/>
            </w:pPr>
            <w:r>
              <w:t>Off-Peak</w:t>
            </w:r>
          </w:p>
        </w:tc>
        <w:tc>
          <w:tcPr>
            <w:tcW w:w="1606" w:type="dxa"/>
            <w:shd w:val="clear" w:color="auto" w:fill="auto"/>
          </w:tcPr>
          <w:p w:rsidR="002D4FA6" w:rsidRDefault="002D4FA6" w:rsidP="00AA6C2B">
            <w:pPr>
              <w:autoSpaceDE w:val="0"/>
              <w:autoSpaceDN w:val="0"/>
              <w:adjustRightInd w:val="0"/>
              <w:jc w:val="center"/>
            </w:pPr>
            <w:r>
              <w:t>2.647</w:t>
            </w:r>
          </w:p>
        </w:tc>
        <w:tc>
          <w:tcPr>
            <w:tcW w:w="1672" w:type="dxa"/>
            <w:shd w:val="clear" w:color="auto" w:fill="auto"/>
          </w:tcPr>
          <w:p w:rsidR="002D4FA6" w:rsidRDefault="002D4FA6" w:rsidP="00AA6C2B">
            <w:pPr>
              <w:autoSpaceDE w:val="0"/>
              <w:autoSpaceDN w:val="0"/>
              <w:adjustRightInd w:val="0"/>
              <w:jc w:val="center"/>
            </w:pPr>
            <w:r>
              <w:t>1.00195</w:t>
            </w:r>
          </w:p>
        </w:tc>
        <w:tc>
          <w:tcPr>
            <w:tcW w:w="1916" w:type="dxa"/>
            <w:shd w:val="clear" w:color="auto" w:fill="auto"/>
          </w:tcPr>
          <w:p w:rsidR="002D4FA6" w:rsidRDefault="002D4FA6" w:rsidP="00AA6C2B">
            <w:pPr>
              <w:autoSpaceDE w:val="0"/>
              <w:autoSpaceDN w:val="0"/>
              <w:adjustRightInd w:val="0"/>
              <w:jc w:val="center"/>
            </w:pPr>
            <w:r>
              <w:t>2.652</w:t>
            </w:r>
          </w:p>
        </w:tc>
      </w:tr>
      <w:tr w:rsidR="002D4FA6" w:rsidTr="00AA6C2B">
        <w:tc>
          <w:tcPr>
            <w:tcW w:w="1188" w:type="dxa"/>
            <w:vMerge w:val="restart"/>
            <w:shd w:val="clear" w:color="auto" w:fill="auto"/>
            <w:vAlign w:val="center"/>
          </w:tcPr>
          <w:p w:rsidR="002D4FA6" w:rsidRDefault="002D4FA6" w:rsidP="00AA6C2B">
            <w:pPr>
              <w:autoSpaceDE w:val="0"/>
              <w:autoSpaceDN w:val="0"/>
              <w:adjustRightInd w:val="0"/>
              <w:jc w:val="center"/>
            </w:pPr>
            <w:r>
              <w:t>D</w:t>
            </w:r>
          </w:p>
        </w:tc>
        <w:tc>
          <w:tcPr>
            <w:tcW w:w="3194" w:type="dxa"/>
            <w:shd w:val="clear" w:color="auto" w:fill="auto"/>
          </w:tcPr>
          <w:p w:rsidR="002D4FA6" w:rsidRDefault="002D4FA6" w:rsidP="00AA6C2B">
            <w:pPr>
              <w:autoSpaceDE w:val="0"/>
              <w:autoSpaceDN w:val="0"/>
              <w:adjustRightInd w:val="0"/>
              <w:jc w:val="center"/>
            </w:pPr>
            <w:r>
              <w:t>GSLD(T)-2 On-Peak</w:t>
            </w:r>
          </w:p>
        </w:tc>
        <w:tc>
          <w:tcPr>
            <w:tcW w:w="1606" w:type="dxa"/>
            <w:shd w:val="clear" w:color="auto" w:fill="auto"/>
          </w:tcPr>
          <w:p w:rsidR="002D4FA6" w:rsidRDefault="002D4FA6" w:rsidP="00AA6C2B">
            <w:pPr>
              <w:autoSpaceDE w:val="0"/>
              <w:autoSpaceDN w:val="0"/>
              <w:adjustRightInd w:val="0"/>
              <w:jc w:val="center"/>
            </w:pPr>
            <w:r>
              <w:t>5.743</w:t>
            </w:r>
          </w:p>
        </w:tc>
        <w:tc>
          <w:tcPr>
            <w:tcW w:w="1672" w:type="dxa"/>
            <w:shd w:val="clear" w:color="auto" w:fill="auto"/>
          </w:tcPr>
          <w:p w:rsidR="002D4FA6" w:rsidRDefault="002D4FA6" w:rsidP="00AA6C2B">
            <w:pPr>
              <w:autoSpaceDE w:val="0"/>
              <w:autoSpaceDN w:val="0"/>
              <w:adjustRightInd w:val="0"/>
              <w:jc w:val="center"/>
            </w:pPr>
            <w:r>
              <w:t>0.99410</w:t>
            </w:r>
          </w:p>
        </w:tc>
        <w:tc>
          <w:tcPr>
            <w:tcW w:w="1916" w:type="dxa"/>
            <w:shd w:val="clear" w:color="auto" w:fill="auto"/>
          </w:tcPr>
          <w:p w:rsidR="002D4FA6" w:rsidRDefault="002D4FA6" w:rsidP="00AA6C2B">
            <w:pPr>
              <w:autoSpaceDE w:val="0"/>
              <w:autoSpaceDN w:val="0"/>
              <w:adjustRightInd w:val="0"/>
              <w:jc w:val="center"/>
            </w:pPr>
            <w:r>
              <w:t>5.709</w:t>
            </w:r>
          </w:p>
        </w:tc>
      </w:tr>
      <w:tr w:rsidR="002D4FA6" w:rsidTr="00AA6C2B">
        <w:tc>
          <w:tcPr>
            <w:tcW w:w="1188" w:type="dxa"/>
            <w:vMerge/>
            <w:shd w:val="clear" w:color="auto" w:fill="auto"/>
          </w:tcPr>
          <w:p w:rsidR="002D4FA6" w:rsidRDefault="002D4FA6" w:rsidP="00AA6C2B">
            <w:pPr>
              <w:autoSpaceDE w:val="0"/>
              <w:autoSpaceDN w:val="0"/>
              <w:adjustRightInd w:val="0"/>
              <w:jc w:val="center"/>
            </w:pPr>
          </w:p>
        </w:tc>
        <w:tc>
          <w:tcPr>
            <w:tcW w:w="3194" w:type="dxa"/>
            <w:shd w:val="clear" w:color="auto" w:fill="auto"/>
          </w:tcPr>
          <w:p w:rsidR="002D4FA6" w:rsidRDefault="002D4FA6" w:rsidP="00AA6C2B">
            <w:pPr>
              <w:autoSpaceDE w:val="0"/>
              <w:autoSpaceDN w:val="0"/>
              <w:adjustRightInd w:val="0"/>
              <w:jc w:val="center"/>
            </w:pPr>
            <w:r>
              <w:t>Off-Peak</w:t>
            </w:r>
          </w:p>
        </w:tc>
        <w:tc>
          <w:tcPr>
            <w:tcW w:w="1606" w:type="dxa"/>
            <w:shd w:val="clear" w:color="auto" w:fill="auto"/>
          </w:tcPr>
          <w:p w:rsidR="002D4FA6" w:rsidRDefault="002D4FA6" w:rsidP="00AA6C2B">
            <w:pPr>
              <w:autoSpaceDE w:val="0"/>
              <w:autoSpaceDN w:val="0"/>
              <w:adjustRightInd w:val="0"/>
              <w:jc w:val="center"/>
            </w:pPr>
            <w:r>
              <w:t>2.647</w:t>
            </w:r>
          </w:p>
        </w:tc>
        <w:tc>
          <w:tcPr>
            <w:tcW w:w="1672" w:type="dxa"/>
            <w:shd w:val="clear" w:color="auto" w:fill="auto"/>
          </w:tcPr>
          <w:p w:rsidR="002D4FA6" w:rsidRDefault="002D4FA6" w:rsidP="00AA6C2B">
            <w:pPr>
              <w:autoSpaceDE w:val="0"/>
              <w:autoSpaceDN w:val="0"/>
              <w:adjustRightInd w:val="0"/>
              <w:jc w:val="center"/>
            </w:pPr>
            <w:r>
              <w:t>0.99410</w:t>
            </w:r>
          </w:p>
        </w:tc>
        <w:tc>
          <w:tcPr>
            <w:tcW w:w="1916" w:type="dxa"/>
            <w:shd w:val="clear" w:color="auto" w:fill="auto"/>
          </w:tcPr>
          <w:p w:rsidR="002D4FA6" w:rsidRDefault="002D4FA6" w:rsidP="00AA6C2B">
            <w:pPr>
              <w:autoSpaceDE w:val="0"/>
              <w:autoSpaceDN w:val="0"/>
              <w:adjustRightInd w:val="0"/>
              <w:jc w:val="center"/>
            </w:pPr>
            <w:r>
              <w:t xml:space="preserve">2.631 </w:t>
            </w:r>
          </w:p>
        </w:tc>
      </w:tr>
    </w:tbl>
    <w:p w:rsidR="002D4FA6" w:rsidRDefault="002D4FA6" w:rsidP="002D4FA6">
      <w:pPr>
        <w:pStyle w:val="OrderBody"/>
      </w:pPr>
    </w:p>
    <w:p w:rsidR="002D4FA6" w:rsidRDefault="002D4FA6" w:rsidP="002D4FA6">
      <w:pPr>
        <w:pStyle w:val="OrderBody"/>
      </w:pPr>
    </w:p>
    <w:sectPr w:rsidR="002D4FA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89" w:rsidRDefault="00845689">
      <w:r>
        <w:separator/>
      </w:r>
    </w:p>
  </w:endnote>
  <w:endnote w:type="continuationSeparator" w:id="0">
    <w:p w:rsidR="00845689" w:rsidRDefault="008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89" w:rsidRDefault="00845689">
      <w:r>
        <w:separator/>
      </w:r>
    </w:p>
  </w:footnote>
  <w:footnote w:type="continuationSeparator" w:id="0">
    <w:p w:rsidR="00845689" w:rsidRDefault="00845689">
      <w:r>
        <w:continuationSeparator/>
      </w:r>
    </w:p>
  </w:footnote>
  <w:footnote w:id="1">
    <w:p w:rsidR="00845689" w:rsidRPr="00ED0216" w:rsidRDefault="00845689" w:rsidP="00845689">
      <w:pPr>
        <w:pStyle w:val="FootnoteText"/>
      </w:pPr>
      <w:r>
        <w:rPr>
          <w:rStyle w:val="FootnoteReference"/>
        </w:rPr>
        <w:footnoteRef/>
      </w:r>
      <w:r>
        <w:t xml:space="preserve"> </w:t>
      </w:r>
      <w:r w:rsidRPr="008D43E1">
        <w:rPr>
          <w:u w:val="single"/>
        </w:rPr>
        <w:t>See</w:t>
      </w:r>
      <w:r>
        <w:t xml:space="preserve"> Order No. PSC-14-0701-FOF-EI, issued December 19, 2014, in Docket No: 140001-EI, </w:t>
      </w:r>
      <w:r w:rsidRPr="00E54839">
        <w:rPr>
          <w:u w:val="single"/>
        </w:rPr>
        <w:t>In re: Fuel and Purchased Power Cost Recovery Clause with Generati</w:t>
      </w:r>
      <w:r>
        <w:rPr>
          <w:u w:val="single"/>
        </w:rPr>
        <w:t>ng Performance Incentive Factor</w:t>
      </w:r>
      <w:r>
        <w:t>.</w:t>
      </w:r>
    </w:p>
  </w:footnote>
  <w:footnote w:id="2">
    <w:p w:rsidR="00845689" w:rsidRDefault="00845689" w:rsidP="00845689">
      <w:pPr>
        <w:pStyle w:val="FootnoteText"/>
      </w:pPr>
      <w:r>
        <w:rPr>
          <w:rStyle w:val="FootnoteReference"/>
        </w:rPr>
        <w:footnoteRef/>
      </w:r>
      <w:r>
        <w:t xml:space="preserve">  FPL acknowledges that it</w:t>
      </w:r>
      <w:r w:rsidRPr="001A1CE2">
        <w:t xml:space="preserve">s initial projected over-recovery percentage of 6.51% </w:t>
      </w:r>
      <w:r>
        <w:t>(</w:t>
      </w:r>
      <w:r w:rsidRPr="00BD3F68">
        <w:t>and its revised over-recovery percentage of 6.54%)</w:t>
      </w:r>
      <w:r>
        <w:t xml:space="preserve"> is</w:t>
      </w:r>
      <w:r w:rsidRPr="001A1CE2">
        <w:t xml:space="preserve"> less than the threshold identified for notification under Rule 25-6.0424, F.A.C., but states that Section 2 of Rule 2</w:t>
      </w:r>
      <w:r>
        <w:t xml:space="preserve">5-6.0424, F.A.C., does not preclude it from making a mid-course filing.  Based on Rule 25-6.0424, F.A.C., the mid-course percentage is the estimated end-of-period total net true-up amount divided by the current period’s total actual and estimated jurisdictional fuel revenue applicable to period amount.   </w:t>
      </w:r>
    </w:p>
  </w:footnote>
  <w:footnote w:id="3">
    <w:p w:rsidR="00845689" w:rsidRDefault="00845689" w:rsidP="00845689">
      <w:pPr>
        <w:pStyle w:val="FootnoteText"/>
      </w:pPr>
      <w:r>
        <w:rPr>
          <w:rStyle w:val="FootnoteReference"/>
        </w:rPr>
        <w:footnoteRef/>
      </w:r>
      <w:r>
        <w:t xml:space="preserve"> The New York Mercantile Exchange (NYMEX) is a commodities futures exchange widely used by the electric industry for pricing natural gas.</w:t>
      </w:r>
    </w:p>
  </w:footnote>
  <w:footnote w:id="4">
    <w:p w:rsidR="00845689" w:rsidRPr="000C268A" w:rsidRDefault="00845689" w:rsidP="00845689">
      <w:pPr>
        <w:pStyle w:val="FootnoteText"/>
        <w:rPr>
          <w:u w:val="single"/>
        </w:rPr>
      </w:pPr>
      <w:r>
        <w:rPr>
          <w:rStyle w:val="FootnoteReference"/>
        </w:rPr>
        <w:footnoteRef/>
      </w:r>
      <w:r>
        <w:t xml:space="preserve">  </w:t>
      </w:r>
      <w:r>
        <w:rPr>
          <w:u w:val="single"/>
        </w:rPr>
        <w:t>Gulf Power Co. v. Cresse</w:t>
      </w:r>
      <w:r>
        <w:t>, 410 So.</w:t>
      </w:r>
      <w:r w:rsidR="00F72ABD">
        <w:t xml:space="preserve"> </w:t>
      </w:r>
      <w:r>
        <w:t xml:space="preserve">2d 492 (Fla. 1982); Order No. PSC-96-0907-FOF-EI, issued on July 15, 1996, in Docket No. 960001-EI, </w:t>
      </w:r>
      <w:r w:rsidRPr="00177F3C">
        <w:rPr>
          <w:u w:val="single"/>
        </w:rPr>
        <w:t>In re: Fuel and purchased power cost recovery clause and genera</w:t>
      </w:r>
      <w:r>
        <w:rPr>
          <w:u w:val="single"/>
        </w:rPr>
        <w:t>t</w:t>
      </w:r>
      <w:r w:rsidRPr="00177F3C">
        <w:rPr>
          <w:u w:val="single"/>
        </w:rPr>
        <w:t>ing performance incentive factor</w:t>
      </w:r>
      <w:r>
        <w:t xml:space="preserve">; Order No. </w:t>
      </w:r>
      <w:r w:rsidR="00F72ABD">
        <w:t>PSC-</w:t>
      </w:r>
      <w:r>
        <w:t xml:space="preserve">96-0908-FOF-EI, issued July 15, 1996, in Docket No. 960001-EI, </w:t>
      </w:r>
      <w:r w:rsidRPr="00177F3C">
        <w:rPr>
          <w:u w:val="single"/>
        </w:rPr>
        <w:t>In re: Fuel and purchased power cost recovery clause and genera</w:t>
      </w:r>
      <w:r>
        <w:rPr>
          <w:u w:val="single"/>
        </w:rPr>
        <w:t>t</w:t>
      </w:r>
      <w:r w:rsidRPr="00177F3C">
        <w:rPr>
          <w:u w:val="single"/>
        </w:rPr>
        <w:t>ing performance incentive factor</w:t>
      </w:r>
      <w:r>
        <w:t xml:space="preserve"> ; Order No. PSC-97-0021-FOF-EI, issued on January 6, 1997, in Docket No. 970001-EI, </w:t>
      </w:r>
      <w:r w:rsidRPr="00177F3C">
        <w:rPr>
          <w:u w:val="single"/>
        </w:rPr>
        <w:t>In re: Fuel and purchased power cost recovery clause and genera</w:t>
      </w:r>
      <w:r>
        <w:rPr>
          <w:u w:val="single"/>
        </w:rPr>
        <w:t>t</w:t>
      </w:r>
      <w:r w:rsidRPr="00177F3C">
        <w:rPr>
          <w:u w:val="single"/>
        </w:rPr>
        <w:t>ing performance incentive factor</w:t>
      </w:r>
      <w:r>
        <w:t>.</w:t>
      </w:r>
    </w:p>
  </w:footnote>
  <w:footnote w:id="5">
    <w:p w:rsidR="00845689" w:rsidRDefault="00845689" w:rsidP="00845689">
      <w:pPr>
        <w:pStyle w:val="FootnoteText"/>
      </w:pPr>
      <w:r>
        <w:rPr>
          <w:rStyle w:val="FootnoteReference"/>
        </w:rPr>
        <w:footnoteRef/>
      </w:r>
      <w:r>
        <w:t xml:space="preserve"> Order No.</w:t>
      </w:r>
      <w:r w:rsidR="00F72ABD">
        <w:t xml:space="preserve"> </w:t>
      </w:r>
      <w:r>
        <w:t xml:space="preserve">PSC-01-0963-PCO-EI, issued April 18, 2001, in Docket No. 010001-EI, </w:t>
      </w:r>
      <w:r>
        <w:rPr>
          <w:u w:val="single"/>
        </w:rPr>
        <w:t>In re: Fuel and purchased power cost recovery clause and generating performance incentive factor,</w:t>
      </w:r>
      <w:r>
        <w:t xml:space="preserve"> (allowing recovery of increase in fuel factor in order to decrease the carrying costs and therefore the  total amount ratepayers were ultimately required to repay.); Order No. PSC-00-2383-FOF-GU, issued December 12, 2000, in Docket No. 000003-GU, </w:t>
      </w:r>
      <w:r>
        <w:rPr>
          <w:u w:val="single"/>
        </w:rPr>
        <w:t xml:space="preserve">In re: Purchased gas adjustment (PGA) true-up (allowing recovery of an increased gas fuel factor due to drastic increases in natural gas prices in winter of 2000-2001.) </w:t>
      </w:r>
      <w:r>
        <w:t xml:space="preserve">   </w:t>
      </w:r>
    </w:p>
  </w:footnote>
  <w:footnote w:id="6">
    <w:p w:rsidR="00845689" w:rsidRPr="003052B1" w:rsidRDefault="00845689" w:rsidP="00845689">
      <w:pPr>
        <w:pStyle w:val="FootnoteText"/>
        <w:rPr>
          <w:u w:val="single"/>
        </w:rPr>
      </w:pPr>
      <w:r>
        <w:rPr>
          <w:rStyle w:val="FootnoteReference"/>
        </w:rPr>
        <w:footnoteRef/>
      </w:r>
      <w:r>
        <w:t xml:space="preserve"> </w:t>
      </w:r>
      <w:r w:rsidRPr="003052B1">
        <w:rPr>
          <w:u w:val="single"/>
        </w:rPr>
        <w:t>Gulf Power Company v. Florida Public Service Commission</w:t>
      </w:r>
      <w:r>
        <w:t>, 487 So.</w:t>
      </w:r>
      <w:r w:rsidR="00F72ABD">
        <w:t xml:space="preserve"> </w:t>
      </w:r>
      <w:r>
        <w:t>2d 1036, 1038 (Fla. 1986).</w:t>
      </w:r>
    </w:p>
  </w:footnote>
  <w:footnote w:id="7">
    <w:p w:rsidR="00845689" w:rsidRPr="00D51AEA" w:rsidRDefault="00845689" w:rsidP="00845689">
      <w:pPr>
        <w:pStyle w:val="FootnoteText"/>
        <w:rPr>
          <w:u w:val="single"/>
        </w:rPr>
      </w:pPr>
      <w:r>
        <w:rPr>
          <w:rStyle w:val="FootnoteReference"/>
        </w:rPr>
        <w:footnoteRef/>
      </w:r>
      <w:r>
        <w:t xml:space="preserve"> Order No. 13452, issued June 22, 1984, in Docket No. 820001-EU-A, </w:t>
      </w:r>
      <w:r>
        <w:rPr>
          <w:u w:val="single"/>
        </w:rPr>
        <w:t>In re: Investigation of fuel cost recovery clauses of electric utilities (Gulf Power Company – Maxine Mine).</w:t>
      </w:r>
    </w:p>
  </w:footnote>
  <w:footnote w:id="8">
    <w:p w:rsidR="00845689" w:rsidRPr="003052B1" w:rsidRDefault="00845689" w:rsidP="00845689">
      <w:pPr>
        <w:pStyle w:val="FootnoteText"/>
      </w:pPr>
      <w:r>
        <w:rPr>
          <w:rStyle w:val="FootnoteReference"/>
        </w:rPr>
        <w:footnoteRef/>
      </w:r>
      <w:r>
        <w:t xml:space="preserve"> </w:t>
      </w:r>
      <w:r>
        <w:rPr>
          <w:u w:val="single"/>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1 ">
      <w:r w:rsidR="00A44500">
        <w:t>PSC-15-0161-PCO-EI</w:t>
      </w:r>
    </w:fldSimple>
  </w:p>
  <w:p w:rsidR="00FA6EFD" w:rsidRDefault="00845689">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450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84568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4FA6"/>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075D"/>
    <w:rsid w:val="004D2D1B"/>
    <w:rsid w:val="004F2DDE"/>
    <w:rsid w:val="0050097F"/>
    <w:rsid w:val="00503AF6"/>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5689"/>
    <w:rsid w:val="00863A66"/>
    <w:rsid w:val="00874429"/>
    <w:rsid w:val="00883D9A"/>
    <w:rsid w:val="008919EF"/>
    <w:rsid w:val="008C6A5B"/>
    <w:rsid w:val="008E26A5"/>
    <w:rsid w:val="008E42D2"/>
    <w:rsid w:val="009040EE"/>
    <w:rsid w:val="009057FD"/>
    <w:rsid w:val="00922A7F"/>
    <w:rsid w:val="00923A5E"/>
    <w:rsid w:val="00994100"/>
    <w:rsid w:val="009C414D"/>
    <w:rsid w:val="009D4C29"/>
    <w:rsid w:val="00A44500"/>
    <w:rsid w:val="00A62DAB"/>
    <w:rsid w:val="00A726A6"/>
    <w:rsid w:val="00A97535"/>
    <w:rsid w:val="00AA73F1"/>
    <w:rsid w:val="00AB0E1A"/>
    <w:rsid w:val="00AB1A30"/>
    <w:rsid w:val="00AC17F5"/>
    <w:rsid w:val="00AD1ED3"/>
    <w:rsid w:val="00B0777D"/>
    <w:rsid w:val="00B4057A"/>
    <w:rsid w:val="00B40894"/>
    <w:rsid w:val="00B45E75"/>
    <w:rsid w:val="00B50876"/>
    <w:rsid w:val="00B55EE5"/>
    <w:rsid w:val="00B73DE6"/>
    <w:rsid w:val="00B860E9"/>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2ABD"/>
    <w:rsid w:val="00FA6EFD"/>
    <w:rsid w:val="00FB2E85"/>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845689"/>
    <w:pPr>
      <w:keepNext w:val="0"/>
    </w:pPr>
  </w:style>
  <w:style w:type="character" w:customStyle="1" w:styleId="IssueHeadingChar">
    <w:name w:val="Issue Heading Char"/>
    <w:basedOn w:val="Heading1Char"/>
    <w:link w:val="IssueHeading"/>
    <w:rsid w:val="00845689"/>
    <w:rPr>
      <w:rFonts w:cs="Arial"/>
      <w:bCs/>
      <w:kern w:val="32"/>
      <w:sz w:val="24"/>
      <w:szCs w:val="32"/>
    </w:rPr>
  </w:style>
  <w:style w:type="paragraph" w:customStyle="1" w:styleId="RecommendationMajorSectionHeading">
    <w:name w:val="Recommendation Major Section Heading"/>
    <w:basedOn w:val="Heading1"/>
    <w:next w:val="BodyText"/>
    <w:rsid w:val="00845689"/>
    <w:pPr>
      <w:jc w:val="center"/>
    </w:pPr>
    <w:rPr>
      <w:b/>
      <w:u w:val="single"/>
    </w:rPr>
  </w:style>
  <w:style w:type="paragraph" w:customStyle="1" w:styleId="IssueSubsectionHeading">
    <w:name w:val="Issue Subsection Heading"/>
    <w:basedOn w:val="Heading2"/>
    <w:next w:val="BodyText"/>
    <w:link w:val="IssueSubsectionHeadingChar"/>
    <w:rsid w:val="00845689"/>
    <w:pPr>
      <w:keepNext w:val="0"/>
    </w:pPr>
  </w:style>
  <w:style w:type="character" w:customStyle="1" w:styleId="IssueSubsectionHeadingChar">
    <w:name w:val="Issue Subsection Heading Char"/>
    <w:basedOn w:val="Heading2Char"/>
    <w:link w:val="IssueSubsectionHeading"/>
    <w:rsid w:val="00845689"/>
    <w:rPr>
      <w:rFonts w:cs="Arial"/>
      <w:bCs/>
      <w:iCs/>
      <w:sz w:val="24"/>
      <w:szCs w:val="28"/>
    </w:rPr>
  </w:style>
  <w:style w:type="character" w:customStyle="1" w:styleId="FootnoteTextChar">
    <w:name w:val="Footnote Text Char"/>
    <w:link w:val="FootnoteText"/>
    <w:uiPriority w:val="99"/>
    <w:rsid w:val="00845689"/>
  </w:style>
  <w:style w:type="paragraph" w:styleId="BalloonText">
    <w:name w:val="Balloon Text"/>
    <w:basedOn w:val="Normal"/>
    <w:link w:val="BalloonTextChar"/>
    <w:rsid w:val="00A44500"/>
    <w:rPr>
      <w:rFonts w:ascii="Tahoma" w:hAnsi="Tahoma" w:cs="Tahoma"/>
      <w:sz w:val="16"/>
      <w:szCs w:val="16"/>
    </w:rPr>
  </w:style>
  <w:style w:type="character" w:customStyle="1" w:styleId="BalloonTextChar">
    <w:name w:val="Balloon Text Char"/>
    <w:basedOn w:val="DefaultParagraphFont"/>
    <w:link w:val="BalloonText"/>
    <w:rsid w:val="00A44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845689"/>
    <w:pPr>
      <w:keepNext w:val="0"/>
    </w:pPr>
  </w:style>
  <w:style w:type="character" w:customStyle="1" w:styleId="IssueHeadingChar">
    <w:name w:val="Issue Heading Char"/>
    <w:basedOn w:val="Heading1Char"/>
    <w:link w:val="IssueHeading"/>
    <w:rsid w:val="00845689"/>
    <w:rPr>
      <w:rFonts w:cs="Arial"/>
      <w:bCs/>
      <w:kern w:val="32"/>
      <w:sz w:val="24"/>
      <w:szCs w:val="32"/>
    </w:rPr>
  </w:style>
  <w:style w:type="paragraph" w:customStyle="1" w:styleId="RecommendationMajorSectionHeading">
    <w:name w:val="Recommendation Major Section Heading"/>
    <w:basedOn w:val="Heading1"/>
    <w:next w:val="BodyText"/>
    <w:rsid w:val="00845689"/>
    <w:pPr>
      <w:jc w:val="center"/>
    </w:pPr>
    <w:rPr>
      <w:b/>
      <w:u w:val="single"/>
    </w:rPr>
  </w:style>
  <w:style w:type="paragraph" w:customStyle="1" w:styleId="IssueSubsectionHeading">
    <w:name w:val="Issue Subsection Heading"/>
    <w:basedOn w:val="Heading2"/>
    <w:next w:val="BodyText"/>
    <w:link w:val="IssueSubsectionHeadingChar"/>
    <w:rsid w:val="00845689"/>
    <w:pPr>
      <w:keepNext w:val="0"/>
    </w:pPr>
  </w:style>
  <w:style w:type="character" w:customStyle="1" w:styleId="IssueSubsectionHeadingChar">
    <w:name w:val="Issue Subsection Heading Char"/>
    <w:basedOn w:val="Heading2Char"/>
    <w:link w:val="IssueSubsectionHeading"/>
    <w:rsid w:val="00845689"/>
    <w:rPr>
      <w:rFonts w:cs="Arial"/>
      <w:bCs/>
      <w:iCs/>
      <w:sz w:val="24"/>
      <w:szCs w:val="28"/>
    </w:rPr>
  </w:style>
  <w:style w:type="character" w:customStyle="1" w:styleId="FootnoteTextChar">
    <w:name w:val="Footnote Text Char"/>
    <w:link w:val="FootnoteText"/>
    <w:uiPriority w:val="99"/>
    <w:rsid w:val="00845689"/>
  </w:style>
  <w:style w:type="paragraph" w:styleId="BalloonText">
    <w:name w:val="Balloon Text"/>
    <w:basedOn w:val="Normal"/>
    <w:link w:val="BalloonTextChar"/>
    <w:rsid w:val="00A44500"/>
    <w:rPr>
      <w:rFonts w:ascii="Tahoma" w:hAnsi="Tahoma" w:cs="Tahoma"/>
      <w:sz w:val="16"/>
      <w:szCs w:val="16"/>
    </w:rPr>
  </w:style>
  <w:style w:type="character" w:customStyle="1" w:styleId="BalloonTextChar">
    <w:name w:val="Balloon Text Char"/>
    <w:basedOn w:val="DefaultParagraphFont"/>
    <w:link w:val="BalloonText"/>
    <w:rsid w:val="00A44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106</TotalTime>
  <Pages>6</Pages>
  <Words>1707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Marguerite McLean</cp:lastModifiedBy>
  <cp:revision>5</cp:revision>
  <cp:lastPrinted>2015-04-30T14:45:00Z</cp:lastPrinted>
  <dcterms:created xsi:type="dcterms:W3CDTF">2015-04-20T14:01:00Z</dcterms:created>
  <dcterms:modified xsi:type="dcterms:W3CDTF">2015-04-30T14:46:00Z</dcterms:modified>
</cp:coreProperties>
</file>