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52228C" w:rsidP="0052228C">
      <w:pPr>
        <w:pStyle w:val="OrderHeading"/>
      </w:pPr>
      <w:r>
        <w:t>BEFORE THE FLORIDA PUBLIC SERVICE COMMISSION</w:t>
      </w:r>
    </w:p>
    <w:p w:rsidR="0052228C" w:rsidRDefault="0052228C" w:rsidP="0052228C">
      <w:pPr>
        <w:pStyle w:val="OrderHeading"/>
      </w:pPr>
    </w:p>
    <w:p w:rsidR="0052228C" w:rsidRDefault="0052228C" w:rsidP="0052228C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52228C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52228C" w:rsidRDefault="0052228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DeSoto County Generating Company, LLC's objections to Florida Power &amp; Light Company's 2015 request for proposals.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52228C" w:rsidRDefault="0052228C" w:rsidP="0052228C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150100-EI</w:t>
            </w:r>
          </w:p>
          <w:p w:rsidR="0052228C" w:rsidRDefault="0052228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71"/>
            <w:r w:rsidR="0010020F">
              <w:t>PSC-15-0171-PCO-EI</w:t>
            </w:r>
            <w:bookmarkEnd w:id="2"/>
          </w:p>
          <w:p w:rsidR="0052228C" w:rsidRDefault="0052228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10020F">
              <w:t>May 5, 2015</w:t>
            </w:r>
          </w:p>
        </w:tc>
      </w:tr>
    </w:tbl>
    <w:p w:rsidR="0052228C" w:rsidRDefault="0052228C" w:rsidP="0052228C"/>
    <w:p w:rsidR="0052228C" w:rsidRDefault="0052228C" w:rsidP="0052228C"/>
    <w:p w:rsidR="0052228C" w:rsidRPr="00E46E1F" w:rsidRDefault="0052228C">
      <w:pPr>
        <w:ind w:firstLine="720"/>
        <w:jc w:val="both"/>
      </w:pPr>
      <w:bookmarkStart w:id="3" w:name="Commissioners"/>
      <w:bookmarkEnd w:id="3"/>
      <w:r w:rsidRPr="00E46E1F">
        <w:t>The following Commissioners participated in the disposition of this matter:</w:t>
      </w:r>
    </w:p>
    <w:p w:rsidR="0052228C" w:rsidRPr="00E46E1F" w:rsidRDefault="0052228C"/>
    <w:p w:rsidR="0052228C" w:rsidRDefault="0052228C">
      <w:pPr>
        <w:jc w:val="center"/>
      </w:pPr>
      <w:r>
        <w:t>ART GRAHAM</w:t>
      </w:r>
      <w:r w:rsidRPr="00E46E1F">
        <w:t>, Chairman</w:t>
      </w:r>
    </w:p>
    <w:p w:rsidR="0052228C" w:rsidRPr="00E46E1F" w:rsidRDefault="0052228C">
      <w:pPr>
        <w:jc w:val="center"/>
      </w:pPr>
      <w:r w:rsidRPr="00E46E1F">
        <w:t>LISA POLAK EDGAR</w:t>
      </w:r>
    </w:p>
    <w:p w:rsidR="0052228C" w:rsidRDefault="0052228C">
      <w:pPr>
        <w:jc w:val="center"/>
      </w:pPr>
      <w:r>
        <w:t>RONALD A. BRISÉ</w:t>
      </w:r>
    </w:p>
    <w:p w:rsidR="0052228C" w:rsidRDefault="0052228C">
      <w:pPr>
        <w:jc w:val="center"/>
      </w:pPr>
      <w:r>
        <w:t>JULIE I. BROWN</w:t>
      </w:r>
    </w:p>
    <w:p w:rsidR="0052228C" w:rsidRDefault="0052228C">
      <w:pPr>
        <w:jc w:val="center"/>
      </w:pPr>
      <w:r>
        <w:t>JIMMY PATRONIS</w:t>
      </w:r>
    </w:p>
    <w:p w:rsidR="00CB5276" w:rsidRDefault="00CB5276">
      <w:pPr>
        <w:pStyle w:val="OrderBody"/>
      </w:pPr>
    </w:p>
    <w:p w:rsidR="00C52986" w:rsidRDefault="00C52986" w:rsidP="0052228C">
      <w:pPr>
        <w:pStyle w:val="CenterUnderline"/>
      </w:pPr>
      <w:r>
        <w:t xml:space="preserve">PRELIMINARY </w:t>
      </w:r>
      <w:r w:rsidR="0052228C">
        <w:t>ORDER</w:t>
      </w:r>
      <w:bookmarkStart w:id="4" w:name="OrderTitle"/>
      <w:r w:rsidR="0052228C">
        <w:t xml:space="preserve"> </w:t>
      </w:r>
      <w:bookmarkEnd w:id="4"/>
      <w:r>
        <w:t xml:space="preserve"> </w:t>
      </w:r>
    </w:p>
    <w:p w:rsidR="00C52986" w:rsidRDefault="00C52986" w:rsidP="0052228C">
      <w:pPr>
        <w:pStyle w:val="CenterUnderline"/>
      </w:pPr>
      <w:r>
        <w:t xml:space="preserve">BASED UPON PLEADINGS AND ORAL ARGUMENT BY </w:t>
      </w:r>
    </w:p>
    <w:p w:rsidR="00C52986" w:rsidRDefault="00C52986" w:rsidP="0052228C">
      <w:pPr>
        <w:pStyle w:val="CenterUnderline"/>
      </w:pPr>
      <w:r>
        <w:t>DESOTO COUNTY GENERATING COMPANY</w:t>
      </w:r>
      <w:r w:rsidR="0022799B">
        <w:t>, LLC</w:t>
      </w:r>
      <w:r>
        <w:t xml:space="preserve"> </w:t>
      </w:r>
    </w:p>
    <w:p w:rsidR="00C52986" w:rsidRDefault="00C52986" w:rsidP="0052228C">
      <w:pPr>
        <w:pStyle w:val="CenterUnderline"/>
      </w:pPr>
      <w:r>
        <w:t>AND</w:t>
      </w:r>
    </w:p>
    <w:p w:rsidR="0052228C" w:rsidRDefault="00C52986" w:rsidP="0052228C">
      <w:pPr>
        <w:pStyle w:val="CenterUnderline"/>
      </w:pPr>
      <w:r>
        <w:t xml:space="preserve">FLORIDA POWER &amp; LIGHT COMPANY  </w:t>
      </w:r>
    </w:p>
    <w:p w:rsidR="0052228C" w:rsidRDefault="0052228C" w:rsidP="0052228C">
      <w:pPr>
        <w:pStyle w:val="CenterUnderline"/>
      </w:pPr>
    </w:p>
    <w:p w:rsidR="0052228C" w:rsidRDefault="0052228C" w:rsidP="0052228C">
      <w:pPr>
        <w:pStyle w:val="OrderBody"/>
      </w:pPr>
      <w:r>
        <w:t>BY THE COMMISSION:</w:t>
      </w:r>
    </w:p>
    <w:p w:rsidR="0052228C" w:rsidRDefault="0052228C" w:rsidP="0052228C">
      <w:pPr>
        <w:pStyle w:val="OrderBody"/>
      </w:pPr>
    </w:p>
    <w:p w:rsidR="00CB5276" w:rsidRDefault="00CB5276">
      <w:pPr>
        <w:pStyle w:val="OrderBody"/>
      </w:pPr>
      <w:bookmarkStart w:id="5" w:name="OrderText"/>
      <w:bookmarkEnd w:id="5"/>
    </w:p>
    <w:p w:rsidR="0052228C" w:rsidRPr="0052228C" w:rsidRDefault="0052228C" w:rsidP="0052228C">
      <w:pPr>
        <w:ind w:firstLine="720"/>
        <w:jc w:val="both"/>
      </w:pPr>
      <w:bookmarkStart w:id="6" w:name="CaseBackground"/>
      <w:r w:rsidRPr="0052228C">
        <w:t>On March 26, 2015, pursuant to Chapters 120 and 366, Florida Statutes (F.S.)</w:t>
      </w:r>
      <w:r w:rsidR="002B50FF">
        <w:t>,</w:t>
      </w:r>
      <w:r w:rsidRPr="0052228C">
        <w:t xml:space="preserve"> and Rule 25-22.082, Florida Administrative Code (F.A.C.)</w:t>
      </w:r>
      <w:r w:rsidR="0018419C" w:rsidRPr="0052228C">
        <w:t>, DeSoto</w:t>
      </w:r>
      <w:r w:rsidRPr="0052228C">
        <w:t xml:space="preserve"> County Generating Company, </w:t>
      </w:r>
      <w:r w:rsidR="0018419C" w:rsidRPr="0052228C">
        <w:t>LLC (</w:t>
      </w:r>
      <w:r w:rsidRPr="0052228C">
        <w:t>DeSoto</w:t>
      </w:r>
      <w:r w:rsidR="0018419C" w:rsidRPr="0052228C">
        <w:t>) filed</w:t>
      </w:r>
      <w:r w:rsidRPr="0052228C">
        <w:t xml:space="preserve"> its </w:t>
      </w:r>
      <w:r w:rsidR="00CE197B">
        <w:t>o</w:t>
      </w:r>
      <w:r w:rsidRPr="0052228C">
        <w:t>bjection to Florida Power &amp; Light Company’s (FPL</w:t>
      </w:r>
      <w:r w:rsidR="0049459D">
        <w:t>)</w:t>
      </w:r>
      <w:r w:rsidRPr="0052228C">
        <w:t xml:space="preserve"> March 16, 2015 Request for Proposals</w:t>
      </w:r>
      <w:r w:rsidR="00CE197B">
        <w:t xml:space="preserve"> </w:t>
      </w:r>
      <w:r w:rsidR="00CE197B" w:rsidRPr="0052228C">
        <w:t>(RFP)</w:t>
      </w:r>
      <w:r w:rsidR="00CE197B">
        <w:t xml:space="preserve">. </w:t>
      </w:r>
      <w:r w:rsidRPr="0052228C">
        <w:t xml:space="preserve">On March 31, 2015, pursuant to Section 350.0611, F.S., the Citizens of the State of Florida filed a Notice of Intervention. On that same day, FPL filed its </w:t>
      </w:r>
      <w:r w:rsidR="00793476">
        <w:t>r</w:t>
      </w:r>
      <w:r w:rsidRPr="0052228C">
        <w:t xml:space="preserve">esponse to the </w:t>
      </w:r>
      <w:r w:rsidR="00793476">
        <w:t>DeSoto o</w:t>
      </w:r>
      <w:r w:rsidRPr="0052228C">
        <w:t>bjection</w:t>
      </w:r>
      <w:r w:rsidR="0049459D">
        <w:t>.</w:t>
      </w:r>
      <w:r w:rsidRPr="0052228C">
        <w:t xml:space="preserve">  </w:t>
      </w:r>
    </w:p>
    <w:p w:rsidR="0052228C" w:rsidRPr="0052228C" w:rsidRDefault="0052228C" w:rsidP="0052228C"/>
    <w:p w:rsidR="0049459D" w:rsidRDefault="00413AF8" w:rsidP="0049459D">
      <w:pPr>
        <w:tabs>
          <w:tab w:val="left" w:pos="-720"/>
        </w:tabs>
        <w:ind w:firstLine="720"/>
        <w:jc w:val="both"/>
      </w:pPr>
      <w:r>
        <w:t xml:space="preserve">Pursuant to </w:t>
      </w:r>
      <w:r w:rsidR="0052228C" w:rsidRPr="0052228C">
        <w:t xml:space="preserve">Rule 25-22.082(12), F.A.C., </w:t>
      </w:r>
      <w:r>
        <w:t xml:space="preserve">the Florida Public Service Commission </w:t>
      </w:r>
      <w:r w:rsidR="0052228C" w:rsidRPr="0052228C">
        <w:t xml:space="preserve">must determine, within 30 days of </w:t>
      </w:r>
      <w:r w:rsidR="00793476">
        <w:t xml:space="preserve">the </w:t>
      </w:r>
      <w:r w:rsidR="0052228C" w:rsidRPr="0052228C">
        <w:t xml:space="preserve">objection to an RFP being filed, </w:t>
      </w:r>
      <w:r w:rsidR="00793476">
        <w:t>“</w:t>
      </w:r>
      <w:r w:rsidR="0052228C" w:rsidRPr="0052228C">
        <w:t xml:space="preserve">whether the objection as stated would demonstrate that a </w:t>
      </w:r>
      <w:r w:rsidR="00793476">
        <w:t xml:space="preserve">rule </w:t>
      </w:r>
      <w:r w:rsidR="0052228C" w:rsidRPr="0052228C">
        <w:t>violation has occurred</w:t>
      </w:r>
      <w:r w:rsidR="00793476">
        <w:t xml:space="preserve">, </w:t>
      </w:r>
      <w:r w:rsidR="0052228C" w:rsidRPr="0052228C">
        <w:t xml:space="preserve">based </w:t>
      </w:r>
      <w:r w:rsidR="00793476">
        <w:t xml:space="preserve">on the written submission and oral argument by the objector </w:t>
      </w:r>
      <w:r w:rsidR="00A4565A">
        <w:t xml:space="preserve">and the public utility, </w:t>
      </w:r>
      <w:r w:rsidR="0052228C" w:rsidRPr="0052228C">
        <w:t>without discovery or an evidentiary hearing.</w:t>
      </w:r>
      <w:r w:rsidR="00A4565A">
        <w:t>”</w:t>
      </w:r>
      <w:r w:rsidR="0049459D" w:rsidRPr="0049459D">
        <w:t xml:space="preserve"> </w:t>
      </w:r>
      <w:r w:rsidR="0052228C" w:rsidRPr="0052228C">
        <w:t xml:space="preserve">Given the expedited and informal nature of this process, </w:t>
      </w:r>
      <w:r>
        <w:t xml:space="preserve">our decision </w:t>
      </w:r>
      <w:r w:rsidR="0052228C" w:rsidRPr="0052228C">
        <w:t xml:space="preserve">concerning the objection </w:t>
      </w:r>
      <w:r>
        <w:t xml:space="preserve">is </w:t>
      </w:r>
      <w:r w:rsidR="0052228C" w:rsidRPr="0052228C">
        <w:t>necessarily informal</w:t>
      </w:r>
      <w:r>
        <w:t xml:space="preserve">, </w:t>
      </w:r>
      <w:r w:rsidR="0052228C" w:rsidRPr="0052228C">
        <w:t>preliminary</w:t>
      </w:r>
      <w:r>
        <w:t xml:space="preserve">, and </w:t>
      </w:r>
      <w:r w:rsidR="0052228C" w:rsidRPr="0052228C">
        <w:t>advisory</w:t>
      </w:r>
      <w:r w:rsidR="0049459D">
        <w:t>.</w:t>
      </w:r>
      <w:r w:rsidR="0052228C" w:rsidRPr="0052228C">
        <w:t xml:space="preserve"> </w:t>
      </w:r>
      <w:r>
        <w:t xml:space="preserve">We have </w:t>
      </w:r>
      <w:r w:rsidR="0052228C" w:rsidRPr="0052228C">
        <w:t>jurisdiction over this matter pursuant to Section 403.519, F.S., and the provisions of Chapter 366, F.S., including Sections 366.04, 366.041, 366.05, 366.051, 366.06, and 366.07.</w:t>
      </w:r>
      <w:bookmarkStart w:id="7" w:name="DiscussionOfIssues"/>
      <w:bookmarkEnd w:id="6"/>
    </w:p>
    <w:p w:rsidR="0049459D" w:rsidRDefault="0049459D" w:rsidP="0049459D">
      <w:pPr>
        <w:tabs>
          <w:tab w:val="left" w:pos="-720"/>
        </w:tabs>
        <w:ind w:firstLine="720"/>
        <w:jc w:val="both"/>
      </w:pPr>
    </w:p>
    <w:p w:rsidR="00F01090" w:rsidRDefault="0049459D" w:rsidP="008B4968">
      <w:pPr>
        <w:tabs>
          <w:tab w:val="left" w:pos="-720"/>
        </w:tabs>
        <w:ind w:firstLine="720"/>
        <w:jc w:val="both"/>
      </w:pPr>
      <w:r>
        <w:t xml:space="preserve">Having considered the </w:t>
      </w:r>
      <w:r w:rsidR="00A4565A">
        <w:t xml:space="preserve">written submission and oral argument by </w:t>
      </w:r>
      <w:r>
        <w:t xml:space="preserve">DeSoto </w:t>
      </w:r>
      <w:r w:rsidR="00A4565A">
        <w:t xml:space="preserve">and </w:t>
      </w:r>
      <w:r>
        <w:t>FPL</w:t>
      </w:r>
      <w:r w:rsidR="00A4565A">
        <w:t>,</w:t>
      </w:r>
      <w:r>
        <w:t xml:space="preserve"> we find that </w:t>
      </w:r>
      <w:proofErr w:type="spellStart"/>
      <w:r w:rsidR="00CE197B">
        <w:t>DeS</w:t>
      </w:r>
      <w:r w:rsidRPr="0052228C">
        <w:t>oto’s</w:t>
      </w:r>
      <w:proofErr w:type="spellEnd"/>
      <w:r w:rsidRPr="0052228C">
        <w:t xml:space="preserve"> objection to FPL’s R</w:t>
      </w:r>
      <w:r w:rsidR="00A4565A">
        <w:t>FP</w:t>
      </w:r>
      <w:r w:rsidRPr="0052228C">
        <w:t xml:space="preserve"> do</w:t>
      </w:r>
      <w:r w:rsidR="00A4565A">
        <w:t>es</w:t>
      </w:r>
      <w:r w:rsidRPr="0052228C">
        <w:t xml:space="preserve"> not </w:t>
      </w:r>
      <w:r w:rsidR="00A4565A">
        <w:t xml:space="preserve">demonstrate a rule violation. </w:t>
      </w:r>
      <w:r w:rsidR="004847E0">
        <w:t xml:space="preserve">This </w:t>
      </w:r>
      <w:r w:rsidR="00CE197B">
        <w:t xml:space="preserve">is a preliminary </w:t>
      </w:r>
      <w:r w:rsidR="004847E0">
        <w:t>decision</w:t>
      </w:r>
      <w:r w:rsidR="00CE197B">
        <w:t xml:space="preserve">. </w:t>
      </w:r>
      <w:r w:rsidR="009B6A68">
        <w:t xml:space="preserve">Should FPL decide to build </w:t>
      </w:r>
      <w:r w:rsidR="00261A5E">
        <w:t xml:space="preserve">the power </w:t>
      </w:r>
      <w:r w:rsidR="009B6A68">
        <w:t>plant</w:t>
      </w:r>
      <w:r w:rsidR="00261A5E">
        <w:t xml:space="preserve"> identified in its RFP</w:t>
      </w:r>
      <w:r w:rsidR="009B6A68">
        <w:t xml:space="preserve">, we will </w:t>
      </w:r>
      <w:r w:rsidR="00CE197B">
        <w:t xml:space="preserve">be required to </w:t>
      </w:r>
      <w:r w:rsidR="009B6A68">
        <w:t xml:space="preserve">determine “whether the proposed plant is the most cost-effective alternative available” </w:t>
      </w:r>
      <w:r w:rsidR="00CE197B">
        <w:t>when we review the matter pursuant to Section 403.519(3), F.S.</w:t>
      </w:r>
      <w:r w:rsidR="009B6A68">
        <w:t xml:space="preserve"> At that time, we will </w:t>
      </w:r>
      <w:r w:rsidR="009B6A68">
        <w:lastRenderedPageBreak/>
        <w:t xml:space="preserve">have an opportunity to evaluate FPL’s </w:t>
      </w:r>
      <w:r w:rsidR="00CE197B">
        <w:t xml:space="preserve">decisions </w:t>
      </w:r>
      <w:r w:rsidR="009B6A68">
        <w:t xml:space="preserve">based upon an evidentiary record and the parties </w:t>
      </w:r>
      <w:r w:rsidR="00CE197B">
        <w:t xml:space="preserve">to that proceeding </w:t>
      </w:r>
      <w:r w:rsidR="009B6A68">
        <w:t xml:space="preserve">will have an opportunity to conduct discovery on the subject. </w:t>
      </w:r>
      <w:r w:rsidR="004847E0">
        <w:t xml:space="preserve"> </w:t>
      </w:r>
    </w:p>
    <w:p w:rsidR="00F01090" w:rsidRDefault="00F01090" w:rsidP="0049459D">
      <w:pPr>
        <w:tabs>
          <w:tab w:val="left" w:pos="-720"/>
        </w:tabs>
        <w:ind w:firstLine="720"/>
        <w:jc w:val="both"/>
      </w:pPr>
    </w:p>
    <w:bookmarkEnd w:id="7"/>
    <w:p w:rsidR="0052228C" w:rsidRDefault="0052228C" w:rsidP="0052228C">
      <w:pPr>
        <w:pStyle w:val="OrderBody"/>
      </w:pPr>
      <w:r>
        <w:tab/>
        <w:t>Based on the foregoing, it is</w:t>
      </w:r>
    </w:p>
    <w:p w:rsidR="0052228C" w:rsidRDefault="0052228C" w:rsidP="0052228C">
      <w:pPr>
        <w:pStyle w:val="OrderBody"/>
      </w:pPr>
    </w:p>
    <w:p w:rsidR="008B4968" w:rsidRDefault="0052228C" w:rsidP="0052228C">
      <w:pPr>
        <w:pStyle w:val="OrderBody"/>
      </w:pPr>
      <w:r>
        <w:tab/>
        <w:t>ORDERED by the Florida Public Service Commission that</w:t>
      </w:r>
      <w:r w:rsidR="008B4968">
        <w:t xml:space="preserve"> </w:t>
      </w:r>
      <w:r w:rsidR="008B4968" w:rsidRPr="0052228C">
        <w:t xml:space="preserve">DeSoto County Generating Company, </w:t>
      </w:r>
      <w:r w:rsidR="0022799B" w:rsidRPr="0052228C">
        <w:t>LLC</w:t>
      </w:r>
      <w:r w:rsidR="0022799B">
        <w:t xml:space="preserve">’s </w:t>
      </w:r>
      <w:r w:rsidR="0022799B" w:rsidRPr="0052228C">
        <w:t>objection</w:t>
      </w:r>
      <w:r w:rsidR="008B4968" w:rsidRPr="0052228C">
        <w:t xml:space="preserve"> to </w:t>
      </w:r>
      <w:r w:rsidR="008B4968">
        <w:t xml:space="preserve">Florida Power &amp; Light Company’s </w:t>
      </w:r>
      <w:r w:rsidR="008B4968" w:rsidRPr="0052228C">
        <w:t>March 16, 2015</w:t>
      </w:r>
      <w:r w:rsidR="008B4968">
        <w:t xml:space="preserve"> </w:t>
      </w:r>
      <w:r w:rsidR="008B4968" w:rsidRPr="0052228C">
        <w:t>Request for Proposals do</w:t>
      </w:r>
      <w:r w:rsidR="004847E0">
        <w:t>es</w:t>
      </w:r>
      <w:r w:rsidR="008B4968" w:rsidRPr="0052228C">
        <w:t xml:space="preserve"> not demonstrate a violation of Rule 25-22.082</w:t>
      </w:r>
      <w:r w:rsidR="008B4968">
        <w:t>, F.A.C. It is further,</w:t>
      </w:r>
    </w:p>
    <w:p w:rsidR="008B4968" w:rsidRDefault="008B4968" w:rsidP="0052228C">
      <w:pPr>
        <w:pStyle w:val="OrderBody"/>
      </w:pPr>
    </w:p>
    <w:p w:rsidR="0052228C" w:rsidRDefault="008B4968" w:rsidP="008B4968">
      <w:pPr>
        <w:pStyle w:val="OrderBody"/>
        <w:ind w:firstLine="720"/>
      </w:pPr>
      <w:proofErr w:type="gramStart"/>
      <w:r>
        <w:t xml:space="preserve">ORDERED that </w:t>
      </w:r>
      <w:r w:rsidR="00A35AAE">
        <w:t>t</w:t>
      </w:r>
      <w:r>
        <w:t xml:space="preserve">his docket </w:t>
      </w:r>
      <w:r w:rsidR="00A35AAE">
        <w:t>is h</w:t>
      </w:r>
      <w:r w:rsidR="004847E0">
        <w:t>e</w:t>
      </w:r>
      <w:r w:rsidR="00A35AAE">
        <w:t>reby closed.</w:t>
      </w:r>
      <w:proofErr w:type="gramEnd"/>
      <w:r w:rsidR="00A35AAE">
        <w:t xml:space="preserve"> </w:t>
      </w:r>
    </w:p>
    <w:p w:rsidR="0052228C" w:rsidRDefault="0052228C" w:rsidP="0052228C">
      <w:pPr>
        <w:pStyle w:val="OrderBody"/>
      </w:pPr>
    </w:p>
    <w:p w:rsidR="0052228C" w:rsidRDefault="0052228C" w:rsidP="0052228C">
      <w:pPr>
        <w:pStyle w:val="OrderBody"/>
        <w:keepNext/>
        <w:keepLines/>
      </w:pPr>
      <w:r>
        <w:tab/>
        <w:t xml:space="preserve">By ORDER of the Florida Public Service Commission this </w:t>
      </w:r>
      <w:bookmarkStart w:id="8" w:name="replaceDate"/>
      <w:bookmarkEnd w:id="8"/>
      <w:r w:rsidR="0010020F">
        <w:rPr>
          <w:u w:val="single"/>
        </w:rPr>
        <w:t>5th</w:t>
      </w:r>
      <w:r w:rsidR="0010020F">
        <w:t xml:space="preserve"> day of </w:t>
      </w:r>
      <w:r w:rsidR="0010020F">
        <w:rPr>
          <w:u w:val="single"/>
        </w:rPr>
        <w:t>May</w:t>
      </w:r>
      <w:r w:rsidR="0010020F">
        <w:t xml:space="preserve">, </w:t>
      </w:r>
      <w:r w:rsidR="0010020F">
        <w:rPr>
          <w:u w:val="single"/>
        </w:rPr>
        <w:t>2015</w:t>
      </w:r>
      <w:r w:rsidR="0010020F">
        <w:t>.</w:t>
      </w:r>
    </w:p>
    <w:p w:rsidR="0010020F" w:rsidRPr="0010020F" w:rsidRDefault="0010020F" w:rsidP="0052228C">
      <w:pPr>
        <w:pStyle w:val="OrderBody"/>
        <w:keepNext/>
        <w:keepLines/>
      </w:pPr>
    </w:p>
    <w:p w:rsidR="0052228C" w:rsidRDefault="0052228C" w:rsidP="0052228C">
      <w:pPr>
        <w:pStyle w:val="OrderBody"/>
        <w:keepNext/>
        <w:keepLines/>
      </w:pPr>
    </w:p>
    <w:p w:rsidR="0052228C" w:rsidRDefault="0052228C" w:rsidP="0052228C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52228C" w:rsidTr="0052228C">
        <w:tc>
          <w:tcPr>
            <w:tcW w:w="720" w:type="dxa"/>
            <w:shd w:val="clear" w:color="auto" w:fill="auto"/>
          </w:tcPr>
          <w:p w:rsidR="0052228C" w:rsidRDefault="0052228C" w:rsidP="0052228C">
            <w:pPr>
              <w:pStyle w:val="OrderBody"/>
              <w:keepNext/>
              <w:keepLines/>
            </w:pPr>
            <w:bookmarkStart w:id="9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52228C" w:rsidRDefault="00524169" w:rsidP="0052228C">
            <w:pPr>
              <w:pStyle w:val="OrderBody"/>
              <w:keepNext/>
              <w:keepLines/>
            </w:pPr>
            <w:r>
              <w:t>/s/ Carlotta S. Stauffer</w:t>
            </w:r>
          </w:p>
        </w:tc>
      </w:tr>
      <w:bookmarkEnd w:id="9"/>
      <w:tr w:rsidR="0052228C" w:rsidTr="0052228C">
        <w:tc>
          <w:tcPr>
            <w:tcW w:w="720" w:type="dxa"/>
            <w:shd w:val="clear" w:color="auto" w:fill="auto"/>
          </w:tcPr>
          <w:p w:rsidR="0052228C" w:rsidRDefault="0052228C" w:rsidP="0052228C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52228C" w:rsidRDefault="0052228C" w:rsidP="0052228C">
            <w:pPr>
              <w:pStyle w:val="OrderBody"/>
              <w:keepNext/>
              <w:keepLines/>
            </w:pPr>
            <w:r>
              <w:t>CARLOTTA S. STAUFFER</w:t>
            </w:r>
          </w:p>
          <w:p w:rsidR="0052228C" w:rsidRDefault="0052228C" w:rsidP="0052228C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52228C" w:rsidRDefault="0052228C" w:rsidP="0052228C">
      <w:pPr>
        <w:pStyle w:val="OrderSigInfo"/>
        <w:keepNext/>
        <w:keepLines/>
      </w:pPr>
      <w:r>
        <w:t>Florida Public Service Commission</w:t>
      </w:r>
    </w:p>
    <w:p w:rsidR="0052228C" w:rsidRDefault="0052228C" w:rsidP="0052228C">
      <w:pPr>
        <w:pStyle w:val="OrderSigInfo"/>
        <w:keepNext/>
        <w:keepLines/>
      </w:pPr>
      <w:r>
        <w:t>2540 Shumard Oak Boulevard</w:t>
      </w:r>
    </w:p>
    <w:p w:rsidR="0052228C" w:rsidRDefault="0052228C" w:rsidP="0052228C">
      <w:pPr>
        <w:pStyle w:val="OrderSigInfo"/>
        <w:keepNext/>
        <w:keepLines/>
      </w:pPr>
      <w:r>
        <w:t>Tallahassee, Florida  32399</w:t>
      </w:r>
    </w:p>
    <w:p w:rsidR="0052228C" w:rsidRDefault="0052228C" w:rsidP="0052228C">
      <w:pPr>
        <w:pStyle w:val="OrderSigInfo"/>
        <w:keepNext/>
        <w:keepLines/>
      </w:pPr>
      <w:r>
        <w:t>(850) 413</w:t>
      </w:r>
      <w:r>
        <w:noBreakHyphen/>
        <w:t>6770</w:t>
      </w:r>
    </w:p>
    <w:p w:rsidR="0052228C" w:rsidRDefault="0052228C" w:rsidP="0052228C">
      <w:pPr>
        <w:pStyle w:val="OrderSigInfo"/>
        <w:keepNext/>
        <w:keepLines/>
      </w:pPr>
      <w:r>
        <w:t>www.floridapsc.com</w:t>
      </w:r>
    </w:p>
    <w:p w:rsidR="0052228C" w:rsidRDefault="0052228C" w:rsidP="0052228C">
      <w:pPr>
        <w:pStyle w:val="OrderSigInfo"/>
        <w:keepNext/>
        <w:keepLines/>
      </w:pPr>
    </w:p>
    <w:p w:rsidR="0052228C" w:rsidRDefault="0052228C" w:rsidP="0052228C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52228C" w:rsidRDefault="0052228C" w:rsidP="0052228C">
      <w:pPr>
        <w:pStyle w:val="OrderBody"/>
        <w:keepNext/>
        <w:keepLines/>
      </w:pPr>
    </w:p>
    <w:p w:rsidR="0052228C" w:rsidRDefault="0052228C" w:rsidP="0052228C">
      <w:pPr>
        <w:pStyle w:val="OrderBody"/>
        <w:keepNext/>
        <w:keepLines/>
      </w:pPr>
    </w:p>
    <w:p w:rsidR="0052228C" w:rsidRDefault="0052228C" w:rsidP="0052228C">
      <w:pPr>
        <w:pStyle w:val="OrderBody"/>
        <w:keepNext/>
        <w:keepLines/>
      </w:pPr>
      <w:r>
        <w:t>CWM</w:t>
      </w:r>
    </w:p>
    <w:p w:rsidR="0052228C" w:rsidRDefault="0052228C" w:rsidP="0052228C">
      <w:pPr>
        <w:pStyle w:val="OrderBody"/>
      </w:pPr>
      <w:bookmarkStart w:id="10" w:name="_GoBack"/>
      <w:bookmarkEnd w:id="10"/>
    </w:p>
    <w:p w:rsidR="0052228C" w:rsidRDefault="0052228C" w:rsidP="0052228C">
      <w:pPr>
        <w:pStyle w:val="OrderBody"/>
      </w:pPr>
    </w:p>
    <w:p w:rsidR="0052228C" w:rsidRDefault="0052228C" w:rsidP="0052228C">
      <w:pPr>
        <w:pStyle w:val="OrderBody"/>
      </w:pPr>
    </w:p>
    <w:sectPr w:rsidR="0052228C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28C" w:rsidRDefault="0052228C">
      <w:r>
        <w:separator/>
      </w:r>
    </w:p>
  </w:endnote>
  <w:endnote w:type="continuationSeparator" w:id="0">
    <w:p w:rsidR="0052228C" w:rsidRDefault="005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28C" w:rsidRDefault="0052228C">
      <w:r>
        <w:separator/>
      </w:r>
    </w:p>
  </w:footnote>
  <w:footnote w:type="continuationSeparator" w:id="0">
    <w:p w:rsidR="0052228C" w:rsidRDefault="00522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171 ">
      <w:r w:rsidR="0010020F">
        <w:t>PSC-15-0171-PCO-EI</w:t>
      </w:r>
    </w:fldSimple>
  </w:p>
  <w:p w:rsidR="00FA6EFD" w:rsidRDefault="0052228C">
    <w:pPr>
      <w:pStyle w:val="OrderHeader"/>
    </w:pPr>
    <w:bookmarkStart w:id="11" w:name="HeaderDocketNo"/>
    <w:bookmarkEnd w:id="11"/>
    <w:r>
      <w:t>DOCKET NO. 150100-EI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4169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E1EC170-EA76-470D-BB59-A4BF6144E0C2}"/>
    <w:docVar w:name="dgnword-eventsink" w:val="19458032"/>
    <w:docVar w:name="Dockets" w:val="150100-EI"/>
  </w:docVars>
  <w:rsids>
    <w:rsidRoot w:val="0052228C"/>
    <w:rsid w:val="000022B8"/>
    <w:rsid w:val="00053AB9"/>
    <w:rsid w:val="00056229"/>
    <w:rsid w:val="00061CAB"/>
    <w:rsid w:val="00065FC2"/>
    <w:rsid w:val="00090AFC"/>
    <w:rsid w:val="000D06E8"/>
    <w:rsid w:val="000E344D"/>
    <w:rsid w:val="000F3B2C"/>
    <w:rsid w:val="000F7BE3"/>
    <w:rsid w:val="0010020F"/>
    <w:rsid w:val="00116AD3"/>
    <w:rsid w:val="00126593"/>
    <w:rsid w:val="00142A96"/>
    <w:rsid w:val="0018419C"/>
    <w:rsid w:val="00187E32"/>
    <w:rsid w:val="00194E81"/>
    <w:rsid w:val="001A33C9"/>
    <w:rsid w:val="001D008A"/>
    <w:rsid w:val="002002ED"/>
    <w:rsid w:val="0022721A"/>
    <w:rsid w:val="0022799B"/>
    <w:rsid w:val="00230BB9"/>
    <w:rsid w:val="00261A5E"/>
    <w:rsid w:val="00285C85"/>
    <w:rsid w:val="002A11AC"/>
    <w:rsid w:val="002A6F30"/>
    <w:rsid w:val="002B50FF"/>
    <w:rsid w:val="002D7D15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D4CCA"/>
    <w:rsid w:val="003D6416"/>
    <w:rsid w:val="003E1D48"/>
    <w:rsid w:val="00413AF8"/>
    <w:rsid w:val="00457DC7"/>
    <w:rsid w:val="00472BCC"/>
    <w:rsid w:val="004847E0"/>
    <w:rsid w:val="0049459D"/>
    <w:rsid w:val="004A25CD"/>
    <w:rsid w:val="004A26CC"/>
    <w:rsid w:val="004B2108"/>
    <w:rsid w:val="004B3A2B"/>
    <w:rsid w:val="004D2D1B"/>
    <w:rsid w:val="004F2DDE"/>
    <w:rsid w:val="0050097F"/>
    <w:rsid w:val="00514B1F"/>
    <w:rsid w:val="0052228C"/>
    <w:rsid w:val="00524169"/>
    <w:rsid w:val="00556A10"/>
    <w:rsid w:val="005963C2"/>
    <w:rsid w:val="005B45F7"/>
    <w:rsid w:val="005B63EA"/>
    <w:rsid w:val="00660774"/>
    <w:rsid w:val="00665CC7"/>
    <w:rsid w:val="006A0BF3"/>
    <w:rsid w:val="006A5907"/>
    <w:rsid w:val="006B0DA6"/>
    <w:rsid w:val="006C547E"/>
    <w:rsid w:val="00704C5D"/>
    <w:rsid w:val="00733B6B"/>
    <w:rsid w:val="0076170F"/>
    <w:rsid w:val="0076669C"/>
    <w:rsid w:val="007865E9"/>
    <w:rsid w:val="00792383"/>
    <w:rsid w:val="00793476"/>
    <w:rsid w:val="007D3D20"/>
    <w:rsid w:val="007E3AFD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B4968"/>
    <w:rsid w:val="008C6A5B"/>
    <w:rsid w:val="008E26A5"/>
    <w:rsid w:val="008E42D2"/>
    <w:rsid w:val="009040EE"/>
    <w:rsid w:val="009057FD"/>
    <w:rsid w:val="00922A7F"/>
    <w:rsid w:val="00923A5E"/>
    <w:rsid w:val="00994100"/>
    <w:rsid w:val="009B6A68"/>
    <w:rsid w:val="009D4B25"/>
    <w:rsid w:val="009D4C29"/>
    <w:rsid w:val="00A35AAE"/>
    <w:rsid w:val="00A4565A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357F3"/>
    <w:rsid w:val="00C52986"/>
    <w:rsid w:val="00C66692"/>
    <w:rsid w:val="00C91123"/>
    <w:rsid w:val="00CA71FF"/>
    <w:rsid w:val="00CB5276"/>
    <w:rsid w:val="00CB6672"/>
    <w:rsid w:val="00CB68D7"/>
    <w:rsid w:val="00CC7E68"/>
    <w:rsid w:val="00CD7132"/>
    <w:rsid w:val="00CE197B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01090"/>
    <w:rsid w:val="00F277B6"/>
    <w:rsid w:val="00F54380"/>
    <w:rsid w:val="00F54B47"/>
    <w:rsid w:val="00FA6EFD"/>
    <w:rsid w:val="00FB74EA"/>
    <w:rsid w:val="00FD2C9E"/>
    <w:rsid w:val="00FD4786"/>
    <w:rsid w:val="00FD616C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uiPriority w:val="99"/>
    <w:rsid w:val="00CD71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customStyle="1" w:styleId="FooterChar">
    <w:name w:val="Footer Char"/>
    <w:link w:val="Footer"/>
    <w:rsid w:val="0052228C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522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uiPriority w:val="99"/>
    <w:rsid w:val="00CD71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customStyle="1" w:styleId="FooterChar">
    <w:name w:val="Footer Char"/>
    <w:link w:val="Footer"/>
    <w:rsid w:val="0052228C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52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Edgar,%20Bris&#233;,%20Brown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A197-5B30-4243-9A49-CBD8AD6E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Edgar, Brisé, Brown and Patronis.dot</Template>
  <TotalTime>2</TotalTime>
  <Pages>2</Pages>
  <Words>476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 Lynn</dc:creator>
  <cp:lastModifiedBy>Angela Charles</cp:lastModifiedBy>
  <cp:revision>5</cp:revision>
  <cp:lastPrinted>2015-05-05T12:58:00Z</cp:lastPrinted>
  <dcterms:created xsi:type="dcterms:W3CDTF">2015-04-27T18:00:00Z</dcterms:created>
  <dcterms:modified xsi:type="dcterms:W3CDTF">2015-05-05T12:59:00Z</dcterms:modified>
</cp:coreProperties>
</file>