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B5FBC" w:rsidP="00DB5FBC">
      <w:pPr>
        <w:pStyle w:val="OrderHeading"/>
      </w:pPr>
      <w:r>
        <w:t>BEFORE THE FLORIDA PUBLIC SERVICE COMMISSION</w:t>
      </w:r>
    </w:p>
    <w:p w:rsidR="00DB5FBC" w:rsidRDefault="00DB5FBC" w:rsidP="00DB5FBC">
      <w:pPr>
        <w:pStyle w:val="OrderHeading"/>
      </w:pPr>
    </w:p>
    <w:p w:rsidR="00DB5FBC" w:rsidRDefault="00DB5FBC" w:rsidP="00DB5F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5FBC" w:rsidRPr="00C63FCF" w:rsidTr="00C63FCF">
        <w:trPr>
          <w:trHeight w:val="828"/>
        </w:trPr>
        <w:tc>
          <w:tcPr>
            <w:tcW w:w="4788" w:type="dxa"/>
            <w:tcBorders>
              <w:bottom w:val="single" w:sz="8" w:space="0" w:color="auto"/>
              <w:right w:val="double" w:sz="6" w:space="0" w:color="auto"/>
            </w:tcBorders>
            <w:shd w:val="clear" w:color="auto" w:fill="auto"/>
          </w:tcPr>
          <w:p w:rsidR="00DB5FBC" w:rsidRDefault="00DB5FBC" w:rsidP="00C63FCF">
            <w:pPr>
              <w:pStyle w:val="OrderBody"/>
              <w:tabs>
                <w:tab w:val="center" w:pos="4320"/>
                <w:tab w:val="right" w:pos="8640"/>
              </w:tabs>
              <w:jc w:val="left"/>
            </w:pPr>
            <w:r>
              <w:t xml:space="preserve">In re: </w:t>
            </w:r>
            <w:bookmarkStart w:id="0" w:name="SSInRe"/>
            <w:bookmarkEnd w:id="0"/>
            <w:r>
              <w:t>Settlement proposal for possible overearnings by Southlake Utilities, Inc. in Lake County.</w:t>
            </w:r>
          </w:p>
        </w:tc>
        <w:tc>
          <w:tcPr>
            <w:tcW w:w="4788" w:type="dxa"/>
            <w:tcBorders>
              <w:left w:val="double" w:sz="6" w:space="0" w:color="auto"/>
            </w:tcBorders>
            <w:shd w:val="clear" w:color="auto" w:fill="auto"/>
          </w:tcPr>
          <w:p w:rsidR="00DB5FBC" w:rsidRDefault="00DB5FBC" w:rsidP="00DB5FBC">
            <w:pPr>
              <w:pStyle w:val="OrderBody"/>
            </w:pPr>
            <w:r>
              <w:t xml:space="preserve">DOCKET NO. </w:t>
            </w:r>
            <w:bookmarkStart w:id="1" w:name="SSDocketNo"/>
            <w:bookmarkEnd w:id="1"/>
            <w:r>
              <w:t>150069-WS</w:t>
            </w:r>
          </w:p>
          <w:p w:rsidR="00DB5FBC" w:rsidRDefault="00DB5FBC" w:rsidP="00C63FCF">
            <w:pPr>
              <w:pStyle w:val="OrderBody"/>
              <w:tabs>
                <w:tab w:val="center" w:pos="4320"/>
                <w:tab w:val="right" w:pos="8640"/>
              </w:tabs>
              <w:jc w:val="left"/>
            </w:pPr>
            <w:r>
              <w:t xml:space="preserve">ORDER NO. </w:t>
            </w:r>
            <w:bookmarkStart w:id="2" w:name="OrderNo0173"/>
            <w:r w:rsidR="00DF4AA8">
              <w:t>PSC-15-0173-PAA-WS</w:t>
            </w:r>
            <w:bookmarkEnd w:id="2"/>
          </w:p>
          <w:p w:rsidR="00DB5FBC" w:rsidRDefault="00DB5FBC" w:rsidP="00C63FCF">
            <w:pPr>
              <w:pStyle w:val="OrderBody"/>
              <w:tabs>
                <w:tab w:val="center" w:pos="4320"/>
                <w:tab w:val="right" w:pos="8640"/>
              </w:tabs>
              <w:jc w:val="left"/>
            </w:pPr>
            <w:r>
              <w:t xml:space="preserve">ISSUED: </w:t>
            </w:r>
            <w:r w:rsidR="00DF4AA8">
              <w:t>May 5, 2015</w:t>
            </w:r>
          </w:p>
        </w:tc>
      </w:tr>
    </w:tbl>
    <w:p w:rsidR="00DB5FBC" w:rsidRDefault="00DB5FBC" w:rsidP="00DB5FBC"/>
    <w:p w:rsidR="00DB5FBC" w:rsidRDefault="00DB5FBC" w:rsidP="00DB5FBC"/>
    <w:p w:rsidR="00DB5FBC" w:rsidRPr="00E46E1F" w:rsidRDefault="00DB5FBC">
      <w:pPr>
        <w:ind w:firstLine="720"/>
        <w:jc w:val="both"/>
      </w:pPr>
      <w:bookmarkStart w:id="3" w:name="Commissioners"/>
      <w:bookmarkEnd w:id="3"/>
      <w:r w:rsidRPr="00E46E1F">
        <w:t>The following Commissioners participated in the disposition of this matter:</w:t>
      </w:r>
    </w:p>
    <w:p w:rsidR="00DB5FBC" w:rsidRPr="00E46E1F" w:rsidRDefault="00DB5FBC"/>
    <w:p w:rsidR="00DB5FBC" w:rsidRDefault="00DB5FBC">
      <w:pPr>
        <w:jc w:val="center"/>
      </w:pPr>
      <w:r>
        <w:t>ART GRAHAM</w:t>
      </w:r>
      <w:r w:rsidRPr="00E46E1F">
        <w:t>, Chairman</w:t>
      </w:r>
    </w:p>
    <w:p w:rsidR="00DB5FBC" w:rsidRPr="00E46E1F" w:rsidRDefault="00DB5FBC">
      <w:pPr>
        <w:jc w:val="center"/>
      </w:pPr>
      <w:r w:rsidRPr="00E46E1F">
        <w:t>LISA POLAK EDGAR</w:t>
      </w:r>
    </w:p>
    <w:p w:rsidR="00DB5FBC" w:rsidRDefault="00DB5FBC">
      <w:pPr>
        <w:jc w:val="center"/>
      </w:pPr>
      <w:r>
        <w:t>RONALD A. BRISÉ</w:t>
      </w:r>
    </w:p>
    <w:p w:rsidR="00DB5FBC" w:rsidRDefault="00DB5FBC">
      <w:pPr>
        <w:jc w:val="center"/>
      </w:pPr>
      <w:r>
        <w:t>JULIE I. BROWN</w:t>
      </w:r>
    </w:p>
    <w:p w:rsidR="00DB5FBC" w:rsidRDefault="00DB5FBC">
      <w:pPr>
        <w:jc w:val="center"/>
      </w:pPr>
      <w:r>
        <w:t>JIMMY PATRONIS</w:t>
      </w:r>
    </w:p>
    <w:p w:rsidR="00CB5276" w:rsidRDefault="00CB5276">
      <w:pPr>
        <w:pStyle w:val="OrderBody"/>
      </w:pPr>
    </w:p>
    <w:p w:rsidR="00DB5FBC" w:rsidRDefault="00DB5FBC" w:rsidP="00DB5FBC">
      <w:pPr>
        <w:pStyle w:val="OrderBody"/>
      </w:pPr>
    </w:p>
    <w:p w:rsidR="00DB5FBC" w:rsidRDefault="00DB5FBC" w:rsidP="00DB5FBC">
      <w:pPr>
        <w:pStyle w:val="OrderBody"/>
      </w:pPr>
    </w:p>
    <w:bookmarkStart w:id="4" w:name="OrderText"/>
    <w:bookmarkEnd w:id="4"/>
    <w:p w:rsidR="00DB5FBC" w:rsidRPr="003E4B2D" w:rsidRDefault="00DB5FB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77D1C" w:rsidRPr="00277D1C" w:rsidRDefault="00DB5FBC" w:rsidP="00277D1C">
      <w:pPr>
        <w:pStyle w:val="OrderBody"/>
        <w:jc w:val="center"/>
        <w:rPr>
          <w:u w:val="single"/>
        </w:rPr>
      </w:pPr>
      <w:proofErr w:type="gramStart"/>
      <w:r w:rsidRPr="003E4B2D">
        <w:rPr>
          <w:u w:val="single"/>
        </w:rPr>
        <w:t>ORDER</w:t>
      </w:r>
      <w:bookmarkStart w:id="5" w:name="OrderTitle"/>
      <w:r w:rsidR="00277D1C" w:rsidRPr="00277D1C">
        <w:rPr>
          <w:u w:val="single"/>
        </w:rPr>
        <w:t xml:space="preserve"> APPROVING SETTLEMENT PROPOSAL FOR POSSIBLE OVEREARNINGS BY SOUTHLAKE UTILITIES, INC.</w:t>
      </w:r>
      <w:proofErr w:type="gramEnd"/>
    </w:p>
    <w:p w:rsidR="00DB5FBC" w:rsidRPr="003E4B2D" w:rsidRDefault="00277D1C">
      <w:pPr>
        <w:pStyle w:val="OrderBody"/>
        <w:jc w:val="center"/>
        <w:rPr>
          <w:u w:val="single"/>
        </w:rPr>
      </w:pPr>
      <w:r>
        <w:rPr>
          <w:u w:val="single"/>
        </w:rPr>
        <w:t xml:space="preserve"> </w:t>
      </w:r>
      <w:r w:rsidR="00DB5FBC">
        <w:rPr>
          <w:u w:val="single"/>
        </w:rPr>
        <w:t xml:space="preserve"> </w:t>
      </w:r>
      <w:bookmarkEnd w:id="5"/>
    </w:p>
    <w:p w:rsidR="00DB5FBC" w:rsidRPr="003E4B2D" w:rsidRDefault="00DB5FBC">
      <w:pPr>
        <w:pStyle w:val="OrderBody"/>
      </w:pPr>
    </w:p>
    <w:p w:rsidR="00DB5FBC" w:rsidRPr="003E4B2D" w:rsidRDefault="00DB5FBC">
      <w:pPr>
        <w:pStyle w:val="OrderBody"/>
      </w:pPr>
    </w:p>
    <w:p w:rsidR="00DB5FBC" w:rsidRPr="003E4B2D" w:rsidRDefault="00DB5FBC">
      <w:pPr>
        <w:pStyle w:val="OrderBody"/>
      </w:pPr>
      <w:r w:rsidRPr="003E4B2D">
        <w:t>BY THE COMMISSION:</w:t>
      </w:r>
    </w:p>
    <w:p w:rsidR="00DB5FBC" w:rsidRPr="003E4B2D" w:rsidRDefault="00DB5FBC">
      <w:pPr>
        <w:pStyle w:val="OrderBody"/>
      </w:pPr>
    </w:p>
    <w:p w:rsidR="00DB5FBC" w:rsidRDefault="00DB5FB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5F693D">
        <w:t xml:space="preserve"> (F.A.C.)</w:t>
      </w:r>
      <w:r w:rsidRPr="003E4B2D">
        <w:t>.</w:t>
      </w:r>
    </w:p>
    <w:p w:rsidR="00CB5276" w:rsidRDefault="00CB5276" w:rsidP="00DB5FBC"/>
    <w:p w:rsidR="00CB5276" w:rsidRPr="00DB5FBC" w:rsidRDefault="00DB5FBC" w:rsidP="00DB5FBC">
      <w:pPr>
        <w:jc w:val="center"/>
        <w:rPr>
          <w:u w:val="single"/>
        </w:rPr>
      </w:pPr>
      <w:r w:rsidRPr="00DB5FBC">
        <w:rPr>
          <w:u w:val="single"/>
        </w:rPr>
        <w:t>Background</w:t>
      </w:r>
    </w:p>
    <w:p w:rsidR="00DB5FBC" w:rsidRDefault="00DB5FBC"/>
    <w:p w:rsidR="00DB5FBC" w:rsidRPr="00DB5FBC" w:rsidRDefault="00DB5FBC" w:rsidP="00DB5FBC">
      <w:pPr>
        <w:keepNext/>
        <w:spacing w:after="240"/>
        <w:ind w:firstLine="720"/>
        <w:jc w:val="both"/>
        <w:outlineLvl w:val="0"/>
        <w:rPr>
          <w:rFonts w:cs="Arial"/>
          <w:bCs/>
          <w:kern w:val="32"/>
          <w:szCs w:val="32"/>
        </w:rPr>
      </w:pPr>
      <w:r w:rsidRPr="00DB5FBC">
        <w:rPr>
          <w:rFonts w:cs="Arial"/>
          <w:bCs/>
          <w:kern w:val="32"/>
          <w:szCs w:val="32"/>
        </w:rPr>
        <w:t>Southlake Utilities, Inc. (Southlake or Utility) is a Class B utility providing water and wastewater service to approximately 2,800 water and 2,664 wastewater customers in Lake County.  Water and wastewater rates were last established for this utility in 2008.</w:t>
      </w:r>
      <w:r w:rsidRPr="00DB5FBC">
        <w:rPr>
          <w:rFonts w:cs="Arial"/>
          <w:bCs/>
          <w:kern w:val="32"/>
          <w:szCs w:val="32"/>
          <w:vertAlign w:val="superscript"/>
        </w:rPr>
        <w:footnoteReference w:id="1"/>
      </w:r>
    </w:p>
    <w:p w:rsidR="00DB5FBC" w:rsidRPr="00DB5FBC" w:rsidRDefault="005F693D" w:rsidP="00DB5FBC">
      <w:pPr>
        <w:spacing w:after="240"/>
        <w:ind w:firstLine="720"/>
        <w:jc w:val="both"/>
      </w:pPr>
      <w:r>
        <w:t>Commission s</w:t>
      </w:r>
      <w:r w:rsidR="00DB5FBC" w:rsidRPr="00DB5FBC">
        <w:t xml:space="preserve">taff’s review of the 2012 Annual Report for Southlake, filed April 25, 2013, revealed possible overearnings.  On November 1, 2013, </w:t>
      </w:r>
      <w:r w:rsidR="00277D1C">
        <w:t>we</w:t>
      </w:r>
      <w:r w:rsidR="00DB5FBC" w:rsidRPr="00DB5FBC">
        <w:t xml:space="preserve"> approved a pass-through and 4-year rate reduction adjustment, which represented a $34,497-revenue decrease for each system.    Subsequently, staff engaged in discussions with the Utility regarding these possible overearnings.  Since those initial discussions, staff completed its earnings analysis based on the Utility’s numerous responses to data requests, as well as Southlake’s 2013 Annual Report, filed April 25, 2014.  During </w:t>
      </w:r>
      <w:r>
        <w:t xml:space="preserve">Commission </w:t>
      </w:r>
      <w:r w:rsidR="00DB5FBC" w:rsidRPr="00DB5FBC">
        <w:t xml:space="preserve">staff’s earnings’ analysis, the Office of Public Counsel </w:t>
      </w:r>
      <w:r w:rsidR="00DB5FBC" w:rsidRPr="00DB5FBC">
        <w:lastRenderedPageBreak/>
        <w:t>participated in</w:t>
      </w:r>
      <w:r>
        <w:t xml:space="preserve"> noticed</w:t>
      </w:r>
      <w:r w:rsidR="00DB5FBC" w:rsidRPr="00DB5FBC">
        <w:t xml:space="preserve"> informal meetings regarding the Utility’s possible overearnings.  In a letter dated February 25, 2015, Southlake proposed a settlement offer to address the possible overearnings.  Southlake proposed to refund total possible overearnings in the amount of $233,076 for water and $8,387 for wastewater.  Further, the Utility also proposed to reduce rates by 21.47 percent for water and 0.73 percent for wastewater.  </w:t>
      </w:r>
    </w:p>
    <w:p w:rsidR="00DB5FBC" w:rsidRDefault="005F693D" w:rsidP="005F693D">
      <w:pPr>
        <w:ind w:firstLine="720"/>
        <w:jc w:val="both"/>
      </w:pPr>
      <w:r>
        <w:t>We have</w:t>
      </w:r>
      <w:r w:rsidR="00DB5FBC" w:rsidRPr="00DB5FBC">
        <w:t xml:space="preserve"> jurisdiction pursuant to Sections 367.081, 367.082, and 367.121, Florida Statutes.</w:t>
      </w:r>
    </w:p>
    <w:p w:rsidR="00DB5FBC" w:rsidRDefault="00DB5FBC" w:rsidP="00DB5FBC"/>
    <w:p w:rsidR="00DB5FBC" w:rsidRPr="00DB5FBC" w:rsidRDefault="00DB5FBC" w:rsidP="00DB5FBC">
      <w:pPr>
        <w:jc w:val="center"/>
        <w:rPr>
          <w:u w:val="single"/>
        </w:rPr>
      </w:pPr>
      <w:r w:rsidRPr="00DB5FBC">
        <w:rPr>
          <w:u w:val="single"/>
        </w:rPr>
        <w:t>Decision</w:t>
      </w:r>
    </w:p>
    <w:p w:rsidR="00DB5FBC" w:rsidRDefault="00DB5FBC" w:rsidP="00DB5FBC"/>
    <w:p w:rsidR="00DB5FBC" w:rsidRDefault="005F693D" w:rsidP="00DB5FBC">
      <w:pPr>
        <w:spacing w:after="240"/>
        <w:ind w:firstLine="720"/>
        <w:jc w:val="both"/>
      </w:pPr>
      <w:r>
        <w:t>A</w:t>
      </w:r>
      <w:r w:rsidR="00536E5F">
        <w:t xml:space="preserve"> review</w:t>
      </w:r>
      <w:r w:rsidR="00DB5FBC">
        <w:t xml:space="preserve"> of Southlake’s 2012 Annual Report, filed </w:t>
      </w:r>
      <w:r w:rsidR="00DB5FBC" w:rsidRPr="005B3BFE">
        <w:t>April 25, 2013</w:t>
      </w:r>
      <w:r w:rsidR="00DB5FBC">
        <w:t xml:space="preserve">, revealed possible overearnings.   As a result, staff sent data requests to the Utility to obtain the data necessary to make a better evaluation of the Utility’s financial position, to evaluate the likelihood of continued overearnings, and to examine the level of revenues necessary to support ongoing utility operations.  Staff’s analysis also incorporated the Utility’s needs for continuing capital improvements and operating expenses.   </w:t>
      </w:r>
    </w:p>
    <w:p w:rsidR="00DB5FBC" w:rsidRDefault="00DB5FBC" w:rsidP="00DB5FBC">
      <w:pPr>
        <w:spacing w:after="240"/>
        <w:ind w:firstLine="720"/>
        <w:jc w:val="both"/>
      </w:pPr>
      <w:r>
        <w:t>Based on staff’s analysis,</w:t>
      </w:r>
      <w:r>
        <w:rPr>
          <w:rStyle w:val="FootnoteReference"/>
        </w:rPr>
        <w:footnoteReference w:id="2"/>
      </w:r>
      <w:r>
        <w:t xml:space="preserve"> Southlake proposed a settlement to address possible ove</w:t>
      </w:r>
      <w:r w:rsidR="00536E5F">
        <w:t>re</w:t>
      </w:r>
      <w:r>
        <w:t xml:space="preserve">arnings by letter dated February 25, 2015.  </w:t>
      </w:r>
      <w:r w:rsidRPr="00125F63">
        <w:t>Specifically, the Utility agreed to make an across</w:t>
      </w:r>
      <w:r>
        <w:t>-the-</w:t>
      </w:r>
      <w:r w:rsidRPr="00125F63">
        <w:t xml:space="preserve">board rate reduction of </w:t>
      </w:r>
      <w:r>
        <w:t xml:space="preserve">$233,076 </w:t>
      </w:r>
      <w:r w:rsidRPr="00125F63">
        <w:t xml:space="preserve">or </w:t>
      </w:r>
      <w:r>
        <w:t>21.47</w:t>
      </w:r>
      <w:r w:rsidRPr="00125F63">
        <w:t xml:space="preserve"> percent of total revenues</w:t>
      </w:r>
      <w:r>
        <w:t xml:space="preserve"> for water and $8,387 or 0.73 percent for wastewater.  </w:t>
      </w:r>
      <w:r w:rsidRPr="00125F63">
        <w:t>Further, the Utility stated it w</w:t>
      </w:r>
      <w:r>
        <w:t>ill make</w:t>
      </w:r>
      <w:r w:rsidRPr="00125F63">
        <w:t xml:space="preserve"> a refun</w:t>
      </w:r>
      <w:r w:rsidRPr="00461CA4">
        <w:t>d of $233,076 for w</w:t>
      </w:r>
      <w:r>
        <w:t xml:space="preserve">ater and $8,387 for wastewater over a 6-month period in 2015. </w:t>
      </w:r>
    </w:p>
    <w:p w:rsidR="00DB5FBC" w:rsidRDefault="00DB5FBC" w:rsidP="00DB5FBC">
      <w:pPr>
        <w:pStyle w:val="BodyText"/>
        <w:spacing w:after="0"/>
        <w:contextualSpacing/>
        <w:jc w:val="center"/>
      </w:pPr>
      <w:r>
        <w:t>Table 1</w:t>
      </w:r>
    </w:p>
    <w:tbl>
      <w:tblPr>
        <w:tblW w:w="5686" w:type="dxa"/>
        <w:jc w:val="center"/>
        <w:tblInd w:w="93" w:type="dxa"/>
        <w:tblLook w:val="04A0" w:firstRow="1" w:lastRow="0" w:firstColumn="1" w:lastColumn="0" w:noHBand="0" w:noVBand="1"/>
      </w:tblPr>
      <w:tblGrid>
        <w:gridCol w:w="266"/>
        <w:gridCol w:w="2711"/>
        <w:gridCol w:w="1188"/>
        <w:gridCol w:w="1255"/>
        <w:gridCol w:w="266"/>
      </w:tblGrid>
      <w:tr w:rsidR="00DB5FBC" w:rsidTr="00CB4281">
        <w:trPr>
          <w:trHeight w:val="341"/>
          <w:jc w:val="center"/>
        </w:trPr>
        <w:tc>
          <w:tcPr>
            <w:tcW w:w="568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5FBC" w:rsidRDefault="00DB5FBC" w:rsidP="00CB4281">
            <w:pPr>
              <w:jc w:val="center"/>
              <w:rPr>
                <w:rFonts w:ascii="Calibri" w:hAnsi="Calibri"/>
                <w:color w:val="000000"/>
                <w:sz w:val="22"/>
                <w:szCs w:val="22"/>
              </w:rPr>
            </w:pPr>
            <w:r>
              <w:t>Determination of Rate Reduction and Refund</w:t>
            </w:r>
          </w:p>
        </w:tc>
      </w:tr>
      <w:tr w:rsidR="00DB5FBC" w:rsidTr="00CB4281">
        <w:trPr>
          <w:trHeight w:val="300"/>
          <w:jc w:val="center"/>
        </w:trPr>
        <w:tc>
          <w:tcPr>
            <w:tcW w:w="266" w:type="dxa"/>
            <w:tcBorders>
              <w:top w:val="single" w:sz="4" w:space="0" w:color="auto"/>
              <w:left w:val="single" w:sz="4" w:space="0" w:color="auto"/>
              <w:bottom w:val="nil"/>
              <w:right w:val="nil"/>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c>
          <w:tcPr>
            <w:tcW w:w="2711" w:type="dxa"/>
            <w:tcBorders>
              <w:top w:val="single" w:sz="4" w:space="0" w:color="auto"/>
              <w:left w:val="nil"/>
              <w:bottom w:val="nil"/>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 </w:t>
            </w:r>
          </w:p>
        </w:tc>
        <w:tc>
          <w:tcPr>
            <w:tcW w:w="1188" w:type="dxa"/>
            <w:tcBorders>
              <w:top w:val="single" w:sz="4" w:space="0" w:color="auto"/>
              <w:left w:val="nil"/>
              <w:bottom w:val="nil"/>
              <w:right w:val="nil"/>
            </w:tcBorders>
            <w:shd w:val="clear" w:color="000000" w:fill="FFFFFF"/>
            <w:noWrap/>
            <w:vAlign w:val="bottom"/>
            <w:hideMark/>
          </w:tcPr>
          <w:p w:rsidR="00DB5FBC" w:rsidRPr="002C53C9" w:rsidRDefault="00DB5FBC" w:rsidP="00CB4281">
            <w:pPr>
              <w:jc w:val="center"/>
              <w:rPr>
                <w:color w:val="000000"/>
                <w:sz w:val="22"/>
                <w:szCs w:val="22"/>
                <w:u w:val="single"/>
              </w:rPr>
            </w:pPr>
            <w:r w:rsidRPr="002C53C9">
              <w:rPr>
                <w:color w:val="000000"/>
                <w:sz w:val="22"/>
                <w:szCs w:val="22"/>
                <w:u w:val="single"/>
              </w:rPr>
              <w:t>Water</w:t>
            </w:r>
          </w:p>
        </w:tc>
        <w:tc>
          <w:tcPr>
            <w:tcW w:w="1255" w:type="dxa"/>
            <w:tcBorders>
              <w:top w:val="single" w:sz="4" w:space="0" w:color="auto"/>
              <w:left w:val="nil"/>
              <w:bottom w:val="nil"/>
              <w:right w:val="nil"/>
            </w:tcBorders>
            <w:shd w:val="clear" w:color="000000" w:fill="FFFFFF"/>
            <w:noWrap/>
            <w:vAlign w:val="bottom"/>
            <w:hideMark/>
          </w:tcPr>
          <w:p w:rsidR="00DB5FBC" w:rsidRPr="002C53C9" w:rsidRDefault="00DB5FBC" w:rsidP="00CB4281">
            <w:pPr>
              <w:jc w:val="center"/>
              <w:rPr>
                <w:color w:val="000000"/>
                <w:sz w:val="22"/>
                <w:szCs w:val="22"/>
                <w:u w:val="single"/>
              </w:rPr>
            </w:pPr>
            <w:r w:rsidRPr="002C53C9">
              <w:rPr>
                <w:color w:val="000000"/>
                <w:sz w:val="22"/>
                <w:szCs w:val="22"/>
                <w:u w:val="single"/>
              </w:rPr>
              <w:t>Wastewater</w:t>
            </w:r>
          </w:p>
        </w:tc>
        <w:tc>
          <w:tcPr>
            <w:tcW w:w="266" w:type="dxa"/>
            <w:tcBorders>
              <w:top w:val="single" w:sz="4" w:space="0" w:color="auto"/>
              <w:left w:val="nil"/>
              <w:bottom w:val="nil"/>
              <w:right w:val="single" w:sz="4" w:space="0" w:color="auto"/>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r>
      <w:tr w:rsidR="00DB5FBC" w:rsidTr="00CB4281">
        <w:trPr>
          <w:trHeight w:val="300"/>
          <w:jc w:val="center"/>
        </w:trPr>
        <w:tc>
          <w:tcPr>
            <w:tcW w:w="266" w:type="dxa"/>
            <w:tcBorders>
              <w:top w:val="nil"/>
              <w:left w:val="single" w:sz="4" w:space="0" w:color="auto"/>
              <w:bottom w:val="nil"/>
              <w:right w:val="nil"/>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Possible Overearnings</w:t>
            </w:r>
          </w:p>
        </w:tc>
        <w:tc>
          <w:tcPr>
            <w:tcW w:w="1188" w:type="dxa"/>
            <w:tcBorders>
              <w:top w:val="nil"/>
              <w:left w:val="nil"/>
              <w:bottom w:val="nil"/>
              <w:right w:val="nil"/>
            </w:tcBorders>
            <w:shd w:val="clear" w:color="000000" w:fill="FFFFFF"/>
            <w:noWrap/>
            <w:vAlign w:val="bottom"/>
            <w:hideMark/>
          </w:tcPr>
          <w:p w:rsidR="00DB5FBC" w:rsidRDefault="00DB5FBC" w:rsidP="00CB4281">
            <w:pPr>
              <w:jc w:val="right"/>
              <w:rPr>
                <w:color w:val="000000"/>
                <w:sz w:val="22"/>
                <w:szCs w:val="22"/>
                <w:u w:val="double"/>
              </w:rPr>
            </w:pPr>
            <w:r>
              <w:rPr>
                <w:color w:val="000000"/>
                <w:sz w:val="22"/>
                <w:szCs w:val="22"/>
                <w:u w:val="double"/>
              </w:rPr>
              <w:t>$233,076</w:t>
            </w:r>
          </w:p>
        </w:tc>
        <w:tc>
          <w:tcPr>
            <w:tcW w:w="1255" w:type="dxa"/>
            <w:tcBorders>
              <w:top w:val="nil"/>
              <w:left w:val="nil"/>
              <w:bottom w:val="nil"/>
              <w:right w:val="nil"/>
            </w:tcBorders>
            <w:shd w:val="clear" w:color="000000" w:fill="FFFFFF"/>
            <w:noWrap/>
            <w:vAlign w:val="bottom"/>
            <w:hideMark/>
          </w:tcPr>
          <w:p w:rsidR="00DB5FBC" w:rsidRDefault="00DB5FBC" w:rsidP="00CB4281">
            <w:pPr>
              <w:jc w:val="right"/>
              <w:rPr>
                <w:color w:val="000000"/>
                <w:sz w:val="22"/>
                <w:szCs w:val="22"/>
                <w:u w:val="double"/>
              </w:rPr>
            </w:pPr>
            <w:r>
              <w:rPr>
                <w:color w:val="000000"/>
                <w:sz w:val="22"/>
                <w:szCs w:val="22"/>
                <w:u w:val="double"/>
              </w:rPr>
              <w:t>$8,387</w:t>
            </w:r>
          </w:p>
        </w:tc>
        <w:tc>
          <w:tcPr>
            <w:tcW w:w="266" w:type="dxa"/>
            <w:tcBorders>
              <w:top w:val="nil"/>
              <w:left w:val="nil"/>
              <w:bottom w:val="nil"/>
              <w:right w:val="single" w:sz="4" w:space="0" w:color="auto"/>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r>
      <w:tr w:rsidR="00DB5FBC" w:rsidTr="00CB4281">
        <w:trPr>
          <w:trHeight w:val="300"/>
          <w:jc w:val="center"/>
        </w:trPr>
        <w:tc>
          <w:tcPr>
            <w:tcW w:w="266" w:type="dxa"/>
            <w:tcBorders>
              <w:top w:val="nil"/>
              <w:left w:val="single" w:sz="4" w:space="0" w:color="auto"/>
              <w:bottom w:val="nil"/>
              <w:right w:val="nil"/>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 </w:t>
            </w:r>
          </w:p>
        </w:tc>
        <w:tc>
          <w:tcPr>
            <w:tcW w:w="1188" w:type="dxa"/>
            <w:tcBorders>
              <w:top w:val="nil"/>
              <w:left w:val="nil"/>
              <w:bottom w:val="nil"/>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 </w:t>
            </w:r>
          </w:p>
        </w:tc>
        <w:tc>
          <w:tcPr>
            <w:tcW w:w="1255" w:type="dxa"/>
            <w:tcBorders>
              <w:top w:val="nil"/>
              <w:left w:val="nil"/>
              <w:bottom w:val="nil"/>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 </w:t>
            </w:r>
          </w:p>
        </w:tc>
        <w:tc>
          <w:tcPr>
            <w:tcW w:w="266" w:type="dxa"/>
            <w:tcBorders>
              <w:top w:val="nil"/>
              <w:left w:val="nil"/>
              <w:bottom w:val="nil"/>
              <w:right w:val="single" w:sz="4" w:space="0" w:color="auto"/>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r>
      <w:tr w:rsidR="00DB5FBC" w:rsidTr="00CB4281">
        <w:trPr>
          <w:trHeight w:val="300"/>
          <w:jc w:val="center"/>
        </w:trPr>
        <w:tc>
          <w:tcPr>
            <w:tcW w:w="266" w:type="dxa"/>
            <w:tcBorders>
              <w:top w:val="nil"/>
              <w:left w:val="single" w:sz="4" w:space="0" w:color="auto"/>
              <w:bottom w:val="nil"/>
              <w:right w:val="nil"/>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Proposed Rate Reduction</w:t>
            </w:r>
          </w:p>
        </w:tc>
        <w:tc>
          <w:tcPr>
            <w:tcW w:w="1188" w:type="dxa"/>
            <w:tcBorders>
              <w:top w:val="nil"/>
              <w:left w:val="nil"/>
              <w:bottom w:val="nil"/>
              <w:right w:val="nil"/>
            </w:tcBorders>
            <w:shd w:val="clear" w:color="000000" w:fill="FFFFFF"/>
            <w:noWrap/>
            <w:vAlign w:val="bottom"/>
            <w:hideMark/>
          </w:tcPr>
          <w:p w:rsidR="00DB5FBC" w:rsidRDefault="00DB5FBC" w:rsidP="00CB4281">
            <w:pPr>
              <w:jc w:val="right"/>
              <w:rPr>
                <w:color w:val="000000"/>
                <w:sz w:val="22"/>
                <w:szCs w:val="22"/>
                <w:u w:val="double"/>
              </w:rPr>
            </w:pPr>
            <w:r>
              <w:rPr>
                <w:color w:val="000000"/>
                <w:sz w:val="22"/>
                <w:szCs w:val="22"/>
                <w:u w:val="double"/>
              </w:rPr>
              <w:t>($233,076)</w:t>
            </w:r>
          </w:p>
        </w:tc>
        <w:tc>
          <w:tcPr>
            <w:tcW w:w="1255" w:type="dxa"/>
            <w:tcBorders>
              <w:top w:val="nil"/>
              <w:left w:val="nil"/>
              <w:bottom w:val="nil"/>
              <w:right w:val="nil"/>
            </w:tcBorders>
            <w:shd w:val="clear" w:color="000000" w:fill="FFFFFF"/>
            <w:noWrap/>
            <w:vAlign w:val="bottom"/>
            <w:hideMark/>
          </w:tcPr>
          <w:p w:rsidR="00DB5FBC" w:rsidRDefault="00DB5FBC" w:rsidP="00CB4281">
            <w:pPr>
              <w:jc w:val="right"/>
              <w:rPr>
                <w:color w:val="000000"/>
                <w:sz w:val="22"/>
                <w:szCs w:val="22"/>
                <w:u w:val="double"/>
              </w:rPr>
            </w:pPr>
            <w:r>
              <w:rPr>
                <w:color w:val="000000"/>
                <w:sz w:val="22"/>
                <w:szCs w:val="22"/>
                <w:u w:val="double"/>
              </w:rPr>
              <w:t>($8,387)</w:t>
            </w:r>
          </w:p>
        </w:tc>
        <w:tc>
          <w:tcPr>
            <w:tcW w:w="266" w:type="dxa"/>
            <w:tcBorders>
              <w:top w:val="nil"/>
              <w:left w:val="nil"/>
              <w:bottom w:val="nil"/>
              <w:right w:val="single" w:sz="4" w:space="0" w:color="auto"/>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r>
      <w:tr w:rsidR="00DB5FBC" w:rsidTr="00CB4281">
        <w:trPr>
          <w:trHeight w:val="300"/>
          <w:jc w:val="center"/>
        </w:trPr>
        <w:tc>
          <w:tcPr>
            <w:tcW w:w="266" w:type="dxa"/>
            <w:tcBorders>
              <w:top w:val="nil"/>
              <w:left w:val="single" w:sz="4" w:space="0" w:color="auto"/>
              <w:bottom w:val="nil"/>
              <w:right w:val="nil"/>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Proposed Rate Reduction %</w:t>
            </w:r>
          </w:p>
        </w:tc>
        <w:tc>
          <w:tcPr>
            <w:tcW w:w="1188" w:type="dxa"/>
            <w:tcBorders>
              <w:top w:val="nil"/>
              <w:left w:val="nil"/>
              <w:bottom w:val="nil"/>
              <w:right w:val="nil"/>
            </w:tcBorders>
            <w:shd w:val="clear" w:color="000000" w:fill="FFFFFF"/>
            <w:noWrap/>
            <w:vAlign w:val="bottom"/>
            <w:hideMark/>
          </w:tcPr>
          <w:p w:rsidR="00DB5FBC" w:rsidRDefault="00DB5FBC" w:rsidP="00CB4281">
            <w:pPr>
              <w:jc w:val="right"/>
              <w:rPr>
                <w:color w:val="000000"/>
                <w:sz w:val="22"/>
                <w:szCs w:val="22"/>
                <w:u w:val="double"/>
              </w:rPr>
            </w:pPr>
            <w:r>
              <w:rPr>
                <w:color w:val="000000"/>
                <w:sz w:val="22"/>
                <w:szCs w:val="22"/>
                <w:u w:val="double"/>
              </w:rPr>
              <w:t>(21.47%)</w:t>
            </w:r>
          </w:p>
        </w:tc>
        <w:tc>
          <w:tcPr>
            <w:tcW w:w="1255" w:type="dxa"/>
            <w:tcBorders>
              <w:top w:val="nil"/>
              <w:left w:val="nil"/>
              <w:bottom w:val="nil"/>
              <w:right w:val="nil"/>
            </w:tcBorders>
            <w:shd w:val="clear" w:color="000000" w:fill="FFFFFF"/>
            <w:noWrap/>
            <w:vAlign w:val="bottom"/>
            <w:hideMark/>
          </w:tcPr>
          <w:p w:rsidR="00DB5FBC" w:rsidRDefault="00DB5FBC" w:rsidP="00CB4281">
            <w:pPr>
              <w:jc w:val="right"/>
              <w:rPr>
                <w:color w:val="000000"/>
                <w:sz w:val="22"/>
                <w:szCs w:val="22"/>
                <w:u w:val="double"/>
              </w:rPr>
            </w:pPr>
            <w:r>
              <w:rPr>
                <w:color w:val="000000"/>
                <w:sz w:val="22"/>
                <w:szCs w:val="22"/>
                <w:u w:val="double"/>
              </w:rPr>
              <w:t>(0.73%)</w:t>
            </w:r>
          </w:p>
        </w:tc>
        <w:tc>
          <w:tcPr>
            <w:tcW w:w="266" w:type="dxa"/>
            <w:tcBorders>
              <w:top w:val="nil"/>
              <w:left w:val="nil"/>
              <w:bottom w:val="nil"/>
              <w:right w:val="single" w:sz="4" w:space="0" w:color="auto"/>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r>
      <w:tr w:rsidR="00DB5FBC" w:rsidTr="00CB4281">
        <w:trPr>
          <w:trHeight w:val="300"/>
          <w:jc w:val="center"/>
        </w:trPr>
        <w:tc>
          <w:tcPr>
            <w:tcW w:w="266" w:type="dxa"/>
            <w:tcBorders>
              <w:top w:val="nil"/>
              <w:left w:val="single" w:sz="4" w:space="0" w:color="auto"/>
              <w:bottom w:val="nil"/>
              <w:right w:val="nil"/>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 </w:t>
            </w:r>
          </w:p>
        </w:tc>
        <w:tc>
          <w:tcPr>
            <w:tcW w:w="1188" w:type="dxa"/>
            <w:tcBorders>
              <w:top w:val="nil"/>
              <w:left w:val="nil"/>
              <w:bottom w:val="nil"/>
              <w:right w:val="nil"/>
            </w:tcBorders>
            <w:shd w:val="clear" w:color="000000" w:fill="FFFFFF"/>
            <w:noWrap/>
            <w:vAlign w:val="bottom"/>
            <w:hideMark/>
          </w:tcPr>
          <w:p w:rsidR="00DB5FBC" w:rsidRDefault="00DB5FBC" w:rsidP="00CB4281">
            <w:pPr>
              <w:jc w:val="right"/>
              <w:rPr>
                <w:color w:val="000000"/>
                <w:sz w:val="22"/>
                <w:szCs w:val="22"/>
              </w:rPr>
            </w:pPr>
            <w:r>
              <w:rPr>
                <w:color w:val="000000"/>
                <w:sz w:val="22"/>
                <w:szCs w:val="22"/>
              </w:rPr>
              <w:t> </w:t>
            </w:r>
          </w:p>
        </w:tc>
        <w:tc>
          <w:tcPr>
            <w:tcW w:w="1255" w:type="dxa"/>
            <w:tcBorders>
              <w:top w:val="nil"/>
              <w:left w:val="nil"/>
              <w:bottom w:val="nil"/>
              <w:right w:val="nil"/>
            </w:tcBorders>
            <w:shd w:val="clear" w:color="000000" w:fill="FFFFFF"/>
            <w:noWrap/>
            <w:vAlign w:val="bottom"/>
            <w:hideMark/>
          </w:tcPr>
          <w:p w:rsidR="00DB5FBC" w:rsidRDefault="00DB5FBC" w:rsidP="00CB4281">
            <w:pPr>
              <w:jc w:val="right"/>
              <w:rPr>
                <w:color w:val="000000"/>
                <w:sz w:val="22"/>
                <w:szCs w:val="22"/>
              </w:rPr>
            </w:pPr>
            <w:r>
              <w:rPr>
                <w:color w:val="000000"/>
                <w:sz w:val="22"/>
                <w:szCs w:val="22"/>
              </w:rPr>
              <w:t> </w:t>
            </w:r>
          </w:p>
        </w:tc>
        <w:tc>
          <w:tcPr>
            <w:tcW w:w="266" w:type="dxa"/>
            <w:tcBorders>
              <w:top w:val="nil"/>
              <w:left w:val="nil"/>
              <w:bottom w:val="nil"/>
              <w:right w:val="single" w:sz="4" w:space="0" w:color="auto"/>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r>
      <w:tr w:rsidR="00DB5FBC" w:rsidTr="00CB4281">
        <w:trPr>
          <w:trHeight w:val="300"/>
          <w:jc w:val="center"/>
        </w:trPr>
        <w:tc>
          <w:tcPr>
            <w:tcW w:w="266" w:type="dxa"/>
            <w:tcBorders>
              <w:top w:val="nil"/>
              <w:left w:val="single" w:sz="4" w:space="0" w:color="auto"/>
              <w:bottom w:val="nil"/>
              <w:right w:val="nil"/>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Proposed Refund</w:t>
            </w:r>
          </w:p>
        </w:tc>
        <w:tc>
          <w:tcPr>
            <w:tcW w:w="1188" w:type="dxa"/>
            <w:tcBorders>
              <w:top w:val="nil"/>
              <w:left w:val="nil"/>
              <w:bottom w:val="nil"/>
              <w:right w:val="nil"/>
            </w:tcBorders>
            <w:shd w:val="clear" w:color="000000" w:fill="FFFFFF"/>
            <w:noWrap/>
            <w:vAlign w:val="bottom"/>
            <w:hideMark/>
          </w:tcPr>
          <w:p w:rsidR="00DB5FBC" w:rsidRDefault="00DB5FBC" w:rsidP="00CB4281">
            <w:pPr>
              <w:jc w:val="right"/>
              <w:rPr>
                <w:color w:val="000000"/>
                <w:sz w:val="22"/>
                <w:szCs w:val="22"/>
                <w:u w:val="double"/>
              </w:rPr>
            </w:pPr>
            <w:r>
              <w:rPr>
                <w:color w:val="000000"/>
                <w:sz w:val="22"/>
                <w:szCs w:val="22"/>
                <w:u w:val="double"/>
              </w:rPr>
              <w:t>$233,076</w:t>
            </w:r>
          </w:p>
        </w:tc>
        <w:tc>
          <w:tcPr>
            <w:tcW w:w="1255" w:type="dxa"/>
            <w:tcBorders>
              <w:top w:val="nil"/>
              <w:left w:val="nil"/>
              <w:bottom w:val="nil"/>
              <w:right w:val="nil"/>
            </w:tcBorders>
            <w:shd w:val="clear" w:color="000000" w:fill="FFFFFF"/>
            <w:noWrap/>
            <w:vAlign w:val="bottom"/>
            <w:hideMark/>
          </w:tcPr>
          <w:p w:rsidR="00DB5FBC" w:rsidRDefault="00DB5FBC" w:rsidP="00CB4281">
            <w:pPr>
              <w:jc w:val="right"/>
              <w:rPr>
                <w:color w:val="000000"/>
                <w:sz w:val="22"/>
                <w:szCs w:val="22"/>
                <w:u w:val="double"/>
              </w:rPr>
            </w:pPr>
            <w:r>
              <w:rPr>
                <w:color w:val="000000"/>
                <w:sz w:val="22"/>
                <w:szCs w:val="22"/>
                <w:u w:val="double"/>
              </w:rPr>
              <w:t>$8,387</w:t>
            </w:r>
          </w:p>
        </w:tc>
        <w:tc>
          <w:tcPr>
            <w:tcW w:w="266" w:type="dxa"/>
            <w:tcBorders>
              <w:top w:val="nil"/>
              <w:left w:val="nil"/>
              <w:bottom w:val="nil"/>
              <w:right w:val="single" w:sz="4" w:space="0" w:color="auto"/>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r>
      <w:tr w:rsidR="00DB5FBC" w:rsidTr="00CB4281">
        <w:trPr>
          <w:trHeight w:val="180"/>
          <w:jc w:val="center"/>
        </w:trPr>
        <w:tc>
          <w:tcPr>
            <w:tcW w:w="266" w:type="dxa"/>
            <w:tcBorders>
              <w:top w:val="nil"/>
              <w:left w:val="single" w:sz="4" w:space="0" w:color="auto"/>
              <w:bottom w:val="single" w:sz="4" w:space="0" w:color="auto"/>
              <w:right w:val="nil"/>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single" w:sz="4" w:space="0" w:color="auto"/>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 </w:t>
            </w:r>
          </w:p>
        </w:tc>
        <w:tc>
          <w:tcPr>
            <w:tcW w:w="1188" w:type="dxa"/>
            <w:tcBorders>
              <w:top w:val="nil"/>
              <w:left w:val="nil"/>
              <w:bottom w:val="single" w:sz="4" w:space="0" w:color="auto"/>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 </w:t>
            </w:r>
          </w:p>
        </w:tc>
        <w:tc>
          <w:tcPr>
            <w:tcW w:w="1255" w:type="dxa"/>
            <w:tcBorders>
              <w:top w:val="nil"/>
              <w:left w:val="nil"/>
              <w:bottom w:val="single" w:sz="4" w:space="0" w:color="auto"/>
              <w:right w:val="nil"/>
            </w:tcBorders>
            <w:shd w:val="clear" w:color="000000" w:fill="FFFFFF"/>
            <w:noWrap/>
            <w:vAlign w:val="bottom"/>
            <w:hideMark/>
          </w:tcPr>
          <w:p w:rsidR="00DB5FBC" w:rsidRDefault="00DB5FBC" w:rsidP="00CB4281">
            <w:pPr>
              <w:rPr>
                <w:color w:val="000000"/>
                <w:sz w:val="22"/>
                <w:szCs w:val="22"/>
              </w:rPr>
            </w:pPr>
            <w:r>
              <w:rPr>
                <w:color w:val="000000"/>
                <w:sz w:val="22"/>
                <w:szCs w:val="22"/>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DB5FBC" w:rsidRDefault="00DB5FBC" w:rsidP="00CB4281">
            <w:pPr>
              <w:rPr>
                <w:rFonts w:ascii="Calibri" w:hAnsi="Calibri"/>
                <w:color w:val="000000"/>
                <w:sz w:val="22"/>
                <w:szCs w:val="22"/>
              </w:rPr>
            </w:pPr>
            <w:r>
              <w:rPr>
                <w:rFonts w:ascii="Calibri" w:hAnsi="Calibri"/>
                <w:color w:val="000000"/>
                <w:sz w:val="22"/>
                <w:szCs w:val="22"/>
              </w:rPr>
              <w:t> </w:t>
            </w:r>
          </w:p>
        </w:tc>
      </w:tr>
    </w:tbl>
    <w:p w:rsidR="00DB5FBC" w:rsidRDefault="00DB5FBC" w:rsidP="00DB5FBC">
      <w:pPr>
        <w:pStyle w:val="BodyText"/>
        <w:spacing w:after="0"/>
        <w:jc w:val="center"/>
      </w:pPr>
    </w:p>
    <w:p w:rsidR="00536E5F" w:rsidRDefault="00DB5FBC" w:rsidP="005F693D">
      <w:pPr>
        <w:pStyle w:val="BodyText"/>
        <w:jc w:val="both"/>
      </w:pPr>
      <w:r>
        <w:t xml:space="preserve">Since the Utility’s last rate case, the Utility has experienced significant customer growth which </w:t>
      </w:r>
      <w:r w:rsidR="005F693D">
        <w:t>appears to have</w:t>
      </w:r>
      <w:r>
        <w:t xml:space="preserve"> contributed to the overearnings.  </w:t>
      </w:r>
      <w:r w:rsidR="00536E5F">
        <w:t>We find</w:t>
      </w:r>
      <w:r w:rsidRPr="00A83DCB">
        <w:t xml:space="preserve"> that Southlake’s proposed settlement</w:t>
      </w:r>
      <w:r w:rsidR="00277D1C">
        <w:t xml:space="preserve">, attached to this Order as Attachment A, </w:t>
      </w:r>
      <w:r w:rsidRPr="00A83DCB">
        <w:t xml:space="preserve">is a reasonable resolution because it will address the possible overearnings on a prospective basis. </w:t>
      </w:r>
      <w:r>
        <w:t xml:space="preserve"> </w:t>
      </w:r>
      <w:r w:rsidRPr="00A83DCB">
        <w:t xml:space="preserve">Further, </w:t>
      </w:r>
      <w:r w:rsidR="00536E5F">
        <w:t xml:space="preserve">we find </w:t>
      </w:r>
      <w:r w:rsidRPr="00A83DCB">
        <w:t xml:space="preserve">that it is in the public interest for </w:t>
      </w:r>
      <w:r w:rsidR="00536E5F">
        <w:t xml:space="preserve">us </w:t>
      </w:r>
      <w:r w:rsidRPr="00A83DCB">
        <w:t xml:space="preserve">to approve the settlement proposal because this settlement offer promotes administrative efficiency, avoiding the time and expense of a formal earnings investigation. </w:t>
      </w:r>
      <w:r w:rsidR="005F693D">
        <w:t xml:space="preserve"> </w:t>
      </w:r>
      <w:r w:rsidRPr="00A83DCB">
        <w:t xml:space="preserve">In keeping with </w:t>
      </w:r>
      <w:r w:rsidR="00536E5F">
        <w:lastRenderedPageBreak/>
        <w:t>our</w:t>
      </w:r>
      <w:r w:rsidRPr="00A83DCB">
        <w:t xml:space="preserve"> long-standing practice of encouraging parties to settle contested </w:t>
      </w:r>
      <w:r w:rsidRPr="00461CA4">
        <w:t>proceedings,</w:t>
      </w:r>
      <w:r w:rsidRPr="00461CA4">
        <w:rPr>
          <w:rStyle w:val="FootnoteReference"/>
        </w:rPr>
        <w:footnoteReference w:id="3"/>
      </w:r>
      <w:r w:rsidRPr="00461CA4">
        <w:t xml:space="preserve"> the settlement proposal</w:t>
      </w:r>
      <w:r w:rsidR="00536E5F">
        <w:t xml:space="preserve"> shall be approved</w:t>
      </w:r>
      <w:r w:rsidRPr="00461CA4">
        <w:t>.</w:t>
      </w:r>
      <w:r>
        <w:t xml:space="preserve">  </w:t>
      </w:r>
    </w:p>
    <w:p w:rsidR="00DB5FBC" w:rsidRPr="00A83DCB" w:rsidRDefault="00DB5FBC" w:rsidP="00536E5F">
      <w:pPr>
        <w:pStyle w:val="Default"/>
        <w:spacing w:after="240"/>
        <w:ind w:firstLine="720"/>
        <w:jc w:val="both"/>
      </w:pPr>
      <w:r w:rsidRPr="00461CA4">
        <w:t>Schedule No</w:t>
      </w:r>
      <w:r>
        <w:t>s</w:t>
      </w:r>
      <w:r w:rsidRPr="00461CA4">
        <w:t>. 1</w:t>
      </w:r>
      <w:r>
        <w:t>-A and 1-B reflect</w:t>
      </w:r>
      <w:r w:rsidRPr="00461CA4">
        <w:t xml:space="preserve"> the </w:t>
      </w:r>
      <w:proofErr w:type="gramStart"/>
      <w:r w:rsidRPr="00461CA4">
        <w:t xml:space="preserve">Utility’s </w:t>
      </w:r>
      <w:r>
        <w:t>existing</w:t>
      </w:r>
      <w:proofErr w:type="gramEnd"/>
      <w:r w:rsidRPr="00461CA4">
        <w:t xml:space="preserve"> rates and </w:t>
      </w:r>
      <w:r w:rsidR="00536E5F">
        <w:t xml:space="preserve">the </w:t>
      </w:r>
      <w:r w:rsidRPr="00461CA4">
        <w:t>rates per th</w:t>
      </w:r>
      <w:r>
        <w:t xml:space="preserve">e Utility's settlement proposal. </w:t>
      </w:r>
      <w:r w:rsidR="005F693D">
        <w:t xml:space="preserve"> Commission s</w:t>
      </w:r>
      <w:r w:rsidRPr="00A83DCB">
        <w:t xml:space="preserve">taff </w:t>
      </w:r>
      <w:r w:rsidR="00536E5F">
        <w:t>shall</w:t>
      </w:r>
      <w:r w:rsidRPr="00A83DCB">
        <w:t xml:space="preserve"> continue to monitor the earnings of the Utility, and if any subsequent overearnings are identified, staff may open a formal earnings investigation. </w:t>
      </w:r>
      <w:r w:rsidR="00536E5F">
        <w:t xml:space="preserve"> </w:t>
      </w:r>
    </w:p>
    <w:p w:rsidR="00DB5FBC" w:rsidRPr="00A83DCB" w:rsidRDefault="00277D1C" w:rsidP="00DB5FBC">
      <w:pPr>
        <w:pStyle w:val="Default"/>
        <w:spacing w:after="240"/>
        <w:ind w:firstLine="720"/>
        <w:jc w:val="both"/>
      </w:pPr>
      <w:r>
        <w:t>W</w:t>
      </w:r>
      <w:r w:rsidR="00DB5FBC" w:rsidRPr="00A83DCB">
        <w:t xml:space="preserve">ithin 15 days of </w:t>
      </w:r>
      <w:r>
        <w:t>our</w:t>
      </w:r>
      <w:r w:rsidR="00DB5FBC" w:rsidRPr="00A83DCB">
        <w:t xml:space="preserve"> vote, the Utility sh</w:t>
      </w:r>
      <w:r>
        <w:t>all</w:t>
      </w:r>
      <w:r w:rsidR="00DB5FBC" w:rsidRPr="00A83DCB">
        <w:t xml:space="preserve"> file a proposed customer notice and revised tariff sheets which are consistent with </w:t>
      </w:r>
      <w:r>
        <w:t>our</w:t>
      </w:r>
      <w:r w:rsidR="00DB5FBC" w:rsidRPr="00A83DCB">
        <w:t xml:space="preserve"> decision.  The approved rates </w:t>
      </w:r>
      <w:r>
        <w:t>shall</w:t>
      </w:r>
      <w:r w:rsidR="00DB5FBC" w:rsidRPr="00A83DCB">
        <w:t xml:space="preserve"> be effective for service rendered on or after the stamped approval date of the tariff, pursuant to Rule 25-30.475(1), F.A.C., after staff has verified that the proposed customer notice is adequate and the notice has been provided to the customers.  Southlake </w:t>
      </w:r>
      <w:r>
        <w:t>shall</w:t>
      </w:r>
      <w:r w:rsidR="00DB5FBC" w:rsidRPr="00A83DCB">
        <w:t xml:space="preserve"> provide proof that the customers have received notice within 10 days after the date of the notice.</w:t>
      </w:r>
    </w:p>
    <w:p w:rsidR="00DB5FBC" w:rsidRDefault="00DB5FBC" w:rsidP="00DB5FBC">
      <w:pPr>
        <w:pStyle w:val="OrderBody"/>
      </w:pPr>
      <w:r>
        <w:tab/>
        <w:t>Based on the foregoing, it is</w:t>
      </w:r>
    </w:p>
    <w:p w:rsidR="00DB5FBC" w:rsidRDefault="00DB5FBC" w:rsidP="00DB5FBC">
      <w:pPr>
        <w:pStyle w:val="OrderBody"/>
      </w:pPr>
    </w:p>
    <w:p w:rsidR="00DB5FBC" w:rsidRDefault="00DB5FBC" w:rsidP="00DB5FBC">
      <w:pPr>
        <w:pStyle w:val="OrderBody"/>
      </w:pPr>
      <w:r>
        <w:tab/>
      </w:r>
      <w:proofErr w:type="gramStart"/>
      <w:r>
        <w:t xml:space="preserve">ORDERED by the Florida Public Service Commission </w:t>
      </w:r>
      <w:r w:rsidR="00252A52">
        <w:t xml:space="preserve">that the </w:t>
      </w:r>
      <w:r w:rsidR="00252A52" w:rsidRPr="00252A52">
        <w:t>settlement proposa</w:t>
      </w:r>
      <w:r w:rsidR="00F86FA0">
        <w:t>l for possible overearnings by S</w:t>
      </w:r>
      <w:r w:rsidR="00252A52" w:rsidRPr="00252A52">
        <w:t xml:space="preserve">outhlake Utilities, Inc. </w:t>
      </w:r>
      <w:r w:rsidR="00252A52">
        <w:t>is hereby approved.</w:t>
      </w:r>
      <w:proofErr w:type="gramEnd"/>
    </w:p>
    <w:p w:rsidR="00DB5FBC" w:rsidRDefault="00DB5FBC" w:rsidP="00DB5FBC">
      <w:pPr>
        <w:pStyle w:val="OrderBody"/>
      </w:pPr>
    </w:p>
    <w:p w:rsidR="00DB5FBC" w:rsidRDefault="00DB5FBC" w:rsidP="00DB5FB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B5FBC" w:rsidRDefault="00DB5FBC" w:rsidP="00DB5FBC">
      <w:pPr>
        <w:pStyle w:val="OrderBody"/>
      </w:pPr>
    </w:p>
    <w:p w:rsidR="00DB5FBC" w:rsidRDefault="00DB5FBC" w:rsidP="00DB5FBC">
      <w:pPr>
        <w:pStyle w:val="OrderBody"/>
      </w:pPr>
      <w:r>
        <w:tab/>
      </w:r>
      <w:proofErr w:type="gramStart"/>
      <w:r>
        <w:t xml:space="preserve">ORDERED that </w:t>
      </w:r>
      <w:r w:rsidR="005F693D">
        <w:t>this docket shall remain open to allow staff to verify that the revised tariff sheets and customer notice have been filed by the Utility and approved by staff.</w:t>
      </w:r>
      <w:proofErr w:type="gramEnd"/>
      <w:r w:rsidR="005F693D">
        <w:t xml:space="preserve"> Once staff has verified that the refunds have been made in accordance with Rule 25-30.360, F.A.C., the docket shall be closed administratively.</w:t>
      </w:r>
    </w:p>
    <w:p w:rsidR="00DB5FBC" w:rsidRDefault="00DB5FBC" w:rsidP="00DB5FBC">
      <w:pPr>
        <w:pStyle w:val="OrderBody"/>
      </w:pPr>
    </w:p>
    <w:p w:rsidR="00DB5FBC" w:rsidRDefault="00DB5FBC" w:rsidP="00DB5FBC">
      <w:pPr>
        <w:pStyle w:val="OrderBody"/>
        <w:keepNext/>
        <w:keepLines/>
      </w:pPr>
      <w:r>
        <w:lastRenderedPageBreak/>
        <w:tab/>
        <w:t xml:space="preserve">By ORDER of the Florida Public Service Commission this </w:t>
      </w:r>
      <w:bookmarkStart w:id="6" w:name="replaceDate"/>
      <w:bookmarkEnd w:id="6"/>
      <w:r w:rsidR="00DF4AA8">
        <w:rPr>
          <w:u w:val="single"/>
        </w:rPr>
        <w:t>5th</w:t>
      </w:r>
      <w:r w:rsidR="00DF4AA8">
        <w:t xml:space="preserve"> day of </w:t>
      </w:r>
      <w:r w:rsidR="00DF4AA8">
        <w:rPr>
          <w:u w:val="single"/>
        </w:rPr>
        <w:t>May</w:t>
      </w:r>
      <w:r w:rsidR="00DF4AA8">
        <w:t xml:space="preserve">, </w:t>
      </w:r>
      <w:r w:rsidR="00DF4AA8">
        <w:rPr>
          <w:u w:val="single"/>
        </w:rPr>
        <w:t>2015</w:t>
      </w:r>
      <w:r w:rsidR="00DF4AA8">
        <w:t>.</w:t>
      </w:r>
    </w:p>
    <w:p w:rsidR="00DF4AA8" w:rsidRPr="00DF4AA8" w:rsidRDefault="00DF4AA8" w:rsidP="00DB5FBC">
      <w:pPr>
        <w:pStyle w:val="OrderBody"/>
        <w:keepNext/>
        <w:keepLines/>
      </w:pPr>
    </w:p>
    <w:p w:rsidR="00DB5FBC" w:rsidRDefault="00DB5FBC" w:rsidP="00DB5FBC">
      <w:pPr>
        <w:pStyle w:val="OrderBody"/>
        <w:keepNext/>
        <w:keepLines/>
      </w:pPr>
    </w:p>
    <w:p w:rsidR="00DB5FBC" w:rsidRDefault="00DB5FBC" w:rsidP="00DB5FB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B5FBC" w:rsidTr="00DB5FBC">
        <w:tc>
          <w:tcPr>
            <w:tcW w:w="720" w:type="dxa"/>
            <w:shd w:val="clear" w:color="auto" w:fill="auto"/>
          </w:tcPr>
          <w:p w:rsidR="00DB5FBC" w:rsidRDefault="00DB5FBC" w:rsidP="00DB5FBC">
            <w:pPr>
              <w:pStyle w:val="OrderBody"/>
              <w:keepNext/>
              <w:keepLines/>
            </w:pPr>
            <w:bookmarkStart w:id="7" w:name="bkmrkSignature" w:colFirst="0" w:colLast="0"/>
          </w:p>
        </w:tc>
        <w:tc>
          <w:tcPr>
            <w:tcW w:w="4320" w:type="dxa"/>
            <w:tcBorders>
              <w:bottom w:val="single" w:sz="4" w:space="0" w:color="auto"/>
            </w:tcBorders>
            <w:shd w:val="clear" w:color="auto" w:fill="auto"/>
          </w:tcPr>
          <w:p w:rsidR="00DB5FBC" w:rsidRDefault="007D485C" w:rsidP="00DB5FBC">
            <w:pPr>
              <w:pStyle w:val="OrderBody"/>
              <w:keepNext/>
              <w:keepLines/>
            </w:pPr>
            <w:r>
              <w:t>/s/ Carlotta S. Stauffer</w:t>
            </w:r>
          </w:p>
        </w:tc>
      </w:tr>
      <w:bookmarkEnd w:id="7"/>
      <w:tr w:rsidR="00DB5FBC" w:rsidTr="00DB5FBC">
        <w:tc>
          <w:tcPr>
            <w:tcW w:w="720" w:type="dxa"/>
            <w:shd w:val="clear" w:color="auto" w:fill="auto"/>
          </w:tcPr>
          <w:p w:rsidR="00DB5FBC" w:rsidRDefault="00DB5FBC" w:rsidP="00DB5FBC">
            <w:pPr>
              <w:pStyle w:val="OrderBody"/>
              <w:keepNext/>
              <w:keepLines/>
            </w:pPr>
          </w:p>
        </w:tc>
        <w:tc>
          <w:tcPr>
            <w:tcW w:w="4320" w:type="dxa"/>
            <w:tcBorders>
              <w:top w:val="single" w:sz="4" w:space="0" w:color="auto"/>
            </w:tcBorders>
            <w:shd w:val="clear" w:color="auto" w:fill="auto"/>
          </w:tcPr>
          <w:p w:rsidR="00DB5FBC" w:rsidRDefault="00DB5FBC" w:rsidP="00DB5FBC">
            <w:pPr>
              <w:pStyle w:val="OrderBody"/>
              <w:keepNext/>
              <w:keepLines/>
            </w:pPr>
            <w:r>
              <w:t>CARLOTTA S. STAUFFER</w:t>
            </w:r>
          </w:p>
          <w:p w:rsidR="00DB5FBC" w:rsidRDefault="00DB5FBC" w:rsidP="00DB5FBC">
            <w:pPr>
              <w:pStyle w:val="OrderBody"/>
              <w:keepNext/>
              <w:keepLines/>
            </w:pPr>
            <w:r>
              <w:t>Commission Clerk</w:t>
            </w:r>
          </w:p>
        </w:tc>
      </w:tr>
    </w:tbl>
    <w:p w:rsidR="00DB5FBC" w:rsidRDefault="00DB5FBC" w:rsidP="00DB5FBC">
      <w:pPr>
        <w:pStyle w:val="OrderSigInfo"/>
        <w:keepNext/>
        <w:keepLines/>
      </w:pPr>
      <w:r>
        <w:t>Florida Public Service Commission</w:t>
      </w:r>
    </w:p>
    <w:p w:rsidR="00DB5FBC" w:rsidRDefault="00DB5FBC" w:rsidP="00DB5FBC">
      <w:pPr>
        <w:pStyle w:val="OrderSigInfo"/>
        <w:keepNext/>
        <w:keepLines/>
      </w:pPr>
      <w:r>
        <w:t>2540 Shumard Oak Boulevard</w:t>
      </w:r>
    </w:p>
    <w:p w:rsidR="00DB5FBC" w:rsidRDefault="00DB5FBC" w:rsidP="00DB5FBC">
      <w:pPr>
        <w:pStyle w:val="OrderSigInfo"/>
        <w:keepNext/>
        <w:keepLines/>
      </w:pPr>
      <w:r>
        <w:t>Tallahassee, Florida  32399</w:t>
      </w:r>
    </w:p>
    <w:p w:rsidR="00DB5FBC" w:rsidRDefault="00DB5FBC" w:rsidP="00DB5FBC">
      <w:pPr>
        <w:pStyle w:val="OrderSigInfo"/>
        <w:keepNext/>
        <w:keepLines/>
      </w:pPr>
      <w:r>
        <w:t>(850) 413</w:t>
      </w:r>
      <w:r>
        <w:noBreakHyphen/>
        <w:t>6770</w:t>
      </w:r>
    </w:p>
    <w:p w:rsidR="00DB5FBC" w:rsidRDefault="00DB5FBC" w:rsidP="00DB5FBC">
      <w:pPr>
        <w:pStyle w:val="OrderSigInfo"/>
        <w:keepNext/>
        <w:keepLines/>
      </w:pPr>
      <w:r>
        <w:t>www.floridapsc.com</w:t>
      </w:r>
    </w:p>
    <w:p w:rsidR="00DB5FBC" w:rsidRDefault="00DB5FBC" w:rsidP="00DB5FBC">
      <w:pPr>
        <w:pStyle w:val="OrderSigInfo"/>
        <w:keepNext/>
        <w:keepLines/>
      </w:pPr>
    </w:p>
    <w:p w:rsidR="00DB5FBC" w:rsidRDefault="00DB5FBC" w:rsidP="00DB5FBC">
      <w:pPr>
        <w:pStyle w:val="OrderSigInfo"/>
        <w:keepNext/>
        <w:keepLines/>
      </w:pPr>
      <w:r>
        <w:t>Copies furnis</w:t>
      </w:r>
      <w:bookmarkStart w:id="8" w:name="_GoBack"/>
      <w:bookmarkEnd w:id="8"/>
      <w:r>
        <w:t>hed:  A copy of this document is provided to the parties of record at the time of issuance and, if applicable, interested persons.</w:t>
      </w:r>
    </w:p>
    <w:p w:rsidR="00DB5FBC" w:rsidRDefault="00DB5FBC" w:rsidP="00DB5FBC">
      <w:pPr>
        <w:pStyle w:val="OrderBody"/>
        <w:keepNext/>
        <w:keepLines/>
      </w:pPr>
    </w:p>
    <w:p w:rsidR="00DB5FBC" w:rsidRDefault="00DB5FBC" w:rsidP="00DB5FBC">
      <w:pPr>
        <w:pStyle w:val="OrderBody"/>
        <w:keepNext/>
        <w:keepLines/>
      </w:pPr>
    </w:p>
    <w:p w:rsidR="00DB5FBC" w:rsidRDefault="00DB5FBC" w:rsidP="00DB5FBC">
      <w:pPr>
        <w:pStyle w:val="OrderBody"/>
        <w:keepNext/>
        <w:keepLines/>
      </w:pPr>
      <w:r>
        <w:t>MFB</w:t>
      </w:r>
    </w:p>
    <w:p w:rsidR="00DB5FBC" w:rsidRDefault="00DB5FBC" w:rsidP="00DB5FBC">
      <w:pPr>
        <w:pStyle w:val="OrderBody"/>
      </w:pPr>
    </w:p>
    <w:p w:rsidR="00DB5FBC" w:rsidRDefault="00DB5FBC" w:rsidP="00DB5FBC">
      <w:pPr>
        <w:pStyle w:val="CenterUnderline"/>
      </w:pPr>
      <w:r>
        <w:t>NOTICE OF FURTHER PROCEEDINGS OR JUDICIAL REVIEW</w:t>
      </w:r>
    </w:p>
    <w:p w:rsidR="00DB5FBC" w:rsidRDefault="00DB5FBC" w:rsidP="00DB5FBC">
      <w:pPr>
        <w:pStyle w:val="CenterUnderline"/>
        <w:rPr>
          <w:u w:val="none"/>
        </w:rPr>
      </w:pPr>
    </w:p>
    <w:p w:rsidR="00DB5FBC" w:rsidRDefault="00DB5FBC" w:rsidP="00DB5FB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B5FBC" w:rsidRDefault="00DB5FBC" w:rsidP="00DB5FBC">
      <w:pPr>
        <w:pStyle w:val="OrderBody"/>
      </w:pPr>
    </w:p>
    <w:p w:rsidR="00DB5FBC" w:rsidRDefault="00DB5FBC" w:rsidP="00DB5FBC">
      <w:pPr>
        <w:pStyle w:val="OrderBody"/>
      </w:pPr>
      <w:r>
        <w:tab/>
        <w:t>Mediation may be available on a case-by-case basis.  If mediation is conducted, it does not affect a substantially interested person's right to a hearing.</w:t>
      </w:r>
    </w:p>
    <w:p w:rsidR="00DB5FBC" w:rsidRDefault="00DB5FBC" w:rsidP="00DB5FBC">
      <w:pPr>
        <w:pStyle w:val="OrderBody"/>
      </w:pPr>
    </w:p>
    <w:p w:rsidR="00DB5FBC" w:rsidRDefault="00DB5FBC" w:rsidP="00DB5FB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F4AA8">
        <w:rPr>
          <w:u w:val="single"/>
        </w:rPr>
        <w:t>May 26, 2015</w:t>
      </w:r>
      <w:r>
        <w:t>.</w:t>
      </w:r>
    </w:p>
    <w:p w:rsidR="00DB5FBC" w:rsidRDefault="00DB5FBC" w:rsidP="00DB5FBC">
      <w:pPr>
        <w:pStyle w:val="OrderBody"/>
      </w:pPr>
    </w:p>
    <w:p w:rsidR="00DB5FBC" w:rsidRDefault="00DB5FBC" w:rsidP="00DB5FBC">
      <w:pPr>
        <w:pStyle w:val="OrderBody"/>
      </w:pPr>
      <w:r>
        <w:tab/>
        <w:t>In the absence of such a petition, this order shall become final and effective upon the issuance of a Consummating Order.</w:t>
      </w:r>
    </w:p>
    <w:p w:rsidR="00DB5FBC" w:rsidRDefault="00DB5FBC" w:rsidP="00DB5FBC">
      <w:pPr>
        <w:pStyle w:val="OrderBody"/>
      </w:pPr>
    </w:p>
    <w:p w:rsidR="00CE47F1" w:rsidRDefault="00DB5FBC" w:rsidP="00DB5FBC">
      <w:pPr>
        <w:pStyle w:val="OrderBody"/>
      </w:pPr>
      <w:r>
        <w:tab/>
        <w:t>Any objection or protest filed in this/these docket(s) before the issuance date of this order is considered abandoned unless it satisfies the foregoing conditions and is renewed within the specified protest period.</w:t>
      </w:r>
    </w:p>
    <w:p w:rsidR="00CE47F1" w:rsidRDefault="00CE47F1" w:rsidP="00DB5FBC">
      <w:pPr>
        <w:pStyle w:val="OrderBody"/>
        <w:sectPr w:rsidR="00CE47F1">
          <w:headerReference w:type="default" r:id="rId8"/>
          <w:footerReference w:type="first" r:id="rId9"/>
          <w:pgSz w:w="12240" w:h="15840" w:code="1"/>
          <w:pgMar w:top="1440" w:right="1440" w:bottom="1440" w:left="1440" w:header="720" w:footer="720" w:gutter="0"/>
          <w:cols w:space="720"/>
          <w:titlePg/>
          <w:docGrid w:linePitch="360"/>
        </w:sectPr>
      </w:pPr>
    </w:p>
    <w:p w:rsidR="00CE47F1" w:rsidRDefault="00CE47F1" w:rsidP="00CE47F1">
      <w:pPr>
        <w:pStyle w:val="OrderBody"/>
        <w:sectPr w:rsidR="00CE47F1" w:rsidSect="00CE47F1">
          <w:headerReference w:type="default" r:id="rId10"/>
          <w:headerReference w:type="first" r:id="rId11"/>
          <w:pgSz w:w="12240" w:h="15840" w:code="1"/>
          <w:pgMar w:top="1440" w:right="1440" w:bottom="1440" w:left="1440" w:header="720" w:footer="720" w:gutter="0"/>
          <w:cols w:space="720"/>
          <w:docGrid w:linePitch="360"/>
        </w:sectPr>
      </w:pPr>
      <w:r>
        <w:rPr>
          <w:noProof/>
        </w:rPr>
        <w:lastRenderedPageBreak/>
        <w:drawing>
          <wp:inline distT="0" distB="0" distL="0" distR="0" wp14:anchorId="15E73B24" wp14:editId="62D47FE9">
            <wp:extent cx="5648325" cy="775279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9708" cy="7754696"/>
                    </a:xfrm>
                    <a:prstGeom prst="rect">
                      <a:avLst/>
                    </a:prstGeom>
                    <a:noFill/>
                    <a:ln>
                      <a:noFill/>
                    </a:ln>
                  </pic:spPr>
                </pic:pic>
              </a:graphicData>
            </a:graphic>
          </wp:inline>
        </w:drawing>
      </w:r>
    </w:p>
    <w:tbl>
      <w:tblPr>
        <w:tblW w:w="8868" w:type="dxa"/>
        <w:jc w:val="center"/>
        <w:tblInd w:w="93" w:type="dxa"/>
        <w:tblLook w:val="04A0" w:firstRow="1" w:lastRow="0" w:firstColumn="1" w:lastColumn="0" w:noHBand="0" w:noVBand="1"/>
      </w:tblPr>
      <w:tblGrid>
        <w:gridCol w:w="276"/>
        <w:gridCol w:w="5120"/>
        <w:gridCol w:w="1600"/>
        <w:gridCol w:w="1872"/>
      </w:tblGrid>
      <w:tr w:rsidR="00CE47F1" w:rsidTr="00DD1A50">
        <w:trPr>
          <w:trHeight w:val="300"/>
          <w:jc w:val="center"/>
        </w:trPr>
        <w:tc>
          <w:tcPr>
            <w:tcW w:w="276" w:type="dxa"/>
            <w:tcBorders>
              <w:top w:val="single" w:sz="8" w:space="0" w:color="000000"/>
              <w:left w:val="single" w:sz="8" w:space="0" w:color="000000"/>
              <w:bottom w:val="nil"/>
              <w:right w:val="nil"/>
            </w:tcBorders>
            <w:noWrap/>
            <w:vAlign w:val="bottom"/>
            <w:hideMark/>
          </w:tcPr>
          <w:p w:rsidR="00CE47F1" w:rsidRDefault="00CE47F1" w:rsidP="00DD1A50">
            <w:pPr>
              <w:rPr>
                <w:rFonts w:ascii="SWISS" w:hAnsi="SWISS" w:cs="Arial"/>
                <w:sz w:val="20"/>
                <w:szCs w:val="20"/>
              </w:rPr>
            </w:pPr>
            <w:bookmarkStart w:id="10" w:name="RANGE!A1:D40"/>
            <w:r>
              <w:rPr>
                <w:rFonts w:ascii="SWISS" w:hAnsi="SWISS" w:cs="Arial"/>
                <w:sz w:val="20"/>
                <w:szCs w:val="20"/>
              </w:rPr>
              <w:lastRenderedPageBreak/>
              <w:t> </w:t>
            </w:r>
            <w:bookmarkEnd w:id="10"/>
          </w:p>
        </w:tc>
        <w:tc>
          <w:tcPr>
            <w:tcW w:w="5120" w:type="dxa"/>
            <w:tcBorders>
              <w:top w:val="single" w:sz="8" w:space="0" w:color="000000"/>
              <w:left w:val="nil"/>
              <w:bottom w:val="nil"/>
              <w:right w:val="nil"/>
            </w:tcBorders>
            <w:noWrap/>
            <w:vAlign w:val="bottom"/>
            <w:hideMark/>
          </w:tcPr>
          <w:p w:rsidR="00CE47F1" w:rsidRDefault="00CE47F1" w:rsidP="00DD1A50">
            <w:pPr>
              <w:rPr>
                <w:rFonts w:ascii="SWISS" w:hAnsi="SWISS" w:cs="Arial"/>
                <w:b/>
                <w:bCs/>
                <w:sz w:val="20"/>
                <w:szCs w:val="20"/>
              </w:rPr>
            </w:pPr>
            <w:r>
              <w:rPr>
                <w:rFonts w:ascii="SWISS" w:hAnsi="SWISS" w:cs="Arial"/>
                <w:b/>
                <w:bCs/>
                <w:sz w:val="20"/>
                <w:szCs w:val="20"/>
              </w:rPr>
              <w:t>SOUTHLAKE UTILITIES, INC.</w:t>
            </w:r>
          </w:p>
        </w:tc>
        <w:tc>
          <w:tcPr>
            <w:tcW w:w="3472" w:type="dxa"/>
            <w:gridSpan w:val="2"/>
            <w:tcBorders>
              <w:top w:val="single" w:sz="8" w:space="0" w:color="000000"/>
              <w:left w:val="nil"/>
              <w:bottom w:val="nil"/>
              <w:right w:val="single" w:sz="8" w:space="0" w:color="000000"/>
            </w:tcBorders>
            <w:noWrap/>
            <w:vAlign w:val="bottom"/>
            <w:hideMark/>
          </w:tcPr>
          <w:p w:rsidR="00CE47F1" w:rsidRDefault="00CE47F1" w:rsidP="00DD1A50">
            <w:pPr>
              <w:jc w:val="right"/>
              <w:rPr>
                <w:rFonts w:ascii="SWISS" w:hAnsi="SWISS" w:cs="Arial"/>
                <w:b/>
                <w:bCs/>
                <w:sz w:val="20"/>
                <w:szCs w:val="20"/>
              </w:rPr>
            </w:pPr>
            <w:r>
              <w:rPr>
                <w:rFonts w:ascii="SWISS" w:hAnsi="SWISS" w:cs="Arial"/>
                <w:b/>
                <w:bCs/>
                <w:sz w:val="20"/>
                <w:szCs w:val="20"/>
              </w:rPr>
              <w:t> SCHEDULE NO. 1-A</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b/>
                <w:bCs/>
                <w:sz w:val="20"/>
                <w:szCs w:val="20"/>
              </w:rPr>
            </w:pPr>
            <w:r>
              <w:rPr>
                <w:rFonts w:ascii="SWISS" w:hAnsi="SWISS" w:cs="Arial"/>
                <w:b/>
                <w:bCs/>
                <w:sz w:val="20"/>
                <w:szCs w:val="20"/>
              </w:rPr>
              <w:t>TEST YEAR ENDED DECEMBER 31, 2013</w:t>
            </w:r>
          </w:p>
        </w:tc>
        <w:tc>
          <w:tcPr>
            <w:tcW w:w="3472" w:type="dxa"/>
            <w:gridSpan w:val="2"/>
            <w:tcBorders>
              <w:top w:val="nil"/>
              <w:left w:val="nil"/>
              <w:bottom w:val="nil"/>
              <w:right w:val="single" w:sz="8" w:space="0" w:color="000000"/>
            </w:tcBorders>
            <w:noWrap/>
            <w:vAlign w:val="bottom"/>
            <w:hideMark/>
          </w:tcPr>
          <w:p w:rsidR="00CE47F1" w:rsidRDefault="00CE47F1" w:rsidP="00DD1A50">
            <w:pPr>
              <w:jc w:val="right"/>
              <w:rPr>
                <w:rFonts w:ascii="SWISS" w:hAnsi="SWISS" w:cs="Arial"/>
                <w:b/>
                <w:bCs/>
                <w:sz w:val="20"/>
                <w:szCs w:val="20"/>
              </w:rPr>
            </w:pPr>
            <w:r>
              <w:rPr>
                <w:rFonts w:ascii="SWISS" w:hAnsi="SWISS" w:cs="Arial"/>
                <w:b/>
                <w:bCs/>
                <w:sz w:val="20"/>
                <w:szCs w:val="20"/>
              </w:rPr>
              <w:t>DOCKET NO. 150069-WS</w:t>
            </w:r>
          </w:p>
        </w:tc>
      </w:tr>
      <w:tr w:rsidR="00CE47F1" w:rsidTr="00DD1A50">
        <w:trPr>
          <w:trHeight w:val="315"/>
          <w:jc w:val="center"/>
        </w:trPr>
        <w:tc>
          <w:tcPr>
            <w:tcW w:w="276" w:type="dxa"/>
            <w:tcBorders>
              <w:top w:val="nil"/>
              <w:left w:val="single" w:sz="8" w:space="0" w:color="000000"/>
              <w:bottom w:val="single" w:sz="4" w:space="0" w:color="auto"/>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tcBorders>
              <w:bottom w:val="single" w:sz="4" w:space="0" w:color="auto"/>
            </w:tcBorders>
            <w:noWrap/>
            <w:vAlign w:val="bottom"/>
            <w:hideMark/>
          </w:tcPr>
          <w:p w:rsidR="00CE47F1" w:rsidRDefault="00CE47F1" w:rsidP="00DD1A50">
            <w:pPr>
              <w:rPr>
                <w:rFonts w:ascii="SWISS" w:hAnsi="SWISS" w:cs="Arial"/>
                <w:b/>
                <w:bCs/>
                <w:sz w:val="20"/>
                <w:szCs w:val="20"/>
              </w:rPr>
            </w:pPr>
            <w:r>
              <w:rPr>
                <w:rFonts w:ascii="SWISS" w:hAnsi="SWISS" w:cs="Arial"/>
                <w:b/>
                <w:bCs/>
                <w:sz w:val="20"/>
                <w:szCs w:val="20"/>
              </w:rPr>
              <w:t>MONTHLY WATER RATES</w:t>
            </w:r>
          </w:p>
        </w:tc>
        <w:tc>
          <w:tcPr>
            <w:tcW w:w="1600" w:type="dxa"/>
            <w:tcBorders>
              <w:bottom w:val="single" w:sz="4" w:space="0" w:color="auto"/>
            </w:tcBorders>
            <w:noWrap/>
            <w:vAlign w:val="bottom"/>
            <w:hideMark/>
          </w:tcPr>
          <w:p w:rsidR="00CE47F1" w:rsidRDefault="00CE47F1" w:rsidP="00DD1A50">
            <w:pPr>
              <w:rPr>
                <w:sz w:val="20"/>
                <w:szCs w:val="20"/>
              </w:rPr>
            </w:pPr>
          </w:p>
        </w:tc>
        <w:tc>
          <w:tcPr>
            <w:tcW w:w="1872" w:type="dxa"/>
            <w:tcBorders>
              <w:top w:val="nil"/>
              <w:left w:val="nil"/>
              <w:bottom w:val="single" w:sz="4" w:space="0" w:color="auto"/>
              <w:right w:val="single" w:sz="8" w:space="0" w:color="000000"/>
            </w:tcBorders>
            <w:noWrap/>
            <w:vAlign w:val="bottom"/>
            <w:hideMark/>
          </w:tcPr>
          <w:p w:rsidR="00CE47F1" w:rsidRDefault="00CE47F1" w:rsidP="00DD1A50">
            <w:pPr>
              <w:jc w:val="right"/>
              <w:rPr>
                <w:rFonts w:ascii="SWISS" w:hAnsi="SWISS" w:cs="Arial"/>
                <w:b/>
                <w:bCs/>
                <w:sz w:val="20"/>
                <w:szCs w:val="20"/>
              </w:rPr>
            </w:pPr>
            <w:r>
              <w:rPr>
                <w:rFonts w:ascii="SWISS" w:hAnsi="SWISS" w:cs="Arial"/>
                <w:b/>
                <w:bCs/>
                <w:sz w:val="20"/>
                <w:szCs w:val="20"/>
              </w:rPr>
              <w:t> </w:t>
            </w:r>
          </w:p>
        </w:tc>
      </w:tr>
      <w:tr w:rsidR="00CE47F1" w:rsidTr="00DD1A50">
        <w:trPr>
          <w:trHeight w:val="300"/>
          <w:jc w:val="center"/>
        </w:trPr>
        <w:tc>
          <w:tcPr>
            <w:tcW w:w="5396" w:type="dxa"/>
            <w:gridSpan w:val="2"/>
            <w:tcBorders>
              <w:top w:val="single" w:sz="4" w:space="0" w:color="auto"/>
              <w:left w:val="single" w:sz="8" w:space="0" w:color="000000"/>
              <w:bottom w:val="nil"/>
              <w:right w:val="nil"/>
            </w:tcBorders>
            <w:shd w:val="clear" w:color="auto" w:fill="D9D9D9"/>
            <w:noWrap/>
            <w:vAlign w:val="bottom"/>
            <w:hideMark/>
          </w:tcPr>
          <w:p w:rsidR="00CE47F1" w:rsidRDefault="00CE47F1" w:rsidP="00DD1A50">
            <w:pPr>
              <w:jc w:val="center"/>
              <w:rPr>
                <w:rFonts w:ascii="SWISS" w:hAnsi="SWISS" w:cs="Arial"/>
                <w:sz w:val="20"/>
                <w:szCs w:val="20"/>
              </w:rPr>
            </w:pPr>
            <w:r>
              <w:rPr>
                <w:rFonts w:ascii="SWISS" w:hAnsi="SWISS" w:cs="Arial"/>
                <w:sz w:val="20"/>
                <w:szCs w:val="20"/>
              </w:rPr>
              <w:t> </w:t>
            </w:r>
          </w:p>
        </w:tc>
        <w:tc>
          <w:tcPr>
            <w:tcW w:w="1600" w:type="dxa"/>
            <w:tcBorders>
              <w:top w:val="single" w:sz="4" w:space="0" w:color="auto"/>
            </w:tcBorders>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UTILITY</w:t>
            </w:r>
          </w:p>
        </w:tc>
        <w:tc>
          <w:tcPr>
            <w:tcW w:w="1872" w:type="dxa"/>
            <w:tcBorders>
              <w:top w:val="single" w:sz="4" w:space="0" w:color="auto"/>
              <w:left w:val="nil"/>
              <w:bottom w:val="nil"/>
              <w:right w:val="single" w:sz="8" w:space="0" w:color="000000"/>
            </w:tcBorders>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COMMISSION</w:t>
            </w:r>
          </w:p>
        </w:tc>
      </w:tr>
      <w:tr w:rsidR="00CE47F1" w:rsidTr="00DD1A50">
        <w:trPr>
          <w:trHeight w:val="300"/>
          <w:jc w:val="center"/>
        </w:trPr>
        <w:tc>
          <w:tcPr>
            <w:tcW w:w="5396" w:type="dxa"/>
            <w:gridSpan w:val="2"/>
            <w:tcBorders>
              <w:top w:val="nil"/>
              <w:left w:val="single" w:sz="8" w:space="0" w:color="000000"/>
              <w:bottom w:val="nil"/>
              <w:right w:val="nil"/>
            </w:tcBorders>
            <w:shd w:val="clear" w:color="auto" w:fill="D9D9D9"/>
            <w:noWrap/>
            <w:vAlign w:val="bottom"/>
            <w:hideMark/>
          </w:tcPr>
          <w:p w:rsidR="00CE47F1" w:rsidRDefault="00CE47F1" w:rsidP="00DD1A50">
            <w:pPr>
              <w:jc w:val="center"/>
              <w:rPr>
                <w:rFonts w:ascii="SWISS" w:hAnsi="SWISS" w:cs="Arial"/>
                <w:sz w:val="20"/>
                <w:szCs w:val="20"/>
              </w:rPr>
            </w:pPr>
            <w:r>
              <w:rPr>
                <w:rFonts w:ascii="SWISS" w:hAnsi="SWISS" w:cs="Arial"/>
                <w:sz w:val="20"/>
                <w:szCs w:val="20"/>
              </w:rPr>
              <w:t> </w:t>
            </w:r>
          </w:p>
        </w:tc>
        <w:tc>
          <w:tcPr>
            <w:tcW w:w="1600" w:type="dxa"/>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EXISTING</w:t>
            </w:r>
          </w:p>
        </w:tc>
        <w:tc>
          <w:tcPr>
            <w:tcW w:w="1872" w:type="dxa"/>
            <w:tcBorders>
              <w:top w:val="nil"/>
              <w:left w:val="nil"/>
              <w:bottom w:val="nil"/>
              <w:right w:val="single" w:sz="8" w:space="0" w:color="000000"/>
            </w:tcBorders>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APPROVED</w:t>
            </w:r>
          </w:p>
        </w:tc>
      </w:tr>
      <w:tr w:rsidR="00CE47F1" w:rsidTr="00DD1A50">
        <w:trPr>
          <w:trHeight w:val="315"/>
          <w:jc w:val="center"/>
        </w:trPr>
        <w:tc>
          <w:tcPr>
            <w:tcW w:w="5396" w:type="dxa"/>
            <w:gridSpan w:val="2"/>
            <w:tcBorders>
              <w:top w:val="nil"/>
              <w:left w:val="single" w:sz="8" w:space="0" w:color="000000"/>
              <w:bottom w:val="single" w:sz="8" w:space="0" w:color="000000"/>
              <w:right w:val="nil"/>
            </w:tcBorders>
            <w:shd w:val="clear" w:color="auto" w:fill="D9D9D9"/>
            <w:noWrap/>
            <w:vAlign w:val="bottom"/>
            <w:hideMark/>
          </w:tcPr>
          <w:p w:rsidR="00CE47F1" w:rsidRDefault="00CE47F1" w:rsidP="00DD1A50">
            <w:pPr>
              <w:jc w:val="center"/>
              <w:rPr>
                <w:rFonts w:ascii="SWISS" w:hAnsi="SWISS" w:cs="Arial"/>
                <w:sz w:val="20"/>
                <w:szCs w:val="20"/>
              </w:rPr>
            </w:pPr>
            <w:r>
              <w:rPr>
                <w:rFonts w:ascii="SWISS" w:hAnsi="SWISS" w:cs="Arial"/>
                <w:sz w:val="20"/>
                <w:szCs w:val="20"/>
              </w:rPr>
              <w:t> </w:t>
            </w:r>
          </w:p>
        </w:tc>
        <w:tc>
          <w:tcPr>
            <w:tcW w:w="1600" w:type="dxa"/>
            <w:tcBorders>
              <w:top w:val="nil"/>
              <w:left w:val="nil"/>
              <w:bottom w:val="single" w:sz="8" w:space="0" w:color="000000"/>
              <w:right w:val="nil"/>
            </w:tcBorders>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RATES</w:t>
            </w:r>
          </w:p>
        </w:tc>
        <w:tc>
          <w:tcPr>
            <w:tcW w:w="1872" w:type="dxa"/>
            <w:tcBorders>
              <w:top w:val="nil"/>
              <w:left w:val="nil"/>
              <w:bottom w:val="single" w:sz="8" w:space="0" w:color="000000"/>
              <w:right w:val="single" w:sz="8" w:space="0" w:color="000000"/>
            </w:tcBorders>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RATES</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rPr>
            </w:pPr>
            <w:r>
              <w:rPr>
                <w:rFonts w:ascii="SWISS" w:hAnsi="SWISS" w:cs="Arial"/>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rPr>
                <w:rFonts w:ascii="SWISS" w:hAnsi="SWISS" w:cs="Arial"/>
              </w:rPr>
            </w:pPr>
            <w:r>
              <w:rPr>
                <w:rFonts w:ascii="SWISS" w:hAnsi="SWISS" w:cs="Arial"/>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b/>
                <w:bCs/>
                <w:sz w:val="20"/>
                <w:szCs w:val="20"/>
                <w:u w:val="single"/>
              </w:rPr>
            </w:pPr>
            <w:r>
              <w:rPr>
                <w:rFonts w:ascii="SWISS" w:hAnsi="SWISS" w:cs="Arial"/>
                <w:b/>
                <w:bCs/>
                <w:sz w:val="20"/>
                <w:szCs w:val="20"/>
                <w:u w:val="single"/>
              </w:rPr>
              <w:t>Residential, General, and Bulk Service</w:t>
            </w: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Base Facility Charge by Meter Size</w:t>
            </w: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5/8" x 3/4"</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$8.72</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$6.83</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1"</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$21.81</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$17.08</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1 1/2"</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$43.63</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$34.15</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2"</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$69.81</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$54.64</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3"</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$139.63</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$109.28</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4"</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$218.16</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$170.75</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6"</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$436.31</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$341.50</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rPr>
            </w:pPr>
            <w:r>
              <w:rPr>
                <w:rFonts w:ascii="SWISS" w:hAnsi="SWISS" w:cs="Arial"/>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rPr>
                <w:rFonts w:ascii="SWISS" w:hAnsi="SWISS" w:cs="Arial"/>
              </w:rPr>
            </w:pPr>
            <w:r>
              <w:rPr>
                <w:rFonts w:ascii="SWISS" w:hAnsi="SWISS" w:cs="Arial"/>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6720" w:type="dxa"/>
            <w:gridSpan w:val="2"/>
            <w:noWrap/>
            <w:vAlign w:val="bottom"/>
            <w:hideMark/>
          </w:tcPr>
          <w:p w:rsidR="00CE47F1" w:rsidRDefault="00CE47F1" w:rsidP="00DD1A50">
            <w:pPr>
              <w:rPr>
                <w:rFonts w:ascii="SWISS" w:hAnsi="SWISS" w:cs="Arial"/>
                <w:color w:val="000000"/>
                <w:sz w:val="20"/>
                <w:szCs w:val="20"/>
              </w:rPr>
            </w:pPr>
            <w:r>
              <w:rPr>
                <w:rFonts w:ascii="SWISS" w:hAnsi="SWISS" w:cs="Arial"/>
                <w:color w:val="000000"/>
                <w:sz w:val="20"/>
                <w:szCs w:val="20"/>
              </w:rPr>
              <w:t>Charge per 1,000 gallons - Residential</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0-10,000 Gallons</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$0.98</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$0.77</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10,001 - 20,000 gallons</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$1.47</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$1.15</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rPr>
            </w:pPr>
            <w:r>
              <w:rPr>
                <w:rFonts w:ascii="SWISS" w:hAnsi="SWISS" w:cs="Arial"/>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Over 20,000 Gallons</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$1.97</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$1.54</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rPr>
            </w:pPr>
            <w:r>
              <w:rPr>
                <w:rFonts w:ascii="SWISS" w:hAnsi="SWISS" w:cs="Arial"/>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rPr>
                <w:rFonts w:ascii="SWISS" w:hAnsi="SWISS" w:cs="Arial"/>
              </w:rPr>
            </w:pPr>
            <w:r>
              <w:rPr>
                <w:rFonts w:ascii="SWISS" w:hAnsi="SWISS" w:cs="Arial"/>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Charge per 1,000 gallons - General and Bulk</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$1.29</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$1.01</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b/>
                <w:bCs/>
                <w:sz w:val="20"/>
                <w:szCs w:val="20"/>
                <w:u w:val="single"/>
              </w:rPr>
            </w:pPr>
            <w:r>
              <w:rPr>
                <w:rFonts w:ascii="SWISS" w:hAnsi="SWISS" w:cs="Arial"/>
                <w:b/>
                <w:bCs/>
                <w:sz w:val="20"/>
                <w:szCs w:val="20"/>
                <w:u w:val="single"/>
              </w:rPr>
              <w:t>Fire Protection Service</w:t>
            </w: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Base Facility Charge by Meter Size</w:t>
            </w: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1 1/2"</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$3.63</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$2.85</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2"</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$5.82</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$4.55</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3"</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$11.63</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$9.11</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4"</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$18.18</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$14.23</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6"</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$36.37</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$28.46</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8"</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$58.18</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$45.53</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10"</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$80.00</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$65.45</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b/>
                <w:bCs/>
                <w:sz w:val="20"/>
                <w:szCs w:val="20"/>
                <w:u w:val="single"/>
              </w:rPr>
            </w:pPr>
            <w:r>
              <w:rPr>
                <w:rFonts w:ascii="SWISS" w:hAnsi="SWISS" w:cs="Arial"/>
                <w:b/>
                <w:bCs/>
                <w:sz w:val="20"/>
                <w:szCs w:val="20"/>
                <w:u w:val="single"/>
              </w:rPr>
              <w:t>Typical Residential 5/8" x 3/4" Meter Bill Comparison</w:t>
            </w: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3,000 Gallons</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$11.66</w:t>
            </w:r>
          </w:p>
        </w:tc>
        <w:tc>
          <w:tcPr>
            <w:tcW w:w="1872" w:type="dxa"/>
            <w:tcBorders>
              <w:top w:val="nil"/>
              <w:left w:val="nil"/>
              <w:bottom w:val="nil"/>
              <w:right w:val="single" w:sz="8" w:space="0" w:color="auto"/>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$9.14</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5,000 Gallons</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$13.62</w:t>
            </w:r>
          </w:p>
        </w:tc>
        <w:tc>
          <w:tcPr>
            <w:tcW w:w="1872" w:type="dxa"/>
            <w:tcBorders>
              <w:top w:val="nil"/>
              <w:left w:val="nil"/>
              <w:bottom w:val="nil"/>
              <w:right w:val="single" w:sz="8" w:space="0" w:color="auto"/>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$10.68</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10,000 Gallons</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$18.52</w:t>
            </w:r>
          </w:p>
        </w:tc>
        <w:tc>
          <w:tcPr>
            <w:tcW w:w="1872" w:type="dxa"/>
            <w:tcBorders>
              <w:top w:val="nil"/>
              <w:left w:val="nil"/>
              <w:bottom w:val="nil"/>
              <w:right w:val="single" w:sz="8" w:space="0" w:color="auto"/>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$14.53</w:t>
            </w:r>
          </w:p>
        </w:tc>
      </w:tr>
      <w:tr w:rsidR="00CE47F1" w:rsidTr="00DD1A50">
        <w:trPr>
          <w:trHeight w:val="315"/>
          <w:jc w:val="center"/>
        </w:trPr>
        <w:tc>
          <w:tcPr>
            <w:tcW w:w="276" w:type="dxa"/>
            <w:tcBorders>
              <w:top w:val="nil"/>
              <w:left w:val="single" w:sz="8" w:space="0" w:color="000000"/>
              <w:bottom w:val="single" w:sz="8" w:space="0" w:color="000000"/>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tcBorders>
              <w:top w:val="nil"/>
              <w:left w:val="nil"/>
              <w:bottom w:val="single" w:sz="8" w:space="0" w:color="000000"/>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1600" w:type="dxa"/>
            <w:tcBorders>
              <w:top w:val="nil"/>
              <w:left w:val="nil"/>
              <w:bottom w:val="single" w:sz="8" w:space="0" w:color="000000"/>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1872" w:type="dxa"/>
            <w:tcBorders>
              <w:top w:val="nil"/>
              <w:left w:val="nil"/>
              <w:bottom w:val="single" w:sz="8" w:space="0" w:color="000000"/>
              <w:right w:val="single" w:sz="8" w:space="0" w:color="000000"/>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r>
    </w:tbl>
    <w:p w:rsidR="00CE47F1" w:rsidRDefault="00CE47F1" w:rsidP="00CE47F1">
      <w:pPr>
        <w:pStyle w:val="OrderBody"/>
        <w:sectPr w:rsidR="00CE47F1" w:rsidSect="00CE47F1">
          <w:headerReference w:type="default" r:id="rId13"/>
          <w:pgSz w:w="12240" w:h="15840" w:code="1"/>
          <w:pgMar w:top="1440" w:right="1440" w:bottom="1440" w:left="1440" w:header="720" w:footer="720" w:gutter="0"/>
          <w:cols w:space="720"/>
          <w:docGrid w:linePitch="360"/>
        </w:sectPr>
      </w:pPr>
    </w:p>
    <w:tbl>
      <w:tblPr>
        <w:tblW w:w="8868" w:type="dxa"/>
        <w:jc w:val="center"/>
        <w:tblInd w:w="93" w:type="dxa"/>
        <w:tblLook w:val="04A0" w:firstRow="1" w:lastRow="0" w:firstColumn="1" w:lastColumn="0" w:noHBand="0" w:noVBand="1"/>
      </w:tblPr>
      <w:tblGrid>
        <w:gridCol w:w="276"/>
        <w:gridCol w:w="5120"/>
        <w:gridCol w:w="1600"/>
        <w:gridCol w:w="1872"/>
      </w:tblGrid>
      <w:tr w:rsidR="00CE47F1" w:rsidTr="00DD1A50">
        <w:trPr>
          <w:trHeight w:val="300"/>
          <w:jc w:val="center"/>
        </w:trPr>
        <w:tc>
          <w:tcPr>
            <w:tcW w:w="276" w:type="dxa"/>
            <w:tcBorders>
              <w:top w:val="single" w:sz="8" w:space="0" w:color="000000"/>
              <w:left w:val="single" w:sz="8" w:space="0" w:color="000000"/>
              <w:bottom w:val="nil"/>
              <w:right w:val="nil"/>
            </w:tcBorders>
            <w:noWrap/>
            <w:vAlign w:val="bottom"/>
            <w:hideMark/>
          </w:tcPr>
          <w:p w:rsidR="00CE47F1" w:rsidRDefault="00CE47F1" w:rsidP="00DD1A50">
            <w:pPr>
              <w:rPr>
                <w:rFonts w:ascii="SWISS" w:hAnsi="SWISS" w:cs="Arial"/>
                <w:sz w:val="20"/>
                <w:szCs w:val="20"/>
              </w:rPr>
            </w:pPr>
            <w:bookmarkStart w:id="11" w:name="RANGE!A1:D34"/>
            <w:r>
              <w:rPr>
                <w:rFonts w:ascii="SWISS" w:hAnsi="SWISS" w:cs="Arial"/>
                <w:sz w:val="20"/>
                <w:szCs w:val="20"/>
              </w:rPr>
              <w:lastRenderedPageBreak/>
              <w:t> </w:t>
            </w:r>
            <w:bookmarkEnd w:id="11"/>
          </w:p>
        </w:tc>
        <w:tc>
          <w:tcPr>
            <w:tcW w:w="5120" w:type="dxa"/>
            <w:tcBorders>
              <w:top w:val="single" w:sz="8" w:space="0" w:color="000000"/>
              <w:left w:val="nil"/>
              <w:bottom w:val="nil"/>
              <w:right w:val="nil"/>
            </w:tcBorders>
            <w:noWrap/>
            <w:vAlign w:val="bottom"/>
            <w:hideMark/>
          </w:tcPr>
          <w:p w:rsidR="00CE47F1" w:rsidRDefault="00CE47F1" w:rsidP="00DD1A50">
            <w:pPr>
              <w:rPr>
                <w:rFonts w:ascii="SWISS" w:hAnsi="SWISS" w:cs="Arial"/>
                <w:b/>
                <w:bCs/>
                <w:sz w:val="20"/>
                <w:szCs w:val="20"/>
              </w:rPr>
            </w:pPr>
            <w:r>
              <w:rPr>
                <w:rFonts w:ascii="SWISS" w:hAnsi="SWISS" w:cs="Arial"/>
                <w:b/>
                <w:bCs/>
                <w:sz w:val="20"/>
                <w:szCs w:val="20"/>
              </w:rPr>
              <w:t>SOUTHLAKE UTILITIES, INC.</w:t>
            </w:r>
          </w:p>
        </w:tc>
        <w:tc>
          <w:tcPr>
            <w:tcW w:w="3472" w:type="dxa"/>
            <w:gridSpan w:val="2"/>
            <w:tcBorders>
              <w:top w:val="single" w:sz="8" w:space="0" w:color="000000"/>
              <w:left w:val="nil"/>
              <w:bottom w:val="nil"/>
              <w:right w:val="single" w:sz="8" w:space="0" w:color="000000"/>
            </w:tcBorders>
            <w:noWrap/>
            <w:vAlign w:val="bottom"/>
            <w:hideMark/>
          </w:tcPr>
          <w:p w:rsidR="00CE47F1" w:rsidRDefault="00CE47F1" w:rsidP="00DD1A50">
            <w:pPr>
              <w:jc w:val="right"/>
              <w:rPr>
                <w:rFonts w:ascii="SWISS" w:hAnsi="SWISS" w:cs="Arial"/>
                <w:b/>
                <w:bCs/>
                <w:sz w:val="20"/>
                <w:szCs w:val="20"/>
              </w:rPr>
            </w:pPr>
            <w:r>
              <w:rPr>
                <w:rFonts w:ascii="SWISS" w:hAnsi="SWISS" w:cs="Arial"/>
                <w:b/>
                <w:bCs/>
                <w:sz w:val="20"/>
                <w:szCs w:val="20"/>
              </w:rPr>
              <w:t> SCHEDULE NO. 1-B</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b/>
                <w:bCs/>
                <w:sz w:val="20"/>
                <w:szCs w:val="20"/>
              </w:rPr>
            </w:pPr>
            <w:r>
              <w:rPr>
                <w:rFonts w:ascii="SWISS" w:hAnsi="SWISS" w:cs="Arial"/>
                <w:b/>
                <w:bCs/>
                <w:sz w:val="20"/>
                <w:szCs w:val="20"/>
              </w:rPr>
              <w:t>TEST YEAR ENDED DECEMBER 31, 2013</w:t>
            </w:r>
          </w:p>
        </w:tc>
        <w:tc>
          <w:tcPr>
            <w:tcW w:w="3472" w:type="dxa"/>
            <w:gridSpan w:val="2"/>
            <w:tcBorders>
              <w:top w:val="nil"/>
              <w:left w:val="nil"/>
              <w:bottom w:val="nil"/>
              <w:right w:val="single" w:sz="8" w:space="0" w:color="000000"/>
            </w:tcBorders>
            <w:noWrap/>
            <w:vAlign w:val="bottom"/>
            <w:hideMark/>
          </w:tcPr>
          <w:p w:rsidR="00CE47F1" w:rsidRDefault="00CE47F1" w:rsidP="00DD1A50">
            <w:pPr>
              <w:jc w:val="right"/>
              <w:rPr>
                <w:rFonts w:ascii="SWISS" w:hAnsi="SWISS" w:cs="Arial"/>
                <w:b/>
                <w:bCs/>
                <w:sz w:val="20"/>
                <w:szCs w:val="20"/>
              </w:rPr>
            </w:pPr>
            <w:r>
              <w:rPr>
                <w:rFonts w:ascii="SWISS" w:hAnsi="SWISS" w:cs="Arial"/>
                <w:b/>
                <w:bCs/>
                <w:sz w:val="20"/>
                <w:szCs w:val="20"/>
              </w:rPr>
              <w:t>DOCKET NO. 150069-WS</w:t>
            </w:r>
          </w:p>
        </w:tc>
      </w:tr>
      <w:tr w:rsidR="00CE47F1" w:rsidTr="00DD1A50">
        <w:trPr>
          <w:trHeight w:val="315"/>
          <w:jc w:val="center"/>
        </w:trPr>
        <w:tc>
          <w:tcPr>
            <w:tcW w:w="276" w:type="dxa"/>
            <w:tcBorders>
              <w:top w:val="nil"/>
              <w:left w:val="single" w:sz="8" w:space="0" w:color="000000"/>
              <w:bottom w:val="single" w:sz="4" w:space="0" w:color="auto"/>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tcBorders>
              <w:bottom w:val="single" w:sz="4" w:space="0" w:color="auto"/>
            </w:tcBorders>
            <w:noWrap/>
            <w:vAlign w:val="bottom"/>
            <w:hideMark/>
          </w:tcPr>
          <w:p w:rsidR="00CE47F1" w:rsidRDefault="00CE47F1" w:rsidP="00DD1A50">
            <w:pPr>
              <w:rPr>
                <w:rFonts w:ascii="SWISS" w:hAnsi="SWISS" w:cs="Arial"/>
                <w:b/>
                <w:bCs/>
                <w:sz w:val="20"/>
                <w:szCs w:val="20"/>
              </w:rPr>
            </w:pPr>
            <w:r>
              <w:rPr>
                <w:rFonts w:ascii="SWISS" w:hAnsi="SWISS" w:cs="Arial"/>
                <w:b/>
                <w:bCs/>
                <w:sz w:val="20"/>
                <w:szCs w:val="20"/>
              </w:rPr>
              <w:t>MONTHLY WASTEWATER RATES</w:t>
            </w:r>
          </w:p>
        </w:tc>
        <w:tc>
          <w:tcPr>
            <w:tcW w:w="1600" w:type="dxa"/>
            <w:tcBorders>
              <w:bottom w:val="single" w:sz="4" w:space="0" w:color="auto"/>
            </w:tcBorders>
            <w:noWrap/>
            <w:vAlign w:val="bottom"/>
            <w:hideMark/>
          </w:tcPr>
          <w:p w:rsidR="00CE47F1" w:rsidRDefault="00CE47F1" w:rsidP="00DD1A50">
            <w:pPr>
              <w:rPr>
                <w:sz w:val="20"/>
                <w:szCs w:val="20"/>
              </w:rPr>
            </w:pPr>
          </w:p>
        </w:tc>
        <w:tc>
          <w:tcPr>
            <w:tcW w:w="1872" w:type="dxa"/>
            <w:tcBorders>
              <w:top w:val="nil"/>
              <w:left w:val="nil"/>
              <w:bottom w:val="single" w:sz="4" w:space="0" w:color="auto"/>
              <w:right w:val="single" w:sz="8" w:space="0" w:color="000000"/>
            </w:tcBorders>
            <w:noWrap/>
            <w:vAlign w:val="bottom"/>
            <w:hideMark/>
          </w:tcPr>
          <w:p w:rsidR="00CE47F1" w:rsidRDefault="00CE47F1" w:rsidP="00DD1A50">
            <w:pPr>
              <w:jc w:val="right"/>
              <w:rPr>
                <w:rFonts w:ascii="SWISS" w:hAnsi="SWISS" w:cs="Arial"/>
                <w:b/>
                <w:bCs/>
                <w:sz w:val="20"/>
                <w:szCs w:val="20"/>
              </w:rPr>
            </w:pPr>
            <w:r>
              <w:rPr>
                <w:rFonts w:ascii="SWISS" w:hAnsi="SWISS" w:cs="Arial"/>
                <w:b/>
                <w:bCs/>
                <w:sz w:val="20"/>
                <w:szCs w:val="20"/>
              </w:rPr>
              <w:t> </w:t>
            </w:r>
          </w:p>
        </w:tc>
      </w:tr>
      <w:tr w:rsidR="00CE47F1" w:rsidTr="00DD1A50">
        <w:trPr>
          <w:trHeight w:val="300"/>
          <w:jc w:val="center"/>
        </w:trPr>
        <w:tc>
          <w:tcPr>
            <w:tcW w:w="5396" w:type="dxa"/>
            <w:gridSpan w:val="2"/>
            <w:tcBorders>
              <w:top w:val="single" w:sz="4" w:space="0" w:color="auto"/>
              <w:left w:val="single" w:sz="8" w:space="0" w:color="000000"/>
              <w:bottom w:val="nil"/>
              <w:right w:val="nil"/>
            </w:tcBorders>
            <w:shd w:val="clear" w:color="auto" w:fill="D9D9D9"/>
            <w:noWrap/>
            <w:vAlign w:val="bottom"/>
            <w:hideMark/>
          </w:tcPr>
          <w:p w:rsidR="00CE47F1" w:rsidRDefault="00CE47F1" w:rsidP="00DD1A50">
            <w:pPr>
              <w:jc w:val="center"/>
              <w:rPr>
                <w:rFonts w:ascii="SWISS" w:hAnsi="SWISS" w:cs="Arial"/>
                <w:sz w:val="20"/>
                <w:szCs w:val="20"/>
              </w:rPr>
            </w:pPr>
            <w:r>
              <w:rPr>
                <w:rFonts w:ascii="SWISS" w:hAnsi="SWISS" w:cs="Arial"/>
                <w:sz w:val="20"/>
                <w:szCs w:val="20"/>
              </w:rPr>
              <w:t> </w:t>
            </w:r>
          </w:p>
        </w:tc>
        <w:tc>
          <w:tcPr>
            <w:tcW w:w="1600" w:type="dxa"/>
            <w:tcBorders>
              <w:top w:val="single" w:sz="4" w:space="0" w:color="auto"/>
            </w:tcBorders>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UTILITY</w:t>
            </w:r>
          </w:p>
        </w:tc>
        <w:tc>
          <w:tcPr>
            <w:tcW w:w="1872" w:type="dxa"/>
            <w:tcBorders>
              <w:top w:val="single" w:sz="4" w:space="0" w:color="auto"/>
              <w:left w:val="nil"/>
              <w:bottom w:val="nil"/>
              <w:right w:val="single" w:sz="8" w:space="0" w:color="000000"/>
            </w:tcBorders>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COMMISSION</w:t>
            </w:r>
          </w:p>
        </w:tc>
      </w:tr>
      <w:tr w:rsidR="00CE47F1" w:rsidTr="00DD1A50">
        <w:trPr>
          <w:trHeight w:val="300"/>
          <w:jc w:val="center"/>
        </w:trPr>
        <w:tc>
          <w:tcPr>
            <w:tcW w:w="5396" w:type="dxa"/>
            <w:gridSpan w:val="2"/>
            <w:tcBorders>
              <w:top w:val="nil"/>
              <w:left w:val="single" w:sz="8" w:space="0" w:color="000000"/>
              <w:bottom w:val="nil"/>
              <w:right w:val="nil"/>
            </w:tcBorders>
            <w:shd w:val="clear" w:color="auto" w:fill="D9D9D9"/>
            <w:noWrap/>
            <w:vAlign w:val="bottom"/>
            <w:hideMark/>
          </w:tcPr>
          <w:p w:rsidR="00CE47F1" w:rsidRDefault="00CE47F1" w:rsidP="00DD1A50">
            <w:pPr>
              <w:jc w:val="center"/>
              <w:rPr>
                <w:rFonts w:ascii="SWISS" w:hAnsi="SWISS" w:cs="Arial"/>
                <w:sz w:val="20"/>
                <w:szCs w:val="20"/>
              </w:rPr>
            </w:pPr>
            <w:r>
              <w:rPr>
                <w:rFonts w:ascii="SWISS" w:hAnsi="SWISS" w:cs="Arial"/>
                <w:sz w:val="20"/>
                <w:szCs w:val="20"/>
              </w:rPr>
              <w:t> </w:t>
            </w:r>
          </w:p>
        </w:tc>
        <w:tc>
          <w:tcPr>
            <w:tcW w:w="1600" w:type="dxa"/>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EXISTING</w:t>
            </w:r>
          </w:p>
        </w:tc>
        <w:tc>
          <w:tcPr>
            <w:tcW w:w="1872" w:type="dxa"/>
            <w:tcBorders>
              <w:top w:val="nil"/>
              <w:left w:val="nil"/>
              <w:bottom w:val="nil"/>
              <w:right w:val="single" w:sz="8" w:space="0" w:color="000000"/>
            </w:tcBorders>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APPROVED</w:t>
            </w:r>
          </w:p>
        </w:tc>
      </w:tr>
      <w:tr w:rsidR="00CE47F1" w:rsidTr="00DD1A50">
        <w:trPr>
          <w:trHeight w:val="315"/>
          <w:jc w:val="center"/>
        </w:trPr>
        <w:tc>
          <w:tcPr>
            <w:tcW w:w="5396" w:type="dxa"/>
            <w:gridSpan w:val="2"/>
            <w:tcBorders>
              <w:top w:val="nil"/>
              <w:left w:val="single" w:sz="8" w:space="0" w:color="000000"/>
              <w:bottom w:val="single" w:sz="8" w:space="0" w:color="000000"/>
              <w:right w:val="nil"/>
            </w:tcBorders>
            <w:shd w:val="clear" w:color="auto" w:fill="D9D9D9"/>
            <w:noWrap/>
            <w:vAlign w:val="bottom"/>
            <w:hideMark/>
          </w:tcPr>
          <w:p w:rsidR="00CE47F1" w:rsidRDefault="00CE47F1" w:rsidP="00DD1A50">
            <w:pPr>
              <w:jc w:val="center"/>
              <w:rPr>
                <w:rFonts w:ascii="SWISS" w:hAnsi="SWISS" w:cs="Arial"/>
                <w:sz w:val="20"/>
                <w:szCs w:val="20"/>
              </w:rPr>
            </w:pPr>
            <w:r>
              <w:rPr>
                <w:rFonts w:ascii="SWISS" w:hAnsi="SWISS" w:cs="Arial"/>
                <w:sz w:val="20"/>
                <w:szCs w:val="20"/>
              </w:rPr>
              <w:t> </w:t>
            </w:r>
          </w:p>
        </w:tc>
        <w:tc>
          <w:tcPr>
            <w:tcW w:w="1600" w:type="dxa"/>
            <w:tcBorders>
              <w:top w:val="nil"/>
              <w:left w:val="nil"/>
              <w:bottom w:val="single" w:sz="8" w:space="0" w:color="000000"/>
              <w:right w:val="nil"/>
            </w:tcBorders>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RATES</w:t>
            </w:r>
          </w:p>
        </w:tc>
        <w:tc>
          <w:tcPr>
            <w:tcW w:w="1872" w:type="dxa"/>
            <w:tcBorders>
              <w:top w:val="nil"/>
              <w:left w:val="nil"/>
              <w:bottom w:val="single" w:sz="8" w:space="0" w:color="000000"/>
              <w:right w:val="single" w:sz="8" w:space="0" w:color="000000"/>
            </w:tcBorders>
            <w:shd w:val="clear" w:color="auto" w:fill="D9D9D9"/>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RATES</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rPr>
            </w:pPr>
            <w:r>
              <w:rPr>
                <w:rFonts w:ascii="SWISS" w:hAnsi="SWISS" w:cs="Arial"/>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rPr>
                <w:rFonts w:ascii="SWISS" w:hAnsi="SWISS" w:cs="Arial"/>
              </w:rPr>
            </w:pPr>
            <w:r>
              <w:rPr>
                <w:rFonts w:ascii="SWISS" w:hAnsi="SWISS" w:cs="Arial"/>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b/>
                <w:bCs/>
                <w:sz w:val="20"/>
                <w:szCs w:val="20"/>
                <w:u w:val="single"/>
              </w:rPr>
            </w:pPr>
            <w:r>
              <w:rPr>
                <w:rFonts w:ascii="SWISS" w:hAnsi="SWISS" w:cs="Arial"/>
                <w:b/>
                <w:bCs/>
                <w:sz w:val="20"/>
                <w:szCs w:val="20"/>
                <w:u w:val="single"/>
              </w:rPr>
              <w:t>Residential Service</w:t>
            </w: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auto"/>
            </w:tcBorders>
            <w:noWrap/>
            <w:vAlign w:val="bottom"/>
            <w:hideMark/>
          </w:tcPr>
          <w:p w:rsidR="00CE47F1" w:rsidRDefault="00CE47F1" w:rsidP="00DD1A50">
            <w:pPr>
              <w:jc w:val="center"/>
              <w:rPr>
                <w:rFonts w:ascii="SWISS" w:hAnsi="SWISS" w:cs="Arial"/>
                <w:b/>
                <w:bCs/>
                <w:sz w:val="20"/>
                <w:szCs w:val="20"/>
              </w:rPr>
            </w:pPr>
            <w:r>
              <w:rPr>
                <w:rFonts w:ascii="SWISS" w:hAnsi="SWISS" w:cs="Arial"/>
                <w:b/>
                <w:bCs/>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Base Facility Charge - All Meter Sizes</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$14.45</w:t>
            </w:r>
          </w:p>
        </w:tc>
        <w:tc>
          <w:tcPr>
            <w:tcW w:w="1872" w:type="dxa"/>
            <w:tcBorders>
              <w:top w:val="nil"/>
              <w:left w:val="nil"/>
              <w:bottom w:val="nil"/>
              <w:right w:val="single" w:sz="8" w:space="0" w:color="auto"/>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$14.34</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auto"/>
            </w:tcBorders>
            <w:noWrap/>
            <w:vAlign w:val="bottom"/>
            <w:hideMark/>
          </w:tcPr>
          <w:p w:rsidR="00CE47F1" w:rsidRDefault="00CE47F1" w:rsidP="00DD1A50">
            <w:pPr>
              <w:rPr>
                <w:rFonts w:ascii="SWISS" w:hAnsi="SWISS" w:cs="Arial"/>
              </w:rPr>
            </w:pPr>
            <w:r>
              <w:rPr>
                <w:rFonts w:ascii="SWISS" w:hAnsi="SWISS" w:cs="Arial"/>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color w:val="000000"/>
                <w:sz w:val="20"/>
                <w:szCs w:val="20"/>
              </w:rPr>
            </w:pPr>
            <w:r>
              <w:rPr>
                <w:rFonts w:ascii="SWISS" w:hAnsi="SWISS" w:cs="Arial"/>
                <w:color w:val="000000"/>
                <w:sz w:val="20"/>
                <w:szCs w:val="20"/>
              </w:rPr>
              <w:t>Charge per 1,000 gallons - Residential</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$1.35</w:t>
            </w:r>
          </w:p>
        </w:tc>
        <w:tc>
          <w:tcPr>
            <w:tcW w:w="1872" w:type="dxa"/>
            <w:tcBorders>
              <w:top w:val="nil"/>
              <w:left w:val="nil"/>
              <w:bottom w:val="nil"/>
              <w:right w:val="single" w:sz="8" w:space="0" w:color="auto"/>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$1.34</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*10,000 gallon cap</w:t>
            </w: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auto"/>
            </w:tcBorders>
            <w:noWrap/>
            <w:vAlign w:val="bottom"/>
            <w:hideMark/>
          </w:tcPr>
          <w:p w:rsidR="00CE47F1" w:rsidRDefault="00CE47F1" w:rsidP="00DD1A50">
            <w:pPr>
              <w:rPr>
                <w:rFonts w:ascii="SWISS" w:hAnsi="SWISS" w:cs="Arial"/>
              </w:rPr>
            </w:pPr>
            <w:r>
              <w:rPr>
                <w:rFonts w:ascii="SWISS" w:hAnsi="SWISS" w:cs="Arial"/>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auto"/>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auto"/>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b/>
                <w:bCs/>
                <w:sz w:val="20"/>
                <w:szCs w:val="20"/>
                <w:u w:val="single"/>
              </w:rPr>
            </w:pPr>
            <w:r>
              <w:rPr>
                <w:rFonts w:ascii="SWISS" w:hAnsi="SWISS" w:cs="Arial"/>
                <w:b/>
                <w:bCs/>
                <w:sz w:val="20"/>
                <w:szCs w:val="20"/>
                <w:u w:val="single"/>
              </w:rPr>
              <w:t>General and Bulk Service</w:t>
            </w: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Base Facility Charge by Meter Size</w:t>
            </w: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5/8 x 3/4"</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$14.45</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$14.34</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1"</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$36.12</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$35.85</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1 1/2"</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$72.23</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$71.70</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2"</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$115.56</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$114.72</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3"</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$231.12</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$229.44</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4"</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$361.12</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$358.50</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6"</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$722.25</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$717.00</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Charge per 1,000 Gallons - General and Bulk Service</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$1.62</w:t>
            </w: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$1.61</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sz w:val="20"/>
                <w:szCs w:val="20"/>
              </w:rPr>
            </w:pP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b/>
                <w:bCs/>
                <w:sz w:val="20"/>
                <w:szCs w:val="20"/>
                <w:u w:val="single"/>
              </w:rPr>
            </w:pPr>
            <w:r>
              <w:rPr>
                <w:rFonts w:ascii="SWISS" w:hAnsi="SWISS" w:cs="Arial"/>
                <w:b/>
                <w:bCs/>
                <w:sz w:val="20"/>
                <w:szCs w:val="20"/>
                <w:u w:val="single"/>
              </w:rPr>
              <w:t>Typical Residential 5/8" x 3/4" Meter Bill Comparison</w:t>
            </w:r>
          </w:p>
        </w:tc>
        <w:tc>
          <w:tcPr>
            <w:tcW w:w="1600" w:type="dxa"/>
            <w:noWrap/>
            <w:vAlign w:val="bottom"/>
            <w:hideMark/>
          </w:tcPr>
          <w:p w:rsidR="00CE47F1" w:rsidRDefault="00CE47F1" w:rsidP="00DD1A50">
            <w:pPr>
              <w:rPr>
                <w:sz w:val="20"/>
                <w:szCs w:val="20"/>
              </w:rPr>
            </w:pPr>
          </w:p>
        </w:tc>
        <w:tc>
          <w:tcPr>
            <w:tcW w:w="1872" w:type="dxa"/>
            <w:tcBorders>
              <w:top w:val="nil"/>
              <w:left w:val="nil"/>
              <w:bottom w:val="nil"/>
              <w:right w:val="single" w:sz="8" w:space="0" w:color="000000"/>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 </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3,000 Gallons</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$18.50</w:t>
            </w:r>
          </w:p>
        </w:tc>
        <w:tc>
          <w:tcPr>
            <w:tcW w:w="1872" w:type="dxa"/>
            <w:tcBorders>
              <w:top w:val="nil"/>
              <w:left w:val="nil"/>
              <w:bottom w:val="nil"/>
              <w:right w:val="single" w:sz="8" w:space="0" w:color="auto"/>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$18.36</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5,000 Gallons</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$21.20</w:t>
            </w:r>
          </w:p>
        </w:tc>
        <w:tc>
          <w:tcPr>
            <w:tcW w:w="1872" w:type="dxa"/>
            <w:tcBorders>
              <w:top w:val="nil"/>
              <w:left w:val="nil"/>
              <w:bottom w:val="nil"/>
              <w:right w:val="single" w:sz="8" w:space="0" w:color="auto"/>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$21.04</w:t>
            </w:r>
          </w:p>
        </w:tc>
      </w:tr>
      <w:tr w:rsidR="00CE47F1" w:rsidTr="00DD1A50">
        <w:trPr>
          <w:trHeight w:val="300"/>
          <w:jc w:val="center"/>
        </w:trPr>
        <w:tc>
          <w:tcPr>
            <w:tcW w:w="276" w:type="dxa"/>
            <w:tcBorders>
              <w:top w:val="nil"/>
              <w:left w:val="single" w:sz="8" w:space="0" w:color="000000"/>
              <w:bottom w:val="nil"/>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noWrap/>
            <w:vAlign w:val="bottom"/>
            <w:hideMark/>
          </w:tcPr>
          <w:p w:rsidR="00CE47F1" w:rsidRDefault="00CE47F1" w:rsidP="00DD1A50">
            <w:pPr>
              <w:rPr>
                <w:rFonts w:ascii="SWISS" w:hAnsi="SWISS" w:cs="Arial"/>
                <w:sz w:val="20"/>
                <w:szCs w:val="20"/>
              </w:rPr>
            </w:pPr>
            <w:r>
              <w:rPr>
                <w:rFonts w:ascii="SWISS" w:hAnsi="SWISS" w:cs="Arial"/>
                <w:sz w:val="20"/>
                <w:szCs w:val="20"/>
              </w:rPr>
              <w:t>10,000 Gallons</w:t>
            </w:r>
          </w:p>
        </w:tc>
        <w:tc>
          <w:tcPr>
            <w:tcW w:w="1600" w:type="dxa"/>
            <w:noWrap/>
            <w:vAlign w:val="bottom"/>
            <w:hideMark/>
          </w:tcPr>
          <w:p w:rsidR="00CE47F1" w:rsidRDefault="00CE47F1" w:rsidP="00DD1A50">
            <w:pPr>
              <w:jc w:val="right"/>
              <w:rPr>
                <w:rFonts w:ascii="SWISS" w:hAnsi="SWISS" w:cs="Arial"/>
                <w:sz w:val="20"/>
                <w:szCs w:val="20"/>
              </w:rPr>
            </w:pPr>
            <w:r>
              <w:rPr>
                <w:rFonts w:ascii="SWISS" w:hAnsi="SWISS" w:cs="Arial"/>
                <w:sz w:val="20"/>
                <w:szCs w:val="20"/>
              </w:rPr>
              <w:t>$27.95</w:t>
            </w:r>
          </w:p>
        </w:tc>
        <w:tc>
          <w:tcPr>
            <w:tcW w:w="1872" w:type="dxa"/>
            <w:tcBorders>
              <w:top w:val="nil"/>
              <w:left w:val="nil"/>
              <w:bottom w:val="nil"/>
              <w:right w:val="single" w:sz="8" w:space="0" w:color="auto"/>
            </w:tcBorders>
            <w:noWrap/>
            <w:vAlign w:val="bottom"/>
            <w:hideMark/>
          </w:tcPr>
          <w:p w:rsidR="00CE47F1" w:rsidRDefault="00CE47F1" w:rsidP="00DD1A50">
            <w:pPr>
              <w:jc w:val="right"/>
              <w:rPr>
                <w:rFonts w:ascii="SWISS" w:hAnsi="SWISS" w:cs="Arial"/>
                <w:sz w:val="20"/>
                <w:szCs w:val="20"/>
              </w:rPr>
            </w:pPr>
            <w:r>
              <w:rPr>
                <w:rFonts w:ascii="SWISS" w:hAnsi="SWISS" w:cs="Arial"/>
                <w:sz w:val="20"/>
                <w:szCs w:val="20"/>
              </w:rPr>
              <w:t>$27.74</w:t>
            </w:r>
          </w:p>
        </w:tc>
      </w:tr>
      <w:tr w:rsidR="00CE47F1" w:rsidTr="00DD1A50">
        <w:trPr>
          <w:trHeight w:val="315"/>
          <w:jc w:val="center"/>
        </w:trPr>
        <w:tc>
          <w:tcPr>
            <w:tcW w:w="276" w:type="dxa"/>
            <w:tcBorders>
              <w:top w:val="nil"/>
              <w:left w:val="single" w:sz="8" w:space="0" w:color="000000"/>
              <w:bottom w:val="single" w:sz="8" w:space="0" w:color="000000"/>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5120" w:type="dxa"/>
            <w:tcBorders>
              <w:top w:val="nil"/>
              <w:left w:val="nil"/>
              <w:bottom w:val="single" w:sz="8" w:space="0" w:color="000000"/>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1600" w:type="dxa"/>
            <w:tcBorders>
              <w:top w:val="nil"/>
              <w:left w:val="nil"/>
              <w:bottom w:val="single" w:sz="8" w:space="0" w:color="000000"/>
              <w:right w:val="nil"/>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c>
          <w:tcPr>
            <w:tcW w:w="1872" w:type="dxa"/>
            <w:tcBorders>
              <w:top w:val="nil"/>
              <w:left w:val="nil"/>
              <w:bottom w:val="single" w:sz="8" w:space="0" w:color="000000"/>
              <w:right w:val="single" w:sz="8" w:space="0" w:color="000000"/>
            </w:tcBorders>
            <w:noWrap/>
            <w:vAlign w:val="bottom"/>
            <w:hideMark/>
          </w:tcPr>
          <w:p w:rsidR="00CE47F1" w:rsidRDefault="00CE47F1" w:rsidP="00DD1A50">
            <w:pPr>
              <w:rPr>
                <w:rFonts w:ascii="SWISS" w:hAnsi="SWISS" w:cs="Arial"/>
                <w:sz w:val="20"/>
                <w:szCs w:val="20"/>
              </w:rPr>
            </w:pPr>
            <w:r>
              <w:rPr>
                <w:rFonts w:ascii="SWISS" w:hAnsi="SWISS" w:cs="Arial"/>
                <w:sz w:val="20"/>
                <w:szCs w:val="20"/>
              </w:rPr>
              <w:t> </w:t>
            </w:r>
          </w:p>
        </w:tc>
      </w:tr>
    </w:tbl>
    <w:p w:rsidR="00CE47F1" w:rsidRDefault="00CE47F1" w:rsidP="00CE47F1">
      <w:pPr>
        <w:pStyle w:val="OrderBody"/>
      </w:pPr>
    </w:p>
    <w:sectPr w:rsidR="00CE47F1" w:rsidSect="00CE47F1">
      <w:head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FBC" w:rsidRDefault="00DB5FBC">
      <w:r>
        <w:separator/>
      </w:r>
    </w:p>
  </w:endnote>
  <w:endnote w:type="continuationSeparator" w:id="0">
    <w:p w:rsidR="00DB5FBC" w:rsidRDefault="00D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FBC" w:rsidRDefault="00DB5FBC">
      <w:r>
        <w:separator/>
      </w:r>
    </w:p>
  </w:footnote>
  <w:footnote w:type="continuationSeparator" w:id="0">
    <w:p w:rsidR="00DB5FBC" w:rsidRDefault="00DB5FBC">
      <w:r>
        <w:continuationSeparator/>
      </w:r>
    </w:p>
  </w:footnote>
  <w:footnote w:id="1">
    <w:p w:rsidR="00DB5FBC" w:rsidRPr="00237E95" w:rsidRDefault="00DB5FBC" w:rsidP="00DB5FBC">
      <w:pPr>
        <w:pStyle w:val="FootnoteText"/>
        <w:rPr>
          <w:u w:val="single"/>
        </w:rPr>
      </w:pPr>
      <w:r>
        <w:rPr>
          <w:rStyle w:val="FootnoteReference"/>
        </w:rPr>
        <w:footnoteRef/>
      </w:r>
      <w:r>
        <w:t xml:space="preserve"> </w:t>
      </w:r>
      <w:r w:rsidRPr="00FA2779">
        <w:rPr>
          <w:u w:val="single"/>
        </w:rPr>
        <w:t>See</w:t>
      </w:r>
      <w:r>
        <w:t xml:space="preserve"> </w:t>
      </w:r>
      <w:r w:rsidRPr="00665ABD">
        <w:t>Order No.</w:t>
      </w:r>
      <w:r>
        <w:t xml:space="preserve"> PSC-09-0623-PAA-WS</w:t>
      </w:r>
      <w:r w:rsidRPr="00665ABD">
        <w:t xml:space="preserve">, issued </w:t>
      </w:r>
      <w:r>
        <w:t>September 15, 2009</w:t>
      </w:r>
      <w:r w:rsidRPr="00665ABD">
        <w:t xml:space="preserve">, in Docket No. </w:t>
      </w:r>
      <w:r>
        <w:t>080597</w:t>
      </w:r>
      <w:r w:rsidRPr="00665ABD">
        <w:t xml:space="preserve">-WS, </w:t>
      </w:r>
      <w:r w:rsidRPr="00665ABD">
        <w:rPr>
          <w:u w:val="single"/>
        </w:rPr>
        <w:t xml:space="preserve">In re: </w:t>
      </w:r>
      <w:r w:rsidRPr="00237E95">
        <w:rPr>
          <w:u w:val="single"/>
        </w:rPr>
        <w:t xml:space="preserve">Application for </w:t>
      </w:r>
      <w:r>
        <w:rPr>
          <w:u w:val="single"/>
        </w:rPr>
        <w:t>increase in water and wastewater r</w:t>
      </w:r>
      <w:r w:rsidRPr="00237E95">
        <w:rPr>
          <w:u w:val="single"/>
        </w:rPr>
        <w:t xml:space="preserve">ates in Lake County by </w:t>
      </w:r>
      <w:r>
        <w:rPr>
          <w:u w:val="single"/>
        </w:rPr>
        <w:t>Southlake Utilities, Inc.</w:t>
      </w:r>
    </w:p>
  </w:footnote>
  <w:footnote w:id="2">
    <w:p w:rsidR="00DB5FBC" w:rsidRDefault="00DB5FBC" w:rsidP="00DB5FBC">
      <w:pPr>
        <w:pStyle w:val="FootnoteText"/>
      </w:pPr>
      <w:r>
        <w:rPr>
          <w:rStyle w:val="FootnoteReference"/>
        </w:rPr>
        <w:footnoteRef/>
      </w:r>
      <w:r>
        <w:t xml:space="preserve"> Document No. 01253-15, in Docket No. 150069-WS.</w:t>
      </w:r>
    </w:p>
  </w:footnote>
  <w:footnote w:id="3">
    <w:p w:rsidR="00DB5FBC" w:rsidRDefault="00DB5FBC" w:rsidP="00DB5FBC">
      <w:pPr>
        <w:pStyle w:val="FootnoteText"/>
      </w:pPr>
      <w:r>
        <w:rPr>
          <w:rStyle w:val="FootnoteReference"/>
        </w:rPr>
        <w:footnoteRef/>
      </w:r>
      <w:r>
        <w:t xml:space="preserve"> </w:t>
      </w:r>
      <w:r>
        <w:rPr>
          <w:u w:val="single"/>
        </w:rPr>
        <w:t>See</w:t>
      </w:r>
      <w:r>
        <w:t xml:space="preserve"> Order Nos. PSC-09-0711-AS-WS, issued October 26, 2009, in Docket No. 080249-WS, </w:t>
      </w:r>
      <w:r>
        <w:rPr>
          <w:u w:val="single"/>
        </w:rPr>
        <w:t>In re: Application for increase in water and wastewater rates in Pasco County by Labrador  Utilities, Inc.</w:t>
      </w:r>
      <w:r>
        <w:t xml:space="preserve">; PSC-08-0640-AS-WU, issued October 3, 2008, in Docket No. 070601-WU, </w:t>
      </w:r>
      <w:r>
        <w:rPr>
          <w:u w:val="single"/>
        </w:rPr>
        <w:t xml:space="preserve">In re: Application for staff-assisted rate case in Pasco County by </w:t>
      </w:r>
      <w:proofErr w:type="spellStart"/>
      <w:r>
        <w:rPr>
          <w:u w:val="single"/>
        </w:rPr>
        <w:t>Orangeland</w:t>
      </w:r>
      <w:proofErr w:type="spellEnd"/>
      <w:r>
        <w:rPr>
          <w:u w:val="single"/>
        </w:rPr>
        <w:t xml:space="preserve"> Water Supply</w:t>
      </w:r>
      <w:r>
        <w:t xml:space="preserve">; and PSC-07-0534-AS-WS, issued June 26, 2007, in Docket No. 060261-WS, </w:t>
      </w:r>
      <w:r>
        <w:rPr>
          <w:u w:val="single"/>
        </w:rPr>
        <w:t xml:space="preserve">In re: Application for increase in water and wastewater rates in Lake County by Utilities, Inc. of </w:t>
      </w:r>
      <w:proofErr w:type="spellStart"/>
      <w:r>
        <w:rPr>
          <w:u w:val="single"/>
        </w:rPr>
        <w:t>Pennbrooke</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3 ">
      <w:r w:rsidR="007D485C">
        <w:t>PSC-15-0173-PAA-WS</w:t>
      </w:r>
    </w:fldSimple>
  </w:p>
  <w:p w:rsidR="00FA6EFD" w:rsidRDefault="00DB5FBC">
    <w:pPr>
      <w:pStyle w:val="OrderHeader"/>
    </w:pPr>
    <w:bookmarkStart w:id="9" w:name="HeaderDocketNo"/>
    <w:bookmarkEnd w:id="9"/>
    <w:r>
      <w:t>DOCKET NO. 150069-WS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485C">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7F1" w:rsidRDefault="00CE47F1" w:rsidP="00CE47F1">
    <w:pPr>
      <w:pStyle w:val="OrderHeader"/>
      <w:tabs>
        <w:tab w:val="clear" w:pos="4320"/>
        <w:tab w:val="clear" w:pos="8640"/>
        <w:tab w:val="right" w:pos="9360"/>
      </w:tabs>
    </w:pPr>
    <w:r>
      <w:t xml:space="preserve">ORDER NO. </w:t>
    </w:r>
    <w:r w:rsidR="00DF4AA8">
      <w:fldChar w:fldCharType="begin"/>
    </w:r>
    <w:r w:rsidR="00DF4AA8">
      <w:instrText xml:space="preserve"> REF OrderNo0173 </w:instrText>
    </w:r>
    <w:r w:rsidR="00DF4AA8">
      <w:fldChar w:fldCharType="separate"/>
    </w:r>
    <w:r w:rsidR="007D485C">
      <w:t>PSC-15-0173-PAA-WS</w:t>
    </w:r>
    <w:r w:rsidR="00DF4AA8">
      <w:fldChar w:fldCharType="end"/>
    </w:r>
    <w:r>
      <w:tab/>
      <w:t>ATTACHMENT A</w:t>
    </w:r>
  </w:p>
  <w:p w:rsidR="00CE47F1" w:rsidRDefault="00CE47F1">
    <w:pPr>
      <w:pStyle w:val="OrderHeader"/>
    </w:pPr>
    <w:r>
      <w:t>DOCKET NO. 150069-WS</w:t>
    </w:r>
  </w:p>
  <w:p w:rsidR="00CE47F1" w:rsidRDefault="00CE47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485C">
      <w:rPr>
        <w:rStyle w:val="PageNumber"/>
        <w:noProof/>
      </w:rPr>
      <w:t>5</w:t>
    </w:r>
    <w:r>
      <w:rPr>
        <w:rStyle w:val="PageNumber"/>
      </w:rPr>
      <w:fldChar w:fldCharType="end"/>
    </w:r>
  </w:p>
  <w:p w:rsidR="00CE47F1" w:rsidRDefault="00CE47F1">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7F1" w:rsidRDefault="00CE47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7F1" w:rsidRDefault="00CE47F1" w:rsidP="00CE47F1">
    <w:pPr>
      <w:pStyle w:val="OrderHeader"/>
      <w:tabs>
        <w:tab w:val="clear" w:pos="4320"/>
        <w:tab w:val="clear" w:pos="8640"/>
        <w:tab w:val="right" w:pos="9360"/>
      </w:tabs>
    </w:pPr>
    <w:r>
      <w:t xml:space="preserve">ORDER NO. </w:t>
    </w:r>
    <w:r w:rsidR="00DF4AA8">
      <w:fldChar w:fldCharType="begin"/>
    </w:r>
    <w:r w:rsidR="00DF4AA8">
      <w:instrText xml:space="preserve"> REF OrderNo0173 </w:instrText>
    </w:r>
    <w:r w:rsidR="00DF4AA8">
      <w:fldChar w:fldCharType="separate"/>
    </w:r>
    <w:r w:rsidR="007D485C">
      <w:t>PSC-15-0173-PAA-WS</w:t>
    </w:r>
    <w:r w:rsidR="00DF4AA8">
      <w:fldChar w:fldCharType="end"/>
    </w:r>
    <w:r>
      <w:tab/>
      <w:t>SCHEDULE 1-A</w:t>
    </w:r>
  </w:p>
  <w:p w:rsidR="00CE47F1" w:rsidRDefault="00CE47F1">
    <w:pPr>
      <w:pStyle w:val="OrderHeader"/>
    </w:pPr>
    <w:r>
      <w:t>DOCKET NO. 150069-WS</w:t>
    </w:r>
  </w:p>
  <w:p w:rsidR="00CE47F1" w:rsidRDefault="00CE47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485C">
      <w:rPr>
        <w:rStyle w:val="PageNumber"/>
        <w:noProof/>
      </w:rPr>
      <w:t>6</w:t>
    </w:r>
    <w:r>
      <w:rPr>
        <w:rStyle w:val="PageNumber"/>
      </w:rPr>
      <w:fldChar w:fldCharType="end"/>
    </w:r>
  </w:p>
  <w:p w:rsidR="00CE47F1" w:rsidRDefault="00CE47F1">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7F1" w:rsidRDefault="00CE47F1" w:rsidP="00CE47F1">
    <w:pPr>
      <w:pStyle w:val="OrderHeader"/>
      <w:tabs>
        <w:tab w:val="clear" w:pos="4320"/>
        <w:tab w:val="clear" w:pos="8640"/>
        <w:tab w:val="right" w:pos="9360"/>
      </w:tabs>
    </w:pPr>
    <w:r>
      <w:t xml:space="preserve">ORDER NO. </w:t>
    </w:r>
    <w:r w:rsidR="00DF4AA8">
      <w:fldChar w:fldCharType="begin"/>
    </w:r>
    <w:r w:rsidR="00DF4AA8">
      <w:instrText xml:space="preserve"> REF OrderNo0173 </w:instrText>
    </w:r>
    <w:r w:rsidR="00DF4AA8">
      <w:fldChar w:fldCharType="separate"/>
    </w:r>
    <w:r w:rsidR="007D485C">
      <w:t>PSC-15-0173-PAA-WS</w:t>
    </w:r>
    <w:r w:rsidR="00DF4AA8">
      <w:fldChar w:fldCharType="end"/>
    </w:r>
    <w:r>
      <w:tab/>
      <w:t>SCHEDULE 1-B</w:t>
    </w:r>
  </w:p>
  <w:p w:rsidR="00CE47F1" w:rsidRDefault="00CE47F1">
    <w:pPr>
      <w:pStyle w:val="OrderHeader"/>
    </w:pPr>
    <w:r>
      <w:t>DOCKET NO. 150069-WS</w:t>
    </w:r>
  </w:p>
  <w:p w:rsidR="00CE47F1" w:rsidRDefault="00CE47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485C">
      <w:rPr>
        <w:rStyle w:val="PageNumber"/>
        <w:noProof/>
      </w:rPr>
      <w:t>7</w:t>
    </w:r>
    <w:r>
      <w:rPr>
        <w:rStyle w:val="PageNumber"/>
      </w:rPr>
      <w:fldChar w:fldCharType="end"/>
    </w:r>
  </w:p>
  <w:p w:rsidR="00CE47F1" w:rsidRDefault="00CE47F1">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9-WS"/>
  </w:docVars>
  <w:rsids>
    <w:rsidRoot w:val="00DB5FBC"/>
    <w:rsid w:val="000022B8"/>
    <w:rsid w:val="00053AB9"/>
    <w:rsid w:val="00056229"/>
    <w:rsid w:val="00065FC2"/>
    <w:rsid w:val="00090AFC"/>
    <w:rsid w:val="000D06E8"/>
    <w:rsid w:val="000E344D"/>
    <w:rsid w:val="000F3B2C"/>
    <w:rsid w:val="000F7BE3"/>
    <w:rsid w:val="00116AD3"/>
    <w:rsid w:val="00126593"/>
    <w:rsid w:val="00142A96"/>
    <w:rsid w:val="00187E32"/>
    <w:rsid w:val="00190120"/>
    <w:rsid w:val="00194E81"/>
    <w:rsid w:val="001A33C9"/>
    <w:rsid w:val="001D008A"/>
    <w:rsid w:val="002002ED"/>
    <w:rsid w:val="0022721A"/>
    <w:rsid w:val="00230BB9"/>
    <w:rsid w:val="00252A52"/>
    <w:rsid w:val="00277D1C"/>
    <w:rsid w:val="002A11AC"/>
    <w:rsid w:val="002A6F30"/>
    <w:rsid w:val="002D7D15"/>
    <w:rsid w:val="00303FDE"/>
    <w:rsid w:val="00312C8A"/>
    <w:rsid w:val="003140E8"/>
    <w:rsid w:val="003231C7"/>
    <w:rsid w:val="00331ED0"/>
    <w:rsid w:val="0035495B"/>
    <w:rsid w:val="003744F5"/>
    <w:rsid w:val="00390DD8"/>
    <w:rsid w:val="00394DC6"/>
    <w:rsid w:val="00397C3E"/>
    <w:rsid w:val="003D4CCA"/>
    <w:rsid w:val="003D6416"/>
    <w:rsid w:val="003E1D48"/>
    <w:rsid w:val="00446A79"/>
    <w:rsid w:val="00457DC7"/>
    <w:rsid w:val="00472BCC"/>
    <w:rsid w:val="004A25CD"/>
    <w:rsid w:val="004A26CC"/>
    <w:rsid w:val="004A4240"/>
    <w:rsid w:val="004B2108"/>
    <w:rsid w:val="004B3A2B"/>
    <w:rsid w:val="004D2D1B"/>
    <w:rsid w:val="004F2DDE"/>
    <w:rsid w:val="0050097F"/>
    <w:rsid w:val="00514B1F"/>
    <w:rsid w:val="00536E5F"/>
    <w:rsid w:val="00556A10"/>
    <w:rsid w:val="005963C2"/>
    <w:rsid w:val="005B45F7"/>
    <w:rsid w:val="005B63EA"/>
    <w:rsid w:val="005F693D"/>
    <w:rsid w:val="00660774"/>
    <w:rsid w:val="00665CC7"/>
    <w:rsid w:val="006A0BF3"/>
    <w:rsid w:val="006B0DA6"/>
    <w:rsid w:val="006C547E"/>
    <w:rsid w:val="00704C5D"/>
    <w:rsid w:val="00733B6B"/>
    <w:rsid w:val="0076170F"/>
    <w:rsid w:val="0076669C"/>
    <w:rsid w:val="007865E9"/>
    <w:rsid w:val="00792383"/>
    <w:rsid w:val="007D3D20"/>
    <w:rsid w:val="007D485C"/>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21708"/>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47F1"/>
    <w:rsid w:val="00D30B48"/>
    <w:rsid w:val="00D46FAA"/>
    <w:rsid w:val="00D57BB2"/>
    <w:rsid w:val="00D8560E"/>
    <w:rsid w:val="00D8758F"/>
    <w:rsid w:val="00DB5FBC"/>
    <w:rsid w:val="00DC1D94"/>
    <w:rsid w:val="00DE057F"/>
    <w:rsid w:val="00DE2082"/>
    <w:rsid w:val="00DE2289"/>
    <w:rsid w:val="00DF4AA8"/>
    <w:rsid w:val="00E04410"/>
    <w:rsid w:val="00E11351"/>
    <w:rsid w:val="00E943B8"/>
    <w:rsid w:val="00EA172C"/>
    <w:rsid w:val="00EA259B"/>
    <w:rsid w:val="00EA35A3"/>
    <w:rsid w:val="00EA3E6A"/>
    <w:rsid w:val="00EB18EF"/>
    <w:rsid w:val="00EE17DF"/>
    <w:rsid w:val="00EF4621"/>
    <w:rsid w:val="00F277B6"/>
    <w:rsid w:val="00F54380"/>
    <w:rsid w:val="00F54B47"/>
    <w:rsid w:val="00F86FA0"/>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DB5FBC"/>
    <w:pPr>
      <w:autoSpaceDE w:val="0"/>
      <w:autoSpaceDN w:val="0"/>
      <w:adjustRightInd w:val="0"/>
    </w:pPr>
    <w:rPr>
      <w:color w:val="000000"/>
      <w:sz w:val="24"/>
      <w:szCs w:val="24"/>
    </w:rPr>
  </w:style>
  <w:style w:type="paragraph" w:styleId="BalloonText">
    <w:name w:val="Balloon Text"/>
    <w:basedOn w:val="Normal"/>
    <w:link w:val="BalloonTextChar"/>
    <w:rsid w:val="00CE47F1"/>
    <w:rPr>
      <w:rFonts w:ascii="Tahoma" w:hAnsi="Tahoma" w:cs="Tahoma"/>
      <w:sz w:val="16"/>
      <w:szCs w:val="16"/>
    </w:rPr>
  </w:style>
  <w:style w:type="character" w:customStyle="1" w:styleId="BalloonTextChar">
    <w:name w:val="Balloon Text Char"/>
    <w:basedOn w:val="DefaultParagraphFont"/>
    <w:link w:val="BalloonText"/>
    <w:rsid w:val="00CE4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DB5FBC"/>
    <w:pPr>
      <w:autoSpaceDE w:val="0"/>
      <w:autoSpaceDN w:val="0"/>
      <w:adjustRightInd w:val="0"/>
    </w:pPr>
    <w:rPr>
      <w:color w:val="000000"/>
      <w:sz w:val="24"/>
      <w:szCs w:val="24"/>
    </w:rPr>
  </w:style>
  <w:style w:type="paragraph" w:styleId="BalloonText">
    <w:name w:val="Balloon Text"/>
    <w:basedOn w:val="Normal"/>
    <w:link w:val="BalloonTextChar"/>
    <w:rsid w:val="00CE47F1"/>
    <w:rPr>
      <w:rFonts w:ascii="Tahoma" w:hAnsi="Tahoma" w:cs="Tahoma"/>
      <w:sz w:val="16"/>
      <w:szCs w:val="16"/>
    </w:rPr>
  </w:style>
  <w:style w:type="character" w:customStyle="1" w:styleId="BalloonTextChar">
    <w:name w:val="Balloon Text Char"/>
    <w:basedOn w:val="DefaultParagraphFont"/>
    <w:link w:val="BalloonText"/>
    <w:rsid w:val="00CE4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4138-4B70-4B7A-80BF-8E98230B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7</Pages>
  <Words>1402</Words>
  <Characters>8376</Characters>
  <Application>Microsoft Office Word</Application>
  <DocSecurity>0</DocSecurity>
  <Lines>69</Lines>
  <Paragraphs>19</Paragraphs>
  <ScaleCrop>false</ScaleCrop>
  <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2015-05-05T17:58:00Z</dcterms:created>
  <dcterms:modified xsi:type="dcterms:W3CDTF">2015-05-05T18:04:00Z</dcterms:modified>
</cp:coreProperties>
</file>