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1C4C" w:rsidP="00071C4C">
      <w:pPr>
        <w:pStyle w:val="OrderHeading"/>
      </w:pPr>
      <w:r>
        <w:t>BEFORE THE FLORIDA PUBLIC SERVICE COMMISSION</w:t>
      </w:r>
    </w:p>
    <w:p w:rsidR="00071C4C" w:rsidRDefault="00071C4C" w:rsidP="00071C4C">
      <w:pPr>
        <w:pStyle w:val="OrderHeading"/>
      </w:pPr>
    </w:p>
    <w:p w:rsidR="00071C4C" w:rsidRDefault="00071C4C" w:rsidP="00071C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1C4C" w:rsidRPr="00C63FCF" w:rsidTr="00C63FCF">
        <w:trPr>
          <w:trHeight w:val="828"/>
        </w:trPr>
        <w:tc>
          <w:tcPr>
            <w:tcW w:w="4788" w:type="dxa"/>
            <w:tcBorders>
              <w:bottom w:val="single" w:sz="8" w:space="0" w:color="auto"/>
              <w:right w:val="double" w:sz="6" w:space="0" w:color="auto"/>
            </w:tcBorders>
            <w:shd w:val="clear" w:color="auto" w:fill="auto"/>
          </w:tcPr>
          <w:p w:rsidR="00071C4C" w:rsidRDefault="00071C4C"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Brevard County by Brevard Waterworks, Inc.</w:t>
            </w:r>
          </w:p>
        </w:tc>
        <w:tc>
          <w:tcPr>
            <w:tcW w:w="4788" w:type="dxa"/>
            <w:tcBorders>
              <w:left w:val="double" w:sz="6" w:space="0" w:color="auto"/>
            </w:tcBorders>
            <w:shd w:val="clear" w:color="auto" w:fill="auto"/>
          </w:tcPr>
          <w:p w:rsidR="00071C4C" w:rsidRDefault="00071C4C" w:rsidP="00071C4C">
            <w:pPr>
              <w:pStyle w:val="OrderBody"/>
            </w:pPr>
            <w:r>
              <w:t xml:space="preserve">DOCKET NO. </w:t>
            </w:r>
            <w:bookmarkStart w:id="1" w:name="SSDocketNo"/>
            <w:bookmarkEnd w:id="1"/>
            <w:r>
              <w:t>150065-WU</w:t>
            </w:r>
          </w:p>
          <w:p w:rsidR="00071C4C" w:rsidRDefault="00071C4C" w:rsidP="00C63FCF">
            <w:pPr>
              <w:pStyle w:val="OrderBody"/>
              <w:tabs>
                <w:tab w:val="center" w:pos="4320"/>
                <w:tab w:val="right" w:pos="8640"/>
              </w:tabs>
              <w:jc w:val="left"/>
            </w:pPr>
            <w:r>
              <w:t xml:space="preserve">ORDER NO. </w:t>
            </w:r>
            <w:bookmarkStart w:id="2" w:name="OrderNo0188"/>
            <w:r w:rsidR="00F03240">
              <w:t>PSC-15-0188-TRF-WU</w:t>
            </w:r>
            <w:bookmarkEnd w:id="2"/>
          </w:p>
          <w:p w:rsidR="00071C4C" w:rsidRDefault="00071C4C" w:rsidP="00C63FCF">
            <w:pPr>
              <w:pStyle w:val="OrderBody"/>
              <w:tabs>
                <w:tab w:val="center" w:pos="4320"/>
                <w:tab w:val="right" w:pos="8640"/>
              </w:tabs>
              <w:jc w:val="left"/>
            </w:pPr>
            <w:r>
              <w:t xml:space="preserve">ISSUED: </w:t>
            </w:r>
            <w:r w:rsidR="00F03240">
              <w:t>May 6, 2015</w:t>
            </w:r>
          </w:p>
        </w:tc>
      </w:tr>
    </w:tbl>
    <w:p w:rsidR="00071C4C" w:rsidRDefault="00071C4C" w:rsidP="00071C4C"/>
    <w:p w:rsidR="00071C4C" w:rsidRDefault="00071C4C" w:rsidP="00071C4C"/>
    <w:p w:rsidR="00071C4C" w:rsidRPr="00E46E1F" w:rsidRDefault="00071C4C">
      <w:pPr>
        <w:ind w:firstLine="720"/>
        <w:jc w:val="both"/>
      </w:pPr>
      <w:bookmarkStart w:id="3" w:name="Commissioners"/>
      <w:bookmarkEnd w:id="3"/>
      <w:r w:rsidRPr="00E46E1F">
        <w:t>The following Commissioners participated in the disposition of this matter:</w:t>
      </w:r>
    </w:p>
    <w:p w:rsidR="00071C4C" w:rsidRPr="00E46E1F" w:rsidRDefault="00071C4C"/>
    <w:p w:rsidR="00071C4C" w:rsidRDefault="00071C4C">
      <w:pPr>
        <w:jc w:val="center"/>
      </w:pPr>
      <w:r>
        <w:t>ART GRAHAM</w:t>
      </w:r>
      <w:r w:rsidRPr="00E46E1F">
        <w:t>, Chairman</w:t>
      </w:r>
    </w:p>
    <w:p w:rsidR="00071C4C" w:rsidRPr="00E46E1F" w:rsidRDefault="00071C4C">
      <w:pPr>
        <w:jc w:val="center"/>
      </w:pPr>
      <w:r w:rsidRPr="00E46E1F">
        <w:t>LISA POLAK EDGAR</w:t>
      </w:r>
    </w:p>
    <w:p w:rsidR="00071C4C" w:rsidRDefault="00071C4C">
      <w:pPr>
        <w:jc w:val="center"/>
      </w:pPr>
      <w:r>
        <w:t>RONALD A. BRISÉ</w:t>
      </w:r>
    </w:p>
    <w:p w:rsidR="00071C4C" w:rsidRDefault="00071C4C">
      <w:pPr>
        <w:jc w:val="center"/>
      </w:pPr>
      <w:r>
        <w:t>JULIE I. BROWN</w:t>
      </w:r>
    </w:p>
    <w:p w:rsidR="00071C4C" w:rsidRDefault="00071C4C">
      <w:pPr>
        <w:jc w:val="center"/>
      </w:pPr>
      <w:r>
        <w:t>JIMMY PATRONIS</w:t>
      </w:r>
    </w:p>
    <w:p w:rsidR="00CB5276" w:rsidRDefault="00CB5276">
      <w:pPr>
        <w:pStyle w:val="OrderBody"/>
      </w:pPr>
    </w:p>
    <w:p w:rsidR="00071C4C" w:rsidRDefault="00071C4C" w:rsidP="00071C4C">
      <w:pPr>
        <w:pStyle w:val="CenterUnderline"/>
      </w:pPr>
      <w:r>
        <w:t>ORDER</w:t>
      </w:r>
      <w:bookmarkStart w:id="4" w:name="OrderTitle"/>
      <w:r>
        <w:t xml:space="preserve"> </w:t>
      </w:r>
      <w:r w:rsidR="00AE31FF" w:rsidRPr="00AE31FF">
        <w:t>APPROVING MISCELLANEOUS SERVICE CHARGE</w:t>
      </w:r>
      <w:r>
        <w:t xml:space="preserve"> </w:t>
      </w:r>
      <w:bookmarkEnd w:id="4"/>
    </w:p>
    <w:p w:rsidR="00071C4C" w:rsidRDefault="00071C4C" w:rsidP="00071C4C">
      <w:pPr>
        <w:pStyle w:val="CenterUnderline"/>
      </w:pPr>
    </w:p>
    <w:p w:rsidR="00071C4C" w:rsidRDefault="00071C4C" w:rsidP="00071C4C">
      <w:pPr>
        <w:pStyle w:val="OrderBody"/>
      </w:pPr>
      <w:r>
        <w:t>BY THE COMMISSION:</w:t>
      </w:r>
    </w:p>
    <w:p w:rsidR="00CB5276" w:rsidRDefault="00CB5276">
      <w:pPr>
        <w:pStyle w:val="OrderBody"/>
      </w:pPr>
      <w:bookmarkStart w:id="5" w:name="OrderText"/>
      <w:bookmarkEnd w:id="5"/>
    </w:p>
    <w:p w:rsidR="00CB5276" w:rsidRPr="00071C4C" w:rsidRDefault="00071C4C" w:rsidP="00AE31FF">
      <w:pPr>
        <w:rPr>
          <w:u w:val="single"/>
        </w:rPr>
      </w:pPr>
      <w:r w:rsidRPr="00071C4C">
        <w:rPr>
          <w:u w:val="single"/>
        </w:rPr>
        <w:t>Background</w:t>
      </w:r>
    </w:p>
    <w:p w:rsidR="00071C4C" w:rsidRDefault="00071C4C"/>
    <w:p w:rsidR="00071C4C" w:rsidRDefault="00071C4C" w:rsidP="00071C4C">
      <w:pPr>
        <w:pStyle w:val="MemoHeadingRe"/>
        <w:ind w:firstLine="720"/>
      </w:pPr>
      <w:r w:rsidRPr="007E0B79">
        <w:t xml:space="preserve">Brevard Waterworks, Inc. (Brevard or Utility) is a Class C utility providing water service to approximately 235 customers in Brevard County.  The Utility’s 2013 annual report shows </w:t>
      </w:r>
      <w:r>
        <w:t xml:space="preserve">the Utility reporting </w:t>
      </w:r>
      <w:r w:rsidRPr="007E0B79">
        <w:t xml:space="preserve">gross revenue of $91,613 and </w:t>
      </w:r>
      <w:r>
        <w:t xml:space="preserve">an </w:t>
      </w:r>
      <w:r w:rsidRPr="007E0B79">
        <w:t>operating loss of $7,737.</w:t>
      </w:r>
      <w:r w:rsidRPr="00F634BE">
        <w:t xml:space="preserve"> </w:t>
      </w:r>
    </w:p>
    <w:p w:rsidR="00071C4C" w:rsidRDefault="00071C4C" w:rsidP="00071C4C">
      <w:pPr>
        <w:pStyle w:val="MemoHeadingRe"/>
        <w:ind w:firstLine="720"/>
      </w:pPr>
    </w:p>
    <w:p w:rsidR="00071C4C" w:rsidRDefault="00071C4C" w:rsidP="00071C4C">
      <w:pPr>
        <w:ind w:firstLine="720"/>
        <w:jc w:val="both"/>
      </w:pPr>
      <w:r w:rsidRPr="004C28A6">
        <w:t xml:space="preserve">On February 17, 2015, </w:t>
      </w:r>
      <w:r w:rsidRPr="0047442D">
        <w:t>U.S. Water Services Corporation</w:t>
      </w:r>
      <w:r>
        <w:t xml:space="preserve"> (U.S. </w:t>
      </w:r>
      <w:r w:rsidRPr="00DB6FAC">
        <w:t xml:space="preserve">Water </w:t>
      </w:r>
      <w:r>
        <w:t xml:space="preserve">or Management Company) </w:t>
      </w:r>
      <w:r w:rsidRPr="004C28A6">
        <w:t>filed application</w:t>
      </w:r>
      <w:r>
        <w:t>s</w:t>
      </w:r>
      <w:r w:rsidRPr="004C28A6">
        <w:t xml:space="preserve"> </w:t>
      </w:r>
      <w:r>
        <w:t>for all 13 of its regulated utilities requesting the</w:t>
      </w:r>
      <w:r w:rsidRPr="004C28A6">
        <w:t xml:space="preserve"> approval of a tariff amendment to charge customers who opt to pay their </w:t>
      </w:r>
      <w:r w:rsidRPr="0047442D">
        <w:t>water or wastewater</w:t>
      </w:r>
      <w:r w:rsidRPr="004C28A6">
        <w:t xml:space="preserve"> bill by debit or credit card</w:t>
      </w:r>
      <w:r>
        <w:t xml:space="preserve"> online or by way of telephone</w:t>
      </w:r>
      <w:r w:rsidRPr="004C28A6">
        <w:t>.</w:t>
      </w:r>
      <w:r>
        <w:t xml:space="preserve">  </w:t>
      </w:r>
      <w:r w:rsidR="00AE31FF">
        <w:t>We have</w:t>
      </w:r>
      <w:r w:rsidRPr="004C28A6">
        <w:t xml:space="preserve"> jurisdiction pursuant to Section 367.091, Florida Statutes (F.S.).</w:t>
      </w:r>
    </w:p>
    <w:p w:rsidR="00071C4C" w:rsidRDefault="00071C4C"/>
    <w:p w:rsidR="00071C4C" w:rsidRPr="00071C4C" w:rsidRDefault="00071C4C" w:rsidP="00AE31FF">
      <w:pPr>
        <w:rPr>
          <w:u w:val="single"/>
        </w:rPr>
      </w:pPr>
      <w:r w:rsidRPr="00071C4C">
        <w:rPr>
          <w:u w:val="single"/>
        </w:rPr>
        <w:t>Decision</w:t>
      </w:r>
    </w:p>
    <w:p w:rsidR="00071C4C" w:rsidRDefault="00071C4C"/>
    <w:p w:rsidR="00071C4C" w:rsidRPr="00071C4C" w:rsidRDefault="00071C4C" w:rsidP="00AE31FF">
      <w:pPr>
        <w:ind w:firstLine="720"/>
        <w:jc w:val="both"/>
      </w:pPr>
      <w:r w:rsidRPr="00071C4C">
        <w:t xml:space="preserve">Section 367.091, F.S., authorizes </w:t>
      </w:r>
      <w:r w:rsidR="00AE31FF">
        <w:t>this</w:t>
      </w:r>
      <w:r w:rsidRPr="00071C4C">
        <w:t xml:space="preserve"> Commission to establish, increase, or change a rate or charge other than monthly rates or service availability charges.  Brevard is one of 13 regulated utilities managed by U.S. Water, which shares a common pass-through account established in order to process debit or credit card payments online through the management company’s website.  In its application, the Utility noted having a common pass-through bank account creates a cost savings by the management company only having to pay for one merchant account with TD Bank instead of 13 separate accounts.  Additionally, the Utility has previously been absorbing the transaction costs, but with the increasing number of online payments and requests from customers for the Utility to also offer a telephonic payment option, the Utility has requested to amend its tariff sheet for miscellaneous service charges to include a convenience fee of $2.60.  The requested convenience charge is designed to recover costs incurred for debit or credit card </w:t>
      </w:r>
      <w:r w:rsidRPr="00071C4C">
        <w:lastRenderedPageBreak/>
        <w:t xml:space="preserve">processing online or by way of telephone and the Utility staff time required for processing the transactions. </w:t>
      </w:r>
    </w:p>
    <w:p w:rsidR="00071C4C" w:rsidRPr="00071C4C" w:rsidRDefault="00071C4C" w:rsidP="00071C4C">
      <w:pPr>
        <w:jc w:val="both"/>
      </w:pPr>
    </w:p>
    <w:p w:rsidR="00071C4C" w:rsidRDefault="00071C4C" w:rsidP="00071C4C">
      <w:pPr>
        <w:ind w:firstLine="720"/>
        <w:jc w:val="both"/>
      </w:pPr>
      <w:r w:rsidRPr="00071C4C">
        <w:t xml:space="preserve">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of 603 percent resulting in an annual cost of $9,912.  As required by Section 367.091, F.S., the Utility’s cost analysis breakdown for its requested charge is shown on the following </w:t>
      </w:r>
      <w:r>
        <w:t>table</w:t>
      </w:r>
      <w:r w:rsidRPr="00071C4C">
        <w:t>.</w:t>
      </w:r>
    </w:p>
    <w:p w:rsidR="00071C4C" w:rsidRPr="00071C4C" w:rsidRDefault="00071C4C" w:rsidP="00071C4C">
      <w:pPr>
        <w:ind w:firstLine="720"/>
        <w:jc w:val="both"/>
      </w:pPr>
    </w:p>
    <w:tbl>
      <w:tblPr>
        <w:tblW w:w="9050" w:type="dxa"/>
        <w:jc w:val="center"/>
        <w:tblLook w:val="04A0" w:firstRow="1" w:lastRow="0" w:firstColumn="1" w:lastColumn="0" w:noHBand="0" w:noVBand="1"/>
      </w:tblPr>
      <w:tblGrid>
        <w:gridCol w:w="4525"/>
        <w:gridCol w:w="4525"/>
      </w:tblGrid>
      <w:tr w:rsidR="00071C4C" w:rsidRPr="00071C4C" w:rsidTr="00CB4281">
        <w:trPr>
          <w:trHeight w:val="151"/>
          <w:jc w:val="center"/>
        </w:trPr>
        <w:tc>
          <w:tcPr>
            <w:tcW w:w="9050" w:type="dxa"/>
            <w:gridSpan w:val="2"/>
            <w:shd w:val="clear" w:color="auto" w:fill="auto"/>
          </w:tcPr>
          <w:p w:rsidR="00071C4C" w:rsidRPr="00071C4C" w:rsidRDefault="00071C4C" w:rsidP="00071C4C">
            <w:pPr>
              <w:jc w:val="center"/>
              <w:rPr>
                <w:u w:val="single"/>
              </w:rPr>
            </w:pPr>
            <w:r w:rsidRPr="00071C4C">
              <w:rPr>
                <w:u w:val="single"/>
              </w:rPr>
              <w:t>Breakdown of Requested Charge</w:t>
            </w:r>
          </w:p>
          <w:p w:rsidR="00071C4C" w:rsidRPr="00071C4C" w:rsidRDefault="00071C4C" w:rsidP="00071C4C">
            <w:pPr>
              <w:jc w:val="center"/>
              <w:rPr>
                <w:u w:val="single"/>
              </w:rPr>
            </w:pPr>
          </w:p>
        </w:tc>
      </w:tr>
      <w:tr w:rsidR="00071C4C" w:rsidRPr="00071C4C" w:rsidTr="00CB4281">
        <w:trPr>
          <w:trHeight w:val="176"/>
          <w:jc w:val="center"/>
        </w:trPr>
        <w:tc>
          <w:tcPr>
            <w:tcW w:w="4525" w:type="dxa"/>
            <w:shd w:val="clear" w:color="auto" w:fill="auto"/>
            <w:noWrap/>
            <w:hideMark/>
          </w:tcPr>
          <w:p w:rsidR="00071C4C" w:rsidRPr="00071C4C" w:rsidRDefault="00071C4C" w:rsidP="00071C4C">
            <w:pPr>
              <w:rPr>
                <w:color w:val="000000"/>
              </w:rPr>
            </w:pPr>
            <w:r w:rsidRPr="00071C4C">
              <w:rPr>
                <w:color w:val="000000"/>
              </w:rPr>
              <w:t>Bank and credit card company fee</w:t>
            </w:r>
          </w:p>
        </w:tc>
        <w:tc>
          <w:tcPr>
            <w:tcW w:w="4525" w:type="dxa"/>
            <w:shd w:val="clear" w:color="auto" w:fill="auto"/>
            <w:vAlign w:val="bottom"/>
          </w:tcPr>
          <w:p w:rsidR="00071C4C" w:rsidRPr="00071C4C" w:rsidRDefault="00071C4C" w:rsidP="00071C4C">
            <w:pPr>
              <w:jc w:val="right"/>
              <w:rPr>
                <w:color w:val="000000"/>
              </w:rPr>
            </w:pPr>
            <w:r w:rsidRPr="00071C4C">
              <w:rPr>
                <w:color w:val="000000"/>
              </w:rPr>
              <w:t xml:space="preserve">$1.60 </w:t>
            </w:r>
          </w:p>
        </w:tc>
      </w:tr>
      <w:tr w:rsidR="00071C4C" w:rsidRPr="00071C4C" w:rsidTr="00CB4281">
        <w:trPr>
          <w:trHeight w:val="176"/>
          <w:jc w:val="center"/>
        </w:trPr>
        <w:tc>
          <w:tcPr>
            <w:tcW w:w="4525" w:type="dxa"/>
            <w:shd w:val="clear" w:color="auto" w:fill="auto"/>
            <w:noWrap/>
            <w:hideMark/>
          </w:tcPr>
          <w:p w:rsidR="00071C4C" w:rsidRPr="00071C4C" w:rsidRDefault="00071C4C" w:rsidP="00071C4C">
            <w:pPr>
              <w:rPr>
                <w:color w:val="000000"/>
              </w:rPr>
            </w:pPr>
            <w:r w:rsidRPr="00071C4C">
              <w:rPr>
                <w:color w:val="000000"/>
              </w:rPr>
              <w:t>1-Transact gateway fee per transaction</w:t>
            </w:r>
          </w:p>
        </w:tc>
        <w:tc>
          <w:tcPr>
            <w:tcW w:w="4525" w:type="dxa"/>
            <w:shd w:val="clear" w:color="auto" w:fill="auto"/>
            <w:vAlign w:val="bottom"/>
          </w:tcPr>
          <w:p w:rsidR="00071C4C" w:rsidRPr="00071C4C" w:rsidRDefault="00071C4C" w:rsidP="00071C4C">
            <w:pPr>
              <w:jc w:val="right"/>
              <w:rPr>
                <w:color w:val="000000"/>
              </w:rPr>
            </w:pPr>
            <w:r w:rsidRPr="00071C4C">
              <w:rPr>
                <w:color w:val="000000"/>
              </w:rPr>
              <w:t xml:space="preserve">$0.60 </w:t>
            </w:r>
          </w:p>
        </w:tc>
      </w:tr>
      <w:tr w:rsidR="00071C4C" w:rsidRPr="00071C4C" w:rsidTr="00CB4281">
        <w:trPr>
          <w:trHeight w:val="176"/>
          <w:jc w:val="center"/>
        </w:trPr>
        <w:tc>
          <w:tcPr>
            <w:tcW w:w="4525" w:type="dxa"/>
            <w:shd w:val="clear" w:color="auto" w:fill="auto"/>
            <w:noWrap/>
            <w:hideMark/>
          </w:tcPr>
          <w:p w:rsidR="00071C4C" w:rsidRPr="00071C4C" w:rsidRDefault="00071C4C" w:rsidP="00071C4C">
            <w:pPr>
              <w:rPr>
                <w:color w:val="000000"/>
              </w:rPr>
            </w:pPr>
            <w:r w:rsidRPr="00071C4C">
              <w:rPr>
                <w:color w:val="000000"/>
              </w:rPr>
              <w:t xml:space="preserve">Telephonic processing fee </w:t>
            </w:r>
          </w:p>
        </w:tc>
        <w:tc>
          <w:tcPr>
            <w:tcW w:w="4525" w:type="dxa"/>
            <w:shd w:val="clear" w:color="auto" w:fill="auto"/>
            <w:vAlign w:val="bottom"/>
          </w:tcPr>
          <w:p w:rsidR="00071C4C" w:rsidRPr="00071C4C" w:rsidRDefault="00071C4C" w:rsidP="00071C4C">
            <w:pPr>
              <w:jc w:val="right"/>
              <w:rPr>
                <w:color w:val="000000"/>
              </w:rPr>
            </w:pPr>
            <w:r w:rsidRPr="00071C4C">
              <w:rPr>
                <w:color w:val="000000"/>
              </w:rPr>
              <w:t xml:space="preserve">$0.10 </w:t>
            </w:r>
          </w:p>
        </w:tc>
      </w:tr>
      <w:tr w:rsidR="00071C4C" w:rsidRPr="00071C4C" w:rsidTr="00CB4281">
        <w:trPr>
          <w:trHeight w:val="176"/>
          <w:jc w:val="center"/>
        </w:trPr>
        <w:tc>
          <w:tcPr>
            <w:tcW w:w="4525" w:type="dxa"/>
            <w:shd w:val="clear" w:color="auto" w:fill="auto"/>
            <w:noWrap/>
            <w:hideMark/>
          </w:tcPr>
          <w:p w:rsidR="00071C4C" w:rsidRPr="00071C4C" w:rsidRDefault="00071C4C" w:rsidP="00071C4C">
            <w:pPr>
              <w:rPr>
                <w:color w:val="000000"/>
              </w:rPr>
            </w:pPr>
            <w:r w:rsidRPr="00071C4C">
              <w:rPr>
                <w:color w:val="000000"/>
              </w:rPr>
              <w:t xml:space="preserve">Authorization fee </w:t>
            </w:r>
          </w:p>
        </w:tc>
        <w:tc>
          <w:tcPr>
            <w:tcW w:w="4525" w:type="dxa"/>
            <w:shd w:val="clear" w:color="auto" w:fill="auto"/>
            <w:vAlign w:val="bottom"/>
          </w:tcPr>
          <w:p w:rsidR="00071C4C" w:rsidRPr="00071C4C" w:rsidRDefault="00071C4C" w:rsidP="00071C4C">
            <w:pPr>
              <w:jc w:val="right"/>
              <w:rPr>
                <w:color w:val="000000"/>
              </w:rPr>
            </w:pPr>
            <w:r w:rsidRPr="00071C4C">
              <w:rPr>
                <w:color w:val="000000"/>
              </w:rPr>
              <w:t xml:space="preserve">$0.05 </w:t>
            </w:r>
          </w:p>
        </w:tc>
      </w:tr>
      <w:tr w:rsidR="00071C4C" w:rsidRPr="00071C4C" w:rsidTr="00CB4281">
        <w:trPr>
          <w:trHeight w:val="176"/>
          <w:jc w:val="center"/>
        </w:trPr>
        <w:tc>
          <w:tcPr>
            <w:tcW w:w="4525" w:type="dxa"/>
            <w:shd w:val="clear" w:color="auto" w:fill="auto"/>
            <w:noWrap/>
            <w:hideMark/>
          </w:tcPr>
          <w:p w:rsidR="00071C4C" w:rsidRPr="00071C4C" w:rsidRDefault="00071C4C" w:rsidP="00071C4C">
            <w:pPr>
              <w:rPr>
                <w:color w:val="000000"/>
              </w:rPr>
            </w:pPr>
            <w:r w:rsidRPr="00071C4C">
              <w:rPr>
                <w:color w:val="000000"/>
              </w:rPr>
              <w:t xml:space="preserve">Monthly telephonic account fee </w:t>
            </w:r>
          </w:p>
        </w:tc>
        <w:tc>
          <w:tcPr>
            <w:tcW w:w="4525" w:type="dxa"/>
            <w:shd w:val="clear" w:color="auto" w:fill="auto"/>
            <w:vAlign w:val="bottom"/>
          </w:tcPr>
          <w:p w:rsidR="00071C4C" w:rsidRPr="00071C4C" w:rsidRDefault="00071C4C" w:rsidP="00071C4C">
            <w:pPr>
              <w:jc w:val="right"/>
              <w:rPr>
                <w:color w:val="000000"/>
              </w:rPr>
            </w:pPr>
            <w:r w:rsidRPr="00071C4C">
              <w:rPr>
                <w:color w:val="000000"/>
              </w:rPr>
              <w:t xml:space="preserve">$0.07 </w:t>
            </w:r>
          </w:p>
        </w:tc>
      </w:tr>
      <w:tr w:rsidR="00071C4C" w:rsidRPr="00071C4C" w:rsidTr="00CB4281">
        <w:trPr>
          <w:trHeight w:val="176"/>
          <w:jc w:val="center"/>
        </w:trPr>
        <w:tc>
          <w:tcPr>
            <w:tcW w:w="4525" w:type="dxa"/>
            <w:shd w:val="clear" w:color="auto" w:fill="auto"/>
            <w:noWrap/>
            <w:hideMark/>
          </w:tcPr>
          <w:p w:rsidR="00071C4C" w:rsidRPr="00071C4C" w:rsidRDefault="00071C4C" w:rsidP="00071C4C">
            <w:pPr>
              <w:rPr>
                <w:color w:val="000000"/>
              </w:rPr>
            </w:pPr>
            <w:r w:rsidRPr="00071C4C">
              <w:rPr>
                <w:color w:val="000000"/>
              </w:rPr>
              <w:t xml:space="preserve">Accounting staff </w:t>
            </w:r>
          </w:p>
        </w:tc>
        <w:tc>
          <w:tcPr>
            <w:tcW w:w="4525" w:type="dxa"/>
            <w:shd w:val="clear" w:color="auto" w:fill="auto"/>
            <w:vAlign w:val="bottom"/>
          </w:tcPr>
          <w:p w:rsidR="00071C4C" w:rsidRPr="00071C4C" w:rsidRDefault="00071C4C" w:rsidP="00071C4C">
            <w:pPr>
              <w:jc w:val="right"/>
              <w:rPr>
                <w:color w:val="000000"/>
              </w:rPr>
            </w:pPr>
            <w:r w:rsidRPr="00071C4C">
              <w:rPr>
                <w:color w:val="000000"/>
              </w:rPr>
              <w:t xml:space="preserve">$0.09 </w:t>
            </w:r>
          </w:p>
        </w:tc>
      </w:tr>
      <w:tr w:rsidR="00071C4C" w:rsidRPr="00071C4C" w:rsidTr="00CB4281">
        <w:trPr>
          <w:trHeight w:val="176"/>
          <w:jc w:val="center"/>
        </w:trPr>
        <w:tc>
          <w:tcPr>
            <w:tcW w:w="4525" w:type="dxa"/>
            <w:shd w:val="clear" w:color="auto" w:fill="auto"/>
            <w:noWrap/>
            <w:hideMark/>
          </w:tcPr>
          <w:p w:rsidR="00071C4C" w:rsidRPr="001F3682" w:rsidRDefault="00071C4C" w:rsidP="00071C4C">
            <w:pPr>
              <w:rPr>
                <w:color w:val="000000"/>
                <w:u w:val="single"/>
              </w:rPr>
            </w:pPr>
            <w:r w:rsidRPr="001F3682">
              <w:rPr>
                <w:color w:val="000000"/>
                <w:u w:val="single"/>
              </w:rPr>
              <w:t>Clerical staff</w:t>
            </w:r>
          </w:p>
        </w:tc>
        <w:tc>
          <w:tcPr>
            <w:tcW w:w="4525" w:type="dxa"/>
            <w:shd w:val="clear" w:color="auto" w:fill="auto"/>
            <w:vAlign w:val="bottom"/>
          </w:tcPr>
          <w:p w:rsidR="00071C4C" w:rsidRPr="00071C4C" w:rsidRDefault="00071C4C" w:rsidP="00071C4C">
            <w:pPr>
              <w:jc w:val="right"/>
              <w:rPr>
                <w:color w:val="000000"/>
                <w:u w:val="single"/>
              </w:rPr>
            </w:pPr>
            <w:r w:rsidRPr="00071C4C">
              <w:rPr>
                <w:color w:val="000000"/>
                <w:u w:val="single"/>
              </w:rPr>
              <w:t xml:space="preserve">$0.09 </w:t>
            </w:r>
          </w:p>
        </w:tc>
      </w:tr>
      <w:tr w:rsidR="00071C4C" w:rsidRPr="00071C4C" w:rsidTr="00CB4281">
        <w:trPr>
          <w:trHeight w:val="176"/>
          <w:jc w:val="center"/>
        </w:trPr>
        <w:tc>
          <w:tcPr>
            <w:tcW w:w="4525" w:type="dxa"/>
            <w:shd w:val="clear" w:color="auto" w:fill="auto"/>
            <w:noWrap/>
            <w:hideMark/>
          </w:tcPr>
          <w:p w:rsidR="00071C4C" w:rsidRPr="001F3682" w:rsidRDefault="00071C4C" w:rsidP="00071C4C">
            <w:pPr>
              <w:rPr>
                <w:color w:val="000000"/>
              </w:rPr>
            </w:pPr>
            <w:r w:rsidRPr="001F3682">
              <w:rPr>
                <w:color w:val="000000"/>
              </w:rPr>
              <w:t>Total Requested Charge</w:t>
            </w:r>
          </w:p>
        </w:tc>
        <w:tc>
          <w:tcPr>
            <w:tcW w:w="4525" w:type="dxa"/>
            <w:shd w:val="clear" w:color="auto" w:fill="auto"/>
            <w:vAlign w:val="bottom"/>
          </w:tcPr>
          <w:p w:rsidR="00071C4C" w:rsidRPr="001F3682" w:rsidRDefault="001F3682" w:rsidP="00071C4C">
            <w:pPr>
              <w:jc w:val="right"/>
              <w:rPr>
                <w:bCs/>
                <w:color w:val="000000"/>
              </w:rPr>
            </w:pPr>
            <w:r>
              <w:rPr>
                <w:bCs/>
                <w:color w:val="000000"/>
              </w:rPr>
              <w:t>$2.60</w:t>
            </w:r>
          </w:p>
        </w:tc>
      </w:tr>
    </w:tbl>
    <w:p w:rsidR="00071C4C" w:rsidRPr="00071C4C" w:rsidRDefault="00071C4C" w:rsidP="00071C4C">
      <w:pPr>
        <w:jc w:val="both"/>
      </w:pPr>
    </w:p>
    <w:p w:rsidR="00071C4C" w:rsidRPr="00071C4C" w:rsidRDefault="00071C4C" w:rsidP="00071C4C">
      <w:pPr>
        <w:jc w:val="both"/>
      </w:pPr>
    </w:p>
    <w:p w:rsidR="00071C4C" w:rsidRPr="00071C4C" w:rsidRDefault="00AE31FF" w:rsidP="00071C4C">
      <w:pPr>
        <w:ind w:firstLine="720"/>
        <w:jc w:val="both"/>
      </w:pPr>
      <w:r>
        <w:t>We</w:t>
      </w:r>
      <w:r w:rsidR="00071C4C" w:rsidRPr="00071C4C">
        <w:t xml:space="preserve"> recently approved a charge of $2.50 for customers who opt to pay their bill with debit or credit cards for Crestridge Utility Corporation, West Lakeland Wastewater, LLC., Pinecrest Utilities, LLC., and Four Points Utility Corp.</w:t>
      </w:r>
      <w:r w:rsidR="00071C4C" w:rsidRPr="00071C4C">
        <w:rPr>
          <w:vertAlign w:val="superscript"/>
        </w:rPr>
        <w:footnoteReference w:id="1"/>
      </w:r>
      <w:r w:rsidR="00071C4C" w:rsidRPr="00071C4C">
        <w:t xml:space="preserve">  In those cases, the charges were designed to recover the cost of supplies, administrative labor, and equipment.  </w:t>
      </w:r>
      <w:r>
        <w:t>We</w:t>
      </w:r>
      <w:r w:rsidR="00071C4C" w:rsidRPr="00071C4C">
        <w:t xml:space="preserve"> also approved charges in other industries for customers who opt to pay their bill by debit or credit card.  An electronic bill payment fee of $3.50 was approved for Florida Public Utilities Company’s (FPUC) gas customers in 2004.</w:t>
      </w:r>
      <w:r w:rsidR="00071C4C" w:rsidRPr="00071C4C">
        <w:rPr>
          <w:vertAlign w:val="superscript"/>
        </w:rPr>
        <w:footnoteReference w:id="2"/>
      </w:r>
      <w:r w:rsidR="00071C4C" w:rsidRPr="00071C4C">
        <w:t xml:space="preserve">  In that case, </w:t>
      </w:r>
      <w:r>
        <w:t>this</w:t>
      </w:r>
      <w:r w:rsidR="00071C4C" w:rsidRPr="00071C4C">
        <w:t xml:space="preserve"> Commission found that the charge was necessary to recover the additional costs incurred by FPUC from customers who opt to pay by credit card, debit card, or electronic check.  </w:t>
      </w:r>
      <w:r>
        <w:t>We</w:t>
      </w:r>
      <w:r w:rsidR="00071C4C" w:rsidRPr="00071C4C">
        <w:t xml:space="preserve"> also approved a charge of $3.50 for residential customers and 3.5 percent of the total bill amount for all other customers for FPUC electric customers in </w:t>
      </w:r>
      <w:r w:rsidR="00071C4C" w:rsidRPr="00071C4C">
        <w:lastRenderedPageBreak/>
        <w:t>2005.</w:t>
      </w:r>
      <w:r w:rsidR="00071C4C" w:rsidRPr="00071C4C">
        <w:rPr>
          <w:vertAlign w:val="superscript"/>
        </w:rPr>
        <w:footnoteReference w:id="3"/>
      </w:r>
      <w:r w:rsidR="00071C4C" w:rsidRPr="00071C4C">
        <w:t xml:space="preserve">  The charge was designed to recover the costs incurred for customer contact, supervision, and bank and credit card processing.</w:t>
      </w:r>
    </w:p>
    <w:p w:rsidR="00071C4C" w:rsidRPr="00071C4C" w:rsidRDefault="00071C4C" w:rsidP="00071C4C">
      <w:pPr>
        <w:jc w:val="both"/>
      </w:pPr>
    </w:p>
    <w:p w:rsidR="00071C4C" w:rsidRPr="00071C4C" w:rsidRDefault="00071C4C" w:rsidP="00071C4C">
      <w:pPr>
        <w:ind w:firstLine="720"/>
        <w:jc w:val="both"/>
      </w:pPr>
      <w:r w:rsidRPr="00071C4C">
        <w:t xml:space="preserve"> </w:t>
      </w:r>
      <w:r w:rsidR="00AE31FF">
        <w:t>T</w:t>
      </w:r>
      <w:r w:rsidRPr="00071C4C">
        <w:t>he Utility’s requested $2.60 convenience charge is reasonable and consistent with past Commission decisions.</w:t>
      </w:r>
      <w:r w:rsidRPr="00071C4C">
        <w:rPr>
          <w:vertAlign w:val="superscript"/>
        </w:rPr>
        <w:footnoteReference w:id="4"/>
      </w:r>
      <w:r w:rsidRPr="00071C4C">
        <w:t xml:space="preserve">  </w:t>
      </w:r>
      <w:r w:rsidR="00AE31FF">
        <w:t>We have</w:t>
      </w:r>
      <w:r w:rsidRPr="00071C4C">
        <w:t xml:space="preserve"> reviewed the cost support initially filed by U.S. Water and additional information supporting the requested charge, which U.S. Water provided at </w:t>
      </w:r>
      <w:r w:rsidR="00AE31FF">
        <w:t xml:space="preserve">Commission </w:t>
      </w:r>
      <w:r w:rsidRPr="00071C4C">
        <w:t>staff’s request.  As discussed previously, the requested convenience charge is designed to recover costs incurred for debit or credit card processing online or by way of telephone and the Utility staff time required f</w:t>
      </w:r>
      <w:r w:rsidR="001F3682">
        <w:t xml:space="preserve">or processing the transactions.  </w:t>
      </w:r>
      <w:r w:rsidR="00AE31FF">
        <w:t xml:space="preserve">Commission </w:t>
      </w:r>
      <w:r w:rsidRPr="00071C4C">
        <w:t xml:space="preserve">staff requested U.S. Water provide separate cost information for online payments and payments received by way of telephone, in order to analyze if the combined charge for both payment options (online or telephone) is appropriate.  The management company noted that all of the payments and charges, regardless of how they are received, are processed and reconciled into the one TD Bank account.  Based on this review, </w:t>
      </w:r>
      <w:r w:rsidR="00AE31FF">
        <w:t>we find that</w:t>
      </w:r>
      <w:r w:rsidRPr="00071C4C">
        <w:t xml:space="preserve"> having a combined payment charge increases administrative efficiency and provides cost savings when compared to having two convenience charges, one for online payments and one for telephone payments. Additionally, the Utility’s requested charge also benefits the customers by allowing them to expand their payment options to include payments by telephone.  </w:t>
      </w:r>
      <w:r w:rsidR="00AE31FF">
        <w:t>Also,</w:t>
      </w:r>
      <w:r w:rsidRPr="00071C4C">
        <w:t xml:space="preserve"> adding the option to pay by telephone will allow reconnections due to non-payment to occur more quickly.  Furthermore, this charge will ensure the Utility’s remaining customers do not subsidize those customers who choose to pay using this option.  </w:t>
      </w:r>
    </w:p>
    <w:p w:rsidR="00071C4C" w:rsidRPr="00071C4C" w:rsidRDefault="00071C4C" w:rsidP="00071C4C">
      <w:pPr>
        <w:jc w:val="both"/>
      </w:pPr>
    </w:p>
    <w:p w:rsidR="00071C4C" w:rsidRDefault="00071C4C" w:rsidP="00071C4C">
      <w:pPr>
        <w:ind w:firstLine="720"/>
        <w:jc w:val="both"/>
      </w:pPr>
      <w:r w:rsidRPr="00071C4C">
        <w:t xml:space="preserve">Based on the above, </w:t>
      </w:r>
      <w:r w:rsidR="00AE31FF">
        <w:t>we find</w:t>
      </w:r>
      <w:r w:rsidRPr="00071C4C">
        <w:t xml:space="preserve"> that Brevard’s request to amend its tariff sheet for miscellaneous service charges to include a convenience charge of $2.60 for customers who opt to pay their water or wastewater bill by debit or credit card online or by way of telephone </w:t>
      </w:r>
      <w:r w:rsidR="001F3682">
        <w:t xml:space="preserve">is reasonable and </w:t>
      </w:r>
      <w:r w:rsidR="00AE31FF">
        <w:t>shall</w:t>
      </w:r>
      <w:r w:rsidRPr="00071C4C">
        <w:t xml:space="preserve"> be approved.  The charge </w:t>
      </w:r>
      <w:r w:rsidR="00AE31FF">
        <w:t>shall</w:t>
      </w:r>
      <w:r w:rsidRPr="00071C4C">
        <w:t xml:space="preserve"> be effective for services rendered on or after the stamped approval date on the tariff, pursuant to Rule 25-30.475, </w:t>
      </w:r>
      <w:r w:rsidR="001F3682">
        <w:t>Florida Administrative Code</w:t>
      </w:r>
      <w:r w:rsidR="00AE31FF">
        <w:t xml:space="preserve"> (</w:t>
      </w:r>
      <w:r w:rsidRPr="00071C4C">
        <w:t>F.A.C</w:t>
      </w:r>
      <w:r w:rsidR="00AE31FF">
        <w:t>.)</w:t>
      </w:r>
      <w:r w:rsidRPr="00071C4C">
        <w:t xml:space="preserve">.  In addition, the approved charge </w:t>
      </w:r>
      <w:r w:rsidR="00AE31FF">
        <w:t>shall</w:t>
      </w:r>
      <w:r w:rsidRPr="00071C4C">
        <w:t xml:space="preserve"> not be implemented until </w:t>
      </w:r>
      <w:r w:rsidR="00AE31FF">
        <w:t xml:space="preserve">Commission </w:t>
      </w:r>
      <w:r w:rsidRPr="00071C4C">
        <w:t xml:space="preserve">staff has approved the proposed customer notice and the notice has been received by the customers.  The Utility </w:t>
      </w:r>
      <w:r w:rsidR="00AE31FF">
        <w:t>shall</w:t>
      </w:r>
      <w:r w:rsidRPr="00071C4C">
        <w:t xml:space="preserve"> provide proof of the date notice was given within 10 days of the date of the notice.  </w:t>
      </w:r>
    </w:p>
    <w:p w:rsidR="00071C4C" w:rsidRDefault="00071C4C" w:rsidP="001F3682">
      <w:pPr>
        <w:jc w:val="both"/>
      </w:pPr>
    </w:p>
    <w:p w:rsidR="00071C4C" w:rsidRDefault="00071C4C" w:rsidP="00071C4C">
      <w:pPr>
        <w:pStyle w:val="OrderBody"/>
      </w:pPr>
      <w:r>
        <w:tab/>
        <w:t>Based on the foregoing, it is</w:t>
      </w:r>
    </w:p>
    <w:p w:rsidR="00071C4C" w:rsidRDefault="00071C4C" w:rsidP="00071C4C">
      <w:pPr>
        <w:pStyle w:val="OrderBody"/>
      </w:pPr>
    </w:p>
    <w:p w:rsidR="00071C4C" w:rsidRDefault="00071C4C" w:rsidP="00071C4C">
      <w:pPr>
        <w:pStyle w:val="OrderBody"/>
      </w:pPr>
      <w:r>
        <w:tab/>
        <w:t>ORDERED by the Florida Public Service Commission that</w:t>
      </w:r>
      <w:r w:rsidR="00AE31FF">
        <w:t xml:space="preserve"> </w:t>
      </w:r>
      <w:r w:rsidR="00E7477E">
        <w:t xml:space="preserve">Brevard </w:t>
      </w:r>
      <w:r w:rsidR="00AE31FF" w:rsidRPr="00AE31FF">
        <w:t>Waterworks, Inc.’s application for approval of a tariff amendment to charge customers who opt to pay their water or wastewater bill by credit or debit card online or by way of telephone, is hereby granted.  It is further</w:t>
      </w:r>
    </w:p>
    <w:p w:rsidR="00AE31FF" w:rsidRDefault="00AE31FF" w:rsidP="00071C4C">
      <w:pPr>
        <w:pStyle w:val="OrderBody"/>
      </w:pPr>
    </w:p>
    <w:p w:rsidR="00AE31FF" w:rsidRPr="00AE31FF" w:rsidRDefault="00AE31FF" w:rsidP="001F3682">
      <w:pPr>
        <w:pStyle w:val="OrderBody"/>
      </w:pPr>
      <w:r>
        <w:tab/>
        <w:t xml:space="preserve">ORDERED that </w:t>
      </w:r>
      <w:r w:rsidRPr="00AE31FF">
        <w:t>the approved charge shall be effective for services rendered on or after the stamped approval date on the tariff, pursuant to Rule 25-30.475, F.A.C.  It is further</w:t>
      </w:r>
    </w:p>
    <w:p w:rsidR="00AE31FF" w:rsidRPr="00AE31FF" w:rsidRDefault="00AE31FF" w:rsidP="001F3682">
      <w:pPr>
        <w:pStyle w:val="OrderBody"/>
      </w:pPr>
    </w:p>
    <w:p w:rsidR="00AE31FF" w:rsidRPr="00AE31FF" w:rsidRDefault="00AE31FF" w:rsidP="001F3682">
      <w:pPr>
        <w:pStyle w:val="OrderBody"/>
      </w:pPr>
      <w:r w:rsidRPr="00AE31FF">
        <w:lastRenderedPageBreak/>
        <w:tab/>
        <w:t>ORDERED that the approved charge shall not be implemented until Commission staff has approved the proposed customer notice and the notice has been received by the customers.  It is further</w:t>
      </w:r>
    </w:p>
    <w:p w:rsidR="00AE31FF" w:rsidRPr="00AE31FF" w:rsidRDefault="00AE31FF" w:rsidP="001F3682">
      <w:pPr>
        <w:pStyle w:val="OrderBody"/>
      </w:pPr>
    </w:p>
    <w:p w:rsidR="00AE31FF" w:rsidRDefault="00AE31FF" w:rsidP="001F3682">
      <w:pPr>
        <w:pStyle w:val="OrderBody"/>
      </w:pPr>
      <w:r w:rsidRPr="00AE31FF">
        <w:tab/>
        <w:t>ORDERED that Raintree Waterworks, Inc. shall provide proof of the date notice was given within 10 days of the date of the notice.</w:t>
      </w:r>
      <w:r>
        <w:t xml:space="preserve">  It is further</w:t>
      </w:r>
    </w:p>
    <w:p w:rsidR="00071C4C" w:rsidRDefault="00071C4C" w:rsidP="001F3682">
      <w:pPr>
        <w:pStyle w:val="OrderBody"/>
      </w:pPr>
    </w:p>
    <w:p w:rsidR="00071C4C" w:rsidRDefault="00071C4C" w:rsidP="001F3682">
      <w:pPr>
        <w:jc w:val="both"/>
      </w:pPr>
      <w:r>
        <w:tab/>
        <w:t>ORDERED that if a protest is filed within 21 days of issuance of the Order, the tariff shall remain in effect with any charges held subject to refund pending resolution of the protest.  It is further</w:t>
      </w:r>
    </w:p>
    <w:p w:rsidR="00071C4C" w:rsidRDefault="00071C4C" w:rsidP="001F3682">
      <w:pPr>
        <w:jc w:val="both"/>
      </w:pPr>
    </w:p>
    <w:p w:rsidR="00071C4C" w:rsidRDefault="00071C4C" w:rsidP="001F3682">
      <w:pPr>
        <w:jc w:val="both"/>
      </w:pPr>
      <w:r>
        <w:tab/>
      </w:r>
      <w:r w:rsidR="008C1C49" w:rsidRPr="008C1C49">
        <w:t>ORDERED that this docket shall remain open pending Commission staff’s verification that the revised tariff sheet and customer notice have been filed by the Utility and approved by Commission staff.  If no timely protest is filed, a consummating order shall be issued and once Commission staff verifies that the notice of the charge has been given to customers, the docket shall be administratively closed.</w:t>
      </w:r>
    </w:p>
    <w:p w:rsidR="00071C4C" w:rsidRDefault="00071C4C" w:rsidP="00071C4C"/>
    <w:p w:rsidR="00071C4C" w:rsidRDefault="00071C4C" w:rsidP="00F03240">
      <w:pPr>
        <w:keepNext/>
        <w:keepLines/>
        <w:jc w:val="both"/>
      </w:pPr>
      <w:r>
        <w:tab/>
        <w:t xml:space="preserve">By ORDER of the Florida Public Service Commission this </w:t>
      </w:r>
      <w:bookmarkStart w:id="6" w:name="replaceDate"/>
      <w:bookmarkEnd w:id="6"/>
      <w:r w:rsidR="00F03240">
        <w:rPr>
          <w:u w:val="single"/>
        </w:rPr>
        <w:t>6th</w:t>
      </w:r>
      <w:r w:rsidR="00F03240">
        <w:t xml:space="preserve"> day of </w:t>
      </w:r>
      <w:r w:rsidR="00F03240">
        <w:rPr>
          <w:u w:val="single"/>
        </w:rPr>
        <w:t>May</w:t>
      </w:r>
      <w:r w:rsidR="00F03240">
        <w:t xml:space="preserve">, </w:t>
      </w:r>
      <w:r w:rsidR="00F03240">
        <w:rPr>
          <w:u w:val="single"/>
        </w:rPr>
        <w:t>2015</w:t>
      </w:r>
      <w:r w:rsidR="00F03240">
        <w:t>.</w:t>
      </w:r>
    </w:p>
    <w:p w:rsidR="00F03240" w:rsidRPr="00F03240" w:rsidRDefault="00F03240" w:rsidP="00F03240">
      <w:pPr>
        <w:keepNext/>
        <w:keepLines/>
        <w:jc w:val="both"/>
      </w:pPr>
    </w:p>
    <w:p w:rsidR="00071C4C" w:rsidRDefault="00071C4C" w:rsidP="00071C4C">
      <w:pPr>
        <w:keepNext/>
        <w:keepLines/>
      </w:pPr>
    </w:p>
    <w:p w:rsidR="00071C4C" w:rsidRDefault="00071C4C" w:rsidP="00071C4C">
      <w:pPr>
        <w:keepNext/>
        <w:keepLines/>
      </w:pPr>
    </w:p>
    <w:p w:rsidR="00071C4C" w:rsidRDefault="00071C4C" w:rsidP="00071C4C">
      <w:pPr>
        <w:keepNext/>
        <w:keepLines/>
      </w:pPr>
    </w:p>
    <w:tbl>
      <w:tblPr>
        <w:tblW w:w="4720" w:type="dxa"/>
        <w:tblInd w:w="3800" w:type="dxa"/>
        <w:tblLayout w:type="fixed"/>
        <w:tblLook w:val="0000" w:firstRow="0" w:lastRow="0" w:firstColumn="0" w:lastColumn="0" w:noHBand="0" w:noVBand="0"/>
      </w:tblPr>
      <w:tblGrid>
        <w:gridCol w:w="686"/>
        <w:gridCol w:w="4034"/>
      </w:tblGrid>
      <w:tr w:rsidR="00071C4C" w:rsidTr="00071C4C">
        <w:tc>
          <w:tcPr>
            <w:tcW w:w="720" w:type="dxa"/>
            <w:shd w:val="clear" w:color="auto" w:fill="auto"/>
          </w:tcPr>
          <w:p w:rsidR="00071C4C" w:rsidRDefault="00071C4C" w:rsidP="00071C4C">
            <w:pPr>
              <w:keepNext/>
              <w:keepLines/>
            </w:pPr>
            <w:bookmarkStart w:id="7" w:name="bkmrkSignature" w:colFirst="0" w:colLast="0"/>
          </w:p>
        </w:tc>
        <w:tc>
          <w:tcPr>
            <w:tcW w:w="4320" w:type="dxa"/>
            <w:tcBorders>
              <w:bottom w:val="single" w:sz="4" w:space="0" w:color="auto"/>
            </w:tcBorders>
            <w:shd w:val="clear" w:color="auto" w:fill="auto"/>
          </w:tcPr>
          <w:p w:rsidR="00071C4C" w:rsidRDefault="00F060C3" w:rsidP="00071C4C">
            <w:pPr>
              <w:keepNext/>
              <w:keepLines/>
            </w:pPr>
            <w:r>
              <w:t>/s/ Hong Wang</w:t>
            </w:r>
            <w:bookmarkStart w:id="8" w:name="_GoBack"/>
            <w:bookmarkEnd w:id="8"/>
          </w:p>
        </w:tc>
      </w:tr>
      <w:bookmarkEnd w:id="7"/>
      <w:tr w:rsidR="00071C4C" w:rsidTr="00071C4C">
        <w:tc>
          <w:tcPr>
            <w:tcW w:w="720" w:type="dxa"/>
            <w:shd w:val="clear" w:color="auto" w:fill="auto"/>
          </w:tcPr>
          <w:p w:rsidR="00071C4C" w:rsidRDefault="00071C4C" w:rsidP="00071C4C">
            <w:pPr>
              <w:keepNext/>
              <w:keepLines/>
            </w:pPr>
          </w:p>
        </w:tc>
        <w:tc>
          <w:tcPr>
            <w:tcW w:w="4320" w:type="dxa"/>
            <w:tcBorders>
              <w:top w:val="single" w:sz="4" w:space="0" w:color="auto"/>
            </w:tcBorders>
            <w:shd w:val="clear" w:color="auto" w:fill="auto"/>
          </w:tcPr>
          <w:p w:rsidR="00F03240" w:rsidRDefault="00F03240" w:rsidP="00071C4C">
            <w:pPr>
              <w:keepNext/>
              <w:keepLines/>
            </w:pPr>
            <w:r>
              <w:t>HONG WANG</w:t>
            </w:r>
          </w:p>
          <w:p w:rsidR="00071C4C" w:rsidRDefault="00F03240" w:rsidP="00071C4C">
            <w:pPr>
              <w:keepNext/>
              <w:keepLines/>
            </w:pPr>
            <w:r>
              <w:t>Chief Deputy Commission Clerk</w:t>
            </w:r>
          </w:p>
        </w:tc>
      </w:tr>
    </w:tbl>
    <w:p w:rsidR="00071C4C" w:rsidRDefault="00071C4C" w:rsidP="00071C4C">
      <w:pPr>
        <w:pStyle w:val="OrderSigInfo"/>
        <w:keepNext/>
        <w:keepLines/>
      </w:pPr>
      <w:r>
        <w:t>Florida Public Service Commission</w:t>
      </w:r>
    </w:p>
    <w:p w:rsidR="00071C4C" w:rsidRDefault="00071C4C" w:rsidP="00071C4C">
      <w:pPr>
        <w:pStyle w:val="OrderSigInfo"/>
        <w:keepNext/>
        <w:keepLines/>
      </w:pPr>
      <w:r>
        <w:t>2540 Shumard Oak Boulevard</w:t>
      </w:r>
    </w:p>
    <w:p w:rsidR="00071C4C" w:rsidRDefault="00071C4C" w:rsidP="00071C4C">
      <w:pPr>
        <w:pStyle w:val="OrderSigInfo"/>
        <w:keepNext/>
        <w:keepLines/>
      </w:pPr>
      <w:r>
        <w:t>Tallahassee, Florida  32399</w:t>
      </w:r>
    </w:p>
    <w:p w:rsidR="00071C4C" w:rsidRDefault="00071C4C" w:rsidP="00071C4C">
      <w:pPr>
        <w:pStyle w:val="OrderSigInfo"/>
        <w:keepNext/>
        <w:keepLines/>
      </w:pPr>
      <w:r>
        <w:t>(850) 413</w:t>
      </w:r>
      <w:r>
        <w:noBreakHyphen/>
        <w:t>6770</w:t>
      </w:r>
    </w:p>
    <w:p w:rsidR="00071C4C" w:rsidRDefault="00071C4C" w:rsidP="00071C4C">
      <w:pPr>
        <w:pStyle w:val="OrderSigInfo"/>
        <w:keepNext/>
        <w:keepLines/>
      </w:pPr>
      <w:r>
        <w:t>www.floridapsc.com</w:t>
      </w:r>
    </w:p>
    <w:p w:rsidR="00071C4C" w:rsidRDefault="00071C4C" w:rsidP="00071C4C">
      <w:pPr>
        <w:pStyle w:val="OrderSigInfo"/>
        <w:keepNext/>
        <w:keepLines/>
      </w:pPr>
    </w:p>
    <w:p w:rsidR="00071C4C" w:rsidRDefault="00071C4C" w:rsidP="00071C4C">
      <w:pPr>
        <w:pStyle w:val="OrderSigInfo"/>
        <w:keepNext/>
        <w:keepLines/>
      </w:pPr>
      <w:r>
        <w:t>Copies furnished:  A copy of this document is provided to the parties of record at the time of issuance and, if applicable, interested persons.</w:t>
      </w:r>
    </w:p>
    <w:p w:rsidR="00071C4C" w:rsidRDefault="00071C4C" w:rsidP="00071C4C">
      <w:pPr>
        <w:pStyle w:val="OrderBody"/>
        <w:keepNext/>
        <w:keepLines/>
      </w:pPr>
    </w:p>
    <w:p w:rsidR="00071C4C" w:rsidRDefault="00071C4C" w:rsidP="00071C4C">
      <w:pPr>
        <w:keepNext/>
        <w:keepLines/>
      </w:pPr>
    </w:p>
    <w:p w:rsidR="00071C4C" w:rsidRDefault="00071C4C" w:rsidP="00071C4C">
      <w:pPr>
        <w:keepNext/>
        <w:keepLines/>
      </w:pPr>
      <w:r>
        <w:t>KRM</w:t>
      </w:r>
    </w:p>
    <w:p w:rsidR="00071C4C" w:rsidRDefault="00071C4C" w:rsidP="00071C4C"/>
    <w:p w:rsidR="00273FA2" w:rsidRDefault="00273FA2" w:rsidP="00071C4C">
      <w:pPr>
        <w:pStyle w:val="CenterUnderline"/>
      </w:pPr>
    </w:p>
    <w:p w:rsidR="00273FA2" w:rsidRDefault="00273FA2" w:rsidP="00071C4C">
      <w:pPr>
        <w:pStyle w:val="CenterUnderline"/>
      </w:pPr>
    </w:p>
    <w:p w:rsidR="00273FA2" w:rsidRDefault="00273FA2" w:rsidP="00071C4C">
      <w:pPr>
        <w:pStyle w:val="CenterUnderline"/>
      </w:pPr>
    </w:p>
    <w:p w:rsidR="00273FA2" w:rsidRDefault="00273FA2" w:rsidP="00071C4C">
      <w:pPr>
        <w:pStyle w:val="CenterUnderline"/>
      </w:pPr>
    </w:p>
    <w:p w:rsidR="00273FA2" w:rsidRDefault="00273FA2" w:rsidP="00071C4C">
      <w:pPr>
        <w:pStyle w:val="CenterUnderline"/>
      </w:pPr>
    </w:p>
    <w:p w:rsidR="00273FA2" w:rsidRDefault="00273FA2" w:rsidP="00071C4C">
      <w:pPr>
        <w:pStyle w:val="CenterUnderline"/>
      </w:pPr>
    </w:p>
    <w:p w:rsidR="00E7477E" w:rsidRDefault="00E7477E">
      <w:pPr>
        <w:rPr>
          <w:u w:val="single"/>
        </w:rPr>
      </w:pPr>
    </w:p>
    <w:p w:rsidR="00071C4C" w:rsidRDefault="00071C4C" w:rsidP="00071C4C">
      <w:pPr>
        <w:pStyle w:val="CenterUnderline"/>
      </w:pPr>
      <w:r>
        <w:lastRenderedPageBreak/>
        <w:t>NOTICE OF FURTHER PROCEEDINGS</w:t>
      </w:r>
    </w:p>
    <w:p w:rsidR="00071C4C" w:rsidRDefault="00071C4C" w:rsidP="00071C4C">
      <w:pPr>
        <w:pStyle w:val="CenterUnderline"/>
        <w:rPr>
          <w:u w:val="none"/>
        </w:rPr>
      </w:pPr>
    </w:p>
    <w:p w:rsidR="00071C4C" w:rsidRDefault="00071C4C" w:rsidP="00071C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71C4C" w:rsidRDefault="00071C4C" w:rsidP="00071C4C">
      <w:pPr>
        <w:pStyle w:val="OrderBody"/>
      </w:pPr>
    </w:p>
    <w:p w:rsidR="00071C4C" w:rsidRDefault="00071C4C" w:rsidP="00071C4C">
      <w:pPr>
        <w:pStyle w:val="OrderBody"/>
      </w:pPr>
      <w:r>
        <w:tab/>
        <w:t>Mediation may be available on a case-by-case basis.  If mediation is conducted, it does not affect a substantially interested person's right to a hearing.</w:t>
      </w:r>
    </w:p>
    <w:p w:rsidR="00071C4C" w:rsidRDefault="00071C4C" w:rsidP="00071C4C">
      <w:pPr>
        <w:pStyle w:val="OrderBody"/>
      </w:pPr>
    </w:p>
    <w:p w:rsidR="00071C4C" w:rsidRDefault="00071C4C" w:rsidP="00071C4C">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F03240">
        <w:rPr>
          <w:u w:val="single"/>
        </w:rPr>
        <w:t>May 27, 2015</w:t>
      </w:r>
      <w:r>
        <w:t xml:space="preserve">. </w:t>
      </w:r>
    </w:p>
    <w:p w:rsidR="00071C4C" w:rsidRDefault="00071C4C" w:rsidP="00071C4C">
      <w:pPr>
        <w:pStyle w:val="OrderBody"/>
      </w:pPr>
    </w:p>
    <w:p w:rsidR="00071C4C" w:rsidRDefault="00071C4C" w:rsidP="00071C4C">
      <w:pPr>
        <w:pStyle w:val="OrderBody"/>
      </w:pPr>
      <w:r>
        <w:tab/>
        <w:t>In the absence of such a petition, this Order shall become final and effective upon the issuance of a Consummating Order.</w:t>
      </w:r>
    </w:p>
    <w:p w:rsidR="00071C4C" w:rsidRDefault="00071C4C" w:rsidP="00071C4C">
      <w:pPr>
        <w:pStyle w:val="OrderBody"/>
      </w:pPr>
    </w:p>
    <w:p w:rsidR="00071C4C" w:rsidRDefault="00071C4C" w:rsidP="00071C4C">
      <w:pPr>
        <w:pStyle w:val="OrderBody"/>
      </w:pPr>
      <w:r>
        <w:tab/>
        <w:t>Any objection or protest filed in this docket before the issuance date of this order is considered abandoned unless it satisfies the foregoing conditions and is renewed within the specified protest period.</w:t>
      </w:r>
    </w:p>
    <w:p w:rsidR="00071C4C" w:rsidRDefault="00071C4C" w:rsidP="00071C4C">
      <w:pPr>
        <w:pStyle w:val="OrderBody"/>
      </w:pPr>
    </w:p>
    <w:p w:rsidR="00071C4C" w:rsidRDefault="00071C4C" w:rsidP="00071C4C">
      <w:pPr>
        <w:pStyle w:val="OrderBody"/>
      </w:pPr>
    </w:p>
    <w:p w:rsidR="00071C4C" w:rsidRPr="00071C4C" w:rsidRDefault="00071C4C" w:rsidP="00071C4C">
      <w:pPr>
        <w:pStyle w:val="OrderBody"/>
      </w:pPr>
    </w:p>
    <w:p w:rsidR="00071C4C" w:rsidRDefault="00071C4C" w:rsidP="00071C4C"/>
    <w:sectPr w:rsidR="00071C4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C4C" w:rsidRDefault="00071C4C">
      <w:r>
        <w:separator/>
      </w:r>
    </w:p>
  </w:endnote>
  <w:endnote w:type="continuationSeparator" w:id="0">
    <w:p w:rsidR="00071C4C" w:rsidRDefault="0007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C4C" w:rsidRDefault="00071C4C">
      <w:r>
        <w:separator/>
      </w:r>
    </w:p>
  </w:footnote>
  <w:footnote w:type="continuationSeparator" w:id="0">
    <w:p w:rsidR="00071C4C" w:rsidRDefault="00071C4C">
      <w:r>
        <w:continuationSeparator/>
      </w:r>
    </w:p>
  </w:footnote>
  <w:footnote w:id="1">
    <w:p w:rsidR="00071C4C" w:rsidRPr="00362C41" w:rsidRDefault="00071C4C" w:rsidP="00071C4C">
      <w:pPr>
        <w:pStyle w:val="FootnoteText"/>
      </w:pPr>
      <w:r>
        <w:rPr>
          <w:rStyle w:val="FootnoteReference"/>
        </w:rPr>
        <w:footnoteRef/>
      </w:r>
      <w:r>
        <w:t xml:space="preserve"> Order Nos. </w:t>
      </w:r>
      <w:r w:rsidRPr="00713626">
        <w:t>PSC-14-0016-TRF-WU</w:t>
      </w:r>
      <w:r>
        <w:t xml:space="preserve">, issued January 6, 2014, in Docket No. 130251-WU, </w:t>
      </w:r>
      <w:r w:rsidRPr="006A0C66">
        <w:rPr>
          <w:u w:val="single"/>
        </w:rPr>
        <w:t>I</w:t>
      </w:r>
      <w:r w:rsidRPr="00713626">
        <w:rPr>
          <w:u w:val="single"/>
        </w:rPr>
        <w:t>n re: Application for approval of miscellaneous service charges in Pasco County, by Crestridge Utility Corporation</w:t>
      </w:r>
      <w:r>
        <w:t>;</w:t>
      </w:r>
      <w:r w:rsidRPr="00713626">
        <w:t xml:space="preserve"> </w:t>
      </w:r>
      <w:r>
        <w:t xml:space="preserve">PSC-13-0426-TRF-SU, issued September 19, 2013, in Docket No. 120289-SU, </w:t>
      </w:r>
      <w:r w:rsidR="00E7477E">
        <w:rPr>
          <w:u w:val="single"/>
        </w:rPr>
        <w:t xml:space="preserve">In re: </w:t>
      </w:r>
      <w:r w:rsidRPr="00F31DEF">
        <w:rPr>
          <w:u w:val="single"/>
        </w:rPr>
        <w:t>Request for approval of amendment to tariff sheets for miscellaneous service charges in Polk County by West Lakeland Wastewater, LLC.</w:t>
      </w:r>
      <w:r>
        <w:t xml:space="preserve">; PSC-13-0427-TRF-WU, issued September 19, 2013, in Docket No. 120290-WU, </w:t>
      </w:r>
      <w:r w:rsidR="00E7477E">
        <w:rPr>
          <w:u w:val="single"/>
        </w:rPr>
        <w:t>In re:</w:t>
      </w:r>
      <w:r>
        <w:rPr>
          <w:u w:val="single"/>
        </w:rPr>
        <w:t xml:space="preserve"> </w:t>
      </w:r>
      <w:r w:rsidRPr="00F31DEF">
        <w:rPr>
          <w:u w:val="single"/>
        </w:rPr>
        <w:t xml:space="preserve">Request for approval of amendment to tariff sheets for miscellaneous service charges in Polk County by </w:t>
      </w:r>
      <w:r>
        <w:rPr>
          <w:u w:val="single"/>
        </w:rPr>
        <w:t>Pinecrest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2">
    <w:p w:rsidR="00071C4C" w:rsidRDefault="00071C4C" w:rsidP="00071C4C">
      <w:pPr>
        <w:pStyle w:val="FootnoteText"/>
      </w:pPr>
      <w:r>
        <w:rPr>
          <w:rStyle w:val="FootnoteReference"/>
        </w:rPr>
        <w:footnoteRef/>
      </w:r>
      <w:r>
        <w:t xml:space="preserve"> Order No. PSC-04-1110-PAA-GU, issued November 8, 2004, in Docket No. 040216-GU, </w:t>
      </w:r>
      <w:r w:rsidRPr="00F20364">
        <w:rPr>
          <w:u w:val="single"/>
        </w:rPr>
        <w:t>In re: Application for rate increase by Florida Public Utilities Company</w:t>
      </w:r>
      <w:r>
        <w:t>.</w:t>
      </w:r>
    </w:p>
  </w:footnote>
  <w:footnote w:id="3">
    <w:p w:rsidR="00071C4C" w:rsidRDefault="00071C4C" w:rsidP="00071C4C">
      <w:pPr>
        <w:pStyle w:val="FootnoteText"/>
      </w:pPr>
      <w:r>
        <w:rPr>
          <w:rStyle w:val="FootnoteReference"/>
        </w:rPr>
        <w:footnoteRef/>
      </w:r>
      <w:r>
        <w:t xml:space="preserve"> Order No. PSC-05-0676-TRF-EI, issued June 20, 2005, in Docket No. 050244-EI, </w:t>
      </w:r>
      <w:r w:rsidR="001F3682">
        <w:rPr>
          <w:u w:val="single"/>
        </w:rPr>
        <w:t xml:space="preserve">In re: </w:t>
      </w:r>
      <w:r w:rsidRPr="00F20364">
        <w:rPr>
          <w:u w:val="single"/>
        </w:rPr>
        <w:t>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4">
    <w:p w:rsidR="00071C4C" w:rsidRDefault="00071C4C" w:rsidP="00071C4C">
      <w:pPr>
        <w:pStyle w:val="FootnoteText"/>
      </w:pPr>
      <w:r>
        <w:rPr>
          <w:rStyle w:val="FootnoteReference"/>
        </w:rPr>
        <w:footnoteRef/>
      </w:r>
      <w:r>
        <w:t xml:space="preserve"> </w:t>
      </w:r>
      <w:r w:rsidR="001F3682">
        <w:t>We note the</w:t>
      </w:r>
      <w:r w:rsidR="00273FA2">
        <w:t xml:space="preserve"> </w:t>
      </w:r>
      <w:r>
        <w:t>prior orders approving similar credit card convenience charges fall within the exception of Section 501.0117(1), F.S.</w:t>
      </w:r>
      <w:r w:rsidR="00E7477E">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8 ">
      <w:r w:rsidR="00F060C3">
        <w:t>PSC-15-0188-TRF-WU</w:t>
      </w:r>
    </w:fldSimple>
  </w:p>
  <w:p w:rsidR="00FA6EFD" w:rsidRDefault="00071C4C">
    <w:pPr>
      <w:pStyle w:val="OrderHeader"/>
    </w:pPr>
    <w:bookmarkStart w:id="9" w:name="HeaderDocketNo"/>
    <w:bookmarkEnd w:id="9"/>
    <w:r>
      <w:t>DOCKET NO. 150065-WU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60C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5-WU"/>
  </w:docVars>
  <w:rsids>
    <w:rsidRoot w:val="00071C4C"/>
    <w:rsid w:val="000022B8"/>
    <w:rsid w:val="00053AB9"/>
    <w:rsid w:val="00056229"/>
    <w:rsid w:val="00065FC2"/>
    <w:rsid w:val="00071C4C"/>
    <w:rsid w:val="00090AFC"/>
    <w:rsid w:val="0009473E"/>
    <w:rsid w:val="000D06E8"/>
    <w:rsid w:val="000E344D"/>
    <w:rsid w:val="000F3B2C"/>
    <w:rsid w:val="000F7BE3"/>
    <w:rsid w:val="00116AD3"/>
    <w:rsid w:val="00126593"/>
    <w:rsid w:val="00142A96"/>
    <w:rsid w:val="00187E32"/>
    <w:rsid w:val="00194E81"/>
    <w:rsid w:val="001A33C9"/>
    <w:rsid w:val="001D008A"/>
    <w:rsid w:val="001F3682"/>
    <w:rsid w:val="002002ED"/>
    <w:rsid w:val="0022721A"/>
    <w:rsid w:val="00230BB9"/>
    <w:rsid w:val="00273FA2"/>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02159"/>
    <w:rsid w:val="00514B1F"/>
    <w:rsid w:val="00556A10"/>
    <w:rsid w:val="00562F3F"/>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1C49"/>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AE31FF"/>
    <w:rsid w:val="00B0777D"/>
    <w:rsid w:val="00B4057A"/>
    <w:rsid w:val="00B40894"/>
    <w:rsid w:val="00B45E75"/>
    <w:rsid w:val="00B50876"/>
    <w:rsid w:val="00B55EE5"/>
    <w:rsid w:val="00B73DE6"/>
    <w:rsid w:val="00B86EF0"/>
    <w:rsid w:val="00B97900"/>
    <w:rsid w:val="00BA44A8"/>
    <w:rsid w:val="00BF6691"/>
    <w:rsid w:val="00C028FC"/>
    <w:rsid w:val="00C12009"/>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7477E"/>
    <w:rsid w:val="00EA172C"/>
    <w:rsid w:val="00EA259B"/>
    <w:rsid w:val="00EA35A3"/>
    <w:rsid w:val="00EA3E6A"/>
    <w:rsid w:val="00EB18EF"/>
    <w:rsid w:val="00EE17DF"/>
    <w:rsid w:val="00EF4621"/>
    <w:rsid w:val="00F03240"/>
    <w:rsid w:val="00F060C3"/>
    <w:rsid w:val="00F277B6"/>
    <w:rsid w:val="00F54380"/>
    <w:rsid w:val="00F54B47"/>
    <w:rsid w:val="00FA6EFD"/>
    <w:rsid w:val="00FA77A3"/>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071C4C"/>
    <w:pPr>
      <w:tabs>
        <w:tab w:val="left" w:pos="2520"/>
        <w:tab w:val="left" w:pos="2736"/>
      </w:tabs>
      <w:jc w:val="both"/>
    </w:pPr>
  </w:style>
  <w:style w:type="character" w:customStyle="1" w:styleId="FootnoteTextChar">
    <w:name w:val="Footnote Text Char"/>
    <w:link w:val="FootnoteText"/>
    <w:rsid w:val="00071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071C4C"/>
    <w:pPr>
      <w:tabs>
        <w:tab w:val="left" w:pos="2520"/>
        <w:tab w:val="left" w:pos="2736"/>
      </w:tabs>
      <w:jc w:val="both"/>
    </w:pPr>
  </w:style>
  <w:style w:type="character" w:customStyle="1" w:styleId="FootnoteTextChar">
    <w:name w:val="Footnote Text Char"/>
    <w:link w:val="FootnoteText"/>
    <w:rsid w:val="00071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1545</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2015-05-06T18:40:00Z</dcterms:created>
  <dcterms:modified xsi:type="dcterms:W3CDTF">2015-05-06T18:51:00Z</dcterms:modified>
</cp:coreProperties>
</file>