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E0AD5" w:rsidP="004E0AD5">
      <w:pPr>
        <w:pStyle w:val="OrderHeading"/>
      </w:pPr>
      <w:bookmarkStart w:id="0" w:name="_GoBack"/>
      <w:bookmarkEnd w:id="0"/>
      <w:r>
        <w:t>BEFORE THE FLORIDA PUBLIC SERVICE COMMISSION</w:t>
      </w:r>
    </w:p>
    <w:p w:rsidR="004E0AD5" w:rsidRDefault="004E0AD5" w:rsidP="004E0AD5">
      <w:pPr>
        <w:pStyle w:val="OrderHeading"/>
      </w:pPr>
    </w:p>
    <w:p w:rsidR="004E0AD5" w:rsidRDefault="004E0AD5" w:rsidP="004E0A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0AD5" w:rsidRPr="00C63FCF" w:rsidTr="00C63FCF">
        <w:trPr>
          <w:trHeight w:val="828"/>
        </w:trPr>
        <w:tc>
          <w:tcPr>
            <w:tcW w:w="4788" w:type="dxa"/>
            <w:tcBorders>
              <w:bottom w:val="single" w:sz="8" w:space="0" w:color="auto"/>
              <w:right w:val="double" w:sz="6" w:space="0" w:color="auto"/>
            </w:tcBorders>
            <w:shd w:val="clear" w:color="auto" w:fill="auto"/>
          </w:tcPr>
          <w:p w:rsidR="004E0AD5" w:rsidRDefault="004E0AD5" w:rsidP="00C63FCF">
            <w:pPr>
              <w:pStyle w:val="OrderBody"/>
              <w:tabs>
                <w:tab w:val="center" w:pos="4320"/>
                <w:tab w:val="right" w:pos="8640"/>
              </w:tabs>
              <w:jc w:val="left"/>
            </w:pPr>
            <w:r>
              <w:t xml:space="preserve">In re: </w:t>
            </w:r>
            <w:bookmarkStart w:id="1" w:name="SSInRe"/>
            <w:bookmarkEnd w:id="1"/>
            <w:r>
              <w:t>Petition for approval to include in base rates the revenue requirement for the CR3 regulatory asset, by Duke Energy Florida, Inc.</w:t>
            </w:r>
          </w:p>
        </w:tc>
        <w:tc>
          <w:tcPr>
            <w:tcW w:w="4788" w:type="dxa"/>
            <w:tcBorders>
              <w:left w:val="double" w:sz="6" w:space="0" w:color="auto"/>
            </w:tcBorders>
            <w:shd w:val="clear" w:color="auto" w:fill="auto"/>
          </w:tcPr>
          <w:p w:rsidR="004E0AD5" w:rsidRDefault="004E0AD5" w:rsidP="004E0AD5">
            <w:pPr>
              <w:pStyle w:val="OrderBody"/>
            </w:pPr>
            <w:r>
              <w:t xml:space="preserve">DOCKET NO. </w:t>
            </w:r>
            <w:bookmarkStart w:id="2" w:name="SSDocketNo"/>
            <w:bookmarkEnd w:id="2"/>
            <w:r>
              <w:t>150148-EI</w:t>
            </w:r>
          </w:p>
          <w:p w:rsidR="004E0AD5" w:rsidRDefault="004E0AD5" w:rsidP="00C63FCF">
            <w:pPr>
              <w:pStyle w:val="OrderBody"/>
              <w:tabs>
                <w:tab w:val="center" w:pos="4320"/>
                <w:tab w:val="right" w:pos="8640"/>
              </w:tabs>
              <w:jc w:val="left"/>
            </w:pPr>
            <w:r>
              <w:t xml:space="preserve">ORDER NO. </w:t>
            </w:r>
            <w:bookmarkStart w:id="3" w:name="OrderNo0255"/>
            <w:r w:rsidR="00CA02C5">
              <w:t>PSC-15-0255-PCO-EI</w:t>
            </w:r>
            <w:bookmarkEnd w:id="3"/>
          </w:p>
          <w:p w:rsidR="004E0AD5" w:rsidRDefault="004E0AD5" w:rsidP="00C63FCF">
            <w:pPr>
              <w:pStyle w:val="OrderBody"/>
              <w:tabs>
                <w:tab w:val="center" w:pos="4320"/>
                <w:tab w:val="right" w:pos="8640"/>
              </w:tabs>
              <w:jc w:val="left"/>
            </w:pPr>
            <w:r>
              <w:t xml:space="preserve">ISSUED: </w:t>
            </w:r>
            <w:r w:rsidR="00CA02C5">
              <w:t>June 25, 2015</w:t>
            </w:r>
          </w:p>
        </w:tc>
      </w:tr>
    </w:tbl>
    <w:p w:rsidR="004E0AD5" w:rsidRDefault="004E0AD5" w:rsidP="004E0AD5"/>
    <w:p w:rsidR="004E0AD5" w:rsidRDefault="004E0AD5" w:rsidP="004E0AD5"/>
    <w:p w:rsidR="00CB5276" w:rsidRDefault="004E0AD5" w:rsidP="004E0AD5">
      <w:pPr>
        <w:pStyle w:val="CenterUnderline"/>
      </w:pPr>
      <w:bookmarkStart w:id="4" w:name="Commissioners"/>
      <w:bookmarkEnd w:id="4"/>
      <w:r>
        <w:t>ORDER</w:t>
      </w:r>
      <w:bookmarkStart w:id="5" w:name="OrderTitle"/>
      <w:r>
        <w:t xml:space="preserve"> </w:t>
      </w:r>
      <w:r w:rsidRPr="00826D5E">
        <w:t xml:space="preserve">GRANTING </w:t>
      </w:r>
      <w:r w:rsidR="00C85C8E">
        <w:t xml:space="preserve">PETITION TO </w:t>
      </w:r>
      <w:r w:rsidRPr="00826D5E">
        <w:t>INTERV</w:t>
      </w:r>
      <w:bookmarkEnd w:id="5"/>
      <w:r w:rsidR="00D24FF9">
        <w:t>ENE</w:t>
      </w:r>
    </w:p>
    <w:p w:rsidR="004E0AD5" w:rsidRDefault="004E0AD5" w:rsidP="004E0AD5">
      <w:pPr>
        <w:pStyle w:val="CenterUnderline"/>
      </w:pPr>
    </w:p>
    <w:p w:rsidR="00CB5276" w:rsidRDefault="00CB5276">
      <w:pPr>
        <w:pStyle w:val="OrderBody"/>
      </w:pPr>
      <w:bookmarkStart w:id="6" w:name="OrderText"/>
      <w:bookmarkEnd w:id="6"/>
    </w:p>
    <w:p w:rsidR="008E4870" w:rsidRDefault="00C43676" w:rsidP="00AA3E11">
      <w:pPr>
        <w:jc w:val="both"/>
      </w:pPr>
      <w:r>
        <w:tab/>
      </w:r>
      <w:r w:rsidR="005F1BB6">
        <w:t xml:space="preserve">In </w:t>
      </w:r>
      <w:r w:rsidR="005F1BB6" w:rsidRPr="00B44303">
        <w:t xml:space="preserve">February 2013, Duke Energy Florida, Inc. (DEF) announced its decision to retire </w:t>
      </w:r>
      <w:r w:rsidR="005F1BB6">
        <w:t xml:space="preserve">its nuclear plant, </w:t>
      </w:r>
      <w:r w:rsidR="005F1BB6" w:rsidRPr="00B44303">
        <w:t>Crystal River Unit 3 (CR3)</w:t>
      </w:r>
      <w:r w:rsidR="005F1BB6">
        <w:t xml:space="preserve">, in Citrus County, Florida.  The retirement of CR3 was the subject of two settlement agreements.  </w:t>
      </w:r>
      <w:r w:rsidR="008E4870">
        <w:t>The first settlement agreement, reached in 2012,was replaced by the</w:t>
      </w:r>
      <w:r w:rsidR="005F1BB6">
        <w:t xml:space="preserve"> second settlement agreement, the 2013 Revised and Restated Stipulation and Settlement Agreement (“RRSSA”).</w:t>
      </w:r>
      <w:r w:rsidR="008E4870">
        <w:rPr>
          <w:rStyle w:val="FootnoteReference"/>
        </w:rPr>
        <w:footnoteReference w:id="1"/>
      </w:r>
      <w:r w:rsidR="005F1BB6">
        <w:t xml:space="preserve"> </w:t>
      </w:r>
      <w:r w:rsidR="008E4870">
        <w:t xml:space="preserve"> Among other things, the RRSSA contemplated that DEF would create a regulatory asset to </w:t>
      </w:r>
      <w:r w:rsidR="008E4870" w:rsidRPr="00F75F48">
        <w:t xml:space="preserve">account for the recovery </w:t>
      </w:r>
      <w:r w:rsidR="008E4870">
        <w:t>of</w:t>
      </w:r>
      <w:r w:rsidR="008E4870" w:rsidRPr="00F75F48">
        <w:t xml:space="preserve"> costs </w:t>
      </w:r>
      <w:r w:rsidR="008E4870">
        <w:t>associated with the retirement of</w:t>
      </w:r>
      <w:r w:rsidR="008E4870" w:rsidRPr="00F75F48">
        <w:t xml:space="preserve"> CR3</w:t>
      </w:r>
      <w:r w:rsidR="008E4870">
        <w:t>.</w:t>
      </w:r>
      <w:r w:rsidR="00C85C8E">
        <w:t xml:space="preserve"> </w:t>
      </w:r>
    </w:p>
    <w:p w:rsidR="0081305F" w:rsidRDefault="0081305F" w:rsidP="00AA3E11">
      <w:pPr>
        <w:jc w:val="both"/>
      </w:pPr>
    </w:p>
    <w:p w:rsidR="00C43676" w:rsidRPr="00C43676" w:rsidRDefault="00C43676" w:rsidP="008E4870">
      <w:pPr>
        <w:ind w:firstLine="720"/>
        <w:jc w:val="both"/>
      </w:pPr>
      <w:r>
        <w:t>On May 22, 2015, pursuant to Sections 366.04(1) and 366.05, Florida Statutes,</w:t>
      </w:r>
      <w:r w:rsidR="008E4870">
        <w:t xml:space="preserve"> (F.S.)</w:t>
      </w:r>
      <w:r w:rsidR="000F1A5D">
        <w:t>,</w:t>
      </w:r>
      <w:r>
        <w:t xml:space="preserve"> and in accordance with t</w:t>
      </w:r>
      <w:r w:rsidR="008E4870">
        <w:t>he RRSSA</w:t>
      </w:r>
      <w:r w:rsidR="007D46DE">
        <w:t xml:space="preserve">, </w:t>
      </w:r>
      <w:r w:rsidRPr="00C43676">
        <w:t xml:space="preserve">DEF </w:t>
      </w:r>
      <w:r w:rsidR="00BD07E4">
        <w:t>filed a petition</w:t>
      </w:r>
      <w:r w:rsidR="0089643B">
        <w:t xml:space="preserve"> with the Commission requesting </w:t>
      </w:r>
      <w:r w:rsidR="00BD07E4">
        <w:t xml:space="preserve">approval to include in base rates the revenue requirement for the CR3 </w:t>
      </w:r>
      <w:r w:rsidR="00821E7B">
        <w:t>R</w:t>
      </w:r>
      <w:r w:rsidR="008E4870">
        <w:t xml:space="preserve">egulatory </w:t>
      </w:r>
      <w:r w:rsidR="00821E7B">
        <w:t>A</w:t>
      </w:r>
      <w:r w:rsidR="00BD07E4">
        <w:t>sset</w:t>
      </w:r>
      <w:r w:rsidR="005F1BB6">
        <w:t xml:space="preserve"> along with</w:t>
      </w:r>
      <w:r w:rsidR="00BD07E4">
        <w:t xml:space="preserve"> supporting testimony and exhibits.  DEF asserts that </w:t>
      </w:r>
      <w:r w:rsidR="00466CE6">
        <w:t>it has</w:t>
      </w:r>
      <w:r w:rsidR="00AA3E11">
        <w:t xml:space="preserve"> complied with the RRSSA and is therefore entitled to recover the value of the CR3 </w:t>
      </w:r>
      <w:r w:rsidR="00821E7B">
        <w:t>R</w:t>
      </w:r>
      <w:r w:rsidR="00AA3E11">
        <w:t xml:space="preserve">egulatory </w:t>
      </w:r>
      <w:r w:rsidR="00821E7B">
        <w:t>A</w:t>
      </w:r>
      <w:r w:rsidR="00AA3E11">
        <w:t>sset in base rates.</w:t>
      </w:r>
      <w:r w:rsidR="0089643B">
        <w:t xml:space="preserve"> </w:t>
      </w:r>
      <w:r w:rsidR="00AA3E11">
        <w:t xml:space="preserve"> Further, DEF asserts all reasonable and prudent efforts were used to maximize salvage value and minimize costs that were charged to the CR3 </w:t>
      </w:r>
      <w:r w:rsidR="00821E7B">
        <w:t>R</w:t>
      </w:r>
      <w:r w:rsidR="00AA3E11">
        <w:t xml:space="preserve">egulatory </w:t>
      </w:r>
      <w:r w:rsidR="00821E7B">
        <w:t>A</w:t>
      </w:r>
      <w:r w:rsidR="00AA3E11">
        <w:t xml:space="preserve">sset for the benefit of DEF’s customers.  </w:t>
      </w:r>
    </w:p>
    <w:p w:rsidR="00C43676" w:rsidRPr="00C43676" w:rsidRDefault="00C43676" w:rsidP="00125C8F">
      <w:pPr>
        <w:ind w:firstLine="720"/>
        <w:jc w:val="both"/>
      </w:pPr>
    </w:p>
    <w:p w:rsidR="0049586D" w:rsidRDefault="004E0AD5" w:rsidP="00125C8F">
      <w:pPr>
        <w:ind w:firstLine="720"/>
        <w:jc w:val="both"/>
      </w:pPr>
      <w:r w:rsidRPr="00826D5E">
        <w:t xml:space="preserve">By petition, dated </w:t>
      </w:r>
      <w:r w:rsidR="00706CED">
        <w:t>June 11, 2015, Florida Industrial Power Users Group (FIPUG)</w:t>
      </w:r>
      <w:r w:rsidR="009146FE">
        <w:t xml:space="preserve">, a signatory to the RRSSA, </w:t>
      </w:r>
      <w:r w:rsidRPr="004E0AD5">
        <w:t xml:space="preserve">has requested permission to intervene in this proceeding.  </w:t>
      </w:r>
      <w:r w:rsidR="00466CE6">
        <w:t>N</w:t>
      </w:r>
      <w:r w:rsidR="007D46DE">
        <w:t>o response</w:t>
      </w:r>
      <w:r w:rsidR="00466CE6">
        <w:t>s were</w:t>
      </w:r>
      <w:r w:rsidR="007D46DE">
        <w:t xml:space="preserve"> filed in opposition to this request and the time to file </w:t>
      </w:r>
      <w:r w:rsidR="000F1A5D">
        <w:t xml:space="preserve">an </w:t>
      </w:r>
      <w:r w:rsidR="007D46DE">
        <w:t>objection has expired.</w:t>
      </w:r>
    </w:p>
    <w:p w:rsidR="0049586D" w:rsidRDefault="0049586D" w:rsidP="0049586D">
      <w:pPr>
        <w:jc w:val="both"/>
      </w:pPr>
    </w:p>
    <w:p w:rsidR="0049586D" w:rsidRDefault="0049586D" w:rsidP="0049586D">
      <w:pPr>
        <w:jc w:val="both"/>
        <w:rPr>
          <w:u w:val="single"/>
        </w:rPr>
      </w:pPr>
      <w:r w:rsidRPr="0049586D">
        <w:rPr>
          <w:u w:val="single"/>
        </w:rPr>
        <w:t>Petition for Intervention</w:t>
      </w:r>
    </w:p>
    <w:p w:rsidR="0049586D" w:rsidRPr="0049586D" w:rsidRDefault="0049586D" w:rsidP="0049586D">
      <w:pPr>
        <w:jc w:val="both"/>
        <w:rPr>
          <w:u w:val="single"/>
        </w:rPr>
      </w:pPr>
    </w:p>
    <w:p w:rsidR="0049586D" w:rsidRDefault="0089643B" w:rsidP="00125C8F">
      <w:pPr>
        <w:ind w:firstLine="720"/>
        <w:jc w:val="both"/>
      </w:pPr>
      <w:r>
        <w:t xml:space="preserve">According to its petition, </w:t>
      </w:r>
      <w:r w:rsidRPr="00706CED">
        <w:t>FIPUG</w:t>
      </w:r>
      <w:r>
        <w:t xml:space="preserve"> is an</w:t>
      </w:r>
      <w:r w:rsidRPr="00706CED">
        <w:t xml:space="preserve"> ad hoc association consisting of industrial users of electricity in Florida, many of whom receive electricity from the Petitioner. </w:t>
      </w:r>
      <w:r>
        <w:t xml:space="preserve"> </w:t>
      </w:r>
      <w:r w:rsidRPr="00706CED">
        <w:t xml:space="preserve">The cost of electricity constitutes a significant portion of FIPUG members’ overall costs of production. </w:t>
      </w:r>
      <w:r>
        <w:t xml:space="preserve"> </w:t>
      </w:r>
      <w:r w:rsidR="00706CED" w:rsidRPr="00706CED">
        <w:t xml:space="preserve">FIPUG members require adequate, reasonably-priced electricity in order to compete in their respective markets. </w:t>
      </w:r>
      <w:r w:rsidR="00706CED">
        <w:t xml:space="preserve"> FIPUG asserts </w:t>
      </w:r>
      <w:r w:rsidR="00125C8F">
        <w:t>the</w:t>
      </w:r>
      <w:r w:rsidR="0049586D">
        <w:t xml:space="preserve"> </w:t>
      </w:r>
      <w:r w:rsidR="00125C8F">
        <w:t xml:space="preserve">Commission </w:t>
      </w:r>
      <w:r w:rsidR="009146FE">
        <w:t xml:space="preserve">review of </w:t>
      </w:r>
      <w:r w:rsidR="00125C8F">
        <w:t>D</w:t>
      </w:r>
      <w:r w:rsidR="009146FE">
        <w:t>EF’</w:t>
      </w:r>
      <w:r w:rsidR="00125C8F">
        <w:t>s efforts to recoup monies for the use and benefit of ratepayers,</w:t>
      </w:r>
      <w:r w:rsidR="009146FE">
        <w:t xml:space="preserve"> </w:t>
      </w:r>
      <w:r w:rsidR="00125C8F" w:rsidRPr="00706CED">
        <w:t xml:space="preserve">review </w:t>
      </w:r>
      <w:r w:rsidR="009146FE">
        <w:t xml:space="preserve">of </w:t>
      </w:r>
      <w:r w:rsidR="00125C8F" w:rsidRPr="00706CED">
        <w:t xml:space="preserve">the reasonableness and prudence of certain DEF expenses related to </w:t>
      </w:r>
      <w:r w:rsidR="009146FE">
        <w:t xml:space="preserve">the </w:t>
      </w:r>
      <w:r w:rsidR="00125C8F" w:rsidRPr="00706CED">
        <w:t>C</w:t>
      </w:r>
      <w:r w:rsidR="0049586D">
        <w:t>R</w:t>
      </w:r>
      <w:r w:rsidR="00125C8F" w:rsidRPr="00706CED">
        <w:t>3</w:t>
      </w:r>
      <w:r w:rsidR="009146FE">
        <w:t xml:space="preserve">, and the </w:t>
      </w:r>
      <w:r>
        <w:t xml:space="preserve">ultimate </w:t>
      </w:r>
      <w:r w:rsidR="009146FE">
        <w:t xml:space="preserve">decision on whether </w:t>
      </w:r>
      <w:r w:rsidR="00D55DB4">
        <w:t>t</w:t>
      </w:r>
      <w:r w:rsidR="009146FE">
        <w:t xml:space="preserve">o approve the inclusion in base rates the revenue requirement for the CR3 </w:t>
      </w:r>
      <w:r w:rsidR="00821E7B">
        <w:t>R</w:t>
      </w:r>
      <w:r w:rsidR="009146FE">
        <w:t xml:space="preserve">egulatory </w:t>
      </w:r>
      <w:r w:rsidR="00821E7B">
        <w:t>A</w:t>
      </w:r>
      <w:r w:rsidR="009146FE">
        <w:t xml:space="preserve">sset, </w:t>
      </w:r>
      <w:r w:rsidR="00896F3B" w:rsidRPr="00706CED">
        <w:t xml:space="preserve">coincide with numerous </w:t>
      </w:r>
      <w:r w:rsidR="00896F3B" w:rsidRPr="00706CED">
        <w:lastRenderedPageBreak/>
        <w:t>FIPUG m</w:t>
      </w:r>
      <w:r w:rsidR="009146FE">
        <w:t>embers’ substantial interests, including</w:t>
      </w:r>
      <w:r w:rsidR="00D55DB4">
        <w:t xml:space="preserve"> to ensure </w:t>
      </w:r>
      <w:r w:rsidR="00896F3B" w:rsidRPr="00706CED">
        <w:t xml:space="preserve">the rates they pay to </w:t>
      </w:r>
      <w:r w:rsidR="00896F3B">
        <w:t>DEF</w:t>
      </w:r>
      <w:r w:rsidR="00896F3B" w:rsidRPr="00706CED">
        <w:t xml:space="preserve"> are fair, just and reasonable</w:t>
      </w:r>
      <w:r w:rsidR="00D55DB4">
        <w:t>.</w:t>
      </w:r>
    </w:p>
    <w:p w:rsidR="0049586D" w:rsidRDefault="0049586D" w:rsidP="0049586D">
      <w:pPr>
        <w:jc w:val="both"/>
      </w:pPr>
    </w:p>
    <w:p w:rsidR="0049586D" w:rsidRDefault="0049586D" w:rsidP="0049586D">
      <w:pPr>
        <w:jc w:val="both"/>
        <w:rPr>
          <w:u w:val="single"/>
        </w:rPr>
      </w:pPr>
      <w:r>
        <w:rPr>
          <w:u w:val="single"/>
        </w:rPr>
        <w:t xml:space="preserve">Standard for Intervention </w:t>
      </w:r>
    </w:p>
    <w:p w:rsidR="0049586D" w:rsidRDefault="0049586D" w:rsidP="0049586D">
      <w:pPr>
        <w:jc w:val="both"/>
        <w:rPr>
          <w:u w:val="single"/>
        </w:rPr>
      </w:pPr>
    </w:p>
    <w:p w:rsidR="0049586D" w:rsidRDefault="0049586D" w:rsidP="0049586D">
      <w:pPr>
        <w:jc w:val="both"/>
      </w:pPr>
      <w:r>
        <w:tab/>
        <w:t xml:space="preserve">Pursuant to Rule 25-22.039, Florida Administrative Code, (F.A.C.), </w:t>
      </w:r>
    </w:p>
    <w:p w:rsidR="0049586D" w:rsidRDefault="0049586D" w:rsidP="0049586D">
      <w:pPr>
        <w:jc w:val="both"/>
      </w:pPr>
      <w:r>
        <w:tab/>
      </w:r>
    </w:p>
    <w:p w:rsidR="00466CE6" w:rsidRDefault="00466CE6" w:rsidP="00466CE6">
      <w:pPr>
        <w:ind w:left="720" w:right="1080"/>
        <w:jc w:val="both"/>
      </w:pPr>
      <w:r>
        <w:t>Persons, other than the original parties to a pending proceeding, who have a</w:t>
      </w:r>
    </w:p>
    <w:p w:rsidR="00466CE6" w:rsidRDefault="00466CE6" w:rsidP="00466CE6">
      <w:pPr>
        <w:ind w:left="720" w:right="1080"/>
        <w:jc w:val="both"/>
      </w:pPr>
      <w:r>
        <w:t>substantial interest in the proceeding, and who desire to become parties may</w:t>
      </w:r>
    </w:p>
    <w:p w:rsidR="00466CE6" w:rsidRDefault="00466CE6" w:rsidP="00466CE6">
      <w:pPr>
        <w:ind w:left="720" w:right="1080"/>
        <w:jc w:val="both"/>
      </w:pPr>
      <w:r>
        <w:t>petition the presiding officer for leave to intervene.  Petitions for leave to intervene must be filed at least five (5) days before the final hearing, must conform with Uniform subsection 25-106.201,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p>
    <w:p w:rsidR="0049586D" w:rsidRDefault="0049586D" w:rsidP="0049586D">
      <w:pPr>
        <w:ind w:firstLine="720"/>
        <w:jc w:val="both"/>
      </w:pPr>
    </w:p>
    <w:p w:rsidR="00896F3B" w:rsidRDefault="0049586D" w:rsidP="0049586D">
      <w:pPr>
        <w:ind w:firstLine="720"/>
        <w:jc w:val="both"/>
      </w:pPr>
      <w:r>
        <w:t xml:space="preserve">To have standing, the intervenor must meet the two-prong standing test set forth in </w:t>
      </w:r>
      <w:r w:rsidR="00125C8F" w:rsidRPr="0049586D">
        <w:rPr>
          <w:u w:val="single"/>
        </w:rPr>
        <w:t>Agrico Chemical Company v. Department of Environmental Regulation</w:t>
      </w:r>
      <w:r w:rsidR="00125C8F" w:rsidRPr="00706CED">
        <w:t xml:space="preserve">, 406 So.2d 478 (Fla. 2nd DCA 1981). </w:t>
      </w:r>
      <w:r>
        <w:t xml:space="preserve"> The intervenor must show (1) </w:t>
      </w:r>
      <w:r w:rsidR="00001A74">
        <w:t xml:space="preserve">he or she </w:t>
      </w:r>
      <w:r>
        <w:t>will suffer injury in fac</w:t>
      </w:r>
      <w:r w:rsidR="00001A74">
        <w:t>t</w:t>
      </w:r>
      <w:r>
        <w:t xml:space="preserve"> which is of sufficient immediacy to entitle </w:t>
      </w:r>
      <w:r w:rsidR="00001A74">
        <w:t>the</w:t>
      </w:r>
      <w:r w:rsidR="00B25260">
        <w:t xml:space="preserve"> intervenor </w:t>
      </w:r>
      <w:r>
        <w:t xml:space="preserve">to a Section 120.527, F.S., hearing, and (2) the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561 So</w:t>
      </w:r>
      <w:r w:rsidR="0089643B">
        <w:t xml:space="preserve">.  </w:t>
      </w:r>
      <w:r>
        <w:t xml:space="preserve">2d 1224, 1225-26 (Fla. 3rd DCA 1990).  </w:t>
      </w:r>
      <w:r>
        <w:rPr>
          <w:u w:val="single"/>
        </w:rPr>
        <w:t>See also</w:t>
      </w:r>
      <w:r w:rsidR="00896F3B">
        <w:t xml:space="preserve">, </w:t>
      </w:r>
      <w:r w:rsidR="00896F3B">
        <w:rPr>
          <w:u w:val="single"/>
        </w:rPr>
        <w:t>Village Park Mobile Home Assn., Inc. v. State Dept. of Business Regulation</w:t>
      </w:r>
      <w:r w:rsidR="00896F3B">
        <w:t>, 506 So. 2d 426, 434 (Fla. 1</w:t>
      </w:r>
      <w:r w:rsidR="00896F3B" w:rsidRPr="00896F3B">
        <w:t>st</w:t>
      </w:r>
      <w:r w:rsidR="00896F3B">
        <w:t xml:space="preserve"> DCA 1987), </w:t>
      </w:r>
      <w:r w:rsidR="00896F3B">
        <w:rPr>
          <w:u w:val="single"/>
        </w:rPr>
        <w:t>rev. den.</w:t>
      </w:r>
      <w:r w:rsidR="00896F3B">
        <w:t xml:space="preserve">, 513 So. 2d 1063 (Fla. 1987) (speculation on the possible occurrence of injurious events is too remote).  </w:t>
      </w:r>
    </w:p>
    <w:p w:rsidR="00896F3B" w:rsidRDefault="00896F3B" w:rsidP="0049586D">
      <w:pPr>
        <w:ind w:firstLine="720"/>
        <w:jc w:val="both"/>
      </w:pPr>
    </w:p>
    <w:p w:rsidR="00896F3B" w:rsidRDefault="00896F3B" w:rsidP="0049586D">
      <w:pPr>
        <w:ind w:firstLine="720"/>
        <w:jc w:val="both"/>
      </w:pPr>
      <w:r>
        <w:t xml:space="preserve">The test for associational standing was established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also based on the basic standing </w:t>
      </w:r>
      <w:r w:rsidR="009146FE">
        <w:t>principles</w:t>
      </w:r>
      <w:r>
        <w:t xml:space="preserve"> established in </w:t>
      </w:r>
      <w:r>
        <w:rPr>
          <w:u w:val="single"/>
        </w:rPr>
        <w:t>Agrico</w:t>
      </w:r>
      <w:r>
        <w:t xml:space="preserve">.  </w:t>
      </w:r>
      <w:r w:rsidR="009146FE">
        <w:t>Associational</w:t>
      </w:r>
      <w:r>
        <w:t xml:space="preserve"> standing may be found where: (1) the association demonstrates that a substantial number of an association’s </w:t>
      </w:r>
      <w:r w:rsidR="009146FE">
        <w:t>members</w:t>
      </w:r>
      <w:r>
        <w:t xml:space="preserve">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896F3B" w:rsidRDefault="00896F3B" w:rsidP="00896F3B">
      <w:pPr>
        <w:jc w:val="both"/>
      </w:pPr>
    </w:p>
    <w:p w:rsidR="00896F3B" w:rsidRDefault="00896F3B" w:rsidP="00896F3B">
      <w:pPr>
        <w:jc w:val="both"/>
        <w:rPr>
          <w:u w:val="single"/>
        </w:rPr>
      </w:pPr>
      <w:r>
        <w:rPr>
          <w:u w:val="single"/>
        </w:rPr>
        <w:t>Analysis and Ruling</w:t>
      </w:r>
    </w:p>
    <w:p w:rsidR="00896F3B" w:rsidRDefault="00896F3B" w:rsidP="00896F3B">
      <w:pPr>
        <w:jc w:val="both"/>
      </w:pPr>
    </w:p>
    <w:p w:rsidR="00410A38" w:rsidRDefault="004E0AD5" w:rsidP="004E0AD5">
      <w:pPr>
        <w:jc w:val="both"/>
      </w:pPr>
      <w:r w:rsidRPr="004E0AD5">
        <w:tab/>
        <w:t xml:space="preserve">Having reviewed the Petition, it appears that </w:t>
      </w:r>
      <w:r w:rsidR="00706CED" w:rsidRPr="00706CED">
        <w:t>FIPUG</w:t>
      </w:r>
      <w:r w:rsidRPr="004E0AD5">
        <w:t xml:space="preserve"> </w:t>
      </w:r>
      <w:r w:rsidR="009146FE">
        <w:t xml:space="preserve">meets the two-prong standing test in </w:t>
      </w:r>
      <w:r w:rsidR="009146FE">
        <w:rPr>
          <w:u w:val="single"/>
        </w:rPr>
        <w:t>Agrico</w:t>
      </w:r>
      <w:r w:rsidR="009146FE">
        <w:t xml:space="preserve"> as well as the three-prong associational standing test established in </w:t>
      </w:r>
      <w:r w:rsidR="009146FE">
        <w:rPr>
          <w:u w:val="single"/>
        </w:rPr>
        <w:t>Florida Home Builders</w:t>
      </w:r>
      <w:r w:rsidR="009146FE">
        <w:t xml:space="preserve">.  FIPUG asserts that it is an </w:t>
      </w:r>
      <w:r w:rsidR="00957CD8">
        <w:t>association</w:t>
      </w:r>
      <w:r w:rsidR="009146FE">
        <w:t xml:space="preserve"> of Florida industrial electricity users, some of </w:t>
      </w:r>
      <w:r w:rsidR="00410A38">
        <w:t>whom</w:t>
      </w:r>
      <w:r w:rsidR="009146FE">
        <w:t xml:space="preserve"> are DEF ratepayers. FIPUG contends that these </w:t>
      </w:r>
      <w:r w:rsidR="00410A38">
        <w:t>m</w:t>
      </w:r>
      <w:r w:rsidR="009146FE">
        <w:t xml:space="preserve">embers’ substantial interests will be </w:t>
      </w:r>
      <w:r w:rsidR="009146FE">
        <w:lastRenderedPageBreak/>
        <w:t xml:space="preserve">affected by this Commission’s decision.  FIPUG further states that this is the type of proceeding designed to </w:t>
      </w:r>
      <w:r w:rsidR="0089643B">
        <w:t>protect</w:t>
      </w:r>
      <w:r w:rsidR="009146FE">
        <w:t xml:space="preserve"> its members’ interests.  Therefore, FIPUG’s </w:t>
      </w:r>
      <w:r w:rsidR="00410A38">
        <w:t>members</w:t>
      </w:r>
      <w:r w:rsidR="009146FE">
        <w:t xml:space="preserve"> meet the two-prong standing test of </w:t>
      </w:r>
      <w:r w:rsidR="009146FE">
        <w:rPr>
          <w:u w:val="single"/>
        </w:rPr>
        <w:t>Agrico</w:t>
      </w:r>
      <w:r w:rsidR="009146FE">
        <w:t xml:space="preserve">.  </w:t>
      </w:r>
    </w:p>
    <w:p w:rsidR="0003038D" w:rsidRDefault="0003038D" w:rsidP="0003038D">
      <w:pPr>
        <w:jc w:val="both"/>
      </w:pPr>
    </w:p>
    <w:p w:rsidR="00410A38" w:rsidRDefault="00410A38" w:rsidP="00410A38">
      <w:pPr>
        <w:ind w:firstLine="720"/>
        <w:jc w:val="both"/>
      </w:pPr>
      <w:r>
        <w:t xml:space="preserve">With respect to the first prong of the associational standing test, FIPUG asserts that its members are customers of DEF and that its members’ substantial interests will be directly affected by the Commission’s decision. </w:t>
      </w:r>
      <w:r w:rsidR="004E0AD5" w:rsidRPr="004E0AD5">
        <w:t xml:space="preserve"> </w:t>
      </w:r>
      <w:r>
        <w:t>With respect to the second prong of the associational standing test, the subject matter of the proceeding appears to be within FIPUG’s general scope of interest and activity.  FIPUG is an association which represents its members’ interests, and its members are industrial electricity users who purchase power from DEF.  Accordingly, FIPUG’s members’ interests will be directly affected by the Commission’s decision</w:t>
      </w:r>
      <w:r w:rsidR="0089643B">
        <w:t xml:space="preserve">.  </w:t>
      </w:r>
      <w:r>
        <w:t xml:space="preserve">As for the third prong of the associational standing test, FIPUG is seeking intervention in this docket to represent the interests of its members in seeking fair, just, and reasonable rates within the context </w:t>
      </w:r>
      <w:r w:rsidR="00B25260">
        <w:t xml:space="preserve"> of </w:t>
      </w:r>
      <w:r>
        <w:t xml:space="preserve">recovery of the CR3 </w:t>
      </w:r>
      <w:r w:rsidR="00821E7B">
        <w:t>R</w:t>
      </w:r>
      <w:r>
        <w:t xml:space="preserve">egulatory </w:t>
      </w:r>
      <w:r w:rsidR="00821E7B">
        <w:t>A</w:t>
      </w:r>
      <w:r>
        <w:t>sset.  Therefore, it appears FIPUG is in a position to request the Commission to grant relief on behalf of its members.</w:t>
      </w:r>
    </w:p>
    <w:p w:rsidR="00410A38" w:rsidRDefault="00410A38" w:rsidP="00410A38">
      <w:pPr>
        <w:jc w:val="both"/>
      </w:pPr>
    </w:p>
    <w:p w:rsidR="004E0AD5" w:rsidRPr="004E0AD5" w:rsidRDefault="004E0AD5" w:rsidP="00410A38">
      <w:pPr>
        <w:ind w:firstLine="720"/>
        <w:jc w:val="both"/>
      </w:pPr>
      <w:r w:rsidRPr="004E0AD5">
        <w:t xml:space="preserve">Therefore, </w:t>
      </w:r>
      <w:r w:rsidR="00410A38">
        <w:t xml:space="preserve">because </w:t>
      </w:r>
      <w:r w:rsidR="00957CD8">
        <w:t xml:space="preserve">it appears </w:t>
      </w:r>
      <w:r w:rsidR="00410A38">
        <w:t xml:space="preserve">FIPUG meets the two-prong standing test established in </w:t>
      </w:r>
      <w:r w:rsidR="00410A38">
        <w:rPr>
          <w:u w:val="single"/>
        </w:rPr>
        <w:t>Agrico</w:t>
      </w:r>
      <w:r w:rsidR="00410A38">
        <w:t xml:space="preserve"> as well as the three-prong associational standing test established in </w:t>
      </w:r>
      <w:r w:rsidR="00410A38">
        <w:rPr>
          <w:u w:val="single"/>
        </w:rPr>
        <w:t>Florida Home Builders</w:t>
      </w:r>
      <w:r w:rsidR="00410A38">
        <w:t xml:space="preserve">, FIPUG’s petition for intervention </w:t>
      </w:r>
      <w:r w:rsidRPr="004E0AD5">
        <w:t>shall be granted.  Pursuant to Rule 25-22.039, F</w:t>
      </w:r>
      <w:r w:rsidR="00125B2F">
        <w:t>.A.C.</w:t>
      </w:r>
      <w:r w:rsidRPr="004E0AD5">
        <w:t xml:space="preserve">, </w:t>
      </w:r>
      <w:r w:rsidR="00706CED" w:rsidRPr="00706CED">
        <w:t>FIPUG</w:t>
      </w:r>
      <w:r w:rsidRPr="004E0AD5">
        <w:t xml:space="preserve"> takes the case as it finds it.</w:t>
      </w:r>
    </w:p>
    <w:p w:rsidR="004E0AD5" w:rsidRPr="004E0AD5" w:rsidRDefault="004E0AD5" w:rsidP="004E0AD5">
      <w:pPr>
        <w:jc w:val="both"/>
      </w:pPr>
    </w:p>
    <w:p w:rsidR="004E0AD5" w:rsidRPr="004E0AD5" w:rsidRDefault="004E0AD5" w:rsidP="004E0AD5">
      <w:pPr>
        <w:jc w:val="both"/>
      </w:pPr>
      <w:r w:rsidRPr="004E0AD5">
        <w:tab/>
      </w:r>
      <w:r w:rsidR="00410A38">
        <w:t>Based on the foregoing</w:t>
      </w:r>
      <w:r w:rsidRPr="004E0AD5">
        <w:t>, it is</w:t>
      </w:r>
    </w:p>
    <w:p w:rsidR="004E0AD5" w:rsidRPr="004E0AD5" w:rsidRDefault="004E0AD5" w:rsidP="004E0AD5">
      <w:pPr>
        <w:jc w:val="both"/>
      </w:pPr>
    </w:p>
    <w:p w:rsidR="004E0AD5" w:rsidRPr="004E0AD5" w:rsidRDefault="004E0AD5" w:rsidP="004E0AD5">
      <w:pPr>
        <w:jc w:val="both"/>
      </w:pPr>
      <w:r w:rsidRPr="004E0AD5">
        <w:tab/>
        <w:t>ORDERED by Commissioner</w:t>
      </w:r>
      <w:r w:rsidR="00EF4DB8">
        <w:t xml:space="preserve"> Ronald A. Brisé</w:t>
      </w:r>
      <w:r w:rsidRPr="004E0AD5">
        <w:t xml:space="preserve">, as Prehearing Officer, that the Petition to Intervene filed by </w:t>
      </w:r>
      <w:r w:rsidR="00125C8F">
        <w:t>Florida Industrial Power Users Group</w:t>
      </w:r>
      <w:r w:rsidRPr="004E0AD5">
        <w:t xml:space="preserve"> is hereby granted.  It is further</w:t>
      </w:r>
    </w:p>
    <w:p w:rsidR="00125C8F" w:rsidRDefault="00125C8F" w:rsidP="004E0AD5">
      <w:pPr>
        <w:jc w:val="both"/>
      </w:pPr>
    </w:p>
    <w:p w:rsidR="004E0AD5" w:rsidRPr="00826D5E" w:rsidRDefault="004E0AD5" w:rsidP="00125C8F">
      <w:pPr>
        <w:ind w:firstLine="720"/>
        <w:jc w:val="both"/>
      </w:pPr>
      <w:r w:rsidRPr="00826D5E">
        <w:t>ORDERED that all parties to this proceeding shall furnish copies of all testimony, exhibits, pleadings and other documents which may hereinafter be filed in this proceeding, to:</w:t>
      </w:r>
    </w:p>
    <w:p w:rsidR="004E0AD5" w:rsidRPr="00826D5E" w:rsidRDefault="004E0AD5" w:rsidP="004E0AD5"/>
    <w:tbl>
      <w:tblPr>
        <w:tblW w:w="0" w:type="auto"/>
        <w:tblInd w:w="129" w:type="dxa"/>
        <w:tblLayout w:type="fixed"/>
        <w:tblCellMar>
          <w:left w:w="129" w:type="dxa"/>
          <w:right w:w="129" w:type="dxa"/>
        </w:tblCellMar>
        <w:tblLook w:val="0000" w:firstRow="0" w:lastRow="0" w:firstColumn="0" w:lastColumn="0" w:noHBand="0" w:noVBand="0"/>
      </w:tblPr>
      <w:tblGrid>
        <w:gridCol w:w="4682"/>
        <w:gridCol w:w="4682"/>
      </w:tblGrid>
      <w:tr w:rsidR="004E0AD5" w:rsidRPr="00826D5E" w:rsidTr="00433BC7">
        <w:trPr>
          <w:cantSplit/>
          <w:trHeight w:val="771"/>
        </w:trPr>
        <w:tc>
          <w:tcPr>
            <w:tcW w:w="4682" w:type="dxa"/>
            <w:tcBorders>
              <w:top w:val="nil"/>
              <w:left w:val="nil"/>
              <w:bottom w:val="nil"/>
              <w:right w:val="nil"/>
            </w:tcBorders>
          </w:tcPr>
          <w:p w:rsidR="00125C8F" w:rsidRDefault="00125C8F" w:rsidP="00125C8F">
            <w:pPr>
              <w:ind w:left="720"/>
            </w:pPr>
            <w:r>
              <w:t xml:space="preserve">Jon C. Moyle, Jr. </w:t>
            </w:r>
          </w:p>
          <w:p w:rsidR="00125C8F" w:rsidRDefault="00125C8F" w:rsidP="00125C8F">
            <w:pPr>
              <w:ind w:left="720"/>
            </w:pPr>
            <w:r>
              <w:t xml:space="preserve">Karen A. Putnal </w:t>
            </w:r>
          </w:p>
          <w:p w:rsidR="00125C8F" w:rsidRDefault="00125C8F" w:rsidP="00125C8F">
            <w:pPr>
              <w:ind w:left="720"/>
            </w:pPr>
            <w:r>
              <w:t xml:space="preserve">Moyle Law Firm, P.A. </w:t>
            </w:r>
          </w:p>
          <w:p w:rsidR="00125C8F" w:rsidRDefault="00125C8F" w:rsidP="00125C8F">
            <w:pPr>
              <w:ind w:left="720"/>
            </w:pPr>
            <w:r>
              <w:t xml:space="preserve">118 North Gadsden Street </w:t>
            </w:r>
          </w:p>
          <w:p w:rsidR="00125C8F" w:rsidRDefault="00125C8F" w:rsidP="00125C8F">
            <w:pPr>
              <w:ind w:left="720"/>
            </w:pPr>
            <w:r>
              <w:t xml:space="preserve">Tallahassee, Florida 32301 </w:t>
            </w:r>
          </w:p>
          <w:p w:rsidR="00125C8F" w:rsidRDefault="00125C8F" w:rsidP="00125C8F">
            <w:pPr>
              <w:ind w:left="720"/>
            </w:pPr>
            <w:r>
              <w:t xml:space="preserve">Telephone: (850) 681-3828 </w:t>
            </w:r>
          </w:p>
          <w:p w:rsidR="00125C8F" w:rsidRDefault="00125C8F" w:rsidP="00125C8F">
            <w:pPr>
              <w:ind w:left="720"/>
            </w:pPr>
            <w:r>
              <w:t xml:space="preserve">Facsimile: (850) 681-8788 </w:t>
            </w:r>
          </w:p>
          <w:p w:rsidR="004E0AD5" w:rsidRPr="00826D5E" w:rsidRDefault="00125C8F" w:rsidP="00125C8F">
            <w:pPr>
              <w:ind w:left="720"/>
            </w:pPr>
            <w:r>
              <w:t>jmoyle@moylelaw.com kputnal@moylelaw.com</w:t>
            </w:r>
          </w:p>
        </w:tc>
        <w:tc>
          <w:tcPr>
            <w:tcW w:w="4682" w:type="dxa"/>
            <w:tcBorders>
              <w:top w:val="nil"/>
              <w:left w:val="nil"/>
              <w:bottom w:val="nil"/>
              <w:right w:val="nil"/>
            </w:tcBorders>
          </w:tcPr>
          <w:p w:rsidR="004E0AD5" w:rsidRPr="00826D5E" w:rsidRDefault="004E0AD5" w:rsidP="00433BC7"/>
        </w:tc>
      </w:tr>
      <w:tr w:rsidR="004E0AD5" w:rsidRPr="00826D5E" w:rsidTr="00433BC7">
        <w:trPr>
          <w:cantSplit/>
          <w:trHeight w:val="375"/>
        </w:trPr>
        <w:tc>
          <w:tcPr>
            <w:tcW w:w="4682" w:type="dxa"/>
            <w:tcBorders>
              <w:top w:val="nil"/>
              <w:left w:val="nil"/>
              <w:bottom w:val="nil"/>
              <w:right w:val="nil"/>
            </w:tcBorders>
          </w:tcPr>
          <w:p w:rsidR="004E0AD5" w:rsidRDefault="004E0AD5" w:rsidP="00433BC7"/>
          <w:p w:rsidR="004E0AD5" w:rsidRPr="00826D5E" w:rsidRDefault="004E0AD5" w:rsidP="00433BC7"/>
        </w:tc>
        <w:tc>
          <w:tcPr>
            <w:tcW w:w="4682" w:type="dxa"/>
            <w:tcBorders>
              <w:top w:val="nil"/>
              <w:left w:val="nil"/>
              <w:bottom w:val="nil"/>
              <w:right w:val="nil"/>
            </w:tcBorders>
          </w:tcPr>
          <w:p w:rsidR="004E0AD5" w:rsidRPr="00826D5E" w:rsidRDefault="004E0AD5" w:rsidP="00433BC7"/>
        </w:tc>
      </w:tr>
    </w:tbl>
    <w:p w:rsidR="004E0AD5" w:rsidRDefault="004E0AD5" w:rsidP="004E0AD5"/>
    <w:p w:rsidR="00410A38" w:rsidRDefault="004E0AD5" w:rsidP="00410A38">
      <w:pPr>
        <w:pStyle w:val="OrderBody"/>
      </w:pPr>
      <w:r>
        <w:tab/>
      </w:r>
    </w:p>
    <w:p w:rsidR="00410A38" w:rsidRDefault="00410A38" w:rsidP="00410A38">
      <w:pPr>
        <w:pStyle w:val="OrderBody"/>
      </w:pPr>
    </w:p>
    <w:p w:rsidR="00410A38" w:rsidRDefault="00410A38" w:rsidP="00410A38">
      <w:pPr>
        <w:pStyle w:val="OrderBody"/>
      </w:pPr>
    </w:p>
    <w:p w:rsidR="00410A38" w:rsidRDefault="00410A38" w:rsidP="00410A38">
      <w:pPr>
        <w:pStyle w:val="OrderBody"/>
      </w:pPr>
    </w:p>
    <w:p w:rsidR="00410A38" w:rsidRDefault="00410A38" w:rsidP="00410A38">
      <w:pPr>
        <w:pStyle w:val="OrderBody"/>
      </w:pPr>
    </w:p>
    <w:p w:rsidR="004E0AD5" w:rsidRDefault="004E0AD5" w:rsidP="00CA02C5">
      <w:pPr>
        <w:pStyle w:val="OrderBody"/>
      </w:pPr>
      <w:r>
        <w:tab/>
        <w:t xml:space="preserve">By ORDER of Commissioner Ronald A. Brisé, as Prehearing Officer, this </w:t>
      </w:r>
      <w:bookmarkStart w:id="7" w:name="replaceDate"/>
      <w:bookmarkEnd w:id="7"/>
      <w:r w:rsidR="00CA02C5">
        <w:rPr>
          <w:u w:val="single"/>
        </w:rPr>
        <w:t>25th</w:t>
      </w:r>
      <w:r w:rsidR="00CA02C5">
        <w:t xml:space="preserve"> day of </w:t>
      </w:r>
      <w:r w:rsidR="00CA02C5">
        <w:rPr>
          <w:u w:val="single"/>
        </w:rPr>
        <w:t>June</w:t>
      </w:r>
      <w:r w:rsidR="00CA02C5">
        <w:t xml:space="preserve">, </w:t>
      </w:r>
      <w:r w:rsidR="00CA02C5">
        <w:rPr>
          <w:u w:val="single"/>
        </w:rPr>
        <w:t>2015</w:t>
      </w:r>
      <w:r w:rsidR="00CA02C5">
        <w:t>.</w:t>
      </w:r>
    </w:p>
    <w:p w:rsidR="00CA02C5" w:rsidRPr="00CA02C5" w:rsidRDefault="00CA02C5" w:rsidP="00CA02C5">
      <w:pPr>
        <w:pStyle w:val="OrderBody"/>
      </w:pPr>
    </w:p>
    <w:p w:rsidR="004E0AD5" w:rsidRDefault="004E0AD5" w:rsidP="004E0AD5">
      <w:pPr>
        <w:keepNext/>
        <w:keepLines/>
      </w:pPr>
    </w:p>
    <w:p w:rsidR="004E0AD5" w:rsidRDefault="004E0AD5" w:rsidP="004E0AD5">
      <w:pPr>
        <w:keepNext/>
        <w:keepLines/>
      </w:pPr>
    </w:p>
    <w:p w:rsidR="004E0AD5" w:rsidRDefault="004E0AD5" w:rsidP="004E0AD5">
      <w:pPr>
        <w:keepNext/>
        <w:keepLines/>
      </w:pPr>
    </w:p>
    <w:tbl>
      <w:tblPr>
        <w:tblW w:w="4720" w:type="dxa"/>
        <w:tblInd w:w="3800" w:type="dxa"/>
        <w:tblLayout w:type="fixed"/>
        <w:tblLook w:val="0000" w:firstRow="0" w:lastRow="0" w:firstColumn="0" w:lastColumn="0" w:noHBand="0" w:noVBand="0"/>
      </w:tblPr>
      <w:tblGrid>
        <w:gridCol w:w="686"/>
        <w:gridCol w:w="4034"/>
      </w:tblGrid>
      <w:tr w:rsidR="004E0AD5" w:rsidTr="004E0AD5">
        <w:tc>
          <w:tcPr>
            <w:tcW w:w="720" w:type="dxa"/>
            <w:shd w:val="clear" w:color="auto" w:fill="auto"/>
          </w:tcPr>
          <w:p w:rsidR="004E0AD5" w:rsidRDefault="004E0AD5" w:rsidP="004E0AD5">
            <w:pPr>
              <w:keepNext/>
              <w:keepLines/>
            </w:pPr>
            <w:bookmarkStart w:id="8" w:name="bkmrkSignature" w:colFirst="0" w:colLast="0"/>
          </w:p>
        </w:tc>
        <w:tc>
          <w:tcPr>
            <w:tcW w:w="4320" w:type="dxa"/>
            <w:tcBorders>
              <w:bottom w:val="single" w:sz="4" w:space="0" w:color="auto"/>
            </w:tcBorders>
            <w:shd w:val="clear" w:color="auto" w:fill="auto"/>
          </w:tcPr>
          <w:p w:rsidR="004E0AD5" w:rsidRDefault="00CA02C5" w:rsidP="004E0AD5">
            <w:pPr>
              <w:keepNext/>
              <w:keepLines/>
            </w:pPr>
            <w:r>
              <w:t>/s/ Ronald A. Brisé</w:t>
            </w:r>
          </w:p>
        </w:tc>
      </w:tr>
      <w:bookmarkEnd w:id="8"/>
      <w:tr w:rsidR="004E0AD5" w:rsidTr="004E0AD5">
        <w:tc>
          <w:tcPr>
            <w:tcW w:w="720" w:type="dxa"/>
            <w:shd w:val="clear" w:color="auto" w:fill="auto"/>
          </w:tcPr>
          <w:p w:rsidR="004E0AD5" w:rsidRDefault="004E0AD5" w:rsidP="004E0AD5">
            <w:pPr>
              <w:keepNext/>
              <w:keepLines/>
            </w:pPr>
          </w:p>
        </w:tc>
        <w:tc>
          <w:tcPr>
            <w:tcW w:w="4320" w:type="dxa"/>
            <w:tcBorders>
              <w:top w:val="single" w:sz="4" w:space="0" w:color="auto"/>
            </w:tcBorders>
            <w:shd w:val="clear" w:color="auto" w:fill="auto"/>
          </w:tcPr>
          <w:p w:rsidR="004E0AD5" w:rsidRDefault="004E0AD5" w:rsidP="004E0AD5">
            <w:pPr>
              <w:keepNext/>
              <w:keepLines/>
            </w:pPr>
            <w:r>
              <w:t>RONALD A. BRISÉ</w:t>
            </w:r>
          </w:p>
          <w:p w:rsidR="004E0AD5" w:rsidRDefault="004E0AD5" w:rsidP="004E0AD5">
            <w:pPr>
              <w:keepNext/>
              <w:keepLines/>
            </w:pPr>
            <w:r>
              <w:t>Commissioner and Prehearing Officer</w:t>
            </w:r>
          </w:p>
        </w:tc>
      </w:tr>
    </w:tbl>
    <w:p w:rsidR="004E0AD5" w:rsidRDefault="004E0AD5" w:rsidP="004E0AD5">
      <w:pPr>
        <w:pStyle w:val="OrderSigInfo"/>
        <w:keepNext/>
        <w:keepLines/>
      </w:pPr>
      <w:r>
        <w:t>Florida Public Service Commission</w:t>
      </w:r>
    </w:p>
    <w:p w:rsidR="004E0AD5" w:rsidRDefault="004E0AD5" w:rsidP="004E0AD5">
      <w:pPr>
        <w:pStyle w:val="OrderSigInfo"/>
        <w:keepNext/>
        <w:keepLines/>
      </w:pPr>
      <w:r>
        <w:t>2540 Shumard Oak Boulevard</w:t>
      </w:r>
    </w:p>
    <w:p w:rsidR="004E0AD5" w:rsidRDefault="004E0AD5" w:rsidP="004E0AD5">
      <w:pPr>
        <w:pStyle w:val="OrderSigInfo"/>
        <w:keepNext/>
        <w:keepLines/>
      </w:pPr>
      <w:r>
        <w:t>Tallahassee, Florida  32399</w:t>
      </w:r>
    </w:p>
    <w:p w:rsidR="004E0AD5" w:rsidRDefault="004E0AD5" w:rsidP="004E0AD5">
      <w:pPr>
        <w:pStyle w:val="OrderSigInfo"/>
        <w:keepNext/>
        <w:keepLines/>
      </w:pPr>
      <w:r>
        <w:t>(850) 413</w:t>
      </w:r>
      <w:r>
        <w:noBreakHyphen/>
        <w:t>6770</w:t>
      </w:r>
    </w:p>
    <w:p w:rsidR="004E0AD5" w:rsidRDefault="004E0AD5" w:rsidP="004E0AD5">
      <w:pPr>
        <w:pStyle w:val="OrderSigInfo"/>
        <w:keepNext/>
        <w:keepLines/>
      </w:pPr>
      <w:r>
        <w:t>www.floridapsc.com</w:t>
      </w:r>
    </w:p>
    <w:p w:rsidR="004E0AD5" w:rsidRDefault="004E0AD5" w:rsidP="004E0AD5">
      <w:pPr>
        <w:pStyle w:val="OrderSigInfo"/>
        <w:keepNext/>
        <w:keepLines/>
      </w:pPr>
    </w:p>
    <w:p w:rsidR="004E0AD5" w:rsidRDefault="004E0AD5" w:rsidP="004E0AD5">
      <w:pPr>
        <w:pStyle w:val="OrderSigInfo"/>
        <w:keepNext/>
        <w:keepLines/>
      </w:pPr>
      <w:r>
        <w:t>Copies furnished:  A copy of this document is provided to the parties of record at the time of issuance and, if applicable, interested persons.</w:t>
      </w:r>
    </w:p>
    <w:p w:rsidR="004E0AD5" w:rsidRDefault="004E0AD5" w:rsidP="004E0AD5">
      <w:pPr>
        <w:pStyle w:val="OrderBody"/>
        <w:keepNext/>
        <w:keepLines/>
      </w:pPr>
    </w:p>
    <w:p w:rsidR="004E0AD5" w:rsidRDefault="004E0AD5" w:rsidP="004E0AD5">
      <w:pPr>
        <w:keepNext/>
        <w:keepLines/>
      </w:pPr>
    </w:p>
    <w:p w:rsidR="004E0AD5" w:rsidRDefault="004E0AD5" w:rsidP="004E0AD5">
      <w:pPr>
        <w:keepNext/>
        <w:keepLines/>
      </w:pPr>
      <w:r>
        <w:t>LAA</w:t>
      </w:r>
    </w:p>
    <w:p w:rsidR="004E0AD5" w:rsidRDefault="004E0AD5" w:rsidP="004E0AD5"/>
    <w:p w:rsidR="004E0AD5" w:rsidRDefault="004E0AD5" w:rsidP="004E0AD5"/>
    <w:p w:rsidR="004E0AD5" w:rsidRDefault="004E0AD5" w:rsidP="004E0AD5">
      <w:pPr>
        <w:pStyle w:val="CenterUnderline"/>
      </w:pPr>
      <w:r>
        <w:t>NOTICE OF FURTHER PROCEEDINGS OR JUDICIAL REVIEW</w:t>
      </w:r>
    </w:p>
    <w:p w:rsidR="004E0AD5" w:rsidRDefault="004E0AD5" w:rsidP="004E0AD5">
      <w:pPr>
        <w:pStyle w:val="CenterUnderline"/>
        <w:rPr>
          <w:u w:val="none"/>
        </w:rPr>
      </w:pPr>
    </w:p>
    <w:p w:rsidR="004E0AD5" w:rsidRDefault="004E0AD5" w:rsidP="004E0AD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E0AD5" w:rsidRDefault="004E0AD5" w:rsidP="004E0AD5">
      <w:pPr>
        <w:pStyle w:val="OrderBody"/>
      </w:pPr>
    </w:p>
    <w:p w:rsidR="004E0AD5" w:rsidRDefault="004E0AD5" w:rsidP="004E0AD5">
      <w:pPr>
        <w:pStyle w:val="OrderBody"/>
      </w:pPr>
      <w:r>
        <w:tab/>
        <w:t>Mediation may be available on a case-by-case basis.  If mediation is conducted, it does not affect a substantially interested person's right to a hearing.</w:t>
      </w:r>
    </w:p>
    <w:p w:rsidR="004E0AD5" w:rsidRDefault="004E0AD5" w:rsidP="004E0AD5">
      <w:pPr>
        <w:pStyle w:val="OrderBody"/>
      </w:pPr>
    </w:p>
    <w:p w:rsidR="004E0AD5" w:rsidRDefault="004E0AD5" w:rsidP="004E0AD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E0AD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AD5" w:rsidRDefault="004E0AD5">
      <w:r>
        <w:separator/>
      </w:r>
    </w:p>
  </w:endnote>
  <w:endnote w:type="continuationSeparator" w:id="0">
    <w:p w:rsidR="004E0AD5" w:rsidRDefault="004E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AD5" w:rsidRDefault="004E0AD5">
      <w:r>
        <w:separator/>
      </w:r>
    </w:p>
  </w:footnote>
  <w:footnote w:type="continuationSeparator" w:id="0">
    <w:p w:rsidR="004E0AD5" w:rsidRDefault="004E0AD5">
      <w:r>
        <w:continuationSeparator/>
      </w:r>
    </w:p>
  </w:footnote>
  <w:footnote w:id="1">
    <w:p w:rsidR="008E4870" w:rsidRDefault="008E4870" w:rsidP="008E4870">
      <w:pPr>
        <w:pStyle w:val="FootnoteText"/>
      </w:pPr>
      <w:r>
        <w:rPr>
          <w:rStyle w:val="FootnoteReference"/>
        </w:rPr>
        <w:footnoteRef/>
      </w:r>
      <w:r>
        <w:t xml:space="preserve">  </w:t>
      </w:r>
      <w:r>
        <w:rPr>
          <w:u w:val="single"/>
        </w:rPr>
        <w:t>See</w:t>
      </w:r>
      <w:r>
        <w:t xml:space="preserve">, Order No.  PSC-13-0598-FOF-EI, issued November 12, 2013, in Docket No. 130208-EI, as amended by Order No. PSC-13-0598A-FOF-EI, issued November 13, 2013, </w:t>
      </w:r>
      <w:r>
        <w:rPr>
          <w:u w:val="single"/>
        </w:rPr>
        <w:t>In re: Petition for limited proceeding to approve revised and restated stipulation and settlement agreement by Duke Energy Florida, Inc. d/b/a Duke Energy.</w:t>
      </w:r>
    </w:p>
    <w:p w:rsidR="008E4870" w:rsidRDefault="008E4870" w:rsidP="008E487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F768D">
      <w:fldChar w:fldCharType="begin"/>
    </w:r>
    <w:r w:rsidR="009F768D">
      <w:instrText xml:space="preserve"> REF OrderNo0255 </w:instrText>
    </w:r>
    <w:r w:rsidR="009F768D">
      <w:fldChar w:fldCharType="separate"/>
    </w:r>
    <w:r w:rsidR="009F768D">
      <w:t>PSC-15-0255-PCO-EI</w:t>
    </w:r>
    <w:r w:rsidR="009F768D">
      <w:fldChar w:fldCharType="end"/>
    </w:r>
  </w:p>
  <w:p w:rsidR="00FA6EFD" w:rsidRDefault="004E0AD5">
    <w:pPr>
      <w:pStyle w:val="OrderHeader"/>
    </w:pPr>
    <w:bookmarkStart w:id="9" w:name="HeaderDocketNo"/>
    <w:bookmarkEnd w:id="9"/>
    <w:r>
      <w:t>DOCKET NO. 150148-EI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768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w:docVars>
  <w:rsids>
    <w:rsidRoot w:val="004E0AD5"/>
    <w:rsid w:val="00001A74"/>
    <w:rsid w:val="000022B8"/>
    <w:rsid w:val="0003038D"/>
    <w:rsid w:val="00053AB9"/>
    <w:rsid w:val="00056229"/>
    <w:rsid w:val="00065FC2"/>
    <w:rsid w:val="00090AFC"/>
    <w:rsid w:val="000D06E8"/>
    <w:rsid w:val="000E344D"/>
    <w:rsid w:val="000F1A5D"/>
    <w:rsid w:val="000F3B2C"/>
    <w:rsid w:val="000F7BE3"/>
    <w:rsid w:val="00116AD3"/>
    <w:rsid w:val="00125B2F"/>
    <w:rsid w:val="00125C8F"/>
    <w:rsid w:val="00126593"/>
    <w:rsid w:val="00142A96"/>
    <w:rsid w:val="00187E32"/>
    <w:rsid w:val="00194E81"/>
    <w:rsid w:val="001A33C9"/>
    <w:rsid w:val="001D008A"/>
    <w:rsid w:val="002002ED"/>
    <w:rsid w:val="0022721A"/>
    <w:rsid w:val="00230BB9"/>
    <w:rsid w:val="002A11AC"/>
    <w:rsid w:val="002A6F30"/>
    <w:rsid w:val="002B354D"/>
    <w:rsid w:val="002D7D15"/>
    <w:rsid w:val="00303FDE"/>
    <w:rsid w:val="003140E8"/>
    <w:rsid w:val="003231C7"/>
    <w:rsid w:val="00331ED0"/>
    <w:rsid w:val="0035495B"/>
    <w:rsid w:val="003744F5"/>
    <w:rsid w:val="00390DD8"/>
    <w:rsid w:val="00394DC6"/>
    <w:rsid w:val="00397C3E"/>
    <w:rsid w:val="003D4CCA"/>
    <w:rsid w:val="003D6416"/>
    <w:rsid w:val="003E1D48"/>
    <w:rsid w:val="00410A38"/>
    <w:rsid w:val="00457DC7"/>
    <w:rsid w:val="00466CE6"/>
    <w:rsid w:val="00472BCC"/>
    <w:rsid w:val="0049586D"/>
    <w:rsid w:val="004A25CD"/>
    <w:rsid w:val="004A26CC"/>
    <w:rsid w:val="004B2108"/>
    <w:rsid w:val="004B3A2B"/>
    <w:rsid w:val="004D2D1B"/>
    <w:rsid w:val="004E0AD5"/>
    <w:rsid w:val="004F2DDE"/>
    <w:rsid w:val="0050097F"/>
    <w:rsid w:val="00514B1F"/>
    <w:rsid w:val="00556A10"/>
    <w:rsid w:val="005963C2"/>
    <w:rsid w:val="005B45F7"/>
    <w:rsid w:val="005B63EA"/>
    <w:rsid w:val="005F1BB6"/>
    <w:rsid w:val="00660774"/>
    <w:rsid w:val="00665CC7"/>
    <w:rsid w:val="006A0BF3"/>
    <w:rsid w:val="006B0DA6"/>
    <w:rsid w:val="006C547E"/>
    <w:rsid w:val="00704C5D"/>
    <w:rsid w:val="00706CED"/>
    <w:rsid w:val="00733B6B"/>
    <w:rsid w:val="0076170F"/>
    <w:rsid w:val="0076669C"/>
    <w:rsid w:val="007865E9"/>
    <w:rsid w:val="00792383"/>
    <w:rsid w:val="007D3D20"/>
    <w:rsid w:val="007D46DE"/>
    <w:rsid w:val="007E3AFD"/>
    <w:rsid w:val="00804E7A"/>
    <w:rsid w:val="00805FBB"/>
    <w:rsid w:val="0081305F"/>
    <w:rsid w:val="008169A4"/>
    <w:rsid w:val="00821E7B"/>
    <w:rsid w:val="008278FE"/>
    <w:rsid w:val="00832598"/>
    <w:rsid w:val="0083397E"/>
    <w:rsid w:val="0083534B"/>
    <w:rsid w:val="00863A66"/>
    <w:rsid w:val="00874429"/>
    <w:rsid w:val="00883D9A"/>
    <w:rsid w:val="008919EF"/>
    <w:rsid w:val="0089643B"/>
    <w:rsid w:val="00896F3B"/>
    <w:rsid w:val="008B342C"/>
    <w:rsid w:val="008C6A5B"/>
    <w:rsid w:val="008D0732"/>
    <w:rsid w:val="008E26A5"/>
    <w:rsid w:val="008E42D2"/>
    <w:rsid w:val="008E4870"/>
    <w:rsid w:val="009008CD"/>
    <w:rsid w:val="009040EE"/>
    <w:rsid w:val="009057FD"/>
    <w:rsid w:val="009146FE"/>
    <w:rsid w:val="00922A7F"/>
    <w:rsid w:val="00923A5E"/>
    <w:rsid w:val="00957CD8"/>
    <w:rsid w:val="00994100"/>
    <w:rsid w:val="009D4C29"/>
    <w:rsid w:val="009F768D"/>
    <w:rsid w:val="00A62DAB"/>
    <w:rsid w:val="00A726A6"/>
    <w:rsid w:val="00A97535"/>
    <w:rsid w:val="00AA3E11"/>
    <w:rsid w:val="00AA73F1"/>
    <w:rsid w:val="00AB0E1A"/>
    <w:rsid w:val="00AB1A30"/>
    <w:rsid w:val="00AD1ED3"/>
    <w:rsid w:val="00B0777D"/>
    <w:rsid w:val="00B25260"/>
    <w:rsid w:val="00B4057A"/>
    <w:rsid w:val="00B40894"/>
    <w:rsid w:val="00B45E75"/>
    <w:rsid w:val="00B50876"/>
    <w:rsid w:val="00B55EE5"/>
    <w:rsid w:val="00B73DE6"/>
    <w:rsid w:val="00B86EF0"/>
    <w:rsid w:val="00B97900"/>
    <w:rsid w:val="00BA44A8"/>
    <w:rsid w:val="00BD07E4"/>
    <w:rsid w:val="00BF6691"/>
    <w:rsid w:val="00C028FC"/>
    <w:rsid w:val="00C43676"/>
    <w:rsid w:val="00C66692"/>
    <w:rsid w:val="00C85C8E"/>
    <w:rsid w:val="00C91123"/>
    <w:rsid w:val="00CA02C5"/>
    <w:rsid w:val="00CA71FF"/>
    <w:rsid w:val="00CB5276"/>
    <w:rsid w:val="00CB68D7"/>
    <w:rsid w:val="00CC7E68"/>
    <w:rsid w:val="00CD7132"/>
    <w:rsid w:val="00D24FF9"/>
    <w:rsid w:val="00D30B48"/>
    <w:rsid w:val="00D46FAA"/>
    <w:rsid w:val="00D55DB4"/>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EF4DB8"/>
    <w:rsid w:val="00F277B6"/>
    <w:rsid w:val="00F54380"/>
    <w:rsid w:val="00F54B47"/>
    <w:rsid w:val="00F5539E"/>
    <w:rsid w:val="00F82FAE"/>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C43676"/>
  </w:style>
  <w:style w:type="paragraph" w:styleId="BalloonText">
    <w:name w:val="Balloon Text"/>
    <w:basedOn w:val="Normal"/>
    <w:link w:val="BalloonTextChar"/>
    <w:rsid w:val="0089643B"/>
    <w:rPr>
      <w:rFonts w:ascii="Tahoma" w:hAnsi="Tahoma" w:cs="Tahoma"/>
      <w:sz w:val="16"/>
      <w:szCs w:val="16"/>
    </w:rPr>
  </w:style>
  <w:style w:type="character" w:customStyle="1" w:styleId="BalloonTextChar">
    <w:name w:val="Balloon Text Char"/>
    <w:basedOn w:val="DefaultParagraphFont"/>
    <w:link w:val="BalloonText"/>
    <w:rsid w:val="00896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C43676"/>
  </w:style>
  <w:style w:type="paragraph" w:styleId="BalloonText">
    <w:name w:val="Balloon Text"/>
    <w:basedOn w:val="Normal"/>
    <w:link w:val="BalloonTextChar"/>
    <w:rsid w:val="0089643B"/>
    <w:rPr>
      <w:rFonts w:ascii="Tahoma" w:hAnsi="Tahoma" w:cs="Tahoma"/>
      <w:sz w:val="16"/>
      <w:szCs w:val="16"/>
    </w:rPr>
  </w:style>
  <w:style w:type="character" w:customStyle="1" w:styleId="BalloonTextChar">
    <w:name w:val="Balloon Text Char"/>
    <w:basedOn w:val="DefaultParagraphFont"/>
    <w:link w:val="BalloonText"/>
    <w:rsid w:val="00896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01257">
      <w:bodyDiv w:val="1"/>
      <w:marLeft w:val="0"/>
      <w:marRight w:val="0"/>
      <w:marTop w:val="0"/>
      <w:marBottom w:val="0"/>
      <w:divBdr>
        <w:top w:val="none" w:sz="0" w:space="0" w:color="auto"/>
        <w:left w:val="none" w:sz="0" w:space="0" w:color="auto"/>
        <w:bottom w:val="none" w:sz="0" w:space="0" w:color="auto"/>
        <w:right w:val="none" w:sz="0" w:space="0" w:color="auto"/>
      </w:divBdr>
    </w:div>
    <w:div w:id="15944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A177D-D696-4270-AB0C-371B9B1E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1494</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2015-06-25T16:39:00Z</dcterms:created>
  <dcterms:modified xsi:type="dcterms:W3CDTF">2015-06-25T17:09:00Z</dcterms:modified>
</cp:coreProperties>
</file>