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B5276" w:rsidRDefault="00735C9A" w:rsidP="00735C9A">
      <w:pPr>
        <w:pStyle w:val="OrderHeading"/>
      </w:pPr>
      <w:r>
        <w:t>BEFORE THE FLORIDA PUBLIC SERVICE COMMISSION</w:t>
      </w:r>
    </w:p>
    <w:p w:rsidR="00735C9A" w:rsidRDefault="00735C9A" w:rsidP="00735C9A">
      <w:pPr>
        <w:pStyle w:val="OrderHeading"/>
      </w:pPr>
    </w:p>
    <w:p w:rsidR="00735C9A" w:rsidRDefault="00735C9A" w:rsidP="00735C9A">
      <w:pPr>
        <w:pStyle w:val="OrderBody"/>
      </w:pPr>
    </w:p>
    <w:tbl>
      <w:tblPr>
        <w:tblW w:w="0" w:type="auto"/>
        <w:tblBorders>
          <w:insideV w:val="double" w:sz="4" w:space="0" w:color="auto"/>
        </w:tblBorders>
        <w:tblLook w:val="01E0" w:firstRow="1" w:lastRow="1" w:firstColumn="1" w:lastColumn="1" w:noHBand="0" w:noVBand="0"/>
      </w:tblPr>
      <w:tblGrid>
        <w:gridCol w:w="4788"/>
        <w:gridCol w:w="4788"/>
      </w:tblGrid>
      <w:tr w:rsidR="00735C9A" w:rsidRPr="00C63FCF" w:rsidTr="00C63FCF">
        <w:trPr>
          <w:trHeight w:val="828"/>
        </w:trPr>
        <w:tc>
          <w:tcPr>
            <w:tcW w:w="4788" w:type="dxa"/>
            <w:tcBorders>
              <w:bottom w:val="single" w:sz="8" w:space="0" w:color="auto"/>
              <w:right w:val="double" w:sz="6" w:space="0" w:color="auto"/>
            </w:tcBorders>
            <w:shd w:val="clear" w:color="auto" w:fill="auto"/>
          </w:tcPr>
          <w:p w:rsidR="00735C9A" w:rsidRDefault="00735C9A" w:rsidP="00C63FCF">
            <w:pPr>
              <w:pStyle w:val="OrderBody"/>
              <w:tabs>
                <w:tab w:val="center" w:pos="4320"/>
                <w:tab w:val="right" w:pos="8640"/>
              </w:tabs>
              <w:jc w:val="left"/>
            </w:pPr>
            <w:r>
              <w:t xml:space="preserve">In re: </w:t>
            </w:r>
            <w:bookmarkStart w:id="0" w:name="SSInRe"/>
            <w:bookmarkEnd w:id="0"/>
            <w:r>
              <w:t>Petition for approval of revisions to renewable energy tariffs REN-1 and REN-2, by Florida Public Utilities Company.</w:t>
            </w:r>
          </w:p>
        </w:tc>
        <w:tc>
          <w:tcPr>
            <w:tcW w:w="4788" w:type="dxa"/>
            <w:tcBorders>
              <w:left w:val="double" w:sz="6" w:space="0" w:color="auto"/>
            </w:tcBorders>
            <w:shd w:val="clear" w:color="auto" w:fill="auto"/>
          </w:tcPr>
          <w:p w:rsidR="00735C9A" w:rsidRDefault="00735C9A" w:rsidP="00735C9A">
            <w:pPr>
              <w:pStyle w:val="OrderBody"/>
            </w:pPr>
            <w:r>
              <w:t xml:space="preserve">DOCKET NO. </w:t>
            </w:r>
            <w:bookmarkStart w:id="1" w:name="SSDocketNo"/>
            <w:bookmarkEnd w:id="1"/>
            <w:r>
              <w:t>150104-EQ</w:t>
            </w:r>
          </w:p>
          <w:p w:rsidR="00735C9A" w:rsidRDefault="00735C9A" w:rsidP="00C63FCF">
            <w:pPr>
              <w:pStyle w:val="OrderBody"/>
              <w:tabs>
                <w:tab w:val="center" w:pos="4320"/>
                <w:tab w:val="right" w:pos="8640"/>
              </w:tabs>
              <w:jc w:val="left"/>
            </w:pPr>
            <w:r>
              <w:t xml:space="preserve">ORDER NO. </w:t>
            </w:r>
            <w:bookmarkStart w:id="2" w:name="OrderNo0307"/>
            <w:r w:rsidR="009D15D2">
              <w:t>PSC-15-0307-PAA-EQ</w:t>
            </w:r>
            <w:bookmarkEnd w:id="2"/>
          </w:p>
          <w:p w:rsidR="00735C9A" w:rsidRDefault="00735C9A" w:rsidP="00C63FCF">
            <w:pPr>
              <w:pStyle w:val="OrderBody"/>
              <w:tabs>
                <w:tab w:val="center" w:pos="4320"/>
                <w:tab w:val="right" w:pos="8640"/>
              </w:tabs>
              <w:jc w:val="left"/>
            </w:pPr>
            <w:r>
              <w:t xml:space="preserve">ISSUED: </w:t>
            </w:r>
            <w:r w:rsidR="009D15D2">
              <w:t>July 29, 2015</w:t>
            </w:r>
          </w:p>
        </w:tc>
      </w:tr>
    </w:tbl>
    <w:p w:rsidR="00735C9A" w:rsidRDefault="00735C9A" w:rsidP="00735C9A"/>
    <w:p w:rsidR="00735C9A" w:rsidRDefault="00735C9A" w:rsidP="00735C9A"/>
    <w:p w:rsidR="0084708A" w:rsidRPr="00E46E1F" w:rsidRDefault="0084708A" w:rsidP="0084708A">
      <w:pPr>
        <w:ind w:firstLine="720"/>
        <w:jc w:val="both"/>
      </w:pPr>
      <w:bookmarkStart w:id="3" w:name="Commissioners"/>
      <w:bookmarkEnd w:id="3"/>
      <w:r w:rsidRPr="00E46E1F">
        <w:t>The following Commissioners participated in the disposition of this matter:</w:t>
      </w:r>
    </w:p>
    <w:p w:rsidR="0084708A" w:rsidRPr="00E46E1F" w:rsidRDefault="0084708A" w:rsidP="0084708A"/>
    <w:p w:rsidR="0084708A" w:rsidRDefault="0084708A" w:rsidP="0084708A">
      <w:pPr>
        <w:jc w:val="center"/>
      </w:pPr>
      <w:r>
        <w:t>ART GRAHAM</w:t>
      </w:r>
      <w:r w:rsidRPr="00E46E1F">
        <w:t>, Chairman</w:t>
      </w:r>
    </w:p>
    <w:p w:rsidR="0084708A" w:rsidRPr="00E46E1F" w:rsidRDefault="0084708A" w:rsidP="0084708A">
      <w:pPr>
        <w:jc w:val="center"/>
      </w:pPr>
      <w:r w:rsidRPr="00E46E1F">
        <w:t>LISA POLAK EDGAR</w:t>
      </w:r>
    </w:p>
    <w:p w:rsidR="0084708A" w:rsidRDefault="0084708A" w:rsidP="0084708A">
      <w:pPr>
        <w:jc w:val="center"/>
      </w:pPr>
      <w:r>
        <w:t>RONALD A. BRISÉ</w:t>
      </w:r>
    </w:p>
    <w:p w:rsidR="0084708A" w:rsidRDefault="0084708A" w:rsidP="0084708A">
      <w:pPr>
        <w:jc w:val="center"/>
      </w:pPr>
      <w:r>
        <w:t>JULIE I. BROWN</w:t>
      </w:r>
    </w:p>
    <w:p w:rsidR="0084708A" w:rsidRDefault="0084708A" w:rsidP="0084708A">
      <w:pPr>
        <w:jc w:val="center"/>
      </w:pPr>
      <w:r>
        <w:t>JIMMY PATRONIS</w:t>
      </w:r>
    </w:p>
    <w:p w:rsidR="0084708A" w:rsidRDefault="0084708A" w:rsidP="0084708A">
      <w:pPr>
        <w:pStyle w:val="OrderBody"/>
      </w:pPr>
    </w:p>
    <w:p w:rsidR="0084708A" w:rsidRDefault="0084708A" w:rsidP="0084708A">
      <w:pPr>
        <w:pStyle w:val="OrderBody"/>
      </w:pPr>
    </w:p>
    <w:p w:rsidR="000263D4" w:rsidRDefault="0084708A" w:rsidP="0084708A">
      <w:pPr>
        <w:pStyle w:val="OrderBody"/>
        <w:jc w:val="center"/>
        <w:rPr>
          <w:u w:val="single"/>
        </w:rPr>
      </w:pPr>
      <w:r w:rsidRPr="003E4B2D">
        <w:rPr>
          <w:lang w:val="en-CA"/>
        </w:rPr>
        <w:fldChar w:fldCharType="begin"/>
      </w:r>
      <w:r w:rsidRPr="003E4B2D">
        <w:rPr>
          <w:lang w:val="en-CA"/>
        </w:rPr>
        <w:instrText xml:space="preserve"> SEQ CHAPTER \h \r 1</w:instrText>
      </w:r>
      <w:r w:rsidRPr="003E4B2D">
        <w:fldChar w:fldCharType="end"/>
      </w:r>
      <w:r w:rsidRPr="003E4B2D">
        <w:rPr>
          <w:u w:val="single"/>
        </w:rPr>
        <w:t>NOTICE OF PROPOSED AGENCY ACTION</w:t>
      </w:r>
      <w:r w:rsidR="000263D4">
        <w:rPr>
          <w:u w:val="single"/>
        </w:rPr>
        <w:t xml:space="preserve"> </w:t>
      </w:r>
      <w:r w:rsidRPr="003E4B2D">
        <w:rPr>
          <w:u w:val="single"/>
        </w:rPr>
        <w:t>ORDER</w:t>
      </w:r>
      <w:bookmarkStart w:id="4" w:name="OrderTitle"/>
      <w:r w:rsidR="000263D4">
        <w:rPr>
          <w:u w:val="single"/>
        </w:rPr>
        <w:t xml:space="preserve"> </w:t>
      </w:r>
    </w:p>
    <w:p w:rsidR="000263D4" w:rsidRDefault="000263D4" w:rsidP="0084708A">
      <w:pPr>
        <w:pStyle w:val="OrderBody"/>
        <w:jc w:val="center"/>
        <w:rPr>
          <w:u w:val="single"/>
        </w:rPr>
      </w:pPr>
      <w:r>
        <w:rPr>
          <w:u w:val="single"/>
        </w:rPr>
        <w:t xml:space="preserve">APPROVING </w:t>
      </w:r>
    </w:p>
    <w:p w:rsidR="000263D4" w:rsidRDefault="000263D4" w:rsidP="0084708A">
      <w:pPr>
        <w:pStyle w:val="OrderBody"/>
        <w:jc w:val="center"/>
        <w:rPr>
          <w:u w:val="single"/>
        </w:rPr>
      </w:pPr>
      <w:r>
        <w:rPr>
          <w:u w:val="single"/>
        </w:rPr>
        <w:t xml:space="preserve">FLORIDA PUBLIC UTILITY COMPANY’S </w:t>
      </w:r>
    </w:p>
    <w:p w:rsidR="0084708A" w:rsidRPr="003E4B2D" w:rsidRDefault="000263D4" w:rsidP="0084708A">
      <w:pPr>
        <w:pStyle w:val="OrderBody"/>
        <w:jc w:val="center"/>
        <w:rPr>
          <w:u w:val="single"/>
        </w:rPr>
      </w:pPr>
      <w:r>
        <w:rPr>
          <w:u w:val="single"/>
        </w:rPr>
        <w:t xml:space="preserve">STANDARD OFFER CONTRACT </w:t>
      </w:r>
      <w:r w:rsidR="0084708A">
        <w:rPr>
          <w:u w:val="single"/>
        </w:rPr>
        <w:t xml:space="preserve"> </w:t>
      </w:r>
      <w:bookmarkEnd w:id="4"/>
    </w:p>
    <w:p w:rsidR="0084708A" w:rsidRPr="003E4B2D" w:rsidRDefault="0084708A" w:rsidP="0084708A">
      <w:pPr>
        <w:pStyle w:val="OrderBody"/>
      </w:pPr>
    </w:p>
    <w:p w:rsidR="0084708A" w:rsidRPr="003E4B2D" w:rsidRDefault="0084708A" w:rsidP="0084708A">
      <w:pPr>
        <w:pStyle w:val="OrderBody"/>
      </w:pPr>
    </w:p>
    <w:p w:rsidR="0084708A" w:rsidRPr="003E4B2D" w:rsidRDefault="0084708A" w:rsidP="0084708A">
      <w:pPr>
        <w:pStyle w:val="OrderBody"/>
      </w:pPr>
      <w:r w:rsidRPr="003E4B2D">
        <w:t>BY THE COMMISSION:</w:t>
      </w:r>
    </w:p>
    <w:p w:rsidR="0084708A" w:rsidRPr="003E4B2D" w:rsidRDefault="0084708A" w:rsidP="0084708A">
      <w:pPr>
        <w:pStyle w:val="OrderBody"/>
      </w:pPr>
    </w:p>
    <w:p w:rsidR="0084708A" w:rsidRDefault="0084708A" w:rsidP="0084708A">
      <w:pPr>
        <w:pStyle w:val="OrderBody"/>
      </w:pPr>
      <w:r w:rsidRPr="003E4B2D">
        <w:t>NOTICE is hereby given by the Florida Public Service Commission</w:t>
      </w:r>
      <w:r w:rsidR="00F35650">
        <w:t xml:space="preserve"> </w:t>
      </w:r>
      <w:r w:rsidRPr="003E4B2D">
        <w:t>that the action discussed herein is preliminary in nature and will become final unless a person whose interests are substantially affected files a petition for a formal proceeding, pursuant to Rule 25-22.029, Florida Administrative Code</w:t>
      </w:r>
      <w:r w:rsidR="005E55E6">
        <w:t xml:space="preserve"> (F.A.C.)</w:t>
      </w:r>
      <w:r w:rsidRPr="003E4B2D">
        <w:t>.</w:t>
      </w:r>
    </w:p>
    <w:p w:rsidR="00CB5276" w:rsidRDefault="00CB5276">
      <w:pPr>
        <w:pStyle w:val="OrderBody"/>
      </w:pPr>
      <w:bookmarkStart w:id="5" w:name="OrderText"/>
      <w:bookmarkEnd w:id="5"/>
    </w:p>
    <w:p w:rsidR="00735C9A" w:rsidRPr="00735C9A" w:rsidRDefault="00735C9A" w:rsidP="00735C9A">
      <w:pPr>
        <w:keepNext/>
        <w:spacing w:after="240"/>
        <w:jc w:val="center"/>
        <w:outlineLvl w:val="0"/>
        <w:rPr>
          <w:rFonts w:ascii="Arial" w:hAnsi="Arial" w:cs="Arial"/>
          <w:b/>
          <w:bCs/>
          <w:kern w:val="32"/>
          <w:szCs w:val="32"/>
        </w:rPr>
      </w:pPr>
      <w:bookmarkStart w:id="6" w:name="CaseBackground"/>
      <w:r w:rsidRPr="00735C9A">
        <w:rPr>
          <w:rFonts w:ascii="Arial" w:hAnsi="Arial" w:cs="Arial"/>
          <w:b/>
          <w:bCs/>
          <w:kern w:val="32"/>
          <w:szCs w:val="32"/>
        </w:rPr>
        <w:t>Case Background</w:t>
      </w:r>
      <w:r w:rsidRPr="00735C9A">
        <w:rPr>
          <w:rFonts w:ascii="Arial" w:hAnsi="Arial" w:cs="Arial"/>
          <w:b/>
          <w:bCs/>
          <w:kern w:val="32"/>
          <w:szCs w:val="32"/>
        </w:rPr>
        <w:fldChar w:fldCharType="begin"/>
      </w:r>
      <w:r w:rsidRPr="00735C9A">
        <w:rPr>
          <w:rFonts w:ascii="Arial" w:hAnsi="Arial" w:cs="Arial"/>
          <w:b/>
          <w:bCs/>
          <w:kern w:val="32"/>
          <w:szCs w:val="32"/>
        </w:rPr>
        <w:instrText xml:space="preserve"> TC  "</w:instrText>
      </w:r>
      <w:r w:rsidRPr="00735C9A">
        <w:rPr>
          <w:rFonts w:ascii="Arial" w:hAnsi="Arial" w:cs="Arial"/>
          <w:b/>
          <w:bCs/>
          <w:kern w:val="32"/>
          <w:szCs w:val="32"/>
        </w:rPr>
        <w:tab/>
      </w:r>
      <w:bookmarkStart w:id="7" w:name="_Toc94516455"/>
      <w:r w:rsidRPr="00735C9A">
        <w:rPr>
          <w:rFonts w:ascii="Arial" w:hAnsi="Arial" w:cs="Arial"/>
          <w:b/>
          <w:bCs/>
          <w:kern w:val="32"/>
          <w:szCs w:val="32"/>
        </w:rPr>
        <w:instrText>Case Background</w:instrText>
      </w:r>
      <w:bookmarkEnd w:id="7"/>
      <w:r w:rsidRPr="00735C9A">
        <w:rPr>
          <w:rFonts w:ascii="Arial" w:hAnsi="Arial" w:cs="Arial"/>
          <w:b/>
          <w:bCs/>
          <w:kern w:val="32"/>
          <w:szCs w:val="32"/>
        </w:rPr>
        <w:instrText xml:space="preserve">" \l 1 </w:instrText>
      </w:r>
      <w:r w:rsidRPr="00735C9A">
        <w:rPr>
          <w:rFonts w:ascii="Arial" w:hAnsi="Arial" w:cs="Arial"/>
          <w:b/>
          <w:bCs/>
          <w:kern w:val="32"/>
          <w:szCs w:val="32"/>
        </w:rPr>
        <w:fldChar w:fldCharType="end"/>
      </w:r>
    </w:p>
    <w:p w:rsidR="00735C9A" w:rsidRPr="00735C9A" w:rsidRDefault="000263D4" w:rsidP="00735C9A">
      <w:pPr>
        <w:spacing w:after="240"/>
        <w:jc w:val="both"/>
      </w:pPr>
      <w:r>
        <w:t xml:space="preserve">Pursuant to </w:t>
      </w:r>
      <w:r w:rsidR="00735C9A" w:rsidRPr="00735C9A">
        <w:t>Section 366.91(3), Florida Statutes (F.S.)</w:t>
      </w:r>
      <w:r w:rsidR="00B73B79" w:rsidRPr="00735C9A">
        <w:t>, each</w:t>
      </w:r>
      <w:r w:rsidR="00735C9A" w:rsidRPr="00735C9A">
        <w:t xml:space="preserve"> investor-owned utility (IOU) </w:t>
      </w:r>
      <w:r>
        <w:t xml:space="preserve">must </w:t>
      </w:r>
      <w:r w:rsidR="00735C9A" w:rsidRPr="00735C9A">
        <w:t>continuously offer to purchase capacity and energy from renewable energy generators.  Rules 25-17.200 through 25-17.310, F.A.C., implement the statute and require each IOU to file with th</w:t>
      </w:r>
      <w:r w:rsidR="00F16A63">
        <w:t>is</w:t>
      </w:r>
      <w:r w:rsidR="00735C9A" w:rsidRPr="00735C9A">
        <w:t xml:space="preserve"> Commission, by April 1 of each year, a standard offer contract based on the next avoidable fossil fueled generating unit or planned purchase. On April 1, 2015, Florida Public Utilities Company (FPUC or Utility) filed a petition for approval of revisions to its standard offer contract and associated rate schedule.  </w:t>
      </w:r>
    </w:p>
    <w:p w:rsidR="00735C9A" w:rsidRPr="00735C9A" w:rsidRDefault="00735C9A" w:rsidP="00735C9A">
      <w:pPr>
        <w:spacing w:after="240"/>
        <w:jc w:val="both"/>
      </w:pPr>
      <w:r w:rsidRPr="00735C9A">
        <w:t>Because FPUC does not own or operate any elec</w:t>
      </w:r>
      <w:r w:rsidR="000263D4">
        <w:t>tric generating units, the U</w:t>
      </w:r>
      <w:r w:rsidRPr="00735C9A">
        <w:t xml:space="preserve">tility does not have any avoidable unit </w:t>
      </w:r>
      <w:r w:rsidR="000263D4">
        <w:t>up</w:t>
      </w:r>
      <w:r w:rsidRPr="00735C9A">
        <w:t xml:space="preserve">on which to base its standard offer contract. </w:t>
      </w:r>
      <w:r w:rsidR="000263D4">
        <w:t xml:space="preserve">Pursuant to </w:t>
      </w:r>
      <w:r w:rsidR="000263D4" w:rsidRPr="00735C9A">
        <w:t>Rule 25-17.250(1), F.A.C.,</w:t>
      </w:r>
      <w:r w:rsidR="000263D4">
        <w:t xml:space="preserve"> in such </w:t>
      </w:r>
      <w:r w:rsidR="00B73B79">
        <w:t>circumstances</w:t>
      </w:r>
      <w:r w:rsidR="000263D4">
        <w:t xml:space="preserve">, </w:t>
      </w:r>
      <w:r w:rsidRPr="00735C9A">
        <w:t>the</w:t>
      </w:r>
      <w:r w:rsidR="000263D4">
        <w:t xml:space="preserve"> </w:t>
      </w:r>
      <w:r w:rsidRPr="00735C9A">
        <w:t xml:space="preserve">standard offer contract </w:t>
      </w:r>
      <w:r w:rsidR="000263D4">
        <w:t xml:space="preserve">is </w:t>
      </w:r>
      <w:r w:rsidRPr="00735C9A">
        <w:t>based on avoiding or deferring a planned purchase. FPUC purchases all of its electric power through purchased power agreements (PPAs) in its Northeast Division from JEA, and in its Northwest Division from Gulf Power Company. The rate schedules REN-1 and REN-2</w:t>
      </w:r>
      <w:r w:rsidR="00F16A63">
        <w:t>,</w:t>
      </w:r>
      <w:r w:rsidRPr="00735C9A">
        <w:t xml:space="preserve"> submitted with the standard offer contract </w:t>
      </w:r>
      <w:r w:rsidRPr="00735C9A">
        <w:lastRenderedPageBreak/>
        <w:t xml:space="preserve">reflect avoided purchases in the Northeast and Northwest Divisions in accordance with the PPAs for each division. </w:t>
      </w:r>
    </w:p>
    <w:p w:rsidR="00735C9A" w:rsidRPr="00735C9A" w:rsidRDefault="00F16A63" w:rsidP="00735C9A">
      <w:pPr>
        <w:spacing w:after="240"/>
        <w:jc w:val="both"/>
      </w:pPr>
      <w:r>
        <w:t>We have</w:t>
      </w:r>
      <w:r w:rsidR="00735C9A" w:rsidRPr="00735C9A">
        <w:t xml:space="preserve"> jurisdiction over this standard offer contract pursuant to Sections 366.04 through 366.06 and 366.91, F.S.</w:t>
      </w:r>
    </w:p>
    <w:p w:rsidR="00735C9A" w:rsidRPr="00735C9A" w:rsidRDefault="00735C9A" w:rsidP="00735C9A"/>
    <w:p w:rsidR="00735C9A" w:rsidRPr="00735C9A" w:rsidRDefault="00735C9A" w:rsidP="00735C9A">
      <w:pPr>
        <w:keepNext/>
        <w:spacing w:after="240"/>
        <w:jc w:val="center"/>
        <w:outlineLvl w:val="0"/>
        <w:rPr>
          <w:rFonts w:ascii="Arial" w:hAnsi="Arial" w:cs="Arial"/>
          <w:b/>
          <w:bCs/>
          <w:kern w:val="32"/>
          <w:szCs w:val="32"/>
        </w:rPr>
      </w:pPr>
      <w:bookmarkStart w:id="8" w:name="DiscussionOfIssues"/>
      <w:bookmarkEnd w:id="6"/>
      <w:r w:rsidRPr="00735C9A">
        <w:rPr>
          <w:rFonts w:ascii="Arial" w:hAnsi="Arial" w:cs="Arial"/>
          <w:b/>
          <w:bCs/>
          <w:kern w:val="32"/>
          <w:szCs w:val="32"/>
        </w:rPr>
        <w:t>D</w:t>
      </w:r>
      <w:r w:rsidR="000263D4">
        <w:rPr>
          <w:rFonts w:ascii="Arial" w:hAnsi="Arial" w:cs="Arial"/>
          <w:b/>
          <w:bCs/>
          <w:kern w:val="32"/>
          <w:szCs w:val="32"/>
        </w:rPr>
        <w:t>ecision</w:t>
      </w:r>
    </w:p>
    <w:bookmarkEnd w:id="8"/>
    <w:p w:rsidR="00735C9A" w:rsidRPr="00735C9A" w:rsidRDefault="00735C9A" w:rsidP="000263D4">
      <w:pPr>
        <w:spacing w:after="240"/>
        <w:jc w:val="both"/>
        <w:outlineLvl w:val="1"/>
      </w:pPr>
      <w:r w:rsidRPr="00735C9A">
        <w:t>Pursuant to Rule 25-17.250, F.A.C., an IOU must continuously make available a standard offer contract for the purchase of firm capacity and energy from renewable generating facilities and small qualifying facilities with a design capacity of 100 kilowatt (kW) or less. Since FPUC does not generate any electric energy for sale to retail customers, FPUC does not file a Ten-Year Site Plan and has no planned generating unit that can serve as an avoided unit. In such a circumstance, Rule 25-17.250(1), F.A.C.,</w:t>
      </w:r>
      <w:r w:rsidR="000263D4">
        <w:t xml:space="preserve"> provides that </w:t>
      </w:r>
      <w:r w:rsidRPr="00735C9A">
        <w:t xml:space="preserve">a standard offer </w:t>
      </w:r>
      <w:r w:rsidR="000263D4">
        <w:t xml:space="preserve">shall be </w:t>
      </w:r>
      <w:r w:rsidRPr="00735C9A">
        <w:t xml:space="preserve">based </w:t>
      </w:r>
      <w:r w:rsidR="00F16A63">
        <w:t>up</w:t>
      </w:r>
      <w:r w:rsidRPr="00735C9A">
        <w:t xml:space="preserve">on avoiding or deferring a planned purchase. FPUC has met this requirement by submitting standard offer contracts based on the Utility’s purchased power agreements with Gulf Power Company for the Northwest Division and JEA for the Northeast Division. </w:t>
      </w:r>
    </w:p>
    <w:p w:rsidR="00735C9A" w:rsidRPr="00735C9A" w:rsidRDefault="00735C9A" w:rsidP="00735C9A">
      <w:pPr>
        <w:spacing w:after="240"/>
        <w:jc w:val="both"/>
      </w:pPr>
      <w:r w:rsidRPr="00735C9A">
        <w:t xml:space="preserve">FPUC proposes revisions to </w:t>
      </w:r>
      <w:r w:rsidR="00FE262E" w:rsidRPr="00735C9A">
        <w:t xml:space="preserve">REN-1 for as-available energy </w:t>
      </w:r>
      <w:r w:rsidR="00FE262E">
        <w:t xml:space="preserve">in its </w:t>
      </w:r>
      <w:r w:rsidRPr="00735C9A">
        <w:t xml:space="preserve">Northwest </w:t>
      </w:r>
      <w:r w:rsidR="00F35650">
        <w:t>D</w:t>
      </w:r>
      <w:r w:rsidRPr="00735C9A">
        <w:t>ivision. Energy and capacity payments for these schedules are based on actual costs under FPUC’s wholesale contracts with estimates provided in the rate schedule filing. The revisions reflect updated energy price estimates for 2015, and are detailed below. The rate schedules are otherwise unchanged. FPUC’s standard offer contract, incorporating the revised rate schedules, is provided as Attachment A</w:t>
      </w:r>
      <w:r w:rsidR="00D30D43">
        <w:t xml:space="preserve"> of this Order</w:t>
      </w:r>
      <w:r w:rsidRPr="00735C9A">
        <w:t xml:space="preserve">. </w:t>
      </w:r>
      <w:r w:rsidR="00D30D43">
        <w:t>We approved s</w:t>
      </w:r>
      <w:r w:rsidRPr="00735C9A">
        <w:t xml:space="preserve">imilar revisions </w:t>
      </w:r>
      <w:r w:rsidR="00D30D43">
        <w:t xml:space="preserve">by </w:t>
      </w:r>
      <w:r w:rsidRPr="00735C9A">
        <w:t xml:space="preserve">Order No. PSC-14-0394-PAA-EQ, issued </w:t>
      </w:r>
      <w:r w:rsidR="00D30D43">
        <w:t xml:space="preserve">on </w:t>
      </w:r>
      <w:r w:rsidRPr="00735C9A">
        <w:t>July 30, 2014.</w:t>
      </w:r>
      <w:r w:rsidRPr="00735C9A">
        <w:rPr>
          <w:vertAlign w:val="superscript"/>
        </w:rPr>
        <w:footnoteReference w:id="1"/>
      </w:r>
    </w:p>
    <w:p w:rsidR="00735C9A" w:rsidRPr="00735C9A" w:rsidRDefault="00735C9A" w:rsidP="00735C9A">
      <w:pPr>
        <w:jc w:val="both"/>
        <w:outlineLvl w:val="0"/>
        <w:rPr>
          <w:rFonts w:ascii="Arial" w:hAnsi="Arial" w:cs="Arial"/>
          <w:b/>
          <w:bCs/>
          <w:kern w:val="32"/>
          <w:szCs w:val="32"/>
        </w:rPr>
      </w:pPr>
      <w:r w:rsidRPr="00735C9A">
        <w:rPr>
          <w:rFonts w:ascii="Arial" w:hAnsi="Arial" w:cs="Arial"/>
          <w:b/>
          <w:bCs/>
          <w:kern w:val="32"/>
          <w:szCs w:val="32"/>
        </w:rPr>
        <w:t>Northwest Division</w:t>
      </w:r>
    </w:p>
    <w:p w:rsidR="00D30D43" w:rsidRDefault="00D30D43" w:rsidP="00735C9A">
      <w:pPr>
        <w:jc w:val="both"/>
        <w:outlineLvl w:val="0"/>
        <w:rPr>
          <w:rFonts w:cs="Arial"/>
          <w:bCs/>
          <w:kern w:val="32"/>
          <w:szCs w:val="32"/>
        </w:rPr>
      </w:pPr>
    </w:p>
    <w:p w:rsidR="00735C9A" w:rsidRPr="00735C9A" w:rsidRDefault="00735C9A" w:rsidP="00735C9A">
      <w:pPr>
        <w:jc w:val="both"/>
        <w:outlineLvl w:val="0"/>
        <w:rPr>
          <w:rFonts w:cs="Arial"/>
          <w:bCs/>
          <w:kern w:val="32"/>
          <w:szCs w:val="32"/>
        </w:rPr>
      </w:pPr>
      <w:r w:rsidRPr="00735C9A">
        <w:rPr>
          <w:rFonts w:cs="Arial"/>
          <w:bCs/>
          <w:kern w:val="32"/>
          <w:szCs w:val="32"/>
        </w:rPr>
        <w:t xml:space="preserve">Payments for energy in 2015 are projected to be 4.222 cents per kilowatt-hour (kWh), which represents an increase of 7.6 percent from the previous year. Payments for capacity are projected to remain at zero due to the so-called “ratchet provision” included in FPUC’s contract with Gulf Power Company. This provision precludes any decrease in demand payments to Gulf Power Company based on a decrease in the overall demand or the addition of generation resources including a renewable provider. Actual payments to a renewable provider are based on the actual deferred cost of FPUC’s PPA with Gulf Power Company. </w:t>
      </w:r>
    </w:p>
    <w:p w:rsidR="0084708A" w:rsidRDefault="0084708A" w:rsidP="00735C9A">
      <w:pPr>
        <w:tabs>
          <w:tab w:val="left" w:pos="4185"/>
        </w:tabs>
        <w:jc w:val="both"/>
        <w:outlineLvl w:val="0"/>
        <w:rPr>
          <w:rFonts w:ascii="Arial" w:hAnsi="Arial" w:cs="Arial"/>
          <w:b/>
          <w:bCs/>
          <w:kern w:val="32"/>
          <w:szCs w:val="32"/>
        </w:rPr>
      </w:pPr>
    </w:p>
    <w:p w:rsidR="00735C9A" w:rsidRPr="00735C9A" w:rsidRDefault="00735C9A" w:rsidP="00735C9A">
      <w:pPr>
        <w:tabs>
          <w:tab w:val="left" w:pos="4185"/>
        </w:tabs>
        <w:jc w:val="both"/>
        <w:outlineLvl w:val="0"/>
        <w:rPr>
          <w:rFonts w:ascii="Arial" w:hAnsi="Arial" w:cs="Arial"/>
          <w:b/>
          <w:bCs/>
          <w:kern w:val="32"/>
          <w:szCs w:val="32"/>
        </w:rPr>
      </w:pPr>
      <w:r w:rsidRPr="00735C9A">
        <w:rPr>
          <w:rFonts w:ascii="Arial" w:hAnsi="Arial" w:cs="Arial"/>
          <w:b/>
          <w:bCs/>
          <w:kern w:val="32"/>
          <w:szCs w:val="32"/>
        </w:rPr>
        <w:t>Northeast Division</w:t>
      </w:r>
      <w:r w:rsidRPr="00735C9A">
        <w:rPr>
          <w:rFonts w:ascii="Arial" w:hAnsi="Arial" w:cs="Arial"/>
          <w:b/>
          <w:bCs/>
          <w:kern w:val="32"/>
          <w:szCs w:val="32"/>
        </w:rPr>
        <w:tab/>
      </w:r>
    </w:p>
    <w:p w:rsidR="00D30D43" w:rsidRDefault="00D30D43" w:rsidP="00735C9A">
      <w:pPr>
        <w:jc w:val="both"/>
      </w:pPr>
    </w:p>
    <w:p w:rsidR="00735C9A" w:rsidRPr="00735C9A" w:rsidRDefault="00735C9A" w:rsidP="00735C9A">
      <w:pPr>
        <w:jc w:val="both"/>
      </w:pPr>
      <w:r w:rsidRPr="00735C9A">
        <w:t xml:space="preserve">Payments for energy in 2015 are projected to be 4.360 cents per kilowatt-hour (kWh), which is identical to that of the previous year. Payments for capacity are projected at $14.31 per kilowatt (kW) of the renewable provider’s capacity at time of system peak, which is also the same as the </w:t>
      </w:r>
      <w:r w:rsidRPr="00735C9A">
        <w:lastRenderedPageBreak/>
        <w:t xml:space="preserve">previous year. Actual payments to a renewable provider are based on the actual deferred cost of FPUC’s PPA with JEA. </w:t>
      </w:r>
    </w:p>
    <w:p w:rsidR="00735C9A" w:rsidRPr="00735C9A" w:rsidRDefault="00735C9A" w:rsidP="00735C9A">
      <w:pPr>
        <w:jc w:val="both"/>
      </w:pPr>
    </w:p>
    <w:p w:rsidR="00735C9A" w:rsidRDefault="00735C9A" w:rsidP="00735C9A">
      <w:pPr>
        <w:jc w:val="both"/>
        <w:rPr>
          <w:rFonts w:ascii="Arial" w:hAnsi="Arial" w:cs="Arial"/>
          <w:b/>
          <w:bCs/>
          <w:kern w:val="32"/>
          <w:szCs w:val="32"/>
        </w:rPr>
      </w:pPr>
      <w:r w:rsidRPr="00735C9A">
        <w:rPr>
          <w:rFonts w:ascii="Arial" w:hAnsi="Arial" w:cs="Arial"/>
          <w:b/>
          <w:bCs/>
          <w:kern w:val="32"/>
          <w:szCs w:val="32"/>
        </w:rPr>
        <w:t>Conclusion</w:t>
      </w:r>
    </w:p>
    <w:p w:rsidR="005E55E6" w:rsidRPr="00735C9A" w:rsidRDefault="005E55E6" w:rsidP="00735C9A">
      <w:pPr>
        <w:jc w:val="both"/>
        <w:rPr>
          <w:rFonts w:ascii="Arial" w:hAnsi="Arial" w:cs="Arial"/>
          <w:b/>
        </w:rPr>
      </w:pPr>
    </w:p>
    <w:p w:rsidR="003E20B0" w:rsidRPr="00735C9A" w:rsidRDefault="00735C9A" w:rsidP="003E20B0">
      <w:pPr>
        <w:spacing w:after="240"/>
        <w:jc w:val="both"/>
        <w:outlineLvl w:val="1"/>
      </w:pPr>
      <w:r w:rsidRPr="00735C9A">
        <w:t xml:space="preserve">The revised standard offer contracts and related rate schedules conform to all the requirements of Rules 25-17.200 through 25-17.310, F.A.C., and reflect the avoidable costs associated with FPUC’s purchased power agreements. </w:t>
      </w:r>
      <w:r w:rsidR="00D30D43">
        <w:t>Thus</w:t>
      </w:r>
      <w:r w:rsidR="005E55E6">
        <w:t>,</w:t>
      </w:r>
      <w:r w:rsidR="00D30D43">
        <w:t xml:space="preserve"> </w:t>
      </w:r>
      <w:r w:rsidR="005E55E6">
        <w:t>we</w:t>
      </w:r>
      <w:r w:rsidR="00D30D43">
        <w:t xml:space="preserve"> approve FPUC’s </w:t>
      </w:r>
      <w:r w:rsidRPr="00735C9A">
        <w:t>revised standard offer contracts and related rate schedules as filed.</w:t>
      </w:r>
      <w:r w:rsidR="003E20B0">
        <w:t xml:space="preserve"> </w:t>
      </w:r>
      <w:r w:rsidR="003E20B0" w:rsidRPr="00735C9A">
        <w:t xml:space="preserve">Potential signatories should be aware that, if a timely protest is filed, FPUC’s standard offer contract may subsequently be revised. </w:t>
      </w:r>
    </w:p>
    <w:p w:rsidR="00735C9A" w:rsidRDefault="00735C9A" w:rsidP="00735C9A">
      <w:pPr>
        <w:pStyle w:val="OrderBody"/>
      </w:pPr>
      <w:r>
        <w:tab/>
        <w:t>Based on the foregoing, it is</w:t>
      </w:r>
    </w:p>
    <w:p w:rsidR="00735C9A" w:rsidRDefault="00735C9A" w:rsidP="00735C9A">
      <w:pPr>
        <w:pStyle w:val="OrderBody"/>
      </w:pPr>
    </w:p>
    <w:p w:rsidR="000263D4" w:rsidRDefault="00735C9A" w:rsidP="000263D4">
      <w:pPr>
        <w:spacing w:after="240"/>
        <w:jc w:val="both"/>
      </w:pPr>
      <w:r>
        <w:tab/>
        <w:t>ORDERED by the Florida Public Service Commission that</w:t>
      </w:r>
      <w:r w:rsidR="000263D4">
        <w:t xml:space="preserve"> </w:t>
      </w:r>
      <w:r w:rsidR="000263D4" w:rsidRPr="00735C9A">
        <w:t xml:space="preserve">the revised standard offer contract </w:t>
      </w:r>
      <w:r w:rsidR="000263D4">
        <w:t xml:space="preserve">and related rate schedules </w:t>
      </w:r>
      <w:r w:rsidR="000263D4" w:rsidRPr="00735C9A">
        <w:t>filed by Florida Public Utilities Company</w:t>
      </w:r>
      <w:r w:rsidR="000263D4">
        <w:t xml:space="preserve"> are hereby approved.  It is further,</w:t>
      </w:r>
    </w:p>
    <w:p w:rsidR="00735C9A" w:rsidRDefault="000263D4" w:rsidP="00D30D43">
      <w:pPr>
        <w:spacing w:after="240"/>
        <w:jc w:val="both"/>
        <w:outlineLvl w:val="1"/>
      </w:pPr>
      <w:r>
        <w:tab/>
        <w:t xml:space="preserve">ORDERED that </w:t>
      </w:r>
      <w:r w:rsidR="00D30D43">
        <w:t>t</w:t>
      </w:r>
      <w:r w:rsidR="00D30D43" w:rsidRPr="00735C9A">
        <w:t>his docket sh</w:t>
      </w:r>
      <w:r w:rsidR="00D30D43">
        <w:t>all</w:t>
      </w:r>
      <w:r w:rsidR="00D30D43" w:rsidRPr="00735C9A">
        <w:t xml:space="preserve"> be closed upon issuance of a consummating order, unless a person whose substantial interests are affected by the Commission’s decision files a protest within 21 days of the issuance of th</w:t>
      </w:r>
      <w:r w:rsidR="00FA48CA">
        <w:t xml:space="preserve">is </w:t>
      </w:r>
      <w:r w:rsidR="00D30D43" w:rsidRPr="00735C9A">
        <w:t>Proposed Agency Action Order. Potential signatories should be aware that, if a timely protest is filed, F</w:t>
      </w:r>
      <w:r w:rsidR="00F16A63">
        <w:t xml:space="preserve">lorida </w:t>
      </w:r>
      <w:r w:rsidR="00D30D43" w:rsidRPr="00735C9A">
        <w:t>P</w:t>
      </w:r>
      <w:r w:rsidR="00F16A63">
        <w:t xml:space="preserve">ublic </w:t>
      </w:r>
      <w:r w:rsidR="00D30D43" w:rsidRPr="00735C9A">
        <w:t>U</w:t>
      </w:r>
      <w:r w:rsidR="00F16A63">
        <w:t xml:space="preserve">tilities </w:t>
      </w:r>
      <w:r w:rsidR="00D30D43" w:rsidRPr="00735C9A">
        <w:t>C</w:t>
      </w:r>
      <w:r w:rsidR="00F16A63">
        <w:t>ompany</w:t>
      </w:r>
      <w:r w:rsidR="00D30D43" w:rsidRPr="00735C9A">
        <w:t xml:space="preserve">’s standard offer contract may subsequently be revised. </w:t>
      </w:r>
    </w:p>
    <w:p w:rsidR="00735C9A" w:rsidRDefault="00735C9A" w:rsidP="00735C9A">
      <w:pPr>
        <w:pStyle w:val="OrderBody"/>
        <w:keepNext/>
        <w:keepLines/>
      </w:pPr>
      <w:r>
        <w:tab/>
        <w:t xml:space="preserve">By ORDER of the Florida Public Service Commission this </w:t>
      </w:r>
      <w:bookmarkStart w:id="9" w:name="replaceDate"/>
      <w:bookmarkEnd w:id="9"/>
      <w:r w:rsidR="009D15D2">
        <w:rPr>
          <w:u w:val="single"/>
        </w:rPr>
        <w:t>29th</w:t>
      </w:r>
      <w:r w:rsidR="009D15D2">
        <w:t xml:space="preserve"> day of </w:t>
      </w:r>
      <w:r w:rsidR="009D15D2">
        <w:rPr>
          <w:u w:val="single"/>
        </w:rPr>
        <w:t>July</w:t>
      </w:r>
      <w:r w:rsidR="009D15D2">
        <w:t xml:space="preserve">, </w:t>
      </w:r>
      <w:r w:rsidR="009D15D2">
        <w:rPr>
          <w:u w:val="single"/>
        </w:rPr>
        <w:t>2015</w:t>
      </w:r>
      <w:r w:rsidR="009D15D2">
        <w:t>.</w:t>
      </w:r>
    </w:p>
    <w:p w:rsidR="009D15D2" w:rsidRPr="009D15D2" w:rsidRDefault="009D15D2" w:rsidP="00735C9A">
      <w:pPr>
        <w:pStyle w:val="OrderBody"/>
        <w:keepNext/>
        <w:keepLines/>
      </w:pPr>
    </w:p>
    <w:tbl>
      <w:tblPr>
        <w:tblW w:w="4720" w:type="dxa"/>
        <w:tblInd w:w="3800" w:type="dxa"/>
        <w:tblLayout w:type="fixed"/>
        <w:tblLook w:val="0000" w:firstRow="0" w:lastRow="0" w:firstColumn="0" w:lastColumn="0" w:noHBand="0" w:noVBand="0"/>
      </w:tblPr>
      <w:tblGrid>
        <w:gridCol w:w="686"/>
        <w:gridCol w:w="4034"/>
      </w:tblGrid>
      <w:tr w:rsidR="00735C9A" w:rsidTr="00735C9A">
        <w:tc>
          <w:tcPr>
            <w:tcW w:w="720" w:type="dxa"/>
            <w:shd w:val="clear" w:color="auto" w:fill="auto"/>
          </w:tcPr>
          <w:p w:rsidR="00E96944" w:rsidRDefault="00E96944" w:rsidP="00735C9A">
            <w:pPr>
              <w:pStyle w:val="OrderBody"/>
              <w:keepNext/>
              <w:keepLines/>
            </w:pPr>
            <w:bookmarkStart w:id="10" w:name="bkmrkSignature" w:colFirst="0" w:colLast="0"/>
            <w:bookmarkStart w:id="11" w:name="_GoBack"/>
            <w:bookmarkEnd w:id="11"/>
          </w:p>
        </w:tc>
        <w:tc>
          <w:tcPr>
            <w:tcW w:w="4320" w:type="dxa"/>
            <w:tcBorders>
              <w:bottom w:val="single" w:sz="4" w:space="0" w:color="auto"/>
            </w:tcBorders>
            <w:shd w:val="clear" w:color="auto" w:fill="auto"/>
          </w:tcPr>
          <w:p w:rsidR="00735C9A" w:rsidRDefault="00E96944" w:rsidP="00735C9A">
            <w:pPr>
              <w:pStyle w:val="OrderBody"/>
              <w:keepNext/>
              <w:keepLines/>
            </w:pPr>
            <w:r>
              <w:t>/s/ Carlotta S. Stauffer</w:t>
            </w:r>
          </w:p>
        </w:tc>
      </w:tr>
      <w:bookmarkEnd w:id="10"/>
      <w:tr w:rsidR="00735C9A" w:rsidTr="00735C9A">
        <w:tc>
          <w:tcPr>
            <w:tcW w:w="720" w:type="dxa"/>
            <w:shd w:val="clear" w:color="auto" w:fill="auto"/>
          </w:tcPr>
          <w:p w:rsidR="00735C9A" w:rsidRDefault="00735C9A" w:rsidP="00735C9A">
            <w:pPr>
              <w:pStyle w:val="OrderBody"/>
              <w:keepNext/>
              <w:keepLines/>
            </w:pPr>
          </w:p>
        </w:tc>
        <w:tc>
          <w:tcPr>
            <w:tcW w:w="4320" w:type="dxa"/>
            <w:tcBorders>
              <w:top w:val="single" w:sz="4" w:space="0" w:color="auto"/>
            </w:tcBorders>
            <w:shd w:val="clear" w:color="auto" w:fill="auto"/>
          </w:tcPr>
          <w:p w:rsidR="00735C9A" w:rsidRDefault="00735C9A" w:rsidP="00735C9A">
            <w:pPr>
              <w:pStyle w:val="OrderBody"/>
              <w:keepNext/>
              <w:keepLines/>
            </w:pPr>
            <w:r>
              <w:t>CARLOTTA S. STAUFFER</w:t>
            </w:r>
          </w:p>
          <w:p w:rsidR="00735C9A" w:rsidRDefault="00735C9A" w:rsidP="00735C9A">
            <w:pPr>
              <w:pStyle w:val="OrderBody"/>
              <w:keepNext/>
              <w:keepLines/>
            </w:pPr>
            <w:r>
              <w:t>Commission Clerk</w:t>
            </w:r>
          </w:p>
        </w:tc>
      </w:tr>
    </w:tbl>
    <w:p w:rsidR="00735C9A" w:rsidRDefault="00735C9A" w:rsidP="00735C9A">
      <w:pPr>
        <w:pStyle w:val="OrderSigInfo"/>
        <w:keepNext/>
        <w:keepLines/>
      </w:pPr>
      <w:r>
        <w:t>Florida Public Service Commission</w:t>
      </w:r>
    </w:p>
    <w:p w:rsidR="00735C9A" w:rsidRDefault="00735C9A" w:rsidP="00735C9A">
      <w:pPr>
        <w:pStyle w:val="OrderSigInfo"/>
        <w:keepNext/>
        <w:keepLines/>
      </w:pPr>
      <w:r>
        <w:t>2540 Shumard Oak Boulevard</w:t>
      </w:r>
    </w:p>
    <w:p w:rsidR="00735C9A" w:rsidRDefault="00735C9A" w:rsidP="00735C9A">
      <w:pPr>
        <w:pStyle w:val="OrderSigInfo"/>
        <w:keepNext/>
        <w:keepLines/>
      </w:pPr>
      <w:r>
        <w:t>Tallahassee, Florida  32399</w:t>
      </w:r>
    </w:p>
    <w:p w:rsidR="00735C9A" w:rsidRDefault="00735C9A" w:rsidP="00735C9A">
      <w:pPr>
        <w:pStyle w:val="OrderSigInfo"/>
        <w:keepNext/>
        <w:keepLines/>
      </w:pPr>
      <w:r>
        <w:t>(850) 413</w:t>
      </w:r>
      <w:r>
        <w:noBreakHyphen/>
        <w:t>6770</w:t>
      </w:r>
    </w:p>
    <w:p w:rsidR="00735C9A" w:rsidRDefault="00735C9A" w:rsidP="00735C9A">
      <w:pPr>
        <w:pStyle w:val="OrderSigInfo"/>
        <w:keepNext/>
        <w:keepLines/>
      </w:pPr>
      <w:r>
        <w:t>www.floridapsc.com</w:t>
      </w:r>
    </w:p>
    <w:p w:rsidR="00735C9A" w:rsidRDefault="00735C9A" w:rsidP="00735C9A">
      <w:pPr>
        <w:pStyle w:val="OrderSigInfo"/>
        <w:keepNext/>
        <w:keepLines/>
      </w:pPr>
    </w:p>
    <w:p w:rsidR="00735C9A" w:rsidRDefault="00735C9A" w:rsidP="00735C9A">
      <w:pPr>
        <w:pStyle w:val="OrderSigInfo"/>
        <w:keepNext/>
        <w:keepLines/>
      </w:pPr>
      <w:r>
        <w:t>Copies furnished:  A copy of this document is provided to the parties of record at the time of issuance and, if applicable, interested persons.</w:t>
      </w:r>
    </w:p>
    <w:p w:rsidR="00735C9A" w:rsidRDefault="00735C9A" w:rsidP="00735C9A">
      <w:pPr>
        <w:pStyle w:val="OrderBody"/>
        <w:keepNext/>
        <w:keepLines/>
      </w:pPr>
    </w:p>
    <w:p w:rsidR="00735C9A" w:rsidRDefault="00735C9A" w:rsidP="00735C9A">
      <w:pPr>
        <w:pStyle w:val="OrderBody"/>
        <w:keepNext/>
        <w:keepLines/>
      </w:pPr>
    </w:p>
    <w:p w:rsidR="00735C9A" w:rsidRDefault="00735C9A" w:rsidP="00735C9A">
      <w:pPr>
        <w:pStyle w:val="OrderBody"/>
        <w:keepNext/>
        <w:keepLines/>
      </w:pPr>
      <w:r>
        <w:t>CWM</w:t>
      </w:r>
    </w:p>
    <w:p w:rsidR="00735C9A" w:rsidRDefault="00735C9A" w:rsidP="00735C9A">
      <w:pPr>
        <w:pStyle w:val="OrderBody"/>
      </w:pPr>
    </w:p>
    <w:p w:rsidR="003E20B0" w:rsidRDefault="003E20B0">
      <w:pPr>
        <w:rPr>
          <w:u w:val="single"/>
        </w:rPr>
      </w:pPr>
      <w:r>
        <w:br w:type="page"/>
      </w:r>
    </w:p>
    <w:p w:rsidR="0084708A" w:rsidRDefault="0084708A" w:rsidP="0084708A">
      <w:pPr>
        <w:pStyle w:val="CenterUnderline"/>
      </w:pPr>
      <w:r>
        <w:lastRenderedPageBreak/>
        <w:t>NOTICE OF FURTHER PROCEEDINGS OR JUDICIAL REVIEW</w:t>
      </w:r>
    </w:p>
    <w:p w:rsidR="00735C9A" w:rsidRDefault="00735C9A" w:rsidP="0084708A">
      <w:pPr>
        <w:pStyle w:val="CenterUnderline"/>
      </w:pPr>
    </w:p>
    <w:p w:rsidR="0084708A" w:rsidRDefault="0084708A" w:rsidP="0084708A">
      <w:pPr>
        <w:pStyle w:val="OrderBody"/>
      </w:pPr>
      <w:r>
        <w:tab/>
        <w:t>The Florida Public Service Commission is required by Section 120.569(1), Florida Statutes, to notify parties of any administrative hearing that is available under Section 120.57, Florida Statutes, as well as the procedures and time limits that apply.  This notice should not be construed to mean all requests for an administrative hearing will be granted or result in the relief sought.</w:t>
      </w:r>
    </w:p>
    <w:p w:rsidR="0084708A" w:rsidRDefault="0084708A" w:rsidP="0084708A">
      <w:pPr>
        <w:pStyle w:val="OrderBody"/>
      </w:pPr>
    </w:p>
    <w:p w:rsidR="0084708A" w:rsidRDefault="0084708A" w:rsidP="0084708A">
      <w:pPr>
        <w:pStyle w:val="OrderBody"/>
      </w:pPr>
      <w:r>
        <w:tab/>
        <w:t>Mediation may be available on a case-by-case basis.  If mediation is conducted, it does not affect a substantially interested person's right to a hearing.</w:t>
      </w:r>
    </w:p>
    <w:p w:rsidR="0084708A" w:rsidRDefault="0084708A" w:rsidP="0084708A">
      <w:pPr>
        <w:pStyle w:val="OrderBody"/>
      </w:pPr>
    </w:p>
    <w:p w:rsidR="0084708A" w:rsidRDefault="0084708A" w:rsidP="0084708A">
      <w:pPr>
        <w:pStyle w:val="OrderBody"/>
      </w:pPr>
      <w:r>
        <w:tab/>
        <w:t xml:space="preserve">The action proposed herein is preliminary in nature. Any person whose substantial interests are affected by the action proposed by this order may file a petition for a formal proceeding, in the form provided by Rule 28-106.201, Florida Administrative Code.  This petition must be received by the Office of Commission Clerk, 2540 Shumard Oak Boulevard, Tallahassee, Florida 32399-0850, by the close of business on </w:t>
      </w:r>
      <w:r w:rsidR="009D15D2">
        <w:rPr>
          <w:u w:val="single"/>
        </w:rPr>
        <w:t>August 19, 2015</w:t>
      </w:r>
      <w:r>
        <w:t>.</w:t>
      </w:r>
    </w:p>
    <w:p w:rsidR="0084708A" w:rsidRDefault="0084708A" w:rsidP="0084708A">
      <w:pPr>
        <w:pStyle w:val="OrderBody"/>
      </w:pPr>
    </w:p>
    <w:p w:rsidR="0084708A" w:rsidRDefault="0084708A" w:rsidP="0084708A">
      <w:pPr>
        <w:pStyle w:val="OrderBody"/>
      </w:pPr>
      <w:r>
        <w:tab/>
        <w:t>In the absence of such a petition, this order shall become final and effective upon the issuance of a Consummating Order.</w:t>
      </w:r>
    </w:p>
    <w:p w:rsidR="0084708A" w:rsidRDefault="0084708A" w:rsidP="0084708A">
      <w:pPr>
        <w:pStyle w:val="OrderBody"/>
      </w:pPr>
    </w:p>
    <w:p w:rsidR="0084708A" w:rsidRDefault="0084708A" w:rsidP="0084708A">
      <w:pPr>
        <w:pStyle w:val="OrderBody"/>
      </w:pPr>
      <w:r>
        <w:tab/>
        <w:t>Any objection or protest filed in this/these docket(s) before the issuance date of this order is considered abandoned unless it satisfies the foregoing conditions and is renewed within the specified protest period.</w:t>
      </w:r>
    </w:p>
    <w:p w:rsidR="0084708A" w:rsidRDefault="0084708A" w:rsidP="0084708A">
      <w:pPr>
        <w:pStyle w:val="OrderBody"/>
      </w:pPr>
    </w:p>
    <w:p w:rsidR="0084708A" w:rsidRDefault="0084708A" w:rsidP="0084708A">
      <w:pPr>
        <w:pStyle w:val="OrderBody"/>
      </w:pPr>
    </w:p>
    <w:p w:rsidR="00735C9A" w:rsidRDefault="00735C9A" w:rsidP="00735C9A">
      <w:pPr>
        <w:pStyle w:val="OrderBody"/>
        <w:sectPr w:rsidR="00735C9A">
          <w:headerReference w:type="default" r:id="rId7"/>
          <w:footerReference w:type="first" r:id="rId8"/>
          <w:pgSz w:w="12240" w:h="15840" w:code="1"/>
          <w:pgMar w:top="1440" w:right="1440" w:bottom="1440" w:left="1440" w:header="720" w:footer="720" w:gutter="0"/>
          <w:cols w:space="720"/>
          <w:titlePg/>
          <w:docGrid w:linePitch="360"/>
        </w:sectPr>
      </w:pPr>
    </w:p>
    <w:p w:rsidR="00735C9A" w:rsidRDefault="00096A2A" w:rsidP="00735C9A">
      <w:pPr>
        <w:pStyle w:val="OrderBody"/>
        <w:rPr>
          <w:noProof/>
        </w:rPr>
        <w:sectPr w:rsidR="00735C9A">
          <w:headerReference w:type="first" r:id="rId9"/>
          <w:pgSz w:w="12240" w:h="15840" w:code="1"/>
          <w:pgMar w:top="1440" w:right="1440" w:bottom="1440" w:left="1440" w:header="720" w:footer="720" w:gutter="0"/>
          <w:cols w:space="720"/>
          <w:titlePg/>
          <w:docGrid w:linePitch="360"/>
        </w:sectPr>
      </w:pPr>
      <w:r>
        <w:rPr>
          <w:noProof/>
        </w:rPr>
        <w:lastRenderedPageBreak/>
        <w:drawing>
          <wp:inline distT="0" distB="0" distL="0" distR="0">
            <wp:extent cx="5943600" cy="7696200"/>
            <wp:effectExtent l="0" t="0" r="0" b="0"/>
            <wp:docPr id="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735C9A" w:rsidRDefault="00096A2A" w:rsidP="00735C9A">
      <w:pPr>
        <w:pStyle w:val="OrderBody"/>
        <w:rPr>
          <w:noProof/>
        </w:rPr>
        <w:sectPr w:rsidR="00735C9A">
          <w:pgSz w:w="12240" w:h="15840" w:code="1"/>
          <w:pgMar w:top="1440" w:right="1440" w:bottom="1440" w:left="1440" w:header="720" w:footer="720" w:gutter="0"/>
          <w:cols w:space="720"/>
          <w:titlePg/>
          <w:docGrid w:linePitch="360"/>
        </w:sectPr>
      </w:pPr>
      <w:r>
        <w:rPr>
          <w:noProof/>
        </w:rPr>
        <w:lastRenderedPageBreak/>
        <w:drawing>
          <wp:inline distT="0" distB="0" distL="0" distR="0">
            <wp:extent cx="5943600" cy="7696200"/>
            <wp:effectExtent l="0" t="0" r="0" b="0"/>
            <wp:docPr id="7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735C9A" w:rsidRDefault="00096A2A" w:rsidP="00735C9A">
      <w:pPr>
        <w:pStyle w:val="OrderBody"/>
        <w:rPr>
          <w:noProof/>
        </w:rPr>
        <w:sectPr w:rsidR="00735C9A">
          <w:pgSz w:w="12240" w:h="15840" w:code="1"/>
          <w:pgMar w:top="1440" w:right="1440" w:bottom="1440" w:left="1440" w:header="720" w:footer="720" w:gutter="0"/>
          <w:cols w:space="720"/>
          <w:titlePg/>
          <w:docGrid w:linePitch="360"/>
        </w:sectPr>
      </w:pPr>
      <w:r>
        <w:rPr>
          <w:noProof/>
        </w:rPr>
        <w:lastRenderedPageBreak/>
        <w:drawing>
          <wp:inline distT="0" distB="0" distL="0" distR="0">
            <wp:extent cx="5943600" cy="7696200"/>
            <wp:effectExtent l="0" t="0" r="0" b="0"/>
            <wp:docPr id="7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735C9A" w:rsidRDefault="00096A2A" w:rsidP="00735C9A">
      <w:pPr>
        <w:pStyle w:val="OrderBody"/>
        <w:rPr>
          <w:noProof/>
        </w:rPr>
        <w:sectPr w:rsidR="00735C9A">
          <w:pgSz w:w="12240" w:h="15840" w:code="1"/>
          <w:pgMar w:top="1440" w:right="1440" w:bottom="1440" w:left="1440" w:header="720" w:footer="720" w:gutter="0"/>
          <w:cols w:space="720"/>
          <w:titlePg/>
          <w:docGrid w:linePitch="360"/>
        </w:sectPr>
      </w:pPr>
      <w:r>
        <w:rPr>
          <w:noProof/>
        </w:rPr>
        <w:lastRenderedPageBreak/>
        <w:drawing>
          <wp:inline distT="0" distB="0" distL="0" distR="0">
            <wp:extent cx="5943600" cy="7696200"/>
            <wp:effectExtent l="0" t="0" r="0" b="0"/>
            <wp:docPr id="7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735C9A" w:rsidRDefault="00096A2A" w:rsidP="00735C9A">
      <w:pPr>
        <w:pStyle w:val="OrderBody"/>
        <w:rPr>
          <w:noProof/>
        </w:rPr>
        <w:sectPr w:rsidR="00735C9A">
          <w:pgSz w:w="12240" w:h="15840" w:code="1"/>
          <w:pgMar w:top="1440" w:right="1440" w:bottom="1440" w:left="1440" w:header="720" w:footer="720" w:gutter="0"/>
          <w:cols w:space="720"/>
          <w:titlePg/>
          <w:docGrid w:linePitch="360"/>
        </w:sectPr>
      </w:pPr>
      <w:r>
        <w:rPr>
          <w:noProof/>
        </w:rPr>
        <w:lastRenderedPageBreak/>
        <w:drawing>
          <wp:inline distT="0" distB="0" distL="0" distR="0">
            <wp:extent cx="5943600" cy="7696200"/>
            <wp:effectExtent l="0" t="0" r="0" b="0"/>
            <wp:docPr id="7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735C9A" w:rsidRDefault="00096A2A" w:rsidP="00735C9A">
      <w:pPr>
        <w:pStyle w:val="OrderBody"/>
        <w:rPr>
          <w:noProof/>
        </w:rPr>
        <w:sectPr w:rsidR="00735C9A">
          <w:pgSz w:w="12240" w:h="15840" w:code="1"/>
          <w:pgMar w:top="1440" w:right="1440" w:bottom="1440" w:left="1440" w:header="720" w:footer="720" w:gutter="0"/>
          <w:cols w:space="720"/>
          <w:titlePg/>
          <w:docGrid w:linePitch="360"/>
        </w:sectPr>
      </w:pPr>
      <w:r>
        <w:rPr>
          <w:noProof/>
        </w:rPr>
        <w:lastRenderedPageBreak/>
        <w:drawing>
          <wp:inline distT="0" distB="0" distL="0" distR="0">
            <wp:extent cx="5943600" cy="7696200"/>
            <wp:effectExtent l="0" t="0" r="0" b="0"/>
            <wp:docPr id="7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735C9A" w:rsidRDefault="00096A2A" w:rsidP="00735C9A">
      <w:pPr>
        <w:pStyle w:val="OrderBody"/>
        <w:rPr>
          <w:noProof/>
        </w:rPr>
        <w:sectPr w:rsidR="00735C9A">
          <w:pgSz w:w="12240" w:h="15840" w:code="1"/>
          <w:pgMar w:top="1440" w:right="1440" w:bottom="1440" w:left="1440" w:header="720" w:footer="720" w:gutter="0"/>
          <w:cols w:space="720"/>
          <w:titlePg/>
          <w:docGrid w:linePitch="360"/>
        </w:sectPr>
      </w:pPr>
      <w:r>
        <w:rPr>
          <w:noProof/>
        </w:rPr>
        <w:lastRenderedPageBreak/>
        <w:drawing>
          <wp:inline distT="0" distB="0" distL="0" distR="0">
            <wp:extent cx="5943600" cy="7696200"/>
            <wp:effectExtent l="0" t="0" r="0" b="0"/>
            <wp:docPr id="6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735C9A" w:rsidRDefault="00096A2A" w:rsidP="00735C9A">
      <w:pPr>
        <w:pStyle w:val="OrderBody"/>
        <w:rPr>
          <w:noProof/>
        </w:rPr>
        <w:sectPr w:rsidR="00735C9A">
          <w:pgSz w:w="12240" w:h="15840" w:code="1"/>
          <w:pgMar w:top="1440" w:right="1440" w:bottom="1440" w:left="1440" w:header="720" w:footer="720" w:gutter="0"/>
          <w:cols w:space="720"/>
          <w:titlePg/>
          <w:docGrid w:linePitch="360"/>
        </w:sectPr>
      </w:pPr>
      <w:r>
        <w:rPr>
          <w:noProof/>
        </w:rPr>
        <w:lastRenderedPageBreak/>
        <w:drawing>
          <wp:inline distT="0" distB="0" distL="0" distR="0">
            <wp:extent cx="5943600" cy="7696200"/>
            <wp:effectExtent l="0" t="0" r="0" b="0"/>
            <wp:docPr id="6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735C9A" w:rsidRDefault="00096A2A" w:rsidP="00735C9A">
      <w:pPr>
        <w:pStyle w:val="OrderBody"/>
        <w:rPr>
          <w:noProof/>
        </w:rPr>
        <w:sectPr w:rsidR="00735C9A">
          <w:pgSz w:w="12240" w:h="15840" w:code="1"/>
          <w:pgMar w:top="1440" w:right="1440" w:bottom="1440" w:left="1440" w:header="720" w:footer="720" w:gutter="0"/>
          <w:cols w:space="720"/>
          <w:titlePg/>
          <w:docGrid w:linePitch="360"/>
        </w:sectPr>
      </w:pPr>
      <w:r>
        <w:rPr>
          <w:noProof/>
        </w:rPr>
        <w:lastRenderedPageBreak/>
        <w:drawing>
          <wp:inline distT="0" distB="0" distL="0" distR="0">
            <wp:extent cx="5943600" cy="7696200"/>
            <wp:effectExtent l="0" t="0" r="0" b="0"/>
            <wp:docPr id="6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735C9A" w:rsidRDefault="00096A2A" w:rsidP="00735C9A">
      <w:pPr>
        <w:pStyle w:val="OrderBody"/>
        <w:rPr>
          <w:noProof/>
        </w:rPr>
        <w:sectPr w:rsidR="00735C9A">
          <w:pgSz w:w="12240" w:h="15840" w:code="1"/>
          <w:pgMar w:top="1440" w:right="1440" w:bottom="1440" w:left="1440" w:header="720" w:footer="720" w:gutter="0"/>
          <w:cols w:space="720"/>
          <w:titlePg/>
          <w:docGrid w:linePitch="360"/>
        </w:sectPr>
      </w:pPr>
      <w:r>
        <w:rPr>
          <w:noProof/>
        </w:rPr>
        <w:lastRenderedPageBreak/>
        <w:drawing>
          <wp:inline distT="0" distB="0" distL="0" distR="0">
            <wp:extent cx="5943600" cy="7696200"/>
            <wp:effectExtent l="0" t="0" r="0" b="0"/>
            <wp:docPr id="6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735C9A" w:rsidRDefault="00096A2A" w:rsidP="00735C9A">
      <w:pPr>
        <w:pStyle w:val="OrderBody"/>
        <w:rPr>
          <w:noProof/>
        </w:rPr>
        <w:sectPr w:rsidR="00735C9A">
          <w:pgSz w:w="12240" w:h="15840" w:code="1"/>
          <w:pgMar w:top="1440" w:right="1440" w:bottom="1440" w:left="1440" w:header="720" w:footer="720" w:gutter="0"/>
          <w:cols w:space="720"/>
          <w:titlePg/>
          <w:docGrid w:linePitch="360"/>
        </w:sectPr>
      </w:pPr>
      <w:r>
        <w:rPr>
          <w:noProof/>
        </w:rPr>
        <w:lastRenderedPageBreak/>
        <w:drawing>
          <wp:inline distT="0" distB="0" distL="0" distR="0">
            <wp:extent cx="5943600" cy="7696200"/>
            <wp:effectExtent l="0" t="0" r="0" b="0"/>
            <wp:docPr id="6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735C9A" w:rsidRDefault="00096A2A" w:rsidP="00735C9A">
      <w:pPr>
        <w:pStyle w:val="OrderBody"/>
        <w:rPr>
          <w:noProof/>
        </w:rPr>
        <w:sectPr w:rsidR="00735C9A">
          <w:pgSz w:w="12240" w:h="15840" w:code="1"/>
          <w:pgMar w:top="1440" w:right="1440" w:bottom="1440" w:left="1440" w:header="720" w:footer="720" w:gutter="0"/>
          <w:cols w:space="720"/>
          <w:titlePg/>
          <w:docGrid w:linePitch="360"/>
        </w:sectPr>
      </w:pPr>
      <w:r>
        <w:rPr>
          <w:noProof/>
        </w:rPr>
        <w:lastRenderedPageBreak/>
        <w:drawing>
          <wp:inline distT="0" distB="0" distL="0" distR="0">
            <wp:extent cx="5943600" cy="7696200"/>
            <wp:effectExtent l="0" t="0" r="0" b="0"/>
            <wp:docPr id="5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735C9A" w:rsidRDefault="00096A2A" w:rsidP="00735C9A">
      <w:pPr>
        <w:pStyle w:val="OrderBody"/>
        <w:rPr>
          <w:noProof/>
        </w:rPr>
        <w:sectPr w:rsidR="00735C9A">
          <w:pgSz w:w="12240" w:h="15840" w:code="1"/>
          <w:pgMar w:top="1440" w:right="1440" w:bottom="1440" w:left="1440" w:header="720" w:footer="720" w:gutter="0"/>
          <w:cols w:space="720"/>
          <w:titlePg/>
          <w:docGrid w:linePitch="360"/>
        </w:sectPr>
      </w:pPr>
      <w:r>
        <w:rPr>
          <w:noProof/>
        </w:rPr>
        <w:lastRenderedPageBreak/>
        <w:drawing>
          <wp:inline distT="0" distB="0" distL="0" distR="0">
            <wp:extent cx="5943600" cy="7696200"/>
            <wp:effectExtent l="0" t="0" r="0" b="0"/>
            <wp:docPr id="5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735C9A" w:rsidRDefault="00096A2A" w:rsidP="00735C9A">
      <w:pPr>
        <w:pStyle w:val="OrderBody"/>
        <w:rPr>
          <w:noProof/>
        </w:rPr>
        <w:sectPr w:rsidR="00735C9A">
          <w:pgSz w:w="12240" w:h="15840" w:code="1"/>
          <w:pgMar w:top="1440" w:right="1440" w:bottom="1440" w:left="1440" w:header="720" w:footer="720" w:gutter="0"/>
          <w:cols w:space="720"/>
          <w:titlePg/>
          <w:docGrid w:linePitch="360"/>
        </w:sectPr>
      </w:pPr>
      <w:r>
        <w:rPr>
          <w:noProof/>
        </w:rPr>
        <w:lastRenderedPageBreak/>
        <w:drawing>
          <wp:inline distT="0" distB="0" distL="0" distR="0">
            <wp:extent cx="5943600" cy="7696200"/>
            <wp:effectExtent l="0" t="0" r="0" b="0"/>
            <wp:docPr id="5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735C9A" w:rsidRDefault="00096A2A" w:rsidP="00735C9A">
      <w:pPr>
        <w:pStyle w:val="OrderBody"/>
        <w:rPr>
          <w:noProof/>
        </w:rPr>
        <w:sectPr w:rsidR="00735C9A">
          <w:pgSz w:w="12240" w:h="15840" w:code="1"/>
          <w:pgMar w:top="1440" w:right="1440" w:bottom="1440" w:left="1440" w:header="720" w:footer="720" w:gutter="0"/>
          <w:cols w:space="720"/>
          <w:titlePg/>
          <w:docGrid w:linePitch="360"/>
        </w:sectPr>
      </w:pPr>
      <w:r>
        <w:rPr>
          <w:noProof/>
        </w:rPr>
        <w:lastRenderedPageBreak/>
        <w:drawing>
          <wp:inline distT="0" distB="0" distL="0" distR="0">
            <wp:extent cx="5943600" cy="7696200"/>
            <wp:effectExtent l="0" t="0" r="0" b="0"/>
            <wp:docPr id="5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735C9A" w:rsidRDefault="00096A2A" w:rsidP="00735C9A">
      <w:pPr>
        <w:pStyle w:val="OrderBody"/>
        <w:rPr>
          <w:noProof/>
        </w:rPr>
        <w:sectPr w:rsidR="00735C9A">
          <w:pgSz w:w="12240" w:h="15840" w:code="1"/>
          <w:pgMar w:top="1440" w:right="1440" w:bottom="1440" w:left="1440" w:header="720" w:footer="720" w:gutter="0"/>
          <w:cols w:space="720"/>
          <w:titlePg/>
          <w:docGrid w:linePitch="360"/>
        </w:sectPr>
      </w:pPr>
      <w:r>
        <w:rPr>
          <w:noProof/>
        </w:rPr>
        <w:lastRenderedPageBreak/>
        <w:drawing>
          <wp:inline distT="0" distB="0" distL="0" distR="0">
            <wp:extent cx="5943600" cy="7696200"/>
            <wp:effectExtent l="0" t="0" r="0" b="0"/>
            <wp:docPr id="5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735C9A" w:rsidRDefault="00096A2A" w:rsidP="00735C9A">
      <w:pPr>
        <w:pStyle w:val="OrderBody"/>
        <w:rPr>
          <w:noProof/>
        </w:rPr>
        <w:sectPr w:rsidR="00735C9A">
          <w:pgSz w:w="12240" w:h="15840" w:code="1"/>
          <w:pgMar w:top="1440" w:right="1440" w:bottom="1440" w:left="1440" w:header="720" w:footer="720" w:gutter="0"/>
          <w:cols w:space="720"/>
          <w:titlePg/>
          <w:docGrid w:linePitch="360"/>
        </w:sectPr>
      </w:pPr>
      <w:r>
        <w:rPr>
          <w:noProof/>
        </w:rPr>
        <w:lastRenderedPageBreak/>
        <w:drawing>
          <wp:inline distT="0" distB="0" distL="0" distR="0">
            <wp:extent cx="5943600" cy="7696200"/>
            <wp:effectExtent l="0" t="0" r="0" b="0"/>
            <wp:docPr id="4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735C9A" w:rsidRDefault="00096A2A" w:rsidP="00735C9A">
      <w:pPr>
        <w:pStyle w:val="OrderBody"/>
        <w:rPr>
          <w:noProof/>
        </w:rPr>
        <w:sectPr w:rsidR="00735C9A">
          <w:pgSz w:w="12240" w:h="15840" w:code="1"/>
          <w:pgMar w:top="1440" w:right="1440" w:bottom="1440" w:left="1440" w:header="720" w:footer="720" w:gutter="0"/>
          <w:cols w:space="720"/>
          <w:titlePg/>
          <w:docGrid w:linePitch="360"/>
        </w:sectPr>
      </w:pPr>
      <w:r>
        <w:rPr>
          <w:noProof/>
        </w:rPr>
        <w:lastRenderedPageBreak/>
        <w:drawing>
          <wp:inline distT="0" distB="0" distL="0" distR="0">
            <wp:extent cx="5943600" cy="7696200"/>
            <wp:effectExtent l="0" t="0" r="0" b="0"/>
            <wp:docPr id="4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735C9A" w:rsidRDefault="00096A2A" w:rsidP="00735C9A">
      <w:pPr>
        <w:pStyle w:val="OrderBody"/>
        <w:rPr>
          <w:noProof/>
        </w:rPr>
        <w:sectPr w:rsidR="00735C9A">
          <w:pgSz w:w="12240" w:h="15840" w:code="1"/>
          <w:pgMar w:top="1440" w:right="1440" w:bottom="1440" w:left="1440" w:header="720" w:footer="720" w:gutter="0"/>
          <w:cols w:space="720"/>
          <w:titlePg/>
          <w:docGrid w:linePitch="360"/>
        </w:sectPr>
      </w:pPr>
      <w:r>
        <w:rPr>
          <w:noProof/>
        </w:rPr>
        <w:lastRenderedPageBreak/>
        <w:drawing>
          <wp:inline distT="0" distB="0" distL="0" distR="0">
            <wp:extent cx="5943600" cy="7696200"/>
            <wp:effectExtent l="0" t="0" r="0" b="0"/>
            <wp:docPr id="4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735C9A" w:rsidRDefault="00096A2A" w:rsidP="00735C9A">
      <w:pPr>
        <w:pStyle w:val="OrderBody"/>
        <w:rPr>
          <w:noProof/>
        </w:rPr>
        <w:sectPr w:rsidR="00735C9A">
          <w:pgSz w:w="12240" w:h="15840" w:code="1"/>
          <w:pgMar w:top="1440" w:right="1440" w:bottom="1440" w:left="1440" w:header="720" w:footer="720" w:gutter="0"/>
          <w:cols w:space="720"/>
          <w:titlePg/>
          <w:docGrid w:linePitch="360"/>
        </w:sectPr>
      </w:pPr>
      <w:r>
        <w:rPr>
          <w:noProof/>
        </w:rPr>
        <w:lastRenderedPageBreak/>
        <w:drawing>
          <wp:inline distT="0" distB="0" distL="0" distR="0">
            <wp:extent cx="5943600" cy="7696200"/>
            <wp:effectExtent l="0" t="0" r="0" b="0"/>
            <wp:docPr id="4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735C9A" w:rsidRDefault="00096A2A" w:rsidP="00735C9A">
      <w:pPr>
        <w:pStyle w:val="OrderBody"/>
        <w:rPr>
          <w:noProof/>
        </w:rPr>
        <w:sectPr w:rsidR="00735C9A">
          <w:pgSz w:w="12240" w:h="15840" w:code="1"/>
          <w:pgMar w:top="1440" w:right="1440" w:bottom="1440" w:left="1440" w:header="720" w:footer="720" w:gutter="0"/>
          <w:cols w:space="720"/>
          <w:titlePg/>
          <w:docGrid w:linePitch="360"/>
        </w:sectPr>
      </w:pPr>
      <w:r>
        <w:rPr>
          <w:noProof/>
        </w:rPr>
        <w:lastRenderedPageBreak/>
        <w:drawing>
          <wp:inline distT="0" distB="0" distL="0" distR="0">
            <wp:extent cx="5943600" cy="7696200"/>
            <wp:effectExtent l="0" t="0" r="0" b="0"/>
            <wp:docPr id="4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735C9A" w:rsidRDefault="00096A2A" w:rsidP="00735C9A">
      <w:pPr>
        <w:pStyle w:val="OrderBody"/>
        <w:rPr>
          <w:noProof/>
        </w:rPr>
        <w:sectPr w:rsidR="00735C9A">
          <w:pgSz w:w="12240" w:h="15840" w:code="1"/>
          <w:pgMar w:top="1440" w:right="1440" w:bottom="1440" w:left="1440" w:header="720" w:footer="720" w:gutter="0"/>
          <w:cols w:space="720"/>
          <w:titlePg/>
          <w:docGrid w:linePitch="360"/>
        </w:sectPr>
      </w:pPr>
      <w:r>
        <w:rPr>
          <w:noProof/>
        </w:rPr>
        <w:lastRenderedPageBreak/>
        <w:drawing>
          <wp:inline distT="0" distB="0" distL="0" distR="0">
            <wp:extent cx="5943600" cy="7696200"/>
            <wp:effectExtent l="0" t="0" r="0" b="0"/>
            <wp:docPr id="4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735C9A" w:rsidRDefault="00096A2A" w:rsidP="00735C9A">
      <w:pPr>
        <w:pStyle w:val="OrderBody"/>
        <w:rPr>
          <w:noProof/>
        </w:rPr>
        <w:sectPr w:rsidR="00735C9A">
          <w:pgSz w:w="12240" w:h="15840" w:code="1"/>
          <w:pgMar w:top="1440" w:right="1440" w:bottom="1440" w:left="1440" w:header="720" w:footer="720" w:gutter="0"/>
          <w:cols w:space="720"/>
          <w:titlePg/>
          <w:docGrid w:linePitch="360"/>
        </w:sectPr>
      </w:pPr>
      <w:r>
        <w:rPr>
          <w:noProof/>
        </w:rPr>
        <w:lastRenderedPageBreak/>
        <w:drawing>
          <wp:inline distT="0" distB="0" distL="0" distR="0">
            <wp:extent cx="5943600" cy="7696200"/>
            <wp:effectExtent l="0" t="0" r="0" b="0"/>
            <wp:docPr id="4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735C9A" w:rsidRDefault="00096A2A" w:rsidP="00735C9A">
      <w:pPr>
        <w:pStyle w:val="OrderBody"/>
        <w:rPr>
          <w:noProof/>
        </w:rPr>
        <w:sectPr w:rsidR="00735C9A">
          <w:pgSz w:w="12240" w:h="15840" w:code="1"/>
          <w:pgMar w:top="1440" w:right="1440" w:bottom="1440" w:left="1440" w:header="720" w:footer="720" w:gutter="0"/>
          <w:cols w:space="720"/>
          <w:titlePg/>
          <w:docGrid w:linePitch="360"/>
        </w:sectPr>
      </w:pPr>
      <w:r>
        <w:rPr>
          <w:noProof/>
        </w:rPr>
        <w:lastRenderedPageBreak/>
        <w:drawing>
          <wp:inline distT="0" distB="0" distL="0" distR="0">
            <wp:extent cx="5943600" cy="7696200"/>
            <wp:effectExtent l="0" t="0" r="0" b="0"/>
            <wp:docPr id="4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735C9A" w:rsidRDefault="00096A2A" w:rsidP="00735C9A">
      <w:pPr>
        <w:pStyle w:val="OrderBody"/>
        <w:rPr>
          <w:noProof/>
        </w:rPr>
        <w:sectPr w:rsidR="00735C9A">
          <w:pgSz w:w="12240" w:h="15840" w:code="1"/>
          <w:pgMar w:top="1440" w:right="1440" w:bottom="1440" w:left="1440" w:header="720" w:footer="720" w:gutter="0"/>
          <w:cols w:space="720"/>
          <w:titlePg/>
          <w:docGrid w:linePitch="360"/>
        </w:sectPr>
      </w:pPr>
      <w:r>
        <w:rPr>
          <w:noProof/>
        </w:rPr>
        <w:lastRenderedPageBreak/>
        <w:drawing>
          <wp:inline distT="0" distB="0" distL="0" distR="0">
            <wp:extent cx="5943600" cy="7696200"/>
            <wp:effectExtent l="0" t="0" r="0" b="0"/>
            <wp:docPr id="4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735C9A" w:rsidRDefault="00096A2A" w:rsidP="00735C9A">
      <w:pPr>
        <w:pStyle w:val="OrderBody"/>
        <w:rPr>
          <w:noProof/>
        </w:rPr>
        <w:sectPr w:rsidR="00735C9A">
          <w:pgSz w:w="12240" w:h="15840" w:code="1"/>
          <w:pgMar w:top="1440" w:right="1440" w:bottom="1440" w:left="1440" w:header="720" w:footer="720" w:gutter="0"/>
          <w:cols w:space="720"/>
          <w:titlePg/>
          <w:docGrid w:linePitch="360"/>
        </w:sectPr>
      </w:pPr>
      <w:r>
        <w:rPr>
          <w:noProof/>
        </w:rPr>
        <w:lastRenderedPageBreak/>
        <w:drawing>
          <wp:inline distT="0" distB="0" distL="0" distR="0">
            <wp:extent cx="5943600" cy="7696200"/>
            <wp:effectExtent l="0" t="0" r="0" b="0"/>
            <wp:docPr id="51"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735C9A" w:rsidRDefault="00096A2A" w:rsidP="00735C9A">
      <w:pPr>
        <w:pStyle w:val="OrderBody"/>
        <w:rPr>
          <w:noProof/>
        </w:rPr>
        <w:sectPr w:rsidR="00735C9A">
          <w:pgSz w:w="12240" w:h="15840" w:code="1"/>
          <w:pgMar w:top="1440" w:right="1440" w:bottom="1440" w:left="1440" w:header="720" w:footer="720" w:gutter="0"/>
          <w:cols w:space="720"/>
          <w:titlePg/>
          <w:docGrid w:linePitch="360"/>
        </w:sectPr>
      </w:pPr>
      <w:r>
        <w:rPr>
          <w:noProof/>
        </w:rPr>
        <w:lastRenderedPageBreak/>
        <w:drawing>
          <wp:inline distT="0" distB="0" distL="0" distR="0">
            <wp:extent cx="5943600" cy="7696200"/>
            <wp:effectExtent l="0" t="0" r="0" b="0"/>
            <wp:docPr id="53"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735C9A" w:rsidRDefault="00096A2A" w:rsidP="00735C9A">
      <w:pPr>
        <w:pStyle w:val="OrderBody"/>
        <w:rPr>
          <w:noProof/>
        </w:rPr>
        <w:sectPr w:rsidR="00735C9A">
          <w:pgSz w:w="12240" w:h="15840" w:code="1"/>
          <w:pgMar w:top="1440" w:right="1440" w:bottom="1440" w:left="1440" w:header="720" w:footer="720" w:gutter="0"/>
          <w:cols w:space="720"/>
          <w:titlePg/>
          <w:docGrid w:linePitch="360"/>
        </w:sectPr>
      </w:pPr>
      <w:r>
        <w:rPr>
          <w:noProof/>
        </w:rPr>
        <w:lastRenderedPageBreak/>
        <w:drawing>
          <wp:inline distT="0" distB="0" distL="0" distR="0">
            <wp:extent cx="5943600" cy="7696200"/>
            <wp:effectExtent l="0" t="0" r="0" b="0"/>
            <wp:docPr id="5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735C9A" w:rsidRDefault="00096A2A" w:rsidP="00735C9A">
      <w:pPr>
        <w:pStyle w:val="OrderBody"/>
        <w:rPr>
          <w:noProof/>
        </w:rPr>
        <w:sectPr w:rsidR="00735C9A">
          <w:pgSz w:w="12240" w:h="15840" w:code="1"/>
          <w:pgMar w:top="1440" w:right="1440" w:bottom="1440" w:left="1440" w:header="720" w:footer="720" w:gutter="0"/>
          <w:cols w:space="720"/>
          <w:titlePg/>
          <w:docGrid w:linePitch="360"/>
        </w:sectPr>
      </w:pPr>
      <w:r>
        <w:rPr>
          <w:noProof/>
        </w:rPr>
        <w:lastRenderedPageBreak/>
        <w:drawing>
          <wp:inline distT="0" distB="0" distL="0" distR="0">
            <wp:extent cx="5943600" cy="7696200"/>
            <wp:effectExtent l="0" t="0" r="0" b="0"/>
            <wp:docPr id="5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735C9A" w:rsidRDefault="00096A2A" w:rsidP="00735C9A">
      <w:pPr>
        <w:pStyle w:val="OrderBody"/>
        <w:rPr>
          <w:noProof/>
        </w:rPr>
        <w:sectPr w:rsidR="00735C9A">
          <w:pgSz w:w="12240" w:h="15840" w:code="1"/>
          <w:pgMar w:top="1440" w:right="1440" w:bottom="1440" w:left="1440" w:header="720" w:footer="720" w:gutter="0"/>
          <w:cols w:space="720"/>
          <w:titlePg/>
          <w:docGrid w:linePitch="360"/>
        </w:sectPr>
      </w:pPr>
      <w:r>
        <w:rPr>
          <w:noProof/>
        </w:rPr>
        <w:lastRenderedPageBreak/>
        <w:drawing>
          <wp:inline distT="0" distB="0" distL="0" distR="0">
            <wp:extent cx="5943600" cy="7696200"/>
            <wp:effectExtent l="0" t="0" r="0" b="0"/>
            <wp:docPr id="59"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735C9A" w:rsidRDefault="00096A2A" w:rsidP="00735C9A">
      <w:pPr>
        <w:pStyle w:val="OrderBody"/>
        <w:rPr>
          <w:noProof/>
        </w:rPr>
        <w:sectPr w:rsidR="00735C9A">
          <w:pgSz w:w="12240" w:h="15840" w:code="1"/>
          <w:pgMar w:top="1440" w:right="1440" w:bottom="1440" w:left="1440" w:header="720" w:footer="720" w:gutter="0"/>
          <w:cols w:space="720"/>
          <w:titlePg/>
          <w:docGrid w:linePitch="360"/>
        </w:sectPr>
      </w:pPr>
      <w:r>
        <w:rPr>
          <w:noProof/>
        </w:rPr>
        <w:lastRenderedPageBreak/>
        <w:drawing>
          <wp:inline distT="0" distB="0" distL="0" distR="0">
            <wp:extent cx="5943600" cy="7696200"/>
            <wp:effectExtent l="0" t="0" r="0" b="0"/>
            <wp:docPr id="6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735C9A" w:rsidRDefault="00096A2A" w:rsidP="00735C9A">
      <w:pPr>
        <w:pStyle w:val="OrderBody"/>
        <w:rPr>
          <w:noProof/>
        </w:rPr>
        <w:sectPr w:rsidR="00735C9A">
          <w:pgSz w:w="12240" w:h="15840" w:code="1"/>
          <w:pgMar w:top="1440" w:right="1440" w:bottom="1440" w:left="1440" w:header="720" w:footer="720" w:gutter="0"/>
          <w:cols w:space="720"/>
          <w:titlePg/>
          <w:docGrid w:linePitch="360"/>
        </w:sectPr>
      </w:pPr>
      <w:r>
        <w:rPr>
          <w:noProof/>
        </w:rPr>
        <w:lastRenderedPageBreak/>
        <w:drawing>
          <wp:inline distT="0" distB="0" distL="0" distR="0">
            <wp:extent cx="5943600" cy="7696200"/>
            <wp:effectExtent l="0" t="0" r="0" b="0"/>
            <wp:docPr id="63"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735C9A" w:rsidRDefault="00096A2A" w:rsidP="00735C9A">
      <w:pPr>
        <w:pStyle w:val="OrderBody"/>
        <w:rPr>
          <w:noProof/>
        </w:rPr>
        <w:sectPr w:rsidR="00735C9A">
          <w:pgSz w:w="12240" w:h="15840" w:code="1"/>
          <w:pgMar w:top="1440" w:right="1440" w:bottom="1440" w:left="1440" w:header="720" w:footer="720" w:gutter="0"/>
          <w:cols w:space="720"/>
          <w:titlePg/>
          <w:docGrid w:linePitch="360"/>
        </w:sectPr>
      </w:pPr>
      <w:r>
        <w:rPr>
          <w:noProof/>
        </w:rPr>
        <w:lastRenderedPageBreak/>
        <w:drawing>
          <wp:inline distT="0" distB="0" distL="0" distR="0">
            <wp:extent cx="5943600" cy="7696200"/>
            <wp:effectExtent l="0" t="0" r="0" b="0"/>
            <wp:docPr id="65"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735C9A" w:rsidRDefault="00096A2A" w:rsidP="00735C9A">
      <w:pPr>
        <w:pStyle w:val="OrderBody"/>
        <w:rPr>
          <w:noProof/>
        </w:rPr>
        <w:sectPr w:rsidR="00735C9A">
          <w:pgSz w:w="12240" w:h="15840" w:code="1"/>
          <w:pgMar w:top="1440" w:right="1440" w:bottom="1440" w:left="1440" w:header="720" w:footer="720" w:gutter="0"/>
          <w:cols w:space="720"/>
          <w:titlePg/>
          <w:docGrid w:linePitch="360"/>
        </w:sectPr>
      </w:pPr>
      <w:r>
        <w:rPr>
          <w:noProof/>
        </w:rPr>
        <w:lastRenderedPageBreak/>
        <w:drawing>
          <wp:inline distT="0" distB="0" distL="0" distR="0">
            <wp:extent cx="5943600" cy="7696200"/>
            <wp:effectExtent l="0" t="0" r="0" b="0"/>
            <wp:docPr id="67"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096A2A" w:rsidRDefault="00096A2A" w:rsidP="00735C9A">
      <w:pPr>
        <w:pStyle w:val="OrderBody"/>
        <w:rPr>
          <w:noProof/>
        </w:rPr>
        <w:sectPr w:rsidR="00096A2A">
          <w:pgSz w:w="12240" w:h="15840" w:code="1"/>
          <w:pgMar w:top="1440" w:right="1440" w:bottom="1440" w:left="1440" w:header="720" w:footer="720" w:gutter="0"/>
          <w:cols w:space="720"/>
          <w:titlePg/>
          <w:docGrid w:linePitch="360"/>
        </w:sectPr>
      </w:pPr>
      <w:r>
        <w:rPr>
          <w:noProof/>
        </w:rPr>
        <w:lastRenderedPageBreak/>
        <w:drawing>
          <wp:inline distT="0" distB="0" distL="0" distR="0">
            <wp:extent cx="5943600" cy="7696200"/>
            <wp:effectExtent l="0" t="0" r="0" b="0"/>
            <wp:docPr id="69"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096A2A" w:rsidRDefault="00096A2A" w:rsidP="00735C9A">
      <w:pPr>
        <w:pStyle w:val="OrderBody"/>
        <w:rPr>
          <w:noProof/>
        </w:rPr>
        <w:sectPr w:rsidR="00096A2A">
          <w:pgSz w:w="12240" w:h="15840" w:code="1"/>
          <w:pgMar w:top="1440" w:right="1440" w:bottom="1440" w:left="1440" w:header="720" w:footer="720" w:gutter="0"/>
          <w:cols w:space="720"/>
          <w:titlePg/>
          <w:docGrid w:linePitch="360"/>
        </w:sectPr>
      </w:pPr>
      <w:r>
        <w:rPr>
          <w:noProof/>
        </w:rPr>
        <w:lastRenderedPageBreak/>
        <w:drawing>
          <wp:inline distT="0" distB="0" distL="0" distR="0">
            <wp:extent cx="5943600" cy="7696200"/>
            <wp:effectExtent l="0" t="0" r="0" b="0"/>
            <wp:docPr id="71"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096A2A" w:rsidRDefault="00096A2A" w:rsidP="00735C9A">
      <w:pPr>
        <w:pStyle w:val="OrderBody"/>
        <w:rPr>
          <w:noProof/>
        </w:rPr>
        <w:sectPr w:rsidR="00096A2A">
          <w:pgSz w:w="12240" w:h="15840" w:code="1"/>
          <w:pgMar w:top="1440" w:right="1440" w:bottom="1440" w:left="1440" w:header="720" w:footer="720" w:gutter="0"/>
          <w:cols w:space="720"/>
          <w:titlePg/>
          <w:docGrid w:linePitch="360"/>
        </w:sectPr>
      </w:pPr>
      <w:r>
        <w:rPr>
          <w:noProof/>
        </w:rPr>
        <w:lastRenderedPageBreak/>
        <w:drawing>
          <wp:inline distT="0" distB="0" distL="0" distR="0">
            <wp:extent cx="5943600" cy="7696200"/>
            <wp:effectExtent l="0" t="0" r="0" b="0"/>
            <wp:docPr id="73"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096A2A" w:rsidRDefault="00096A2A" w:rsidP="00735C9A">
      <w:pPr>
        <w:pStyle w:val="OrderBody"/>
        <w:rPr>
          <w:noProof/>
        </w:rPr>
        <w:sectPr w:rsidR="00096A2A">
          <w:pgSz w:w="12240" w:h="15840" w:code="1"/>
          <w:pgMar w:top="1440" w:right="1440" w:bottom="1440" w:left="1440" w:header="720" w:footer="720" w:gutter="0"/>
          <w:cols w:space="720"/>
          <w:titlePg/>
          <w:docGrid w:linePitch="360"/>
        </w:sectPr>
      </w:pPr>
      <w:r>
        <w:rPr>
          <w:noProof/>
        </w:rPr>
        <w:lastRenderedPageBreak/>
        <w:drawing>
          <wp:inline distT="0" distB="0" distL="0" distR="0">
            <wp:extent cx="5943600" cy="7696200"/>
            <wp:effectExtent l="0" t="0" r="0" b="0"/>
            <wp:docPr id="75"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096A2A" w:rsidRDefault="00096A2A" w:rsidP="00735C9A">
      <w:pPr>
        <w:pStyle w:val="OrderBody"/>
        <w:rPr>
          <w:noProof/>
        </w:rPr>
        <w:sectPr w:rsidR="00096A2A">
          <w:pgSz w:w="12240" w:h="15840" w:code="1"/>
          <w:pgMar w:top="1440" w:right="1440" w:bottom="1440" w:left="1440" w:header="720" w:footer="720" w:gutter="0"/>
          <w:cols w:space="720"/>
          <w:titlePg/>
          <w:docGrid w:linePitch="360"/>
        </w:sectPr>
      </w:pPr>
      <w:r>
        <w:rPr>
          <w:noProof/>
        </w:rPr>
        <w:lastRenderedPageBreak/>
        <w:drawing>
          <wp:inline distT="0" distB="0" distL="0" distR="0">
            <wp:extent cx="5943600" cy="7696200"/>
            <wp:effectExtent l="0" t="0" r="0" b="0"/>
            <wp:docPr id="7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735C9A" w:rsidRDefault="00096A2A" w:rsidP="00735C9A">
      <w:pPr>
        <w:pStyle w:val="OrderBody"/>
      </w:pPr>
      <w:r>
        <w:rPr>
          <w:noProof/>
        </w:rPr>
        <w:lastRenderedPageBreak/>
        <w:drawing>
          <wp:inline distT="0" distB="0" distL="0" distR="0">
            <wp:extent cx="5943600" cy="7696200"/>
            <wp:effectExtent l="0" t="0" r="0" b="0"/>
            <wp:docPr id="79"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sectPr w:rsidR="00735C9A">
      <w:pgSz w:w="12240" w:h="15840" w:code="1"/>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35C9A" w:rsidRDefault="00735C9A">
      <w:r>
        <w:separator/>
      </w:r>
    </w:p>
  </w:endnote>
  <w:endnote w:type="continuationSeparator" w:id="0">
    <w:p w:rsidR="00735C9A" w:rsidRDefault="00735C9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20002A87" w:usb1="80000000" w:usb2="00000008" w:usb3="00000000" w:csb0="000001FF" w:csb1="00000000"/>
  </w:font>
  <w:font w:name="Tahoma">
    <w:panose1 w:val="020B0604030504040204"/>
    <w:charset w:val="00"/>
    <w:family w:val="swiss"/>
    <w:pitch w:val="variable"/>
    <w:sig w:usb0="61002A87" w:usb1="80000000" w:usb2="00000008" w:usb3="00000000" w:csb0="0001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A6EFD" w:rsidRDefault="00FA6EFD">
    <w:pPr>
      <w:pStyle w:val="Footer"/>
    </w:pPr>
  </w:p>
  <w:p w:rsidR="00FA6EFD" w:rsidRDefault="00FA6EF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35C9A" w:rsidRDefault="00735C9A">
      <w:r>
        <w:separator/>
      </w:r>
    </w:p>
  </w:footnote>
  <w:footnote w:type="continuationSeparator" w:id="0">
    <w:p w:rsidR="00735C9A" w:rsidRDefault="00735C9A">
      <w:r>
        <w:continuationSeparator/>
      </w:r>
    </w:p>
  </w:footnote>
  <w:footnote w:id="1">
    <w:p w:rsidR="00735C9A" w:rsidRPr="000829B5" w:rsidRDefault="00735C9A" w:rsidP="00735C9A">
      <w:pPr>
        <w:pStyle w:val="FootnoteText"/>
      </w:pPr>
      <w:r>
        <w:rPr>
          <w:rStyle w:val="FootnoteReference"/>
        </w:rPr>
        <w:footnoteRef/>
      </w:r>
      <w:r>
        <w:t xml:space="preserve"> Order No. PSC-14-0394-PAA-EQ, issued July 30, 2014, in Docket No. 140073-EQ</w:t>
      </w:r>
      <w:r w:rsidRPr="000829B5">
        <w:t>, Petition for approval of revisions to standard offer renewable energy tariff REN-1 and REN-2, by Florida Public Utilities Company.</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A6EFD" w:rsidRDefault="00FA6EFD">
    <w:pPr>
      <w:pStyle w:val="OrderHeader"/>
    </w:pPr>
    <w:r>
      <w:t xml:space="preserve">ORDER NO. </w:t>
    </w:r>
    <w:fldSimple w:instr=" REF OrderNo0307 ">
      <w:r w:rsidR="009D15D2">
        <w:t>PSC-15-0307-PAA-EQ</w:t>
      </w:r>
    </w:fldSimple>
  </w:p>
  <w:p w:rsidR="00FA6EFD" w:rsidRDefault="00735C9A">
    <w:pPr>
      <w:pStyle w:val="OrderHeader"/>
    </w:pPr>
    <w:bookmarkStart w:id="12" w:name="HeaderDocketNo"/>
    <w:bookmarkEnd w:id="12"/>
    <w:r>
      <w:t>DOCKET NO. 150104-EQ</w:t>
    </w:r>
  </w:p>
  <w:p w:rsidR="00FA6EFD" w:rsidRDefault="00FA6EFD">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E96944">
      <w:rPr>
        <w:rStyle w:val="PageNumber"/>
        <w:noProof/>
      </w:rPr>
      <w:t>4</w:t>
    </w:r>
    <w:r>
      <w:rPr>
        <w:rStyle w:val="PageNumber"/>
      </w:rPr>
      <w:fldChar w:fldCharType="end"/>
    </w:r>
  </w:p>
  <w:p w:rsidR="00FA6EFD" w:rsidRDefault="00FA6EFD">
    <w:pPr>
      <w:pStyle w:val="Order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5C9A" w:rsidRDefault="00735C9A" w:rsidP="00735C9A">
    <w:pPr>
      <w:pStyle w:val="OrderHeader"/>
    </w:pPr>
    <w:r>
      <w:t xml:space="preserve">ORDER NO. </w:t>
    </w:r>
    <w:r w:rsidR="009D15D2">
      <w:t>PSC-15-0307-PAA-EQ</w:t>
    </w:r>
    <w:r>
      <w:tab/>
    </w:r>
    <w:r>
      <w:tab/>
      <w:t>ATTACHMENT A</w:t>
    </w:r>
  </w:p>
  <w:p w:rsidR="00735C9A" w:rsidRDefault="00735C9A" w:rsidP="00735C9A">
    <w:pPr>
      <w:pStyle w:val="OrderHeader"/>
    </w:pPr>
    <w:r>
      <w:t>DOCKET NO. 150104-EQ</w:t>
    </w:r>
  </w:p>
  <w:p w:rsidR="00735C9A" w:rsidRDefault="00735C9A" w:rsidP="00735C9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9D15D2">
      <w:rPr>
        <w:rStyle w:val="PageNumber"/>
        <w:noProof/>
      </w:rPr>
      <w:t>44</w:t>
    </w:r>
    <w:r>
      <w:rPr>
        <w:rStyle w:val="PageNumber"/>
      </w:rPr>
      <w:fldChar w:fldCharType="end"/>
    </w:r>
  </w:p>
  <w:p w:rsidR="00735C9A" w:rsidRDefault="00735C9A">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BE1EC170-EA76-470D-BB59-A4BF6144E0C2}"/>
    <w:docVar w:name="dgnword-eventsink" w:val="19458032"/>
    <w:docVar w:name="Dockets" w:val="150104-EQ"/>
  </w:docVars>
  <w:rsids>
    <w:rsidRoot w:val="00735C9A"/>
    <w:rsid w:val="000022B8"/>
    <w:rsid w:val="000263D4"/>
    <w:rsid w:val="00053AB9"/>
    <w:rsid w:val="00056229"/>
    <w:rsid w:val="00065FC2"/>
    <w:rsid w:val="00090AFC"/>
    <w:rsid w:val="00096A2A"/>
    <w:rsid w:val="000D06E8"/>
    <w:rsid w:val="000E344D"/>
    <w:rsid w:val="000F3B2C"/>
    <w:rsid w:val="000F7BE3"/>
    <w:rsid w:val="00116AD3"/>
    <w:rsid w:val="00126593"/>
    <w:rsid w:val="00142A96"/>
    <w:rsid w:val="00187E32"/>
    <w:rsid w:val="00194E81"/>
    <w:rsid w:val="001A33C9"/>
    <w:rsid w:val="001D008A"/>
    <w:rsid w:val="002002ED"/>
    <w:rsid w:val="0022721A"/>
    <w:rsid w:val="00230BB9"/>
    <w:rsid w:val="002A11AC"/>
    <w:rsid w:val="002A6F30"/>
    <w:rsid w:val="002D7D15"/>
    <w:rsid w:val="00303FDE"/>
    <w:rsid w:val="003140E8"/>
    <w:rsid w:val="003231C7"/>
    <w:rsid w:val="00331ED0"/>
    <w:rsid w:val="0035495B"/>
    <w:rsid w:val="003744F5"/>
    <w:rsid w:val="00390DD8"/>
    <w:rsid w:val="00394DC6"/>
    <w:rsid w:val="00397C3E"/>
    <w:rsid w:val="003D4CCA"/>
    <w:rsid w:val="003D6416"/>
    <w:rsid w:val="003E1D48"/>
    <w:rsid w:val="003E20B0"/>
    <w:rsid w:val="00457DC7"/>
    <w:rsid w:val="00472BCC"/>
    <w:rsid w:val="004A25CD"/>
    <w:rsid w:val="004A26CC"/>
    <w:rsid w:val="004B2108"/>
    <w:rsid w:val="004B3A2B"/>
    <w:rsid w:val="004D2D1B"/>
    <w:rsid w:val="004F2DDE"/>
    <w:rsid w:val="0050097F"/>
    <w:rsid w:val="00514B1F"/>
    <w:rsid w:val="00556A10"/>
    <w:rsid w:val="00564480"/>
    <w:rsid w:val="005963C2"/>
    <w:rsid w:val="005B45F7"/>
    <w:rsid w:val="005B63EA"/>
    <w:rsid w:val="005E55E6"/>
    <w:rsid w:val="00660774"/>
    <w:rsid w:val="00665CC7"/>
    <w:rsid w:val="006A0BF3"/>
    <w:rsid w:val="006B0DA6"/>
    <w:rsid w:val="006C547E"/>
    <w:rsid w:val="00704C5D"/>
    <w:rsid w:val="00733B6B"/>
    <w:rsid w:val="00735C9A"/>
    <w:rsid w:val="0076170F"/>
    <w:rsid w:val="0076669C"/>
    <w:rsid w:val="007865E9"/>
    <w:rsid w:val="00792383"/>
    <w:rsid w:val="007D3D20"/>
    <w:rsid w:val="007E3AFD"/>
    <w:rsid w:val="00804E7A"/>
    <w:rsid w:val="00805FBB"/>
    <w:rsid w:val="008169A4"/>
    <w:rsid w:val="008278FE"/>
    <w:rsid w:val="00832598"/>
    <w:rsid w:val="0083397E"/>
    <w:rsid w:val="0083534B"/>
    <w:rsid w:val="0084708A"/>
    <w:rsid w:val="00863A66"/>
    <w:rsid w:val="00874429"/>
    <w:rsid w:val="00883D9A"/>
    <w:rsid w:val="008919EF"/>
    <w:rsid w:val="008C6A5B"/>
    <w:rsid w:val="008E26A5"/>
    <w:rsid w:val="008E42D2"/>
    <w:rsid w:val="009040EE"/>
    <w:rsid w:val="009057FD"/>
    <w:rsid w:val="00907F15"/>
    <w:rsid w:val="00922A7F"/>
    <w:rsid w:val="00923A5E"/>
    <w:rsid w:val="00994100"/>
    <w:rsid w:val="009D15D2"/>
    <w:rsid w:val="009D4C29"/>
    <w:rsid w:val="00A44060"/>
    <w:rsid w:val="00A62DAB"/>
    <w:rsid w:val="00A726A6"/>
    <w:rsid w:val="00A97535"/>
    <w:rsid w:val="00AA73F1"/>
    <w:rsid w:val="00AB0E1A"/>
    <w:rsid w:val="00AB1A30"/>
    <w:rsid w:val="00AD1ED3"/>
    <w:rsid w:val="00B0777D"/>
    <w:rsid w:val="00B4057A"/>
    <w:rsid w:val="00B40894"/>
    <w:rsid w:val="00B45E75"/>
    <w:rsid w:val="00B50876"/>
    <w:rsid w:val="00B55EE5"/>
    <w:rsid w:val="00B73B79"/>
    <w:rsid w:val="00B73DE6"/>
    <w:rsid w:val="00B86EF0"/>
    <w:rsid w:val="00B97900"/>
    <w:rsid w:val="00BA44A8"/>
    <w:rsid w:val="00BF6691"/>
    <w:rsid w:val="00C028FC"/>
    <w:rsid w:val="00C66692"/>
    <w:rsid w:val="00C91123"/>
    <w:rsid w:val="00CA71FF"/>
    <w:rsid w:val="00CB5276"/>
    <w:rsid w:val="00CB68D7"/>
    <w:rsid w:val="00CC7E68"/>
    <w:rsid w:val="00CD7132"/>
    <w:rsid w:val="00D30B48"/>
    <w:rsid w:val="00D30D43"/>
    <w:rsid w:val="00D46FAA"/>
    <w:rsid w:val="00D57BB2"/>
    <w:rsid w:val="00D8560E"/>
    <w:rsid w:val="00D8758F"/>
    <w:rsid w:val="00DC1D94"/>
    <w:rsid w:val="00DE057F"/>
    <w:rsid w:val="00DE2082"/>
    <w:rsid w:val="00DE2289"/>
    <w:rsid w:val="00E04410"/>
    <w:rsid w:val="00E11351"/>
    <w:rsid w:val="00E96944"/>
    <w:rsid w:val="00EA172C"/>
    <w:rsid w:val="00EA259B"/>
    <w:rsid w:val="00EA35A3"/>
    <w:rsid w:val="00EA3E6A"/>
    <w:rsid w:val="00EB18EF"/>
    <w:rsid w:val="00EE17DF"/>
    <w:rsid w:val="00EF4621"/>
    <w:rsid w:val="00F16A63"/>
    <w:rsid w:val="00F277B6"/>
    <w:rsid w:val="00F35650"/>
    <w:rsid w:val="00F54380"/>
    <w:rsid w:val="00F54B47"/>
    <w:rsid w:val="00FA48CA"/>
    <w:rsid w:val="00FA6EFD"/>
    <w:rsid w:val="00FB74EA"/>
    <w:rsid w:val="00FD2C9E"/>
    <w:rsid w:val="00FD4786"/>
    <w:rsid w:val="00FD616C"/>
    <w:rsid w:val="00FE262E"/>
    <w:rsid w:val="00FF0A0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CD7132"/>
    <w:rPr>
      <w:sz w:val="24"/>
      <w:szCs w:val="24"/>
    </w:rPr>
  </w:style>
  <w:style w:type="paragraph" w:styleId="Heading1">
    <w:name w:val="heading 1"/>
    <w:basedOn w:val="Normal"/>
    <w:next w:val="BodyText"/>
    <w:link w:val="Heading1Char"/>
    <w:qFormat/>
    <w:rsid w:val="00CD7132"/>
    <w:pPr>
      <w:keepNext/>
      <w:spacing w:after="240"/>
      <w:jc w:val="both"/>
      <w:outlineLvl w:val="0"/>
    </w:pPr>
    <w:rPr>
      <w:rFonts w:cs="Arial"/>
      <w:bCs/>
      <w:kern w:val="32"/>
      <w:szCs w:val="32"/>
    </w:rPr>
  </w:style>
  <w:style w:type="paragraph" w:styleId="Heading2">
    <w:name w:val="heading 2"/>
    <w:basedOn w:val="Normal"/>
    <w:next w:val="BodyText"/>
    <w:link w:val="Heading2Char"/>
    <w:qFormat/>
    <w:rsid w:val="00CD7132"/>
    <w:pPr>
      <w:keepNext/>
      <w:spacing w:after="240"/>
      <w:jc w:val="both"/>
      <w:outlineLvl w:val="1"/>
    </w:pPr>
    <w:rPr>
      <w:rFonts w:cs="Arial"/>
      <w:bCs/>
      <w:iCs/>
      <w:szCs w:val="28"/>
    </w:rPr>
  </w:style>
  <w:style w:type="paragraph" w:styleId="Heading3">
    <w:name w:val="heading 3"/>
    <w:basedOn w:val="BodyText"/>
    <w:next w:val="BodyText"/>
    <w:link w:val="Heading3Char"/>
    <w:qFormat/>
    <w:rsid w:val="00CD7132"/>
    <w:pPr>
      <w:spacing w:after="240"/>
      <w:ind w:firstLine="720"/>
      <w:jc w:val="both"/>
      <w:outlineLvl w:val="2"/>
    </w:pPr>
  </w:style>
  <w:style w:type="paragraph" w:styleId="Heading4">
    <w:name w:val="heading 4"/>
    <w:basedOn w:val="Normal"/>
    <w:next w:val="Normal"/>
    <w:link w:val="Heading4Char"/>
    <w:qFormat/>
    <w:rsid w:val="00CD7132"/>
    <w:pPr>
      <w:keepNext/>
      <w:spacing w:before="240" w:after="60"/>
      <w:outlineLvl w:val="3"/>
    </w:pPr>
    <w:rPr>
      <w:b/>
      <w:bCs/>
      <w:sz w:val="28"/>
      <w:szCs w:val="28"/>
    </w:rPr>
  </w:style>
  <w:style w:type="paragraph" w:styleId="Heading5">
    <w:name w:val="heading 5"/>
    <w:basedOn w:val="Normal"/>
    <w:next w:val="Normal"/>
    <w:link w:val="Heading5Char"/>
    <w:qFormat/>
    <w:rsid w:val="00CD7132"/>
    <w:pPr>
      <w:spacing w:before="240" w:after="60"/>
      <w:outlineLvl w:val="4"/>
    </w:pPr>
    <w:rPr>
      <w:b/>
      <w:bCs/>
      <w:i/>
      <w:iCs/>
      <w:sz w:val="26"/>
      <w:szCs w:val="26"/>
    </w:rPr>
  </w:style>
  <w:style w:type="paragraph" w:styleId="Heading6">
    <w:name w:val="heading 6"/>
    <w:basedOn w:val="Normal"/>
    <w:next w:val="Normal"/>
    <w:link w:val="Heading6Char"/>
    <w:qFormat/>
    <w:rsid w:val="00CD7132"/>
    <w:pPr>
      <w:spacing w:before="240" w:after="60"/>
      <w:outlineLvl w:val="5"/>
    </w:pPr>
    <w:rPr>
      <w:b/>
      <w:bCs/>
      <w:sz w:val="22"/>
      <w:szCs w:val="22"/>
    </w:rPr>
  </w:style>
  <w:style w:type="paragraph" w:styleId="Heading7">
    <w:name w:val="heading 7"/>
    <w:basedOn w:val="Normal"/>
    <w:next w:val="Normal"/>
    <w:link w:val="Heading7Char"/>
    <w:qFormat/>
    <w:rsid w:val="00CD7132"/>
    <w:pPr>
      <w:spacing w:before="240" w:after="60"/>
      <w:outlineLvl w:val="6"/>
    </w:pPr>
  </w:style>
  <w:style w:type="paragraph" w:styleId="Heading8">
    <w:name w:val="heading 8"/>
    <w:basedOn w:val="Normal"/>
    <w:next w:val="Normal"/>
    <w:link w:val="Heading8Char"/>
    <w:qFormat/>
    <w:rsid w:val="00CD7132"/>
    <w:pPr>
      <w:spacing w:before="240" w:after="60"/>
      <w:outlineLvl w:val="7"/>
    </w:pPr>
    <w:rPr>
      <w:i/>
      <w:iCs/>
    </w:rPr>
  </w:style>
  <w:style w:type="paragraph" w:styleId="Heading9">
    <w:name w:val="heading 9"/>
    <w:basedOn w:val="Normal"/>
    <w:next w:val="Normal"/>
    <w:link w:val="Heading9Char"/>
    <w:qFormat/>
    <w:rsid w:val="00CD7132"/>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rsid w:val="00CD7132"/>
    <w:pPr>
      <w:tabs>
        <w:tab w:val="center" w:pos="4320"/>
        <w:tab w:val="right" w:pos="8640"/>
      </w:tabs>
    </w:pPr>
  </w:style>
  <w:style w:type="paragraph" w:customStyle="1" w:styleId="OrderBody">
    <w:name w:val="Order Body"/>
    <w:basedOn w:val="Normal"/>
    <w:link w:val="OrderBodyChar"/>
    <w:rsid w:val="00CD7132"/>
    <w:pPr>
      <w:jc w:val="both"/>
    </w:pPr>
  </w:style>
  <w:style w:type="character" w:customStyle="1" w:styleId="OrderBodyChar">
    <w:name w:val="Order Body Char"/>
    <w:link w:val="OrderBody"/>
    <w:rsid w:val="00CD7132"/>
    <w:rPr>
      <w:sz w:val="24"/>
      <w:szCs w:val="24"/>
    </w:rPr>
  </w:style>
  <w:style w:type="paragraph" w:customStyle="1" w:styleId="OrderHeader">
    <w:name w:val="Order Header"/>
    <w:basedOn w:val="Header"/>
    <w:rsid w:val="00CD7132"/>
    <w:pPr>
      <w:jc w:val="both"/>
    </w:pPr>
  </w:style>
  <w:style w:type="character" w:styleId="PageNumber">
    <w:name w:val="page number"/>
    <w:rsid w:val="00CD7132"/>
  </w:style>
  <w:style w:type="paragraph" w:styleId="Header">
    <w:name w:val="header"/>
    <w:basedOn w:val="Normal"/>
    <w:rsid w:val="00CD7132"/>
    <w:pPr>
      <w:tabs>
        <w:tab w:val="center" w:pos="4320"/>
        <w:tab w:val="right" w:pos="8640"/>
      </w:tabs>
    </w:pPr>
  </w:style>
  <w:style w:type="paragraph" w:customStyle="1" w:styleId="CenterUnderline">
    <w:name w:val="CenterUnderline"/>
    <w:basedOn w:val="Normal"/>
    <w:rsid w:val="00CD7132"/>
    <w:pPr>
      <w:jc w:val="center"/>
    </w:pPr>
    <w:rPr>
      <w:u w:val="single"/>
    </w:rPr>
  </w:style>
  <w:style w:type="character" w:styleId="FootnoteReference">
    <w:name w:val="footnote reference"/>
    <w:rsid w:val="00CD7132"/>
    <w:rPr>
      <w:vertAlign w:val="superscript"/>
    </w:rPr>
  </w:style>
  <w:style w:type="paragraph" w:styleId="FootnoteText">
    <w:name w:val="footnote text"/>
    <w:basedOn w:val="Normal"/>
    <w:rsid w:val="00CD7132"/>
    <w:pPr>
      <w:jc w:val="both"/>
    </w:pPr>
    <w:rPr>
      <w:sz w:val="20"/>
      <w:szCs w:val="20"/>
    </w:rPr>
  </w:style>
  <w:style w:type="paragraph" w:customStyle="1" w:styleId="Level3">
    <w:name w:val="Level 3"/>
    <w:basedOn w:val="Normal"/>
    <w:rsid w:val="00CD7132"/>
    <w:pPr>
      <w:widowControl w:val="0"/>
      <w:autoSpaceDE w:val="0"/>
      <w:autoSpaceDN w:val="0"/>
      <w:adjustRightInd w:val="0"/>
      <w:ind w:left="2160" w:hanging="720"/>
      <w:outlineLvl w:val="2"/>
    </w:pPr>
  </w:style>
  <w:style w:type="paragraph" w:customStyle="1" w:styleId="OrderDouble">
    <w:name w:val="Order Double"/>
    <w:basedOn w:val="OrderBody"/>
    <w:rsid w:val="00CD7132"/>
    <w:pPr>
      <w:spacing w:line="480" w:lineRule="auto"/>
      <w:jc w:val="left"/>
    </w:pPr>
  </w:style>
  <w:style w:type="paragraph" w:customStyle="1" w:styleId="OrderDoubleJustified">
    <w:name w:val="Order Double Justified"/>
    <w:basedOn w:val="OrderDouble"/>
    <w:rsid w:val="00CD7132"/>
    <w:pPr>
      <w:jc w:val="both"/>
    </w:pPr>
  </w:style>
  <w:style w:type="paragraph" w:customStyle="1" w:styleId="OrderHanging">
    <w:name w:val="Order Hanging"/>
    <w:basedOn w:val="Normal"/>
    <w:rsid w:val="00CD7132"/>
    <w:pPr>
      <w:ind w:left="1440" w:hanging="1440"/>
      <w:jc w:val="both"/>
    </w:pPr>
    <w:rPr>
      <w:szCs w:val="20"/>
    </w:rPr>
  </w:style>
  <w:style w:type="paragraph" w:customStyle="1" w:styleId="OrderHanging2">
    <w:name w:val="Order Hanging 2"/>
    <w:basedOn w:val="Normal"/>
    <w:rsid w:val="00CD7132"/>
    <w:pPr>
      <w:ind w:left="2880" w:hanging="2880"/>
      <w:jc w:val="both"/>
    </w:pPr>
  </w:style>
  <w:style w:type="paragraph" w:customStyle="1" w:styleId="OrderHeading">
    <w:name w:val="Order Heading"/>
    <w:basedOn w:val="Normal"/>
    <w:rsid w:val="00CD7132"/>
    <w:pPr>
      <w:jc w:val="center"/>
    </w:pPr>
  </w:style>
  <w:style w:type="paragraph" w:customStyle="1" w:styleId="OrderSigInfo">
    <w:name w:val="Order Sig Info"/>
    <w:basedOn w:val="OrderBody"/>
    <w:next w:val="OrderBody"/>
    <w:rsid w:val="00CD7132"/>
    <w:pPr>
      <w:ind w:left="4464"/>
    </w:pPr>
    <w:rPr>
      <w:szCs w:val="20"/>
    </w:rPr>
  </w:style>
  <w:style w:type="paragraph" w:customStyle="1" w:styleId="OrderFootNote">
    <w:name w:val="OrderFootNote"/>
    <w:basedOn w:val="FootnoteText"/>
    <w:rsid w:val="00CD7132"/>
    <w:pPr>
      <w:spacing w:after="240"/>
      <w:ind w:firstLine="432"/>
    </w:pPr>
  </w:style>
  <w:style w:type="table" w:styleId="TableGrid">
    <w:name w:val="Table Grid"/>
    <w:basedOn w:val="TableNormal"/>
    <w:rsid w:val="00CD713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ertificateofServiceBody">
    <w:name w:val="Certificate of Service Body"/>
    <w:basedOn w:val="Normal"/>
    <w:next w:val="Normal"/>
    <w:rsid w:val="00CD7132"/>
    <w:pPr>
      <w:jc w:val="both"/>
    </w:pPr>
  </w:style>
  <w:style w:type="character" w:customStyle="1" w:styleId="Heading1Char">
    <w:name w:val="Heading 1 Char"/>
    <w:link w:val="Heading1"/>
    <w:rsid w:val="00CD7132"/>
    <w:rPr>
      <w:rFonts w:cs="Arial"/>
      <w:bCs/>
      <w:kern w:val="32"/>
      <w:sz w:val="24"/>
      <w:szCs w:val="32"/>
    </w:rPr>
  </w:style>
  <w:style w:type="character" w:customStyle="1" w:styleId="Heading9Char">
    <w:name w:val="Heading 9 Char"/>
    <w:link w:val="Heading9"/>
    <w:rsid w:val="00CD7132"/>
    <w:rPr>
      <w:rFonts w:ascii="Arial" w:hAnsi="Arial" w:cs="Arial"/>
      <w:sz w:val="22"/>
      <w:szCs w:val="22"/>
    </w:rPr>
  </w:style>
  <w:style w:type="paragraph" w:styleId="BodyText">
    <w:name w:val="Body Text"/>
    <w:basedOn w:val="Normal"/>
    <w:link w:val="BodyTextChar"/>
    <w:rsid w:val="00CD7132"/>
    <w:pPr>
      <w:spacing w:after="120"/>
    </w:pPr>
  </w:style>
  <w:style w:type="character" w:customStyle="1" w:styleId="BodyTextChar">
    <w:name w:val="Body Text Char"/>
    <w:link w:val="BodyText"/>
    <w:rsid w:val="00CD7132"/>
    <w:rPr>
      <w:sz w:val="24"/>
      <w:szCs w:val="24"/>
    </w:rPr>
  </w:style>
  <w:style w:type="character" w:customStyle="1" w:styleId="Heading2Char">
    <w:name w:val="Heading 2 Char"/>
    <w:link w:val="Heading2"/>
    <w:rsid w:val="00CD7132"/>
    <w:rPr>
      <w:rFonts w:cs="Arial"/>
      <w:bCs/>
      <w:iCs/>
      <w:sz w:val="24"/>
      <w:szCs w:val="28"/>
    </w:rPr>
  </w:style>
  <w:style w:type="character" w:customStyle="1" w:styleId="Heading3Char">
    <w:name w:val="Heading 3 Char"/>
    <w:link w:val="Heading3"/>
    <w:rsid w:val="00CD7132"/>
    <w:rPr>
      <w:sz w:val="24"/>
      <w:szCs w:val="24"/>
    </w:rPr>
  </w:style>
  <w:style w:type="character" w:customStyle="1" w:styleId="Heading4Char">
    <w:name w:val="Heading 4 Char"/>
    <w:link w:val="Heading4"/>
    <w:rsid w:val="00CD7132"/>
    <w:rPr>
      <w:b/>
      <w:bCs/>
      <w:sz w:val="28"/>
      <w:szCs w:val="28"/>
    </w:rPr>
  </w:style>
  <w:style w:type="character" w:customStyle="1" w:styleId="Heading5Char">
    <w:name w:val="Heading 5 Char"/>
    <w:link w:val="Heading5"/>
    <w:rsid w:val="00CD7132"/>
    <w:rPr>
      <w:b/>
      <w:bCs/>
      <w:i/>
      <w:iCs/>
      <w:sz w:val="26"/>
      <w:szCs w:val="26"/>
    </w:rPr>
  </w:style>
  <w:style w:type="character" w:customStyle="1" w:styleId="Heading6Char">
    <w:name w:val="Heading 6 Char"/>
    <w:link w:val="Heading6"/>
    <w:rsid w:val="00CD7132"/>
    <w:rPr>
      <w:b/>
      <w:bCs/>
      <w:sz w:val="22"/>
      <w:szCs w:val="22"/>
    </w:rPr>
  </w:style>
  <w:style w:type="character" w:customStyle="1" w:styleId="Heading7Char">
    <w:name w:val="Heading 7 Char"/>
    <w:link w:val="Heading7"/>
    <w:rsid w:val="00CD7132"/>
    <w:rPr>
      <w:sz w:val="24"/>
      <w:szCs w:val="24"/>
    </w:rPr>
  </w:style>
  <w:style w:type="character" w:customStyle="1" w:styleId="Heading8Char">
    <w:name w:val="Heading 8 Char"/>
    <w:link w:val="Heading8"/>
    <w:rsid w:val="00CD7132"/>
    <w:rPr>
      <w:i/>
      <w:iCs/>
      <w:sz w:val="24"/>
      <w:szCs w:val="24"/>
    </w:rPr>
  </w:style>
  <w:style w:type="paragraph" w:styleId="BalloonText">
    <w:name w:val="Balloon Text"/>
    <w:basedOn w:val="Normal"/>
    <w:link w:val="BalloonTextChar"/>
    <w:rsid w:val="0084708A"/>
    <w:rPr>
      <w:rFonts w:ascii="Tahoma" w:hAnsi="Tahoma" w:cs="Tahoma"/>
      <w:sz w:val="16"/>
      <w:szCs w:val="16"/>
    </w:rPr>
  </w:style>
  <w:style w:type="character" w:customStyle="1" w:styleId="BalloonTextChar">
    <w:name w:val="Balloon Text Char"/>
    <w:basedOn w:val="DefaultParagraphFont"/>
    <w:link w:val="BalloonText"/>
    <w:rsid w:val="0084708A"/>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CD7132"/>
    <w:rPr>
      <w:sz w:val="24"/>
      <w:szCs w:val="24"/>
    </w:rPr>
  </w:style>
  <w:style w:type="paragraph" w:styleId="Heading1">
    <w:name w:val="heading 1"/>
    <w:basedOn w:val="Normal"/>
    <w:next w:val="BodyText"/>
    <w:link w:val="Heading1Char"/>
    <w:qFormat/>
    <w:rsid w:val="00CD7132"/>
    <w:pPr>
      <w:keepNext/>
      <w:spacing w:after="240"/>
      <w:jc w:val="both"/>
      <w:outlineLvl w:val="0"/>
    </w:pPr>
    <w:rPr>
      <w:rFonts w:cs="Arial"/>
      <w:bCs/>
      <w:kern w:val="32"/>
      <w:szCs w:val="32"/>
    </w:rPr>
  </w:style>
  <w:style w:type="paragraph" w:styleId="Heading2">
    <w:name w:val="heading 2"/>
    <w:basedOn w:val="Normal"/>
    <w:next w:val="BodyText"/>
    <w:link w:val="Heading2Char"/>
    <w:qFormat/>
    <w:rsid w:val="00CD7132"/>
    <w:pPr>
      <w:keepNext/>
      <w:spacing w:after="240"/>
      <w:jc w:val="both"/>
      <w:outlineLvl w:val="1"/>
    </w:pPr>
    <w:rPr>
      <w:rFonts w:cs="Arial"/>
      <w:bCs/>
      <w:iCs/>
      <w:szCs w:val="28"/>
    </w:rPr>
  </w:style>
  <w:style w:type="paragraph" w:styleId="Heading3">
    <w:name w:val="heading 3"/>
    <w:basedOn w:val="BodyText"/>
    <w:next w:val="BodyText"/>
    <w:link w:val="Heading3Char"/>
    <w:qFormat/>
    <w:rsid w:val="00CD7132"/>
    <w:pPr>
      <w:spacing w:after="240"/>
      <w:ind w:firstLine="720"/>
      <w:jc w:val="both"/>
      <w:outlineLvl w:val="2"/>
    </w:pPr>
  </w:style>
  <w:style w:type="paragraph" w:styleId="Heading4">
    <w:name w:val="heading 4"/>
    <w:basedOn w:val="Normal"/>
    <w:next w:val="Normal"/>
    <w:link w:val="Heading4Char"/>
    <w:qFormat/>
    <w:rsid w:val="00CD7132"/>
    <w:pPr>
      <w:keepNext/>
      <w:spacing w:before="240" w:after="60"/>
      <w:outlineLvl w:val="3"/>
    </w:pPr>
    <w:rPr>
      <w:b/>
      <w:bCs/>
      <w:sz w:val="28"/>
      <w:szCs w:val="28"/>
    </w:rPr>
  </w:style>
  <w:style w:type="paragraph" w:styleId="Heading5">
    <w:name w:val="heading 5"/>
    <w:basedOn w:val="Normal"/>
    <w:next w:val="Normal"/>
    <w:link w:val="Heading5Char"/>
    <w:qFormat/>
    <w:rsid w:val="00CD7132"/>
    <w:pPr>
      <w:spacing w:before="240" w:after="60"/>
      <w:outlineLvl w:val="4"/>
    </w:pPr>
    <w:rPr>
      <w:b/>
      <w:bCs/>
      <w:i/>
      <w:iCs/>
      <w:sz w:val="26"/>
      <w:szCs w:val="26"/>
    </w:rPr>
  </w:style>
  <w:style w:type="paragraph" w:styleId="Heading6">
    <w:name w:val="heading 6"/>
    <w:basedOn w:val="Normal"/>
    <w:next w:val="Normal"/>
    <w:link w:val="Heading6Char"/>
    <w:qFormat/>
    <w:rsid w:val="00CD7132"/>
    <w:pPr>
      <w:spacing w:before="240" w:after="60"/>
      <w:outlineLvl w:val="5"/>
    </w:pPr>
    <w:rPr>
      <w:b/>
      <w:bCs/>
      <w:sz w:val="22"/>
      <w:szCs w:val="22"/>
    </w:rPr>
  </w:style>
  <w:style w:type="paragraph" w:styleId="Heading7">
    <w:name w:val="heading 7"/>
    <w:basedOn w:val="Normal"/>
    <w:next w:val="Normal"/>
    <w:link w:val="Heading7Char"/>
    <w:qFormat/>
    <w:rsid w:val="00CD7132"/>
    <w:pPr>
      <w:spacing w:before="240" w:after="60"/>
      <w:outlineLvl w:val="6"/>
    </w:pPr>
  </w:style>
  <w:style w:type="paragraph" w:styleId="Heading8">
    <w:name w:val="heading 8"/>
    <w:basedOn w:val="Normal"/>
    <w:next w:val="Normal"/>
    <w:link w:val="Heading8Char"/>
    <w:qFormat/>
    <w:rsid w:val="00CD7132"/>
    <w:pPr>
      <w:spacing w:before="240" w:after="60"/>
      <w:outlineLvl w:val="7"/>
    </w:pPr>
    <w:rPr>
      <w:i/>
      <w:iCs/>
    </w:rPr>
  </w:style>
  <w:style w:type="paragraph" w:styleId="Heading9">
    <w:name w:val="heading 9"/>
    <w:basedOn w:val="Normal"/>
    <w:next w:val="Normal"/>
    <w:link w:val="Heading9Char"/>
    <w:qFormat/>
    <w:rsid w:val="00CD7132"/>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rsid w:val="00CD7132"/>
    <w:pPr>
      <w:tabs>
        <w:tab w:val="center" w:pos="4320"/>
        <w:tab w:val="right" w:pos="8640"/>
      </w:tabs>
    </w:pPr>
  </w:style>
  <w:style w:type="paragraph" w:customStyle="1" w:styleId="OrderBody">
    <w:name w:val="Order Body"/>
    <w:basedOn w:val="Normal"/>
    <w:link w:val="OrderBodyChar"/>
    <w:rsid w:val="00CD7132"/>
    <w:pPr>
      <w:jc w:val="both"/>
    </w:pPr>
  </w:style>
  <w:style w:type="character" w:customStyle="1" w:styleId="OrderBodyChar">
    <w:name w:val="Order Body Char"/>
    <w:link w:val="OrderBody"/>
    <w:rsid w:val="00CD7132"/>
    <w:rPr>
      <w:sz w:val="24"/>
      <w:szCs w:val="24"/>
    </w:rPr>
  </w:style>
  <w:style w:type="paragraph" w:customStyle="1" w:styleId="OrderHeader">
    <w:name w:val="Order Header"/>
    <w:basedOn w:val="Header"/>
    <w:rsid w:val="00CD7132"/>
    <w:pPr>
      <w:jc w:val="both"/>
    </w:pPr>
  </w:style>
  <w:style w:type="character" w:styleId="PageNumber">
    <w:name w:val="page number"/>
    <w:rsid w:val="00CD7132"/>
  </w:style>
  <w:style w:type="paragraph" w:styleId="Header">
    <w:name w:val="header"/>
    <w:basedOn w:val="Normal"/>
    <w:rsid w:val="00CD7132"/>
    <w:pPr>
      <w:tabs>
        <w:tab w:val="center" w:pos="4320"/>
        <w:tab w:val="right" w:pos="8640"/>
      </w:tabs>
    </w:pPr>
  </w:style>
  <w:style w:type="paragraph" w:customStyle="1" w:styleId="CenterUnderline">
    <w:name w:val="CenterUnderline"/>
    <w:basedOn w:val="Normal"/>
    <w:rsid w:val="00CD7132"/>
    <w:pPr>
      <w:jc w:val="center"/>
    </w:pPr>
    <w:rPr>
      <w:u w:val="single"/>
    </w:rPr>
  </w:style>
  <w:style w:type="character" w:styleId="FootnoteReference">
    <w:name w:val="footnote reference"/>
    <w:rsid w:val="00CD7132"/>
    <w:rPr>
      <w:vertAlign w:val="superscript"/>
    </w:rPr>
  </w:style>
  <w:style w:type="paragraph" w:styleId="FootnoteText">
    <w:name w:val="footnote text"/>
    <w:basedOn w:val="Normal"/>
    <w:rsid w:val="00CD7132"/>
    <w:pPr>
      <w:jc w:val="both"/>
    </w:pPr>
    <w:rPr>
      <w:sz w:val="20"/>
      <w:szCs w:val="20"/>
    </w:rPr>
  </w:style>
  <w:style w:type="paragraph" w:customStyle="1" w:styleId="Level3">
    <w:name w:val="Level 3"/>
    <w:basedOn w:val="Normal"/>
    <w:rsid w:val="00CD7132"/>
    <w:pPr>
      <w:widowControl w:val="0"/>
      <w:autoSpaceDE w:val="0"/>
      <w:autoSpaceDN w:val="0"/>
      <w:adjustRightInd w:val="0"/>
      <w:ind w:left="2160" w:hanging="720"/>
      <w:outlineLvl w:val="2"/>
    </w:pPr>
  </w:style>
  <w:style w:type="paragraph" w:customStyle="1" w:styleId="OrderDouble">
    <w:name w:val="Order Double"/>
    <w:basedOn w:val="OrderBody"/>
    <w:rsid w:val="00CD7132"/>
    <w:pPr>
      <w:spacing w:line="480" w:lineRule="auto"/>
      <w:jc w:val="left"/>
    </w:pPr>
  </w:style>
  <w:style w:type="paragraph" w:customStyle="1" w:styleId="OrderDoubleJustified">
    <w:name w:val="Order Double Justified"/>
    <w:basedOn w:val="OrderDouble"/>
    <w:rsid w:val="00CD7132"/>
    <w:pPr>
      <w:jc w:val="both"/>
    </w:pPr>
  </w:style>
  <w:style w:type="paragraph" w:customStyle="1" w:styleId="OrderHanging">
    <w:name w:val="Order Hanging"/>
    <w:basedOn w:val="Normal"/>
    <w:rsid w:val="00CD7132"/>
    <w:pPr>
      <w:ind w:left="1440" w:hanging="1440"/>
      <w:jc w:val="both"/>
    </w:pPr>
    <w:rPr>
      <w:szCs w:val="20"/>
    </w:rPr>
  </w:style>
  <w:style w:type="paragraph" w:customStyle="1" w:styleId="OrderHanging2">
    <w:name w:val="Order Hanging 2"/>
    <w:basedOn w:val="Normal"/>
    <w:rsid w:val="00CD7132"/>
    <w:pPr>
      <w:ind w:left="2880" w:hanging="2880"/>
      <w:jc w:val="both"/>
    </w:pPr>
  </w:style>
  <w:style w:type="paragraph" w:customStyle="1" w:styleId="OrderHeading">
    <w:name w:val="Order Heading"/>
    <w:basedOn w:val="Normal"/>
    <w:rsid w:val="00CD7132"/>
    <w:pPr>
      <w:jc w:val="center"/>
    </w:pPr>
  </w:style>
  <w:style w:type="paragraph" w:customStyle="1" w:styleId="OrderSigInfo">
    <w:name w:val="Order Sig Info"/>
    <w:basedOn w:val="OrderBody"/>
    <w:next w:val="OrderBody"/>
    <w:rsid w:val="00CD7132"/>
    <w:pPr>
      <w:ind w:left="4464"/>
    </w:pPr>
    <w:rPr>
      <w:szCs w:val="20"/>
    </w:rPr>
  </w:style>
  <w:style w:type="paragraph" w:customStyle="1" w:styleId="OrderFootNote">
    <w:name w:val="OrderFootNote"/>
    <w:basedOn w:val="FootnoteText"/>
    <w:rsid w:val="00CD7132"/>
    <w:pPr>
      <w:spacing w:after="240"/>
      <w:ind w:firstLine="432"/>
    </w:pPr>
  </w:style>
  <w:style w:type="table" w:styleId="TableGrid">
    <w:name w:val="Table Grid"/>
    <w:basedOn w:val="TableNormal"/>
    <w:rsid w:val="00CD713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ertificateofServiceBody">
    <w:name w:val="Certificate of Service Body"/>
    <w:basedOn w:val="Normal"/>
    <w:next w:val="Normal"/>
    <w:rsid w:val="00CD7132"/>
    <w:pPr>
      <w:jc w:val="both"/>
    </w:pPr>
  </w:style>
  <w:style w:type="character" w:customStyle="1" w:styleId="Heading1Char">
    <w:name w:val="Heading 1 Char"/>
    <w:link w:val="Heading1"/>
    <w:rsid w:val="00CD7132"/>
    <w:rPr>
      <w:rFonts w:cs="Arial"/>
      <w:bCs/>
      <w:kern w:val="32"/>
      <w:sz w:val="24"/>
      <w:szCs w:val="32"/>
    </w:rPr>
  </w:style>
  <w:style w:type="character" w:customStyle="1" w:styleId="Heading9Char">
    <w:name w:val="Heading 9 Char"/>
    <w:link w:val="Heading9"/>
    <w:rsid w:val="00CD7132"/>
    <w:rPr>
      <w:rFonts w:ascii="Arial" w:hAnsi="Arial" w:cs="Arial"/>
      <w:sz w:val="22"/>
      <w:szCs w:val="22"/>
    </w:rPr>
  </w:style>
  <w:style w:type="paragraph" w:styleId="BodyText">
    <w:name w:val="Body Text"/>
    <w:basedOn w:val="Normal"/>
    <w:link w:val="BodyTextChar"/>
    <w:rsid w:val="00CD7132"/>
    <w:pPr>
      <w:spacing w:after="120"/>
    </w:pPr>
  </w:style>
  <w:style w:type="character" w:customStyle="1" w:styleId="BodyTextChar">
    <w:name w:val="Body Text Char"/>
    <w:link w:val="BodyText"/>
    <w:rsid w:val="00CD7132"/>
    <w:rPr>
      <w:sz w:val="24"/>
      <w:szCs w:val="24"/>
    </w:rPr>
  </w:style>
  <w:style w:type="character" w:customStyle="1" w:styleId="Heading2Char">
    <w:name w:val="Heading 2 Char"/>
    <w:link w:val="Heading2"/>
    <w:rsid w:val="00CD7132"/>
    <w:rPr>
      <w:rFonts w:cs="Arial"/>
      <w:bCs/>
      <w:iCs/>
      <w:sz w:val="24"/>
      <w:szCs w:val="28"/>
    </w:rPr>
  </w:style>
  <w:style w:type="character" w:customStyle="1" w:styleId="Heading3Char">
    <w:name w:val="Heading 3 Char"/>
    <w:link w:val="Heading3"/>
    <w:rsid w:val="00CD7132"/>
    <w:rPr>
      <w:sz w:val="24"/>
      <w:szCs w:val="24"/>
    </w:rPr>
  </w:style>
  <w:style w:type="character" w:customStyle="1" w:styleId="Heading4Char">
    <w:name w:val="Heading 4 Char"/>
    <w:link w:val="Heading4"/>
    <w:rsid w:val="00CD7132"/>
    <w:rPr>
      <w:b/>
      <w:bCs/>
      <w:sz w:val="28"/>
      <w:szCs w:val="28"/>
    </w:rPr>
  </w:style>
  <w:style w:type="character" w:customStyle="1" w:styleId="Heading5Char">
    <w:name w:val="Heading 5 Char"/>
    <w:link w:val="Heading5"/>
    <w:rsid w:val="00CD7132"/>
    <w:rPr>
      <w:b/>
      <w:bCs/>
      <w:i/>
      <w:iCs/>
      <w:sz w:val="26"/>
      <w:szCs w:val="26"/>
    </w:rPr>
  </w:style>
  <w:style w:type="character" w:customStyle="1" w:styleId="Heading6Char">
    <w:name w:val="Heading 6 Char"/>
    <w:link w:val="Heading6"/>
    <w:rsid w:val="00CD7132"/>
    <w:rPr>
      <w:b/>
      <w:bCs/>
      <w:sz w:val="22"/>
      <w:szCs w:val="22"/>
    </w:rPr>
  </w:style>
  <w:style w:type="character" w:customStyle="1" w:styleId="Heading7Char">
    <w:name w:val="Heading 7 Char"/>
    <w:link w:val="Heading7"/>
    <w:rsid w:val="00CD7132"/>
    <w:rPr>
      <w:sz w:val="24"/>
      <w:szCs w:val="24"/>
    </w:rPr>
  </w:style>
  <w:style w:type="character" w:customStyle="1" w:styleId="Heading8Char">
    <w:name w:val="Heading 8 Char"/>
    <w:link w:val="Heading8"/>
    <w:rsid w:val="00CD7132"/>
    <w:rPr>
      <w:i/>
      <w:iCs/>
      <w:sz w:val="24"/>
      <w:szCs w:val="24"/>
    </w:rPr>
  </w:style>
  <w:style w:type="paragraph" w:styleId="BalloonText">
    <w:name w:val="Balloon Text"/>
    <w:basedOn w:val="Normal"/>
    <w:link w:val="BalloonTextChar"/>
    <w:rsid w:val="0084708A"/>
    <w:rPr>
      <w:rFonts w:ascii="Tahoma" w:hAnsi="Tahoma" w:cs="Tahoma"/>
      <w:sz w:val="16"/>
      <w:szCs w:val="16"/>
    </w:rPr>
  </w:style>
  <w:style w:type="character" w:customStyle="1" w:styleId="BalloonTextChar">
    <w:name w:val="Balloon Text Char"/>
    <w:basedOn w:val="DefaultParagraphFont"/>
    <w:link w:val="BalloonText"/>
    <w:rsid w:val="0084708A"/>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jpeg"/><Relationship Id="rId3" Type="http://schemas.openxmlformats.org/officeDocument/2006/relationships/settings" Target="settings.xml"/><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fontTable" Target="fontTable.xml"/><Relationship Id="rId7" Type="http://schemas.openxmlformats.org/officeDocument/2006/relationships/header" Target="header1.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2" Type="http://schemas.microsoft.com/office/2007/relationships/stylesWithEffects" Target="stylesWithEffects.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20.jpeg"/><Relationship Id="rId41" Type="http://schemas.openxmlformats.org/officeDocument/2006/relationships/image" Target="media/image32.jpeg"/><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2.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10" Type="http://schemas.openxmlformats.org/officeDocument/2006/relationships/image" Target="media/image1.jpeg"/><Relationship Id="rId19" Type="http://schemas.openxmlformats.org/officeDocument/2006/relationships/image" Target="media/image10.jpeg"/><Relationship Id="rId31" Type="http://schemas.openxmlformats.org/officeDocument/2006/relationships/image" Target="media/image22.jpeg"/><Relationship Id="rId44" Type="http://schemas.openxmlformats.org/officeDocument/2006/relationships/image" Target="media/image35.jpeg"/><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8" Type="http://schemas.openxmlformats.org/officeDocument/2006/relationships/footer" Target="footer1.xml"/><Relationship Id="rId51"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s:\apps\msword2002\templates\PSC-GCL\Orders%20with%20Chairman%20Graham,%20Edgar,%20Bris&#233;,%20Brown%20and%20Patronis.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Orders with Chairman Graham, Edgar, Brisé, Brown and Patronis.dot</Template>
  <TotalTime>128</TotalTime>
  <Pages>44</Pages>
  <Words>1158</Words>
  <Characters>6604</Characters>
  <Application>Microsoft Office Word</Application>
  <DocSecurity>0</DocSecurity>
  <Lines>55</Lines>
  <Paragraphs>15</Paragraphs>
  <ScaleCrop>false</ScaleCrop>
  <HeadingPairs>
    <vt:vector size="2" baseType="variant">
      <vt:variant>
        <vt:lpstr>Title</vt:lpstr>
      </vt:variant>
      <vt:variant>
        <vt:i4>1</vt:i4>
      </vt:variant>
    </vt:vector>
  </HeadingPairs>
  <TitlesOfParts>
    <vt:vector size="1" baseType="lpstr">
      <vt:lpstr/>
    </vt:vector>
  </TitlesOfParts>
  <Company>Florida Public Service Commission</Company>
  <LinksUpToDate>false</LinksUpToDate>
  <CharactersWithSpaces>7747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Diamond Lynn</dc:creator>
  <cp:lastModifiedBy>Christoper Cooney</cp:lastModifiedBy>
  <cp:revision>14</cp:revision>
  <cp:lastPrinted>2015-07-29T16:42:00Z</cp:lastPrinted>
  <dcterms:created xsi:type="dcterms:W3CDTF">2015-07-21T20:06:00Z</dcterms:created>
  <dcterms:modified xsi:type="dcterms:W3CDTF">2015-07-29T16:47:00Z</dcterms:modified>
</cp:coreProperties>
</file>