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17692" w:rsidP="00017692">
      <w:pPr>
        <w:pStyle w:val="OrderHeading"/>
      </w:pPr>
      <w:r>
        <w:t>BEFORE THE FLORIDA PUBLIC SERVICE COMMISSION</w:t>
      </w:r>
    </w:p>
    <w:p w:rsidR="00017692" w:rsidRDefault="00017692" w:rsidP="00017692">
      <w:pPr>
        <w:pStyle w:val="OrderHeading"/>
      </w:pPr>
    </w:p>
    <w:p w:rsidR="00017692" w:rsidRDefault="00017692" w:rsidP="000176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17692" w:rsidRPr="00C63FCF" w:rsidTr="00274E73">
        <w:trPr>
          <w:trHeight w:val="828"/>
        </w:trPr>
        <w:tc>
          <w:tcPr>
            <w:tcW w:w="4788" w:type="dxa"/>
            <w:tcBorders>
              <w:bottom w:val="single" w:sz="8" w:space="0" w:color="auto"/>
              <w:right w:val="double" w:sz="6" w:space="0" w:color="auto"/>
            </w:tcBorders>
            <w:shd w:val="clear" w:color="auto" w:fill="auto"/>
          </w:tcPr>
          <w:p w:rsidR="00017692" w:rsidRDefault="00017692" w:rsidP="00274E73">
            <w:pPr>
              <w:pStyle w:val="OrderBody"/>
              <w:tabs>
                <w:tab w:val="center" w:pos="4320"/>
                <w:tab w:val="right" w:pos="8640"/>
              </w:tabs>
              <w:jc w:val="left"/>
            </w:pPr>
            <w:r>
              <w:t xml:space="preserve">In re: </w:t>
            </w:r>
            <w:bookmarkStart w:id="0" w:name="SSInRe"/>
            <w:bookmarkEnd w:id="0"/>
            <w:r>
              <w:t>Application for increase in wastewater rates in Charlotte County by Utilities, Inc</w:t>
            </w:r>
            <w:r w:rsidR="005538DD">
              <w:t xml:space="preserve">.  </w:t>
            </w:r>
            <w:r>
              <w:t>of Sandalhaven.</w:t>
            </w:r>
          </w:p>
        </w:tc>
        <w:tc>
          <w:tcPr>
            <w:tcW w:w="4788" w:type="dxa"/>
            <w:tcBorders>
              <w:left w:val="double" w:sz="6" w:space="0" w:color="auto"/>
            </w:tcBorders>
            <w:shd w:val="clear" w:color="auto" w:fill="auto"/>
          </w:tcPr>
          <w:p w:rsidR="00017692" w:rsidRDefault="00017692" w:rsidP="00017692">
            <w:pPr>
              <w:pStyle w:val="OrderBody"/>
            </w:pPr>
            <w:r>
              <w:t>DOCKET NO</w:t>
            </w:r>
            <w:r w:rsidR="005538DD">
              <w:t xml:space="preserve">.  </w:t>
            </w:r>
            <w:bookmarkStart w:id="1" w:name="SSDocketNo"/>
            <w:bookmarkEnd w:id="1"/>
            <w:r>
              <w:t>150102-SU</w:t>
            </w:r>
          </w:p>
          <w:p w:rsidR="00017692" w:rsidRDefault="00017692" w:rsidP="00274E73">
            <w:pPr>
              <w:pStyle w:val="OrderBody"/>
              <w:tabs>
                <w:tab w:val="center" w:pos="4320"/>
                <w:tab w:val="right" w:pos="8640"/>
              </w:tabs>
              <w:jc w:val="left"/>
            </w:pPr>
            <w:r>
              <w:t>ORDER NO</w:t>
            </w:r>
            <w:r w:rsidR="005538DD">
              <w:t xml:space="preserve">.  </w:t>
            </w:r>
            <w:bookmarkStart w:id="2" w:name="OrderNo0320"/>
            <w:r w:rsidR="007A0C3D">
              <w:t>PSC-15-0320-PCO-SU</w:t>
            </w:r>
            <w:bookmarkEnd w:id="2"/>
          </w:p>
          <w:p w:rsidR="00017692" w:rsidRDefault="00017692" w:rsidP="00274E73">
            <w:pPr>
              <w:pStyle w:val="OrderBody"/>
              <w:tabs>
                <w:tab w:val="center" w:pos="4320"/>
                <w:tab w:val="right" w:pos="8640"/>
              </w:tabs>
              <w:jc w:val="left"/>
            </w:pPr>
            <w:r>
              <w:t xml:space="preserve">ISSUED: </w:t>
            </w:r>
            <w:r w:rsidR="007A0C3D">
              <w:t>August 10, 2015</w:t>
            </w:r>
          </w:p>
        </w:tc>
      </w:tr>
    </w:tbl>
    <w:p w:rsidR="00017692" w:rsidRDefault="00017692" w:rsidP="00017692"/>
    <w:p w:rsidR="00017692" w:rsidRPr="00E46E1F" w:rsidRDefault="00017692">
      <w:pPr>
        <w:ind w:firstLine="720"/>
        <w:jc w:val="both"/>
      </w:pPr>
      <w:bookmarkStart w:id="3" w:name="Commissioners"/>
      <w:bookmarkEnd w:id="3"/>
      <w:r w:rsidRPr="00E46E1F">
        <w:t>The following Commissioners participated in the disposition of this matter:</w:t>
      </w:r>
    </w:p>
    <w:p w:rsidR="00017692" w:rsidRPr="00E46E1F" w:rsidRDefault="00017692"/>
    <w:p w:rsidR="00017692" w:rsidRDefault="00017692">
      <w:pPr>
        <w:jc w:val="center"/>
      </w:pPr>
      <w:r>
        <w:t>ART GRAHAM</w:t>
      </w:r>
      <w:r w:rsidRPr="00E46E1F">
        <w:t>, Chairman</w:t>
      </w:r>
    </w:p>
    <w:p w:rsidR="00017692" w:rsidRPr="00E46E1F" w:rsidRDefault="00017692">
      <w:pPr>
        <w:jc w:val="center"/>
      </w:pPr>
      <w:r w:rsidRPr="00E46E1F">
        <w:t>LISA POLAK EDGAR</w:t>
      </w:r>
    </w:p>
    <w:p w:rsidR="00017692" w:rsidRDefault="00017692">
      <w:pPr>
        <w:jc w:val="center"/>
      </w:pPr>
      <w:r>
        <w:t>RONALD A</w:t>
      </w:r>
      <w:r w:rsidR="005538DD">
        <w:t xml:space="preserve">.  </w:t>
      </w:r>
      <w:r>
        <w:t>BRISÉ</w:t>
      </w:r>
    </w:p>
    <w:p w:rsidR="00017692" w:rsidRDefault="00017692">
      <w:pPr>
        <w:jc w:val="center"/>
      </w:pPr>
      <w:r>
        <w:t>JULIE I</w:t>
      </w:r>
      <w:r w:rsidR="005538DD">
        <w:t xml:space="preserve">.  </w:t>
      </w:r>
      <w:r>
        <w:t>BROWN</w:t>
      </w:r>
    </w:p>
    <w:p w:rsidR="00017692" w:rsidRDefault="00017692">
      <w:pPr>
        <w:jc w:val="center"/>
      </w:pPr>
      <w:r>
        <w:t>JIMMY PATRONIS</w:t>
      </w:r>
    </w:p>
    <w:p w:rsidR="00CB5276" w:rsidRDefault="00CB5276">
      <w:pPr>
        <w:pStyle w:val="OrderBody"/>
      </w:pPr>
    </w:p>
    <w:p w:rsidR="0079260C" w:rsidRDefault="00017692" w:rsidP="00017692">
      <w:pPr>
        <w:pStyle w:val="CenterUnderline"/>
      </w:pPr>
      <w:r>
        <w:t>ORDER</w:t>
      </w:r>
      <w:bookmarkStart w:id="4" w:name="OrderTitle"/>
      <w:r>
        <w:t xml:space="preserve"> </w:t>
      </w:r>
      <w:r w:rsidR="0079260C">
        <w:t>SUSPENDING PROPOSED FINAL RATES</w:t>
      </w:r>
    </w:p>
    <w:p w:rsidR="00017692" w:rsidRDefault="0079260C" w:rsidP="00017692">
      <w:pPr>
        <w:pStyle w:val="CenterUnderline"/>
      </w:pPr>
      <w:r>
        <w:t xml:space="preserve">AND </w:t>
      </w:r>
      <w:r w:rsidR="00017692">
        <w:t xml:space="preserve">GRANTING INTERIM RATES </w:t>
      </w:r>
      <w:bookmarkEnd w:id="4"/>
    </w:p>
    <w:p w:rsidR="00017692" w:rsidRDefault="00017692" w:rsidP="00017692">
      <w:pPr>
        <w:pStyle w:val="CenterUnderline"/>
      </w:pPr>
    </w:p>
    <w:p w:rsidR="00017692" w:rsidRDefault="00017692" w:rsidP="00017692">
      <w:pPr>
        <w:pStyle w:val="OrderBody"/>
      </w:pPr>
      <w:r>
        <w:t>BY THE COMMISSION:</w:t>
      </w:r>
    </w:p>
    <w:p w:rsidR="00017692" w:rsidRDefault="00017692" w:rsidP="00017692">
      <w:pPr>
        <w:pStyle w:val="OrderBody"/>
      </w:pPr>
    </w:p>
    <w:p w:rsidR="00017692" w:rsidRDefault="00017692" w:rsidP="00E745E0">
      <w:pPr>
        <w:jc w:val="both"/>
      </w:pPr>
      <w:bookmarkStart w:id="5" w:name="OrderText"/>
      <w:bookmarkEnd w:id="5"/>
      <w:r>
        <w:tab/>
        <w:t>Utilities, Inc</w:t>
      </w:r>
      <w:r w:rsidR="005538DD">
        <w:t xml:space="preserve">. </w:t>
      </w:r>
      <w:r>
        <w:t>of Sandalhaven (Sandalhaven or utility) is a Class B wastewater utility serving 835 wastewater customers in Charlotte County</w:t>
      </w:r>
      <w:r w:rsidR="005538DD">
        <w:t xml:space="preserve">.  </w:t>
      </w:r>
      <w:r>
        <w:t>Water service to the area is supplied by Charlotte County</w:t>
      </w:r>
      <w:r w:rsidR="005538DD">
        <w:t xml:space="preserve">.  </w:t>
      </w:r>
      <w:r>
        <w:t>According to the utility’s 2014 annual report, the utility had operating revenues of $668,757 and operating expenses of $841,708.</w:t>
      </w:r>
    </w:p>
    <w:p w:rsidR="00017692" w:rsidRDefault="00017692" w:rsidP="00E745E0">
      <w:pPr>
        <w:ind w:firstLine="720"/>
        <w:jc w:val="both"/>
      </w:pPr>
    </w:p>
    <w:p w:rsidR="00017692" w:rsidRDefault="00017692" w:rsidP="00E745E0">
      <w:pPr>
        <w:pStyle w:val="BodyText"/>
        <w:jc w:val="both"/>
      </w:pPr>
      <w:r>
        <w:tab/>
        <w:t>Sandalhaven has been in existence since 1983 and was granted an original certificate in 1995 following Charlotte County adopting a resolution giving the Florida Public Service Commission (Commission) jurisdiction over privately owned water and wastewater utilities.</w:t>
      </w:r>
      <w:r>
        <w:rPr>
          <w:rStyle w:val="FootnoteReference"/>
        </w:rPr>
        <w:footnoteReference w:id="1"/>
      </w:r>
      <w:r>
        <w:t xml:space="preserve">  Effective September 25, 2007, the Commission’s jurisdiction was rescinded by Charlotte County and the </w:t>
      </w:r>
      <w:r w:rsidR="00E10847">
        <w:t xml:space="preserve">utility’s </w:t>
      </w:r>
      <w:r>
        <w:t>certificate was cancelled.</w:t>
      </w:r>
      <w:r>
        <w:rPr>
          <w:rStyle w:val="FootnoteReference"/>
        </w:rPr>
        <w:footnoteReference w:id="2"/>
      </w:r>
      <w:r>
        <w:t xml:space="preserve">  Subsequently, in 2013, Charlotte County transferred jurisdiction back to the Commission</w:t>
      </w:r>
      <w:r w:rsidR="005538DD">
        <w:t xml:space="preserve">.  </w:t>
      </w:r>
      <w:r>
        <w:t>Effective February 12, 2013, Sandalhaven was granted Certificate No</w:t>
      </w:r>
      <w:r w:rsidR="005538DD">
        <w:t xml:space="preserve">.  </w:t>
      </w:r>
      <w:r>
        <w:t>567-S.</w:t>
      </w:r>
      <w:r>
        <w:rPr>
          <w:rStyle w:val="FootnoteReference"/>
        </w:rPr>
        <w:footnoteReference w:id="3"/>
      </w:r>
      <w:r>
        <w:t xml:space="preserve">  Th</w:t>
      </w:r>
      <w:r w:rsidR="00E10847">
        <w:t>is</w:t>
      </w:r>
      <w:r>
        <w:t xml:space="preserve"> Commission set rate base for the utility in 2007.</w:t>
      </w:r>
      <w:r>
        <w:rPr>
          <w:rStyle w:val="FootnoteReference"/>
        </w:rPr>
        <w:footnoteReference w:id="4"/>
      </w:r>
      <w:r>
        <w:t xml:space="preserve">  However, the utility’s current rates were established by Charlotte County, </w:t>
      </w:r>
      <w:r w:rsidR="00E10847">
        <w:t xml:space="preserve">by </w:t>
      </w:r>
      <w:r>
        <w:t>Resolution 2012-209, adopted November 13, 2012, based upon a December 31, 2010 test year.</w:t>
      </w:r>
    </w:p>
    <w:p w:rsidR="00017692" w:rsidRDefault="002C7B20" w:rsidP="00E745E0">
      <w:pPr>
        <w:spacing w:after="240"/>
        <w:jc w:val="both"/>
      </w:pPr>
      <w:r>
        <w:tab/>
      </w:r>
      <w:r w:rsidR="00017692">
        <w:t>On June 4, 2015, Sandalhaven filed its application for the rate increase at issue in the instant docket</w:t>
      </w:r>
      <w:r w:rsidR="005538DD">
        <w:t xml:space="preserve">.  </w:t>
      </w:r>
      <w:r w:rsidR="00017692">
        <w:t xml:space="preserve">A deficiency letter was sent to the utility on July 1, 2015, and corrections to the minimum filing requirements (MFRs) were filed on July 6, 2015, which was established as the </w:t>
      </w:r>
      <w:r w:rsidR="00017692">
        <w:lastRenderedPageBreak/>
        <w:t>official date of filing pursuant to Section 367.083, Florida Statutes (F.S.)</w:t>
      </w:r>
      <w:r w:rsidR="005538DD">
        <w:t xml:space="preserve">.  </w:t>
      </w:r>
      <w:r w:rsidR="00017692" w:rsidRPr="00436E90">
        <w:t xml:space="preserve">The </w:t>
      </w:r>
      <w:r w:rsidR="00017692">
        <w:t>u</w:t>
      </w:r>
      <w:r w:rsidR="00017692" w:rsidRPr="00436E90">
        <w:t>tility requested that the application be processed using the Proposed Agency Action (PAA) procedure and requested interim rates</w:t>
      </w:r>
      <w:r w:rsidR="005538DD">
        <w:t xml:space="preserve">.  </w:t>
      </w:r>
      <w:r w:rsidR="00017692" w:rsidRPr="00436E90">
        <w:t xml:space="preserve">The test year </w:t>
      </w:r>
      <w:r w:rsidR="00017692" w:rsidRPr="00121D0A">
        <w:t>established for interim and final rates is the period ended December 31, 2014</w:t>
      </w:r>
      <w:r w:rsidR="005538DD">
        <w:t xml:space="preserve">.  </w:t>
      </w:r>
      <w:r w:rsidR="00017692">
        <w:t>The utility is requesting an increase to recover reasonable and prudent costs for providing service and a reasonable rate of return on investment, including pro forma plant improvements</w:t>
      </w:r>
      <w:r w:rsidR="005538DD">
        <w:t xml:space="preserve">.  </w:t>
      </w:r>
      <w:r w:rsidR="00017692">
        <w:t>Sandalhaven requested an interim revenue increase of $724,062 (106.2 percent) and a final revenue increase of $939,540 (137.9 percent).</w:t>
      </w:r>
    </w:p>
    <w:p w:rsidR="00017692" w:rsidRDefault="002C7B20" w:rsidP="00E745E0">
      <w:pPr>
        <w:spacing w:after="240"/>
        <w:jc w:val="both"/>
      </w:pPr>
      <w:r>
        <w:tab/>
      </w:r>
      <w:r w:rsidR="00017692">
        <w:t>The 60-day statutory deadline for suspen</w:t>
      </w:r>
      <w:r>
        <w:t>sion of</w:t>
      </w:r>
      <w:r w:rsidR="00017692">
        <w:t xml:space="preserve"> the utility’s requested final rates is August 3, 2015</w:t>
      </w:r>
      <w:r w:rsidR="005538DD">
        <w:t xml:space="preserve">.  </w:t>
      </w:r>
      <w:r w:rsidR="00017692">
        <w:t xml:space="preserve">This </w:t>
      </w:r>
      <w:r>
        <w:t xml:space="preserve">order </w:t>
      </w:r>
      <w:r w:rsidR="00017692">
        <w:t>addresses the suspension of the utility’s requested final rates and the requested interim rates</w:t>
      </w:r>
      <w:r w:rsidR="005538DD">
        <w:t xml:space="preserve">.  </w:t>
      </w:r>
      <w:r>
        <w:t xml:space="preserve">We have </w:t>
      </w:r>
      <w:r w:rsidR="00017692">
        <w:t>jurisdiction pursuant to Sections 367.081 and 367.082, F.S.</w:t>
      </w:r>
    </w:p>
    <w:p w:rsidR="00017692" w:rsidRDefault="002C7B20" w:rsidP="00E745E0">
      <w:pPr>
        <w:jc w:val="center"/>
        <w:rPr>
          <w:u w:val="single"/>
        </w:rPr>
      </w:pPr>
      <w:r w:rsidRPr="002C7B20">
        <w:rPr>
          <w:u w:val="single"/>
        </w:rPr>
        <w:t>SUSPENSION OF FINAL RATES</w:t>
      </w:r>
    </w:p>
    <w:p w:rsidR="005538DD" w:rsidRPr="002C7B20" w:rsidRDefault="005538DD" w:rsidP="00E745E0">
      <w:pPr>
        <w:jc w:val="both"/>
        <w:rPr>
          <w:u w:val="single"/>
          <w:specVanish/>
        </w:rPr>
      </w:pPr>
    </w:p>
    <w:p w:rsidR="00017692" w:rsidRPr="006154C6" w:rsidRDefault="00017692" w:rsidP="00E745E0">
      <w:pPr>
        <w:spacing w:after="240"/>
        <w:ind w:firstLine="720"/>
        <w:jc w:val="both"/>
      </w:pPr>
      <w:r w:rsidRPr="00DA0319">
        <w:t xml:space="preserve">Section 367.081(6), F.S., provides that </w:t>
      </w:r>
      <w:r w:rsidR="00E10847">
        <w:t xml:space="preserve">we </w:t>
      </w:r>
      <w:r w:rsidRPr="00DA0319">
        <w:t>may, for good cause, withhold consent to the implementation of requested rates within 60 days after the date the rate request is filed</w:t>
      </w:r>
      <w:r w:rsidR="005538DD">
        <w:t xml:space="preserve">.  </w:t>
      </w:r>
      <w:r w:rsidRPr="00DA0319">
        <w:t xml:space="preserve">Further, Section 367.081(8), F.S., permits the proposed rates to go into effect (secured and subject to refund) at the expiration of five months from the official date of filing if: (1) </w:t>
      </w:r>
      <w:r w:rsidR="005538DD">
        <w:t>we have</w:t>
      </w:r>
      <w:r w:rsidRPr="00DA0319">
        <w:t xml:space="preserve"> not acted upon the requested rate increase; or (2) if </w:t>
      </w:r>
      <w:r w:rsidR="005538DD">
        <w:t xml:space="preserve">our </w:t>
      </w:r>
      <w:r w:rsidRPr="00DA0319">
        <w:t xml:space="preserve">PAA action is protested by a party other than the </w:t>
      </w:r>
      <w:r>
        <w:t>u</w:t>
      </w:r>
      <w:r w:rsidRPr="00DA0319">
        <w:t>tility</w:t>
      </w:r>
      <w:r w:rsidR="005538DD">
        <w:t xml:space="preserve">.  </w:t>
      </w:r>
    </w:p>
    <w:p w:rsidR="00017692" w:rsidRDefault="005538DD" w:rsidP="00E745E0">
      <w:pPr>
        <w:spacing w:after="240"/>
        <w:jc w:val="both"/>
      </w:pPr>
      <w:r>
        <w:tab/>
        <w:t xml:space="preserve">Having </w:t>
      </w:r>
      <w:r w:rsidR="00017692" w:rsidRPr="006154C6">
        <w:t>reviewed the filing and considered the information filed in support of the rate application and the proposed final rates</w:t>
      </w:r>
      <w:r>
        <w:t xml:space="preserve">, we find </w:t>
      </w:r>
      <w:r w:rsidR="00017692" w:rsidRPr="006154C6">
        <w:t>that further investigation of this information, including on-site in</w:t>
      </w:r>
      <w:r w:rsidR="00017692">
        <w:t>spection</w:t>
      </w:r>
      <w:r w:rsidR="00017692" w:rsidRPr="006154C6">
        <w:t>s</w:t>
      </w:r>
      <w:r w:rsidR="00017692">
        <w:t>, is needed</w:t>
      </w:r>
      <w:r>
        <w:t xml:space="preserve">.  </w:t>
      </w:r>
      <w:r w:rsidR="00E10847">
        <w:t xml:space="preserve">Commission </w:t>
      </w:r>
      <w:r>
        <w:t>s</w:t>
      </w:r>
      <w:r w:rsidR="00017692" w:rsidRPr="006154C6">
        <w:t xml:space="preserve">taff </w:t>
      </w:r>
      <w:r>
        <w:t xml:space="preserve">has </w:t>
      </w:r>
      <w:r w:rsidR="00017692" w:rsidRPr="006154C6">
        <w:t xml:space="preserve">initiated an audit of </w:t>
      </w:r>
      <w:r w:rsidR="00017692">
        <w:t>Sandalhaven</w:t>
      </w:r>
      <w:r w:rsidR="00017692" w:rsidRPr="006154C6">
        <w:t>’</w:t>
      </w:r>
      <w:r w:rsidR="00017692">
        <w:t>s</w:t>
      </w:r>
      <w:r w:rsidR="00017692" w:rsidRPr="006154C6">
        <w:t xml:space="preserve"> books and records, as well as an audit of the</w:t>
      </w:r>
      <w:r w:rsidR="00017692">
        <w:t xml:space="preserve"> u</w:t>
      </w:r>
      <w:r w:rsidR="00017692" w:rsidRPr="006154C6">
        <w:t xml:space="preserve">tility’s </w:t>
      </w:r>
      <w:r w:rsidR="00017692">
        <w:t xml:space="preserve">proposed allocation of </w:t>
      </w:r>
      <w:r w:rsidR="00017692" w:rsidRPr="006154C6">
        <w:t>parent</w:t>
      </w:r>
      <w:r w:rsidR="00017692">
        <w:t xml:space="preserve"> company </w:t>
      </w:r>
      <w:r w:rsidR="00017692" w:rsidRPr="006154C6">
        <w:t>investment and operating expenses</w:t>
      </w:r>
      <w:r>
        <w:t xml:space="preserve">.  </w:t>
      </w:r>
      <w:r w:rsidR="00017692" w:rsidRPr="006154C6">
        <w:t>Both of these audits are tentatively du</w:t>
      </w:r>
      <w:r w:rsidR="00017692" w:rsidRPr="00355906">
        <w:t xml:space="preserve">e on </w:t>
      </w:r>
      <w:r w:rsidR="00017692">
        <w:t>August 31, 2015</w:t>
      </w:r>
      <w:r>
        <w:t xml:space="preserve">.  </w:t>
      </w:r>
      <w:r w:rsidR="00017692" w:rsidRPr="006154C6">
        <w:t xml:space="preserve">In addition, </w:t>
      </w:r>
      <w:r w:rsidR="00E10847">
        <w:t xml:space="preserve">Commission </w:t>
      </w:r>
      <w:r w:rsidR="00017692" w:rsidRPr="006154C6">
        <w:t>staff sent its first data req</w:t>
      </w:r>
      <w:r w:rsidR="00017692" w:rsidRPr="00355906">
        <w:t xml:space="preserve">uest </w:t>
      </w:r>
      <w:r w:rsidR="00017692">
        <w:t xml:space="preserve">to the utility </w:t>
      </w:r>
      <w:r w:rsidR="00017692" w:rsidRPr="00355906">
        <w:t xml:space="preserve">on </w:t>
      </w:r>
      <w:r w:rsidR="00017692">
        <w:t>July 8, 2015</w:t>
      </w:r>
      <w:r>
        <w:t xml:space="preserve">.  </w:t>
      </w:r>
      <w:r w:rsidR="00017692" w:rsidRPr="006154C6">
        <w:t xml:space="preserve">The </w:t>
      </w:r>
      <w:r w:rsidR="00017692">
        <w:t>u</w:t>
      </w:r>
      <w:r w:rsidR="00017692" w:rsidRPr="006154C6">
        <w:t>tility’s response to the data request</w:t>
      </w:r>
      <w:r w:rsidR="00017692">
        <w:t xml:space="preserve"> is</w:t>
      </w:r>
      <w:r w:rsidR="00017692" w:rsidRPr="006154C6">
        <w:t xml:space="preserve"> due </w:t>
      </w:r>
      <w:r w:rsidR="00017692" w:rsidRPr="00355906">
        <w:t xml:space="preserve">on </w:t>
      </w:r>
      <w:r w:rsidR="00017692" w:rsidRPr="00FA4E0F">
        <w:t>July 22, 2015</w:t>
      </w:r>
      <w:r>
        <w:t xml:space="preserve">.  </w:t>
      </w:r>
      <w:r w:rsidR="00017692" w:rsidRPr="006154C6">
        <w:t xml:space="preserve">Based on the foregoing, </w:t>
      </w:r>
      <w:r>
        <w:t>Sand</w:t>
      </w:r>
      <w:r w:rsidR="00017692">
        <w:t xml:space="preserve">alhaven’s </w:t>
      </w:r>
      <w:r w:rsidR="00017692" w:rsidRPr="007F3719">
        <w:t xml:space="preserve">proposed final </w:t>
      </w:r>
      <w:r w:rsidR="00017692">
        <w:t xml:space="preserve">wastewater </w:t>
      </w:r>
      <w:r w:rsidR="00017692" w:rsidRPr="007F3719">
        <w:t xml:space="preserve">rates </w:t>
      </w:r>
      <w:r>
        <w:t>are hereby</w:t>
      </w:r>
      <w:r w:rsidR="00017692" w:rsidRPr="007F3719">
        <w:t xml:space="preserve"> suspended</w:t>
      </w:r>
      <w:r w:rsidR="00017692" w:rsidRPr="006154C6">
        <w:t>.</w:t>
      </w:r>
    </w:p>
    <w:p w:rsidR="005538DD" w:rsidRPr="005538DD" w:rsidRDefault="005538DD" w:rsidP="00E745E0">
      <w:pPr>
        <w:spacing w:after="240"/>
        <w:jc w:val="center"/>
        <w:rPr>
          <w:u w:val="single"/>
        </w:rPr>
      </w:pPr>
      <w:r w:rsidRPr="005538DD">
        <w:rPr>
          <w:u w:val="single"/>
        </w:rPr>
        <w:t>INTERIM R</w:t>
      </w:r>
      <w:r w:rsidR="0079260C">
        <w:rPr>
          <w:u w:val="single"/>
        </w:rPr>
        <w:t>EVENUE REQUIREMENTS</w:t>
      </w:r>
    </w:p>
    <w:p w:rsidR="00017692" w:rsidRPr="00066038" w:rsidRDefault="005538DD" w:rsidP="00E745E0">
      <w:pPr>
        <w:pStyle w:val="BodyText"/>
        <w:jc w:val="both"/>
      </w:pPr>
      <w:r>
        <w:tab/>
      </w:r>
      <w:r w:rsidR="00017692" w:rsidRPr="00066038">
        <w:t>On Ju</w:t>
      </w:r>
      <w:r w:rsidR="00017692">
        <w:t>ne 4</w:t>
      </w:r>
      <w:r w:rsidR="00017692" w:rsidRPr="00066038">
        <w:t>, 201</w:t>
      </w:r>
      <w:r w:rsidR="00017692">
        <w:t>5</w:t>
      </w:r>
      <w:r w:rsidR="00017692" w:rsidRPr="00066038">
        <w:t xml:space="preserve">, </w:t>
      </w:r>
      <w:r w:rsidR="00017692">
        <w:t>Sandalhaven</w:t>
      </w:r>
      <w:r w:rsidR="00017692" w:rsidRPr="00066038">
        <w:t xml:space="preserve"> filed its rate base, cost of capital, and net operating income </w:t>
      </w:r>
      <w:r w:rsidR="00017692">
        <w:t>MFR Schedules</w:t>
      </w:r>
      <w:r w:rsidR="00017692" w:rsidRPr="00066038">
        <w:t xml:space="preserve"> to support its requested interim increase in </w:t>
      </w:r>
      <w:r w:rsidR="00017692">
        <w:t>wastewater</w:t>
      </w:r>
      <w:r w:rsidR="00017692" w:rsidRPr="00066038">
        <w:t xml:space="preserve"> rates</w:t>
      </w:r>
      <w:r>
        <w:t xml:space="preserve">.  </w:t>
      </w:r>
      <w:r w:rsidR="00017692" w:rsidRPr="00066038">
        <w:t xml:space="preserve">Pursuant to Section 367.082(1), F.S., in order to establish a prima facie entitlement for interim relief, the </w:t>
      </w:r>
      <w:r w:rsidR="00017692">
        <w:t>u</w:t>
      </w:r>
      <w:r w:rsidR="00017692" w:rsidRPr="00066038">
        <w:t>tility shall demonstrate that it is earning outside the range of reasonableness on its rate of return</w:t>
      </w:r>
      <w:r>
        <w:t xml:space="preserve">.  </w:t>
      </w:r>
      <w:r w:rsidR="00017692" w:rsidRPr="00066038">
        <w:t>Pursuant to Section 367.08</w:t>
      </w:r>
      <w:r w:rsidR="00017692">
        <w:t>2</w:t>
      </w:r>
      <w:r w:rsidR="00017692" w:rsidRPr="00066038">
        <w:t>(2)(a), F.S., in a proceeding for an interim increase in rates, th</w:t>
      </w:r>
      <w:r w:rsidR="00E10847">
        <w:t>is</w:t>
      </w:r>
      <w:r w:rsidR="00017692" w:rsidRPr="00066038">
        <w:t xml:space="preserve"> Commission shall authorize, within 60 days of the filing for such relief, the collection of rates sufficient to earn the minimum of the range of </w:t>
      </w:r>
      <w:r w:rsidR="00017692">
        <w:t xml:space="preserve">the </w:t>
      </w:r>
      <w:r w:rsidR="00017692" w:rsidRPr="00066038">
        <w:t>rate of return</w:t>
      </w:r>
      <w:r>
        <w:t xml:space="preserve">.  </w:t>
      </w:r>
      <w:r w:rsidR="00017692" w:rsidRPr="00066038">
        <w:t xml:space="preserve">Based on the </w:t>
      </w:r>
      <w:r w:rsidR="00017692">
        <w:t>u</w:t>
      </w:r>
      <w:r w:rsidR="00017692" w:rsidRPr="00066038">
        <w:t xml:space="preserve">tility’s filing and the adjustments </w:t>
      </w:r>
      <w:r w:rsidR="00E10847">
        <w:t xml:space="preserve">approved </w:t>
      </w:r>
      <w:r w:rsidR="00017692" w:rsidRPr="00066038">
        <w:t xml:space="preserve">below, </w:t>
      </w:r>
      <w:r>
        <w:t>we find</w:t>
      </w:r>
      <w:r w:rsidR="00017692" w:rsidRPr="00066038">
        <w:t xml:space="preserve"> </w:t>
      </w:r>
      <w:r w:rsidR="00017692">
        <w:t>that the u</w:t>
      </w:r>
      <w:r w:rsidR="00017692" w:rsidRPr="00066038">
        <w:t xml:space="preserve">tility has demonstrated a prima facie entitlement in accordance with Section 367.082(1), F.S., for its </w:t>
      </w:r>
      <w:r w:rsidR="00017692">
        <w:t>wastewater</w:t>
      </w:r>
      <w:r w:rsidR="00017692" w:rsidRPr="00066038">
        <w:t xml:space="preserve"> system.</w:t>
      </w:r>
    </w:p>
    <w:p w:rsidR="00017692" w:rsidRPr="00066038" w:rsidRDefault="005538DD" w:rsidP="00E745E0">
      <w:pPr>
        <w:pStyle w:val="BodyText"/>
        <w:jc w:val="both"/>
      </w:pPr>
      <w:r>
        <w:tab/>
      </w:r>
      <w:r w:rsidR="00017692" w:rsidRPr="00066038">
        <w:t xml:space="preserve">Pursuant to Section 367.082(5)(b)1., F.S., the achieved rate of return for interim purposes must be calculated by applying adjustments consistent with adjustments made in the </w:t>
      </w:r>
      <w:r w:rsidR="00017692">
        <w:t>u</w:t>
      </w:r>
      <w:r w:rsidR="00017692" w:rsidRPr="00066038">
        <w:t>tility’s most recent rate proceeding and annualizing any rate changes</w:t>
      </w:r>
      <w:r>
        <w:t xml:space="preserve">.  </w:t>
      </w:r>
      <w:r w:rsidR="00E10847">
        <w:t xml:space="preserve">We have </w:t>
      </w:r>
      <w:r w:rsidR="00017692" w:rsidRPr="00066038">
        <w:t xml:space="preserve">reviewed </w:t>
      </w:r>
      <w:r w:rsidR="00017692">
        <w:t>Sandalhaven</w:t>
      </w:r>
      <w:r w:rsidR="00017692" w:rsidRPr="00066038">
        <w:t>’s interim request, as well as Order No</w:t>
      </w:r>
      <w:r>
        <w:t xml:space="preserve">.  </w:t>
      </w:r>
      <w:r w:rsidR="00017692" w:rsidRPr="00066038">
        <w:t>PSC-</w:t>
      </w:r>
      <w:r w:rsidR="00017692">
        <w:t>07-0865</w:t>
      </w:r>
      <w:r w:rsidR="00017692" w:rsidRPr="00066038">
        <w:t>-PAA-</w:t>
      </w:r>
      <w:r w:rsidR="00017692">
        <w:t>SU</w:t>
      </w:r>
      <w:r w:rsidR="00017692" w:rsidRPr="00066038">
        <w:t>, in which</w:t>
      </w:r>
      <w:r w:rsidR="001D6D44">
        <w:t xml:space="preserve"> we</w:t>
      </w:r>
      <w:r w:rsidR="00017692" w:rsidRPr="00066038">
        <w:t xml:space="preserve"> last established rates </w:t>
      </w:r>
      <w:r w:rsidR="00017692" w:rsidRPr="00066038">
        <w:lastRenderedPageBreak/>
        <w:t>for this utility</w:t>
      </w:r>
      <w:r w:rsidR="00017692">
        <w:t>.</w:t>
      </w:r>
      <w:r w:rsidR="00017692">
        <w:rPr>
          <w:rStyle w:val="FootnoteReference"/>
        </w:rPr>
        <w:footnoteReference w:id="5"/>
      </w:r>
      <w:r w:rsidR="00017692">
        <w:t xml:space="preserve"> </w:t>
      </w:r>
      <w:r w:rsidR="001D6D44">
        <w:t>Our a</w:t>
      </w:r>
      <w:r w:rsidR="00017692" w:rsidRPr="00066038">
        <w:t>djustments are discussed below</w:t>
      </w:r>
      <w:r>
        <w:t xml:space="preserve">.  </w:t>
      </w:r>
      <w:r w:rsidR="001D6D44">
        <w:t>A</w:t>
      </w:r>
      <w:r w:rsidR="00017692" w:rsidRPr="00066038">
        <w:t xml:space="preserve">ttached </w:t>
      </w:r>
      <w:r w:rsidR="001D6D44">
        <w:t xml:space="preserve">are </w:t>
      </w:r>
      <w:r w:rsidR="00017692" w:rsidRPr="00066038">
        <w:t xml:space="preserve">accounting schedules </w:t>
      </w:r>
      <w:r w:rsidR="001D6D44">
        <w:t>stating the r</w:t>
      </w:r>
      <w:r w:rsidR="00017692" w:rsidRPr="00066038">
        <w:t>ate rate base, capital structure, and test year operating income amounts</w:t>
      </w:r>
      <w:r>
        <w:t xml:space="preserve">.  </w:t>
      </w:r>
      <w:r w:rsidR="00017692" w:rsidRPr="00066038">
        <w:t xml:space="preserve">Rate base </w:t>
      </w:r>
      <w:r w:rsidR="00017692">
        <w:t>is</w:t>
      </w:r>
      <w:r w:rsidR="00017692" w:rsidRPr="00066038">
        <w:t xml:space="preserve"> labeled as Schedule No</w:t>
      </w:r>
      <w:r>
        <w:t xml:space="preserve">. </w:t>
      </w:r>
      <w:r w:rsidR="00017692" w:rsidRPr="00066038">
        <w:t>1</w:t>
      </w:r>
      <w:r w:rsidR="00017692">
        <w:t>-A</w:t>
      </w:r>
      <w:r w:rsidR="00017692" w:rsidRPr="00066038">
        <w:t>, with the adjustments shown on Schedule No</w:t>
      </w:r>
      <w:r>
        <w:t xml:space="preserve">. </w:t>
      </w:r>
      <w:r w:rsidR="00017692" w:rsidRPr="00066038">
        <w:t>1-</w:t>
      </w:r>
      <w:r w:rsidR="00017692">
        <w:t>B</w:t>
      </w:r>
      <w:r>
        <w:t xml:space="preserve">.  </w:t>
      </w:r>
      <w:r w:rsidR="00017692" w:rsidRPr="00066038">
        <w:t>Capital structure is labeled as Schedule No</w:t>
      </w:r>
      <w:r>
        <w:t xml:space="preserve">. </w:t>
      </w:r>
      <w:r w:rsidR="00017692" w:rsidRPr="00066038">
        <w:t>2</w:t>
      </w:r>
      <w:r>
        <w:t xml:space="preserve">.  </w:t>
      </w:r>
      <w:r w:rsidR="00017692" w:rsidRPr="00066038">
        <w:t xml:space="preserve">Operating income </w:t>
      </w:r>
      <w:r w:rsidR="00017692">
        <w:t xml:space="preserve">is </w:t>
      </w:r>
      <w:r w:rsidR="00017692" w:rsidRPr="00066038">
        <w:t>labeled as Schedule No</w:t>
      </w:r>
      <w:r>
        <w:t xml:space="preserve">. </w:t>
      </w:r>
      <w:r w:rsidR="00017692" w:rsidRPr="00066038">
        <w:t>3</w:t>
      </w:r>
      <w:r w:rsidR="00017692">
        <w:t>-A</w:t>
      </w:r>
      <w:r w:rsidR="00017692" w:rsidRPr="00066038">
        <w:t>, with the adjustments shown on Schedule No</w:t>
      </w:r>
      <w:r>
        <w:t xml:space="preserve">. </w:t>
      </w:r>
      <w:r w:rsidR="00017692" w:rsidRPr="00066038">
        <w:t>3-</w:t>
      </w:r>
      <w:r w:rsidR="00017692">
        <w:t>B</w:t>
      </w:r>
      <w:r w:rsidR="00017692" w:rsidRPr="00066038">
        <w:t>.</w:t>
      </w:r>
    </w:p>
    <w:p w:rsidR="00017692" w:rsidRDefault="001D6D44" w:rsidP="00E745E0">
      <w:pPr>
        <w:pStyle w:val="BodyText"/>
        <w:spacing w:after="0"/>
        <w:jc w:val="both"/>
        <w:rPr>
          <w:u w:val="single"/>
        </w:rPr>
      </w:pPr>
      <w:r>
        <w:rPr>
          <w:rFonts w:ascii="Arial" w:hAnsi="Arial" w:cs="Arial"/>
          <w:b/>
        </w:rPr>
        <w:tab/>
      </w:r>
      <w:r>
        <w:rPr>
          <w:u w:val="single"/>
        </w:rPr>
        <w:t>Rate</w:t>
      </w:r>
      <w:r w:rsidR="0079260C">
        <w:rPr>
          <w:u w:val="single"/>
        </w:rPr>
        <w:t xml:space="preserve"> B</w:t>
      </w:r>
      <w:r>
        <w:rPr>
          <w:u w:val="single"/>
        </w:rPr>
        <w:t>ase</w:t>
      </w:r>
    </w:p>
    <w:p w:rsidR="001D6D44" w:rsidRPr="001D6D44" w:rsidRDefault="001D6D44" w:rsidP="00E745E0">
      <w:pPr>
        <w:pStyle w:val="BodyText"/>
        <w:spacing w:after="0"/>
        <w:jc w:val="both"/>
        <w:rPr>
          <w:u w:val="single"/>
        </w:rPr>
      </w:pPr>
    </w:p>
    <w:p w:rsidR="00017692" w:rsidRPr="00066038" w:rsidRDefault="001D6D44" w:rsidP="00E745E0">
      <w:pPr>
        <w:pStyle w:val="BodyText"/>
        <w:jc w:val="both"/>
      </w:pPr>
      <w:r>
        <w:tab/>
      </w:r>
      <w:r w:rsidR="00017692" w:rsidRPr="00066038">
        <w:t xml:space="preserve">Pursuant to Section 367.082(5)(b)1., F.S., the achieved rate of return for interim purposes must be calculated by applying adjustments consistent with adjustments made in the </w:t>
      </w:r>
      <w:r w:rsidR="00017692">
        <w:t>u</w:t>
      </w:r>
      <w:r w:rsidR="00017692" w:rsidRPr="00066038">
        <w:t>tility’s most recent rate proceeding</w:t>
      </w:r>
      <w:r w:rsidR="005538DD">
        <w:t xml:space="preserve">.  </w:t>
      </w:r>
    </w:p>
    <w:p w:rsidR="00017692" w:rsidRPr="003205D3" w:rsidRDefault="001D6D44" w:rsidP="00E745E0">
      <w:pPr>
        <w:pStyle w:val="BodyText"/>
        <w:jc w:val="both"/>
      </w:pPr>
      <w:r>
        <w:tab/>
      </w:r>
      <w:r w:rsidR="00017692" w:rsidRPr="003205D3">
        <w:t>Pursuant to Rule 25-30.433(2)</w:t>
      </w:r>
      <w:r w:rsidR="00017692">
        <w:t>,</w:t>
      </w:r>
      <w:r w:rsidR="00017692" w:rsidRPr="003205D3">
        <w:t xml:space="preserve"> Florida Administrative Code (F.A.C.), working capital for class B utilities shall be calculated using the formula method which is one-eighth of operation and maintenance (O&amp;M) expense</w:t>
      </w:r>
      <w:r w:rsidR="00017692">
        <w:t>s</w:t>
      </w:r>
      <w:r w:rsidR="005538DD">
        <w:t xml:space="preserve">.  </w:t>
      </w:r>
      <w:r w:rsidR="00017692">
        <w:t xml:space="preserve">Based on </w:t>
      </w:r>
      <w:r w:rsidR="00D80E8E">
        <w:t>our</w:t>
      </w:r>
      <w:r w:rsidR="00017692">
        <w:t xml:space="preserve"> adjustment of $40,787</w:t>
      </w:r>
      <w:r w:rsidR="00017692" w:rsidRPr="003205D3">
        <w:t xml:space="preserve"> to O&amp;M expenses</w:t>
      </w:r>
      <w:r w:rsidR="00017692">
        <w:t>,</w:t>
      </w:r>
      <w:r w:rsidR="00017692" w:rsidRPr="003205D3">
        <w:t xml:space="preserve"> working capital </w:t>
      </w:r>
      <w:r w:rsidR="00D80E8E">
        <w:t xml:space="preserve">was reduced </w:t>
      </w:r>
      <w:r w:rsidR="00017692" w:rsidRPr="003205D3">
        <w:t>by $</w:t>
      </w:r>
      <w:r w:rsidR="00017692">
        <w:t>5,098</w:t>
      </w:r>
      <w:r w:rsidR="005538DD">
        <w:t xml:space="preserve">.  </w:t>
      </w:r>
      <w:r w:rsidR="00017692" w:rsidRPr="003205D3">
        <w:t xml:space="preserve">Therefore, </w:t>
      </w:r>
      <w:r>
        <w:t xml:space="preserve">we find </w:t>
      </w:r>
      <w:r w:rsidR="00017692" w:rsidRPr="003205D3">
        <w:t xml:space="preserve">that </w:t>
      </w:r>
      <w:r w:rsidR="00017692">
        <w:t>Sandalhaven</w:t>
      </w:r>
      <w:r w:rsidR="00017692" w:rsidRPr="003205D3">
        <w:t>’s interim</w:t>
      </w:r>
      <w:r w:rsidR="00017692">
        <w:t xml:space="preserve"> working capital allowance </w:t>
      </w:r>
      <w:r w:rsidR="00D80E8E">
        <w:t xml:space="preserve">is </w:t>
      </w:r>
      <w:r w:rsidR="00017692">
        <w:t>$68,245</w:t>
      </w:r>
      <w:r w:rsidR="00017692" w:rsidRPr="003205D3">
        <w:t>.</w:t>
      </w:r>
    </w:p>
    <w:p w:rsidR="00017692" w:rsidRPr="00066038" w:rsidRDefault="001D6D44" w:rsidP="00E745E0">
      <w:pPr>
        <w:pStyle w:val="BodyText"/>
        <w:jc w:val="both"/>
      </w:pPr>
      <w:r>
        <w:tab/>
      </w:r>
      <w:r w:rsidR="00017692" w:rsidRPr="00066038">
        <w:t xml:space="preserve">Pursuant to Section 367.082, F.S., the method used to calculate Used and Useful (U&amp;U) in </w:t>
      </w:r>
      <w:r w:rsidR="00017692">
        <w:t>Sandalhaven</w:t>
      </w:r>
      <w:r w:rsidR="00017692" w:rsidRPr="00066038">
        <w:t>’s last rate case must be used for interim purposes</w:t>
      </w:r>
      <w:r w:rsidR="005538DD">
        <w:t xml:space="preserve">.  </w:t>
      </w:r>
      <w:r w:rsidR="00017692" w:rsidRPr="00066038">
        <w:t>In Order No</w:t>
      </w:r>
      <w:r w:rsidR="005538DD">
        <w:t xml:space="preserve">.  </w:t>
      </w:r>
      <w:r w:rsidR="00017692" w:rsidRPr="00066038">
        <w:t>PSC-</w:t>
      </w:r>
      <w:r w:rsidR="00017692">
        <w:t>07</w:t>
      </w:r>
      <w:r w:rsidR="00017692" w:rsidRPr="00066038">
        <w:t>-0</w:t>
      </w:r>
      <w:r w:rsidR="00017692">
        <w:t>865-PAA-</w:t>
      </w:r>
      <w:r w:rsidR="00017692" w:rsidRPr="00066038">
        <w:t>S</w:t>
      </w:r>
      <w:r w:rsidR="00017692">
        <w:t>U</w:t>
      </w:r>
      <w:r w:rsidR="00017692" w:rsidRPr="00066038">
        <w:t xml:space="preserve">, the Commission </w:t>
      </w:r>
      <w:r w:rsidR="00D80E8E">
        <w:t xml:space="preserve">made no U&amp;U adjustment to Sandalhaven’s wastewater treatment plant but did make used and useful adjustments to the interconnection with the Englewood Water District (EWD), a master lift station, and a force main based upon the projected usage of the EWD interconnection.  Using the same methodology with actual flow data contained in Schedule F-2, the resulting U&amp;U values are 26.54% for EWD interconnection, 7.96% for the force main, and 15.92% for the master lift station.  In addition,  </w:t>
      </w:r>
      <w:r w:rsidR="00017692" w:rsidRPr="006A68CA">
        <w:t>a non</w:t>
      </w:r>
      <w:r w:rsidR="00E10847">
        <w:t>-U&amp;U</w:t>
      </w:r>
      <w:r w:rsidR="00017692" w:rsidRPr="006A68CA">
        <w:t xml:space="preserve"> adjustment of $73,089 sh</w:t>
      </w:r>
      <w:r w:rsidR="00D80E8E">
        <w:t>all</w:t>
      </w:r>
      <w:r w:rsidR="00017692" w:rsidRPr="006A68CA">
        <w:t xml:space="preserve"> be made to reduce the land balance</w:t>
      </w:r>
      <w:r w:rsidR="005538DD">
        <w:t xml:space="preserve">.  </w:t>
      </w:r>
      <w:r w:rsidR="00017692" w:rsidRPr="006A68CA">
        <w:t xml:space="preserve">The </w:t>
      </w:r>
      <w:r w:rsidR="00017692">
        <w:t>u</w:t>
      </w:r>
      <w:r w:rsidR="00017692" w:rsidRPr="006A68CA">
        <w:t>tility made this adjustment in its MFRs for final rates, but overlooked this adjustment in its calculation of rate base for interim rates</w:t>
      </w:r>
      <w:r w:rsidR="005538DD">
        <w:t xml:space="preserve">.  </w:t>
      </w:r>
      <w:r w:rsidR="00017692" w:rsidRPr="006A68CA">
        <w:t>This adjustment is consistent with the methodology used in Sandalhaven’s last rate case</w:t>
      </w:r>
      <w:r w:rsidR="005538DD">
        <w:t xml:space="preserve">.  </w:t>
      </w:r>
      <w:r w:rsidR="00017692">
        <w:t>No other</w:t>
      </w:r>
      <w:r w:rsidR="00017692" w:rsidRPr="00066038">
        <w:t xml:space="preserve"> U&amp;U adjustments are necessary for interim purposes.</w:t>
      </w:r>
    </w:p>
    <w:p w:rsidR="00017692" w:rsidRPr="00066038" w:rsidRDefault="00D80E8E" w:rsidP="00E745E0">
      <w:pPr>
        <w:pStyle w:val="BodyText"/>
        <w:jc w:val="both"/>
      </w:pPr>
      <w:r>
        <w:tab/>
      </w:r>
      <w:r w:rsidR="00017692" w:rsidRPr="00066038">
        <w:t xml:space="preserve">Based on the above, </w:t>
      </w:r>
      <w:r>
        <w:t xml:space="preserve">we find that </w:t>
      </w:r>
      <w:r w:rsidR="00017692">
        <w:t>Sandalhaven</w:t>
      </w:r>
      <w:r w:rsidR="00017692" w:rsidRPr="00066038">
        <w:t xml:space="preserve">’s </w:t>
      </w:r>
      <w:r w:rsidR="00017692">
        <w:t>wastewater</w:t>
      </w:r>
      <w:r w:rsidR="00017692" w:rsidRPr="00066038">
        <w:t xml:space="preserve"> rate base</w:t>
      </w:r>
      <w:r w:rsidR="00017692">
        <w:t xml:space="preserve"> for interim purposes</w:t>
      </w:r>
      <w:r w:rsidR="00017692" w:rsidRPr="00066038">
        <w:t xml:space="preserve"> is $</w:t>
      </w:r>
      <w:r w:rsidR="00017692">
        <w:t>6</w:t>
      </w:r>
      <w:r>
        <w:t>78,176</w:t>
      </w:r>
      <w:r w:rsidR="00017692" w:rsidRPr="00066038">
        <w:t>.</w:t>
      </w:r>
    </w:p>
    <w:p w:rsidR="00D80E8E" w:rsidRPr="00D80E8E" w:rsidRDefault="00D80E8E" w:rsidP="00E745E0">
      <w:pPr>
        <w:pStyle w:val="BodyText"/>
        <w:jc w:val="both"/>
        <w:rPr>
          <w:u w:val="single"/>
        </w:rPr>
      </w:pPr>
      <w:r>
        <w:tab/>
      </w:r>
      <w:r>
        <w:rPr>
          <w:u w:val="single"/>
        </w:rPr>
        <w:t>Cost of Capital</w:t>
      </w:r>
    </w:p>
    <w:p w:rsidR="00017692" w:rsidRDefault="00D80E8E" w:rsidP="00E745E0">
      <w:pPr>
        <w:pStyle w:val="BodyText"/>
        <w:jc w:val="both"/>
      </w:pPr>
      <w:r>
        <w:tab/>
      </w:r>
      <w:r w:rsidR="00017692" w:rsidRPr="0033332B">
        <w:t xml:space="preserve">In its MFRs, Sandalhaven requested a weighted average cost of capital of 10.21 percent based on a return on common equity </w:t>
      </w:r>
      <w:r w:rsidR="00017692">
        <w:t xml:space="preserve">(ROE) </w:t>
      </w:r>
      <w:r w:rsidR="00017692" w:rsidRPr="0033332B">
        <w:t>of 11.00 percent</w:t>
      </w:r>
      <w:r w:rsidR="00017692">
        <w:t xml:space="preserve"> and an equity ratio of 57.57 percent</w:t>
      </w:r>
      <w:r w:rsidR="005538DD">
        <w:t xml:space="preserve">.  </w:t>
      </w:r>
      <w:r w:rsidR="00017692">
        <w:t>While the 11.00 percent ROE is appropriate in this instance, b</w:t>
      </w:r>
      <w:r w:rsidR="00017692" w:rsidRPr="00C420C9">
        <w:t xml:space="preserve">ased on an analysis of the MFRs and </w:t>
      </w:r>
      <w:r>
        <w:t xml:space="preserve">our </w:t>
      </w:r>
      <w:r w:rsidR="00017692" w:rsidRPr="00C420C9">
        <w:t>review of Order No</w:t>
      </w:r>
      <w:r w:rsidR="005538DD">
        <w:t xml:space="preserve">.  </w:t>
      </w:r>
      <w:r w:rsidR="00017692" w:rsidRPr="00C420C9">
        <w:t>PSC-</w:t>
      </w:r>
      <w:r w:rsidR="00017692">
        <w:t>07</w:t>
      </w:r>
      <w:r w:rsidR="00017692" w:rsidRPr="00C420C9">
        <w:t>-0</w:t>
      </w:r>
      <w:r w:rsidR="00017692">
        <w:t>865</w:t>
      </w:r>
      <w:r w:rsidR="00017692" w:rsidRPr="00C420C9">
        <w:t>-PAA-</w:t>
      </w:r>
      <w:r w:rsidR="00017692">
        <w:t>SU</w:t>
      </w:r>
      <w:r w:rsidR="00017692" w:rsidRPr="00C420C9">
        <w:t xml:space="preserve">, </w:t>
      </w:r>
      <w:r>
        <w:t xml:space="preserve">we find that </w:t>
      </w:r>
      <w:r w:rsidR="00017692" w:rsidRPr="00C420C9">
        <w:t xml:space="preserve">an adjustment to the </w:t>
      </w:r>
      <w:r w:rsidR="00017692">
        <w:t>u</w:t>
      </w:r>
      <w:r w:rsidR="00017692" w:rsidRPr="00C420C9">
        <w:t>tility’s capital structure</w:t>
      </w:r>
      <w:r w:rsidR="00017692">
        <w:t xml:space="preserve"> and weighted average cost of capital is necessary</w:t>
      </w:r>
      <w:r w:rsidR="005538DD">
        <w:t xml:space="preserve">.  </w:t>
      </w:r>
    </w:p>
    <w:p w:rsidR="00270A77" w:rsidRPr="00C420C9" w:rsidRDefault="00D80E8E" w:rsidP="00E745E0">
      <w:pPr>
        <w:pStyle w:val="BodyText"/>
        <w:jc w:val="both"/>
        <w:rPr>
          <w:u w:val="single"/>
        </w:rPr>
      </w:pPr>
      <w:r>
        <w:tab/>
      </w:r>
      <w:r w:rsidR="00017692" w:rsidRPr="00B805B9">
        <w:t xml:space="preserve">On MFR Schedule D-2 for interim, the </w:t>
      </w:r>
      <w:r w:rsidR="00017692">
        <w:t>u</w:t>
      </w:r>
      <w:r w:rsidR="00017692" w:rsidRPr="00B805B9">
        <w:t>tility reflected a negative amount of $</w:t>
      </w:r>
      <w:r w:rsidR="00017692">
        <w:t>540,800</w:t>
      </w:r>
      <w:r w:rsidR="00017692" w:rsidRPr="00B805B9">
        <w:t xml:space="preserve"> for </w:t>
      </w:r>
      <w:r w:rsidR="00017692">
        <w:t>accumulated deferred income taxes (</w:t>
      </w:r>
      <w:r w:rsidR="00017692" w:rsidRPr="00B805B9">
        <w:t>ADITs</w:t>
      </w:r>
      <w:r w:rsidR="00017692">
        <w:t>) in the capital structure</w:t>
      </w:r>
      <w:r w:rsidR="005538DD">
        <w:t xml:space="preserve">.  </w:t>
      </w:r>
      <w:r w:rsidR="00017692">
        <w:t>In Sandalhaven’s last rate case, the debit ADITs from taxes paid on plant capacity charges (Def Tax Tap Fee Post 2000) and the credit ADITs for acquisition costs (Orgn Exp) were disallowed for ratemaking purposes</w:t>
      </w:r>
      <w:r w:rsidR="005538DD">
        <w:t xml:space="preserve">.  </w:t>
      </w:r>
      <w:r w:rsidR="00017692" w:rsidRPr="00C420C9">
        <w:t xml:space="preserve">Accordingly, </w:t>
      </w:r>
      <w:r>
        <w:t>we find t</w:t>
      </w:r>
      <w:r w:rsidR="00017692" w:rsidRPr="00C420C9">
        <w:t>hat the debit ADIT</w:t>
      </w:r>
      <w:r w:rsidR="00017692">
        <w:t>s</w:t>
      </w:r>
      <w:r w:rsidR="00017692" w:rsidRPr="00C420C9">
        <w:t xml:space="preserve"> </w:t>
      </w:r>
      <w:r w:rsidR="00017692">
        <w:t xml:space="preserve">for Tap Fees of $618,138 and the credit </w:t>
      </w:r>
      <w:r w:rsidR="00017692">
        <w:lastRenderedPageBreak/>
        <w:t xml:space="preserve">ADITs for acquisition costs of $35,048 </w:t>
      </w:r>
      <w:r>
        <w:t>sh</w:t>
      </w:r>
      <w:r w:rsidR="000B0E05">
        <w:t>all</w:t>
      </w:r>
      <w:r>
        <w:t xml:space="preserve"> </w:t>
      </w:r>
      <w:r w:rsidR="00017692">
        <w:t>be removed from the debit ADIT balance of $540,800</w:t>
      </w:r>
      <w:r w:rsidR="005538DD">
        <w:t xml:space="preserve">.  </w:t>
      </w:r>
      <w:r w:rsidR="00270A77">
        <w:t>In addition, an adjustment of $2,235 sh</w:t>
      </w:r>
      <w:r w:rsidR="000B0E05">
        <w:t>all</w:t>
      </w:r>
      <w:r w:rsidR="00270A77">
        <w:t xml:space="preserve"> be made to reduce the credit ADIT balance to reflect the appropriate non-used and useful credit ADITs  related to the EWD Impact Fees, main lift station, and force main.  The net adjustment if $580,855 ($618,800 - $35,048 - $2,235) which results in a positive ADIT blance of $40,055 in the capital structure.</w:t>
      </w:r>
    </w:p>
    <w:p w:rsidR="00017692" w:rsidRPr="00066038" w:rsidRDefault="00270A77" w:rsidP="00E745E0">
      <w:pPr>
        <w:pStyle w:val="BodyText"/>
        <w:jc w:val="both"/>
        <w:rPr>
          <w:u w:val="single"/>
        </w:rPr>
      </w:pPr>
      <w:r>
        <w:tab/>
      </w:r>
      <w:r w:rsidR="00017692">
        <w:t>The adjustment to the ADIT balance in the capital structure yields an equity ratio of 4</w:t>
      </w:r>
      <w:r>
        <w:t>6.35</w:t>
      </w:r>
      <w:r w:rsidR="00017692">
        <w:t xml:space="preserve"> percent and an overall weighted average cost of capital of 8.</w:t>
      </w:r>
      <w:r>
        <w:t>24</w:t>
      </w:r>
      <w:r w:rsidR="00017692">
        <w:t xml:space="preserve"> percent</w:t>
      </w:r>
      <w:r w:rsidR="005538DD">
        <w:t xml:space="preserve">.  </w:t>
      </w:r>
      <w:r w:rsidR="00017692">
        <w:t>Accordingly</w:t>
      </w:r>
      <w:r w:rsidR="00017692" w:rsidRPr="00066038">
        <w:t xml:space="preserve">, </w:t>
      </w:r>
      <w:r>
        <w:t xml:space="preserve">we find </w:t>
      </w:r>
      <w:r w:rsidR="00017692" w:rsidRPr="00066038">
        <w:t>that the appropriate</w:t>
      </w:r>
      <w:r w:rsidR="00017692">
        <w:t xml:space="preserve"> </w:t>
      </w:r>
      <w:r w:rsidR="00017692" w:rsidRPr="00066038">
        <w:t xml:space="preserve">weighted average cost of capital </w:t>
      </w:r>
      <w:r w:rsidR="00017692">
        <w:t xml:space="preserve">for interim purposes </w:t>
      </w:r>
      <w:r w:rsidR="00017692" w:rsidRPr="00066038">
        <w:t xml:space="preserve">is </w:t>
      </w:r>
      <w:r w:rsidR="00017692">
        <w:t>8.</w:t>
      </w:r>
      <w:r>
        <w:t>24</w:t>
      </w:r>
      <w:r w:rsidR="00017692" w:rsidRPr="00066038">
        <w:t xml:space="preserve"> percent.</w:t>
      </w:r>
    </w:p>
    <w:p w:rsidR="00270A77" w:rsidRPr="00270A77" w:rsidRDefault="00270A77" w:rsidP="00E745E0">
      <w:pPr>
        <w:pStyle w:val="BodyText"/>
        <w:jc w:val="both"/>
        <w:rPr>
          <w:u w:val="single"/>
        </w:rPr>
      </w:pPr>
      <w:r>
        <w:tab/>
      </w:r>
      <w:r>
        <w:rPr>
          <w:u w:val="single"/>
        </w:rPr>
        <w:t>Net Operating Income</w:t>
      </w:r>
    </w:p>
    <w:p w:rsidR="00017692" w:rsidRPr="00066038" w:rsidRDefault="00270A77" w:rsidP="00E745E0">
      <w:pPr>
        <w:pStyle w:val="BodyText"/>
        <w:jc w:val="both"/>
      </w:pPr>
      <w:r>
        <w:tab/>
      </w:r>
      <w:r w:rsidR="00017692" w:rsidRPr="00066038">
        <w:t xml:space="preserve">To attain the appropriate amount of interim test year operating revenues, </w:t>
      </w:r>
      <w:r>
        <w:t>we have</w:t>
      </w:r>
      <w:r w:rsidR="00017692" w:rsidRPr="00066038">
        <w:t xml:space="preserve"> removed the </w:t>
      </w:r>
      <w:r w:rsidR="00017692">
        <w:t>u</w:t>
      </w:r>
      <w:r w:rsidR="00017692" w:rsidRPr="00066038">
        <w:t>tility’s requested interim revenue increase of $</w:t>
      </w:r>
      <w:r w:rsidR="00017692">
        <w:t xml:space="preserve">724,062 </w:t>
      </w:r>
      <w:r w:rsidR="00017692" w:rsidRPr="00066038">
        <w:t xml:space="preserve">for </w:t>
      </w:r>
      <w:r w:rsidR="00017692">
        <w:t>wastewater</w:t>
      </w:r>
      <w:r w:rsidR="005538DD">
        <w:t xml:space="preserve">.  </w:t>
      </w:r>
      <w:r w:rsidR="00017692" w:rsidRPr="00055963">
        <w:t>Also, the utility did not use the wastewater gallons at its tariffed gallonage cap when determining the interim test year operating revenues</w:t>
      </w:r>
      <w:r w:rsidR="005538DD">
        <w:t xml:space="preserve">.  </w:t>
      </w:r>
      <w:r>
        <w:t xml:space="preserve">We have </w:t>
      </w:r>
      <w:r w:rsidR="00017692">
        <w:t xml:space="preserve">further </w:t>
      </w:r>
      <w:r w:rsidR="00017692" w:rsidRPr="00055963">
        <w:t>decreased the interim test</w:t>
      </w:r>
      <w:r w:rsidR="00017692">
        <w:t xml:space="preserve"> </w:t>
      </w:r>
      <w:r w:rsidR="00017692" w:rsidRPr="00055963">
        <w:t>year operating revenues by $12,199 to reflect the appropriate interim operating revenues using the wastewater gallons at the appropriate gallonage cap</w:t>
      </w:r>
      <w:r w:rsidR="005538DD">
        <w:t xml:space="preserve">.  </w:t>
      </w:r>
      <w:r w:rsidR="00017692" w:rsidRPr="00066038">
        <w:t xml:space="preserve">Pursuant to Section 367.082(5)(b)1., F.S., the achieved rate of return for interim purposes must be calculated by applying adjustments consistent with adjustments made in the </w:t>
      </w:r>
      <w:r w:rsidR="00017692">
        <w:t>u</w:t>
      </w:r>
      <w:r w:rsidR="00017692" w:rsidRPr="00066038">
        <w:t>tility’s most recent rate proceeding and annualizing any rate changes</w:t>
      </w:r>
      <w:r w:rsidR="005538DD">
        <w:t xml:space="preserve">.  </w:t>
      </w:r>
      <w:r w:rsidR="00017692" w:rsidRPr="00066038">
        <w:t xml:space="preserve">Based on </w:t>
      </w:r>
      <w:r>
        <w:t>our</w:t>
      </w:r>
      <w:r w:rsidR="00017692" w:rsidRPr="00066038">
        <w:t xml:space="preserve"> review, several adjustments to operation and maintenance (O&amp;M) expenses</w:t>
      </w:r>
      <w:r w:rsidR="00017692">
        <w:t xml:space="preserve"> </w:t>
      </w:r>
      <w:r w:rsidR="00017692" w:rsidRPr="00066038">
        <w:t>are necessary for interim purposes</w:t>
      </w:r>
      <w:r w:rsidR="005538DD">
        <w:t xml:space="preserve">.  </w:t>
      </w:r>
    </w:p>
    <w:p w:rsidR="00017692" w:rsidRDefault="00270A77" w:rsidP="00E745E0">
      <w:pPr>
        <w:pStyle w:val="BodyText"/>
        <w:jc w:val="both"/>
      </w:pPr>
      <w:r>
        <w:tab/>
      </w:r>
      <w:r w:rsidR="00017692">
        <w:t>First</w:t>
      </w:r>
      <w:r w:rsidR="00017692" w:rsidRPr="00066038">
        <w:t xml:space="preserve">, </w:t>
      </w:r>
      <w:r w:rsidR="00017692">
        <w:t>Sandalhaven</w:t>
      </w:r>
      <w:r w:rsidR="00017692" w:rsidRPr="00066038">
        <w:t xml:space="preserve"> included an adjustment to increase </w:t>
      </w:r>
      <w:r w:rsidR="00017692">
        <w:t>the amortization of deferred charges included in miscellaneous expenses by $1,798 to annualize test year additions</w:t>
      </w:r>
      <w:r w:rsidR="005538DD">
        <w:t xml:space="preserve">.  </w:t>
      </w:r>
      <w:r>
        <w:t xml:space="preserve">We find that </w:t>
      </w:r>
      <w:r w:rsidR="00017692" w:rsidRPr="00066038">
        <w:t xml:space="preserve">the </w:t>
      </w:r>
      <w:r w:rsidR="00017692">
        <w:t>u</w:t>
      </w:r>
      <w:r w:rsidR="00017692" w:rsidRPr="00066038">
        <w:t xml:space="preserve">tility’s proposed adjustment </w:t>
      </w:r>
      <w:r w:rsidR="00017692">
        <w:t>is</w:t>
      </w:r>
      <w:r w:rsidR="00017692" w:rsidRPr="00066038">
        <w:t xml:space="preserve"> pro forma because </w:t>
      </w:r>
      <w:r w:rsidR="00017692">
        <w:t>it is</w:t>
      </w:r>
      <w:r w:rsidR="00017692" w:rsidRPr="00066038">
        <w:t xml:space="preserve"> outside the interim historic test year</w:t>
      </w:r>
      <w:r w:rsidR="00017692">
        <w:t>,</w:t>
      </w:r>
      <w:r w:rsidR="00017692" w:rsidRPr="00066038">
        <w:t xml:space="preserve"> and that </w:t>
      </w:r>
      <w:r w:rsidR="000B0E05">
        <w:t xml:space="preserve">it is appropriate to </w:t>
      </w:r>
      <w:r w:rsidR="00017692" w:rsidRPr="00066038">
        <w:t>remove</w:t>
      </w:r>
      <w:r w:rsidR="000B0E05">
        <w:t xml:space="preserve"> the adjustment</w:t>
      </w:r>
      <w:r w:rsidR="00017692" w:rsidRPr="00066038">
        <w:t xml:space="preserve"> from the interim net</w:t>
      </w:r>
      <w:r w:rsidR="00017692">
        <w:t xml:space="preserve"> operating income calculation.</w:t>
      </w:r>
    </w:p>
    <w:p w:rsidR="00017692" w:rsidRPr="001C7DB2" w:rsidRDefault="00E03DAF" w:rsidP="00E745E0">
      <w:pPr>
        <w:pStyle w:val="BodyText"/>
        <w:jc w:val="both"/>
      </w:pPr>
      <w:r>
        <w:tab/>
      </w:r>
      <w:r w:rsidR="00017692">
        <w:t xml:space="preserve">Second, using the same methodology in the last rate case for excessive inflow and infiltration (excessive I&amp;I), </w:t>
      </w:r>
      <w:r>
        <w:t xml:space="preserve">we find that </w:t>
      </w:r>
      <w:r w:rsidR="00017692">
        <w:t>excessive I&amp;I is 20.16 percent</w:t>
      </w:r>
      <w:r w:rsidR="005538DD">
        <w:t xml:space="preserve">.  </w:t>
      </w:r>
      <w:r w:rsidR="00017692" w:rsidRPr="001C7DB2">
        <w:t>The process for determining excessive I&amp;I involves the following steps:</w:t>
      </w:r>
    </w:p>
    <w:p w:rsidR="00017692" w:rsidRPr="001C7DB2" w:rsidRDefault="00017692" w:rsidP="00E745E0">
      <w:pPr>
        <w:pStyle w:val="BodyText"/>
        <w:numPr>
          <w:ilvl w:val="0"/>
          <w:numId w:val="2"/>
        </w:numPr>
        <w:spacing w:after="240"/>
        <w:jc w:val="both"/>
      </w:pPr>
      <w:r w:rsidRPr="001C7DB2">
        <w:t xml:space="preserve">Calculate the infiltration allowance using the pipe sizes and lengths provided in the </w:t>
      </w:r>
      <w:r>
        <w:t>u</w:t>
      </w:r>
      <w:r w:rsidRPr="001C7DB2">
        <w:t xml:space="preserve">tility’s MFRs, and add to it the allowable inflow based on the flows reported by the </w:t>
      </w:r>
      <w:r>
        <w:t>u</w:t>
      </w:r>
      <w:r w:rsidRPr="001C7DB2">
        <w:t xml:space="preserve">tility, to obtain the </w:t>
      </w:r>
      <w:r w:rsidRPr="00055963">
        <w:t>total allowable I&amp;I</w:t>
      </w:r>
      <w:r w:rsidRPr="001C7DB2">
        <w:t>.</w:t>
      </w:r>
    </w:p>
    <w:p w:rsidR="00017692" w:rsidRPr="001C7DB2" w:rsidRDefault="00017692" w:rsidP="00E745E0">
      <w:pPr>
        <w:pStyle w:val="BodyText"/>
        <w:numPr>
          <w:ilvl w:val="0"/>
          <w:numId w:val="2"/>
        </w:numPr>
        <w:spacing w:after="240"/>
        <w:jc w:val="both"/>
      </w:pPr>
      <w:r w:rsidRPr="001C7DB2">
        <w:t xml:space="preserve">Calculate the </w:t>
      </w:r>
      <w:r w:rsidRPr="00055963">
        <w:t>estimated returns</w:t>
      </w:r>
      <w:r w:rsidRPr="001C7DB2">
        <w:t xml:space="preserve"> at 80 percent of the residential water gallons sold plus 90 percent of the non-residential water gallons sold</w:t>
      </w:r>
      <w:r w:rsidR="005538DD">
        <w:t xml:space="preserve">.  </w:t>
      </w:r>
      <w:r w:rsidRPr="001C7DB2">
        <w:t xml:space="preserve"> </w:t>
      </w:r>
    </w:p>
    <w:p w:rsidR="00017692" w:rsidRPr="001C7DB2" w:rsidRDefault="00017692" w:rsidP="00E745E0">
      <w:pPr>
        <w:pStyle w:val="BodyText"/>
        <w:numPr>
          <w:ilvl w:val="0"/>
          <w:numId w:val="2"/>
        </w:numPr>
        <w:spacing w:after="240"/>
        <w:jc w:val="both"/>
      </w:pPr>
      <w:r w:rsidRPr="001C7DB2">
        <w:t xml:space="preserve">Subtract the estimated returns from the amount of wastewater treated to get the </w:t>
      </w:r>
      <w:r w:rsidRPr="00055963">
        <w:t>estimated I&amp;I</w:t>
      </w:r>
      <w:r w:rsidR="005538DD">
        <w:t xml:space="preserve">.  </w:t>
      </w:r>
      <w:r w:rsidRPr="001C7DB2">
        <w:t xml:space="preserve"> </w:t>
      </w:r>
    </w:p>
    <w:p w:rsidR="00017692" w:rsidRPr="001C7DB2" w:rsidRDefault="00017692" w:rsidP="00E745E0">
      <w:pPr>
        <w:pStyle w:val="BodyText"/>
        <w:numPr>
          <w:ilvl w:val="0"/>
          <w:numId w:val="2"/>
        </w:numPr>
        <w:spacing w:after="240"/>
        <w:jc w:val="both"/>
      </w:pPr>
      <w:r w:rsidRPr="001C7DB2">
        <w:t xml:space="preserve">Subtract the total allowable I&amp;I from the estimated I&amp;I to yield the </w:t>
      </w:r>
      <w:r w:rsidRPr="00055963">
        <w:t>excessive I&amp;I</w:t>
      </w:r>
      <w:r w:rsidR="005538DD">
        <w:t xml:space="preserve">.  </w:t>
      </w:r>
      <w:r w:rsidRPr="001C7DB2">
        <w:t xml:space="preserve"> </w:t>
      </w:r>
    </w:p>
    <w:p w:rsidR="00017692" w:rsidRPr="00066038" w:rsidRDefault="00E03DAF" w:rsidP="00E745E0">
      <w:pPr>
        <w:pStyle w:val="BodyText"/>
        <w:jc w:val="both"/>
      </w:pPr>
      <w:r>
        <w:tab/>
      </w:r>
      <w:r w:rsidR="00017692" w:rsidRPr="001C7DB2">
        <w:t xml:space="preserve">Using this process in the last rate case, </w:t>
      </w:r>
      <w:r>
        <w:t xml:space="preserve">there was </w:t>
      </w:r>
      <w:r w:rsidR="00017692" w:rsidRPr="001C7DB2">
        <w:t>no excessive I&amp;I</w:t>
      </w:r>
      <w:r w:rsidR="005538DD">
        <w:t xml:space="preserve">.  </w:t>
      </w:r>
      <w:r w:rsidR="00017692" w:rsidRPr="001C7DB2">
        <w:t xml:space="preserve">However, in the instant docket, using the data provided by the </w:t>
      </w:r>
      <w:r w:rsidR="00017692">
        <w:t>u</w:t>
      </w:r>
      <w:r w:rsidR="00017692" w:rsidRPr="001C7DB2">
        <w:t xml:space="preserve">tility in its MFRs, </w:t>
      </w:r>
      <w:r>
        <w:t>we have</w:t>
      </w:r>
      <w:r w:rsidR="00017692" w:rsidRPr="001C7DB2">
        <w:t xml:space="preserve"> calculated the excessive I&amp;I stated above</w:t>
      </w:r>
      <w:r w:rsidR="005538DD">
        <w:t xml:space="preserve">.  </w:t>
      </w:r>
      <w:r>
        <w:t xml:space="preserve">This </w:t>
      </w:r>
      <w:r w:rsidR="00017692" w:rsidRPr="001C7DB2">
        <w:t xml:space="preserve">result differs from that of the </w:t>
      </w:r>
      <w:r w:rsidR="00017692">
        <w:t>u</w:t>
      </w:r>
      <w:r w:rsidR="00017692" w:rsidRPr="001C7DB2">
        <w:t>tility as reported on Schedule F-6 of the MFRs due to an apparent error on line 14 of Schedule F-6</w:t>
      </w:r>
      <w:r w:rsidR="005538DD">
        <w:t xml:space="preserve">.  </w:t>
      </w:r>
      <w:r w:rsidR="00017692">
        <w:t xml:space="preserve">Consistent with </w:t>
      </w:r>
      <w:r>
        <w:t xml:space="preserve">our </w:t>
      </w:r>
      <w:r w:rsidR="00017692">
        <w:t xml:space="preserve">prior </w:t>
      </w:r>
      <w:r w:rsidR="00017692">
        <w:lastRenderedPageBreak/>
        <w:t xml:space="preserve">practice, </w:t>
      </w:r>
      <w:r>
        <w:t>we find that</w:t>
      </w:r>
      <w:r w:rsidR="00017692">
        <w:t xml:space="preserve"> an adjustment sh</w:t>
      </w:r>
      <w:r w:rsidR="00E10847">
        <w:t>all</w:t>
      </w:r>
      <w:r w:rsidR="00017692">
        <w:t xml:space="preserve"> be made to reduce the chemicals, purchased power, and purchased sewage treatment expenses by 20.16 percent</w:t>
      </w:r>
      <w:r w:rsidR="005538DD">
        <w:t xml:space="preserve">.  </w:t>
      </w:r>
      <w:r w:rsidR="00017692">
        <w:t xml:space="preserve">Accordingly, </w:t>
      </w:r>
      <w:r>
        <w:t>we find that</w:t>
      </w:r>
      <w:r w:rsidR="00017692">
        <w:t xml:space="preserve"> Chemicals Expense </w:t>
      </w:r>
      <w:r>
        <w:t xml:space="preserve">shall </w:t>
      </w:r>
      <w:r w:rsidR="00017692">
        <w:t xml:space="preserve">be reduced by $664, Purchased Power Expense </w:t>
      </w:r>
      <w:r>
        <w:t xml:space="preserve">shall </w:t>
      </w:r>
      <w:r w:rsidR="00017692">
        <w:t xml:space="preserve">be reduced by $4,199, and Purchased Sewage Treatment </w:t>
      </w:r>
      <w:r>
        <w:t xml:space="preserve">shall </w:t>
      </w:r>
      <w:r w:rsidR="00017692">
        <w:t>be reduced by $34,126, for a total reduction of $38,989.</w:t>
      </w:r>
    </w:p>
    <w:p w:rsidR="00017692" w:rsidRDefault="00E03DAF" w:rsidP="00E745E0">
      <w:pPr>
        <w:pStyle w:val="BodyText"/>
        <w:jc w:val="both"/>
      </w:pPr>
      <w:r>
        <w:tab/>
      </w:r>
      <w:r w:rsidR="00017692">
        <w:t>Third</w:t>
      </w:r>
      <w:r w:rsidR="00017692" w:rsidRPr="00066038">
        <w:t xml:space="preserve">, </w:t>
      </w:r>
      <w:r>
        <w:t xml:space="preserve">we have made </w:t>
      </w:r>
      <w:r w:rsidR="00017692" w:rsidRPr="00066038">
        <w:t xml:space="preserve">adjustments to </w:t>
      </w:r>
      <w:r w:rsidR="00017692">
        <w:t>taxes other than income (</w:t>
      </w:r>
      <w:r w:rsidR="00017692" w:rsidRPr="00066038">
        <w:t>TOTI</w:t>
      </w:r>
      <w:r w:rsidR="00017692">
        <w:t>)</w:t>
      </w:r>
      <w:r w:rsidR="00017692" w:rsidRPr="00066038">
        <w:t xml:space="preserve"> to reflect the </w:t>
      </w:r>
      <w:r>
        <w:t xml:space="preserve">change in property taxes associated with the U&amp;U adjustments, </w:t>
      </w:r>
      <w:r w:rsidR="00017692" w:rsidRPr="00066038">
        <w:t>revenue and O&amp;M</w:t>
      </w:r>
      <w:r w:rsidR="00017692">
        <w:t xml:space="preserve"> expense</w:t>
      </w:r>
      <w:r w:rsidR="00017692" w:rsidRPr="00066038">
        <w:t xml:space="preserve"> adjustments cited above</w:t>
      </w:r>
      <w:r w:rsidR="005538DD">
        <w:t xml:space="preserve">.  </w:t>
      </w:r>
      <w:r>
        <w:t xml:space="preserve">Further, we have </w:t>
      </w:r>
      <w:r w:rsidR="00017692" w:rsidRPr="00066038">
        <w:t xml:space="preserve">reduced the </w:t>
      </w:r>
      <w:r w:rsidR="00017692">
        <w:t>regulatory assessment fees (</w:t>
      </w:r>
      <w:r w:rsidR="00017692" w:rsidRPr="00066038">
        <w:t>RAFs</w:t>
      </w:r>
      <w:r w:rsidR="00017692">
        <w:t>)</w:t>
      </w:r>
      <w:r w:rsidR="00017692" w:rsidRPr="00066038">
        <w:t xml:space="preserve"> </w:t>
      </w:r>
      <w:r w:rsidR="00017692">
        <w:t>by</w:t>
      </w:r>
      <w:r w:rsidR="00017692" w:rsidRPr="00066038">
        <w:t xml:space="preserve"> $</w:t>
      </w:r>
      <w:r w:rsidR="00017692">
        <w:t>33,132</w:t>
      </w:r>
      <w:r w:rsidR="00017692" w:rsidRPr="00066038">
        <w:t xml:space="preserve"> to reflect the removal of the </w:t>
      </w:r>
      <w:r w:rsidR="00017692">
        <w:t>u</w:t>
      </w:r>
      <w:r w:rsidR="00017692" w:rsidRPr="00066038">
        <w:t>tility’s requested revenue increase</w:t>
      </w:r>
      <w:r w:rsidR="005538DD">
        <w:t xml:space="preserve">.  </w:t>
      </w:r>
    </w:p>
    <w:p w:rsidR="00017692" w:rsidRDefault="00E03DAF" w:rsidP="00E745E0">
      <w:pPr>
        <w:pStyle w:val="BodyText"/>
        <w:jc w:val="both"/>
      </w:pPr>
      <w:r>
        <w:tab/>
      </w:r>
      <w:r w:rsidR="00017692" w:rsidRPr="00066038">
        <w:t xml:space="preserve">Based on the above, </w:t>
      </w:r>
      <w:r>
        <w:t xml:space="preserve">we find </w:t>
      </w:r>
      <w:r w:rsidR="00017692" w:rsidRPr="00066038">
        <w:t xml:space="preserve">that the appropriate test year operating </w:t>
      </w:r>
      <w:r w:rsidR="00017692">
        <w:t>loss</w:t>
      </w:r>
      <w:r w:rsidR="00017692" w:rsidRPr="00066038">
        <w:t xml:space="preserve">, before any interim revenue increase, is </w:t>
      </w:r>
      <w:r w:rsidR="00017692">
        <w:t>$</w:t>
      </w:r>
      <w:r>
        <w:t>15,361</w:t>
      </w:r>
      <w:r w:rsidR="00017692">
        <w:t>.</w:t>
      </w:r>
    </w:p>
    <w:p w:rsidR="00E03DAF" w:rsidRPr="00E03DAF" w:rsidRDefault="00E03DAF" w:rsidP="00E745E0">
      <w:pPr>
        <w:jc w:val="both"/>
        <w:rPr>
          <w:u w:val="single"/>
        </w:rPr>
      </w:pPr>
      <w:r>
        <w:tab/>
      </w:r>
      <w:r w:rsidRPr="00E03DAF">
        <w:rPr>
          <w:u w:val="single"/>
        </w:rPr>
        <w:t>Revenue Requirement</w:t>
      </w:r>
    </w:p>
    <w:p w:rsidR="00E03DAF" w:rsidRDefault="00E03DAF" w:rsidP="00E745E0">
      <w:pPr>
        <w:pStyle w:val="BodyText"/>
        <w:spacing w:after="0"/>
        <w:jc w:val="both"/>
      </w:pPr>
    </w:p>
    <w:p w:rsidR="00017692" w:rsidRDefault="00E03DAF" w:rsidP="00E745E0">
      <w:pPr>
        <w:pStyle w:val="BodyText"/>
        <w:spacing w:after="0"/>
        <w:jc w:val="both"/>
      </w:pPr>
      <w:r>
        <w:tab/>
      </w:r>
      <w:r w:rsidR="00017692" w:rsidRPr="0058557F">
        <w:t xml:space="preserve">Based on the above adjustments, </w:t>
      </w:r>
      <w:r>
        <w:t xml:space="preserve">we hereby establish a </w:t>
      </w:r>
      <w:r w:rsidR="00017692" w:rsidRPr="0058557F">
        <w:t>revenue requirement of $</w:t>
      </w:r>
      <w:r>
        <w:t>788,590</w:t>
      </w:r>
      <w:r w:rsidR="005538DD">
        <w:t xml:space="preserve">.  </w:t>
      </w:r>
      <w:r w:rsidR="00017692" w:rsidRPr="0058557F">
        <w:t xml:space="preserve">This represents </w:t>
      </w:r>
      <w:r w:rsidR="00017692">
        <w:t xml:space="preserve">an </w:t>
      </w:r>
      <w:r w:rsidR="00017692" w:rsidRPr="0058557F">
        <w:t>interim increase in annual revenues of $</w:t>
      </w:r>
      <w:r>
        <w:t>119,553 or 17.87</w:t>
      </w:r>
      <w:r w:rsidR="00017692">
        <w:t xml:space="preserve"> percent.</w:t>
      </w:r>
    </w:p>
    <w:p w:rsidR="00E03DAF" w:rsidRDefault="00E03DAF" w:rsidP="00E745E0">
      <w:pPr>
        <w:pStyle w:val="BodyText"/>
        <w:spacing w:after="0"/>
        <w:jc w:val="both"/>
      </w:pPr>
    </w:p>
    <w:p w:rsidR="00E03DAF" w:rsidRPr="00E03DAF" w:rsidRDefault="0079260C" w:rsidP="0079260C">
      <w:pPr>
        <w:pStyle w:val="BodyText"/>
        <w:jc w:val="center"/>
        <w:rPr>
          <w:u w:val="single"/>
        </w:rPr>
      </w:pPr>
      <w:r>
        <w:rPr>
          <w:u w:val="single"/>
        </w:rPr>
        <w:t>INTERIM WASTEWATER RATES</w:t>
      </w:r>
    </w:p>
    <w:p w:rsidR="00017692" w:rsidRDefault="00017692" w:rsidP="00E745E0">
      <w:pPr>
        <w:pStyle w:val="BodyText"/>
        <w:jc w:val="both"/>
      </w:pPr>
      <w:r>
        <w:t> </w:t>
      </w:r>
      <w:r w:rsidR="00E03DAF">
        <w:tab/>
      </w:r>
      <w:r w:rsidR="006A4389">
        <w:t>We find that the</w:t>
      </w:r>
      <w:r w:rsidRPr="006542E5">
        <w:t xml:space="preserve"> interim service rates for</w:t>
      </w:r>
      <w:r>
        <w:t xml:space="preserve"> Sandalhaven </w:t>
      </w:r>
      <w:r w:rsidR="006A4389">
        <w:t xml:space="preserve">shall </w:t>
      </w:r>
      <w:r w:rsidRPr="006542E5">
        <w:t xml:space="preserve">be designed to allow the </w:t>
      </w:r>
      <w:r>
        <w:t>u</w:t>
      </w:r>
      <w:r w:rsidRPr="006542E5">
        <w:t xml:space="preserve">tility the opportunity to generate annual operating revenues of </w:t>
      </w:r>
      <w:r>
        <w:t>$</w:t>
      </w:r>
      <w:r w:rsidR="006A4389">
        <w:t>788,590</w:t>
      </w:r>
      <w:r w:rsidR="005538DD">
        <w:t xml:space="preserve">.  </w:t>
      </w:r>
      <w:r w:rsidRPr="006542E5">
        <w:t>Before removal of miscellaneous revenues, this w</w:t>
      </w:r>
      <w:r w:rsidR="006A4389">
        <w:t>ill</w:t>
      </w:r>
      <w:r w:rsidRPr="006542E5">
        <w:t xml:space="preserve"> result in an increase </w:t>
      </w:r>
      <w:r>
        <w:t xml:space="preserve">of </w:t>
      </w:r>
      <w:r w:rsidRPr="00B15540">
        <w:t>$</w:t>
      </w:r>
      <w:r w:rsidR="006A4389">
        <w:t>119,553 (17.87 percent)</w:t>
      </w:r>
      <w:r w:rsidR="005538DD">
        <w:t xml:space="preserve">.  </w:t>
      </w:r>
      <w:r w:rsidRPr="006542E5">
        <w:t>To determine the appropriate increase to apply to the service rates, miscellaneous revenues sh</w:t>
      </w:r>
      <w:r w:rsidR="006A4389">
        <w:t>all</w:t>
      </w:r>
      <w:r w:rsidRPr="006542E5">
        <w:t xml:space="preserve"> be removed from the test year revenues</w:t>
      </w:r>
      <w:r w:rsidR="005538DD">
        <w:t xml:space="preserve">.  </w:t>
      </w:r>
      <w:r w:rsidRPr="006542E5">
        <w:t>The calculation is as follows:</w:t>
      </w:r>
    </w:p>
    <w:p w:rsidR="00E745E0" w:rsidRPr="006542E5" w:rsidRDefault="00E745E0" w:rsidP="00E745E0">
      <w:pPr>
        <w:pStyle w:val="BodyText"/>
        <w:jc w:val="center"/>
      </w:pPr>
      <w:r>
        <w:t xml:space="preserve">Table No. </w:t>
      </w:r>
      <w:r w:rsidR="00E10847">
        <w:t>1</w:t>
      </w:r>
    </w:p>
    <w:p w:rsidR="00017692" w:rsidRDefault="00017692" w:rsidP="00E745E0">
      <w:pPr>
        <w:jc w:val="center"/>
      </w:pPr>
      <w:r w:rsidRPr="00E745E0">
        <w:t>Percentage Increase Less Miscellaneous Revenues</w:t>
      </w:r>
    </w:p>
    <w:tbl>
      <w:tblPr>
        <w:tblW w:w="0" w:type="auto"/>
        <w:jc w:val="center"/>
        <w:tblInd w:w="7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6064"/>
        <w:gridCol w:w="1406"/>
      </w:tblGrid>
      <w:tr w:rsidR="00017692" w:rsidRPr="006542E5" w:rsidTr="00274E73">
        <w:trPr>
          <w:jc w:val="center"/>
        </w:trPr>
        <w:tc>
          <w:tcPr>
            <w:tcW w:w="686" w:type="dxa"/>
            <w:shd w:val="clear" w:color="auto" w:fill="auto"/>
          </w:tcPr>
          <w:p w:rsidR="00017692" w:rsidRPr="006542E5" w:rsidRDefault="00017692" w:rsidP="00E745E0">
            <w:pPr>
              <w:jc w:val="both"/>
            </w:pPr>
          </w:p>
        </w:tc>
        <w:tc>
          <w:tcPr>
            <w:tcW w:w="6064" w:type="dxa"/>
            <w:shd w:val="clear" w:color="auto" w:fill="auto"/>
          </w:tcPr>
          <w:p w:rsidR="00017692" w:rsidRPr="006542E5" w:rsidRDefault="00017692" w:rsidP="00E745E0">
            <w:pPr>
              <w:jc w:val="both"/>
            </w:pPr>
          </w:p>
        </w:tc>
        <w:tc>
          <w:tcPr>
            <w:tcW w:w="1406" w:type="dxa"/>
          </w:tcPr>
          <w:p w:rsidR="00017692" w:rsidRPr="00823B06" w:rsidRDefault="00017692" w:rsidP="00E745E0">
            <w:pPr>
              <w:jc w:val="both"/>
              <w:rPr>
                <w:u w:val="single"/>
              </w:rPr>
            </w:pPr>
            <w:r w:rsidRPr="00823B06">
              <w:rPr>
                <w:u w:val="single"/>
              </w:rPr>
              <w:t>Wastewater</w:t>
            </w:r>
          </w:p>
        </w:tc>
      </w:tr>
      <w:tr w:rsidR="00017692" w:rsidRPr="006542E5" w:rsidTr="00274E73">
        <w:trPr>
          <w:trHeight w:val="117"/>
          <w:jc w:val="center"/>
        </w:trPr>
        <w:tc>
          <w:tcPr>
            <w:tcW w:w="686" w:type="dxa"/>
            <w:shd w:val="clear" w:color="auto" w:fill="auto"/>
          </w:tcPr>
          <w:p w:rsidR="00017692" w:rsidRPr="006542E5" w:rsidRDefault="00017692" w:rsidP="00E745E0">
            <w:pPr>
              <w:jc w:val="both"/>
            </w:pPr>
          </w:p>
        </w:tc>
        <w:tc>
          <w:tcPr>
            <w:tcW w:w="6064" w:type="dxa"/>
            <w:shd w:val="clear" w:color="auto" w:fill="auto"/>
          </w:tcPr>
          <w:p w:rsidR="00017692" w:rsidRPr="006542E5" w:rsidRDefault="00017692" w:rsidP="00E745E0">
            <w:pPr>
              <w:jc w:val="both"/>
            </w:pPr>
          </w:p>
        </w:tc>
        <w:tc>
          <w:tcPr>
            <w:tcW w:w="1406" w:type="dxa"/>
          </w:tcPr>
          <w:p w:rsidR="00017692" w:rsidRPr="00823B06" w:rsidRDefault="00017692" w:rsidP="00E745E0">
            <w:pPr>
              <w:jc w:val="both"/>
            </w:pPr>
          </w:p>
        </w:tc>
      </w:tr>
      <w:tr w:rsidR="00017692" w:rsidRPr="006542E5" w:rsidTr="00274E73">
        <w:trPr>
          <w:jc w:val="center"/>
        </w:trPr>
        <w:tc>
          <w:tcPr>
            <w:tcW w:w="686" w:type="dxa"/>
            <w:shd w:val="clear" w:color="auto" w:fill="auto"/>
          </w:tcPr>
          <w:p w:rsidR="00017692" w:rsidRPr="006542E5" w:rsidRDefault="00017692" w:rsidP="00E745E0">
            <w:pPr>
              <w:jc w:val="both"/>
            </w:pPr>
            <w:r w:rsidRPr="006542E5">
              <w:t>1</w:t>
            </w:r>
          </w:p>
        </w:tc>
        <w:tc>
          <w:tcPr>
            <w:tcW w:w="6064" w:type="dxa"/>
            <w:shd w:val="clear" w:color="auto" w:fill="auto"/>
          </w:tcPr>
          <w:p w:rsidR="00017692" w:rsidRPr="006542E5" w:rsidRDefault="00017692" w:rsidP="00E745E0">
            <w:pPr>
              <w:jc w:val="both"/>
            </w:pPr>
            <w:r w:rsidRPr="006542E5">
              <w:t>Total Test Year Revenues</w:t>
            </w:r>
          </w:p>
        </w:tc>
        <w:tc>
          <w:tcPr>
            <w:tcW w:w="1406" w:type="dxa"/>
          </w:tcPr>
          <w:p w:rsidR="00017692" w:rsidRPr="00823B06" w:rsidRDefault="00017692" w:rsidP="00E745E0">
            <w:pPr>
              <w:jc w:val="both"/>
            </w:pPr>
            <w:r w:rsidRPr="00823B06">
              <w:t>$669,037</w:t>
            </w:r>
          </w:p>
        </w:tc>
      </w:tr>
      <w:tr w:rsidR="00017692" w:rsidRPr="006542E5" w:rsidTr="00274E73">
        <w:trPr>
          <w:jc w:val="center"/>
        </w:trPr>
        <w:tc>
          <w:tcPr>
            <w:tcW w:w="686" w:type="dxa"/>
            <w:shd w:val="clear" w:color="auto" w:fill="auto"/>
          </w:tcPr>
          <w:p w:rsidR="00017692" w:rsidRPr="006542E5" w:rsidRDefault="00017692" w:rsidP="00E745E0">
            <w:pPr>
              <w:jc w:val="both"/>
            </w:pPr>
          </w:p>
        </w:tc>
        <w:tc>
          <w:tcPr>
            <w:tcW w:w="6064" w:type="dxa"/>
            <w:shd w:val="clear" w:color="auto" w:fill="auto"/>
          </w:tcPr>
          <w:p w:rsidR="00017692" w:rsidRPr="006542E5" w:rsidRDefault="00017692" w:rsidP="00E745E0">
            <w:pPr>
              <w:jc w:val="both"/>
            </w:pPr>
          </w:p>
        </w:tc>
        <w:tc>
          <w:tcPr>
            <w:tcW w:w="1406" w:type="dxa"/>
          </w:tcPr>
          <w:p w:rsidR="00017692" w:rsidRPr="00823B06" w:rsidRDefault="00017692" w:rsidP="00E745E0">
            <w:pPr>
              <w:jc w:val="both"/>
            </w:pPr>
          </w:p>
        </w:tc>
      </w:tr>
      <w:tr w:rsidR="00017692" w:rsidRPr="006542E5" w:rsidTr="00274E73">
        <w:trPr>
          <w:jc w:val="center"/>
        </w:trPr>
        <w:tc>
          <w:tcPr>
            <w:tcW w:w="686" w:type="dxa"/>
            <w:shd w:val="clear" w:color="auto" w:fill="auto"/>
          </w:tcPr>
          <w:p w:rsidR="00017692" w:rsidRPr="006542E5" w:rsidRDefault="00017692" w:rsidP="00E745E0">
            <w:pPr>
              <w:jc w:val="both"/>
            </w:pPr>
            <w:r w:rsidRPr="006542E5">
              <w:t>2</w:t>
            </w:r>
          </w:p>
        </w:tc>
        <w:tc>
          <w:tcPr>
            <w:tcW w:w="6064" w:type="dxa"/>
            <w:shd w:val="clear" w:color="auto" w:fill="auto"/>
          </w:tcPr>
          <w:p w:rsidR="00017692" w:rsidRPr="006542E5" w:rsidRDefault="00017692" w:rsidP="00E745E0">
            <w:pPr>
              <w:jc w:val="both"/>
            </w:pPr>
            <w:r w:rsidRPr="006542E5">
              <w:t>Less:  Miscellaneous Revenues</w:t>
            </w:r>
          </w:p>
        </w:tc>
        <w:tc>
          <w:tcPr>
            <w:tcW w:w="1406" w:type="dxa"/>
          </w:tcPr>
          <w:p w:rsidR="00017692" w:rsidRPr="00823B06" w:rsidRDefault="00B933FC" w:rsidP="00B933FC">
            <w:pPr>
              <w:jc w:val="both"/>
              <w:rPr>
                <w:u w:val="single"/>
              </w:rPr>
            </w:pPr>
            <w:r>
              <w:rPr>
                <w:u w:val="single"/>
              </w:rPr>
              <w:t>$</w:t>
            </w:r>
            <w:r w:rsidR="00017692" w:rsidRPr="00823B06">
              <w:rPr>
                <w:u w:val="single"/>
              </w:rPr>
              <w:t>1,848</w:t>
            </w:r>
          </w:p>
        </w:tc>
      </w:tr>
      <w:tr w:rsidR="00017692" w:rsidRPr="006542E5" w:rsidTr="00274E73">
        <w:trPr>
          <w:jc w:val="center"/>
        </w:trPr>
        <w:tc>
          <w:tcPr>
            <w:tcW w:w="686" w:type="dxa"/>
            <w:shd w:val="clear" w:color="auto" w:fill="auto"/>
          </w:tcPr>
          <w:p w:rsidR="00017692" w:rsidRPr="006542E5" w:rsidRDefault="00017692" w:rsidP="00E745E0">
            <w:pPr>
              <w:jc w:val="both"/>
            </w:pPr>
          </w:p>
        </w:tc>
        <w:tc>
          <w:tcPr>
            <w:tcW w:w="6064" w:type="dxa"/>
            <w:shd w:val="clear" w:color="auto" w:fill="auto"/>
          </w:tcPr>
          <w:p w:rsidR="00017692" w:rsidRPr="006542E5" w:rsidRDefault="00017692" w:rsidP="00E745E0">
            <w:pPr>
              <w:jc w:val="both"/>
            </w:pPr>
          </w:p>
        </w:tc>
        <w:tc>
          <w:tcPr>
            <w:tcW w:w="1406" w:type="dxa"/>
          </w:tcPr>
          <w:p w:rsidR="00017692" w:rsidRPr="00823B06" w:rsidRDefault="00017692" w:rsidP="00E745E0">
            <w:pPr>
              <w:jc w:val="both"/>
            </w:pPr>
          </w:p>
        </w:tc>
      </w:tr>
      <w:tr w:rsidR="00017692" w:rsidRPr="006542E5" w:rsidTr="00274E73">
        <w:trPr>
          <w:jc w:val="center"/>
        </w:trPr>
        <w:tc>
          <w:tcPr>
            <w:tcW w:w="686" w:type="dxa"/>
            <w:shd w:val="clear" w:color="auto" w:fill="auto"/>
          </w:tcPr>
          <w:p w:rsidR="00017692" w:rsidRPr="006542E5" w:rsidRDefault="00017692" w:rsidP="00E745E0">
            <w:pPr>
              <w:jc w:val="both"/>
            </w:pPr>
            <w:r w:rsidRPr="006542E5">
              <w:t>3</w:t>
            </w:r>
          </w:p>
        </w:tc>
        <w:tc>
          <w:tcPr>
            <w:tcW w:w="6064" w:type="dxa"/>
            <w:shd w:val="clear" w:color="auto" w:fill="auto"/>
          </w:tcPr>
          <w:p w:rsidR="00017692" w:rsidRPr="006542E5" w:rsidRDefault="00017692" w:rsidP="00E745E0">
            <w:pPr>
              <w:jc w:val="both"/>
            </w:pPr>
            <w:r w:rsidRPr="006542E5">
              <w:t>Test Year Revenues from Service Rates</w:t>
            </w:r>
          </w:p>
        </w:tc>
        <w:tc>
          <w:tcPr>
            <w:tcW w:w="1406" w:type="dxa"/>
          </w:tcPr>
          <w:p w:rsidR="00017692" w:rsidRPr="00B933FC" w:rsidRDefault="00017692" w:rsidP="00E745E0">
            <w:pPr>
              <w:jc w:val="both"/>
              <w:rPr>
                <w:u w:val="double"/>
              </w:rPr>
            </w:pPr>
            <w:r w:rsidRPr="00B933FC">
              <w:rPr>
                <w:u w:val="double"/>
              </w:rPr>
              <w:t>$</w:t>
            </w:r>
            <w:r w:rsidR="006A4389" w:rsidRPr="00B933FC">
              <w:rPr>
                <w:u w:val="double"/>
              </w:rPr>
              <w:t>667,189</w:t>
            </w:r>
          </w:p>
        </w:tc>
      </w:tr>
      <w:tr w:rsidR="00017692" w:rsidRPr="006542E5" w:rsidTr="00274E73">
        <w:trPr>
          <w:jc w:val="center"/>
        </w:trPr>
        <w:tc>
          <w:tcPr>
            <w:tcW w:w="686" w:type="dxa"/>
            <w:shd w:val="clear" w:color="auto" w:fill="auto"/>
          </w:tcPr>
          <w:p w:rsidR="00017692" w:rsidRPr="006542E5" w:rsidRDefault="00017692" w:rsidP="00E745E0">
            <w:pPr>
              <w:jc w:val="both"/>
            </w:pPr>
          </w:p>
        </w:tc>
        <w:tc>
          <w:tcPr>
            <w:tcW w:w="6064" w:type="dxa"/>
            <w:shd w:val="clear" w:color="auto" w:fill="auto"/>
          </w:tcPr>
          <w:p w:rsidR="00017692" w:rsidRPr="006542E5" w:rsidRDefault="00017692" w:rsidP="00E745E0">
            <w:pPr>
              <w:jc w:val="both"/>
            </w:pPr>
          </w:p>
        </w:tc>
        <w:tc>
          <w:tcPr>
            <w:tcW w:w="1406" w:type="dxa"/>
          </w:tcPr>
          <w:p w:rsidR="00017692" w:rsidRPr="00823B06" w:rsidRDefault="00017692" w:rsidP="00E745E0">
            <w:pPr>
              <w:jc w:val="both"/>
            </w:pPr>
          </w:p>
        </w:tc>
      </w:tr>
      <w:tr w:rsidR="00017692" w:rsidRPr="006542E5" w:rsidTr="00274E73">
        <w:trPr>
          <w:jc w:val="center"/>
        </w:trPr>
        <w:tc>
          <w:tcPr>
            <w:tcW w:w="686" w:type="dxa"/>
            <w:shd w:val="clear" w:color="auto" w:fill="auto"/>
          </w:tcPr>
          <w:p w:rsidR="00017692" w:rsidRPr="006542E5" w:rsidRDefault="00017692" w:rsidP="00E745E0">
            <w:pPr>
              <w:jc w:val="both"/>
            </w:pPr>
            <w:r w:rsidRPr="006542E5">
              <w:t>4</w:t>
            </w:r>
          </w:p>
        </w:tc>
        <w:tc>
          <w:tcPr>
            <w:tcW w:w="6064" w:type="dxa"/>
            <w:shd w:val="clear" w:color="auto" w:fill="auto"/>
          </w:tcPr>
          <w:p w:rsidR="00017692" w:rsidRPr="006542E5" w:rsidRDefault="00017692" w:rsidP="00E745E0">
            <w:pPr>
              <w:jc w:val="both"/>
            </w:pPr>
            <w:r w:rsidRPr="006542E5">
              <w:t>Revenue Increase</w:t>
            </w:r>
          </w:p>
        </w:tc>
        <w:tc>
          <w:tcPr>
            <w:tcW w:w="1406" w:type="dxa"/>
          </w:tcPr>
          <w:p w:rsidR="00017692" w:rsidRPr="00E745E0" w:rsidRDefault="00017692" w:rsidP="00E745E0">
            <w:pPr>
              <w:jc w:val="both"/>
            </w:pPr>
            <w:r w:rsidRPr="00E745E0">
              <w:t>$</w:t>
            </w:r>
            <w:r w:rsidR="006A4389" w:rsidRPr="00E745E0">
              <w:t>119,553</w:t>
            </w:r>
          </w:p>
        </w:tc>
      </w:tr>
      <w:tr w:rsidR="00017692" w:rsidRPr="006542E5" w:rsidTr="00274E73">
        <w:trPr>
          <w:jc w:val="center"/>
        </w:trPr>
        <w:tc>
          <w:tcPr>
            <w:tcW w:w="686" w:type="dxa"/>
            <w:shd w:val="clear" w:color="auto" w:fill="auto"/>
          </w:tcPr>
          <w:p w:rsidR="00017692" w:rsidRPr="006542E5" w:rsidRDefault="00017692" w:rsidP="00E745E0">
            <w:pPr>
              <w:jc w:val="both"/>
            </w:pPr>
          </w:p>
        </w:tc>
        <w:tc>
          <w:tcPr>
            <w:tcW w:w="6064" w:type="dxa"/>
            <w:shd w:val="clear" w:color="auto" w:fill="auto"/>
          </w:tcPr>
          <w:p w:rsidR="00017692" w:rsidRPr="006542E5" w:rsidRDefault="00017692" w:rsidP="00E745E0">
            <w:pPr>
              <w:jc w:val="both"/>
            </w:pPr>
          </w:p>
        </w:tc>
        <w:tc>
          <w:tcPr>
            <w:tcW w:w="1406" w:type="dxa"/>
          </w:tcPr>
          <w:p w:rsidR="00017692" w:rsidRPr="00823B06" w:rsidRDefault="00017692" w:rsidP="00E745E0">
            <w:pPr>
              <w:jc w:val="both"/>
            </w:pPr>
          </w:p>
        </w:tc>
      </w:tr>
      <w:tr w:rsidR="00017692" w:rsidRPr="006542E5" w:rsidTr="00274E73">
        <w:trPr>
          <w:jc w:val="center"/>
        </w:trPr>
        <w:tc>
          <w:tcPr>
            <w:tcW w:w="686" w:type="dxa"/>
            <w:shd w:val="clear" w:color="auto" w:fill="auto"/>
          </w:tcPr>
          <w:p w:rsidR="00017692" w:rsidRPr="006542E5" w:rsidRDefault="00017692" w:rsidP="00E745E0">
            <w:pPr>
              <w:jc w:val="both"/>
            </w:pPr>
            <w:r w:rsidRPr="006542E5">
              <w:t>5</w:t>
            </w:r>
          </w:p>
        </w:tc>
        <w:tc>
          <w:tcPr>
            <w:tcW w:w="6064" w:type="dxa"/>
            <w:shd w:val="clear" w:color="auto" w:fill="auto"/>
          </w:tcPr>
          <w:p w:rsidR="00017692" w:rsidRPr="006542E5" w:rsidRDefault="00017692" w:rsidP="00E745E0">
            <w:pPr>
              <w:jc w:val="both"/>
            </w:pPr>
            <w:r w:rsidRPr="006542E5">
              <w:t>% Service Rate Increase (Line 4/Line 3)</w:t>
            </w:r>
          </w:p>
        </w:tc>
        <w:tc>
          <w:tcPr>
            <w:tcW w:w="1406" w:type="dxa"/>
          </w:tcPr>
          <w:p w:rsidR="00017692" w:rsidRDefault="006A4389" w:rsidP="00E745E0">
            <w:pPr>
              <w:jc w:val="both"/>
              <w:rPr>
                <w:u w:val="double"/>
              </w:rPr>
            </w:pPr>
            <w:r w:rsidRPr="00B933FC">
              <w:rPr>
                <w:u w:val="double"/>
              </w:rPr>
              <w:t>17.92</w:t>
            </w:r>
            <w:r w:rsidR="00017692" w:rsidRPr="00B933FC">
              <w:rPr>
                <w:u w:val="double"/>
              </w:rPr>
              <w:t>%</w:t>
            </w:r>
          </w:p>
          <w:p w:rsidR="00B933FC" w:rsidRPr="00B933FC" w:rsidRDefault="00B933FC" w:rsidP="00E745E0">
            <w:pPr>
              <w:jc w:val="both"/>
              <w:rPr>
                <w:u w:val="double"/>
              </w:rPr>
            </w:pPr>
          </w:p>
        </w:tc>
      </w:tr>
    </w:tbl>
    <w:p w:rsidR="00017692" w:rsidRDefault="00017692" w:rsidP="00E745E0">
      <w:pPr>
        <w:pStyle w:val="BodyText"/>
        <w:jc w:val="both"/>
      </w:pPr>
    </w:p>
    <w:p w:rsidR="00017692" w:rsidRDefault="006A4389" w:rsidP="00E745E0">
      <w:pPr>
        <w:pStyle w:val="BodyText"/>
        <w:jc w:val="both"/>
      </w:pPr>
      <w:r>
        <w:tab/>
        <w:t xml:space="preserve">We find </w:t>
      </w:r>
      <w:r w:rsidR="00017692" w:rsidRPr="006542E5">
        <w:t xml:space="preserve">that the interim rate increase of </w:t>
      </w:r>
      <w:r>
        <w:t>17.92</w:t>
      </w:r>
      <w:r w:rsidR="00017692" w:rsidRPr="006542E5">
        <w:t xml:space="preserve"> percent </w:t>
      </w:r>
      <w:r>
        <w:t xml:space="preserve">shall </w:t>
      </w:r>
      <w:r w:rsidR="00017692" w:rsidRPr="006542E5">
        <w:t>be applied as an a</w:t>
      </w:r>
      <w:r w:rsidR="00017692">
        <w:t xml:space="preserve">cross-the-board increase to the utility’s existing </w:t>
      </w:r>
      <w:r w:rsidR="00017692" w:rsidRPr="006542E5">
        <w:t>service rates</w:t>
      </w:r>
      <w:r w:rsidR="005538DD">
        <w:t xml:space="preserve">.  </w:t>
      </w:r>
      <w:r w:rsidR="00017692" w:rsidRPr="006542E5">
        <w:t>The rat</w:t>
      </w:r>
      <w:r w:rsidR="00017692">
        <w:t>es, as shown on Schedule No</w:t>
      </w:r>
      <w:r w:rsidR="005538DD">
        <w:t xml:space="preserve">. </w:t>
      </w:r>
      <w:r w:rsidR="00017692">
        <w:t>4,</w:t>
      </w:r>
      <w:r w:rsidR="00017692" w:rsidRPr="006542E5">
        <w:t xml:space="preserve"> sh</w:t>
      </w:r>
      <w:r>
        <w:t>all</w:t>
      </w:r>
      <w:r w:rsidR="00017692" w:rsidRPr="006542E5">
        <w:t xml:space="preserve"> be effective for service rendered on or after the stamped approval date on the tariff sheets pursuant to Rule 25-30.475(1), F.A.C</w:t>
      </w:r>
      <w:r w:rsidR="005538DD">
        <w:t xml:space="preserve">.  </w:t>
      </w:r>
      <w:r w:rsidR="00017692" w:rsidRPr="006542E5">
        <w:t xml:space="preserve">The </w:t>
      </w:r>
      <w:r w:rsidR="00017692">
        <w:t>u</w:t>
      </w:r>
      <w:r w:rsidR="00017692" w:rsidRPr="006542E5">
        <w:t>tility sh</w:t>
      </w:r>
      <w:r>
        <w:t>all</w:t>
      </w:r>
      <w:r w:rsidR="00017692" w:rsidRPr="006542E5">
        <w:t xml:space="preserve"> file revised tariff sheets and a proposed customer notice to reflect the Commission-approved rates</w:t>
      </w:r>
      <w:r w:rsidR="005538DD">
        <w:t xml:space="preserve">.  </w:t>
      </w:r>
      <w:r w:rsidR="00017692" w:rsidRPr="006542E5">
        <w:t>In addition, the approved rates sh</w:t>
      </w:r>
      <w:r>
        <w:t>all</w:t>
      </w:r>
      <w:r w:rsidR="00017692" w:rsidRPr="006542E5">
        <w:t xml:space="preserve"> not be implemented until the required security has been filed, </w:t>
      </w:r>
      <w:r w:rsidR="00E10847">
        <w:t xml:space="preserve">Commission </w:t>
      </w:r>
      <w:r w:rsidR="00017692" w:rsidRPr="006542E5">
        <w:t xml:space="preserve">staff has approved the </w:t>
      </w:r>
      <w:r w:rsidR="00017692" w:rsidRPr="006542E5">
        <w:lastRenderedPageBreak/>
        <w:t>proposed customer notice, and the notice has been r</w:t>
      </w:r>
      <w:r w:rsidR="00017692">
        <w:t>eceived by the customers</w:t>
      </w:r>
      <w:r w:rsidR="005538DD">
        <w:t xml:space="preserve">.  </w:t>
      </w:r>
      <w:r w:rsidR="00017692">
        <w:t>The u</w:t>
      </w:r>
      <w:r w:rsidR="00017692" w:rsidRPr="006542E5">
        <w:t>tility sh</w:t>
      </w:r>
      <w:r>
        <w:t>all</w:t>
      </w:r>
      <w:r w:rsidR="00017692" w:rsidRPr="006542E5">
        <w:t xml:space="preserve"> provide proof of the date notice was given within 10 days of the date of the notice.</w:t>
      </w:r>
    </w:p>
    <w:p w:rsidR="006A4389" w:rsidRPr="006A4389" w:rsidRDefault="00B933FC" w:rsidP="00B933FC">
      <w:pPr>
        <w:spacing w:after="240"/>
        <w:jc w:val="center"/>
        <w:rPr>
          <w:u w:val="single"/>
        </w:rPr>
      </w:pPr>
      <w:r>
        <w:rPr>
          <w:u w:val="single"/>
        </w:rPr>
        <w:t>CORPORATE UNDERTAKING</w:t>
      </w:r>
    </w:p>
    <w:p w:rsidR="00017692" w:rsidRPr="002755DE" w:rsidRDefault="006A4389" w:rsidP="00E745E0">
      <w:pPr>
        <w:spacing w:after="240"/>
        <w:jc w:val="both"/>
      </w:pPr>
      <w:r>
        <w:tab/>
      </w:r>
      <w:r w:rsidR="00017692" w:rsidRPr="002755DE">
        <w:t>Pursuant to Section 367.082</w:t>
      </w:r>
      <w:r w:rsidR="00017692">
        <w:t>(2)(a)</w:t>
      </w:r>
      <w:r w:rsidR="00017692" w:rsidRPr="002755DE">
        <w:t>, F.S., revenues collected under interim rates shall be placed under bond, escrow, letter of credit, or corporate undertaking subject to refund with interest at a rate ordered by the Commission</w:t>
      </w:r>
      <w:r w:rsidR="005538DD">
        <w:t xml:space="preserve">.  </w:t>
      </w:r>
      <w:r w:rsidR="00017692" w:rsidRPr="002755DE">
        <w:t>Sandalhaven has requested an annual interim revenue increase of $724,062 for wastewater</w:t>
      </w:r>
      <w:r w:rsidR="005538DD">
        <w:t xml:space="preserve">.  </w:t>
      </w:r>
      <w:r>
        <w:t>T</w:t>
      </w:r>
      <w:r w:rsidR="00017692" w:rsidRPr="002755DE">
        <w:t>he annual interim increase is $</w:t>
      </w:r>
      <w:r>
        <w:t>119,553</w:t>
      </w:r>
      <w:r w:rsidR="005538DD">
        <w:t xml:space="preserve">.  </w:t>
      </w:r>
      <w:r w:rsidR="00017692" w:rsidRPr="002755DE">
        <w:t xml:space="preserve">In accordance with Rule 25-30.360, F.A.C., </w:t>
      </w:r>
      <w:r>
        <w:t xml:space="preserve">we find that </w:t>
      </w:r>
      <w:r w:rsidR="00017692" w:rsidRPr="002755DE">
        <w:t>the potential refund of revenues and interest collected under interim conditions to be $</w:t>
      </w:r>
      <w:r>
        <w:t>69,757</w:t>
      </w:r>
      <w:r w:rsidR="005538DD">
        <w:t xml:space="preserve">.  </w:t>
      </w:r>
      <w:r w:rsidR="00017692" w:rsidRPr="002755DE">
        <w:t xml:space="preserve">This amount is based on an estimated seven months of revenue being collected under the </w:t>
      </w:r>
      <w:r w:rsidR="00E10847">
        <w:t xml:space="preserve">approved </w:t>
      </w:r>
      <w:r w:rsidR="00017692" w:rsidRPr="002755DE">
        <w:t>interim rates shown on Schedule No</w:t>
      </w:r>
      <w:r w:rsidR="005538DD">
        <w:t xml:space="preserve">. </w:t>
      </w:r>
      <w:r w:rsidR="00017692" w:rsidRPr="002755DE">
        <w:t>4.</w:t>
      </w:r>
    </w:p>
    <w:p w:rsidR="00017692" w:rsidRDefault="006A4389" w:rsidP="00E745E0">
      <w:pPr>
        <w:spacing w:after="240"/>
        <w:jc w:val="both"/>
      </w:pPr>
      <w:r>
        <w:tab/>
      </w:r>
      <w:r w:rsidR="00017692" w:rsidRPr="002755DE">
        <w:t>Sandalhaven is a wholly-owned subsidiary of UI, which provides all investor capital to its subsidiaries</w:t>
      </w:r>
      <w:r w:rsidR="005538DD">
        <w:t xml:space="preserve">.  </w:t>
      </w:r>
      <w:r w:rsidR="00017692" w:rsidRPr="002755DE">
        <w:t xml:space="preserve">Based on the amount subject to refund for </w:t>
      </w:r>
      <w:r w:rsidR="00017692">
        <w:t>Sandalhaven</w:t>
      </w:r>
      <w:r w:rsidR="00017692" w:rsidRPr="002755DE">
        <w:t xml:space="preserve"> the incremental increase in UI’s corporate undertaking is $</w:t>
      </w:r>
      <w:r>
        <w:t>69,757</w:t>
      </w:r>
      <w:r w:rsidR="005538DD">
        <w:t xml:space="preserve">.  </w:t>
      </w:r>
      <w:r w:rsidR="00017692" w:rsidRPr="002755DE">
        <w:t>The</w:t>
      </w:r>
      <w:r w:rsidR="00017692">
        <w:t>re are no other</w:t>
      </w:r>
      <w:r w:rsidR="00017692" w:rsidRPr="002755DE">
        <w:t xml:space="preserve"> current corporate undertaking amount</w:t>
      </w:r>
      <w:r w:rsidR="00017692">
        <w:t>s</w:t>
      </w:r>
      <w:r w:rsidR="00017692" w:rsidRPr="002755DE">
        <w:t xml:space="preserve"> outst</w:t>
      </w:r>
      <w:r w:rsidR="00017692">
        <w:t>anding for other UI systems in Florida, so therefore, the total cumulative outstanding guarantee is $</w:t>
      </w:r>
      <w:r>
        <w:t>69,757</w:t>
      </w:r>
      <w:r w:rsidR="00017692">
        <w:t>.</w:t>
      </w:r>
    </w:p>
    <w:p w:rsidR="00017692" w:rsidRPr="002755DE" w:rsidRDefault="006A4389" w:rsidP="00E745E0">
      <w:pPr>
        <w:spacing w:after="240"/>
        <w:jc w:val="both"/>
      </w:pPr>
      <w:r>
        <w:tab/>
      </w:r>
      <w:r w:rsidR="00017692" w:rsidRPr="002755DE">
        <w:t>The criteria for a corporate undertaking include sufficient liquidity, ownership equity, profitability, and interest coverage to guarantee any potential refund</w:t>
      </w:r>
      <w:r w:rsidR="005538DD">
        <w:t xml:space="preserve">.  </w:t>
      </w:r>
      <w:r>
        <w:t xml:space="preserve">We have </w:t>
      </w:r>
      <w:r w:rsidR="00017692" w:rsidRPr="002755DE">
        <w:t xml:space="preserve">reviewed UI’s 2012, 2013, and 2014 financial statements to determine if the </w:t>
      </w:r>
      <w:r w:rsidR="00017692">
        <w:t>company</w:t>
      </w:r>
      <w:r w:rsidR="00017692" w:rsidRPr="002755DE">
        <w:t xml:space="preserve"> can support a corporate undertaking on behalf of its subsidiary</w:t>
      </w:r>
      <w:r w:rsidR="005538DD">
        <w:t xml:space="preserve">.  </w:t>
      </w:r>
      <w:r w:rsidR="00017692" w:rsidRPr="002755DE">
        <w:t>In its financial statements, UI reported both an insufficient working capital amount and an inadequate current ratio in 2012 and 2013</w:t>
      </w:r>
      <w:r w:rsidR="005538DD">
        <w:t xml:space="preserve">.  </w:t>
      </w:r>
      <w:r w:rsidR="00017692" w:rsidRPr="002755DE">
        <w:t>In 201</w:t>
      </w:r>
      <w:r w:rsidR="00017692">
        <w:t>3</w:t>
      </w:r>
      <w:r w:rsidR="00017692" w:rsidRPr="002755DE">
        <w:t>, UI had an insufficient interest coverage ratio</w:t>
      </w:r>
      <w:r w:rsidR="005538DD">
        <w:t xml:space="preserve">.  </w:t>
      </w:r>
      <w:r w:rsidR="00017692">
        <w:t>I</w:t>
      </w:r>
      <w:r w:rsidR="00017692" w:rsidRPr="002755DE">
        <w:t xml:space="preserve">n </w:t>
      </w:r>
      <w:r w:rsidR="00017692">
        <w:t xml:space="preserve">2014, the company’s working capital amount, current ratio, and interest coverage ratio improved to </w:t>
      </w:r>
      <w:r w:rsidR="00017692" w:rsidRPr="002755DE">
        <w:t>sufficient</w:t>
      </w:r>
      <w:r w:rsidR="00017692">
        <w:t xml:space="preserve"> levels</w:t>
      </w:r>
      <w:r w:rsidR="005538DD">
        <w:t xml:space="preserve">.  </w:t>
      </w:r>
      <w:r w:rsidR="00017692" w:rsidRPr="002755DE">
        <w:t>In addition, UI</w:t>
      </w:r>
      <w:r w:rsidR="00017692">
        <w:t xml:space="preserve"> achieved sufficient profitability and</w:t>
      </w:r>
      <w:r w:rsidR="00017692" w:rsidRPr="002755DE">
        <w:t xml:space="preserve"> reported adequate ownership equity over the three-year review period</w:t>
      </w:r>
      <w:r w:rsidR="00017692">
        <w:t>.</w:t>
      </w:r>
    </w:p>
    <w:p w:rsidR="00017692" w:rsidRDefault="00604A9F" w:rsidP="00E745E0">
      <w:pPr>
        <w:spacing w:after="240"/>
        <w:jc w:val="both"/>
      </w:pPr>
      <w:r>
        <w:tab/>
      </w:r>
      <w:r w:rsidR="00017692" w:rsidRPr="002755DE">
        <w:t xml:space="preserve">Based on </w:t>
      </w:r>
      <w:r>
        <w:t xml:space="preserve">our </w:t>
      </w:r>
      <w:r w:rsidR="00017692" w:rsidRPr="002755DE">
        <w:t xml:space="preserve">review of the financial reports submitted by UI, </w:t>
      </w:r>
      <w:r>
        <w:t xml:space="preserve">we find that </w:t>
      </w:r>
      <w:r w:rsidR="00017692" w:rsidRPr="002755DE">
        <w:t>UI has adequate resources to support a corporate undertaking in the amount requested</w:t>
      </w:r>
      <w:r w:rsidR="005538DD">
        <w:t xml:space="preserve">.  </w:t>
      </w:r>
      <w:r w:rsidR="00017692" w:rsidRPr="002755DE">
        <w:t xml:space="preserve">Based on this analysis, </w:t>
      </w:r>
      <w:r>
        <w:t>we find th</w:t>
      </w:r>
      <w:r w:rsidR="00017692" w:rsidRPr="002755DE">
        <w:t>at a cumulative corporate undertaking of $</w:t>
      </w:r>
      <w:r>
        <w:t>69,757</w:t>
      </w:r>
      <w:r w:rsidR="00017692" w:rsidRPr="002755DE">
        <w:t xml:space="preserve"> is acceptable contingent upon receipt of the written guarantee of UI and written confirmation that the cumulative outstanding guarantees on behalf of UI-owned utilities in other states will not exceed $1.2 million (inclusive of all Florida utilities).</w:t>
      </w:r>
      <w:r>
        <w:t xml:space="preserve">  The utility has volunteered, for </w:t>
      </w:r>
      <w:r w:rsidR="00E10847">
        <w:t xml:space="preserve">its </w:t>
      </w:r>
      <w:r>
        <w:t xml:space="preserve">administrative ease, to </w:t>
      </w:r>
      <w:r w:rsidR="000B0E05">
        <w:t xml:space="preserve">provide </w:t>
      </w:r>
      <w:r>
        <w:t>a corporate undertaking of $356,608, s</w:t>
      </w:r>
      <w:r w:rsidR="000B0E05">
        <w:t>ince</w:t>
      </w:r>
      <w:r>
        <w:t xml:space="preserve"> it has already taken action to secure this amount based on </w:t>
      </w:r>
      <w:r w:rsidR="00E10847">
        <w:t xml:space="preserve">Commission </w:t>
      </w:r>
      <w:r>
        <w:t>staff’s July 9, 2015 recommendation.  This amount exceeds the $69,757 we have found to be required and will be more than sufficient to cover any potential customer refund.</w:t>
      </w:r>
    </w:p>
    <w:p w:rsidR="00017692" w:rsidRPr="00682814" w:rsidRDefault="00604A9F" w:rsidP="00E745E0">
      <w:pPr>
        <w:spacing w:after="240"/>
        <w:jc w:val="both"/>
      </w:pPr>
      <w:r>
        <w:tab/>
      </w:r>
      <w:r w:rsidR="00017692" w:rsidRPr="00682814">
        <w:t>Th</w:t>
      </w:r>
      <w:r w:rsidR="00017692">
        <w:t>e</w:t>
      </w:r>
      <w:r w:rsidR="00017692" w:rsidRPr="00682814">
        <w:t xml:space="preserve"> brief financial analysis above is only appropriate for deciding if UI can support a corporate undertaking in the amount proposed and sh</w:t>
      </w:r>
      <w:r w:rsidR="00E10847">
        <w:t>all</w:t>
      </w:r>
      <w:r w:rsidR="00017692" w:rsidRPr="00682814">
        <w:t xml:space="preserve"> not be considered a finding regarding </w:t>
      </w:r>
      <w:r>
        <w:t xml:space="preserve">our </w:t>
      </w:r>
      <w:r w:rsidR="00017692" w:rsidRPr="00682814">
        <w:t>position on other issues in this proceeding</w:t>
      </w:r>
      <w:r w:rsidR="005538DD">
        <w:t xml:space="preserve">.  </w:t>
      </w:r>
    </w:p>
    <w:p w:rsidR="00017692" w:rsidRDefault="00604A9F" w:rsidP="00E745E0">
      <w:pPr>
        <w:spacing w:after="240"/>
        <w:jc w:val="both"/>
      </w:pPr>
      <w:r>
        <w:tab/>
      </w:r>
      <w:r w:rsidR="00017692" w:rsidRPr="00682814">
        <w:t xml:space="preserve">Pursuant to Rule 25-30.360(6), F.A.C., the </w:t>
      </w:r>
      <w:r w:rsidR="00017692">
        <w:t>u</w:t>
      </w:r>
      <w:r w:rsidR="00017692" w:rsidRPr="00682814">
        <w:t>tility sh</w:t>
      </w:r>
      <w:r>
        <w:t>all</w:t>
      </w:r>
      <w:r w:rsidR="00017692" w:rsidRPr="00682814">
        <w:t xml:space="preserve"> provide a report by the 20th day of each month indicating the monthly and total revenue collected subject to refund</w:t>
      </w:r>
      <w:r w:rsidR="005538DD">
        <w:t xml:space="preserve">.  </w:t>
      </w:r>
      <w:r w:rsidR="00017692" w:rsidRPr="00682814">
        <w:t xml:space="preserve">Should a </w:t>
      </w:r>
      <w:r w:rsidR="00017692" w:rsidRPr="00682814">
        <w:lastRenderedPageBreak/>
        <w:t>refund be required, the refund sh</w:t>
      </w:r>
      <w:r>
        <w:t>all</w:t>
      </w:r>
      <w:r w:rsidR="00017692" w:rsidRPr="00682814">
        <w:t xml:space="preserve"> be with interest and undertaken in accordance with Rule 25-30.360, F.A.C.</w:t>
      </w:r>
      <w:r>
        <w:t xml:space="preserve">  </w:t>
      </w:r>
      <w:r w:rsidR="00017692" w:rsidRPr="00682814">
        <w:t>In no instance sh</w:t>
      </w:r>
      <w:r>
        <w:t>all</w:t>
      </w:r>
      <w:r w:rsidR="00017692" w:rsidRPr="00682814">
        <w:t xml:space="preserve"> </w:t>
      </w:r>
      <w:r>
        <w:t xml:space="preserve">the </w:t>
      </w:r>
      <w:r w:rsidR="00017692" w:rsidRPr="00682814">
        <w:t>maintenance and administrative costs associated with any refund be borne by the customers</w:t>
      </w:r>
      <w:r w:rsidR="005538DD">
        <w:t xml:space="preserve">.  </w:t>
      </w:r>
      <w:r w:rsidR="00017692" w:rsidRPr="00682814">
        <w:t>The costs are the responsibility of, and sh</w:t>
      </w:r>
      <w:r>
        <w:t>all</w:t>
      </w:r>
      <w:r w:rsidR="00017692" w:rsidRPr="00682814">
        <w:t xml:space="preserve"> be borne by, the </w:t>
      </w:r>
      <w:r w:rsidR="00017692">
        <w:t>u</w:t>
      </w:r>
      <w:r w:rsidR="00017692" w:rsidRPr="00682814">
        <w:t>tility.</w:t>
      </w:r>
    </w:p>
    <w:p w:rsidR="00604A9F" w:rsidRDefault="00604A9F" w:rsidP="00E745E0">
      <w:pPr>
        <w:spacing w:after="240"/>
        <w:jc w:val="both"/>
      </w:pPr>
      <w:r>
        <w:tab/>
      </w:r>
      <w:r w:rsidR="00B60FA1">
        <w:t>Based on the foregoing, it is</w:t>
      </w:r>
    </w:p>
    <w:p w:rsidR="00B60FA1" w:rsidRDefault="00B60FA1" w:rsidP="00E745E0">
      <w:pPr>
        <w:spacing w:after="240"/>
        <w:jc w:val="both"/>
      </w:pPr>
      <w:r>
        <w:tab/>
        <w:t xml:space="preserve">ORDERED by the Florida Public Service Commission that </w:t>
      </w:r>
      <w:r w:rsidR="00B933FC">
        <w:t xml:space="preserve">the final wastewater increase requested by </w:t>
      </w:r>
      <w:r>
        <w:t>Utilities Inc. of Sandalhaven</w:t>
      </w:r>
      <w:r w:rsidR="00B933FC">
        <w:t xml:space="preserve"> is hereby suspended in accordance with Section 367.081(6), Florida Statutes.  </w:t>
      </w:r>
      <w:r>
        <w:t>It is further</w:t>
      </w:r>
    </w:p>
    <w:p w:rsidR="00B60FA1" w:rsidRDefault="00B60FA1" w:rsidP="00E745E0">
      <w:pPr>
        <w:spacing w:after="240"/>
        <w:jc w:val="both"/>
      </w:pPr>
      <w:r>
        <w:tab/>
        <w:t xml:space="preserve">ORDERED that </w:t>
      </w:r>
      <w:r w:rsidR="00B933FC">
        <w:t xml:space="preserve">the request of </w:t>
      </w:r>
      <w:r>
        <w:t xml:space="preserve">Utilities Inc. of Sandalhaven’s request for interim </w:t>
      </w:r>
      <w:r w:rsidR="00B933FC">
        <w:t xml:space="preserve">increase in wastewater </w:t>
      </w:r>
      <w:r>
        <w:t xml:space="preserve">rates is hereby </w:t>
      </w:r>
      <w:r w:rsidR="00B933FC">
        <w:t>granted to the extent set forth in the body of this Order.  It is further</w:t>
      </w:r>
    </w:p>
    <w:p w:rsidR="00B933FC" w:rsidRDefault="00B933FC" w:rsidP="00E745E0">
      <w:pPr>
        <w:spacing w:after="240"/>
        <w:jc w:val="both"/>
      </w:pPr>
      <w:r>
        <w:tab/>
        <w:t>ORDERED that each of the finding made in the body of this Order is hereby approved in every respect.  It  is  further</w:t>
      </w:r>
    </w:p>
    <w:p w:rsidR="00B933FC" w:rsidRDefault="00B933FC" w:rsidP="00E745E0">
      <w:pPr>
        <w:spacing w:after="240"/>
        <w:jc w:val="both"/>
      </w:pPr>
      <w:r>
        <w:tab/>
        <w:t>ORDERED that all matters contained in the schedules and attachments to this Order are incorporated herein by reference and hereby approved.  It is further</w:t>
      </w:r>
    </w:p>
    <w:p w:rsidR="00B933FC" w:rsidRDefault="00B933FC" w:rsidP="00E745E0">
      <w:pPr>
        <w:spacing w:after="240"/>
        <w:jc w:val="both"/>
      </w:pPr>
      <w:r>
        <w:tab/>
        <w:t>ORDERED that the approved rates shall be effective for service rendered as of the stamped approval date on the tariff sheets pursuant to Rule 25-30.475(1)(a), F.A.C., provided customers have received notice.  It is further</w:t>
      </w:r>
    </w:p>
    <w:p w:rsidR="00B933FC" w:rsidRDefault="00B933FC" w:rsidP="00E745E0">
      <w:pPr>
        <w:spacing w:after="240"/>
        <w:jc w:val="both"/>
      </w:pPr>
      <w:r>
        <w:tab/>
        <w:t xml:space="preserve">ORDERED that the rates shall not be implemented until </w:t>
      </w:r>
      <w:r w:rsidR="00E10847">
        <w:t xml:space="preserve">Commission </w:t>
      </w:r>
      <w:r>
        <w:t>staff verifies that the tariff sheets are consisten</w:t>
      </w:r>
      <w:r w:rsidR="000B0E05">
        <w:t>t</w:t>
      </w:r>
      <w:r>
        <w:t xml:space="preserve"> with our decision, the proposed customer notice is adequate, and the required security has been filed.  It is further</w:t>
      </w:r>
    </w:p>
    <w:p w:rsidR="00B933FC" w:rsidRDefault="00B933FC" w:rsidP="00E745E0">
      <w:pPr>
        <w:spacing w:after="240"/>
        <w:jc w:val="both"/>
      </w:pPr>
      <w:r>
        <w:tab/>
        <w:t>ORDERED that Utilities Inc. of Sandalhaven shall provide proof of the date notice was given within 10 days after the date of notice.  It is further</w:t>
      </w:r>
    </w:p>
    <w:p w:rsidR="009129B6" w:rsidRDefault="00B933FC" w:rsidP="00E745E0">
      <w:pPr>
        <w:spacing w:after="240"/>
        <w:jc w:val="both"/>
      </w:pPr>
      <w:r>
        <w:tab/>
        <w:t xml:space="preserve">ORDERED that </w:t>
      </w:r>
      <w:r w:rsidR="009129B6">
        <w:t>a corporate undertaking is an acceptable security contingent upon receipt of a written guarantee by Utilities, Inc. and written confirmation that Utilities, Inc. does not have any</w:t>
      </w:r>
      <w:r>
        <w:t xml:space="preserve"> </w:t>
      </w:r>
      <w:r w:rsidR="009129B6">
        <w:t>outstanding guarantees on behalf of Utilities, Inc. owned utilities in other states.  It is further</w:t>
      </w:r>
    </w:p>
    <w:p w:rsidR="009129B6" w:rsidRDefault="009129B6" w:rsidP="00E745E0">
      <w:pPr>
        <w:spacing w:after="240"/>
        <w:jc w:val="both"/>
      </w:pPr>
      <w:r>
        <w:tab/>
        <w:t>ORDERED that Utilities, Inc. shall file a corporate undertaking on behalf of its subsidiary Utilities, Inc. of Sandalhaven to guarantee any potential refunds of revenues collected under interim rates.  The total guarantee shall be in the amount of $356,608.  It is further</w:t>
      </w:r>
    </w:p>
    <w:p w:rsidR="009129B6" w:rsidRDefault="009129B6" w:rsidP="00E745E0">
      <w:pPr>
        <w:spacing w:after="240"/>
        <w:jc w:val="both"/>
      </w:pPr>
      <w:r>
        <w:tab/>
        <w:t>ORDERED that pursuant to Rule 25-30.360(6), F.A.C., Utilities, Inc. of Sandalhaven shall provide a report by the 20</w:t>
      </w:r>
      <w:r w:rsidRPr="009129B6">
        <w:rPr>
          <w:vertAlign w:val="superscript"/>
        </w:rPr>
        <w:t>th</w:t>
      </w:r>
      <w:r>
        <w:t xml:space="preserve"> of each month indicating the monthly and total revenue collected subject to refund.  Should a refund be required, the refund shall be with interest and undertaken in accordance with Rule 25-30.360, F.A.C.  It is further</w:t>
      </w:r>
    </w:p>
    <w:p w:rsidR="009129B6" w:rsidRDefault="009129B6" w:rsidP="00E745E0">
      <w:pPr>
        <w:spacing w:after="240"/>
        <w:jc w:val="both"/>
      </w:pPr>
      <w:r>
        <w:tab/>
        <w:t>ORDERED that this docket shall remain open pending our final action on Utilities, Inc. of Sandalhaven’s requested rate increase.</w:t>
      </w:r>
    </w:p>
    <w:p w:rsidR="00C316EA" w:rsidRDefault="00C316EA" w:rsidP="00C316EA">
      <w:pPr>
        <w:keepNext/>
        <w:keepLines/>
        <w:jc w:val="both"/>
      </w:pPr>
      <w:r>
        <w:lastRenderedPageBreak/>
        <w:tab/>
        <w:t xml:space="preserve">By ORDER of the Florida Public Service Commission this </w:t>
      </w:r>
      <w:bookmarkStart w:id="6" w:name="replaceDate"/>
      <w:bookmarkEnd w:id="6"/>
      <w:r w:rsidR="007A0C3D">
        <w:rPr>
          <w:u w:val="single"/>
        </w:rPr>
        <w:t>10th</w:t>
      </w:r>
      <w:r w:rsidR="007A0C3D">
        <w:t xml:space="preserve"> day of </w:t>
      </w:r>
      <w:r w:rsidR="007A0C3D">
        <w:rPr>
          <w:u w:val="single"/>
        </w:rPr>
        <w:t>August</w:t>
      </w:r>
      <w:r w:rsidR="007A0C3D">
        <w:t xml:space="preserve">, </w:t>
      </w:r>
      <w:r w:rsidR="007A0C3D">
        <w:rPr>
          <w:u w:val="single"/>
        </w:rPr>
        <w:t>2015</w:t>
      </w:r>
      <w:r w:rsidR="007A0C3D">
        <w:t>.</w:t>
      </w:r>
    </w:p>
    <w:p w:rsidR="007A0C3D" w:rsidRDefault="007A0C3D" w:rsidP="00C316EA">
      <w:pPr>
        <w:keepNext/>
        <w:keepLines/>
        <w:jc w:val="both"/>
      </w:pPr>
    </w:p>
    <w:p w:rsidR="007A0C3D" w:rsidRDefault="007A0C3D" w:rsidP="00C316EA">
      <w:pPr>
        <w:keepNext/>
        <w:keepLines/>
        <w:jc w:val="both"/>
      </w:pPr>
    </w:p>
    <w:p w:rsidR="007A0C3D" w:rsidRPr="007A0C3D" w:rsidRDefault="007A0C3D" w:rsidP="00C316EA">
      <w:pPr>
        <w:keepNext/>
        <w:keepLines/>
        <w:jc w:val="both"/>
      </w:pPr>
      <w:bookmarkStart w:id="7" w:name="_GoBack"/>
      <w:bookmarkEnd w:id="7"/>
    </w:p>
    <w:tbl>
      <w:tblPr>
        <w:tblW w:w="4720" w:type="dxa"/>
        <w:tblInd w:w="3800" w:type="dxa"/>
        <w:tblLayout w:type="fixed"/>
        <w:tblLook w:val="0000" w:firstRow="0" w:lastRow="0" w:firstColumn="0" w:lastColumn="0" w:noHBand="0" w:noVBand="0"/>
      </w:tblPr>
      <w:tblGrid>
        <w:gridCol w:w="686"/>
        <w:gridCol w:w="4034"/>
      </w:tblGrid>
      <w:tr w:rsidR="007A0C3D" w:rsidTr="00C316EA">
        <w:tc>
          <w:tcPr>
            <w:tcW w:w="686" w:type="dxa"/>
            <w:shd w:val="clear" w:color="auto" w:fill="auto"/>
          </w:tcPr>
          <w:p w:rsidR="007A0C3D" w:rsidRDefault="007A0C3D" w:rsidP="00C316EA">
            <w:pPr>
              <w:keepNext/>
              <w:keepLines/>
              <w:jc w:val="both"/>
            </w:pPr>
            <w:bookmarkStart w:id="8" w:name="bkmrkSignature" w:colFirst="0" w:colLast="0"/>
          </w:p>
        </w:tc>
        <w:tc>
          <w:tcPr>
            <w:tcW w:w="4034" w:type="dxa"/>
            <w:tcBorders>
              <w:bottom w:val="single" w:sz="4" w:space="0" w:color="auto"/>
            </w:tcBorders>
            <w:shd w:val="clear" w:color="auto" w:fill="auto"/>
          </w:tcPr>
          <w:p w:rsidR="007A0C3D" w:rsidRDefault="007A0C3D" w:rsidP="00E7031B">
            <w:pPr>
              <w:keepNext/>
              <w:keepLines/>
              <w:jc w:val="both"/>
            </w:pPr>
            <w:r>
              <w:t>/s/ Carlotta S. Stauffer</w:t>
            </w:r>
          </w:p>
        </w:tc>
      </w:tr>
      <w:bookmarkEnd w:id="8"/>
      <w:tr w:rsidR="007A0C3D" w:rsidTr="00C316EA">
        <w:tc>
          <w:tcPr>
            <w:tcW w:w="686" w:type="dxa"/>
            <w:shd w:val="clear" w:color="auto" w:fill="auto"/>
          </w:tcPr>
          <w:p w:rsidR="007A0C3D" w:rsidRDefault="007A0C3D" w:rsidP="00C316EA">
            <w:pPr>
              <w:keepNext/>
              <w:keepLines/>
              <w:jc w:val="both"/>
            </w:pPr>
          </w:p>
        </w:tc>
        <w:tc>
          <w:tcPr>
            <w:tcW w:w="4034" w:type="dxa"/>
            <w:tcBorders>
              <w:top w:val="single" w:sz="4" w:space="0" w:color="auto"/>
            </w:tcBorders>
            <w:shd w:val="clear" w:color="auto" w:fill="auto"/>
          </w:tcPr>
          <w:p w:rsidR="007A0C3D" w:rsidRDefault="007A0C3D" w:rsidP="00C316EA">
            <w:pPr>
              <w:keepNext/>
              <w:keepLines/>
              <w:jc w:val="both"/>
            </w:pPr>
            <w:r>
              <w:t>CARLOTTA S. STAUFFER</w:t>
            </w:r>
          </w:p>
          <w:p w:rsidR="007A0C3D" w:rsidRDefault="007A0C3D" w:rsidP="00C316EA">
            <w:pPr>
              <w:keepNext/>
              <w:keepLines/>
              <w:jc w:val="both"/>
            </w:pPr>
            <w:r>
              <w:t>Commission Clerk</w:t>
            </w:r>
          </w:p>
        </w:tc>
      </w:tr>
    </w:tbl>
    <w:p w:rsidR="00C316EA" w:rsidRDefault="00C316EA" w:rsidP="00C316EA">
      <w:pPr>
        <w:pStyle w:val="OrderSigInfo"/>
        <w:keepNext/>
        <w:keepLines/>
      </w:pPr>
      <w:r>
        <w:t>Florida Public Service Commission</w:t>
      </w:r>
    </w:p>
    <w:p w:rsidR="00C316EA" w:rsidRDefault="00C316EA" w:rsidP="00C316EA">
      <w:pPr>
        <w:pStyle w:val="OrderSigInfo"/>
        <w:keepNext/>
        <w:keepLines/>
      </w:pPr>
      <w:r>
        <w:t>2540 Shumard Oak Boulevard</w:t>
      </w:r>
    </w:p>
    <w:p w:rsidR="00C316EA" w:rsidRDefault="00C316EA" w:rsidP="00C316EA">
      <w:pPr>
        <w:pStyle w:val="OrderSigInfo"/>
        <w:keepNext/>
        <w:keepLines/>
      </w:pPr>
      <w:r>
        <w:t>Tallahassee, Florida  32399</w:t>
      </w:r>
    </w:p>
    <w:p w:rsidR="00C316EA" w:rsidRDefault="00C316EA" w:rsidP="00C316EA">
      <w:pPr>
        <w:pStyle w:val="OrderSigInfo"/>
        <w:keepNext/>
        <w:keepLines/>
      </w:pPr>
      <w:r>
        <w:t>(850) 413</w:t>
      </w:r>
      <w:r>
        <w:noBreakHyphen/>
        <w:t>6770</w:t>
      </w:r>
    </w:p>
    <w:p w:rsidR="00C316EA" w:rsidRDefault="00C316EA" w:rsidP="00C316EA">
      <w:pPr>
        <w:pStyle w:val="OrderSigInfo"/>
        <w:keepNext/>
        <w:keepLines/>
      </w:pPr>
      <w:r>
        <w:t>www.floridapsc.com</w:t>
      </w:r>
    </w:p>
    <w:p w:rsidR="00C316EA" w:rsidRDefault="00C316EA" w:rsidP="00C316EA">
      <w:pPr>
        <w:pStyle w:val="OrderSigInfo"/>
        <w:keepNext/>
        <w:keepLines/>
      </w:pPr>
    </w:p>
    <w:p w:rsidR="00C316EA" w:rsidRDefault="00C316EA" w:rsidP="00C316EA">
      <w:pPr>
        <w:pStyle w:val="OrderSigInfo"/>
        <w:keepNext/>
        <w:keepLines/>
      </w:pPr>
      <w:r>
        <w:t>Copies furnished:  A copy of this document is provided to the parties of record at the time of issuance and, if applicable, interested persons.</w:t>
      </w:r>
    </w:p>
    <w:p w:rsidR="00C316EA" w:rsidRDefault="00C316EA" w:rsidP="00C316EA">
      <w:pPr>
        <w:pStyle w:val="OrderBody"/>
        <w:keepNext/>
        <w:keepLines/>
      </w:pPr>
    </w:p>
    <w:p w:rsidR="00C316EA" w:rsidRDefault="00C316EA" w:rsidP="00C316EA">
      <w:pPr>
        <w:keepNext/>
        <w:keepLines/>
        <w:jc w:val="both"/>
      </w:pPr>
    </w:p>
    <w:p w:rsidR="00C316EA" w:rsidRDefault="00C316EA" w:rsidP="00C316EA">
      <w:pPr>
        <w:keepNext/>
        <w:keepLines/>
        <w:jc w:val="both"/>
      </w:pPr>
      <w:r>
        <w:t>SBr</w:t>
      </w:r>
    </w:p>
    <w:p w:rsidR="00C316EA" w:rsidRDefault="00C316EA" w:rsidP="00C316EA">
      <w:pPr>
        <w:jc w:val="both"/>
      </w:pPr>
    </w:p>
    <w:p w:rsidR="00CC5B92" w:rsidRDefault="00CC5B92" w:rsidP="00CC5B92">
      <w:pPr>
        <w:pStyle w:val="CenterUnderline"/>
      </w:pPr>
      <w:r>
        <w:t>NOTICE OF FURTHER PROCEEDINGS OR JUDICIAL REVIEW</w:t>
      </w:r>
    </w:p>
    <w:p w:rsidR="009129B6" w:rsidRDefault="009129B6" w:rsidP="00CC5B92">
      <w:pPr>
        <w:pStyle w:val="OrderBody"/>
      </w:pPr>
    </w:p>
    <w:p w:rsidR="00CC5B92" w:rsidRDefault="00CC5B92" w:rsidP="00CC5B9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C5B92" w:rsidRDefault="00CC5B92" w:rsidP="00CC5B92">
      <w:pPr>
        <w:pStyle w:val="OrderBody"/>
      </w:pPr>
    </w:p>
    <w:p w:rsidR="00CC5B92" w:rsidRDefault="00CC5B92" w:rsidP="00CC5B92">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rsidR="00CC5B92" w:rsidRDefault="00CC5B92" w:rsidP="00CC5B92">
      <w:pPr>
        <w:pStyle w:val="OrderBody"/>
      </w:pPr>
    </w:p>
    <w:p w:rsidR="00CC5B92" w:rsidRDefault="00CC5B92" w:rsidP="00CC5B92">
      <w:pPr>
        <w:pStyle w:val="OrderBody"/>
      </w:pPr>
    </w:p>
    <w:p w:rsidR="00CC5B92" w:rsidRPr="00CC5B92" w:rsidRDefault="00CC5B92" w:rsidP="00CC5B92">
      <w:pPr>
        <w:pStyle w:val="OrderBody"/>
      </w:pPr>
    </w:p>
    <w:p w:rsidR="009129B6" w:rsidRDefault="009129B6">
      <w:r>
        <w:br w:type="page"/>
      </w:r>
    </w:p>
    <w:tbl>
      <w:tblPr>
        <w:tblW w:w="5000" w:type="pct"/>
        <w:tblLook w:val="04A0" w:firstRow="1" w:lastRow="0" w:firstColumn="1" w:lastColumn="0" w:noHBand="0" w:noVBand="1"/>
      </w:tblPr>
      <w:tblGrid>
        <w:gridCol w:w="316"/>
        <w:gridCol w:w="3209"/>
        <w:gridCol w:w="1150"/>
        <w:gridCol w:w="1000"/>
        <w:gridCol w:w="1150"/>
        <w:gridCol w:w="1443"/>
        <w:gridCol w:w="1308"/>
      </w:tblGrid>
      <w:tr w:rsidR="00274E73" w:rsidRPr="006F3F0B" w:rsidTr="00274E73">
        <w:trPr>
          <w:trHeight w:val="315"/>
        </w:trPr>
        <w:tc>
          <w:tcPr>
            <w:tcW w:w="237" w:type="pct"/>
            <w:tcBorders>
              <w:top w:val="single" w:sz="8" w:space="0" w:color="auto"/>
              <w:left w:val="single" w:sz="8" w:space="0" w:color="auto"/>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lastRenderedPageBreak/>
              <w:t> </w:t>
            </w:r>
          </w:p>
        </w:tc>
        <w:tc>
          <w:tcPr>
            <w:tcW w:w="2600" w:type="pct"/>
            <w:gridSpan w:val="2"/>
            <w:tcBorders>
              <w:top w:val="single" w:sz="8" w:space="0" w:color="auto"/>
              <w:left w:val="nil"/>
              <w:bottom w:val="nil"/>
              <w:right w:val="nil"/>
            </w:tcBorders>
            <w:shd w:val="clear" w:color="000000" w:fill="FFFFFF"/>
            <w:noWrap/>
            <w:vAlign w:val="bottom"/>
            <w:hideMark/>
          </w:tcPr>
          <w:p w:rsidR="00274E73" w:rsidRPr="006F3F0B" w:rsidRDefault="00274E73" w:rsidP="00274E73">
            <w:pPr>
              <w:rPr>
                <w:rFonts w:ascii="Arial" w:hAnsi="Arial" w:cs="Arial"/>
                <w:b/>
                <w:bCs/>
              </w:rPr>
            </w:pPr>
            <w:r w:rsidRPr="006F3F0B">
              <w:rPr>
                <w:rFonts w:ascii="Arial" w:hAnsi="Arial" w:cs="Arial"/>
                <w:b/>
                <w:bCs/>
              </w:rPr>
              <w:t>Utilities, Inc. of Sandalhaven</w:t>
            </w:r>
          </w:p>
        </w:tc>
        <w:tc>
          <w:tcPr>
            <w:tcW w:w="541" w:type="pct"/>
            <w:tcBorders>
              <w:top w:val="single" w:sz="8" w:space="0" w:color="auto"/>
              <w:left w:val="nil"/>
              <w:bottom w:val="nil"/>
              <w:right w:val="nil"/>
            </w:tcBorders>
            <w:shd w:val="clear" w:color="000000" w:fill="FFFFFF"/>
            <w:noWrap/>
            <w:vAlign w:val="bottom"/>
            <w:hideMark/>
          </w:tcPr>
          <w:p w:rsidR="00274E73" w:rsidRPr="006F3F0B" w:rsidRDefault="00274E73" w:rsidP="00274E73">
            <w:pPr>
              <w:rPr>
                <w:rFonts w:ascii="Arial" w:hAnsi="Arial" w:cs="Arial"/>
                <w:color w:val="000000"/>
              </w:rPr>
            </w:pPr>
            <w:r w:rsidRPr="006F3F0B">
              <w:rPr>
                <w:rFonts w:ascii="Arial" w:hAnsi="Arial" w:cs="Arial"/>
                <w:color w:val="000000"/>
              </w:rPr>
              <w:t> </w:t>
            </w:r>
          </w:p>
        </w:tc>
        <w:tc>
          <w:tcPr>
            <w:tcW w:w="541" w:type="pct"/>
            <w:tcBorders>
              <w:top w:val="single" w:sz="8" w:space="0" w:color="auto"/>
              <w:left w:val="nil"/>
              <w:bottom w:val="nil"/>
              <w:right w:val="nil"/>
            </w:tcBorders>
            <w:shd w:val="clear" w:color="000000" w:fill="FFFFFF"/>
            <w:noWrap/>
            <w:vAlign w:val="bottom"/>
            <w:hideMark/>
          </w:tcPr>
          <w:p w:rsidR="00274E73" w:rsidRPr="006F3F0B" w:rsidRDefault="00274E73" w:rsidP="00274E73">
            <w:pPr>
              <w:rPr>
                <w:rFonts w:ascii="Arial" w:hAnsi="Arial" w:cs="Arial"/>
                <w:color w:val="000000"/>
              </w:rPr>
            </w:pPr>
            <w:r w:rsidRPr="006F3F0B">
              <w:rPr>
                <w:rFonts w:ascii="Arial" w:hAnsi="Arial" w:cs="Arial"/>
                <w:color w:val="000000"/>
              </w:rPr>
              <w:t> </w:t>
            </w:r>
          </w:p>
        </w:tc>
        <w:tc>
          <w:tcPr>
            <w:tcW w:w="1081" w:type="pct"/>
            <w:gridSpan w:val="2"/>
            <w:tcBorders>
              <w:top w:val="single" w:sz="8" w:space="0" w:color="auto"/>
              <w:left w:val="nil"/>
              <w:bottom w:val="nil"/>
              <w:right w:val="single" w:sz="8" w:space="0" w:color="000000"/>
            </w:tcBorders>
            <w:shd w:val="clear" w:color="000000" w:fill="FFFFFF"/>
            <w:noWrap/>
            <w:vAlign w:val="bottom"/>
            <w:hideMark/>
          </w:tcPr>
          <w:p w:rsidR="00274E73" w:rsidRPr="006F3F0B" w:rsidRDefault="00274E73" w:rsidP="00274E73">
            <w:pPr>
              <w:jc w:val="right"/>
              <w:rPr>
                <w:rFonts w:ascii="Arial" w:hAnsi="Arial" w:cs="Arial"/>
                <w:b/>
                <w:bCs/>
              </w:rPr>
            </w:pPr>
            <w:r w:rsidRPr="006F3F0B">
              <w:rPr>
                <w:rFonts w:ascii="Arial" w:hAnsi="Arial" w:cs="Arial"/>
                <w:b/>
                <w:bCs/>
              </w:rPr>
              <w:t>Schedule No. 1-A</w:t>
            </w:r>
          </w:p>
        </w:tc>
      </w:tr>
      <w:tr w:rsidR="00274E73" w:rsidRPr="006F3F0B" w:rsidTr="00274E73">
        <w:trPr>
          <w:trHeight w:val="315"/>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2600" w:type="pct"/>
            <w:gridSpan w:val="2"/>
            <w:tcBorders>
              <w:top w:val="nil"/>
              <w:left w:val="nil"/>
              <w:bottom w:val="nil"/>
              <w:right w:val="nil"/>
            </w:tcBorders>
            <w:shd w:val="clear" w:color="000000" w:fill="FFFFFF"/>
            <w:noWrap/>
            <w:vAlign w:val="bottom"/>
            <w:hideMark/>
          </w:tcPr>
          <w:p w:rsidR="00274E73" w:rsidRPr="006F3F0B" w:rsidRDefault="00274E73" w:rsidP="00274E73">
            <w:pPr>
              <w:rPr>
                <w:rFonts w:ascii="Arial" w:hAnsi="Arial" w:cs="Arial"/>
                <w:b/>
                <w:bCs/>
              </w:rPr>
            </w:pPr>
            <w:r w:rsidRPr="006F3F0B">
              <w:rPr>
                <w:rFonts w:ascii="Arial" w:hAnsi="Arial" w:cs="Arial"/>
                <w:b/>
                <w:bCs/>
              </w:rPr>
              <w:t>Schedule of Wastewater Rate Base</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rFonts w:ascii="Arial" w:hAnsi="Arial" w:cs="Arial"/>
                <w:color w:val="000000"/>
              </w:rPr>
            </w:pPr>
            <w:r w:rsidRPr="006F3F0B">
              <w:rPr>
                <w:rFonts w:ascii="Arial" w:hAnsi="Arial" w:cs="Arial"/>
                <w:color w:val="00000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rFonts w:ascii="Arial" w:hAnsi="Arial" w:cs="Arial"/>
                <w:color w:val="000000"/>
              </w:rPr>
            </w:pPr>
            <w:r w:rsidRPr="006F3F0B">
              <w:rPr>
                <w:rFonts w:ascii="Arial" w:hAnsi="Arial" w:cs="Arial"/>
                <w:color w:val="000000"/>
              </w:rPr>
              <w:t> </w:t>
            </w:r>
          </w:p>
        </w:tc>
        <w:tc>
          <w:tcPr>
            <w:tcW w:w="1081" w:type="pct"/>
            <w:gridSpan w:val="2"/>
            <w:tcBorders>
              <w:top w:val="nil"/>
              <w:left w:val="nil"/>
              <w:bottom w:val="nil"/>
              <w:right w:val="single" w:sz="8" w:space="0" w:color="000000"/>
            </w:tcBorders>
            <w:shd w:val="clear" w:color="000000" w:fill="FFFFFF"/>
            <w:noWrap/>
            <w:vAlign w:val="bottom"/>
            <w:hideMark/>
          </w:tcPr>
          <w:p w:rsidR="00274E73" w:rsidRPr="006F3F0B" w:rsidRDefault="00274E73" w:rsidP="00274E73">
            <w:pPr>
              <w:jc w:val="right"/>
              <w:rPr>
                <w:rFonts w:ascii="Arial" w:hAnsi="Arial" w:cs="Arial"/>
                <w:b/>
                <w:bCs/>
              </w:rPr>
            </w:pPr>
            <w:r w:rsidRPr="006F3F0B">
              <w:rPr>
                <w:rFonts w:ascii="Arial" w:hAnsi="Arial" w:cs="Arial"/>
                <w:b/>
                <w:bCs/>
              </w:rPr>
              <w:t>Docket No. 150102-SU</w:t>
            </w:r>
          </w:p>
        </w:tc>
      </w:tr>
      <w:tr w:rsidR="00274E73" w:rsidRPr="006F3F0B" w:rsidTr="00274E73">
        <w:trPr>
          <w:trHeight w:val="330"/>
        </w:trPr>
        <w:tc>
          <w:tcPr>
            <w:tcW w:w="237" w:type="pct"/>
            <w:tcBorders>
              <w:top w:val="nil"/>
              <w:left w:val="single" w:sz="8" w:space="0" w:color="auto"/>
              <w:bottom w:val="single" w:sz="8" w:space="0" w:color="auto"/>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1953" w:type="pct"/>
            <w:tcBorders>
              <w:top w:val="nil"/>
              <w:left w:val="nil"/>
              <w:bottom w:val="single" w:sz="8" w:space="0" w:color="auto"/>
              <w:right w:val="nil"/>
            </w:tcBorders>
            <w:shd w:val="clear" w:color="000000" w:fill="FFFFFF"/>
            <w:noWrap/>
            <w:vAlign w:val="bottom"/>
            <w:hideMark/>
          </w:tcPr>
          <w:p w:rsidR="00274E73" w:rsidRPr="006F3F0B" w:rsidRDefault="00274E73" w:rsidP="00274E73">
            <w:pPr>
              <w:rPr>
                <w:rFonts w:ascii="Arial" w:hAnsi="Arial" w:cs="Arial"/>
                <w:b/>
                <w:bCs/>
              </w:rPr>
            </w:pPr>
            <w:r w:rsidRPr="006F3F0B">
              <w:rPr>
                <w:rFonts w:ascii="Arial" w:hAnsi="Arial" w:cs="Arial"/>
                <w:b/>
                <w:bCs/>
              </w:rPr>
              <w:t>Test Year Ended 12/31/14</w:t>
            </w:r>
          </w:p>
        </w:tc>
        <w:tc>
          <w:tcPr>
            <w:tcW w:w="647" w:type="pct"/>
            <w:tcBorders>
              <w:top w:val="nil"/>
              <w:left w:val="nil"/>
              <w:bottom w:val="single" w:sz="8" w:space="0" w:color="auto"/>
              <w:right w:val="nil"/>
            </w:tcBorders>
            <w:shd w:val="clear" w:color="000000" w:fill="FFFFFF"/>
            <w:noWrap/>
            <w:vAlign w:val="bottom"/>
            <w:hideMark/>
          </w:tcPr>
          <w:p w:rsidR="00274E73" w:rsidRPr="006F3F0B" w:rsidRDefault="00274E73" w:rsidP="00274E73">
            <w:pPr>
              <w:rPr>
                <w:rFonts w:ascii="Arial" w:hAnsi="Arial" w:cs="Arial"/>
                <w:color w:val="000000"/>
              </w:rPr>
            </w:pPr>
            <w:r w:rsidRPr="006F3F0B">
              <w:rPr>
                <w:rFonts w:ascii="Arial" w:hAnsi="Arial" w:cs="Arial"/>
                <w:color w:val="000000"/>
              </w:rPr>
              <w:t> </w:t>
            </w:r>
          </w:p>
        </w:tc>
        <w:tc>
          <w:tcPr>
            <w:tcW w:w="541" w:type="pct"/>
            <w:tcBorders>
              <w:top w:val="nil"/>
              <w:left w:val="nil"/>
              <w:bottom w:val="single" w:sz="8" w:space="0" w:color="auto"/>
              <w:right w:val="nil"/>
            </w:tcBorders>
            <w:shd w:val="clear" w:color="000000" w:fill="FFFFFF"/>
            <w:noWrap/>
            <w:vAlign w:val="bottom"/>
            <w:hideMark/>
          </w:tcPr>
          <w:p w:rsidR="00274E73" w:rsidRPr="006F3F0B" w:rsidRDefault="00274E73" w:rsidP="00274E73">
            <w:pPr>
              <w:rPr>
                <w:rFonts w:ascii="Arial" w:hAnsi="Arial" w:cs="Arial"/>
                <w:color w:val="000000"/>
              </w:rPr>
            </w:pPr>
            <w:r w:rsidRPr="006F3F0B">
              <w:rPr>
                <w:rFonts w:ascii="Arial" w:hAnsi="Arial" w:cs="Arial"/>
                <w:color w:val="000000"/>
              </w:rPr>
              <w:t> </w:t>
            </w:r>
          </w:p>
        </w:tc>
        <w:tc>
          <w:tcPr>
            <w:tcW w:w="541" w:type="pct"/>
            <w:tcBorders>
              <w:top w:val="nil"/>
              <w:left w:val="nil"/>
              <w:bottom w:val="single" w:sz="8" w:space="0" w:color="auto"/>
              <w:right w:val="nil"/>
            </w:tcBorders>
            <w:shd w:val="clear" w:color="000000" w:fill="FFFFFF"/>
            <w:noWrap/>
            <w:vAlign w:val="bottom"/>
            <w:hideMark/>
          </w:tcPr>
          <w:p w:rsidR="00274E73" w:rsidRPr="006F3F0B" w:rsidRDefault="00274E73" w:rsidP="00274E73">
            <w:pPr>
              <w:rPr>
                <w:rFonts w:ascii="Arial" w:hAnsi="Arial" w:cs="Arial"/>
                <w:color w:val="000000"/>
              </w:rPr>
            </w:pPr>
            <w:r w:rsidRPr="006F3F0B">
              <w:rPr>
                <w:rFonts w:ascii="Arial" w:hAnsi="Arial" w:cs="Arial"/>
                <w:color w:val="000000"/>
              </w:rPr>
              <w:t> </w:t>
            </w:r>
          </w:p>
        </w:tc>
        <w:tc>
          <w:tcPr>
            <w:tcW w:w="567" w:type="pct"/>
            <w:tcBorders>
              <w:top w:val="nil"/>
              <w:left w:val="nil"/>
              <w:bottom w:val="single" w:sz="8" w:space="0" w:color="auto"/>
              <w:right w:val="nil"/>
            </w:tcBorders>
            <w:shd w:val="clear" w:color="000000" w:fill="FFFFFF"/>
            <w:noWrap/>
            <w:vAlign w:val="bottom"/>
            <w:hideMark/>
          </w:tcPr>
          <w:p w:rsidR="00274E73" w:rsidRPr="006F3F0B" w:rsidRDefault="00274E73" w:rsidP="00274E73">
            <w:pPr>
              <w:rPr>
                <w:rFonts w:ascii="Arial" w:hAnsi="Arial" w:cs="Arial"/>
                <w:color w:val="000000"/>
              </w:rPr>
            </w:pPr>
            <w:r w:rsidRPr="006F3F0B">
              <w:rPr>
                <w:rFonts w:ascii="Arial" w:hAnsi="Arial" w:cs="Arial"/>
                <w:color w:val="000000"/>
              </w:rPr>
              <w:t> </w:t>
            </w:r>
          </w:p>
        </w:tc>
        <w:tc>
          <w:tcPr>
            <w:tcW w:w="514" w:type="pct"/>
            <w:tcBorders>
              <w:top w:val="nil"/>
              <w:left w:val="nil"/>
              <w:bottom w:val="single" w:sz="8" w:space="0" w:color="auto"/>
              <w:right w:val="single" w:sz="8" w:space="0" w:color="auto"/>
            </w:tcBorders>
            <w:shd w:val="clear" w:color="000000" w:fill="FFFFFF"/>
            <w:noWrap/>
            <w:vAlign w:val="bottom"/>
            <w:hideMark/>
          </w:tcPr>
          <w:p w:rsidR="00274E73" w:rsidRPr="006F3F0B" w:rsidRDefault="00274E73" w:rsidP="00274E73">
            <w:pPr>
              <w:rPr>
                <w:rFonts w:ascii="Arial" w:hAnsi="Arial" w:cs="Arial"/>
              </w:rPr>
            </w:pPr>
            <w:r w:rsidRPr="006F3F0B">
              <w:rPr>
                <w:rFonts w:ascii="Arial" w:hAnsi="Arial" w:cs="Arial"/>
              </w:rPr>
              <w:t>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rFonts w:ascii="Arial" w:hAnsi="Arial" w:cs="Arial"/>
                <w:b/>
                <w:bCs/>
                <w:sz w:val="20"/>
                <w:szCs w:val="20"/>
              </w:rPr>
            </w:pPr>
            <w:r w:rsidRPr="006F3F0B">
              <w:rPr>
                <w:rFonts w:ascii="Arial" w:hAnsi="Arial" w:cs="Arial"/>
                <w:b/>
                <w:bCs/>
                <w:sz w:val="20"/>
                <w:szCs w:val="20"/>
              </w:rPr>
              <w:t> </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Test Year</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Utility</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Adjusted</w:t>
            </w:r>
          </w:p>
        </w:tc>
        <w:tc>
          <w:tcPr>
            <w:tcW w:w="567" w:type="pct"/>
            <w:tcBorders>
              <w:top w:val="nil"/>
              <w:left w:val="nil"/>
              <w:bottom w:val="nil"/>
              <w:right w:val="nil"/>
            </w:tcBorders>
            <w:shd w:val="clear" w:color="000000" w:fill="FFFFFF"/>
            <w:noWrap/>
            <w:vAlign w:val="bottom"/>
            <w:hideMark/>
          </w:tcPr>
          <w:p w:rsidR="00274E73" w:rsidRPr="006F3F0B" w:rsidRDefault="000B0E05" w:rsidP="00274E73">
            <w:pPr>
              <w:jc w:val="center"/>
              <w:rPr>
                <w:rFonts w:ascii="Arial" w:hAnsi="Arial" w:cs="Arial"/>
                <w:b/>
                <w:bCs/>
                <w:sz w:val="20"/>
                <w:szCs w:val="20"/>
              </w:rPr>
            </w:pPr>
            <w:r>
              <w:rPr>
                <w:rFonts w:ascii="Arial" w:hAnsi="Arial" w:cs="Arial"/>
                <w:b/>
                <w:bCs/>
                <w:sz w:val="20"/>
                <w:szCs w:val="20"/>
              </w:rPr>
              <w:t>Comm.</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0B0E05" w:rsidP="00274E73">
            <w:pPr>
              <w:jc w:val="center"/>
              <w:rPr>
                <w:rFonts w:ascii="Arial" w:hAnsi="Arial" w:cs="Arial"/>
                <w:b/>
                <w:bCs/>
                <w:sz w:val="20"/>
                <w:szCs w:val="20"/>
              </w:rPr>
            </w:pPr>
            <w:r>
              <w:rPr>
                <w:rFonts w:ascii="Arial" w:hAnsi="Arial" w:cs="Arial"/>
                <w:b/>
                <w:bCs/>
                <w:sz w:val="20"/>
                <w:szCs w:val="20"/>
              </w:rPr>
              <w:t>Approved</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rFonts w:ascii="Arial" w:hAnsi="Arial" w:cs="Arial"/>
                <w:b/>
                <w:bCs/>
                <w:sz w:val="20"/>
                <w:szCs w:val="20"/>
              </w:rPr>
            </w:pPr>
            <w:r w:rsidRPr="006F3F0B">
              <w:rPr>
                <w:rFonts w:ascii="Arial" w:hAnsi="Arial" w:cs="Arial"/>
                <w:b/>
                <w:bCs/>
                <w:sz w:val="20"/>
                <w:szCs w:val="20"/>
              </w:rPr>
              <w:t> </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Per</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Adjust-</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Test Year</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Adjust-</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Adjusted</w:t>
            </w:r>
          </w:p>
        </w:tc>
      </w:tr>
      <w:tr w:rsidR="00274E73" w:rsidRPr="006F3F0B" w:rsidTr="00274E73">
        <w:trPr>
          <w:trHeight w:val="315"/>
        </w:trPr>
        <w:tc>
          <w:tcPr>
            <w:tcW w:w="237" w:type="pct"/>
            <w:tcBorders>
              <w:top w:val="nil"/>
              <w:left w:val="single" w:sz="8" w:space="0" w:color="auto"/>
              <w:bottom w:val="single" w:sz="8" w:space="0" w:color="auto"/>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1953" w:type="pct"/>
            <w:tcBorders>
              <w:top w:val="nil"/>
              <w:left w:val="nil"/>
              <w:bottom w:val="single" w:sz="8" w:space="0" w:color="auto"/>
              <w:right w:val="nil"/>
            </w:tcBorders>
            <w:shd w:val="clear" w:color="000000" w:fill="FFFFFF"/>
            <w:noWrap/>
            <w:vAlign w:val="bottom"/>
            <w:hideMark/>
          </w:tcPr>
          <w:p w:rsidR="00274E73" w:rsidRPr="006F3F0B" w:rsidRDefault="00274E73" w:rsidP="00274E73">
            <w:pPr>
              <w:rPr>
                <w:rFonts w:ascii="Arial" w:hAnsi="Arial" w:cs="Arial"/>
                <w:b/>
                <w:bCs/>
                <w:sz w:val="20"/>
                <w:szCs w:val="20"/>
              </w:rPr>
            </w:pPr>
            <w:r w:rsidRPr="006F3F0B">
              <w:rPr>
                <w:rFonts w:ascii="Arial" w:hAnsi="Arial" w:cs="Arial"/>
                <w:b/>
                <w:bCs/>
                <w:sz w:val="20"/>
                <w:szCs w:val="20"/>
              </w:rPr>
              <w:t>Description</w:t>
            </w:r>
          </w:p>
        </w:tc>
        <w:tc>
          <w:tcPr>
            <w:tcW w:w="647" w:type="pct"/>
            <w:tcBorders>
              <w:top w:val="nil"/>
              <w:left w:val="nil"/>
              <w:bottom w:val="single" w:sz="8" w:space="0" w:color="auto"/>
              <w:right w:val="nil"/>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Utility</w:t>
            </w:r>
          </w:p>
        </w:tc>
        <w:tc>
          <w:tcPr>
            <w:tcW w:w="541" w:type="pct"/>
            <w:tcBorders>
              <w:top w:val="nil"/>
              <w:left w:val="nil"/>
              <w:bottom w:val="single" w:sz="8" w:space="0" w:color="auto"/>
              <w:right w:val="nil"/>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ments</w:t>
            </w:r>
          </w:p>
        </w:tc>
        <w:tc>
          <w:tcPr>
            <w:tcW w:w="541" w:type="pct"/>
            <w:tcBorders>
              <w:top w:val="nil"/>
              <w:left w:val="nil"/>
              <w:bottom w:val="single" w:sz="8" w:space="0" w:color="auto"/>
              <w:right w:val="nil"/>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Per Utility</w:t>
            </w:r>
          </w:p>
        </w:tc>
        <w:tc>
          <w:tcPr>
            <w:tcW w:w="567" w:type="pct"/>
            <w:tcBorders>
              <w:top w:val="nil"/>
              <w:left w:val="nil"/>
              <w:bottom w:val="single" w:sz="8" w:space="0" w:color="auto"/>
              <w:right w:val="nil"/>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ments</w:t>
            </w:r>
          </w:p>
        </w:tc>
        <w:tc>
          <w:tcPr>
            <w:tcW w:w="514" w:type="pct"/>
            <w:tcBorders>
              <w:top w:val="nil"/>
              <w:left w:val="nil"/>
              <w:bottom w:val="single" w:sz="8" w:space="0" w:color="auto"/>
              <w:right w:val="single" w:sz="8" w:space="0" w:color="auto"/>
            </w:tcBorders>
            <w:shd w:val="clear" w:color="000000" w:fill="FFFFFF"/>
            <w:noWrap/>
            <w:vAlign w:val="bottom"/>
            <w:hideMark/>
          </w:tcPr>
          <w:p w:rsidR="00274E73" w:rsidRPr="006F3F0B" w:rsidRDefault="00274E73" w:rsidP="00274E73">
            <w:pPr>
              <w:jc w:val="center"/>
              <w:rPr>
                <w:rFonts w:ascii="Arial" w:hAnsi="Arial" w:cs="Arial"/>
                <w:b/>
                <w:bCs/>
                <w:sz w:val="20"/>
                <w:szCs w:val="20"/>
              </w:rPr>
            </w:pPr>
            <w:r w:rsidRPr="006F3F0B">
              <w:rPr>
                <w:rFonts w:ascii="Arial" w:hAnsi="Arial" w:cs="Arial"/>
                <w:b/>
                <w:bCs/>
                <w:sz w:val="20"/>
                <w:szCs w:val="20"/>
              </w:rPr>
              <w:t>Test Year</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1</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Plant in Service</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$8,571,371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($16,502)</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$8,554,869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$0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$8,554,869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 </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2</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Land and Land Rights</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157,487</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209</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157,696</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jc w:val="right"/>
              <w:rPr>
                <w:sz w:val="20"/>
                <w:szCs w:val="20"/>
              </w:rPr>
            </w:pPr>
            <w:r>
              <w:rPr>
                <w:sz w:val="20"/>
                <w:szCs w:val="20"/>
              </w:rPr>
              <w:t>157,696</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 </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3</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Non-used and Useful Components</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0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0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0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(2,</w:t>
            </w:r>
            <w:r>
              <w:rPr>
                <w:sz w:val="20"/>
                <w:szCs w:val="20"/>
              </w:rPr>
              <w:t>728,449</w:t>
            </w:r>
            <w:r w:rsidRPr="006F3F0B">
              <w:rPr>
                <w:sz w:val="20"/>
                <w:szCs w:val="20"/>
              </w:rPr>
              <w:t>)</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(2,</w:t>
            </w:r>
            <w:r>
              <w:rPr>
                <w:sz w:val="20"/>
                <w:szCs w:val="20"/>
              </w:rPr>
              <w:t>728,449</w:t>
            </w:r>
            <w:r w:rsidRPr="006F3F0B">
              <w:rPr>
                <w:sz w:val="20"/>
                <w:szCs w:val="20"/>
              </w:rPr>
              <w:t>)</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 </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4</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Accumulated Depreciation</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(3,712,738)</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20,172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(3,692,566)</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0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(3,692,566)</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 </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5</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CIAC</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(3,276,640)</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0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(3,276,640)</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0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(3,276,640)</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 </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6</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Amortization of CIAC</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1,595,021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0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1,595,021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0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1,595,021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 </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7</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Construction Work in Progress</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134,200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(134,200)</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0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0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jc w:val="right"/>
              <w:rPr>
                <w:sz w:val="20"/>
                <w:szCs w:val="20"/>
              </w:rPr>
            </w:pPr>
            <w:r w:rsidRPr="006F3F0B">
              <w:rPr>
                <w:sz w:val="20"/>
                <w:szCs w:val="20"/>
              </w:rPr>
              <w:t xml:space="preserve">0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 </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8</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Working Capital Allowance</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u w:val="single"/>
              </w:rPr>
            </w:pPr>
            <w:r w:rsidRPr="006F3F0B">
              <w:rPr>
                <w:sz w:val="20"/>
                <w:szCs w:val="20"/>
                <w:u w:val="single"/>
              </w:rPr>
              <w:t xml:space="preserve">0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u w:val="single"/>
              </w:rPr>
            </w:pPr>
            <w:r w:rsidRPr="006F3F0B">
              <w:rPr>
                <w:sz w:val="20"/>
                <w:szCs w:val="20"/>
                <w:u w:val="single"/>
              </w:rPr>
              <w:t xml:space="preserve">73,343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u w:val="single"/>
              </w:rPr>
            </w:pPr>
            <w:r w:rsidRPr="006F3F0B">
              <w:rPr>
                <w:sz w:val="20"/>
                <w:szCs w:val="20"/>
                <w:u w:val="single"/>
              </w:rPr>
              <w:t xml:space="preserve">73,343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u w:val="single"/>
              </w:rPr>
            </w:pPr>
            <w:r w:rsidRPr="006F3F0B">
              <w:rPr>
                <w:sz w:val="20"/>
                <w:szCs w:val="20"/>
                <w:u w:val="single"/>
              </w:rPr>
              <w:t>(5,098)</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jc w:val="right"/>
              <w:rPr>
                <w:sz w:val="20"/>
                <w:szCs w:val="20"/>
                <w:u w:val="single"/>
              </w:rPr>
            </w:pPr>
            <w:r w:rsidRPr="006F3F0B">
              <w:rPr>
                <w:sz w:val="20"/>
                <w:szCs w:val="20"/>
                <w:u w:val="single"/>
              </w:rPr>
              <w:t xml:space="preserve">68,245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rPr>
                <w:color w:val="000000"/>
                <w:sz w:val="20"/>
                <w:szCs w:val="20"/>
              </w:rPr>
            </w:pPr>
            <w:r w:rsidRPr="006F3F0B">
              <w:rPr>
                <w:color w:val="000000"/>
                <w:sz w:val="20"/>
                <w:szCs w:val="20"/>
              </w:rPr>
              <w:t> </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r>
      <w:tr w:rsidR="00274E73" w:rsidRPr="006F3F0B" w:rsidTr="00274E73">
        <w:trPr>
          <w:trHeight w:val="300"/>
        </w:trPr>
        <w:tc>
          <w:tcPr>
            <w:tcW w:w="237" w:type="pct"/>
            <w:tcBorders>
              <w:top w:val="nil"/>
              <w:left w:val="single" w:sz="8" w:space="0" w:color="auto"/>
              <w:bottom w:val="nil"/>
              <w:right w:val="nil"/>
            </w:tcBorders>
            <w:shd w:val="clear" w:color="000000" w:fill="FFFFFF"/>
            <w:noWrap/>
            <w:vAlign w:val="bottom"/>
            <w:hideMark/>
          </w:tcPr>
          <w:p w:rsidR="00274E73" w:rsidRPr="006F3F0B" w:rsidRDefault="00274E73" w:rsidP="00274E73">
            <w:pPr>
              <w:jc w:val="center"/>
              <w:rPr>
                <w:sz w:val="20"/>
                <w:szCs w:val="20"/>
              </w:rPr>
            </w:pPr>
            <w:r w:rsidRPr="006F3F0B">
              <w:rPr>
                <w:sz w:val="20"/>
                <w:szCs w:val="20"/>
              </w:rPr>
              <w:t>9</w:t>
            </w:r>
          </w:p>
        </w:tc>
        <w:tc>
          <w:tcPr>
            <w:tcW w:w="1953" w:type="pct"/>
            <w:tcBorders>
              <w:top w:val="nil"/>
              <w:left w:val="nil"/>
              <w:bottom w:val="nil"/>
              <w:right w:val="nil"/>
            </w:tcBorders>
            <w:shd w:val="clear" w:color="000000" w:fill="FFFFFF"/>
            <w:noWrap/>
            <w:vAlign w:val="bottom"/>
            <w:hideMark/>
          </w:tcPr>
          <w:p w:rsidR="00274E73" w:rsidRPr="006F3F0B" w:rsidRDefault="00274E73" w:rsidP="00274E73">
            <w:pPr>
              <w:rPr>
                <w:b/>
                <w:bCs/>
                <w:sz w:val="20"/>
                <w:szCs w:val="20"/>
              </w:rPr>
            </w:pPr>
            <w:r w:rsidRPr="006F3F0B">
              <w:rPr>
                <w:b/>
                <w:bCs/>
                <w:sz w:val="20"/>
                <w:szCs w:val="20"/>
              </w:rPr>
              <w:t>Rate Base</w:t>
            </w:r>
          </w:p>
        </w:tc>
        <w:tc>
          <w:tcPr>
            <w:tcW w:w="64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u w:val="double"/>
              </w:rPr>
            </w:pPr>
            <w:r w:rsidRPr="006F3F0B">
              <w:rPr>
                <w:sz w:val="20"/>
                <w:szCs w:val="20"/>
                <w:u w:val="double"/>
              </w:rPr>
              <w:t xml:space="preserve">$3,468,701 </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u w:val="double"/>
              </w:rPr>
            </w:pPr>
            <w:r w:rsidRPr="006F3F0B">
              <w:rPr>
                <w:sz w:val="20"/>
                <w:szCs w:val="20"/>
                <w:u w:val="double"/>
              </w:rPr>
              <w:t>($56,978)</w:t>
            </w:r>
          </w:p>
        </w:tc>
        <w:tc>
          <w:tcPr>
            <w:tcW w:w="541"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u w:val="double"/>
              </w:rPr>
            </w:pPr>
            <w:r w:rsidRPr="006F3F0B">
              <w:rPr>
                <w:sz w:val="20"/>
                <w:szCs w:val="20"/>
                <w:u w:val="double"/>
              </w:rPr>
              <w:t xml:space="preserve">$3,411,723 </w:t>
            </w:r>
          </w:p>
        </w:tc>
        <w:tc>
          <w:tcPr>
            <w:tcW w:w="567" w:type="pct"/>
            <w:tcBorders>
              <w:top w:val="nil"/>
              <w:left w:val="nil"/>
              <w:bottom w:val="nil"/>
              <w:right w:val="nil"/>
            </w:tcBorders>
            <w:shd w:val="clear" w:color="000000" w:fill="FFFFFF"/>
            <w:noWrap/>
            <w:vAlign w:val="bottom"/>
            <w:hideMark/>
          </w:tcPr>
          <w:p w:rsidR="00274E73" w:rsidRPr="006F3F0B" w:rsidRDefault="00274E73" w:rsidP="00274E73">
            <w:pPr>
              <w:jc w:val="right"/>
              <w:rPr>
                <w:sz w:val="20"/>
                <w:szCs w:val="20"/>
                <w:u w:val="double"/>
              </w:rPr>
            </w:pPr>
            <w:r w:rsidRPr="006F3F0B">
              <w:rPr>
                <w:sz w:val="20"/>
                <w:szCs w:val="20"/>
                <w:u w:val="double"/>
              </w:rPr>
              <w:t>($2,733,547)</w:t>
            </w:r>
          </w:p>
        </w:tc>
        <w:tc>
          <w:tcPr>
            <w:tcW w:w="514" w:type="pct"/>
            <w:tcBorders>
              <w:top w:val="nil"/>
              <w:left w:val="nil"/>
              <w:bottom w:val="nil"/>
              <w:right w:val="single" w:sz="8" w:space="0" w:color="auto"/>
            </w:tcBorders>
            <w:shd w:val="clear" w:color="000000" w:fill="FFFFFF"/>
            <w:noWrap/>
            <w:vAlign w:val="bottom"/>
            <w:hideMark/>
          </w:tcPr>
          <w:p w:rsidR="00274E73" w:rsidRPr="006F3F0B" w:rsidRDefault="00274E73" w:rsidP="00274E73">
            <w:pPr>
              <w:jc w:val="right"/>
              <w:rPr>
                <w:sz w:val="20"/>
                <w:szCs w:val="20"/>
                <w:u w:val="double"/>
              </w:rPr>
            </w:pPr>
            <w:r w:rsidRPr="006F3F0B">
              <w:rPr>
                <w:sz w:val="20"/>
                <w:szCs w:val="20"/>
                <w:u w:val="double"/>
              </w:rPr>
              <w:t xml:space="preserve">$678,176 </w:t>
            </w:r>
          </w:p>
        </w:tc>
      </w:tr>
      <w:tr w:rsidR="00274E73" w:rsidRPr="006F3F0B" w:rsidTr="00274E73">
        <w:trPr>
          <w:trHeight w:val="315"/>
        </w:trPr>
        <w:tc>
          <w:tcPr>
            <w:tcW w:w="237" w:type="pct"/>
            <w:tcBorders>
              <w:top w:val="nil"/>
              <w:left w:val="single" w:sz="8" w:space="0" w:color="auto"/>
              <w:bottom w:val="single" w:sz="8" w:space="0" w:color="auto"/>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1953" w:type="pct"/>
            <w:tcBorders>
              <w:top w:val="nil"/>
              <w:left w:val="nil"/>
              <w:bottom w:val="single" w:sz="8" w:space="0" w:color="auto"/>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647" w:type="pct"/>
            <w:tcBorders>
              <w:top w:val="nil"/>
              <w:left w:val="nil"/>
              <w:bottom w:val="single" w:sz="8" w:space="0" w:color="auto"/>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single" w:sz="8" w:space="0" w:color="auto"/>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41" w:type="pct"/>
            <w:tcBorders>
              <w:top w:val="nil"/>
              <w:left w:val="nil"/>
              <w:bottom w:val="single" w:sz="8" w:space="0" w:color="auto"/>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67" w:type="pct"/>
            <w:tcBorders>
              <w:top w:val="nil"/>
              <w:left w:val="nil"/>
              <w:bottom w:val="single" w:sz="8" w:space="0" w:color="auto"/>
              <w:right w:val="nil"/>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c>
          <w:tcPr>
            <w:tcW w:w="514" w:type="pct"/>
            <w:tcBorders>
              <w:top w:val="nil"/>
              <w:left w:val="nil"/>
              <w:bottom w:val="single" w:sz="8" w:space="0" w:color="auto"/>
              <w:right w:val="single" w:sz="8" w:space="0" w:color="auto"/>
            </w:tcBorders>
            <w:shd w:val="clear" w:color="000000" w:fill="FFFFFF"/>
            <w:noWrap/>
            <w:vAlign w:val="bottom"/>
            <w:hideMark/>
          </w:tcPr>
          <w:p w:rsidR="00274E73" w:rsidRPr="006F3F0B" w:rsidRDefault="00274E73" w:rsidP="00274E73">
            <w:pPr>
              <w:rPr>
                <w:sz w:val="20"/>
                <w:szCs w:val="20"/>
              </w:rPr>
            </w:pPr>
            <w:r w:rsidRPr="006F3F0B">
              <w:rPr>
                <w:sz w:val="20"/>
                <w:szCs w:val="20"/>
              </w:rPr>
              <w:t> </w:t>
            </w:r>
          </w:p>
        </w:tc>
      </w:tr>
    </w:tbl>
    <w:p w:rsidR="00274E73" w:rsidRDefault="00274E73" w:rsidP="00274E73"/>
    <w:p w:rsidR="00274E73" w:rsidRPr="00274E73" w:rsidRDefault="00274E73" w:rsidP="00274E73"/>
    <w:p w:rsidR="00274E73" w:rsidRPr="00274E73" w:rsidRDefault="00274E73" w:rsidP="00274E73"/>
    <w:p w:rsidR="00274E73" w:rsidRDefault="00274E73">
      <w:r>
        <w:br w:type="page"/>
      </w:r>
    </w:p>
    <w:p w:rsidR="00274E73" w:rsidRDefault="00274E73" w:rsidP="00274E73"/>
    <w:tbl>
      <w:tblPr>
        <w:tblW w:w="5000" w:type="pct"/>
        <w:tblLook w:val="04A0" w:firstRow="1" w:lastRow="0" w:firstColumn="1" w:lastColumn="0" w:noHBand="0" w:noVBand="1"/>
      </w:tblPr>
      <w:tblGrid>
        <w:gridCol w:w="316"/>
        <w:gridCol w:w="6261"/>
        <w:gridCol w:w="997"/>
        <w:gridCol w:w="2002"/>
      </w:tblGrid>
      <w:tr w:rsidR="00274E73" w:rsidRPr="00A63BAB" w:rsidTr="00274E73">
        <w:trPr>
          <w:trHeight w:val="315"/>
        </w:trPr>
        <w:tc>
          <w:tcPr>
            <w:tcW w:w="157" w:type="pct"/>
            <w:tcBorders>
              <w:top w:val="single" w:sz="8" w:space="0" w:color="auto"/>
              <w:left w:val="single" w:sz="8" w:space="0" w:color="auto"/>
              <w:bottom w:val="nil"/>
              <w:right w:val="nil"/>
            </w:tcBorders>
            <w:shd w:val="clear" w:color="000000" w:fill="FFFFFF"/>
            <w:noWrap/>
            <w:vAlign w:val="bottom"/>
            <w:hideMark/>
          </w:tcPr>
          <w:p w:rsidR="00274E73" w:rsidRPr="00A63BAB" w:rsidRDefault="00274E73" w:rsidP="00274E73">
            <w:pPr>
              <w:rPr>
                <w:rFonts w:ascii="Arial" w:hAnsi="Arial" w:cs="Arial"/>
              </w:rPr>
            </w:pPr>
            <w:r w:rsidRPr="00A63BAB">
              <w:rPr>
                <w:rFonts w:ascii="Arial" w:hAnsi="Arial" w:cs="Arial"/>
              </w:rPr>
              <w:t> </w:t>
            </w:r>
          </w:p>
        </w:tc>
        <w:tc>
          <w:tcPr>
            <w:tcW w:w="3272" w:type="pct"/>
            <w:tcBorders>
              <w:top w:val="single" w:sz="8" w:space="0" w:color="auto"/>
              <w:left w:val="nil"/>
              <w:bottom w:val="nil"/>
              <w:right w:val="nil"/>
            </w:tcBorders>
            <w:shd w:val="clear" w:color="auto" w:fill="auto"/>
            <w:noWrap/>
            <w:vAlign w:val="bottom"/>
            <w:hideMark/>
          </w:tcPr>
          <w:p w:rsidR="00274E73" w:rsidRPr="00A63BAB" w:rsidRDefault="00274E73" w:rsidP="00274E73">
            <w:pPr>
              <w:rPr>
                <w:rFonts w:ascii="Arial" w:hAnsi="Arial" w:cs="Arial"/>
                <w:b/>
                <w:bCs/>
              </w:rPr>
            </w:pPr>
            <w:r w:rsidRPr="00A63BAB">
              <w:rPr>
                <w:rFonts w:ascii="Arial" w:hAnsi="Arial" w:cs="Arial"/>
                <w:b/>
                <w:bCs/>
              </w:rPr>
              <w:t>Utilities, Inc. of Sandalhaven</w:t>
            </w:r>
          </w:p>
        </w:tc>
        <w:tc>
          <w:tcPr>
            <w:tcW w:w="1570" w:type="pct"/>
            <w:gridSpan w:val="2"/>
            <w:tcBorders>
              <w:top w:val="single" w:sz="8" w:space="0" w:color="auto"/>
              <w:left w:val="nil"/>
              <w:bottom w:val="nil"/>
              <w:right w:val="single" w:sz="8" w:space="0" w:color="000000"/>
            </w:tcBorders>
            <w:shd w:val="clear" w:color="000000" w:fill="FFFFFF"/>
            <w:noWrap/>
            <w:vAlign w:val="bottom"/>
            <w:hideMark/>
          </w:tcPr>
          <w:p w:rsidR="00274E73" w:rsidRPr="00A63BAB" w:rsidRDefault="00274E73" w:rsidP="00274E73">
            <w:pPr>
              <w:jc w:val="right"/>
              <w:rPr>
                <w:rFonts w:ascii="Arial" w:hAnsi="Arial" w:cs="Arial"/>
                <w:b/>
                <w:bCs/>
              </w:rPr>
            </w:pPr>
            <w:r w:rsidRPr="00A63BAB">
              <w:rPr>
                <w:rFonts w:ascii="Arial" w:hAnsi="Arial" w:cs="Arial"/>
                <w:b/>
                <w:bCs/>
              </w:rPr>
              <w:t>Schedule No. 1-B</w:t>
            </w:r>
          </w:p>
        </w:tc>
      </w:tr>
      <w:tr w:rsidR="00274E73" w:rsidRPr="00A63BAB" w:rsidTr="00274E73">
        <w:trPr>
          <w:trHeight w:val="315"/>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rPr>
                <w:rFonts w:ascii="Arial" w:hAnsi="Arial" w:cs="Arial"/>
              </w:rPr>
            </w:pPr>
            <w:r w:rsidRPr="00A63BAB">
              <w:rPr>
                <w:rFonts w:ascii="Arial" w:hAnsi="Arial" w:cs="Arial"/>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rFonts w:ascii="Arial" w:hAnsi="Arial" w:cs="Arial"/>
                <w:b/>
                <w:bCs/>
              </w:rPr>
            </w:pPr>
            <w:r w:rsidRPr="00A63BAB">
              <w:rPr>
                <w:rFonts w:ascii="Arial" w:hAnsi="Arial" w:cs="Arial"/>
                <w:b/>
                <w:bCs/>
              </w:rPr>
              <w:t>Adjustments to Rate Base</w:t>
            </w:r>
          </w:p>
        </w:tc>
        <w:tc>
          <w:tcPr>
            <w:tcW w:w="1570" w:type="pct"/>
            <w:gridSpan w:val="2"/>
            <w:tcBorders>
              <w:top w:val="nil"/>
              <w:left w:val="nil"/>
              <w:bottom w:val="nil"/>
              <w:right w:val="single" w:sz="8" w:space="0" w:color="000000"/>
            </w:tcBorders>
            <w:shd w:val="clear" w:color="auto" w:fill="auto"/>
            <w:noWrap/>
            <w:vAlign w:val="bottom"/>
            <w:hideMark/>
          </w:tcPr>
          <w:p w:rsidR="00274E73" w:rsidRPr="00A63BAB" w:rsidRDefault="00274E73" w:rsidP="00274E73">
            <w:pPr>
              <w:jc w:val="right"/>
              <w:rPr>
                <w:rFonts w:ascii="Arial" w:hAnsi="Arial" w:cs="Arial"/>
                <w:b/>
                <w:bCs/>
              </w:rPr>
            </w:pPr>
            <w:r w:rsidRPr="00A63BAB">
              <w:rPr>
                <w:rFonts w:ascii="Arial" w:hAnsi="Arial" w:cs="Arial"/>
                <w:b/>
                <w:bCs/>
              </w:rPr>
              <w:t>Docket No. 150102-SU</w:t>
            </w:r>
          </w:p>
        </w:tc>
      </w:tr>
      <w:tr w:rsidR="00274E73" w:rsidRPr="00A63BAB" w:rsidTr="00274E73">
        <w:trPr>
          <w:trHeight w:val="330"/>
        </w:trPr>
        <w:tc>
          <w:tcPr>
            <w:tcW w:w="157" w:type="pct"/>
            <w:tcBorders>
              <w:top w:val="nil"/>
              <w:left w:val="single" w:sz="8" w:space="0" w:color="auto"/>
              <w:bottom w:val="single" w:sz="8" w:space="0" w:color="auto"/>
              <w:right w:val="nil"/>
            </w:tcBorders>
            <w:shd w:val="clear" w:color="000000" w:fill="FFFFFF"/>
            <w:noWrap/>
            <w:vAlign w:val="bottom"/>
            <w:hideMark/>
          </w:tcPr>
          <w:p w:rsidR="00274E73" w:rsidRPr="00A63BAB" w:rsidRDefault="00274E73" w:rsidP="00274E73">
            <w:pPr>
              <w:rPr>
                <w:rFonts w:ascii="Arial" w:hAnsi="Arial" w:cs="Arial"/>
              </w:rPr>
            </w:pPr>
            <w:r w:rsidRPr="00A63BAB">
              <w:rPr>
                <w:rFonts w:ascii="Arial" w:hAnsi="Arial" w:cs="Arial"/>
              </w:rPr>
              <w:t> </w:t>
            </w:r>
          </w:p>
        </w:tc>
        <w:tc>
          <w:tcPr>
            <w:tcW w:w="3272" w:type="pct"/>
            <w:tcBorders>
              <w:top w:val="nil"/>
              <w:left w:val="nil"/>
              <w:bottom w:val="single" w:sz="8" w:space="0" w:color="auto"/>
              <w:right w:val="nil"/>
            </w:tcBorders>
            <w:shd w:val="clear" w:color="auto" w:fill="auto"/>
            <w:noWrap/>
            <w:vAlign w:val="bottom"/>
            <w:hideMark/>
          </w:tcPr>
          <w:p w:rsidR="00274E73" w:rsidRPr="00A63BAB" w:rsidRDefault="00274E73" w:rsidP="00274E73">
            <w:pPr>
              <w:rPr>
                <w:rFonts w:ascii="Arial" w:hAnsi="Arial" w:cs="Arial"/>
                <w:b/>
                <w:bCs/>
              </w:rPr>
            </w:pPr>
            <w:r w:rsidRPr="00A63BAB">
              <w:rPr>
                <w:rFonts w:ascii="Arial" w:hAnsi="Arial" w:cs="Arial"/>
                <w:b/>
                <w:bCs/>
              </w:rPr>
              <w:t>Test Year Ended 12/31/14</w:t>
            </w:r>
          </w:p>
        </w:tc>
        <w:tc>
          <w:tcPr>
            <w:tcW w:w="523" w:type="pct"/>
            <w:tcBorders>
              <w:top w:val="nil"/>
              <w:left w:val="nil"/>
              <w:bottom w:val="single" w:sz="8" w:space="0" w:color="auto"/>
              <w:right w:val="nil"/>
            </w:tcBorders>
            <w:shd w:val="clear" w:color="000000" w:fill="FFFFFF"/>
            <w:noWrap/>
            <w:vAlign w:val="bottom"/>
            <w:hideMark/>
          </w:tcPr>
          <w:p w:rsidR="00274E73" w:rsidRPr="00A63BAB" w:rsidRDefault="00274E73" w:rsidP="00274E73">
            <w:pPr>
              <w:jc w:val="right"/>
              <w:rPr>
                <w:rFonts w:ascii="Arial" w:hAnsi="Arial" w:cs="Arial"/>
                <w:b/>
                <w:bCs/>
              </w:rPr>
            </w:pPr>
            <w:r w:rsidRPr="00A63BAB">
              <w:rPr>
                <w:rFonts w:ascii="Arial" w:hAnsi="Arial" w:cs="Arial"/>
                <w:b/>
                <w:bCs/>
              </w:rPr>
              <w:t> </w:t>
            </w:r>
          </w:p>
        </w:tc>
        <w:tc>
          <w:tcPr>
            <w:tcW w:w="1048" w:type="pct"/>
            <w:tcBorders>
              <w:top w:val="nil"/>
              <w:left w:val="nil"/>
              <w:bottom w:val="single" w:sz="8" w:space="0" w:color="auto"/>
              <w:right w:val="single" w:sz="8" w:space="0" w:color="auto"/>
            </w:tcBorders>
            <w:shd w:val="clear" w:color="000000" w:fill="FFFFFF"/>
            <w:noWrap/>
            <w:vAlign w:val="bottom"/>
            <w:hideMark/>
          </w:tcPr>
          <w:p w:rsidR="00274E73" w:rsidRPr="00A63BAB" w:rsidRDefault="00274E73" w:rsidP="00274E73">
            <w:pPr>
              <w:rPr>
                <w:rFonts w:ascii="Arial" w:hAnsi="Arial" w:cs="Arial"/>
                <w:b/>
                <w:bCs/>
              </w:rPr>
            </w:pPr>
            <w:r w:rsidRPr="00A63BAB">
              <w:rPr>
                <w:rFonts w:ascii="Arial" w:hAnsi="Arial" w:cs="Arial"/>
                <w:b/>
                <w:bCs/>
              </w:rPr>
              <w:t> </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b/>
                <w:bCs/>
                <w:sz w:val="20"/>
                <w:szCs w:val="20"/>
              </w:rPr>
            </w:pPr>
            <w:r w:rsidRPr="00A63BAB">
              <w:rPr>
                <w:b/>
                <w:bCs/>
                <w:sz w:val="20"/>
                <w:szCs w:val="20"/>
              </w:rPr>
              <w:t>Explanation</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jc w:val="center"/>
              <w:rPr>
                <w:b/>
                <w:bCs/>
                <w:sz w:val="20"/>
                <w:szCs w:val="20"/>
              </w:rPr>
            </w:pPr>
            <w:r w:rsidRPr="00A63BAB">
              <w:rPr>
                <w:b/>
                <w:bCs/>
                <w:sz w:val="20"/>
                <w:szCs w:val="20"/>
              </w:rPr>
              <w:t>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center"/>
              <w:rPr>
                <w:b/>
                <w:bCs/>
                <w:sz w:val="20"/>
                <w:szCs w:val="20"/>
              </w:rPr>
            </w:pPr>
            <w:r w:rsidRPr="00A63BAB">
              <w:rPr>
                <w:b/>
                <w:bCs/>
                <w:sz w:val="20"/>
                <w:szCs w:val="20"/>
              </w:rPr>
              <w:t>Wastewater</w:t>
            </w:r>
          </w:p>
        </w:tc>
      </w:tr>
      <w:tr w:rsidR="00274E73" w:rsidRPr="00A63BAB" w:rsidTr="00274E73">
        <w:trPr>
          <w:trHeight w:val="315"/>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r>
      <w:tr w:rsidR="00274E73" w:rsidRPr="00A63BAB" w:rsidTr="00274E73">
        <w:trPr>
          <w:trHeight w:val="300"/>
        </w:trPr>
        <w:tc>
          <w:tcPr>
            <w:tcW w:w="157" w:type="pct"/>
            <w:tcBorders>
              <w:top w:val="single" w:sz="8" w:space="0" w:color="000000"/>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single" w:sz="8" w:space="0" w:color="000000"/>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523" w:type="pct"/>
            <w:tcBorders>
              <w:top w:val="single" w:sz="8" w:space="0" w:color="000000"/>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1048" w:type="pct"/>
            <w:tcBorders>
              <w:top w:val="single" w:sz="8" w:space="0" w:color="000000"/>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rPr>
            </w:pPr>
            <w:r w:rsidRPr="00A63BAB">
              <w:rPr>
                <w:sz w:val="20"/>
                <w:szCs w:val="20"/>
              </w:rPr>
              <w:t> </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u w:val="single"/>
              </w:rPr>
            </w:pPr>
            <w:r w:rsidRPr="00A63BAB">
              <w:rPr>
                <w:sz w:val="20"/>
                <w:szCs w:val="20"/>
                <w:u w:val="single"/>
              </w:rPr>
              <w:t>Plant In Service</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u w:val="double"/>
              </w:rPr>
            </w:pPr>
            <w:r w:rsidRPr="00A63BAB">
              <w:rPr>
                <w:sz w:val="20"/>
                <w:szCs w:val="20"/>
                <w:u w:val="double"/>
              </w:rPr>
              <w:t xml:space="preserve">$0 </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jc w:val="right"/>
              <w:rPr>
                <w:sz w:val="20"/>
                <w:szCs w:val="20"/>
              </w:rPr>
            </w:pPr>
            <w:r w:rsidRPr="00A63BAB">
              <w:rPr>
                <w:sz w:val="20"/>
                <w:szCs w:val="20"/>
              </w:rPr>
              <w:t>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rPr>
            </w:pPr>
            <w:r w:rsidRPr="00A63BAB">
              <w:rPr>
                <w:sz w:val="20"/>
                <w:szCs w:val="20"/>
              </w:rPr>
              <w:t> </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u w:val="single"/>
              </w:rPr>
            </w:pPr>
            <w:r w:rsidRPr="00A63BAB">
              <w:rPr>
                <w:sz w:val="20"/>
                <w:szCs w:val="20"/>
                <w:u w:val="single"/>
              </w:rPr>
              <w:t>Non-used and Useful</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jc w:val="right"/>
              <w:rPr>
                <w:sz w:val="20"/>
                <w:szCs w:val="20"/>
                <w:u w:val="single"/>
              </w:rPr>
            </w:pP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u w:val="double"/>
              </w:rPr>
            </w:pP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1</w:t>
            </w:r>
          </w:p>
        </w:tc>
        <w:tc>
          <w:tcPr>
            <w:tcW w:w="3795" w:type="pct"/>
            <w:gridSpan w:val="2"/>
            <w:tcBorders>
              <w:top w:val="nil"/>
              <w:left w:val="nil"/>
              <w:bottom w:val="nil"/>
              <w:right w:val="nil"/>
            </w:tcBorders>
            <w:shd w:val="clear" w:color="000000" w:fill="FFFFFF"/>
            <w:noWrap/>
            <w:vAlign w:val="bottom"/>
            <w:hideMark/>
          </w:tcPr>
          <w:p w:rsidR="00274E73" w:rsidRPr="00A63BAB" w:rsidRDefault="00274E73" w:rsidP="00E10847">
            <w:pPr>
              <w:rPr>
                <w:sz w:val="20"/>
                <w:szCs w:val="20"/>
              </w:rPr>
            </w:pPr>
            <w:r>
              <w:rPr>
                <w:sz w:val="20"/>
                <w:szCs w:val="20"/>
              </w:rPr>
              <w:t>R</w:t>
            </w:r>
            <w:r w:rsidRPr="00A63BAB">
              <w:rPr>
                <w:sz w:val="20"/>
                <w:szCs w:val="20"/>
              </w:rPr>
              <w:t xml:space="preserve">eflect non-used and useful adjustment to land.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rPr>
            </w:pPr>
            <w:r w:rsidRPr="00A63BAB">
              <w:rPr>
                <w:sz w:val="20"/>
                <w:szCs w:val="20"/>
              </w:rPr>
              <w:t>($73,089)</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2</w:t>
            </w:r>
          </w:p>
        </w:tc>
        <w:tc>
          <w:tcPr>
            <w:tcW w:w="3795" w:type="pct"/>
            <w:gridSpan w:val="2"/>
            <w:tcBorders>
              <w:top w:val="nil"/>
              <w:left w:val="nil"/>
              <w:bottom w:val="nil"/>
              <w:right w:val="nil"/>
            </w:tcBorders>
            <w:shd w:val="clear" w:color="000000" w:fill="FFFFFF"/>
            <w:noWrap/>
            <w:vAlign w:val="bottom"/>
            <w:hideMark/>
          </w:tcPr>
          <w:p w:rsidR="00274E73" w:rsidRPr="00A63BAB" w:rsidRDefault="00274E73" w:rsidP="00973164">
            <w:pPr>
              <w:rPr>
                <w:sz w:val="20"/>
                <w:szCs w:val="20"/>
              </w:rPr>
            </w:pPr>
            <w:r w:rsidRPr="00A63BAB">
              <w:rPr>
                <w:sz w:val="20"/>
                <w:szCs w:val="20"/>
              </w:rPr>
              <w:t xml:space="preserve">Reflect net non-used &amp; useful adjustment for Impact Fees to EWD.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rPr>
            </w:pPr>
            <w:r w:rsidRPr="00A63BAB">
              <w:rPr>
                <w:sz w:val="20"/>
                <w:szCs w:val="20"/>
              </w:rPr>
              <w:t>($1,260,830)</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3</w:t>
            </w:r>
          </w:p>
        </w:tc>
        <w:tc>
          <w:tcPr>
            <w:tcW w:w="3795" w:type="pct"/>
            <w:gridSpan w:val="2"/>
            <w:tcBorders>
              <w:top w:val="nil"/>
              <w:left w:val="nil"/>
              <w:bottom w:val="nil"/>
              <w:right w:val="nil"/>
            </w:tcBorders>
            <w:shd w:val="clear" w:color="000000" w:fill="FFFFFF"/>
            <w:noWrap/>
            <w:vAlign w:val="bottom"/>
            <w:hideMark/>
          </w:tcPr>
          <w:p w:rsidR="00274E73" w:rsidRPr="00A63BAB" w:rsidRDefault="00274E73" w:rsidP="00973164">
            <w:pPr>
              <w:rPr>
                <w:sz w:val="20"/>
                <w:szCs w:val="20"/>
              </w:rPr>
            </w:pPr>
            <w:r w:rsidRPr="00A63BAB">
              <w:rPr>
                <w:sz w:val="20"/>
                <w:szCs w:val="20"/>
              </w:rPr>
              <w:t>Reflect net non-used &amp; useful adjustment for Ma</w:t>
            </w:r>
            <w:r>
              <w:rPr>
                <w:sz w:val="20"/>
                <w:szCs w:val="20"/>
              </w:rPr>
              <w:t>s</w:t>
            </w:r>
            <w:r w:rsidRPr="00A63BAB">
              <w:rPr>
                <w:sz w:val="20"/>
                <w:szCs w:val="20"/>
              </w:rPr>
              <w:t xml:space="preserve">ter Lift Station &amp; Force Main.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u w:val="single"/>
              </w:rPr>
            </w:pPr>
            <w:r w:rsidRPr="00A63BAB">
              <w:rPr>
                <w:sz w:val="20"/>
                <w:szCs w:val="20"/>
                <w:u w:val="single"/>
              </w:rPr>
              <w:t>(1,394,530)</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xml:space="preserve">     Total</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jc w:val="right"/>
              <w:rPr>
                <w:sz w:val="20"/>
                <w:szCs w:val="20"/>
                <w:u w:val="double"/>
              </w:rPr>
            </w:pP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u w:val="double"/>
              </w:rPr>
            </w:pPr>
            <w:r w:rsidRPr="00A63BAB">
              <w:rPr>
                <w:sz w:val="20"/>
                <w:szCs w:val="20"/>
                <w:u w:val="double"/>
              </w:rPr>
              <w:t>($2,728,448)</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jc w:val="right"/>
              <w:rPr>
                <w:sz w:val="20"/>
                <w:szCs w:val="20"/>
                <w:u w:val="double"/>
              </w:rPr>
            </w:pP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u w:val="double"/>
              </w:rPr>
            </w:pP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u w:val="single"/>
              </w:rPr>
            </w:pPr>
            <w:r w:rsidRPr="00A63BAB">
              <w:rPr>
                <w:sz w:val="20"/>
                <w:szCs w:val="20"/>
                <w:u w:val="single"/>
              </w:rPr>
              <w:t>Accumulated Depreciation</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u w:val="double"/>
              </w:rPr>
            </w:pPr>
            <w:r w:rsidRPr="00A63BAB">
              <w:rPr>
                <w:sz w:val="20"/>
                <w:szCs w:val="20"/>
                <w:u w:val="double"/>
              </w:rPr>
              <w:t xml:space="preserve">$0 </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jc w:val="right"/>
              <w:rPr>
                <w:sz w:val="20"/>
                <w:szCs w:val="20"/>
              </w:rPr>
            </w:pPr>
            <w:r w:rsidRPr="00A63BAB">
              <w:rPr>
                <w:sz w:val="20"/>
                <w:szCs w:val="20"/>
              </w:rPr>
              <w:t>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rPr>
            </w:pPr>
            <w:r w:rsidRPr="00A63BAB">
              <w:rPr>
                <w:sz w:val="20"/>
                <w:szCs w:val="20"/>
              </w:rPr>
              <w:t> </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rFonts w:ascii="Arial" w:hAnsi="Arial" w:cs="Arial"/>
                <w:sz w:val="20"/>
                <w:szCs w:val="20"/>
              </w:rPr>
            </w:pPr>
            <w:r w:rsidRPr="00A63BAB">
              <w:rPr>
                <w:rFonts w:ascii="Arial" w:hAnsi="Arial" w:cs="Arial"/>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u w:val="single"/>
              </w:rPr>
            </w:pPr>
            <w:r w:rsidRPr="00A63BAB">
              <w:rPr>
                <w:sz w:val="20"/>
                <w:szCs w:val="20"/>
                <w:u w:val="single"/>
              </w:rPr>
              <w:t>CIAC</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rPr>
                <w:rFonts w:ascii="Arial" w:hAnsi="Arial" w:cs="Arial"/>
                <w:sz w:val="20"/>
                <w:szCs w:val="20"/>
              </w:rPr>
            </w:pPr>
            <w:r w:rsidRPr="00A63BAB">
              <w:rPr>
                <w:rFonts w:ascii="Arial" w:hAnsi="Arial" w:cs="Arial"/>
                <w:sz w:val="20"/>
                <w:szCs w:val="20"/>
              </w:rPr>
              <w:t>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u w:val="double"/>
              </w:rPr>
            </w:pPr>
            <w:r w:rsidRPr="00A63BAB">
              <w:rPr>
                <w:sz w:val="20"/>
                <w:szCs w:val="20"/>
                <w:u w:val="double"/>
              </w:rPr>
              <w:t xml:space="preserve">$0 </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jc w:val="right"/>
              <w:rPr>
                <w:sz w:val="20"/>
                <w:szCs w:val="20"/>
              </w:rPr>
            </w:pPr>
            <w:r w:rsidRPr="00A63BAB">
              <w:rPr>
                <w:sz w:val="20"/>
                <w:szCs w:val="20"/>
              </w:rPr>
              <w:t>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rPr>
            </w:pPr>
            <w:r w:rsidRPr="00A63BAB">
              <w:rPr>
                <w:sz w:val="20"/>
                <w:szCs w:val="20"/>
              </w:rPr>
              <w:t> </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u w:val="single"/>
              </w:rPr>
            </w:pPr>
            <w:r w:rsidRPr="00A63BAB">
              <w:rPr>
                <w:sz w:val="20"/>
                <w:szCs w:val="20"/>
                <w:u w:val="single"/>
              </w:rPr>
              <w:t>Accumulated Amortization of CIAC</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u w:val="double"/>
              </w:rPr>
            </w:pPr>
            <w:r w:rsidRPr="00A63BAB">
              <w:rPr>
                <w:sz w:val="20"/>
                <w:szCs w:val="20"/>
                <w:u w:val="double"/>
              </w:rPr>
              <w:t xml:space="preserve">$0 </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jc w:val="right"/>
              <w:rPr>
                <w:sz w:val="20"/>
                <w:szCs w:val="20"/>
              </w:rPr>
            </w:pPr>
            <w:r w:rsidRPr="00A63BAB">
              <w:rPr>
                <w:sz w:val="20"/>
                <w:szCs w:val="20"/>
              </w:rPr>
              <w:t>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rPr>
            </w:pPr>
            <w:r w:rsidRPr="00A63BAB">
              <w:rPr>
                <w:sz w:val="20"/>
                <w:szCs w:val="20"/>
              </w:rPr>
              <w:t> </w:t>
            </w: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nil"/>
              <w:left w:val="nil"/>
              <w:bottom w:val="nil"/>
              <w:right w:val="nil"/>
            </w:tcBorders>
            <w:shd w:val="clear" w:color="000000" w:fill="FFFFFF"/>
            <w:noWrap/>
            <w:vAlign w:val="bottom"/>
            <w:hideMark/>
          </w:tcPr>
          <w:p w:rsidR="00274E73" w:rsidRPr="00A63BAB" w:rsidRDefault="00274E73" w:rsidP="00274E73">
            <w:pPr>
              <w:rPr>
                <w:sz w:val="20"/>
                <w:szCs w:val="20"/>
                <w:u w:val="single"/>
              </w:rPr>
            </w:pPr>
            <w:r w:rsidRPr="00A63BAB">
              <w:rPr>
                <w:sz w:val="20"/>
                <w:szCs w:val="20"/>
                <w:u w:val="single"/>
              </w:rPr>
              <w:t>Working Capital</w:t>
            </w:r>
          </w:p>
        </w:tc>
        <w:tc>
          <w:tcPr>
            <w:tcW w:w="523" w:type="pct"/>
            <w:tcBorders>
              <w:top w:val="nil"/>
              <w:left w:val="nil"/>
              <w:bottom w:val="nil"/>
              <w:right w:val="nil"/>
            </w:tcBorders>
            <w:shd w:val="clear" w:color="000000" w:fill="FFFFFF"/>
            <w:noWrap/>
            <w:vAlign w:val="bottom"/>
            <w:hideMark/>
          </w:tcPr>
          <w:p w:rsidR="00274E73" w:rsidRPr="00A63BAB" w:rsidRDefault="00274E73" w:rsidP="00274E73">
            <w:pPr>
              <w:jc w:val="right"/>
              <w:rPr>
                <w:sz w:val="20"/>
                <w:szCs w:val="20"/>
                <w:u w:val="double"/>
              </w:rPr>
            </w:pP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u w:val="double"/>
              </w:rPr>
            </w:pPr>
          </w:p>
        </w:tc>
      </w:tr>
      <w:tr w:rsidR="00274E73" w:rsidRPr="00A63BAB" w:rsidTr="00274E73">
        <w:trPr>
          <w:trHeight w:val="300"/>
        </w:trPr>
        <w:tc>
          <w:tcPr>
            <w:tcW w:w="157" w:type="pct"/>
            <w:tcBorders>
              <w:top w:val="nil"/>
              <w:left w:val="single" w:sz="8" w:space="0" w:color="auto"/>
              <w:bottom w:val="nil"/>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795" w:type="pct"/>
            <w:gridSpan w:val="2"/>
            <w:tcBorders>
              <w:top w:val="nil"/>
              <w:left w:val="nil"/>
              <w:bottom w:val="nil"/>
              <w:right w:val="nil"/>
            </w:tcBorders>
            <w:shd w:val="clear" w:color="000000" w:fill="FFFFFF"/>
            <w:noWrap/>
            <w:vAlign w:val="bottom"/>
            <w:hideMark/>
          </w:tcPr>
          <w:p w:rsidR="00274E73" w:rsidRPr="00A63BAB" w:rsidRDefault="00274E73" w:rsidP="00973164">
            <w:pPr>
              <w:rPr>
                <w:sz w:val="20"/>
                <w:szCs w:val="20"/>
              </w:rPr>
            </w:pPr>
            <w:r w:rsidRPr="00A63BAB">
              <w:rPr>
                <w:sz w:val="20"/>
                <w:szCs w:val="20"/>
              </w:rPr>
              <w:t xml:space="preserve">To reflect the appropriate working capital allowance </w:t>
            </w:r>
          </w:p>
        </w:tc>
        <w:tc>
          <w:tcPr>
            <w:tcW w:w="1048" w:type="pct"/>
            <w:tcBorders>
              <w:top w:val="nil"/>
              <w:left w:val="nil"/>
              <w:bottom w:val="nil"/>
              <w:right w:val="single" w:sz="8" w:space="0" w:color="auto"/>
            </w:tcBorders>
            <w:shd w:val="clear" w:color="000000" w:fill="FFFFFF"/>
            <w:noWrap/>
            <w:vAlign w:val="bottom"/>
            <w:hideMark/>
          </w:tcPr>
          <w:p w:rsidR="00274E73" w:rsidRPr="00A63BAB" w:rsidRDefault="00274E73" w:rsidP="00274E73">
            <w:pPr>
              <w:jc w:val="right"/>
              <w:rPr>
                <w:sz w:val="20"/>
                <w:szCs w:val="20"/>
                <w:u w:val="double"/>
              </w:rPr>
            </w:pPr>
            <w:r w:rsidRPr="00A63BAB">
              <w:rPr>
                <w:sz w:val="20"/>
                <w:szCs w:val="20"/>
                <w:u w:val="double"/>
              </w:rPr>
              <w:t>($5,098)</w:t>
            </w:r>
          </w:p>
        </w:tc>
      </w:tr>
      <w:tr w:rsidR="00274E73" w:rsidRPr="00A63BAB" w:rsidTr="00274E73">
        <w:trPr>
          <w:trHeight w:val="315"/>
        </w:trPr>
        <w:tc>
          <w:tcPr>
            <w:tcW w:w="157" w:type="pct"/>
            <w:tcBorders>
              <w:top w:val="nil"/>
              <w:left w:val="single" w:sz="8" w:space="0" w:color="auto"/>
              <w:bottom w:val="single" w:sz="8" w:space="0" w:color="auto"/>
              <w:right w:val="nil"/>
            </w:tcBorders>
            <w:shd w:val="clear" w:color="000000" w:fill="FFFFFF"/>
            <w:noWrap/>
            <w:vAlign w:val="bottom"/>
            <w:hideMark/>
          </w:tcPr>
          <w:p w:rsidR="00274E73" w:rsidRPr="00A63BAB" w:rsidRDefault="00274E73" w:rsidP="00274E73">
            <w:pPr>
              <w:jc w:val="center"/>
              <w:rPr>
                <w:sz w:val="20"/>
                <w:szCs w:val="20"/>
              </w:rPr>
            </w:pPr>
            <w:r w:rsidRPr="00A63BAB">
              <w:rPr>
                <w:sz w:val="20"/>
                <w:szCs w:val="20"/>
              </w:rPr>
              <w:t> </w:t>
            </w:r>
          </w:p>
        </w:tc>
        <w:tc>
          <w:tcPr>
            <w:tcW w:w="3272" w:type="pct"/>
            <w:tcBorders>
              <w:top w:val="nil"/>
              <w:left w:val="nil"/>
              <w:bottom w:val="single" w:sz="8" w:space="0" w:color="auto"/>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523" w:type="pct"/>
            <w:tcBorders>
              <w:top w:val="nil"/>
              <w:left w:val="nil"/>
              <w:bottom w:val="single" w:sz="8" w:space="0" w:color="auto"/>
              <w:right w:val="nil"/>
            </w:tcBorders>
            <w:shd w:val="clear" w:color="000000" w:fill="FFFFFF"/>
            <w:noWrap/>
            <w:vAlign w:val="bottom"/>
            <w:hideMark/>
          </w:tcPr>
          <w:p w:rsidR="00274E73" w:rsidRPr="00A63BAB" w:rsidRDefault="00274E73" w:rsidP="00274E73">
            <w:pPr>
              <w:rPr>
                <w:sz w:val="20"/>
                <w:szCs w:val="20"/>
              </w:rPr>
            </w:pPr>
            <w:r w:rsidRPr="00A63BAB">
              <w:rPr>
                <w:sz w:val="20"/>
                <w:szCs w:val="20"/>
              </w:rPr>
              <w:t> </w:t>
            </w:r>
          </w:p>
        </w:tc>
        <w:tc>
          <w:tcPr>
            <w:tcW w:w="1048" w:type="pct"/>
            <w:tcBorders>
              <w:top w:val="nil"/>
              <w:left w:val="nil"/>
              <w:bottom w:val="single" w:sz="8" w:space="0" w:color="auto"/>
              <w:right w:val="single" w:sz="8" w:space="0" w:color="auto"/>
            </w:tcBorders>
            <w:shd w:val="clear" w:color="000000" w:fill="FFFFFF"/>
            <w:noWrap/>
            <w:vAlign w:val="bottom"/>
            <w:hideMark/>
          </w:tcPr>
          <w:p w:rsidR="00274E73" w:rsidRPr="00A63BAB" w:rsidRDefault="00274E73" w:rsidP="00274E73">
            <w:pPr>
              <w:jc w:val="right"/>
              <w:rPr>
                <w:sz w:val="20"/>
                <w:szCs w:val="20"/>
              </w:rPr>
            </w:pPr>
            <w:r w:rsidRPr="00A63BAB">
              <w:rPr>
                <w:sz w:val="20"/>
                <w:szCs w:val="20"/>
              </w:rPr>
              <w:t> </w:t>
            </w:r>
          </w:p>
        </w:tc>
      </w:tr>
    </w:tbl>
    <w:p w:rsidR="00274E73" w:rsidRPr="00274E73" w:rsidRDefault="00274E73" w:rsidP="00274E73"/>
    <w:p w:rsidR="00274E73" w:rsidRPr="00274E73" w:rsidRDefault="00274E73" w:rsidP="00274E73"/>
    <w:p w:rsidR="00AD11B7" w:rsidRDefault="00AD11B7">
      <w:pPr>
        <w:sectPr w:rsidR="00AD11B7" w:rsidSect="007A0C3D">
          <w:headerReference w:type="default" r:id="rId9"/>
          <w:footerReference w:type="first" r:id="rId10"/>
          <w:pgSz w:w="12240" w:h="15840" w:code="1"/>
          <w:pgMar w:top="1440" w:right="1440" w:bottom="1440" w:left="1440" w:header="720" w:footer="720" w:gutter="0"/>
          <w:paperSrc w:first="4"/>
          <w:cols w:space="720"/>
          <w:titlePg/>
          <w:docGrid w:linePitch="360"/>
        </w:sectPr>
      </w:pPr>
    </w:p>
    <w:tbl>
      <w:tblPr>
        <w:tblW w:w="5000" w:type="pct"/>
        <w:tblLook w:val="04A0" w:firstRow="1" w:lastRow="0" w:firstColumn="1" w:lastColumn="0" w:noHBand="0" w:noVBand="1"/>
      </w:tblPr>
      <w:tblGrid>
        <w:gridCol w:w="417"/>
        <w:gridCol w:w="2856"/>
        <w:gridCol w:w="1636"/>
        <w:gridCol w:w="967"/>
        <w:gridCol w:w="1318"/>
        <w:gridCol w:w="1438"/>
        <w:gridCol w:w="1413"/>
        <w:gridCol w:w="927"/>
        <w:gridCol w:w="838"/>
        <w:gridCol w:w="1099"/>
        <w:gridCol w:w="267"/>
      </w:tblGrid>
      <w:tr w:rsidR="00AD11B7" w:rsidRPr="00FD5B47" w:rsidTr="00AD11B7">
        <w:trPr>
          <w:trHeight w:val="315"/>
        </w:trPr>
        <w:tc>
          <w:tcPr>
            <w:tcW w:w="184" w:type="pct"/>
            <w:tcBorders>
              <w:top w:val="single" w:sz="8" w:space="0" w:color="auto"/>
              <w:left w:val="single" w:sz="8" w:space="0" w:color="auto"/>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bookmarkStart w:id="10" w:name="RANGE!A56:K83"/>
            <w:r w:rsidRPr="00FD5B47">
              <w:rPr>
                <w:rFonts w:ascii="Arial" w:hAnsi="Arial" w:cs="Arial"/>
                <w:color w:val="000000"/>
                <w:sz w:val="18"/>
                <w:szCs w:val="18"/>
              </w:rPr>
              <w:lastRenderedPageBreak/>
              <w:t> </w:t>
            </w:r>
            <w:bookmarkEnd w:id="10"/>
          </w:p>
        </w:tc>
        <w:tc>
          <w:tcPr>
            <w:tcW w:w="2023" w:type="pct"/>
            <w:gridSpan w:val="2"/>
            <w:tcBorders>
              <w:top w:val="single" w:sz="8" w:space="0" w:color="auto"/>
              <w:left w:val="nil"/>
              <w:bottom w:val="nil"/>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Utilities, Inc. of Sandalhaven</w:t>
            </w:r>
          </w:p>
        </w:tc>
        <w:tc>
          <w:tcPr>
            <w:tcW w:w="421" w:type="pct"/>
            <w:tcBorders>
              <w:top w:val="single" w:sz="8" w:space="0" w:color="auto"/>
              <w:left w:val="nil"/>
              <w:bottom w:val="nil"/>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421" w:type="pct"/>
            <w:tcBorders>
              <w:top w:val="single" w:sz="8" w:space="0" w:color="auto"/>
              <w:left w:val="nil"/>
              <w:bottom w:val="nil"/>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421" w:type="pct"/>
            <w:tcBorders>
              <w:top w:val="single" w:sz="8" w:space="0" w:color="auto"/>
              <w:left w:val="nil"/>
              <w:bottom w:val="nil"/>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421" w:type="pct"/>
            <w:tcBorders>
              <w:top w:val="single" w:sz="8" w:space="0" w:color="auto"/>
              <w:left w:val="nil"/>
              <w:bottom w:val="nil"/>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352" w:type="pct"/>
            <w:tcBorders>
              <w:top w:val="single" w:sz="8" w:space="0" w:color="auto"/>
              <w:left w:val="nil"/>
              <w:bottom w:val="nil"/>
              <w:right w:val="nil"/>
            </w:tcBorders>
            <w:shd w:val="clear" w:color="000000" w:fill="FFFFFF"/>
            <w:noWrap/>
            <w:vAlign w:val="bottom"/>
            <w:hideMark/>
          </w:tcPr>
          <w:p w:rsidR="00AD11B7" w:rsidRPr="00FD5B47" w:rsidRDefault="00AD11B7" w:rsidP="00AD11B7">
            <w:pPr>
              <w:rPr>
                <w:rFonts w:ascii="Courier New" w:hAnsi="Courier New" w:cs="Courier New"/>
                <w:color w:val="000000"/>
              </w:rPr>
            </w:pPr>
            <w:r w:rsidRPr="00FD5B47">
              <w:rPr>
                <w:rFonts w:ascii="Courier New" w:hAnsi="Courier New" w:cs="Courier New"/>
                <w:color w:val="000000"/>
              </w:rPr>
              <w:t> </w:t>
            </w:r>
          </w:p>
        </w:tc>
        <w:tc>
          <w:tcPr>
            <w:tcW w:w="680" w:type="pct"/>
            <w:gridSpan w:val="2"/>
            <w:tcBorders>
              <w:top w:val="single" w:sz="8" w:space="0" w:color="auto"/>
              <w:left w:val="nil"/>
              <w:bottom w:val="nil"/>
              <w:right w:val="nil"/>
            </w:tcBorders>
            <w:shd w:val="clear" w:color="000000" w:fill="FFFFFF"/>
            <w:noWrap/>
            <w:vAlign w:val="bottom"/>
            <w:hideMark/>
          </w:tcPr>
          <w:p w:rsidR="00AD11B7" w:rsidRPr="00FD5B47" w:rsidRDefault="00AD11B7" w:rsidP="00AD11B7">
            <w:pPr>
              <w:jc w:val="right"/>
              <w:rPr>
                <w:rFonts w:ascii="Arial" w:hAnsi="Arial" w:cs="Arial"/>
                <w:b/>
                <w:bCs/>
              </w:rPr>
            </w:pPr>
            <w:r w:rsidRPr="00FD5B47">
              <w:rPr>
                <w:rFonts w:ascii="Arial" w:hAnsi="Arial" w:cs="Arial"/>
                <w:b/>
                <w:bCs/>
              </w:rPr>
              <w:t>Schedule No. 2</w:t>
            </w:r>
          </w:p>
        </w:tc>
        <w:tc>
          <w:tcPr>
            <w:tcW w:w="77" w:type="pct"/>
            <w:tcBorders>
              <w:top w:val="single" w:sz="8" w:space="0" w:color="auto"/>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r>
      <w:tr w:rsidR="00AD11B7" w:rsidRPr="00FD5B47" w:rsidTr="00AD11B7">
        <w:trPr>
          <w:trHeight w:val="315"/>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2023" w:type="pct"/>
            <w:gridSpan w:val="2"/>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Capital Structure-Simple Average</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1032" w:type="pct"/>
            <w:gridSpan w:val="3"/>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b/>
                <w:bCs/>
              </w:rPr>
            </w:pPr>
            <w:r w:rsidRPr="00FD5B47">
              <w:rPr>
                <w:rFonts w:ascii="Arial" w:hAnsi="Arial" w:cs="Arial"/>
                <w:b/>
                <w:bCs/>
              </w:rPr>
              <w:t>Docket No. 150102-SU</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r>
      <w:tr w:rsidR="00AD11B7" w:rsidRPr="00FD5B47" w:rsidTr="00AD11B7">
        <w:trPr>
          <w:trHeight w:val="330"/>
        </w:trPr>
        <w:tc>
          <w:tcPr>
            <w:tcW w:w="184" w:type="pct"/>
            <w:tcBorders>
              <w:top w:val="nil"/>
              <w:left w:val="single" w:sz="8" w:space="0" w:color="auto"/>
              <w:bottom w:val="single" w:sz="8" w:space="0" w:color="auto"/>
              <w:right w:val="nil"/>
            </w:tcBorders>
            <w:shd w:val="clear" w:color="auto" w:fill="auto"/>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2023" w:type="pct"/>
            <w:gridSpan w:val="2"/>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Test Year Ended 12/31/14</w:t>
            </w:r>
          </w:p>
        </w:tc>
        <w:tc>
          <w:tcPr>
            <w:tcW w:w="421"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421"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421"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421"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352"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294"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b/>
                <w:bCs/>
              </w:rPr>
            </w:pPr>
            <w:r w:rsidRPr="00FD5B47">
              <w:rPr>
                <w:rFonts w:ascii="Arial" w:hAnsi="Arial" w:cs="Arial"/>
                <w:b/>
                <w:bCs/>
              </w:rPr>
              <w:t> </w:t>
            </w:r>
          </w:p>
        </w:tc>
        <w:tc>
          <w:tcPr>
            <w:tcW w:w="386"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rPr>
            </w:pPr>
            <w:r w:rsidRPr="00FD5B47">
              <w:rPr>
                <w:rFonts w:ascii="Arial" w:hAnsi="Arial" w:cs="Arial"/>
              </w:rPr>
              <w:t> </w:t>
            </w:r>
          </w:p>
        </w:tc>
        <w:tc>
          <w:tcPr>
            <w:tcW w:w="77" w:type="pct"/>
            <w:tcBorders>
              <w:top w:val="nil"/>
              <w:left w:val="nil"/>
              <w:bottom w:val="single" w:sz="8" w:space="0" w:color="auto"/>
              <w:right w:val="single" w:sz="8" w:space="0" w:color="auto"/>
            </w:tcBorders>
            <w:shd w:val="clear" w:color="auto" w:fill="auto"/>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Specific</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Subtotal</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Prorata</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Capital</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Total</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Adjust-</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Adjusted</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Adjust-</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Reconciled</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Cost</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Weighted</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r>
      <w:tr w:rsidR="00AD11B7" w:rsidRPr="00FD5B47" w:rsidTr="00AD11B7">
        <w:trPr>
          <w:trHeight w:val="315"/>
        </w:trPr>
        <w:tc>
          <w:tcPr>
            <w:tcW w:w="184" w:type="pct"/>
            <w:tcBorders>
              <w:top w:val="nil"/>
              <w:left w:val="single" w:sz="8" w:space="0" w:color="auto"/>
              <w:bottom w:val="single" w:sz="8" w:space="0" w:color="auto"/>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c>
          <w:tcPr>
            <w:tcW w:w="1271" w:type="pct"/>
            <w:tcBorders>
              <w:top w:val="nil"/>
              <w:left w:val="nil"/>
              <w:bottom w:val="single" w:sz="8" w:space="0" w:color="auto"/>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Description</w:t>
            </w:r>
          </w:p>
        </w:tc>
        <w:tc>
          <w:tcPr>
            <w:tcW w:w="753" w:type="pct"/>
            <w:tcBorders>
              <w:top w:val="nil"/>
              <w:left w:val="nil"/>
              <w:bottom w:val="single" w:sz="8" w:space="0" w:color="auto"/>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Capital</w:t>
            </w:r>
          </w:p>
        </w:tc>
        <w:tc>
          <w:tcPr>
            <w:tcW w:w="421" w:type="pct"/>
            <w:tcBorders>
              <w:top w:val="nil"/>
              <w:left w:val="nil"/>
              <w:bottom w:val="single" w:sz="8" w:space="0" w:color="auto"/>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ments</w:t>
            </w:r>
          </w:p>
        </w:tc>
        <w:tc>
          <w:tcPr>
            <w:tcW w:w="421" w:type="pct"/>
            <w:tcBorders>
              <w:top w:val="nil"/>
              <w:left w:val="nil"/>
              <w:bottom w:val="single" w:sz="8" w:space="0" w:color="auto"/>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Capital</w:t>
            </w:r>
          </w:p>
        </w:tc>
        <w:tc>
          <w:tcPr>
            <w:tcW w:w="421" w:type="pct"/>
            <w:tcBorders>
              <w:top w:val="nil"/>
              <w:left w:val="nil"/>
              <w:bottom w:val="single" w:sz="8" w:space="0" w:color="auto"/>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ments</w:t>
            </w:r>
          </w:p>
        </w:tc>
        <w:tc>
          <w:tcPr>
            <w:tcW w:w="421" w:type="pct"/>
            <w:tcBorders>
              <w:top w:val="nil"/>
              <w:left w:val="nil"/>
              <w:bottom w:val="single" w:sz="8" w:space="0" w:color="auto"/>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to Rate Base</w:t>
            </w:r>
          </w:p>
        </w:tc>
        <w:tc>
          <w:tcPr>
            <w:tcW w:w="352" w:type="pct"/>
            <w:tcBorders>
              <w:top w:val="nil"/>
              <w:left w:val="nil"/>
              <w:bottom w:val="single" w:sz="8" w:space="0" w:color="auto"/>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Ratio</w:t>
            </w:r>
          </w:p>
        </w:tc>
        <w:tc>
          <w:tcPr>
            <w:tcW w:w="294" w:type="pct"/>
            <w:tcBorders>
              <w:top w:val="nil"/>
              <w:left w:val="nil"/>
              <w:bottom w:val="single" w:sz="8" w:space="0" w:color="auto"/>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Rate</w:t>
            </w:r>
          </w:p>
        </w:tc>
        <w:tc>
          <w:tcPr>
            <w:tcW w:w="386" w:type="pct"/>
            <w:tcBorders>
              <w:top w:val="nil"/>
              <w:left w:val="nil"/>
              <w:bottom w:val="single" w:sz="8" w:space="0" w:color="auto"/>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Cost</w:t>
            </w:r>
          </w:p>
        </w:tc>
        <w:tc>
          <w:tcPr>
            <w:tcW w:w="77" w:type="pct"/>
            <w:tcBorders>
              <w:top w:val="nil"/>
              <w:left w:val="nil"/>
              <w:bottom w:val="single" w:sz="8" w:space="0" w:color="auto"/>
              <w:right w:val="single" w:sz="8" w:space="0" w:color="auto"/>
            </w:tcBorders>
            <w:shd w:val="clear" w:color="000000" w:fill="FFFFFF"/>
            <w:noWrap/>
            <w:vAlign w:val="bottom"/>
            <w:hideMark/>
          </w:tcPr>
          <w:p w:rsidR="00AD11B7" w:rsidRPr="00FD5B47" w:rsidRDefault="00AD11B7" w:rsidP="00AD11B7">
            <w:pPr>
              <w:jc w:val="center"/>
              <w:rPr>
                <w:rFonts w:ascii="Arial" w:hAnsi="Arial" w:cs="Arial"/>
                <w:b/>
                <w:bCs/>
                <w:sz w:val="18"/>
                <w:szCs w:val="18"/>
              </w:rPr>
            </w:pPr>
            <w:r w:rsidRPr="00FD5B47">
              <w:rPr>
                <w:rFonts w:ascii="Arial" w:hAnsi="Arial" w:cs="Arial"/>
                <w:b/>
                <w:bCs/>
                <w:sz w:val="18"/>
                <w:szCs w:val="18"/>
              </w:rPr>
              <w:t> </w:t>
            </w:r>
          </w:p>
        </w:tc>
      </w:tr>
      <w:tr w:rsidR="00AD11B7" w:rsidRPr="00FD5B47" w:rsidTr="00AD11B7">
        <w:trPr>
          <w:trHeight w:val="300"/>
        </w:trPr>
        <w:tc>
          <w:tcPr>
            <w:tcW w:w="1455" w:type="pct"/>
            <w:gridSpan w:val="2"/>
            <w:tcBorders>
              <w:top w:val="single" w:sz="8" w:space="0" w:color="auto"/>
              <w:left w:val="single" w:sz="8" w:space="0" w:color="auto"/>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Per Utility</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1</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Long-term Debt</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$180,000,000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$180,000,000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($178,061,256)</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$1,938,744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56.83%</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6.64%</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3.77%</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2</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Short-term Debt</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$4,000,000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$4,000,000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($3,956,917)</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$43,083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1.26%</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7.77%</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0.10%</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3</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Preferred Stock</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0.00%</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0.00%</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0.00%</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4</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Common Equity</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$182,354,550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$182,354,550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($180,390,445)</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$1,964,105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57.57%</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11.00%</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6.33%</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5</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Customer Deposits</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$6,591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$6,591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$6,591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0.19%</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2.00%</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0.00%</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6</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Deferred Income Taxes</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($540,800)</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($540,800)</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($540,800)</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-15.85%</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0.00%</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0.00%</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7</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Total Capital</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 xml:space="preserve">$365,820,341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 xml:space="preserve">$365,820,341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($362,408,618)</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 xml:space="preserve">$3,411,723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100.00%</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u w:val="double"/>
              </w:rPr>
            </w:pP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10.21%</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455" w:type="pct"/>
            <w:gridSpan w:val="2"/>
            <w:tcBorders>
              <w:top w:val="nil"/>
              <w:left w:val="single" w:sz="8" w:space="0" w:color="auto"/>
              <w:bottom w:val="nil"/>
              <w:right w:val="nil"/>
            </w:tcBorders>
            <w:shd w:val="clear" w:color="000000" w:fill="FFFFFF"/>
            <w:noWrap/>
            <w:vAlign w:val="bottom"/>
            <w:hideMark/>
          </w:tcPr>
          <w:p w:rsidR="00AD11B7" w:rsidRPr="00FD5B47" w:rsidRDefault="00AD11B7" w:rsidP="00973164">
            <w:pPr>
              <w:rPr>
                <w:rFonts w:ascii="Arial" w:hAnsi="Arial" w:cs="Arial"/>
                <w:b/>
                <w:bCs/>
                <w:sz w:val="18"/>
                <w:szCs w:val="18"/>
              </w:rPr>
            </w:pPr>
            <w:r w:rsidRPr="00FD5B47">
              <w:rPr>
                <w:rFonts w:ascii="Arial" w:hAnsi="Arial" w:cs="Arial"/>
                <w:b/>
                <w:bCs/>
                <w:sz w:val="18"/>
                <w:szCs w:val="18"/>
              </w:rPr>
              <w:t xml:space="preserve">Per </w:t>
            </w:r>
            <w:r w:rsidR="00973164">
              <w:rPr>
                <w:rFonts w:ascii="Arial" w:hAnsi="Arial" w:cs="Arial"/>
                <w:b/>
                <w:bCs/>
                <w:sz w:val="18"/>
                <w:szCs w:val="18"/>
              </w:rPr>
              <w:t>Commission</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8</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Long-term Debt</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$180,000,000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$180,000,000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($179,689,712)</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$310,288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45.75%</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6.64%</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3.04%</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9</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Short-term Debt</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$4,000,000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$4,000,000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($3,993,105)</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$6,895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1.02%</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7.77%</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0.08%</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10</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Preferred Stock</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0.00%</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0.00%</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0.00%</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11</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Common Equity</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$182,354,550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$182,354,550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($182,040,203)</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$314,347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46.35%</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11.00%</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5.10%</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12</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Customer Deposits</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$6,591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$6,591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 xml:space="preserve">$6,591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0.97%</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2.00%</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rPr>
            </w:pPr>
            <w:r w:rsidRPr="00FD5B47">
              <w:rPr>
                <w:rFonts w:ascii="Arial" w:hAnsi="Arial" w:cs="Arial"/>
                <w:sz w:val="18"/>
                <w:szCs w:val="18"/>
              </w:rPr>
              <w:t>0.02%</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13</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Deferred Income Taxes</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($540,800)</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 xml:space="preserve">$580,855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 xml:space="preserve">$40,055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 xml:space="preserve">$0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 xml:space="preserve">$40,055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5.91%</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0.00%</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single"/>
              </w:rPr>
            </w:pPr>
            <w:r w:rsidRPr="00FD5B47">
              <w:rPr>
                <w:rFonts w:ascii="Arial" w:hAnsi="Arial" w:cs="Arial"/>
                <w:sz w:val="18"/>
                <w:szCs w:val="18"/>
                <w:u w:val="single"/>
              </w:rPr>
              <w:t>0.00%</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jc w:val="center"/>
              <w:rPr>
                <w:rFonts w:ascii="Arial" w:hAnsi="Arial" w:cs="Arial"/>
                <w:sz w:val="18"/>
                <w:szCs w:val="18"/>
              </w:rPr>
            </w:pPr>
            <w:r w:rsidRPr="00FD5B47">
              <w:rPr>
                <w:rFonts w:ascii="Arial" w:hAnsi="Arial" w:cs="Arial"/>
                <w:sz w:val="18"/>
                <w:szCs w:val="18"/>
              </w:rPr>
              <w:t>14</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Total Capital</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 xml:space="preserve">$365,820,341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 xml:space="preserve">$580,855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 xml:space="preserve">$366,401,196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($365,723,020)</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 xml:space="preserve">$678,176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100.00%</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u w:val="double"/>
              </w:rPr>
            </w:pP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8.24%</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b/>
                <w:bCs/>
                <w:sz w:val="18"/>
                <w:szCs w:val="18"/>
              </w:rPr>
            </w:pPr>
            <w:r w:rsidRPr="00FD5B47">
              <w:rPr>
                <w:rFonts w:ascii="Arial" w:hAnsi="Arial" w:cs="Arial"/>
                <w:b/>
                <w:bCs/>
                <w:sz w:val="18"/>
                <w:szCs w:val="18"/>
              </w:rPr>
              <w:t> </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u w:val="single"/>
              </w:rPr>
            </w:pPr>
            <w:r w:rsidRPr="00FD5B47">
              <w:rPr>
                <w:rFonts w:ascii="Arial" w:hAnsi="Arial" w:cs="Arial"/>
                <w:b/>
                <w:bCs/>
                <w:sz w:val="18"/>
                <w:szCs w:val="18"/>
                <w:u w:val="single"/>
              </w:rPr>
              <w:t>LOW</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center"/>
              <w:rPr>
                <w:rFonts w:ascii="Arial" w:hAnsi="Arial" w:cs="Arial"/>
                <w:b/>
                <w:bCs/>
                <w:sz w:val="18"/>
                <w:szCs w:val="18"/>
                <w:u w:val="single"/>
              </w:rPr>
            </w:pPr>
            <w:r w:rsidRPr="00FD5B47">
              <w:rPr>
                <w:rFonts w:ascii="Arial" w:hAnsi="Arial" w:cs="Arial"/>
                <w:b/>
                <w:bCs/>
                <w:sz w:val="18"/>
                <w:szCs w:val="18"/>
                <w:u w:val="single"/>
              </w:rPr>
              <w:t>HIGH</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842" w:type="pct"/>
            <w:gridSpan w:val="2"/>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xml:space="preserve">   RETURN ON EQUITY</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11.00%</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13.00%</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00"/>
        </w:trPr>
        <w:tc>
          <w:tcPr>
            <w:tcW w:w="184" w:type="pct"/>
            <w:tcBorders>
              <w:top w:val="nil"/>
              <w:left w:val="single" w:sz="8" w:space="0" w:color="auto"/>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127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753"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color w:val="000000"/>
                <w:sz w:val="18"/>
                <w:szCs w:val="18"/>
              </w:rPr>
            </w:pPr>
            <w:r w:rsidRPr="00FD5B47">
              <w:rPr>
                <w:rFonts w:ascii="Arial" w:hAnsi="Arial" w:cs="Arial"/>
                <w:color w:val="000000"/>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421"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842" w:type="pct"/>
            <w:gridSpan w:val="2"/>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xml:space="preserve">   OVERALL RATE OF RETURN</w:t>
            </w:r>
          </w:p>
        </w:tc>
        <w:tc>
          <w:tcPr>
            <w:tcW w:w="352"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8.24%</w:t>
            </w:r>
          </w:p>
        </w:tc>
        <w:tc>
          <w:tcPr>
            <w:tcW w:w="294" w:type="pct"/>
            <w:tcBorders>
              <w:top w:val="nil"/>
              <w:left w:val="nil"/>
              <w:bottom w:val="nil"/>
              <w:right w:val="nil"/>
            </w:tcBorders>
            <w:shd w:val="clear" w:color="000000" w:fill="FFFFFF"/>
            <w:noWrap/>
            <w:vAlign w:val="bottom"/>
            <w:hideMark/>
          </w:tcPr>
          <w:p w:rsidR="00AD11B7" w:rsidRPr="00FD5B47" w:rsidRDefault="00AD11B7" w:rsidP="00AD11B7">
            <w:pPr>
              <w:jc w:val="right"/>
              <w:rPr>
                <w:rFonts w:ascii="Arial" w:hAnsi="Arial" w:cs="Arial"/>
                <w:sz w:val="18"/>
                <w:szCs w:val="18"/>
                <w:u w:val="double"/>
              </w:rPr>
            </w:pPr>
            <w:r w:rsidRPr="00FD5B47">
              <w:rPr>
                <w:rFonts w:ascii="Arial" w:hAnsi="Arial" w:cs="Arial"/>
                <w:sz w:val="18"/>
                <w:szCs w:val="18"/>
                <w:u w:val="double"/>
              </w:rPr>
              <w:t>9.16%</w:t>
            </w:r>
          </w:p>
        </w:tc>
        <w:tc>
          <w:tcPr>
            <w:tcW w:w="386" w:type="pct"/>
            <w:tcBorders>
              <w:top w:val="nil"/>
              <w:left w:val="nil"/>
              <w:bottom w:val="nil"/>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77" w:type="pct"/>
            <w:tcBorders>
              <w:top w:val="nil"/>
              <w:left w:val="nil"/>
              <w:bottom w:val="nil"/>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r w:rsidR="00AD11B7" w:rsidRPr="00FD5B47" w:rsidTr="00AD11B7">
        <w:trPr>
          <w:trHeight w:val="315"/>
        </w:trPr>
        <w:tc>
          <w:tcPr>
            <w:tcW w:w="184" w:type="pct"/>
            <w:tcBorders>
              <w:top w:val="nil"/>
              <w:left w:val="single" w:sz="8" w:space="0" w:color="auto"/>
              <w:bottom w:val="single" w:sz="8" w:space="0" w:color="auto"/>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1271"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753"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421"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421"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421"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421"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352"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294"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386" w:type="pct"/>
            <w:tcBorders>
              <w:top w:val="nil"/>
              <w:left w:val="nil"/>
              <w:bottom w:val="single" w:sz="8" w:space="0" w:color="auto"/>
              <w:right w:val="nil"/>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c>
          <w:tcPr>
            <w:tcW w:w="77" w:type="pct"/>
            <w:tcBorders>
              <w:top w:val="nil"/>
              <w:left w:val="nil"/>
              <w:bottom w:val="single" w:sz="8" w:space="0" w:color="auto"/>
              <w:right w:val="single" w:sz="8" w:space="0" w:color="auto"/>
            </w:tcBorders>
            <w:shd w:val="clear" w:color="000000" w:fill="FFFFFF"/>
            <w:noWrap/>
            <w:vAlign w:val="bottom"/>
            <w:hideMark/>
          </w:tcPr>
          <w:p w:rsidR="00AD11B7" w:rsidRPr="00FD5B47" w:rsidRDefault="00AD11B7" w:rsidP="00AD11B7">
            <w:pPr>
              <w:rPr>
                <w:rFonts w:ascii="Arial" w:hAnsi="Arial" w:cs="Arial"/>
                <w:sz w:val="18"/>
                <w:szCs w:val="18"/>
              </w:rPr>
            </w:pPr>
            <w:r w:rsidRPr="00FD5B47">
              <w:rPr>
                <w:rFonts w:ascii="Arial" w:hAnsi="Arial" w:cs="Arial"/>
                <w:sz w:val="18"/>
                <w:szCs w:val="18"/>
              </w:rPr>
              <w:t> </w:t>
            </w:r>
          </w:p>
        </w:tc>
      </w:tr>
    </w:tbl>
    <w:p w:rsidR="00AD11B7" w:rsidRDefault="00AD11B7"/>
    <w:p w:rsidR="00AD11B7" w:rsidRDefault="00AD11B7">
      <w:pPr>
        <w:sectPr w:rsidR="00AD11B7" w:rsidSect="007A0C3D">
          <w:headerReference w:type="default" r:id="rId11"/>
          <w:headerReference w:type="first" r:id="rId12"/>
          <w:pgSz w:w="15840" w:h="12240" w:orient="landscape" w:code="1"/>
          <w:pgMar w:top="1440" w:right="1440" w:bottom="1440" w:left="1440" w:header="720" w:footer="720" w:gutter="0"/>
          <w:paperSrc w:first="4"/>
          <w:cols w:space="720"/>
          <w:docGrid w:linePitch="360"/>
        </w:sectPr>
      </w:pPr>
    </w:p>
    <w:p w:rsidR="006D4730" w:rsidRDefault="006D4730"/>
    <w:tbl>
      <w:tblPr>
        <w:tblW w:w="5000" w:type="pct"/>
        <w:tblLook w:val="04A0" w:firstRow="1" w:lastRow="0" w:firstColumn="1" w:lastColumn="0" w:noHBand="0" w:noVBand="1"/>
      </w:tblPr>
      <w:tblGrid>
        <w:gridCol w:w="437"/>
        <w:gridCol w:w="4258"/>
        <w:gridCol w:w="1304"/>
        <w:gridCol w:w="1106"/>
        <w:gridCol w:w="1116"/>
        <w:gridCol w:w="1100"/>
        <w:gridCol w:w="1104"/>
        <w:gridCol w:w="1110"/>
        <w:gridCol w:w="1641"/>
      </w:tblGrid>
      <w:tr w:rsidR="003D7B5F" w:rsidRPr="00FD5B47" w:rsidTr="00AD11B7">
        <w:trPr>
          <w:trHeight w:val="315"/>
        </w:trPr>
        <w:tc>
          <w:tcPr>
            <w:tcW w:w="198" w:type="pct"/>
            <w:tcBorders>
              <w:top w:val="single" w:sz="8" w:space="0" w:color="auto"/>
              <w:left w:val="single" w:sz="8" w:space="0" w:color="auto"/>
              <w:bottom w:val="nil"/>
              <w:right w:val="nil"/>
            </w:tcBorders>
            <w:shd w:val="clear" w:color="000000" w:fill="FFFFFF"/>
            <w:noWrap/>
            <w:vAlign w:val="bottom"/>
            <w:hideMark/>
          </w:tcPr>
          <w:p w:rsidR="003D7B5F" w:rsidRPr="00FD5B47" w:rsidRDefault="003D7B5F" w:rsidP="00AD11B7">
            <w:pPr>
              <w:rPr>
                <w:color w:val="000000"/>
                <w:sz w:val="20"/>
                <w:szCs w:val="20"/>
              </w:rPr>
            </w:pPr>
            <w:r w:rsidRPr="00FD5B47">
              <w:rPr>
                <w:color w:val="000000"/>
                <w:sz w:val="20"/>
                <w:szCs w:val="20"/>
              </w:rPr>
              <w:t> </w:t>
            </w:r>
          </w:p>
        </w:tc>
        <w:tc>
          <w:tcPr>
            <w:tcW w:w="2175" w:type="pct"/>
            <w:gridSpan w:val="2"/>
            <w:tcBorders>
              <w:top w:val="single" w:sz="8" w:space="0" w:color="auto"/>
              <w:left w:val="nil"/>
              <w:bottom w:val="nil"/>
              <w:right w:val="nil"/>
            </w:tcBorders>
            <w:shd w:val="clear" w:color="000000" w:fill="FFFFFF"/>
            <w:noWrap/>
            <w:vAlign w:val="bottom"/>
            <w:hideMark/>
          </w:tcPr>
          <w:p w:rsidR="003D7B5F" w:rsidRPr="00FD5B47" w:rsidRDefault="003D7B5F" w:rsidP="00AD11B7">
            <w:pPr>
              <w:rPr>
                <w:rFonts w:ascii="Arial" w:hAnsi="Arial" w:cs="Arial"/>
                <w:b/>
                <w:bCs/>
              </w:rPr>
            </w:pPr>
            <w:r w:rsidRPr="00FD5B47">
              <w:rPr>
                <w:rFonts w:ascii="Arial" w:hAnsi="Arial" w:cs="Arial"/>
                <w:b/>
                <w:bCs/>
              </w:rPr>
              <w:t>Utilities, Inc. of Sandalhaven</w:t>
            </w:r>
          </w:p>
        </w:tc>
        <w:tc>
          <w:tcPr>
            <w:tcW w:w="452" w:type="pct"/>
            <w:tcBorders>
              <w:top w:val="single" w:sz="8" w:space="0" w:color="auto"/>
              <w:left w:val="nil"/>
              <w:bottom w:val="nil"/>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452" w:type="pct"/>
            <w:tcBorders>
              <w:top w:val="single" w:sz="8" w:space="0" w:color="auto"/>
              <w:left w:val="nil"/>
              <w:bottom w:val="nil"/>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452" w:type="pct"/>
            <w:tcBorders>
              <w:top w:val="single" w:sz="8" w:space="0" w:color="auto"/>
              <w:left w:val="nil"/>
              <w:bottom w:val="nil"/>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452" w:type="pct"/>
            <w:tcBorders>
              <w:top w:val="single" w:sz="8" w:space="0" w:color="auto"/>
              <w:left w:val="nil"/>
              <w:bottom w:val="nil"/>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818" w:type="pct"/>
            <w:gridSpan w:val="2"/>
            <w:tcBorders>
              <w:top w:val="single" w:sz="8" w:space="0" w:color="auto"/>
              <w:left w:val="nil"/>
              <w:bottom w:val="nil"/>
              <w:right w:val="single" w:sz="8" w:space="0" w:color="000000"/>
            </w:tcBorders>
            <w:shd w:val="clear" w:color="000000" w:fill="FFFFFF"/>
            <w:noWrap/>
            <w:vAlign w:val="bottom"/>
            <w:hideMark/>
          </w:tcPr>
          <w:p w:rsidR="003D7B5F" w:rsidRPr="00FD5B47" w:rsidRDefault="003D7B5F" w:rsidP="00AD11B7">
            <w:pPr>
              <w:jc w:val="right"/>
              <w:rPr>
                <w:rFonts w:ascii="Arial" w:hAnsi="Arial" w:cs="Arial"/>
                <w:b/>
                <w:bCs/>
              </w:rPr>
            </w:pPr>
            <w:r w:rsidRPr="00FD5B47">
              <w:rPr>
                <w:rFonts w:ascii="Arial" w:hAnsi="Arial" w:cs="Arial"/>
                <w:b/>
                <w:bCs/>
              </w:rPr>
              <w:t>Schedule No. 3-A</w:t>
            </w:r>
          </w:p>
        </w:tc>
      </w:tr>
      <w:tr w:rsidR="003D7B5F" w:rsidRPr="00FD5B47" w:rsidTr="00AD11B7">
        <w:trPr>
          <w:trHeight w:val="315"/>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rPr>
                <w:color w:val="000000"/>
                <w:sz w:val="20"/>
                <w:szCs w:val="20"/>
              </w:rPr>
            </w:pPr>
            <w:r w:rsidRPr="00FD5B47">
              <w:rPr>
                <w:color w:val="000000"/>
                <w:sz w:val="20"/>
                <w:szCs w:val="20"/>
              </w:rPr>
              <w:t> </w:t>
            </w:r>
          </w:p>
        </w:tc>
        <w:tc>
          <w:tcPr>
            <w:tcW w:w="2175" w:type="pct"/>
            <w:gridSpan w:val="2"/>
            <w:tcBorders>
              <w:top w:val="nil"/>
              <w:left w:val="nil"/>
              <w:bottom w:val="nil"/>
              <w:right w:val="nil"/>
            </w:tcBorders>
            <w:shd w:val="clear" w:color="000000" w:fill="FFFFFF"/>
            <w:noWrap/>
            <w:vAlign w:val="bottom"/>
            <w:hideMark/>
          </w:tcPr>
          <w:p w:rsidR="003D7B5F" w:rsidRPr="00FD5B47" w:rsidRDefault="003D7B5F" w:rsidP="00AD11B7">
            <w:pPr>
              <w:rPr>
                <w:rFonts w:ascii="Arial" w:hAnsi="Arial" w:cs="Arial"/>
                <w:b/>
                <w:bCs/>
              </w:rPr>
            </w:pPr>
            <w:r w:rsidRPr="00FD5B47">
              <w:rPr>
                <w:rFonts w:ascii="Arial" w:hAnsi="Arial" w:cs="Arial"/>
                <w:b/>
                <w:bCs/>
              </w:rPr>
              <w:t>Statement of Wastewater Operations</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818" w:type="pct"/>
            <w:gridSpan w:val="2"/>
            <w:tcBorders>
              <w:top w:val="nil"/>
              <w:left w:val="nil"/>
              <w:bottom w:val="nil"/>
              <w:right w:val="single" w:sz="8" w:space="0" w:color="000000"/>
            </w:tcBorders>
            <w:shd w:val="clear" w:color="000000" w:fill="FFFFFF"/>
            <w:noWrap/>
            <w:vAlign w:val="bottom"/>
            <w:hideMark/>
          </w:tcPr>
          <w:p w:rsidR="003D7B5F" w:rsidRPr="00FD5B47" w:rsidRDefault="003D7B5F" w:rsidP="00AD11B7">
            <w:pPr>
              <w:jc w:val="right"/>
              <w:rPr>
                <w:rFonts w:ascii="Arial" w:hAnsi="Arial" w:cs="Arial"/>
                <w:b/>
                <w:bCs/>
              </w:rPr>
            </w:pPr>
            <w:r w:rsidRPr="00FD5B47">
              <w:rPr>
                <w:rFonts w:ascii="Arial" w:hAnsi="Arial" w:cs="Arial"/>
                <w:b/>
                <w:bCs/>
              </w:rPr>
              <w:t>Docket No. 150102-SU</w:t>
            </w:r>
          </w:p>
        </w:tc>
      </w:tr>
      <w:tr w:rsidR="003D7B5F" w:rsidRPr="00FD5B47" w:rsidTr="00AD11B7">
        <w:trPr>
          <w:trHeight w:val="330"/>
        </w:trPr>
        <w:tc>
          <w:tcPr>
            <w:tcW w:w="198" w:type="pct"/>
            <w:tcBorders>
              <w:top w:val="nil"/>
              <w:left w:val="single" w:sz="8" w:space="0" w:color="auto"/>
              <w:bottom w:val="single" w:sz="8" w:space="0" w:color="auto"/>
              <w:right w:val="nil"/>
            </w:tcBorders>
            <w:shd w:val="clear" w:color="000000" w:fill="FFFFFF"/>
            <w:noWrap/>
            <w:vAlign w:val="bottom"/>
            <w:hideMark/>
          </w:tcPr>
          <w:p w:rsidR="003D7B5F" w:rsidRPr="00FD5B47" w:rsidRDefault="003D7B5F" w:rsidP="00AD11B7">
            <w:pPr>
              <w:rPr>
                <w:color w:val="000000"/>
                <w:sz w:val="20"/>
                <w:szCs w:val="20"/>
              </w:rPr>
            </w:pPr>
            <w:r w:rsidRPr="00FD5B47">
              <w:rPr>
                <w:color w:val="000000"/>
                <w:sz w:val="20"/>
                <w:szCs w:val="20"/>
              </w:rPr>
              <w:t> </w:t>
            </w:r>
          </w:p>
        </w:tc>
        <w:tc>
          <w:tcPr>
            <w:tcW w:w="1648"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rFonts w:ascii="Arial" w:hAnsi="Arial" w:cs="Arial"/>
                <w:b/>
                <w:bCs/>
              </w:rPr>
            </w:pPr>
            <w:r w:rsidRPr="00FD5B47">
              <w:rPr>
                <w:rFonts w:ascii="Arial" w:hAnsi="Arial" w:cs="Arial"/>
                <w:b/>
                <w:bCs/>
              </w:rPr>
              <w:t>Test Year Ended 12/31/14</w:t>
            </w:r>
          </w:p>
        </w:tc>
        <w:tc>
          <w:tcPr>
            <w:tcW w:w="526"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452"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452"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452"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452"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rFonts w:ascii="Arial" w:hAnsi="Arial" w:cs="Arial"/>
              </w:rPr>
            </w:pPr>
            <w:r w:rsidRPr="00FD5B47">
              <w:rPr>
                <w:rFonts w:ascii="Arial" w:hAnsi="Arial" w:cs="Arial"/>
              </w:rPr>
              <w:t> </w:t>
            </w:r>
          </w:p>
        </w:tc>
        <w:tc>
          <w:tcPr>
            <w:tcW w:w="330"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rFonts w:ascii="Arial" w:hAnsi="Arial" w:cs="Arial"/>
                <w:b/>
                <w:bCs/>
              </w:rPr>
            </w:pPr>
            <w:r w:rsidRPr="00FD5B47">
              <w:rPr>
                <w:rFonts w:ascii="Arial" w:hAnsi="Arial" w:cs="Arial"/>
                <w:b/>
                <w:bCs/>
              </w:rPr>
              <w:t> </w:t>
            </w:r>
          </w:p>
        </w:tc>
        <w:tc>
          <w:tcPr>
            <w:tcW w:w="488" w:type="pct"/>
            <w:tcBorders>
              <w:top w:val="nil"/>
              <w:left w:val="nil"/>
              <w:bottom w:val="single" w:sz="8" w:space="0" w:color="auto"/>
              <w:right w:val="single" w:sz="8" w:space="0" w:color="auto"/>
            </w:tcBorders>
            <w:shd w:val="clear" w:color="000000" w:fill="FFFFFF"/>
            <w:noWrap/>
            <w:vAlign w:val="bottom"/>
            <w:hideMark/>
          </w:tcPr>
          <w:p w:rsidR="003D7B5F" w:rsidRPr="00FD5B47" w:rsidRDefault="003D7B5F" w:rsidP="00AD11B7">
            <w:pPr>
              <w:rPr>
                <w:rFonts w:ascii="Arial" w:hAnsi="Arial" w:cs="Arial"/>
                <w:b/>
                <w:bCs/>
              </w:rPr>
            </w:pPr>
            <w:r w:rsidRPr="00FD5B47">
              <w:rPr>
                <w:rFonts w:ascii="Arial" w:hAnsi="Arial" w:cs="Arial"/>
                <w:b/>
                <w:bCs/>
              </w:rPr>
              <w:t>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b/>
                <w:bCs/>
                <w:sz w:val="20"/>
                <w:szCs w:val="20"/>
              </w:rPr>
            </w:pPr>
            <w:r w:rsidRPr="00FD5B47">
              <w:rPr>
                <w:b/>
                <w:bCs/>
                <w:sz w:val="20"/>
                <w:szCs w:val="20"/>
              </w:rPr>
              <w:t> </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Test Year</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Utility</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Adjusted</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center"/>
              <w:rPr>
                <w:b/>
                <w:bCs/>
                <w:sz w:val="20"/>
                <w:szCs w:val="20"/>
              </w:rPr>
            </w:pPr>
            <w:r>
              <w:rPr>
                <w:b/>
                <w:bCs/>
                <w:sz w:val="20"/>
                <w:szCs w:val="20"/>
              </w:rPr>
              <w:t>Comm.</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center"/>
              <w:rPr>
                <w:b/>
                <w:bCs/>
                <w:sz w:val="20"/>
                <w:szCs w:val="20"/>
              </w:rPr>
            </w:pPr>
            <w:r>
              <w:rPr>
                <w:b/>
                <w:bCs/>
                <w:sz w:val="20"/>
                <w:szCs w:val="20"/>
              </w:rPr>
              <w:t>Comm.</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rPr>
                <w:b/>
                <w:bCs/>
                <w:sz w:val="20"/>
                <w:szCs w:val="20"/>
              </w:rPr>
            </w:pPr>
            <w:r w:rsidRPr="00FD5B47">
              <w:rPr>
                <w:b/>
                <w:bCs/>
                <w:sz w:val="20"/>
                <w:szCs w:val="20"/>
              </w:rPr>
              <w:t>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rPr>
                <w:b/>
                <w:bCs/>
                <w:sz w:val="20"/>
                <w:szCs w:val="20"/>
              </w:rPr>
            </w:pPr>
            <w:r w:rsidRPr="00FD5B47">
              <w:rPr>
                <w:b/>
                <w:bCs/>
                <w:sz w:val="20"/>
                <w:szCs w:val="20"/>
              </w:rPr>
              <w:t>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b/>
                <w:bCs/>
                <w:sz w:val="20"/>
                <w:szCs w:val="20"/>
              </w:rPr>
            </w:pPr>
            <w:r w:rsidRPr="00FD5B47">
              <w:rPr>
                <w:b/>
                <w:bCs/>
                <w:sz w:val="20"/>
                <w:szCs w:val="20"/>
              </w:rPr>
              <w:t> </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Per</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Adjust-</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Test Year</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Adjust-</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Adjusted</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Revenue</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Revenue</w:t>
            </w:r>
          </w:p>
        </w:tc>
      </w:tr>
      <w:tr w:rsidR="003D7B5F" w:rsidRPr="00FD5B47" w:rsidTr="00AD11B7">
        <w:trPr>
          <w:trHeight w:val="315"/>
        </w:trPr>
        <w:tc>
          <w:tcPr>
            <w:tcW w:w="198" w:type="pct"/>
            <w:tcBorders>
              <w:top w:val="nil"/>
              <w:left w:val="single" w:sz="8" w:space="0" w:color="auto"/>
              <w:bottom w:val="single" w:sz="8" w:space="0" w:color="auto"/>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1648"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b/>
                <w:bCs/>
                <w:sz w:val="20"/>
                <w:szCs w:val="20"/>
              </w:rPr>
            </w:pPr>
            <w:r w:rsidRPr="00FD5B47">
              <w:rPr>
                <w:b/>
                <w:bCs/>
                <w:sz w:val="20"/>
                <w:szCs w:val="20"/>
              </w:rPr>
              <w:t>Description</w:t>
            </w:r>
          </w:p>
        </w:tc>
        <w:tc>
          <w:tcPr>
            <w:tcW w:w="526" w:type="pct"/>
            <w:tcBorders>
              <w:top w:val="nil"/>
              <w:left w:val="nil"/>
              <w:bottom w:val="single" w:sz="8" w:space="0" w:color="auto"/>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Utility</w:t>
            </w:r>
          </w:p>
        </w:tc>
        <w:tc>
          <w:tcPr>
            <w:tcW w:w="452" w:type="pct"/>
            <w:tcBorders>
              <w:top w:val="nil"/>
              <w:left w:val="nil"/>
              <w:bottom w:val="single" w:sz="8" w:space="0" w:color="auto"/>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ments</w:t>
            </w:r>
          </w:p>
        </w:tc>
        <w:tc>
          <w:tcPr>
            <w:tcW w:w="452" w:type="pct"/>
            <w:tcBorders>
              <w:top w:val="nil"/>
              <w:left w:val="nil"/>
              <w:bottom w:val="single" w:sz="8" w:space="0" w:color="auto"/>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Per Utility</w:t>
            </w:r>
          </w:p>
        </w:tc>
        <w:tc>
          <w:tcPr>
            <w:tcW w:w="452" w:type="pct"/>
            <w:tcBorders>
              <w:top w:val="nil"/>
              <w:left w:val="nil"/>
              <w:bottom w:val="single" w:sz="8" w:space="0" w:color="auto"/>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ments</w:t>
            </w:r>
          </w:p>
        </w:tc>
        <w:tc>
          <w:tcPr>
            <w:tcW w:w="452" w:type="pct"/>
            <w:tcBorders>
              <w:top w:val="nil"/>
              <w:left w:val="nil"/>
              <w:bottom w:val="single" w:sz="8" w:space="0" w:color="auto"/>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Test Year</w:t>
            </w:r>
          </w:p>
        </w:tc>
        <w:tc>
          <w:tcPr>
            <w:tcW w:w="330" w:type="pct"/>
            <w:tcBorders>
              <w:top w:val="nil"/>
              <w:left w:val="nil"/>
              <w:bottom w:val="single" w:sz="8" w:space="0" w:color="auto"/>
              <w:right w:val="nil"/>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Increase</w:t>
            </w:r>
          </w:p>
        </w:tc>
        <w:tc>
          <w:tcPr>
            <w:tcW w:w="488" w:type="pct"/>
            <w:tcBorders>
              <w:top w:val="nil"/>
              <w:left w:val="nil"/>
              <w:bottom w:val="single" w:sz="8" w:space="0" w:color="auto"/>
              <w:right w:val="single" w:sz="8" w:space="0" w:color="auto"/>
            </w:tcBorders>
            <w:shd w:val="clear" w:color="000000" w:fill="FFFFFF"/>
            <w:noWrap/>
            <w:vAlign w:val="bottom"/>
            <w:hideMark/>
          </w:tcPr>
          <w:p w:rsidR="003D7B5F" w:rsidRPr="00FD5B47" w:rsidRDefault="003D7B5F" w:rsidP="00AD11B7">
            <w:pPr>
              <w:jc w:val="center"/>
              <w:rPr>
                <w:b/>
                <w:bCs/>
                <w:sz w:val="20"/>
                <w:szCs w:val="20"/>
              </w:rPr>
            </w:pPr>
            <w:r w:rsidRPr="00FD5B47">
              <w:rPr>
                <w:b/>
                <w:bCs/>
                <w:sz w:val="20"/>
                <w:szCs w:val="20"/>
              </w:rPr>
              <w:t>Requirement</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1</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b/>
                <w:bCs/>
                <w:sz w:val="20"/>
                <w:szCs w:val="20"/>
              </w:rPr>
            </w:pPr>
            <w:r w:rsidRPr="00FD5B47">
              <w:rPr>
                <w:b/>
                <w:bCs/>
                <w:sz w:val="20"/>
                <w:szCs w:val="20"/>
              </w:rPr>
              <w:t>Operating Revenues:</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$668,757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$736,541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$1,405,298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($736,261)</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$669,037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$119,553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$788,590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 </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17.87%</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 </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b/>
                <w:bCs/>
                <w:sz w:val="20"/>
                <w:szCs w:val="20"/>
              </w:rPr>
            </w:pPr>
            <w:r w:rsidRPr="00FD5B47">
              <w:rPr>
                <w:b/>
                <w:bCs/>
                <w:sz w:val="20"/>
                <w:szCs w:val="20"/>
              </w:rPr>
              <w:t>Operating Expenses</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2</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xml:space="preserve">    Operation &amp; Maintenance</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$581,100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$5,646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$586,746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($40,787)</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$545,959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$0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$545,959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 </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3</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xml:space="preserve">    Depreciation</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264,739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(87,157)</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177,582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(118,057)</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59,525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0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59,525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 </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5</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xml:space="preserve">    Taxes Other Than Income</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113,952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48,580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162,532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(61,518)</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101,014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5,380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xml:space="preserve">106,394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 </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6</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xml:space="preserve">    Income Taxes</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(118,083)</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248,359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130,276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(152,377)</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(22,101)</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42,963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20,862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 </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7</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b/>
                <w:bCs/>
                <w:sz w:val="20"/>
                <w:szCs w:val="20"/>
              </w:rPr>
            </w:pPr>
            <w:r w:rsidRPr="00FD5B47">
              <w:rPr>
                <w:b/>
                <w:bCs/>
                <w:sz w:val="20"/>
                <w:szCs w:val="20"/>
              </w:rPr>
              <w:t>Total Operating Expense</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841,708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215,428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1,057,136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(372,738)</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684,398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48,343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u w:val="single"/>
              </w:rPr>
            </w:pPr>
            <w:r w:rsidRPr="00FD5B47">
              <w:rPr>
                <w:sz w:val="20"/>
                <w:szCs w:val="20"/>
                <w:u w:val="single"/>
              </w:rPr>
              <w:t xml:space="preserve">732,741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 </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8</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b/>
                <w:bCs/>
                <w:sz w:val="20"/>
                <w:szCs w:val="20"/>
              </w:rPr>
            </w:pPr>
            <w:r w:rsidRPr="00FD5B47">
              <w:rPr>
                <w:b/>
                <w:bCs/>
                <w:sz w:val="20"/>
                <w:szCs w:val="20"/>
              </w:rPr>
              <w:t>Operating Income</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($172,951)</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 xml:space="preserve">$521,113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 xml:space="preserve">$348,162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($363,523)</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($15,361)</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 xml:space="preserve">$71,209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 xml:space="preserve">$55,849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 </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rPr>
            </w:pPr>
            <w:r w:rsidRPr="00FD5B47">
              <w:rPr>
                <w:sz w:val="20"/>
                <w:szCs w:val="20"/>
              </w:rPr>
              <w:t>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9</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b/>
                <w:bCs/>
                <w:sz w:val="20"/>
                <w:szCs w:val="20"/>
              </w:rPr>
            </w:pPr>
            <w:r w:rsidRPr="00FD5B47">
              <w:rPr>
                <w:b/>
                <w:bCs/>
                <w:sz w:val="20"/>
                <w:szCs w:val="20"/>
              </w:rPr>
              <w:t>Rate Base</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 xml:space="preserve">$3,468,701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 xml:space="preserve">$3,411,723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 xml:space="preserve">$678,176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 xml:space="preserve">$678,176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 </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r>
      <w:tr w:rsidR="003D7B5F" w:rsidRPr="00FD5B47" w:rsidTr="00AD11B7">
        <w:trPr>
          <w:trHeight w:val="300"/>
        </w:trPr>
        <w:tc>
          <w:tcPr>
            <w:tcW w:w="198" w:type="pct"/>
            <w:tcBorders>
              <w:top w:val="nil"/>
              <w:left w:val="single" w:sz="8" w:space="0" w:color="auto"/>
              <w:bottom w:val="nil"/>
              <w:right w:val="nil"/>
            </w:tcBorders>
            <w:shd w:val="clear" w:color="000000" w:fill="FFFFFF"/>
            <w:noWrap/>
            <w:vAlign w:val="bottom"/>
            <w:hideMark/>
          </w:tcPr>
          <w:p w:rsidR="003D7B5F" w:rsidRPr="00FD5B47" w:rsidRDefault="003D7B5F" w:rsidP="00AD11B7">
            <w:pPr>
              <w:jc w:val="center"/>
              <w:rPr>
                <w:sz w:val="20"/>
                <w:szCs w:val="20"/>
              </w:rPr>
            </w:pPr>
            <w:r w:rsidRPr="00FD5B47">
              <w:rPr>
                <w:sz w:val="20"/>
                <w:szCs w:val="20"/>
              </w:rPr>
              <w:t>10</w:t>
            </w:r>
          </w:p>
        </w:tc>
        <w:tc>
          <w:tcPr>
            <w:tcW w:w="1648" w:type="pct"/>
            <w:tcBorders>
              <w:top w:val="nil"/>
              <w:left w:val="nil"/>
              <w:bottom w:val="nil"/>
              <w:right w:val="nil"/>
            </w:tcBorders>
            <w:shd w:val="clear" w:color="000000" w:fill="FFFFFF"/>
            <w:noWrap/>
            <w:vAlign w:val="bottom"/>
            <w:hideMark/>
          </w:tcPr>
          <w:p w:rsidR="003D7B5F" w:rsidRPr="00FD5B47" w:rsidRDefault="003D7B5F" w:rsidP="00AD11B7">
            <w:pPr>
              <w:rPr>
                <w:b/>
                <w:bCs/>
                <w:sz w:val="20"/>
                <w:szCs w:val="20"/>
              </w:rPr>
            </w:pPr>
            <w:r w:rsidRPr="00FD5B47">
              <w:rPr>
                <w:b/>
                <w:bCs/>
                <w:sz w:val="20"/>
                <w:szCs w:val="20"/>
              </w:rPr>
              <w:t>Rate of Return</w:t>
            </w:r>
          </w:p>
        </w:tc>
        <w:tc>
          <w:tcPr>
            <w:tcW w:w="526"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-4.99%</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10.20%</w:t>
            </w: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p>
        </w:tc>
        <w:tc>
          <w:tcPr>
            <w:tcW w:w="452"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-2.26%</w:t>
            </w:r>
          </w:p>
        </w:tc>
        <w:tc>
          <w:tcPr>
            <w:tcW w:w="330" w:type="pct"/>
            <w:tcBorders>
              <w:top w:val="nil"/>
              <w:left w:val="nil"/>
              <w:bottom w:val="nil"/>
              <w:right w:val="nil"/>
            </w:tcBorders>
            <w:shd w:val="clear" w:color="000000" w:fill="FFFFFF"/>
            <w:noWrap/>
            <w:vAlign w:val="bottom"/>
            <w:hideMark/>
          </w:tcPr>
          <w:p w:rsidR="003D7B5F" w:rsidRPr="00FD5B47" w:rsidRDefault="003D7B5F" w:rsidP="00AD11B7">
            <w:pPr>
              <w:jc w:val="right"/>
              <w:rPr>
                <w:sz w:val="20"/>
                <w:szCs w:val="20"/>
                <w:u w:val="double"/>
              </w:rPr>
            </w:pPr>
          </w:p>
        </w:tc>
        <w:tc>
          <w:tcPr>
            <w:tcW w:w="488" w:type="pct"/>
            <w:tcBorders>
              <w:top w:val="nil"/>
              <w:left w:val="nil"/>
              <w:bottom w:val="nil"/>
              <w:right w:val="single" w:sz="8" w:space="0" w:color="auto"/>
            </w:tcBorders>
            <w:shd w:val="clear" w:color="000000" w:fill="FFFFFF"/>
            <w:noWrap/>
            <w:vAlign w:val="bottom"/>
            <w:hideMark/>
          </w:tcPr>
          <w:p w:rsidR="003D7B5F" w:rsidRPr="00FD5B47" w:rsidRDefault="003D7B5F" w:rsidP="00AD11B7">
            <w:pPr>
              <w:jc w:val="right"/>
              <w:rPr>
                <w:sz w:val="20"/>
                <w:szCs w:val="20"/>
                <w:u w:val="double"/>
              </w:rPr>
            </w:pPr>
            <w:r w:rsidRPr="00FD5B47">
              <w:rPr>
                <w:sz w:val="20"/>
                <w:szCs w:val="20"/>
                <w:u w:val="double"/>
              </w:rPr>
              <w:t>8.24%</w:t>
            </w:r>
          </w:p>
        </w:tc>
      </w:tr>
      <w:tr w:rsidR="003D7B5F" w:rsidRPr="00FD5B47" w:rsidTr="00AD11B7">
        <w:trPr>
          <w:trHeight w:val="315"/>
        </w:trPr>
        <w:tc>
          <w:tcPr>
            <w:tcW w:w="198" w:type="pct"/>
            <w:tcBorders>
              <w:top w:val="nil"/>
              <w:left w:val="single" w:sz="8" w:space="0" w:color="auto"/>
              <w:bottom w:val="single" w:sz="8" w:space="0" w:color="auto"/>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1648"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526"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52"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330" w:type="pct"/>
            <w:tcBorders>
              <w:top w:val="nil"/>
              <w:left w:val="nil"/>
              <w:bottom w:val="single" w:sz="8" w:space="0" w:color="auto"/>
              <w:right w:val="nil"/>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c>
          <w:tcPr>
            <w:tcW w:w="488" w:type="pct"/>
            <w:tcBorders>
              <w:top w:val="nil"/>
              <w:left w:val="nil"/>
              <w:bottom w:val="single" w:sz="8" w:space="0" w:color="auto"/>
              <w:right w:val="single" w:sz="8" w:space="0" w:color="auto"/>
            </w:tcBorders>
            <w:shd w:val="clear" w:color="000000" w:fill="FFFFFF"/>
            <w:noWrap/>
            <w:vAlign w:val="bottom"/>
            <w:hideMark/>
          </w:tcPr>
          <w:p w:rsidR="003D7B5F" w:rsidRPr="00FD5B47" w:rsidRDefault="003D7B5F" w:rsidP="00AD11B7">
            <w:pPr>
              <w:rPr>
                <w:sz w:val="20"/>
                <w:szCs w:val="20"/>
              </w:rPr>
            </w:pPr>
            <w:r w:rsidRPr="00FD5B47">
              <w:rPr>
                <w:sz w:val="20"/>
                <w:szCs w:val="20"/>
              </w:rPr>
              <w:t> </w:t>
            </w:r>
          </w:p>
        </w:tc>
      </w:tr>
    </w:tbl>
    <w:p w:rsidR="006D4730" w:rsidRDefault="006D4730"/>
    <w:p w:rsidR="003D7B5F" w:rsidRDefault="003D7B5F"/>
    <w:p w:rsidR="00387496" w:rsidRDefault="00387496">
      <w:pPr>
        <w:sectPr w:rsidR="00387496" w:rsidSect="007A0C3D">
          <w:headerReference w:type="default" r:id="rId13"/>
          <w:pgSz w:w="15840" w:h="12240" w:orient="landscape" w:code="1"/>
          <w:pgMar w:top="1440" w:right="1440" w:bottom="1440" w:left="1440" w:header="720" w:footer="720" w:gutter="0"/>
          <w:paperSrc w:first="4"/>
          <w:cols w:space="720"/>
          <w:docGrid w:linePitch="360"/>
        </w:sectPr>
      </w:pPr>
    </w:p>
    <w:p w:rsidR="00387496" w:rsidRDefault="00387496"/>
    <w:tbl>
      <w:tblPr>
        <w:tblW w:w="5000" w:type="pct"/>
        <w:tblLook w:val="04A0" w:firstRow="1" w:lastRow="0" w:firstColumn="1" w:lastColumn="0" w:noHBand="0" w:noVBand="1"/>
      </w:tblPr>
      <w:tblGrid>
        <w:gridCol w:w="4638"/>
        <w:gridCol w:w="2465"/>
        <w:gridCol w:w="2473"/>
      </w:tblGrid>
      <w:tr w:rsidR="006D4730" w:rsidRPr="00FD5B47" w:rsidTr="00FF1E0B">
        <w:trPr>
          <w:trHeight w:val="315"/>
        </w:trPr>
        <w:tc>
          <w:tcPr>
            <w:tcW w:w="2299" w:type="pct"/>
            <w:tcBorders>
              <w:top w:val="single" w:sz="8" w:space="0" w:color="auto"/>
              <w:left w:val="single" w:sz="4" w:space="0" w:color="auto"/>
              <w:bottom w:val="nil"/>
              <w:right w:val="nil"/>
            </w:tcBorders>
            <w:shd w:val="clear" w:color="auto" w:fill="auto"/>
            <w:noWrap/>
            <w:vAlign w:val="bottom"/>
            <w:hideMark/>
          </w:tcPr>
          <w:p w:rsidR="006D4730" w:rsidRPr="00FD5B47" w:rsidRDefault="006D4730" w:rsidP="00AD11B7">
            <w:pPr>
              <w:rPr>
                <w:rFonts w:ascii="Arial" w:hAnsi="Arial" w:cs="Arial"/>
                <w:b/>
                <w:bCs/>
              </w:rPr>
            </w:pPr>
            <w:r w:rsidRPr="00FD5B47">
              <w:rPr>
                <w:rFonts w:ascii="Arial" w:hAnsi="Arial" w:cs="Arial"/>
                <w:b/>
                <w:bCs/>
              </w:rPr>
              <w:t>Utilities, Inc. of Sandalhaven</w:t>
            </w:r>
          </w:p>
        </w:tc>
        <w:tc>
          <w:tcPr>
            <w:tcW w:w="2448" w:type="pct"/>
            <w:gridSpan w:val="2"/>
            <w:tcBorders>
              <w:top w:val="single" w:sz="8" w:space="0" w:color="auto"/>
              <w:left w:val="nil"/>
              <w:bottom w:val="nil"/>
              <w:right w:val="single" w:sz="8" w:space="0" w:color="000000"/>
            </w:tcBorders>
            <w:shd w:val="clear" w:color="000000" w:fill="FFFFFF"/>
            <w:noWrap/>
            <w:vAlign w:val="bottom"/>
            <w:hideMark/>
          </w:tcPr>
          <w:p w:rsidR="006D4730" w:rsidRPr="00FD5B47" w:rsidRDefault="006D4730" w:rsidP="00AD11B7">
            <w:pPr>
              <w:jc w:val="right"/>
              <w:rPr>
                <w:rFonts w:ascii="Arial" w:hAnsi="Arial" w:cs="Arial"/>
                <w:b/>
                <w:bCs/>
              </w:rPr>
            </w:pPr>
            <w:r w:rsidRPr="00FD5B47">
              <w:rPr>
                <w:rFonts w:ascii="Arial" w:hAnsi="Arial" w:cs="Arial"/>
                <w:b/>
                <w:bCs/>
              </w:rPr>
              <w:t>Schedule No. 3-B</w:t>
            </w:r>
          </w:p>
        </w:tc>
      </w:tr>
      <w:tr w:rsidR="006D4730" w:rsidRPr="00FD5B47" w:rsidTr="00FF1E0B">
        <w:trPr>
          <w:trHeight w:val="315"/>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rFonts w:ascii="Arial" w:hAnsi="Arial" w:cs="Arial"/>
                <w:b/>
                <w:bCs/>
              </w:rPr>
            </w:pPr>
            <w:r w:rsidRPr="00FD5B47">
              <w:rPr>
                <w:rFonts w:ascii="Arial" w:hAnsi="Arial" w:cs="Arial"/>
                <w:b/>
                <w:bCs/>
              </w:rPr>
              <w:t>Adjustment to Operating Income</w:t>
            </w:r>
          </w:p>
        </w:tc>
        <w:tc>
          <w:tcPr>
            <w:tcW w:w="2448" w:type="pct"/>
            <w:gridSpan w:val="2"/>
            <w:tcBorders>
              <w:top w:val="nil"/>
              <w:left w:val="nil"/>
              <w:bottom w:val="nil"/>
              <w:right w:val="single" w:sz="8" w:space="0" w:color="000000"/>
            </w:tcBorders>
            <w:shd w:val="clear" w:color="auto" w:fill="auto"/>
            <w:noWrap/>
            <w:vAlign w:val="bottom"/>
            <w:hideMark/>
          </w:tcPr>
          <w:p w:rsidR="006D4730" w:rsidRPr="00FD5B47" w:rsidRDefault="006D4730" w:rsidP="00AD11B7">
            <w:pPr>
              <w:jc w:val="right"/>
              <w:rPr>
                <w:rFonts w:ascii="Arial" w:hAnsi="Arial" w:cs="Arial"/>
                <w:b/>
                <w:bCs/>
              </w:rPr>
            </w:pPr>
            <w:r w:rsidRPr="00FD5B47">
              <w:rPr>
                <w:rFonts w:ascii="Arial" w:hAnsi="Arial" w:cs="Arial"/>
                <w:b/>
                <w:bCs/>
              </w:rPr>
              <w:t>Docket No. 150102-SU</w:t>
            </w:r>
          </w:p>
        </w:tc>
      </w:tr>
      <w:tr w:rsidR="006D4730" w:rsidRPr="00FD5B47" w:rsidTr="00FF1E0B">
        <w:trPr>
          <w:trHeight w:val="330"/>
        </w:trPr>
        <w:tc>
          <w:tcPr>
            <w:tcW w:w="2299" w:type="pct"/>
            <w:tcBorders>
              <w:top w:val="nil"/>
              <w:left w:val="single" w:sz="4" w:space="0" w:color="auto"/>
              <w:bottom w:val="single" w:sz="8" w:space="0" w:color="auto"/>
              <w:right w:val="nil"/>
            </w:tcBorders>
            <w:shd w:val="clear" w:color="000000" w:fill="FFFFFF"/>
            <w:noWrap/>
            <w:vAlign w:val="bottom"/>
            <w:hideMark/>
          </w:tcPr>
          <w:p w:rsidR="006D4730" w:rsidRPr="00FD5B47" w:rsidRDefault="006D4730" w:rsidP="00AD11B7">
            <w:pPr>
              <w:rPr>
                <w:rFonts w:ascii="Arial" w:hAnsi="Arial" w:cs="Arial"/>
                <w:b/>
                <w:bCs/>
              </w:rPr>
            </w:pPr>
            <w:r w:rsidRPr="00FD5B47">
              <w:rPr>
                <w:rFonts w:ascii="Arial" w:hAnsi="Arial" w:cs="Arial"/>
                <w:b/>
                <w:bCs/>
              </w:rPr>
              <w:t>Test Year Ended 12/31/14</w:t>
            </w:r>
          </w:p>
        </w:tc>
        <w:tc>
          <w:tcPr>
            <w:tcW w:w="1222" w:type="pct"/>
            <w:tcBorders>
              <w:top w:val="nil"/>
              <w:left w:val="nil"/>
              <w:bottom w:val="single" w:sz="8" w:space="0" w:color="auto"/>
              <w:right w:val="nil"/>
            </w:tcBorders>
            <w:shd w:val="clear" w:color="000000" w:fill="FFFFFF"/>
            <w:noWrap/>
            <w:vAlign w:val="bottom"/>
            <w:hideMark/>
          </w:tcPr>
          <w:p w:rsidR="006D4730" w:rsidRPr="00FD5B47" w:rsidRDefault="006D4730" w:rsidP="00AD11B7">
            <w:pPr>
              <w:jc w:val="right"/>
              <w:rPr>
                <w:rFonts w:ascii="Arial" w:hAnsi="Arial" w:cs="Arial"/>
                <w:b/>
                <w:bCs/>
              </w:rPr>
            </w:pPr>
            <w:r w:rsidRPr="00FD5B47">
              <w:rPr>
                <w:rFonts w:ascii="Arial" w:hAnsi="Arial" w:cs="Arial"/>
                <w:b/>
                <w:bCs/>
              </w:rPr>
              <w:t> </w:t>
            </w:r>
          </w:p>
        </w:tc>
        <w:tc>
          <w:tcPr>
            <w:tcW w:w="1225" w:type="pct"/>
            <w:tcBorders>
              <w:top w:val="nil"/>
              <w:left w:val="nil"/>
              <w:bottom w:val="single" w:sz="8" w:space="0" w:color="auto"/>
              <w:right w:val="single" w:sz="8" w:space="0" w:color="auto"/>
            </w:tcBorders>
            <w:shd w:val="clear" w:color="000000" w:fill="FFFFFF"/>
            <w:noWrap/>
            <w:vAlign w:val="bottom"/>
            <w:hideMark/>
          </w:tcPr>
          <w:p w:rsidR="006D4730" w:rsidRPr="00FD5B47" w:rsidRDefault="006D4730" w:rsidP="00AD11B7">
            <w:pPr>
              <w:rPr>
                <w:rFonts w:ascii="Arial" w:hAnsi="Arial" w:cs="Arial"/>
                <w:b/>
                <w:bCs/>
              </w:rPr>
            </w:pPr>
            <w:r w:rsidRPr="00FD5B47">
              <w:rPr>
                <w:rFonts w:ascii="Arial" w:hAnsi="Arial" w:cs="Arial"/>
                <w:b/>
                <w:bCs/>
              </w:rPr>
              <w:t> </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b/>
                <w:bCs/>
                <w:sz w:val="20"/>
                <w:szCs w:val="20"/>
              </w:rPr>
            </w:pPr>
            <w:r w:rsidRPr="00FD5B47">
              <w:rPr>
                <w:b/>
                <w:bCs/>
                <w:sz w:val="20"/>
                <w:szCs w:val="20"/>
              </w:rPr>
              <w:t>Explanation</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jc w:val="center"/>
              <w:rPr>
                <w:b/>
                <w:bCs/>
                <w:sz w:val="20"/>
                <w:szCs w:val="20"/>
              </w:rPr>
            </w:pPr>
            <w:r w:rsidRPr="00FD5B47">
              <w:rPr>
                <w:b/>
                <w:bCs/>
                <w:sz w:val="20"/>
                <w:szCs w:val="20"/>
              </w:rPr>
              <w:t>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center"/>
              <w:rPr>
                <w:b/>
                <w:bCs/>
                <w:sz w:val="20"/>
                <w:szCs w:val="20"/>
              </w:rPr>
            </w:pPr>
            <w:r w:rsidRPr="00FD5B47">
              <w:rPr>
                <w:b/>
                <w:bCs/>
                <w:sz w:val="20"/>
                <w:szCs w:val="20"/>
              </w:rPr>
              <w:t>Wastewater</w:t>
            </w:r>
          </w:p>
        </w:tc>
      </w:tr>
      <w:tr w:rsidR="006D4730" w:rsidRPr="00FD5B47" w:rsidTr="00FF1E0B">
        <w:trPr>
          <w:trHeight w:val="315"/>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r>
      <w:tr w:rsidR="006D4730" w:rsidRPr="00FD5B47" w:rsidTr="00FF1E0B">
        <w:trPr>
          <w:trHeight w:val="300"/>
        </w:trPr>
        <w:tc>
          <w:tcPr>
            <w:tcW w:w="2299" w:type="pct"/>
            <w:tcBorders>
              <w:top w:val="single" w:sz="8" w:space="0" w:color="000000"/>
              <w:left w:val="single" w:sz="4" w:space="0" w:color="auto"/>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2" w:type="pct"/>
            <w:tcBorders>
              <w:top w:val="single" w:sz="8" w:space="0" w:color="000000"/>
              <w:left w:val="nil"/>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5" w:type="pct"/>
            <w:tcBorders>
              <w:top w:val="single" w:sz="8" w:space="0" w:color="000000"/>
              <w:left w:val="nil"/>
              <w:bottom w:val="nil"/>
              <w:right w:val="single" w:sz="8" w:space="0" w:color="auto"/>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u w:val="single"/>
              </w:rPr>
            </w:pPr>
            <w:r w:rsidRPr="00FD5B47">
              <w:rPr>
                <w:sz w:val="20"/>
                <w:szCs w:val="20"/>
                <w:u w:val="single"/>
              </w:rPr>
              <w:t>Operating Revenues</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r>
      <w:tr w:rsidR="006D4730" w:rsidRPr="00FD5B47" w:rsidTr="00FF1E0B">
        <w:trPr>
          <w:trHeight w:val="300"/>
        </w:trPr>
        <w:tc>
          <w:tcPr>
            <w:tcW w:w="3521" w:type="pct"/>
            <w:gridSpan w:val="2"/>
            <w:tcBorders>
              <w:top w:val="nil"/>
              <w:left w:val="single" w:sz="4" w:space="0" w:color="auto"/>
              <w:bottom w:val="nil"/>
              <w:right w:val="nil"/>
            </w:tcBorders>
            <w:shd w:val="clear" w:color="000000" w:fill="FFFFFF"/>
            <w:noWrap/>
            <w:vAlign w:val="bottom"/>
            <w:hideMark/>
          </w:tcPr>
          <w:p w:rsidR="006D4730" w:rsidRPr="00FD5B47" w:rsidRDefault="006D4730" w:rsidP="00973164">
            <w:pPr>
              <w:rPr>
                <w:sz w:val="20"/>
                <w:szCs w:val="20"/>
              </w:rPr>
            </w:pPr>
            <w:r w:rsidRPr="00FD5B47">
              <w:rPr>
                <w:sz w:val="20"/>
                <w:szCs w:val="20"/>
              </w:rPr>
              <w:t>Remove requested final revenue increase.</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rPr>
            </w:pPr>
            <w:r w:rsidRPr="00FD5B47">
              <w:rPr>
                <w:sz w:val="20"/>
                <w:szCs w:val="20"/>
              </w:rPr>
              <w:t>($724,062)</w:t>
            </w:r>
          </w:p>
        </w:tc>
      </w:tr>
      <w:tr w:rsidR="006D4730" w:rsidRPr="00FD5B47" w:rsidTr="00FF1E0B">
        <w:trPr>
          <w:trHeight w:val="300"/>
        </w:trPr>
        <w:tc>
          <w:tcPr>
            <w:tcW w:w="3521" w:type="pct"/>
            <w:gridSpan w:val="2"/>
            <w:tcBorders>
              <w:top w:val="nil"/>
              <w:left w:val="single" w:sz="4" w:space="0" w:color="auto"/>
              <w:bottom w:val="nil"/>
              <w:right w:val="nil"/>
            </w:tcBorders>
            <w:shd w:val="clear" w:color="000000" w:fill="FFFFFF"/>
            <w:noWrap/>
            <w:vAlign w:val="bottom"/>
            <w:hideMark/>
          </w:tcPr>
          <w:p w:rsidR="006D4730" w:rsidRPr="00FD5B47" w:rsidRDefault="006D4730" w:rsidP="00973164">
            <w:pPr>
              <w:rPr>
                <w:sz w:val="20"/>
                <w:szCs w:val="20"/>
              </w:rPr>
            </w:pPr>
            <w:r w:rsidRPr="00FD5B47">
              <w:rPr>
                <w:sz w:val="20"/>
                <w:szCs w:val="20"/>
              </w:rPr>
              <w:t xml:space="preserve">Reflect the appropriate amount of annualized revenues.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u w:val="single"/>
              </w:rPr>
            </w:pPr>
            <w:r w:rsidRPr="00FD5B47">
              <w:rPr>
                <w:sz w:val="20"/>
                <w:szCs w:val="20"/>
                <w:u w:val="single"/>
              </w:rPr>
              <w:t>(12,199)</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xml:space="preserve">    Total</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jc w:val="right"/>
              <w:rPr>
                <w:sz w:val="20"/>
                <w:szCs w:val="20"/>
                <w:u w:val="double"/>
              </w:rPr>
            </w:pP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u w:val="double"/>
              </w:rPr>
            </w:pPr>
            <w:r w:rsidRPr="00FD5B47">
              <w:rPr>
                <w:sz w:val="20"/>
                <w:szCs w:val="20"/>
                <w:u w:val="double"/>
              </w:rPr>
              <w:t>($736,261)</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u w:val="single"/>
              </w:rPr>
            </w:pPr>
            <w:r w:rsidRPr="00FD5B47">
              <w:rPr>
                <w:sz w:val="20"/>
                <w:szCs w:val="20"/>
                <w:u w:val="single"/>
              </w:rPr>
              <w:t>Operation and Maintenance Expense</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r>
      <w:tr w:rsidR="006D4730" w:rsidRPr="00FD5B47" w:rsidTr="00FF1E0B">
        <w:trPr>
          <w:trHeight w:val="300"/>
        </w:trPr>
        <w:tc>
          <w:tcPr>
            <w:tcW w:w="3521" w:type="pct"/>
            <w:gridSpan w:val="2"/>
            <w:tcBorders>
              <w:top w:val="nil"/>
              <w:left w:val="single" w:sz="4" w:space="0" w:color="auto"/>
              <w:bottom w:val="nil"/>
              <w:right w:val="nil"/>
            </w:tcBorders>
            <w:shd w:val="clear" w:color="000000" w:fill="FFFFFF"/>
            <w:noWrap/>
            <w:vAlign w:val="bottom"/>
            <w:hideMark/>
          </w:tcPr>
          <w:p w:rsidR="006D4730" w:rsidRPr="00FD5B47" w:rsidRDefault="006D4730" w:rsidP="00973164">
            <w:pPr>
              <w:rPr>
                <w:sz w:val="20"/>
                <w:szCs w:val="20"/>
              </w:rPr>
            </w:pPr>
            <w:r w:rsidRPr="00FD5B47">
              <w:rPr>
                <w:sz w:val="20"/>
                <w:szCs w:val="20"/>
              </w:rPr>
              <w:t xml:space="preserve">Remove annualization of amortization of deferred charges.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rPr>
            </w:pPr>
            <w:r w:rsidRPr="00FD5B47">
              <w:rPr>
                <w:sz w:val="20"/>
                <w:szCs w:val="20"/>
              </w:rPr>
              <w:t>($1,798)</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Excessive I&amp;I adjustment. (Issue 2)</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jc w:val="right"/>
              <w:rPr>
                <w:sz w:val="20"/>
                <w:szCs w:val="20"/>
              </w:rPr>
            </w:pPr>
            <w:r w:rsidRPr="00FD5B47">
              <w:rPr>
                <w:sz w:val="20"/>
                <w:szCs w:val="20"/>
              </w:rPr>
              <w:t>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u w:val="single"/>
              </w:rPr>
            </w:pPr>
            <w:r w:rsidRPr="00FD5B47">
              <w:rPr>
                <w:sz w:val="20"/>
                <w:szCs w:val="20"/>
                <w:u w:val="single"/>
              </w:rPr>
              <w:t>(38,989)</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xml:space="preserve">    Total</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jc w:val="right"/>
              <w:rPr>
                <w:sz w:val="20"/>
                <w:szCs w:val="20"/>
                <w:u w:val="double"/>
              </w:rPr>
            </w:pP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u w:val="double"/>
              </w:rPr>
            </w:pPr>
            <w:r w:rsidRPr="00FD5B47">
              <w:rPr>
                <w:sz w:val="20"/>
                <w:szCs w:val="20"/>
                <w:u w:val="double"/>
              </w:rPr>
              <w:t>($40,787)</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jc w:val="right"/>
              <w:rPr>
                <w:sz w:val="20"/>
                <w:szCs w:val="20"/>
                <w:u w:val="double"/>
              </w:rPr>
            </w:pP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u w:val="double"/>
              </w:rPr>
            </w:pP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u w:val="single"/>
              </w:rPr>
            </w:pPr>
            <w:r w:rsidRPr="00FD5B47">
              <w:rPr>
                <w:sz w:val="20"/>
                <w:szCs w:val="20"/>
                <w:u w:val="single"/>
              </w:rPr>
              <w:t>Depreciation Expense - Net</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jc w:val="right"/>
              <w:rPr>
                <w:sz w:val="20"/>
                <w:szCs w:val="20"/>
                <w:u w:val="double"/>
              </w:rPr>
            </w:pP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u w:val="double"/>
              </w:rPr>
            </w:pPr>
          </w:p>
        </w:tc>
      </w:tr>
      <w:tr w:rsidR="006D4730" w:rsidRPr="00FD5B47" w:rsidTr="00FF1E0B">
        <w:trPr>
          <w:trHeight w:val="300"/>
        </w:trPr>
        <w:tc>
          <w:tcPr>
            <w:tcW w:w="3521" w:type="pct"/>
            <w:gridSpan w:val="2"/>
            <w:tcBorders>
              <w:top w:val="nil"/>
              <w:left w:val="single" w:sz="4" w:space="0" w:color="auto"/>
              <w:bottom w:val="nil"/>
              <w:right w:val="nil"/>
            </w:tcBorders>
            <w:shd w:val="clear" w:color="000000" w:fill="FFFFFF"/>
            <w:noWrap/>
            <w:vAlign w:val="bottom"/>
            <w:hideMark/>
          </w:tcPr>
          <w:p w:rsidR="006D4730" w:rsidRPr="00FD5B47" w:rsidRDefault="006D4730" w:rsidP="00973164">
            <w:pPr>
              <w:rPr>
                <w:sz w:val="20"/>
                <w:szCs w:val="20"/>
              </w:rPr>
            </w:pPr>
            <w:r w:rsidRPr="00FD5B47">
              <w:rPr>
                <w:sz w:val="20"/>
                <w:szCs w:val="20"/>
              </w:rPr>
              <w:t xml:space="preserve">Reflect net non-used &amp; useful adjustment for Impact Fees to EWD.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rPr>
            </w:pPr>
            <w:r w:rsidRPr="00FD5B47">
              <w:rPr>
                <w:sz w:val="20"/>
                <w:szCs w:val="20"/>
              </w:rPr>
              <w:t>($45,484)</w:t>
            </w:r>
          </w:p>
        </w:tc>
      </w:tr>
      <w:tr w:rsidR="006D4730" w:rsidRPr="00FD5B47" w:rsidTr="00FF1E0B">
        <w:trPr>
          <w:trHeight w:val="300"/>
        </w:trPr>
        <w:tc>
          <w:tcPr>
            <w:tcW w:w="3521" w:type="pct"/>
            <w:gridSpan w:val="2"/>
            <w:tcBorders>
              <w:top w:val="nil"/>
              <w:left w:val="single" w:sz="4" w:space="0" w:color="auto"/>
              <w:bottom w:val="nil"/>
              <w:right w:val="nil"/>
            </w:tcBorders>
            <w:shd w:val="clear" w:color="000000" w:fill="FFFFFF"/>
            <w:noWrap/>
            <w:vAlign w:val="bottom"/>
            <w:hideMark/>
          </w:tcPr>
          <w:p w:rsidR="006D4730" w:rsidRPr="00FD5B47" w:rsidRDefault="006D4730" w:rsidP="00973164">
            <w:pPr>
              <w:rPr>
                <w:sz w:val="20"/>
                <w:szCs w:val="20"/>
              </w:rPr>
            </w:pPr>
            <w:r w:rsidRPr="00FD5B47">
              <w:rPr>
                <w:sz w:val="20"/>
                <w:szCs w:val="20"/>
              </w:rPr>
              <w:t xml:space="preserve">Reflect net non-used &amp; useful adjustment for Lift Station &amp; Force Main.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u w:val="single"/>
              </w:rPr>
            </w:pPr>
            <w:r w:rsidRPr="00FD5B47">
              <w:rPr>
                <w:sz w:val="20"/>
                <w:szCs w:val="20"/>
                <w:u w:val="single"/>
              </w:rPr>
              <w:t>(72,573)</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xml:space="preserve">   Total</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jc w:val="right"/>
              <w:rPr>
                <w:sz w:val="20"/>
                <w:szCs w:val="20"/>
                <w:u w:val="double"/>
              </w:rPr>
            </w:pP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u w:val="double"/>
              </w:rPr>
            </w:pPr>
            <w:r w:rsidRPr="00FD5B47">
              <w:rPr>
                <w:sz w:val="20"/>
                <w:szCs w:val="20"/>
                <w:u w:val="double"/>
              </w:rPr>
              <w:t>($118,057)</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u w:val="single"/>
              </w:rPr>
            </w:pPr>
            <w:r w:rsidRPr="00FD5B47">
              <w:rPr>
                <w:sz w:val="20"/>
                <w:szCs w:val="20"/>
                <w:u w:val="single"/>
              </w:rPr>
              <w:t>Taxes Other Than Income</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r>
      <w:tr w:rsidR="006D4730" w:rsidRPr="00FD5B47" w:rsidTr="00FF1E0B">
        <w:trPr>
          <w:trHeight w:val="300"/>
        </w:trPr>
        <w:tc>
          <w:tcPr>
            <w:tcW w:w="3521" w:type="pct"/>
            <w:gridSpan w:val="2"/>
            <w:tcBorders>
              <w:top w:val="nil"/>
              <w:left w:val="single" w:sz="4" w:space="0" w:color="auto"/>
              <w:bottom w:val="nil"/>
              <w:right w:val="nil"/>
            </w:tcBorders>
            <w:shd w:val="clear" w:color="000000" w:fill="FFFFFF"/>
            <w:noWrap/>
            <w:vAlign w:val="bottom"/>
            <w:hideMark/>
          </w:tcPr>
          <w:p w:rsidR="006D4730" w:rsidRPr="00FD5B47" w:rsidRDefault="006D4730" w:rsidP="00973164">
            <w:pPr>
              <w:rPr>
                <w:sz w:val="20"/>
                <w:szCs w:val="20"/>
              </w:rPr>
            </w:pPr>
            <w:r w:rsidRPr="00FD5B47">
              <w:rPr>
                <w:sz w:val="20"/>
                <w:szCs w:val="20"/>
              </w:rPr>
              <w:t>RAFs on revenue adjustments above.</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rPr>
            </w:pPr>
            <w:r w:rsidRPr="00FD5B47">
              <w:rPr>
                <w:sz w:val="20"/>
                <w:szCs w:val="20"/>
              </w:rPr>
              <w:t>($33,132)</w:t>
            </w:r>
          </w:p>
        </w:tc>
      </w:tr>
      <w:tr w:rsidR="006D4730" w:rsidRPr="00FD5B47" w:rsidTr="00FF1E0B">
        <w:trPr>
          <w:trHeight w:val="300"/>
        </w:trPr>
        <w:tc>
          <w:tcPr>
            <w:tcW w:w="3521" w:type="pct"/>
            <w:gridSpan w:val="2"/>
            <w:tcBorders>
              <w:top w:val="nil"/>
              <w:left w:val="single" w:sz="4" w:space="0" w:color="auto"/>
              <w:bottom w:val="nil"/>
              <w:right w:val="nil"/>
            </w:tcBorders>
            <w:shd w:val="clear" w:color="000000" w:fill="FFFFFF"/>
            <w:noWrap/>
            <w:vAlign w:val="bottom"/>
            <w:hideMark/>
          </w:tcPr>
          <w:p w:rsidR="006D4730" w:rsidRPr="00FD5B47" w:rsidRDefault="006D4730" w:rsidP="00973164">
            <w:pPr>
              <w:rPr>
                <w:sz w:val="20"/>
                <w:szCs w:val="20"/>
              </w:rPr>
            </w:pPr>
            <w:r w:rsidRPr="00FD5B47">
              <w:rPr>
                <w:sz w:val="20"/>
                <w:szCs w:val="20"/>
              </w:rPr>
              <w:t xml:space="preserve">Reflect property taxes related to the non-used &amp; useful adjustment.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u w:val="single"/>
              </w:rPr>
            </w:pPr>
            <w:r w:rsidRPr="00FD5B47">
              <w:rPr>
                <w:sz w:val="20"/>
                <w:szCs w:val="20"/>
                <w:u w:val="single"/>
              </w:rPr>
              <w:t>(28,386)</w:t>
            </w:r>
          </w:p>
        </w:tc>
      </w:tr>
      <w:tr w:rsidR="006D4730" w:rsidRPr="00FD5B47" w:rsidTr="00FF1E0B">
        <w:trPr>
          <w:trHeight w:val="300"/>
        </w:trPr>
        <w:tc>
          <w:tcPr>
            <w:tcW w:w="2299" w:type="pct"/>
            <w:tcBorders>
              <w:top w:val="nil"/>
              <w:left w:val="single" w:sz="4" w:space="0" w:color="auto"/>
              <w:bottom w:val="nil"/>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xml:space="preserve">  Total</w:t>
            </w:r>
          </w:p>
        </w:tc>
        <w:tc>
          <w:tcPr>
            <w:tcW w:w="1222" w:type="pct"/>
            <w:tcBorders>
              <w:top w:val="nil"/>
              <w:left w:val="nil"/>
              <w:bottom w:val="nil"/>
              <w:right w:val="nil"/>
            </w:tcBorders>
            <w:shd w:val="clear" w:color="000000" w:fill="FFFFFF"/>
            <w:noWrap/>
            <w:vAlign w:val="bottom"/>
            <w:hideMark/>
          </w:tcPr>
          <w:p w:rsidR="006D4730" w:rsidRPr="00FD5B47" w:rsidRDefault="006D4730" w:rsidP="00AD11B7">
            <w:pPr>
              <w:jc w:val="right"/>
              <w:rPr>
                <w:sz w:val="20"/>
                <w:szCs w:val="20"/>
              </w:rPr>
            </w:pPr>
            <w:r w:rsidRPr="00FD5B47">
              <w:rPr>
                <w:sz w:val="20"/>
                <w:szCs w:val="20"/>
              </w:rPr>
              <w:t> </w:t>
            </w:r>
          </w:p>
        </w:tc>
        <w:tc>
          <w:tcPr>
            <w:tcW w:w="1225" w:type="pct"/>
            <w:tcBorders>
              <w:top w:val="nil"/>
              <w:left w:val="nil"/>
              <w:bottom w:val="nil"/>
              <w:right w:val="single" w:sz="8" w:space="0" w:color="auto"/>
            </w:tcBorders>
            <w:shd w:val="clear" w:color="000000" w:fill="FFFFFF"/>
            <w:noWrap/>
            <w:vAlign w:val="bottom"/>
            <w:hideMark/>
          </w:tcPr>
          <w:p w:rsidR="006D4730" w:rsidRPr="00FD5B47" w:rsidRDefault="006D4730" w:rsidP="00AD11B7">
            <w:pPr>
              <w:jc w:val="right"/>
              <w:rPr>
                <w:sz w:val="20"/>
                <w:szCs w:val="20"/>
                <w:u w:val="double"/>
              </w:rPr>
            </w:pPr>
            <w:r w:rsidRPr="00FD5B47">
              <w:rPr>
                <w:sz w:val="20"/>
                <w:szCs w:val="20"/>
                <w:u w:val="double"/>
              </w:rPr>
              <w:t>($61,518)</w:t>
            </w:r>
          </w:p>
        </w:tc>
      </w:tr>
      <w:tr w:rsidR="006D4730" w:rsidRPr="00FD5B47" w:rsidTr="00FF1E0B">
        <w:trPr>
          <w:trHeight w:val="315"/>
        </w:trPr>
        <w:tc>
          <w:tcPr>
            <w:tcW w:w="2299" w:type="pct"/>
            <w:tcBorders>
              <w:top w:val="nil"/>
              <w:left w:val="single" w:sz="4" w:space="0" w:color="auto"/>
              <w:bottom w:val="single" w:sz="8" w:space="0" w:color="auto"/>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2" w:type="pct"/>
            <w:tcBorders>
              <w:top w:val="nil"/>
              <w:left w:val="nil"/>
              <w:bottom w:val="single" w:sz="8" w:space="0" w:color="auto"/>
              <w:right w:val="nil"/>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c>
          <w:tcPr>
            <w:tcW w:w="1225" w:type="pct"/>
            <w:tcBorders>
              <w:top w:val="nil"/>
              <w:left w:val="nil"/>
              <w:bottom w:val="single" w:sz="8" w:space="0" w:color="auto"/>
              <w:right w:val="single" w:sz="8" w:space="0" w:color="auto"/>
            </w:tcBorders>
            <w:shd w:val="clear" w:color="000000" w:fill="FFFFFF"/>
            <w:noWrap/>
            <w:vAlign w:val="bottom"/>
            <w:hideMark/>
          </w:tcPr>
          <w:p w:rsidR="006D4730" w:rsidRPr="00FD5B47" w:rsidRDefault="006D4730" w:rsidP="00AD11B7">
            <w:pPr>
              <w:rPr>
                <w:sz w:val="20"/>
                <w:szCs w:val="20"/>
              </w:rPr>
            </w:pPr>
            <w:r w:rsidRPr="00FD5B47">
              <w:rPr>
                <w:sz w:val="20"/>
                <w:szCs w:val="20"/>
              </w:rPr>
              <w:t> </w:t>
            </w:r>
          </w:p>
        </w:tc>
      </w:tr>
    </w:tbl>
    <w:p w:rsidR="008C3E4F" w:rsidRDefault="008C3E4F">
      <w:pPr>
        <w:sectPr w:rsidR="008C3E4F" w:rsidSect="007A0C3D">
          <w:headerReference w:type="default" r:id="rId14"/>
          <w:pgSz w:w="12240" w:h="15840" w:code="1"/>
          <w:pgMar w:top="1440" w:right="1440" w:bottom="1440" w:left="1440" w:header="720" w:footer="720" w:gutter="0"/>
          <w:paperSrc w:first="4"/>
          <w:cols w:space="720"/>
          <w:docGrid w:linePitch="360"/>
        </w:sectPr>
      </w:pPr>
    </w:p>
    <w:p w:rsidR="006D4730" w:rsidRDefault="006D4730"/>
    <w:tbl>
      <w:tblPr>
        <w:tblW w:w="10015" w:type="dxa"/>
        <w:jc w:val="center"/>
        <w:tblInd w:w="93" w:type="dxa"/>
        <w:tblLook w:val="04A0" w:firstRow="1" w:lastRow="0" w:firstColumn="1" w:lastColumn="0" w:noHBand="0" w:noVBand="1"/>
      </w:tblPr>
      <w:tblGrid>
        <w:gridCol w:w="261"/>
        <w:gridCol w:w="3524"/>
        <w:gridCol w:w="190"/>
        <w:gridCol w:w="1260"/>
        <w:gridCol w:w="1350"/>
        <w:gridCol w:w="1151"/>
        <w:gridCol w:w="559"/>
        <w:gridCol w:w="1720"/>
      </w:tblGrid>
      <w:tr w:rsidR="006D4730" w:rsidRPr="001608D8" w:rsidTr="00AD11B7">
        <w:trPr>
          <w:trHeight w:val="300"/>
          <w:jc w:val="center"/>
        </w:trPr>
        <w:tc>
          <w:tcPr>
            <w:tcW w:w="261" w:type="dxa"/>
            <w:tcBorders>
              <w:top w:val="single" w:sz="8" w:space="0" w:color="000000"/>
              <w:left w:val="single" w:sz="8" w:space="0" w:color="000000"/>
              <w:right w:val="nil"/>
            </w:tcBorders>
            <w:shd w:val="clear" w:color="000000" w:fill="FFFFFF" w:themeFill="background1"/>
            <w:noWrap/>
            <w:vAlign w:val="bottom"/>
          </w:tcPr>
          <w:p w:rsidR="006D4730" w:rsidRPr="001608D8" w:rsidRDefault="006D4730" w:rsidP="00AD11B7">
            <w:pPr>
              <w:rPr>
                <w:rFonts w:ascii="SWISS" w:hAnsi="SWISS" w:cs="Arial"/>
                <w:sz w:val="18"/>
                <w:szCs w:val="18"/>
              </w:rPr>
            </w:pPr>
          </w:p>
        </w:tc>
        <w:tc>
          <w:tcPr>
            <w:tcW w:w="3714" w:type="dxa"/>
            <w:gridSpan w:val="2"/>
            <w:tcBorders>
              <w:top w:val="single" w:sz="8" w:space="0" w:color="000000"/>
              <w:left w:val="nil"/>
              <w:right w:val="nil"/>
            </w:tcBorders>
            <w:shd w:val="clear" w:color="000000" w:fill="FFFFFF" w:themeFill="background1"/>
            <w:noWrap/>
            <w:vAlign w:val="bottom"/>
          </w:tcPr>
          <w:p w:rsidR="006D4730" w:rsidRPr="001608D8" w:rsidRDefault="006D4730" w:rsidP="00AD11B7">
            <w:pPr>
              <w:rPr>
                <w:rFonts w:ascii="SWISS" w:hAnsi="SWISS" w:cs="Arial"/>
                <w:b/>
                <w:bCs/>
                <w:sz w:val="18"/>
                <w:szCs w:val="18"/>
              </w:rPr>
            </w:pPr>
            <w:r w:rsidRPr="001608D8">
              <w:rPr>
                <w:rFonts w:ascii="Arial" w:hAnsi="Arial" w:cs="Arial"/>
                <w:b/>
                <w:bCs/>
              </w:rPr>
              <w:t>Utilities, Inc. of Sandalhaven</w:t>
            </w:r>
          </w:p>
        </w:tc>
        <w:tc>
          <w:tcPr>
            <w:tcW w:w="1260" w:type="dxa"/>
            <w:tcBorders>
              <w:top w:val="single" w:sz="8" w:space="0" w:color="000000"/>
              <w:left w:val="nil"/>
              <w:right w:val="nil"/>
            </w:tcBorders>
            <w:shd w:val="clear" w:color="000000" w:fill="FFFFFF" w:themeFill="background1"/>
            <w:noWrap/>
            <w:vAlign w:val="bottom"/>
          </w:tcPr>
          <w:p w:rsidR="006D4730" w:rsidRPr="001608D8" w:rsidRDefault="006D4730" w:rsidP="00AD11B7">
            <w:pPr>
              <w:jc w:val="center"/>
              <w:rPr>
                <w:rFonts w:ascii="SWISS" w:hAnsi="SWISS" w:cs="Arial"/>
                <w:b/>
                <w:bCs/>
                <w:sz w:val="18"/>
                <w:szCs w:val="18"/>
              </w:rPr>
            </w:pPr>
          </w:p>
        </w:tc>
        <w:tc>
          <w:tcPr>
            <w:tcW w:w="1350" w:type="dxa"/>
            <w:tcBorders>
              <w:top w:val="single" w:sz="8" w:space="0" w:color="000000"/>
              <w:left w:val="nil"/>
              <w:right w:val="nil"/>
            </w:tcBorders>
            <w:shd w:val="clear" w:color="000000" w:fill="FFFFFF" w:themeFill="background1"/>
            <w:noWrap/>
            <w:vAlign w:val="bottom"/>
          </w:tcPr>
          <w:p w:rsidR="006D4730" w:rsidRPr="001608D8" w:rsidRDefault="006D4730" w:rsidP="00AD11B7">
            <w:pPr>
              <w:jc w:val="center"/>
              <w:rPr>
                <w:rFonts w:ascii="SWISS" w:hAnsi="SWISS" w:cs="Arial"/>
                <w:b/>
                <w:bCs/>
                <w:sz w:val="18"/>
                <w:szCs w:val="18"/>
              </w:rPr>
            </w:pPr>
          </w:p>
        </w:tc>
        <w:tc>
          <w:tcPr>
            <w:tcW w:w="1151" w:type="dxa"/>
            <w:tcBorders>
              <w:top w:val="single" w:sz="8" w:space="0" w:color="000000"/>
              <w:left w:val="nil"/>
              <w:right w:val="nil"/>
            </w:tcBorders>
            <w:shd w:val="clear" w:color="000000" w:fill="FFFFFF" w:themeFill="background1"/>
            <w:noWrap/>
            <w:vAlign w:val="bottom"/>
          </w:tcPr>
          <w:p w:rsidR="006D4730" w:rsidRPr="001608D8" w:rsidRDefault="006D4730" w:rsidP="00AD11B7">
            <w:pPr>
              <w:jc w:val="center"/>
              <w:rPr>
                <w:rFonts w:ascii="SWISS" w:hAnsi="SWISS" w:cs="Arial"/>
                <w:b/>
                <w:bCs/>
                <w:sz w:val="18"/>
                <w:szCs w:val="18"/>
              </w:rPr>
            </w:pPr>
          </w:p>
        </w:tc>
        <w:tc>
          <w:tcPr>
            <w:tcW w:w="2279" w:type="dxa"/>
            <w:gridSpan w:val="2"/>
            <w:tcBorders>
              <w:top w:val="single" w:sz="8" w:space="0" w:color="000000"/>
              <w:left w:val="nil"/>
              <w:right w:val="single" w:sz="8" w:space="0" w:color="000000"/>
            </w:tcBorders>
            <w:shd w:val="clear" w:color="000000" w:fill="FFFFFF" w:themeFill="background1"/>
            <w:noWrap/>
            <w:vAlign w:val="bottom"/>
          </w:tcPr>
          <w:p w:rsidR="006D4730" w:rsidRPr="001608D8" w:rsidRDefault="006D4730" w:rsidP="00AD11B7">
            <w:pPr>
              <w:jc w:val="right"/>
              <w:rPr>
                <w:rFonts w:ascii="Arial" w:hAnsi="Arial" w:cs="Arial"/>
                <w:b/>
                <w:bCs/>
              </w:rPr>
            </w:pPr>
            <w:r w:rsidRPr="001608D8">
              <w:rPr>
                <w:rFonts w:ascii="Arial" w:hAnsi="Arial" w:cs="Arial"/>
                <w:b/>
                <w:bCs/>
              </w:rPr>
              <w:t>Schedule No. 4</w:t>
            </w:r>
          </w:p>
        </w:tc>
      </w:tr>
      <w:tr w:rsidR="006D4730" w:rsidRPr="001608D8" w:rsidTr="00AD11B7">
        <w:trPr>
          <w:trHeight w:val="300"/>
          <w:jc w:val="center"/>
        </w:trPr>
        <w:tc>
          <w:tcPr>
            <w:tcW w:w="261" w:type="dxa"/>
            <w:tcBorders>
              <w:left w:val="single" w:sz="8" w:space="0" w:color="000000"/>
              <w:bottom w:val="nil"/>
              <w:right w:val="nil"/>
            </w:tcBorders>
            <w:shd w:val="clear" w:color="000000" w:fill="FFFFFF" w:themeFill="background1"/>
            <w:noWrap/>
            <w:vAlign w:val="bottom"/>
          </w:tcPr>
          <w:p w:rsidR="006D4730" w:rsidRPr="001608D8" w:rsidRDefault="006D4730" w:rsidP="00AD11B7">
            <w:pPr>
              <w:rPr>
                <w:rFonts w:ascii="SWISS" w:hAnsi="SWISS" w:cs="Arial"/>
                <w:sz w:val="18"/>
                <w:szCs w:val="18"/>
              </w:rPr>
            </w:pPr>
          </w:p>
        </w:tc>
        <w:tc>
          <w:tcPr>
            <w:tcW w:w="3714" w:type="dxa"/>
            <w:gridSpan w:val="2"/>
            <w:tcBorders>
              <w:left w:val="nil"/>
              <w:bottom w:val="nil"/>
              <w:right w:val="nil"/>
            </w:tcBorders>
            <w:shd w:val="clear" w:color="000000" w:fill="FFFFFF" w:themeFill="background1"/>
            <w:noWrap/>
            <w:vAlign w:val="bottom"/>
          </w:tcPr>
          <w:p w:rsidR="006D4730" w:rsidRPr="001608D8" w:rsidRDefault="006D4730" w:rsidP="00AD11B7">
            <w:pPr>
              <w:rPr>
                <w:rFonts w:ascii="SWISS" w:hAnsi="SWISS" w:cs="Arial"/>
                <w:b/>
                <w:bCs/>
                <w:sz w:val="18"/>
                <w:szCs w:val="18"/>
              </w:rPr>
            </w:pPr>
            <w:r w:rsidRPr="001608D8">
              <w:rPr>
                <w:rFonts w:ascii="Arial" w:hAnsi="Arial" w:cs="Arial"/>
                <w:b/>
                <w:bCs/>
              </w:rPr>
              <w:t>Monthly Wastewater Rates</w:t>
            </w:r>
          </w:p>
        </w:tc>
        <w:tc>
          <w:tcPr>
            <w:tcW w:w="1260" w:type="dxa"/>
            <w:tcBorders>
              <w:left w:val="nil"/>
              <w:bottom w:val="nil"/>
              <w:right w:val="nil"/>
            </w:tcBorders>
            <w:shd w:val="clear" w:color="000000" w:fill="FFFFFF" w:themeFill="background1"/>
            <w:noWrap/>
            <w:vAlign w:val="bottom"/>
          </w:tcPr>
          <w:p w:rsidR="006D4730" w:rsidRPr="001608D8" w:rsidRDefault="006D4730" w:rsidP="00AD11B7">
            <w:pPr>
              <w:jc w:val="center"/>
              <w:rPr>
                <w:rFonts w:ascii="SWISS" w:hAnsi="SWISS" w:cs="Arial"/>
                <w:b/>
                <w:bCs/>
                <w:sz w:val="18"/>
                <w:szCs w:val="18"/>
              </w:rPr>
            </w:pPr>
          </w:p>
        </w:tc>
        <w:tc>
          <w:tcPr>
            <w:tcW w:w="1350" w:type="dxa"/>
            <w:tcBorders>
              <w:left w:val="nil"/>
              <w:bottom w:val="nil"/>
              <w:right w:val="nil"/>
            </w:tcBorders>
            <w:shd w:val="clear" w:color="000000" w:fill="FFFFFF" w:themeFill="background1"/>
            <w:noWrap/>
            <w:vAlign w:val="bottom"/>
          </w:tcPr>
          <w:p w:rsidR="006D4730" w:rsidRPr="001608D8" w:rsidRDefault="006D4730" w:rsidP="00AD11B7">
            <w:pPr>
              <w:jc w:val="center"/>
              <w:rPr>
                <w:rFonts w:ascii="SWISS" w:hAnsi="SWISS" w:cs="Arial"/>
                <w:b/>
                <w:bCs/>
                <w:sz w:val="18"/>
                <w:szCs w:val="18"/>
              </w:rPr>
            </w:pPr>
          </w:p>
        </w:tc>
        <w:tc>
          <w:tcPr>
            <w:tcW w:w="3430" w:type="dxa"/>
            <w:gridSpan w:val="3"/>
            <w:tcBorders>
              <w:left w:val="nil"/>
              <w:bottom w:val="nil"/>
              <w:right w:val="single" w:sz="8" w:space="0" w:color="000000"/>
            </w:tcBorders>
            <w:shd w:val="clear" w:color="000000" w:fill="FFFFFF" w:themeFill="background1"/>
            <w:noWrap/>
            <w:vAlign w:val="bottom"/>
          </w:tcPr>
          <w:p w:rsidR="006D4730" w:rsidRPr="001608D8" w:rsidRDefault="006D4730" w:rsidP="00AD11B7">
            <w:pPr>
              <w:jc w:val="right"/>
              <w:rPr>
                <w:rFonts w:ascii="SWISS" w:hAnsi="SWISS" w:cs="Arial"/>
                <w:b/>
                <w:bCs/>
                <w:sz w:val="18"/>
                <w:szCs w:val="18"/>
              </w:rPr>
            </w:pPr>
            <w:r w:rsidRPr="001608D8">
              <w:rPr>
                <w:rFonts w:ascii="Arial" w:hAnsi="Arial" w:cs="Arial"/>
                <w:b/>
                <w:bCs/>
              </w:rPr>
              <w:t>Docket No. 150102-SU</w:t>
            </w:r>
          </w:p>
        </w:tc>
      </w:tr>
      <w:tr w:rsidR="006D4730" w:rsidRPr="001608D8" w:rsidTr="00AD11B7">
        <w:trPr>
          <w:trHeight w:val="300"/>
          <w:jc w:val="center"/>
        </w:trPr>
        <w:tc>
          <w:tcPr>
            <w:tcW w:w="261" w:type="dxa"/>
            <w:tcBorders>
              <w:left w:val="single" w:sz="8" w:space="0" w:color="000000"/>
              <w:bottom w:val="single" w:sz="8" w:space="0" w:color="000000"/>
              <w:right w:val="nil"/>
            </w:tcBorders>
            <w:shd w:val="clear" w:color="000000" w:fill="FFFFFF" w:themeFill="background1"/>
            <w:noWrap/>
            <w:vAlign w:val="bottom"/>
          </w:tcPr>
          <w:p w:rsidR="006D4730" w:rsidRPr="001608D8" w:rsidRDefault="006D4730" w:rsidP="00AD11B7">
            <w:pPr>
              <w:rPr>
                <w:rFonts w:ascii="SWISS" w:hAnsi="SWISS" w:cs="Arial"/>
                <w:sz w:val="18"/>
                <w:szCs w:val="18"/>
              </w:rPr>
            </w:pPr>
          </w:p>
        </w:tc>
        <w:tc>
          <w:tcPr>
            <w:tcW w:w="3714" w:type="dxa"/>
            <w:gridSpan w:val="2"/>
            <w:tcBorders>
              <w:left w:val="nil"/>
              <w:bottom w:val="single" w:sz="8" w:space="0" w:color="000000"/>
              <w:right w:val="nil"/>
            </w:tcBorders>
            <w:shd w:val="clear" w:color="000000" w:fill="FFFFFF" w:themeFill="background1"/>
            <w:noWrap/>
            <w:vAlign w:val="bottom"/>
          </w:tcPr>
          <w:p w:rsidR="006D4730" w:rsidRPr="001608D8" w:rsidRDefault="006D4730" w:rsidP="00AD11B7">
            <w:pPr>
              <w:rPr>
                <w:rFonts w:ascii="Arial" w:hAnsi="Arial" w:cs="Arial"/>
                <w:b/>
                <w:bCs/>
              </w:rPr>
            </w:pPr>
            <w:r w:rsidRPr="001608D8">
              <w:rPr>
                <w:rFonts w:ascii="Arial" w:hAnsi="Arial" w:cs="Arial"/>
                <w:b/>
                <w:bCs/>
              </w:rPr>
              <w:t>Test Year Ended 12/31/14</w:t>
            </w:r>
          </w:p>
        </w:tc>
        <w:tc>
          <w:tcPr>
            <w:tcW w:w="1260" w:type="dxa"/>
            <w:tcBorders>
              <w:left w:val="nil"/>
              <w:bottom w:val="single" w:sz="8" w:space="0" w:color="000000"/>
              <w:right w:val="nil"/>
            </w:tcBorders>
            <w:shd w:val="clear" w:color="000000" w:fill="FFFFFF" w:themeFill="background1"/>
            <w:noWrap/>
            <w:vAlign w:val="bottom"/>
          </w:tcPr>
          <w:p w:rsidR="006D4730" w:rsidRPr="001608D8" w:rsidRDefault="006D4730" w:rsidP="00AD11B7">
            <w:pPr>
              <w:jc w:val="center"/>
              <w:rPr>
                <w:rFonts w:ascii="SWISS" w:hAnsi="SWISS" w:cs="Arial"/>
                <w:b/>
                <w:bCs/>
                <w:sz w:val="18"/>
                <w:szCs w:val="18"/>
              </w:rPr>
            </w:pPr>
          </w:p>
        </w:tc>
        <w:tc>
          <w:tcPr>
            <w:tcW w:w="1350" w:type="dxa"/>
            <w:tcBorders>
              <w:left w:val="nil"/>
              <w:bottom w:val="single" w:sz="8" w:space="0" w:color="000000"/>
              <w:right w:val="nil"/>
            </w:tcBorders>
            <w:shd w:val="clear" w:color="000000" w:fill="FFFFFF" w:themeFill="background1"/>
            <w:noWrap/>
            <w:vAlign w:val="bottom"/>
          </w:tcPr>
          <w:p w:rsidR="006D4730" w:rsidRPr="001608D8" w:rsidRDefault="006D4730" w:rsidP="00AD11B7">
            <w:pPr>
              <w:jc w:val="center"/>
              <w:rPr>
                <w:rFonts w:ascii="SWISS" w:hAnsi="SWISS" w:cs="Arial"/>
                <w:b/>
                <w:bCs/>
                <w:sz w:val="18"/>
                <w:szCs w:val="18"/>
              </w:rPr>
            </w:pPr>
          </w:p>
        </w:tc>
        <w:tc>
          <w:tcPr>
            <w:tcW w:w="1710" w:type="dxa"/>
            <w:gridSpan w:val="2"/>
            <w:tcBorders>
              <w:left w:val="nil"/>
              <w:bottom w:val="single" w:sz="8" w:space="0" w:color="000000"/>
              <w:right w:val="nil"/>
            </w:tcBorders>
            <w:shd w:val="clear" w:color="000000" w:fill="FFFFFF" w:themeFill="background1"/>
            <w:noWrap/>
            <w:vAlign w:val="bottom"/>
          </w:tcPr>
          <w:p w:rsidR="006D4730" w:rsidRPr="001608D8" w:rsidRDefault="006D4730" w:rsidP="00AD11B7">
            <w:pPr>
              <w:jc w:val="center"/>
              <w:rPr>
                <w:rFonts w:ascii="SWISS" w:hAnsi="SWISS" w:cs="Arial"/>
                <w:b/>
                <w:bCs/>
                <w:sz w:val="18"/>
                <w:szCs w:val="18"/>
              </w:rPr>
            </w:pPr>
          </w:p>
        </w:tc>
        <w:tc>
          <w:tcPr>
            <w:tcW w:w="1720" w:type="dxa"/>
            <w:tcBorders>
              <w:left w:val="nil"/>
              <w:bottom w:val="single" w:sz="8" w:space="0" w:color="000000"/>
              <w:right w:val="single" w:sz="8" w:space="0" w:color="000000"/>
            </w:tcBorders>
            <w:shd w:val="clear" w:color="000000" w:fill="FFFFFF" w:themeFill="background1"/>
            <w:noWrap/>
            <w:vAlign w:val="bottom"/>
          </w:tcPr>
          <w:p w:rsidR="006D4730" w:rsidRPr="001608D8" w:rsidRDefault="006D4730" w:rsidP="00AD11B7">
            <w:pPr>
              <w:jc w:val="center"/>
              <w:rPr>
                <w:rFonts w:ascii="SWISS" w:hAnsi="SWISS" w:cs="Arial"/>
                <w:b/>
                <w:bCs/>
                <w:sz w:val="18"/>
                <w:szCs w:val="18"/>
              </w:rPr>
            </w:pPr>
          </w:p>
        </w:tc>
      </w:tr>
      <w:tr w:rsidR="006D4730" w:rsidRPr="001608D8" w:rsidTr="00AD11B7">
        <w:trPr>
          <w:trHeight w:val="300"/>
          <w:jc w:val="center"/>
        </w:trPr>
        <w:tc>
          <w:tcPr>
            <w:tcW w:w="261" w:type="dxa"/>
            <w:tcBorders>
              <w:top w:val="single" w:sz="8" w:space="0" w:color="000000"/>
              <w:left w:val="single" w:sz="8" w:space="0" w:color="000000"/>
              <w:bottom w:val="nil"/>
              <w:right w:val="nil"/>
            </w:tcBorders>
            <w:shd w:val="clear" w:color="000000"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single" w:sz="8" w:space="0" w:color="000000"/>
              <w:left w:val="nil"/>
              <w:bottom w:val="nil"/>
              <w:right w:val="nil"/>
            </w:tcBorders>
            <w:shd w:val="clear" w:color="000000" w:fill="auto"/>
            <w:noWrap/>
            <w:vAlign w:val="bottom"/>
            <w:hideMark/>
          </w:tcPr>
          <w:p w:rsidR="006D4730" w:rsidRPr="001608D8" w:rsidRDefault="006D4730" w:rsidP="00AD11B7">
            <w:pPr>
              <w:rPr>
                <w:rFonts w:ascii="SWISS" w:hAnsi="SWISS" w:cs="Arial"/>
                <w:b/>
                <w:bCs/>
                <w:sz w:val="18"/>
                <w:szCs w:val="18"/>
              </w:rPr>
            </w:pPr>
            <w:r w:rsidRPr="001608D8">
              <w:rPr>
                <w:rFonts w:ascii="SWISS" w:hAnsi="SWISS" w:cs="Arial"/>
                <w:b/>
                <w:bCs/>
                <w:sz w:val="18"/>
                <w:szCs w:val="18"/>
              </w:rPr>
              <w:t> </w:t>
            </w:r>
          </w:p>
        </w:tc>
        <w:tc>
          <w:tcPr>
            <w:tcW w:w="1260" w:type="dxa"/>
            <w:tcBorders>
              <w:top w:val="single" w:sz="8" w:space="0" w:color="000000"/>
              <w:left w:val="nil"/>
              <w:bottom w:val="nil"/>
              <w:right w:val="nil"/>
            </w:tcBorders>
            <w:shd w:val="clear" w:color="000000" w:fill="auto"/>
            <w:noWrap/>
            <w:vAlign w:val="bottom"/>
            <w:hideMark/>
          </w:tcPr>
          <w:p w:rsidR="006D4730" w:rsidRPr="001608D8" w:rsidRDefault="006D4730" w:rsidP="00AD11B7">
            <w:pPr>
              <w:jc w:val="center"/>
              <w:rPr>
                <w:rFonts w:ascii="SWISS" w:hAnsi="SWISS" w:cs="Arial"/>
                <w:b/>
                <w:bCs/>
                <w:sz w:val="18"/>
                <w:szCs w:val="18"/>
              </w:rPr>
            </w:pPr>
            <w:r w:rsidRPr="001608D8">
              <w:rPr>
                <w:rFonts w:ascii="SWISS" w:hAnsi="SWISS" w:cs="Arial"/>
                <w:b/>
                <w:bCs/>
                <w:sz w:val="18"/>
                <w:szCs w:val="18"/>
              </w:rPr>
              <w:t> </w:t>
            </w:r>
          </w:p>
        </w:tc>
        <w:tc>
          <w:tcPr>
            <w:tcW w:w="1350" w:type="dxa"/>
            <w:tcBorders>
              <w:top w:val="single" w:sz="8" w:space="0" w:color="000000"/>
              <w:left w:val="nil"/>
              <w:bottom w:val="nil"/>
              <w:right w:val="nil"/>
            </w:tcBorders>
            <w:shd w:val="clear" w:color="000000" w:fill="auto"/>
            <w:noWrap/>
            <w:vAlign w:val="bottom"/>
            <w:hideMark/>
          </w:tcPr>
          <w:p w:rsidR="006D4730" w:rsidRPr="001608D8" w:rsidRDefault="006D4730" w:rsidP="00AD11B7">
            <w:pPr>
              <w:jc w:val="center"/>
              <w:rPr>
                <w:rFonts w:ascii="SWISS" w:hAnsi="SWISS" w:cs="Arial"/>
                <w:b/>
                <w:bCs/>
                <w:sz w:val="18"/>
                <w:szCs w:val="18"/>
              </w:rPr>
            </w:pPr>
            <w:r w:rsidRPr="001608D8">
              <w:rPr>
                <w:rFonts w:ascii="SWISS" w:hAnsi="SWISS" w:cs="Arial"/>
                <w:b/>
                <w:bCs/>
                <w:sz w:val="18"/>
                <w:szCs w:val="18"/>
              </w:rPr>
              <w:t xml:space="preserve">UTILITY </w:t>
            </w:r>
          </w:p>
        </w:tc>
        <w:tc>
          <w:tcPr>
            <w:tcW w:w="1710" w:type="dxa"/>
            <w:gridSpan w:val="2"/>
            <w:tcBorders>
              <w:top w:val="single" w:sz="8" w:space="0" w:color="000000"/>
              <w:left w:val="nil"/>
              <w:bottom w:val="nil"/>
              <w:right w:val="nil"/>
            </w:tcBorders>
            <w:shd w:val="clear" w:color="000000" w:fill="auto"/>
            <w:noWrap/>
            <w:vAlign w:val="bottom"/>
            <w:hideMark/>
          </w:tcPr>
          <w:p w:rsidR="006D4730" w:rsidRPr="001608D8" w:rsidRDefault="006D4730" w:rsidP="00AD11B7">
            <w:pPr>
              <w:jc w:val="center"/>
              <w:rPr>
                <w:rFonts w:ascii="SWISS" w:hAnsi="SWISS" w:cs="Arial"/>
                <w:b/>
                <w:bCs/>
                <w:sz w:val="18"/>
                <w:szCs w:val="18"/>
              </w:rPr>
            </w:pPr>
            <w:r w:rsidRPr="001608D8">
              <w:rPr>
                <w:rFonts w:ascii="SWISS" w:hAnsi="SWISS" w:cs="Arial"/>
                <w:b/>
                <w:bCs/>
                <w:sz w:val="18"/>
                <w:szCs w:val="18"/>
              </w:rPr>
              <w:t xml:space="preserve">UTILITY </w:t>
            </w:r>
          </w:p>
        </w:tc>
        <w:tc>
          <w:tcPr>
            <w:tcW w:w="1720" w:type="dxa"/>
            <w:tcBorders>
              <w:top w:val="single" w:sz="8" w:space="0" w:color="000000"/>
              <w:left w:val="nil"/>
              <w:bottom w:val="nil"/>
              <w:right w:val="single" w:sz="8" w:space="0" w:color="000000"/>
            </w:tcBorders>
            <w:shd w:val="clear" w:color="000000" w:fill="auto"/>
            <w:noWrap/>
            <w:vAlign w:val="bottom"/>
            <w:hideMark/>
          </w:tcPr>
          <w:p w:rsidR="006D4730" w:rsidRPr="000B0E05" w:rsidRDefault="000B0E05" w:rsidP="00AD11B7">
            <w:pPr>
              <w:jc w:val="center"/>
              <w:rPr>
                <w:rFonts w:ascii="SWISS" w:hAnsi="SWISS" w:cs="Arial"/>
                <w:b/>
                <w:bCs/>
                <w:sz w:val="20"/>
                <w:szCs w:val="20"/>
              </w:rPr>
            </w:pPr>
            <w:r>
              <w:rPr>
                <w:rFonts w:ascii="SWISS" w:hAnsi="SWISS" w:cs="Arial"/>
                <w:b/>
                <w:bCs/>
                <w:sz w:val="20"/>
                <w:szCs w:val="20"/>
              </w:rPr>
              <w:t>COMM.</w:t>
            </w:r>
          </w:p>
        </w:tc>
      </w:tr>
      <w:tr w:rsidR="006D4730" w:rsidRPr="001608D8" w:rsidTr="00AD11B7">
        <w:trPr>
          <w:trHeight w:val="300"/>
          <w:jc w:val="center"/>
        </w:trPr>
        <w:tc>
          <w:tcPr>
            <w:tcW w:w="261" w:type="dxa"/>
            <w:tcBorders>
              <w:top w:val="nil"/>
              <w:left w:val="single" w:sz="8" w:space="0" w:color="000000"/>
              <w:bottom w:val="nil"/>
              <w:right w:val="nil"/>
            </w:tcBorders>
            <w:shd w:val="clear" w:color="000000"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000000" w:fill="auto"/>
            <w:noWrap/>
            <w:vAlign w:val="bottom"/>
            <w:hideMark/>
          </w:tcPr>
          <w:p w:rsidR="006D4730" w:rsidRPr="001608D8" w:rsidRDefault="006D4730" w:rsidP="00AD11B7">
            <w:pPr>
              <w:rPr>
                <w:rFonts w:ascii="SWISS" w:hAnsi="SWISS" w:cs="Arial"/>
                <w:b/>
                <w:bCs/>
                <w:sz w:val="18"/>
                <w:szCs w:val="18"/>
                <w:u w:val="single"/>
              </w:rPr>
            </w:pPr>
          </w:p>
        </w:tc>
        <w:tc>
          <w:tcPr>
            <w:tcW w:w="1260" w:type="dxa"/>
            <w:tcBorders>
              <w:top w:val="nil"/>
              <w:left w:val="nil"/>
              <w:bottom w:val="nil"/>
              <w:right w:val="nil"/>
            </w:tcBorders>
            <w:shd w:val="clear" w:color="000000" w:fill="auto"/>
            <w:noWrap/>
            <w:vAlign w:val="bottom"/>
            <w:hideMark/>
          </w:tcPr>
          <w:p w:rsidR="006D4730" w:rsidRPr="001608D8" w:rsidRDefault="006D4730" w:rsidP="00AD11B7">
            <w:pPr>
              <w:jc w:val="center"/>
              <w:rPr>
                <w:rFonts w:ascii="SWISS" w:hAnsi="SWISS" w:cs="Arial"/>
                <w:b/>
                <w:bCs/>
                <w:sz w:val="18"/>
                <w:szCs w:val="18"/>
              </w:rPr>
            </w:pPr>
            <w:r w:rsidRPr="001608D8">
              <w:rPr>
                <w:rFonts w:ascii="SWISS" w:hAnsi="SWISS" w:cs="Arial"/>
                <w:b/>
                <w:bCs/>
                <w:sz w:val="18"/>
                <w:szCs w:val="18"/>
              </w:rPr>
              <w:t>CURRENT</w:t>
            </w:r>
          </w:p>
        </w:tc>
        <w:tc>
          <w:tcPr>
            <w:tcW w:w="1350" w:type="dxa"/>
            <w:tcBorders>
              <w:top w:val="nil"/>
              <w:left w:val="nil"/>
              <w:bottom w:val="nil"/>
              <w:right w:val="nil"/>
            </w:tcBorders>
            <w:shd w:val="clear" w:color="000000" w:fill="auto"/>
            <w:noWrap/>
            <w:vAlign w:val="bottom"/>
            <w:hideMark/>
          </w:tcPr>
          <w:p w:rsidR="006D4730" w:rsidRPr="001608D8" w:rsidRDefault="006D4730" w:rsidP="00AD11B7">
            <w:pPr>
              <w:jc w:val="center"/>
              <w:rPr>
                <w:rFonts w:ascii="SWISS" w:hAnsi="SWISS" w:cs="Arial"/>
                <w:b/>
                <w:bCs/>
                <w:sz w:val="18"/>
                <w:szCs w:val="18"/>
              </w:rPr>
            </w:pPr>
            <w:r w:rsidRPr="001608D8">
              <w:rPr>
                <w:rFonts w:ascii="SWISS" w:hAnsi="SWISS" w:cs="Arial"/>
                <w:b/>
                <w:bCs/>
                <w:sz w:val="18"/>
                <w:szCs w:val="18"/>
              </w:rPr>
              <w:t xml:space="preserve">REQUESTED </w:t>
            </w:r>
          </w:p>
        </w:tc>
        <w:tc>
          <w:tcPr>
            <w:tcW w:w="1710" w:type="dxa"/>
            <w:gridSpan w:val="2"/>
            <w:tcBorders>
              <w:top w:val="nil"/>
              <w:left w:val="nil"/>
              <w:bottom w:val="nil"/>
              <w:right w:val="nil"/>
            </w:tcBorders>
            <w:shd w:val="clear" w:color="000000" w:fill="auto"/>
            <w:noWrap/>
            <w:vAlign w:val="bottom"/>
            <w:hideMark/>
          </w:tcPr>
          <w:p w:rsidR="006D4730" w:rsidRPr="001608D8" w:rsidRDefault="006D4730" w:rsidP="00AD11B7">
            <w:pPr>
              <w:jc w:val="center"/>
              <w:rPr>
                <w:rFonts w:ascii="SWISS" w:hAnsi="SWISS" w:cs="Arial"/>
                <w:b/>
                <w:bCs/>
                <w:sz w:val="18"/>
                <w:szCs w:val="18"/>
              </w:rPr>
            </w:pPr>
            <w:r w:rsidRPr="001608D8">
              <w:rPr>
                <w:rFonts w:ascii="SWISS" w:hAnsi="SWISS" w:cs="Arial"/>
                <w:b/>
                <w:bCs/>
                <w:sz w:val="18"/>
                <w:szCs w:val="18"/>
              </w:rPr>
              <w:t>REQUESTED</w:t>
            </w:r>
          </w:p>
        </w:tc>
        <w:tc>
          <w:tcPr>
            <w:tcW w:w="1720" w:type="dxa"/>
            <w:tcBorders>
              <w:top w:val="nil"/>
              <w:left w:val="nil"/>
              <w:bottom w:val="nil"/>
              <w:right w:val="single" w:sz="8" w:space="0" w:color="000000"/>
            </w:tcBorders>
            <w:shd w:val="clear" w:color="000000" w:fill="auto"/>
            <w:noWrap/>
            <w:vAlign w:val="bottom"/>
            <w:hideMark/>
          </w:tcPr>
          <w:p w:rsidR="006D4730" w:rsidRPr="000B0E05" w:rsidRDefault="000B0E05" w:rsidP="00AD11B7">
            <w:pPr>
              <w:jc w:val="center"/>
              <w:rPr>
                <w:rFonts w:ascii="SWISS" w:hAnsi="SWISS" w:cs="Arial"/>
                <w:b/>
                <w:bCs/>
                <w:sz w:val="20"/>
                <w:szCs w:val="20"/>
              </w:rPr>
            </w:pPr>
            <w:r>
              <w:rPr>
                <w:rFonts w:ascii="SWISS" w:hAnsi="SWISS" w:cs="Arial"/>
                <w:b/>
                <w:bCs/>
                <w:sz w:val="20"/>
                <w:szCs w:val="20"/>
              </w:rPr>
              <w:t>APPROVED</w:t>
            </w:r>
          </w:p>
        </w:tc>
      </w:tr>
      <w:tr w:rsidR="006D4730" w:rsidRPr="001608D8" w:rsidTr="00AD11B7">
        <w:trPr>
          <w:trHeight w:val="315"/>
          <w:jc w:val="center"/>
        </w:trPr>
        <w:tc>
          <w:tcPr>
            <w:tcW w:w="261" w:type="dxa"/>
            <w:tcBorders>
              <w:top w:val="nil"/>
              <w:left w:val="single" w:sz="8" w:space="0" w:color="000000"/>
              <w:bottom w:val="single" w:sz="8" w:space="0" w:color="000000"/>
              <w:right w:val="nil"/>
            </w:tcBorders>
            <w:shd w:val="clear" w:color="000000"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single" w:sz="8" w:space="0" w:color="000000"/>
              <w:right w:val="nil"/>
            </w:tcBorders>
            <w:shd w:val="clear" w:color="000000" w:fill="auto"/>
            <w:noWrap/>
            <w:vAlign w:val="bottom"/>
            <w:hideMark/>
          </w:tcPr>
          <w:p w:rsidR="006D4730" w:rsidRPr="001608D8" w:rsidRDefault="006D4730" w:rsidP="00AD11B7">
            <w:pPr>
              <w:rPr>
                <w:rFonts w:ascii="SWISS" w:hAnsi="SWISS" w:cs="Arial"/>
                <w:b/>
                <w:bCs/>
                <w:sz w:val="18"/>
                <w:szCs w:val="18"/>
                <w:u w:val="single"/>
              </w:rPr>
            </w:pPr>
          </w:p>
        </w:tc>
        <w:tc>
          <w:tcPr>
            <w:tcW w:w="1260" w:type="dxa"/>
            <w:tcBorders>
              <w:top w:val="nil"/>
              <w:left w:val="nil"/>
              <w:bottom w:val="single" w:sz="8" w:space="0" w:color="000000"/>
              <w:right w:val="nil"/>
            </w:tcBorders>
            <w:shd w:val="clear" w:color="000000" w:fill="auto"/>
            <w:noWrap/>
            <w:vAlign w:val="bottom"/>
            <w:hideMark/>
          </w:tcPr>
          <w:p w:rsidR="006D4730" w:rsidRPr="001608D8" w:rsidRDefault="006D4730" w:rsidP="00AD11B7">
            <w:pPr>
              <w:jc w:val="center"/>
              <w:rPr>
                <w:rFonts w:ascii="SWISS" w:hAnsi="SWISS" w:cs="Arial"/>
                <w:b/>
                <w:bCs/>
                <w:sz w:val="18"/>
                <w:szCs w:val="18"/>
              </w:rPr>
            </w:pPr>
            <w:r w:rsidRPr="001608D8">
              <w:rPr>
                <w:rFonts w:ascii="SWISS" w:hAnsi="SWISS" w:cs="Arial"/>
                <w:b/>
                <w:bCs/>
                <w:sz w:val="18"/>
                <w:szCs w:val="18"/>
              </w:rPr>
              <w:t>RATES</w:t>
            </w:r>
          </w:p>
        </w:tc>
        <w:tc>
          <w:tcPr>
            <w:tcW w:w="1350" w:type="dxa"/>
            <w:tcBorders>
              <w:top w:val="nil"/>
              <w:left w:val="nil"/>
              <w:bottom w:val="single" w:sz="8" w:space="0" w:color="000000"/>
              <w:right w:val="nil"/>
            </w:tcBorders>
            <w:shd w:val="clear" w:color="000000" w:fill="auto"/>
            <w:noWrap/>
            <w:vAlign w:val="bottom"/>
            <w:hideMark/>
          </w:tcPr>
          <w:p w:rsidR="006D4730" w:rsidRPr="001608D8" w:rsidRDefault="006D4730" w:rsidP="00AD11B7">
            <w:pPr>
              <w:jc w:val="center"/>
              <w:rPr>
                <w:rFonts w:ascii="SWISS" w:hAnsi="SWISS" w:cs="Arial"/>
                <w:b/>
                <w:bCs/>
                <w:sz w:val="18"/>
                <w:szCs w:val="18"/>
              </w:rPr>
            </w:pPr>
            <w:r w:rsidRPr="001608D8">
              <w:rPr>
                <w:rFonts w:ascii="SWISS" w:hAnsi="SWISS" w:cs="Arial"/>
                <w:b/>
                <w:bCs/>
                <w:sz w:val="18"/>
                <w:szCs w:val="18"/>
              </w:rPr>
              <w:t>INTERIM</w:t>
            </w:r>
          </w:p>
        </w:tc>
        <w:tc>
          <w:tcPr>
            <w:tcW w:w="1710" w:type="dxa"/>
            <w:gridSpan w:val="2"/>
            <w:tcBorders>
              <w:top w:val="nil"/>
              <w:left w:val="nil"/>
              <w:bottom w:val="single" w:sz="8" w:space="0" w:color="000000"/>
              <w:right w:val="nil"/>
            </w:tcBorders>
            <w:shd w:val="clear" w:color="000000" w:fill="auto"/>
            <w:noWrap/>
            <w:vAlign w:val="bottom"/>
            <w:hideMark/>
          </w:tcPr>
          <w:p w:rsidR="006D4730" w:rsidRPr="001608D8" w:rsidRDefault="006D4730" w:rsidP="00AD11B7">
            <w:pPr>
              <w:jc w:val="center"/>
              <w:rPr>
                <w:rFonts w:ascii="SWISS" w:hAnsi="SWISS" w:cs="Arial"/>
                <w:b/>
                <w:bCs/>
                <w:sz w:val="18"/>
                <w:szCs w:val="18"/>
              </w:rPr>
            </w:pPr>
            <w:r w:rsidRPr="001608D8">
              <w:rPr>
                <w:rFonts w:ascii="SWISS" w:hAnsi="SWISS" w:cs="Arial"/>
                <w:b/>
                <w:bCs/>
                <w:sz w:val="18"/>
                <w:szCs w:val="18"/>
              </w:rPr>
              <w:t>FINAL</w:t>
            </w:r>
          </w:p>
        </w:tc>
        <w:tc>
          <w:tcPr>
            <w:tcW w:w="1720" w:type="dxa"/>
            <w:tcBorders>
              <w:top w:val="nil"/>
              <w:left w:val="nil"/>
              <w:bottom w:val="single" w:sz="8" w:space="0" w:color="000000"/>
              <w:right w:val="single" w:sz="8" w:space="0" w:color="000000"/>
            </w:tcBorders>
            <w:shd w:val="clear" w:color="000000" w:fill="auto"/>
            <w:noWrap/>
            <w:vAlign w:val="bottom"/>
            <w:hideMark/>
          </w:tcPr>
          <w:p w:rsidR="006D4730" w:rsidRPr="001608D8" w:rsidRDefault="006D4730" w:rsidP="00AD11B7">
            <w:pPr>
              <w:jc w:val="center"/>
              <w:rPr>
                <w:rFonts w:ascii="SWISS" w:hAnsi="SWISS" w:cs="Arial"/>
                <w:b/>
                <w:bCs/>
                <w:sz w:val="18"/>
                <w:szCs w:val="18"/>
              </w:rPr>
            </w:pPr>
            <w:r w:rsidRPr="001608D8">
              <w:rPr>
                <w:rFonts w:ascii="SWISS" w:hAnsi="SWISS" w:cs="Arial"/>
                <w:b/>
                <w:bCs/>
                <w:sz w:val="18"/>
                <w:szCs w:val="18"/>
              </w:rPr>
              <w:t>INTERIM</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b/>
                <w:bCs/>
                <w:sz w:val="18"/>
                <w:szCs w:val="18"/>
                <w:u w:val="single"/>
              </w:rPr>
            </w:pPr>
            <w:r w:rsidRPr="001608D8">
              <w:rPr>
                <w:rFonts w:ascii="SWISS" w:hAnsi="SWISS" w:cs="Arial"/>
                <w:b/>
                <w:bCs/>
                <w:sz w:val="18"/>
                <w:szCs w:val="18"/>
                <w:u w:val="single"/>
              </w:rPr>
              <w:t>Residential</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b/>
                <w:bCs/>
                <w:sz w:val="18"/>
                <w:szCs w:val="18"/>
                <w:u w:val="single"/>
              </w:rPr>
            </w:pP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center"/>
              <w:rPr>
                <w:rFonts w:ascii="SWISS" w:hAnsi="SWISS" w:cs="Arial"/>
                <w:b/>
                <w:bCs/>
                <w:sz w:val="18"/>
                <w:szCs w:val="18"/>
              </w:rPr>
            </w:pP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center"/>
              <w:rPr>
                <w:rFonts w:ascii="SWISS" w:hAnsi="SWISS" w:cs="Arial"/>
                <w:b/>
                <w:bCs/>
                <w:sz w:val="18"/>
                <w:szCs w:val="18"/>
              </w:rPr>
            </w:pPr>
          </w:p>
        </w:tc>
        <w:tc>
          <w:tcPr>
            <w:tcW w:w="1720" w:type="dxa"/>
            <w:tcBorders>
              <w:top w:val="nil"/>
              <w:left w:val="nil"/>
              <w:bottom w:val="nil"/>
              <w:right w:val="single" w:sz="8" w:space="0" w:color="000000"/>
            </w:tcBorders>
            <w:shd w:val="clear" w:color="auto" w:fill="auto"/>
            <w:noWrap/>
            <w:vAlign w:val="bottom"/>
            <w:hideMark/>
          </w:tcPr>
          <w:p w:rsidR="006D4730" w:rsidRPr="001608D8" w:rsidRDefault="006D4730" w:rsidP="00AD11B7">
            <w:pPr>
              <w:jc w:val="center"/>
              <w:rPr>
                <w:rFonts w:ascii="SWISS" w:hAnsi="SWISS" w:cs="Arial"/>
                <w:b/>
                <w:bCs/>
                <w:sz w:val="18"/>
                <w:szCs w:val="18"/>
              </w:rPr>
            </w:pPr>
            <w:r w:rsidRPr="001608D8">
              <w:rPr>
                <w:rFonts w:ascii="SWISS" w:hAnsi="SWISS" w:cs="Arial"/>
                <w:b/>
                <w:bCs/>
                <w:sz w:val="18"/>
                <w:szCs w:val="18"/>
              </w:rPr>
              <w:t> </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Base Facility Charge - All Meter Sizes</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$29.34</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$60.69</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$70.12</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$34.60</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 </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Charge per 1,000 Gallons- Residential</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$6.59</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$13.63</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$15.75</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$7.77</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8,000 gallon cap</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trike/>
                <w:sz w:val="18"/>
                <w:szCs w:val="18"/>
              </w:rPr>
            </w:pP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trike/>
                <w:sz w:val="18"/>
                <w:szCs w:val="18"/>
              </w:rPr>
            </w:pP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b/>
                <w:bCs/>
                <w:sz w:val="18"/>
                <w:szCs w:val="18"/>
                <w:u w:val="single"/>
              </w:rPr>
            </w:pPr>
            <w:r w:rsidRPr="001608D8">
              <w:rPr>
                <w:rFonts w:ascii="SWISS" w:hAnsi="SWISS" w:cs="Arial"/>
                <w:b/>
                <w:bCs/>
                <w:sz w:val="18"/>
                <w:szCs w:val="18"/>
                <w:u w:val="single"/>
              </w:rPr>
              <w:t>General Service and Multi-Residential</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trike/>
                <w:sz w:val="18"/>
                <w:szCs w:val="18"/>
              </w:rPr>
            </w:pP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Base Facility Charge by Meter Size</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trike/>
                <w:sz w:val="18"/>
                <w:szCs w:val="18"/>
              </w:rPr>
            </w:pP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5/8" x 3/4"</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$29.34</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$60.69</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$70.12</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$34.60</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1"</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$73.35</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$151.72</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$175.31</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$86.50</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1-1/2"</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$146.69</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$303.42</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$350.59</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$173.00</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2"</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$234.71</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$485.49</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$560.96</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$276.80</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3"</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$469.43</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$971.00</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$1,121.94</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$553.60</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4"</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$733.47</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$1,517.17</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$1,752.99</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$865.00</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6"</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$1,466.94</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$3,034.33</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$3,505.99</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$1,730.00</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trike/>
                <w:sz w:val="18"/>
                <w:szCs w:val="18"/>
              </w:rPr>
            </w:pP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Restaurant 1"</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 xml:space="preserve">$73.35 </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 xml:space="preserve">$151.72 </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 xml:space="preserve">$175.31 </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$86.50</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trike/>
                <w:sz w:val="18"/>
                <w:szCs w:val="18"/>
              </w:rPr>
            </w:pP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Charge per 1,000 Gallons - General Service</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$7.92</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$16.38</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$18.93</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$9.34</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trike/>
                <w:sz w:val="18"/>
                <w:szCs w:val="18"/>
              </w:rPr>
            </w:pP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Reserved Capacity - Flat Charge per unit</w:t>
            </w: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$28.42</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$58.79</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$67.92</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$33.51</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714" w:type="dxa"/>
            <w:gridSpan w:val="2"/>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p>
        </w:tc>
        <w:tc>
          <w:tcPr>
            <w:tcW w:w="126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trike/>
                <w:sz w:val="18"/>
                <w:szCs w:val="18"/>
              </w:rPr>
            </w:pP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4974" w:type="dxa"/>
            <w:gridSpan w:val="3"/>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b/>
                <w:bCs/>
                <w:sz w:val="18"/>
                <w:szCs w:val="18"/>
                <w:u w:val="single"/>
              </w:rPr>
            </w:pPr>
            <w:r w:rsidRPr="001608D8">
              <w:rPr>
                <w:rFonts w:ascii="SWISS" w:hAnsi="SWISS" w:cs="Arial"/>
                <w:b/>
                <w:bCs/>
                <w:sz w:val="18"/>
                <w:szCs w:val="18"/>
                <w:u w:val="single"/>
              </w:rPr>
              <w:t>Typical Residential 5/8" x 3/4" Meter Bill Comparison</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trike/>
                <w:sz w:val="18"/>
                <w:szCs w:val="18"/>
              </w:rPr>
            </w:pP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524" w:type="dxa"/>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3,000 Gallons</w:t>
            </w:r>
          </w:p>
        </w:tc>
        <w:tc>
          <w:tcPr>
            <w:tcW w:w="145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$49.11</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$101.58</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$117.37</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$57.91</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524" w:type="dxa"/>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5,000 Gallons</w:t>
            </w:r>
          </w:p>
        </w:tc>
        <w:tc>
          <w:tcPr>
            <w:tcW w:w="145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$62.29</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$128.84</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$148.87</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$73.45</w:t>
            </w:r>
          </w:p>
        </w:tc>
      </w:tr>
      <w:tr w:rsidR="006D4730" w:rsidRPr="001608D8" w:rsidTr="00AD11B7">
        <w:trPr>
          <w:trHeight w:val="300"/>
          <w:jc w:val="center"/>
        </w:trPr>
        <w:tc>
          <w:tcPr>
            <w:tcW w:w="261" w:type="dxa"/>
            <w:tcBorders>
              <w:top w:val="nil"/>
              <w:left w:val="single" w:sz="8" w:space="0" w:color="000000"/>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524" w:type="dxa"/>
            <w:tcBorders>
              <w:top w:val="nil"/>
              <w:left w:val="nil"/>
              <w:bottom w:val="nil"/>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8,000 Gallons</w:t>
            </w:r>
          </w:p>
        </w:tc>
        <w:tc>
          <w:tcPr>
            <w:tcW w:w="145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$82.06</w:t>
            </w:r>
          </w:p>
        </w:tc>
        <w:tc>
          <w:tcPr>
            <w:tcW w:w="1350" w:type="dxa"/>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$169.73</w:t>
            </w:r>
          </w:p>
        </w:tc>
        <w:tc>
          <w:tcPr>
            <w:tcW w:w="1710" w:type="dxa"/>
            <w:gridSpan w:val="2"/>
            <w:tcBorders>
              <w:top w:val="nil"/>
              <w:left w:val="nil"/>
              <w:bottom w:val="nil"/>
              <w:right w:val="nil"/>
            </w:tcBorders>
            <w:shd w:val="clear" w:color="auto" w:fill="auto"/>
            <w:noWrap/>
            <w:vAlign w:val="bottom"/>
            <w:hideMark/>
          </w:tcPr>
          <w:p w:rsidR="006D4730" w:rsidRPr="001608D8" w:rsidRDefault="006D4730" w:rsidP="00AD11B7">
            <w:pPr>
              <w:jc w:val="right"/>
              <w:rPr>
                <w:rFonts w:ascii="SWISS" w:hAnsi="SWISS" w:cs="Arial"/>
                <w:sz w:val="18"/>
                <w:szCs w:val="18"/>
              </w:rPr>
            </w:pPr>
            <w:r w:rsidRPr="001608D8">
              <w:rPr>
                <w:rFonts w:ascii="SWISS" w:hAnsi="SWISS" w:cs="Arial"/>
                <w:sz w:val="18"/>
                <w:szCs w:val="18"/>
              </w:rPr>
              <w:t>$196.12</w:t>
            </w:r>
          </w:p>
        </w:tc>
        <w:tc>
          <w:tcPr>
            <w:tcW w:w="1720" w:type="dxa"/>
            <w:tcBorders>
              <w:top w:val="nil"/>
              <w:left w:val="nil"/>
              <w:bottom w:val="nil"/>
              <w:right w:val="single" w:sz="8" w:space="0" w:color="000000"/>
            </w:tcBorders>
            <w:shd w:val="clear" w:color="auto" w:fill="auto"/>
            <w:noWrap/>
            <w:vAlign w:val="bottom"/>
            <w:hideMark/>
          </w:tcPr>
          <w:p w:rsidR="006D4730" w:rsidRPr="00973164" w:rsidRDefault="006D4730" w:rsidP="00AD11B7">
            <w:pPr>
              <w:jc w:val="right"/>
              <w:rPr>
                <w:rFonts w:ascii="SWISS" w:hAnsi="SWISS" w:cs="Arial"/>
                <w:sz w:val="18"/>
                <w:szCs w:val="18"/>
              </w:rPr>
            </w:pPr>
            <w:r w:rsidRPr="00973164">
              <w:rPr>
                <w:rFonts w:ascii="SWISS" w:hAnsi="SWISS" w:cs="Arial"/>
                <w:sz w:val="18"/>
                <w:szCs w:val="18"/>
              </w:rPr>
              <w:t>$96.76</w:t>
            </w:r>
          </w:p>
        </w:tc>
      </w:tr>
      <w:tr w:rsidR="006D4730" w:rsidRPr="001608D8" w:rsidTr="00AD11B7">
        <w:trPr>
          <w:trHeight w:val="315"/>
          <w:jc w:val="center"/>
        </w:trPr>
        <w:tc>
          <w:tcPr>
            <w:tcW w:w="261" w:type="dxa"/>
            <w:tcBorders>
              <w:top w:val="nil"/>
              <w:left w:val="single" w:sz="8" w:space="0" w:color="000000"/>
              <w:bottom w:val="single" w:sz="8" w:space="0" w:color="000000"/>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3524" w:type="dxa"/>
            <w:tcBorders>
              <w:top w:val="nil"/>
              <w:left w:val="nil"/>
              <w:bottom w:val="single" w:sz="8" w:space="0" w:color="000000"/>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1450" w:type="dxa"/>
            <w:gridSpan w:val="2"/>
            <w:tcBorders>
              <w:top w:val="nil"/>
              <w:left w:val="nil"/>
              <w:bottom w:val="single" w:sz="8" w:space="0" w:color="000000"/>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1350" w:type="dxa"/>
            <w:tcBorders>
              <w:top w:val="nil"/>
              <w:left w:val="nil"/>
              <w:bottom w:val="single" w:sz="8" w:space="0" w:color="000000"/>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1710" w:type="dxa"/>
            <w:gridSpan w:val="2"/>
            <w:tcBorders>
              <w:top w:val="nil"/>
              <w:left w:val="nil"/>
              <w:bottom w:val="single" w:sz="8" w:space="0" w:color="000000"/>
              <w:right w:val="nil"/>
            </w:tcBorders>
            <w:shd w:val="clear" w:color="auto" w:fill="auto"/>
            <w:noWrap/>
            <w:vAlign w:val="bottom"/>
            <w:hideMark/>
          </w:tcPr>
          <w:p w:rsidR="006D4730" w:rsidRPr="001608D8" w:rsidRDefault="006D4730" w:rsidP="00AD11B7">
            <w:pPr>
              <w:rPr>
                <w:rFonts w:ascii="SWISS" w:hAnsi="SWISS" w:cs="Arial"/>
                <w:sz w:val="18"/>
                <w:szCs w:val="18"/>
              </w:rPr>
            </w:pPr>
            <w:r w:rsidRPr="001608D8">
              <w:rPr>
                <w:rFonts w:ascii="SWISS" w:hAnsi="SWISS" w:cs="Arial"/>
                <w:sz w:val="18"/>
                <w:szCs w:val="18"/>
              </w:rPr>
              <w:t> </w:t>
            </w:r>
          </w:p>
        </w:tc>
        <w:tc>
          <w:tcPr>
            <w:tcW w:w="1720" w:type="dxa"/>
            <w:tcBorders>
              <w:top w:val="nil"/>
              <w:left w:val="nil"/>
              <w:bottom w:val="single" w:sz="8" w:space="0" w:color="000000"/>
              <w:right w:val="single" w:sz="8" w:space="0" w:color="000000"/>
            </w:tcBorders>
            <w:shd w:val="clear" w:color="auto" w:fill="auto"/>
            <w:noWrap/>
            <w:vAlign w:val="bottom"/>
            <w:hideMark/>
          </w:tcPr>
          <w:p w:rsidR="006D4730" w:rsidRPr="00973164" w:rsidRDefault="006D4730" w:rsidP="00AD11B7">
            <w:pPr>
              <w:rPr>
                <w:rFonts w:ascii="SWISS" w:hAnsi="SWISS" w:cs="Arial"/>
                <w:sz w:val="18"/>
                <w:szCs w:val="18"/>
              </w:rPr>
            </w:pPr>
            <w:r w:rsidRPr="00973164">
              <w:rPr>
                <w:rFonts w:ascii="SWISS" w:hAnsi="SWISS" w:cs="Arial"/>
                <w:sz w:val="18"/>
                <w:szCs w:val="18"/>
              </w:rPr>
              <w:t> </w:t>
            </w:r>
          </w:p>
        </w:tc>
      </w:tr>
    </w:tbl>
    <w:p w:rsidR="00973164" w:rsidRPr="00973164" w:rsidRDefault="00973164" w:rsidP="00973164"/>
    <w:sectPr w:rsidR="00973164" w:rsidRPr="00973164" w:rsidSect="007A0C3D">
      <w:headerReference w:type="default" r:id="rId15"/>
      <w:pgSz w:w="12240" w:h="15840" w:code="1"/>
      <w:pgMar w:top="1440" w:right="1440" w:bottom="1440" w:left="1440" w:header="720" w:footer="720" w:gutter="0"/>
      <w:paperSrc w:firs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47" w:rsidRDefault="00E10847">
      <w:r>
        <w:separator/>
      </w:r>
    </w:p>
  </w:endnote>
  <w:endnote w:type="continuationSeparator" w:id="0">
    <w:p w:rsidR="00E10847" w:rsidRDefault="00E1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47" w:rsidRDefault="00E10847">
    <w:pPr>
      <w:pStyle w:val="Footer"/>
    </w:pPr>
  </w:p>
  <w:p w:rsidR="00E10847" w:rsidRDefault="00E10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47" w:rsidRDefault="00E10847">
      <w:r>
        <w:separator/>
      </w:r>
    </w:p>
  </w:footnote>
  <w:footnote w:type="continuationSeparator" w:id="0">
    <w:p w:rsidR="00E10847" w:rsidRDefault="00E10847">
      <w:r>
        <w:continuationSeparator/>
      </w:r>
    </w:p>
  </w:footnote>
  <w:footnote w:id="1">
    <w:p w:rsidR="00E10847" w:rsidRPr="004A415E" w:rsidRDefault="00E10847" w:rsidP="00017692">
      <w:pPr>
        <w:pStyle w:val="FootnoteText"/>
        <w:rPr>
          <w:i/>
        </w:rPr>
      </w:pPr>
      <w:r>
        <w:rPr>
          <w:rStyle w:val="FootnoteReference"/>
        </w:rPr>
        <w:footnoteRef/>
      </w:r>
      <w:r>
        <w:t xml:space="preserve">Order No.  PSC-95-0478-FOF-SU, issued April 13, 1995, in Docket No.  941341-SU, </w:t>
      </w:r>
      <w:r w:rsidRPr="00017692">
        <w:rPr>
          <w:u w:val="single"/>
        </w:rPr>
        <w:t>In re: Application for certificate to provide wastewater service in Charlotte County by Sandalhaven Utility, Inc.</w:t>
      </w:r>
    </w:p>
  </w:footnote>
  <w:footnote w:id="2">
    <w:p w:rsidR="00E10847" w:rsidRPr="00121D0A" w:rsidRDefault="00E10847" w:rsidP="00017692">
      <w:pPr>
        <w:pStyle w:val="FootnoteText"/>
      </w:pPr>
      <w:r>
        <w:rPr>
          <w:rStyle w:val="FootnoteReference"/>
        </w:rPr>
        <w:footnoteRef/>
      </w:r>
      <w:r>
        <w:t xml:space="preserve">Order No.  PSC-07-0984-FOF-WS, issued December 10, 2007, in Docket No.  070643-WS, </w:t>
      </w:r>
      <w:r w:rsidRPr="00E10847">
        <w:rPr>
          <w:u w:val="single"/>
        </w:rPr>
        <w:t>In re:</w:t>
      </w:r>
      <w:r w:rsidRPr="00E10847">
        <w:rPr>
          <w:i/>
          <w:u w:val="single"/>
        </w:rPr>
        <w:t xml:space="preserve"> </w:t>
      </w:r>
      <w:r w:rsidRPr="00E10847">
        <w:rPr>
          <w:u w:val="single"/>
        </w:rPr>
        <w:t>Resolutio</w:t>
      </w:r>
      <w:r w:rsidRPr="00017692">
        <w:rPr>
          <w:u w:val="single"/>
        </w:rPr>
        <w:t>n No</w:t>
      </w:r>
      <w:r>
        <w:rPr>
          <w:u w:val="single"/>
        </w:rPr>
        <w:t xml:space="preserve">.  </w:t>
      </w:r>
      <w:r w:rsidRPr="00017692">
        <w:rPr>
          <w:u w:val="single"/>
        </w:rPr>
        <w:t>2007-143 by Charlotte County Board of Commissioners, in accordance with Section 367.171, F.S., rescinding Florida Public Service Commission jurisdiction over private water and wastewater systems in Charlotte County</w:t>
      </w:r>
      <w:r>
        <w:rPr>
          <w:u w:val="single"/>
        </w:rPr>
        <w:t xml:space="preserve">.  </w:t>
      </w:r>
    </w:p>
  </w:footnote>
  <w:footnote w:id="3">
    <w:p w:rsidR="00E10847" w:rsidRPr="00121D0A" w:rsidRDefault="00E10847" w:rsidP="00017692">
      <w:pPr>
        <w:pStyle w:val="FootnoteText"/>
      </w:pPr>
      <w:r w:rsidRPr="00121D0A">
        <w:rPr>
          <w:rStyle w:val="FootnoteReference"/>
        </w:rPr>
        <w:footnoteRef/>
      </w:r>
      <w:r w:rsidRPr="00121D0A">
        <w:t>Order No</w:t>
      </w:r>
      <w:r>
        <w:t xml:space="preserve">.  </w:t>
      </w:r>
      <w:r w:rsidRPr="00121D0A">
        <w:t>PSC-13-0178-FOF-SU, issued April 29, 2013, in Docket No</w:t>
      </w:r>
      <w:r>
        <w:t xml:space="preserve">.  </w:t>
      </w:r>
      <w:r w:rsidRPr="00121D0A">
        <w:t xml:space="preserve">130053-SU, </w:t>
      </w:r>
      <w:r w:rsidRPr="002C7B20">
        <w:rPr>
          <w:u w:val="single"/>
        </w:rPr>
        <w:t>In re: Application for grandfather certificate to operate wastewater utility in Charlotte County by Utilities, Inc</w:t>
      </w:r>
      <w:r>
        <w:rPr>
          <w:u w:val="single"/>
        </w:rPr>
        <w:t xml:space="preserve">.  </w:t>
      </w:r>
      <w:r w:rsidRPr="002C7B20">
        <w:rPr>
          <w:u w:val="single"/>
        </w:rPr>
        <w:t>of Sandalhaven</w:t>
      </w:r>
      <w:r w:rsidRPr="002C7B20">
        <w:t>.</w:t>
      </w:r>
    </w:p>
  </w:footnote>
  <w:footnote w:id="4">
    <w:p w:rsidR="00E10847" w:rsidRPr="002C7B20" w:rsidRDefault="00E10847" w:rsidP="00017692">
      <w:pPr>
        <w:pStyle w:val="FootnoteText"/>
        <w:rPr>
          <w:i/>
          <w:u w:val="single"/>
        </w:rPr>
      </w:pPr>
      <w:r w:rsidRPr="00121D0A">
        <w:rPr>
          <w:rStyle w:val="FootnoteReference"/>
        </w:rPr>
        <w:footnoteRef/>
      </w:r>
      <w:r w:rsidRPr="00121D0A">
        <w:t>Order No</w:t>
      </w:r>
      <w:r>
        <w:t xml:space="preserve">.  </w:t>
      </w:r>
      <w:r w:rsidRPr="00121D0A">
        <w:t>PSC-07-0865-PAA-SU, issued October 29, 2007, in Docket No</w:t>
      </w:r>
      <w:r>
        <w:t xml:space="preserve">.  </w:t>
      </w:r>
      <w:r w:rsidRPr="00121D0A">
        <w:t xml:space="preserve">060285-SU, </w:t>
      </w:r>
      <w:r w:rsidRPr="002C7B20">
        <w:rPr>
          <w:u w:val="single"/>
        </w:rPr>
        <w:t>In re: Application for rates in Charlotte County by Utilities, Inc</w:t>
      </w:r>
      <w:r>
        <w:rPr>
          <w:u w:val="single"/>
        </w:rPr>
        <w:t xml:space="preserve">.  </w:t>
      </w:r>
      <w:r w:rsidRPr="002C7B20">
        <w:rPr>
          <w:u w:val="single"/>
        </w:rPr>
        <w:t>of Sandalhaven.</w:t>
      </w:r>
    </w:p>
  </w:footnote>
  <w:footnote w:id="5">
    <w:p w:rsidR="00E10847" w:rsidRDefault="00E10847" w:rsidP="00017692">
      <w:pPr>
        <w:pStyle w:val="FootnoteText"/>
      </w:pPr>
      <w:r w:rsidRPr="00E10847">
        <w:rPr>
          <w:rStyle w:val="FootnoteReference"/>
        </w:rPr>
        <w:footnoteRef/>
      </w:r>
      <w:r w:rsidRPr="00E10847">
        <w:rPr>
          <w:u w:val="single"/>
        </w:rPr>
        <w:t>Id</w:t>
      </w:r>
      <w:r w:rsidRPr="006A68C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47" w:rsidRDefault="00E10847">
    <w:pPr>
      <w:pStyle w:val="OrderHeader"/>
    </w:pPr>
    <w:r>
      <w:t xml:space="preserve">ORDER NO.  </w:t>
    </w:r>
    <w:fldSimple w:instr=" REF OrderNo0320 ">
      <w:r w:rsidR="007A0C3D">
        <w:t>PSC-15-0320-PCO-SU</w:t>
      </w:r>
    </w:fldSimple>
  </w:p>
  <w:p w:rsidR="00E10847" w:rsidRDefault="00E10847">
    <w:pPr>
      <w:pStyle w:val="OrderHeader"/>
    </w:pPr>
    <w:bookmarkStart w:id="9" w:name="HeaderDocketNo"/>
    <w:bookmarkEnd w:id="9"/>
    <w:r>
      <w:t>DOCKET NO. 150102-SU</w:t>
    </w:r>
  </w:p>
  <w:p w:rsidR="00E10847" w:rsidRDefault="00E10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0C3D">
      <w:rPr>
        <w:rStyle w:val="PageNumber"/>
        <w:noProof/>
      </w:rPr>
      <w:t>2</w:t>
    </w:r>
    <w:r>
      <w:rPr>
        <w:rStyle w:val="PageNumber"/>
      </w:rPr>
      <w:fldChar w:fldCharType="end"/>
    </w:r>
  </w:p>
  <w:p w:rsidR="00E10847" w:rsidRDefault="00E10847">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47" w:rsidRDefault="00E10847">
    <w:pPr>
      <w:pStyle w:val="OrderHeader"/>
    </w:pPr>
    <w:r>
      <w:t xml:space="preserve">ORDER NO.  </w:t>
    </w:r>
    <w:r w:rsidR="007A0C3D">
      <w:fldChar w:fldCharType="begin"/>
    </w:r>
    <w:r w:rsidR="007A0C3D">
      <w:instrText xml:space="preserve"> REF OrderNo0320 </w:instrText>
    </w:r>
    <w:r w:rsidR="007A0C3D">
      <w:fldChar w:fldCharType="separate"/>
    </w:r>
    <w:r w:rsidR="007A0C3D">
      <w:t>PSC-15-0320-PCO-SU</w:t>
    </w:r>
    <w:r w:rsidR="007A0C3D">
      <w:fldChar w:fldCharType="end"/>
    </w:r>
  </w:p>
  <w:p w:rsidR="00E10847" w:rsidRDefault="00E10847">
    <w:pPr>
      <w:pStyle w:val="OrderHeader"/>
    </w:pPr>
    <w:r>
      <w:t>DOCKET NO. 150102-SU</w:t>
    </w:r>
  </w:p>
  <w:p w:rsidR="00E10847" w:rsidRDefault="00E10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0C3D">
      <w:rPr>
        <w:rStyle w:val="PageNumber"/>
        <w:noProof/>
      </w:rPr>
      <w:t>11</w:t>
    </w:r>
    <w:r>
      <w:rPr>
        <w:rStyle w:val="PageNumber"/>
      </w:rPr>
      <w:fldChar w:fldCharType="end"/>
    </w:r>
  </w:p>
  <w:p w:rsidR="00E10847" w:rsidRDefault="00E10847">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47" w:rsidRDefault="00E108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47" w:rsidRDefault="00E10847">
    <w:pPr>
      <w:pStyle w:val="OrderHeader"/>
    </w:pPr>
    <w:r>
      <w:t xml:space="preserve">ORDER NO.  </w:t>
    </w:r>
    <w:r w:rsidR="007A0C3D">
      <w:fldChar w:fldCharType="begin"/>
    </w:r>
    <w:r w:rsidR="007A0C3D">
      <w:instrText xml:space="preserve"> REF OrderNo0320 </w:instrText>
    </w:r>
    <w:r w:rsidR="007A0C3D">
      <w:fldChar w:fldCharType="separate"/>
    </w:r>
    <w:r w:rsidR="007A0C3D">
      <w:t>PSC-15-0320-PCO-SU</w:t>
    </w:r>
    <w:r w:rsidR="007A0C3D">
      <w:fldChar w:fldCharType="end"/>
    </w:r>
  </w:p>
  <w:p w:rsidR="00E10847" w:rsidRDefault="00E10847">
    <w:pPr>
      <w:pStyle w:val="OrderHeader"/>
    </w:pPr>
    <w:r>
      <w:t>DOCKET NO.  150102-SU</w:t>
    </w:r>
  </w:p>
  <w:p w:rsidR="00E10847" w:rsidRDefault="00E10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0C3D">
      <w:rPr>
        <w:rStyle w:val="PageNumber"/>
        <w:noProof/>
      </w:rPr>
      <w:t>12</w:t>
    </w:r>
    <w:r>
      <w:rPr>
        <w:rStyle w:val="PageNumber"/>
      </w:rPr>
      <w:fldChar w:fldCharType="end"/>
    </w:r>
  </w:p>
  <w:p w:rsidR="00E10847" w:rsidRDefault="00E10847">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47" w:rsidRDefault="00E10847">
    <w:pPr>
      <w:pStyle w:val="OrderHeader"/>
    </w:pPr>
    <w:r>
      <w:t xml:space="preserve">ORDER NO.  </w:t>
    </w:r>
    <w:r w:rsidR="007A0C3D">
      <w:fldChar w:fldCharType="begin"/>
    </w:r>
    <w:r w:rsidR="007A0C3D">
      <w:instrText xml:space="preserve"> REF OrderNo0320 </w:instrText>
    </w:r>
    <w:r w:rsidR="007A0C3D">
      <w:fldChar w:fldCharType="separate"/>
    </w:r>
    <w:r w:rsidR="007A0C3D">
      <w:t>PSC-15-0320-PCO-SU</w:t>
    </w:r>
    <w:r w:rsidR="007A0C3D">
      <w:fldChar w:fldCharType="end"/>
    </w:r>
  </w:p>
  <w:p w:rsidR="00E10847" w:rsidRDefault="00E10847">
    <w:pPr>
      <w:pStyle w:val="OrderHeader"/>
    </w:pPr>
    <w:r>
      <w:t>DOCKET NO. 150102-SU</w:t>
    </w:r>
  </w:p>
  <w:p w:rsidR="00E10847" w:rsidRDefault="00E10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0C3D">
      <w:rPr>
        <w:rStyle w:val="PageNumber"/>
        <w:noProof/>
      </w:rPr>
      <w:t>13</w:t>
    </w:r>
    <w:r>
      <w:rPr>
        <w:rStyle w:val="PageNumber"/>
      </w:rPr>
      <w:fldChar w:fldCharType="end"/>
    </w:r>
  </w:p>
  <w:p w:rsidR="00E10847" w:rsidRDefault="00E10847">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47" w:rsidRDefault="00E10847">
    <w:pPr>
      <w:pStyle w:val="OrderHeader"/>
    </w:pPr>
    <w:r>
      <w:t xml:space="preserve">ORDER NO.  </w:t>
    </w:r>
    <w:r w:rsidR="007A0C3D">
      <w:fldChar w:fldCharType="begin"/>
    </w:r>
    <w:r w:rsidR="007A0C3D">
      <w:instrText xml:space="preserve"> REF OrderNo0320 </w:instrText>
    </w:r>
    <w:r w:rsidR="007A0C3D">
      <w:fldChar w:fldCharType="separate"/>
    </w:r>
    <w:r w:rsidR="007A0C3D">
      <w:t>PSC-15-0320-PCO-SU</w:t>
    </w:r>
    <w:r w:rsidR="007A0C3D">
      <w:fldChar w:fldCharType="end"/>
    </w:r>
  </w:p>
  <w:p w:rsidR="00E10847" w:rsidRDefault="00E10847">
    <w:pPr>
      <w:pStyle w:val="OrderHeader"/>
    </w:pPr>
    <w:r>
      <w:t>DOCKET NO.  150102-SU</w:t>
    </w:r>
  </w:p>
  <w:p w:rsidR="00E10847" w:rsidRDefault="00E108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0C3D">
      <w:rPr>
        <w:rStyle w:val="PageNumber"/>
        <w:noProof/>
      </w:rPr>
      <w:t>14</w:t>
    </w:r>
    <w:r>
      <w:rPr>
        <w:rStyle w:val="PageNumber"/>
      </w:rPr>
      <w:fldChar w:fldCharType="end"/>
    </w:r>
  </w:p>
  <w:p w:rsidR="00E10847" w:rsidRDefault="00E10847">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
    <w:nsid w:val="6B782A05"/>
    <w:multiLevelType w:val="hybridMultilevel"/>
    <w:tmpl w:val="C446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02-SU"/>
  </w:docVars>
  <w:rsids>
    <w:rsidRoot w:val="00017692"/>
    <w:rsid w:val="000022B8"/>
    <w:rsid w:val="00017692"/>
    <w:rsid w:val="00053AB9"/>
    <w:rsid w:val="00056229"/>
    <w:rsid w:val="00065FC2"/>
    <w:rsid w:val="00090AFC"/>
    <w:rsid w:val="000B0E05"/>
    <w:rsid w:val="000D06E8"/>
    <w:rsid w:val="000E344D"/>
    <w:rsid w:val="000E4027"/>
    <w:rsid w:val="000F3B2C"/>
    <w:rsid w:val="000F7BE3"/>
    <w:rsid w:val="00116AD3"/>
    <w:rsid w:val="00126593"/>
    <w:rsid w:val="00142A96"/>
    <w:rsid w:val="00187E32"/>
    <w:rsid w:val="00194E81"/>
    <w:rsid w:val="001A33C9"/>
    <w:rsid w:val="001D008A"/>
    <w:rsid w:val="001D6D44"/>
    <w:rsid w:val="001E60D2"/>
    <w:rsid w:val="002002ED"/>
    <w:rsid w:val="0022721A"/>
    <w:rsid w:val="00230BB9"/>
    <w:rsid w:val="00270A77"/>
    <w:rsid w:val="00274E73"/>
    <w:rsid w:val="00286C9C"/>
    <w:rsid w:val="002A11AC"/>
    <w:rsid w:val="002A6F30"/>
    <w:rsid w:val="002C7B20"/>
    <w:rsid w:val="002D7D15"/>
    <w:rsid w:val="002F6673"/>
    <w:rsid w:val="00303FDE"/>
    <w:rsid w:val="003140E8"/>
    <w:rsid w:val="003231C7"/>
    <w:rsid w:val="00331ED0"/>
    <w:rsid w:val="0035495B"/>
    <w:rsid w:val="003744F5"/>
    <w:rsid w:val="00387496"/>
    <w:rsid w:val="00390DD8"/>
    <w:rsid w:val="00394DC6"/>
    <w:rsid w:val="00397C3E"/>
    <w:rsid w:val="003D4CCA"/>
    <w:rsid w:val="003D6416"/>
    <w:rsid w:val="003D7B5F"/>
    <w:rsid w:val="003E1D48"/>
    <w:rsid w:val="00457DC7"/>
    <w:rsid w:val="00472BCC"/>
    <w:rsid w:val="004A25CD"/>
    <w:rsid w:val="004A26CC"/>
    <w:rsid w:val="004B2108"/>
    <w:rsid w:val="004B3A2B"/>
    <w:rsid w:val="004D2D1B"/>
    <w:rsid w:val="004F2DDE"/>
    <w:rsid w:val="0050097F"/>
    <w:rsid w:val="00514B1F"/>
    <w:rsid w:val="005538DD"/>
    <w:rsid w:val="00556A10"/>
    <w:rsid w:val="005963C2"/>
    <w:rsid w:val="005B45F7"/>
    <w:rsid w:val="005B63EA"/>
    <w:rsid w:val="00604A9F"/>
    <w:rsid w:val="00660774"/>
    <w:rsid w:val="00665CC7"/>
    <w:rsid w:val="006A0BF3"/>
    <w:rsid w:val="006A4389"/>
    <w:rsid w:val="006B0DA6"/>
    <w:rsid w:val="006C547E"/>
    <w:rsid w:val="006D4730"/>
    <w:rsid w:val="00704C5D"/>
    <w:rsid w:val="00733B6B"/>
    <w:rsid w:val="0076170F"/>
    <w:rsid w:val="0076669C"/>
    <w:rsid w:val="007865E9"/>
    <w:rsid w:val="00792383"/>
    <w:rsid w:val="0079260C"/>
    <w:rsid w:val="007A0C3D"/>
    <w:rsid w:val="007D3D20"/>
    <w:rsid w:val="007E3AFD"/>
    <w:rsid w:val="00804E7A"/>
    <w:rsid w:val="00805FBB"/>
    <w:rsid w:val="008169A4"/>
    <w:rsid w:val="008278FE"/>
    <w:rsid w:val="00832598"/>
    <w:rsid w:val="0083397E"/>
    <w:rsid w:val="0083534B"/>
    <w:rsid w:val="00863A66"/>
    <w:rsid w:val="00874429"/>
    <w:rsid w:val="00883D9A"/>
    <w:rsid w:val="008919EF"/>
    <w:rsid w:val="008C3E4F"/>
    <w:rsid w:val="008C6A5B"/>
    <w:rsid w:val="008E26A5"/>
    <w:rsid w:val="008E42D2"/>
    <w:rsid w:val="009040EE"/>
    <w:rsid w:val="009057FD"/>
    <w:rsid w:val="009129B6"/>
    <w:rsid w:val="00922A7F"/>
    <w:rsid w:val="00923A5E"/>
    <w:rsid w:val="0096713A"/>
    <w:rsid w:val="00973164"/>
    <w:rsid w:val="00994100"/>
    <w:rsid w:val="009D4C29"/>
    <w:rsid w:val="00A62DAB"/>
    <w:rsid w:val="00A726A6"/>
    <w:rsid w:val="00A97535"/>
    <w:rsid w:val="00AA73F1"/>
    <w:rsid w:val="00AB0E1A"/>
    <w:rsid w:val="00AB1A30"/>
    <w:rsid w:val="00AD11B7"/>
    <w:rsid w:val="00AD1ED3"/>
    <w:rsid w:val="00AE0052"/>
    <w:rsid w:val="00B0777D"/>
    <w:rsid w:val="00B4057A"/>
    <w:rsid w:val="00B40894"/>
    <w:rsid w:val="00B42CF2"/>
    <w:rsid w:val="00B45E75"/>
    <w:rsid w:val="00B50876"/>
    <w:rsid w:val="00B55EE5"/>
    <w:rsid w:val="00B60FA1"/>
    <w:rsid w:val="00B73DE6"/>
    <w:rsid w:val="00B86EF0"/>
    <w:rsid w:val="00B933FC"/>
    <w:rsid w:val="00B97900"/>
    <w:rsid w:val="00BA44A8"/>
    <w:rsid w:val="00BF6691"/>
    <w:rsid w:val="00C028FC"/>
    <w:rsid w:val="00C316EA"/>
    <w:rsid w:val="00C66692"/>
    <w:rsid w:val="00C91123"/>
    <w:rsid w:val="00CA71FF"/>
    <w:rsid w:val="00CB5276"/>
    <w:rsid w:val="00CB68D7"/>
    <w:rsid w:val="00CC5B92"/>
    <w:rsid w:val="00CC7E68"/>
    <w:rsid w:val="00CD7132"/>
    <w:rsid w:val="00D30B48"/>
    <w:rsid w:val="00D46FAA"/>
    <w:rsid w:val="00D57BB2"/>
    <w:rsid w:val="00D80E8E"/>
    <w:rsid w:val="00D8560E"/>
    <w:rsid w:val="00D8758F"/>
    <w:rsid w:val="00DB7C61"/>
    <w:rsid w:val="00DC1D94"/>
    <w:rsid w:val="00DE057F"/>
    <w:rsid w:val="00DE2082"/>
    <w:rsid w:val="00DE2289"/>
    <w:rsid w:val="00E03DAF"/>
    <w:rsid w:val="00E04410"/>
    <w:rsid w:val="00E10847"/>
    <w:rsid w:val="00E11351"/>
    <w:rsid w:val="00E745E0"/>
    <w:rsid w:val="00EA172C"/>
    <w:rsid w:val="00EA259B"/>
    <w:rsid w:val="00EA35A3"/>
    <w:rsid w:val="00EA3E6A"/>
    <w:rsid w:val="00EB18EF"/>
    <w:rsid w:val="00EE17DF"/>
    <w:rsid w:val="00EE6D8E"/>
    <w:rsid w:val="00EF4621"/>
    <w:rsid w:val="00F277B6"/>
    <w:rsid w:val="00F54380"/>
    <w:rsid w:val="00F54B47"/>
    <w:rsid w:val="00FA6EFD"/>
    <w:rsid w:val="00FB74EA"/>
    <w:rsid w:val="00FD2C9E"/>
    <w:rsid w:val="00FD4786"/>
    <w:rsid w:val="00FD616C"/>
    <w:rsid w:val="00FF0A00"/>
    <w:rsid w:val="00FF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rsid w:val="00017692"/>
    <w:pPr>
      <w:keepNext w:val="0"/>
    </w:pPr>
    <w:rPr>
      <w:rFonts w:ascii="Arial" w:hAnsi="Arial"/>
    </w:rPr>
  </w:style>
  <w:style w:type="character" w:customStyle="1" w:styleId="IssueHeadingChar">
    <w:name w:val="Issue Heading Char"/>
    <w:link w:val="IssueHeading"/>
    <w:rsid w:val="00017692"/>
    <w:rPr>
      <w:rFonts w:ascii="Arial" w:hAnsi="Arial" w:cs="Arial"/>
      <w:bCs/>
      <w:kern w:val="32"/>
      <w:sz w:val="24"/>
      <w:szCs w:val="32"/>
    </w:rPr>
  </w:style>
  <w:style w:type="paragraph" w:customStyle="1" w:styleId="RecommendationMajorSectionHeading">
    <w:name w:val="Recommendation Major Section Heading"/>
    <w:basedOn w:val="Heading1"/>
    <w:next w:val="BodyText"/>
    <w:rsid w:val="00017692"/>
    <w:pPr>
      <w:jc w:val="center"/>
    </w:pPr>
    <w:rPr>
      <w:rFonts w:ascii="Arial" w:hAnsi="Arial"/>
      <w:b/>
    </w:rPr>
  </w:style>
  <w:style w:type="paragraph" w:customStyle="1" w:styleId="IssueSubsectionHeading">
    <w:name w:val="Issue Subsection Heading"/>
    <w:basedOn w:val="Heading2"/>
    <w:next w:val="BodyText"/>
    <w:link w:val="IssueSubsectionHeadingChar"/>
    <w:rsid w:val="00017692"/>
    <w:pPr>
      <w:keepNext w:val="0"/>
    </w:pPr>
    <w:rPr>
      <w:rFonts w:ascii="Arial" w:hAnsi="Arial"/>
    </w:rPr>
  </w:style>
  <w:style w:type="character" w:customStyle="1" w:styleId="IssueSubsectionHeadingChar">
    <w:name w:val="Issue Subsection Heading Char"/>
    <w:link w:val="IssueSubsectionHeading"/>
    <w:rsid w:val="00017692"/>
    <w:rPr>
      <w:rFonts w:ascii="Arial" w:hAnsi="Arial" w:cs="Arial"/>
      <w:bCs/>
      <w:iCs/>
      <w:sz w:val="24"/>
      <w:szCs w:val="28"/>
    </w:rPr>
  </w:style>
  <w:style w:type="character" w:customStyle="1" w:styleId="FootnoteTextChar">
    <w:name w:val="Footnote Text Char"/>
    <w:link w:val="FootnoteText"/>
    <w:rsid w:val="00017692"/>
  </w:style>
  <w:style w:type="paragraph" w:styleId="BalloonText">
    <w:name w:val="Balloon Text"/>
    <w:basedOn w:val="Normal"/>
    <w:link w:val="BalloonTextChar"/>
    <w:rsid w:val="000E4027"/>
    <w:rPr>
      <w:rFonts w:ascii="Tahoma" w:hAnsi="Tahoma" w:cs="Tahoma"/>
      <w:sz w:val="16"/>
      <w:szCs w:val="16"/>
    </w:rPr>
  </w:style>
  <w:style w:type="character" w:customStyle="1" w:styleId="BalloonTextChar">
    <w:name w:val="Balloon Text Char"/>
    <w:basedOn w:val="DefaultParagraphFont"/>
    <w:link w:val="BalloonText"/>
    <w:rsid w:val="000E40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rsid w:val="00017692"/>
    <w:pPr>
      <w:keepNext w:val="0"/>
    </w:pPr>
    <w:rPr>
      <w:rFonts w:ascii="Arial" w:hAnsi="Arial"/>
    </w:rPr>
  </w:style>
  <w:style w:type="character" w:customStyle="1" w:styleId="IssueHeadingChar">
    <w:name w:val="Issue Heading Char"/>
    <w:link w:val="IssueHeading"/>
    <w:rsid w:val="00017692"/>
    <w:rPr>
      <w:rFonts w:ascii="Arial" w:hAnsi="Arial" w:cs="Arial"/>
      <w:bCs/>
      <w:kern w:val="32"/>
      <w:sz w:val="24"/>
      <w:szCs w:val="32"/>
    </w:rPr>
  </w:style>
  <w:style w:type="paragraph" w:customStyle="1" w:styleId="RecommendationMajorSectionHeading">
    <w:name w:val="Recommendation Major Section Heading"/>
    <w:basedOn w:val="Heading1"/>
    <w:next w:val="BodyText"/>
    <w:rsid w:val="00017692"/>
    <w:pPr>
      <w:jc w:val="center"/>
    </w:pPr>
    <w:rPr>
      <w:rFonts w:ascii="Arial" w:hAnsi="Arial"/>
      <w:b/>
    </w:rPr>
  </w:style>
  <w:style w:type="paragraph" w:customStyle="1" w:styleId="IssueSubsectionHeading">
    <w:name w:val="Issue Subsection Heading"/>
    <w:basedOn w:val="Heading2"/>
    <w:next w:val="BodyText"/>
    <w:link w:val="IssueSubsectionHeadingChar"/>
    <w:rsid w:val="00017692"/>
    <w:pPr>
      <w:keepNext w:val="0"/>
    </w:pPr>
    <w:rPr>
      <w:rFonts w:ascii="Arial" w:hAnsi="Arial"/>
    </w:rPr>
  </w:style>
  <w:style w:type="character" w:customStyle="1" w:styleId="IssueSubsectionHeadingChar">
    <w:name w:val="Issue Subsection Heading Char"/>
    <w:link w:val="IssueSubsectionHeading"/>
    <w:rsid w:val="00017692"/>
    <w:rPr>
      <w:rFonts w:ascii="Arial" w:hAnsi="Arial" w:cs="Arial"/>
      <w:bCs/>
      <w:iCs/>
      <w:sz w:val="24"/>
      <w:szCs w:val="28"/>
    </w:rPr>
  </w:style>
  <w:style w:type="character" w:customStyle="1" w:styleId="FootnoteTextChar">
    <w:name w:val="Footnote Text Char"/>
    <w:link w:val="FootnoteText"/>
    <w:rsid w:val="00017692"/>
  </w:style>
  <w:style w:type="paragraph" w:styleId="BalloonText">
    <w:name w:val="Balloon Text"/>
    <w:basedOn w:val="Normal"/>
    <w:link w:val="BalloonTextChar"/>
    <w:rsid w:val="000E4027"/>
    <w:rPr>
      <w:rFonts w:ascii="Tahoma" w:hAnsi="Tahoma" w:cs="Tahoma"/>
      <w:sz w:val="16"/>
      <w:szCs w:val="16"/>
    </w:rPr>
  </w:style>
  <w:style w:type="character" w:customStyle="1" w:styleId="BalloonTextChar">
    <w:name w:val="Balloon Text Char"/>
    <w:basedOn w:val="DefaultParagraphFont"/>
    <w:link w:val="BalloonText"/>
    <w:rsid w:val="000E4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1CB1C-39A9-4C5E-95B9-F8D6E34A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14</Pages>
  <Words>4152</Words>
  <Characters>24680</Characters>
  <Application>Microsoft Office Word</Application>
  <DocSecurity>0</DocSecurity>
  <Lines>205</Lines>
  <Paragraphs>57</Paragraphs>
  <ScaleCrop>false</ScaleCrop>
  <Company/>
  <LinksUpToDate>false</LinksUpToDate>
  <CharactersWithSpaces>28775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2015-08-10T13:50:00Z</dcterms:created>
  <dcterms:modified xsi:type="dcterms:W3CDTF">2015-08-10T14:04:00Z</dcterms:modified>
</cp:coreProperties>
</file>