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90EFD" w:rsidP="00490EFD">
      <w:pPr>
        <w:pStyle w:val="OrderHeading"/>
      </w:pPr>
      <w:r>
        <w:t>BEFORE THE FLORIDA PUBLIC SERVICE COMMISSION</w:t>
      </w:r>
    </w:p>
    <w:p w:rsidR="00490EFD" w:rsidRDefault="00490EFD" w:rsidP="00490EFD">
      <w:pPr>
        <w:pStyle w:val="OrderHeading"/>
      </w:pPr>
    </w:p>
    <w:p w:rsidR="00490EFD" w:rsidRDefault="00490EFD" w:rsidP="00490EF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90EFD" w:rsidRPr="00C63FCF" w:rsidTr="00AE372D">
        <w:trPr>
          <w:trHeight w:val="828"/>
        </w:trPr>
        <w:tc>
          <w:tcPr>
            <w:tcW w:w="4788" w:type="dxa"/>
            <w:tcBorders>
              <w:bottom w:val="single" w:sz="8" w:space="0" w:color="auto"/>
              <w:right w:val="double" w:sz="6" w:space="0" w:color="auto"/>
            </w:tcBorders>
            <w:shd w:val="clear" w:color="auto" w:fill="auto"/>
          </w:tcPr>
          <w:p w:rsidR="00490EFD" w:rsidRDefault="00490EFD" w:rsidP="00AE372D">
            <w:pPr>
              <w:pStyle w:val="OrderBody"/>
              <w:tabs>
                <w:tab w:val="center" w:pos="4320"/>
                <w:tab w:val="right" w:pos="8640"/>
              </w:tabs>
              <w:jc w:val="left"/>
            </w:pPr>
            <w:r>
              <w:t xml:space="preserve">In re: </w:t>
            </w:r>
            <w:bookmarkStart w:id="0" w:name="SSInRe"/>
            <w:bookmarkEnd w:id="0"/>
            <w:r>
              <w:t>Petition for approval of demand-side management plan by Florida Public Utilities Company.</w:t>
            </w:r>
          </w:p>
        </w:tc>
        <w:tc>
          <w:tcPr>
            <w:tcW w:w="4788" w:type="dxa"/>
            <w:tcBorders>
              <w:left w:val="double" w:sz="6" w:space="0" w:color="auto"/>
            </w:tcBorders>
            <w:shd w:val="clear" w:color="auto" w:fill="auto"/>
          </w:tcPr>
          <w:p w:rsidR="00490EFD" w:rsidRDefault="00490EFD" w:rsidP="00490EFD">
            <w:pPr>
              <w:pStyle w:val="OrderBody"/>
            </w:pPr>
            <w:r>
              <w:t xml:space="preserve">DOCKET NO. </w:t>
            </w:r>
            <w:bookmarkStart w:id="1" w:name="SSDocketNo"/>
            <w:bookmarkEnd w:id="1"/>
            <w:r>
              <w:t>150089-EG</w:t>
            </w:r>
          </w:p>
          <w:p w:rsidR="00490EFD" w:rsidRDefault="00490EFD" w:rsidP="00AE372D">
            <w:pPr>
              <w:pStyle w:val="OrderBody"/>
              <w:tabs>
                <w:tab w:val="center" w:pos="4320"/>
                <w:tab w:val="right" w:pos="8640"/>
              </w:tabs>
              <w:jc w:val="left"/>
            </w:pPr>
            <w:r>
              <w:t xml:space="preserve">ORDER NO. </w:t>
            </w:r>
            <w:bookmarkStart w:id="2" w:name="OrderNo0326"/>
            <w:r w:rsidR="008D2E48">
              <w:t>PSC-15-0326-PAA-EG</w:t>
            </w:r>
            <w:bookmarkEnd w:id="2"/>
          </w:p>
          <w:p w:rsidR="00490EFD" w:rsidRDefault="00490EFD" w:rsidP="00AE372D">
            <w:pPr>
              <w:pStyle w:val="OrderBody"/>
              <w:tabs>
                <w:tab w:val="center" w:pos="4320"/>
                <w:tab w:val="right" w:pos="8640"/>
              </w:tabs>
              <w:jc w:val="left"/>
            </w:pPr>
            <w:r>
              <w:t xml:space="preserve">ISSUED: </w:t>
            </w:r>
            <w:r w:rsidR="008D2E48">
              <w:t>August 11, 2015</w:t>
            </w:r>
          </w:p>
        </w:tc>
      </w:tr>
    </w:tbl>
    <w:p w:rsidR="00490EFD" w:rsidRDefault="00490EFD" w:rsidP="00490EFD"/>
    <w:p w:rsidR="00490EFD" w:rsidRDefault="00490EFD" w:rsidP="00490EFD"/>
    <w:p w:rsidR="00490EFD" w:rsidRPr="00E46E1F" w:rsidRDefault="00490EFD">
      <w:pPr>
        <w:ind w:firstLine="720"/>
        <w:jc w:val="both"/>
      </w:pPr>
      <w:bookmarkStart w:id="3" w:name="Commissioners"/>
      <w:bookmarkEnd w:id="3"/>
      <w:r w:rsidRPr="00E46E1F">
        <w:t>The following Commissioners participated in the disposition of this matter:</w:t>
      </w:r>
    </w:p>
    <w:p w:rsidR="00490EFD" w:rsidRPr="00E46E1F" w:rsidRDefault="00490EFD"/>
    <w:p w:rsidR="00490EFD" w:rsidRDefault="00490EFD">
      <w:pPr>
        <w:jc w:val="center"/>
      </w:pPr>
      <w:r>
        <w:t>ART GRAHAM</w:t>
      </w:r>
      <w:r w:rsidRPr="00E46E1F">
        <w:t>, Chairman</w:t>
      </w:r>
    </w:p>
    <w:p w:rsidR="00490EFD" w:rsidRPr="00E46E1F" w:rsidRDefault="00490EFD">
      <w:pPr>
        <w:jc w:val="center"/>
      </w:pPr>
      <w:r w:rsidRPr="00E46E1F">
        <w:t>LISA POLAK EDGAR</w:t>
      </w:r>
    </w:p>
    <w:p w:rsidR="00490EFD" w:rsidRDefault="00490EFD">
      <w:pPr>
        <w:jc w:val="center"/>
      </w:pPr>
      <w:r>
        <w:t>RONALD A. BRISÉ</w:t>
      </w:r>
    </w:p>
    <w:p w:rsidR="00490EFD" w:rsidRDefault="00490EFD">
      <w:pPr>
        <w:jc w:val="center"/>
      </w:pPr>
      <w:r>
        <w:t>JULIE I. BROWN</w:t>
      </w:r>
    </w:p>
    <w:p w:rsidR="00490EFD" w:rsidRDefault="00490EFD">
      <w:pPr>
        <w:jc w:val="center"/>
      </w:pPr>
      <w:r>
        <w:t>JIMMY PATRONIS</w:t>
      </w:r>
    </w:p>
    <w:p w:rsidR="00CB5276" w:rsidRDefault="00CB5276">
      <w:pPr>
        <w:pStyle w:val="OrderBody"/>
      </w:pPr>
    </w:p>
    <w:p w:rsidR="00490EFD" w:rsidRDefault="00490EFD" w:rsidP="00490EFD">
      <w:pPr>
        <w:pStyle w:val="OrderBody"/>
      </w:pPr>
    </w:p>
    <w:p w:rsidR="00490EFD" w:rsidRDefault="00490EFD" w:rsidP="00490EFD">
      <w:pPr>
        <w:pStyle w:val="OrderBody"/>
      </w:pPr>
    </w:p>
    <w:bookmarkStart w:id="4" w:name="OrderText"/>
    <w:bookmarkEnd w:id="4"/>
    <w:p w:rsidR="00490EFD" w:rsidRPr="003E4B2D" w:rsidRDefault="00490EFD">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490EFD" w:rsidRPr="00AE372D" w:rsidRDefault="00490EFD">
      <w:pPr>
        <w:pStyle w:val="OrderBody"/>
        <w:jc w:val="center"/>
        <w:rPr>
          <w:u w:val="single"/>
        </w:rPr>
      </w:pPr>
      <w:r w:rsidRPr="003E4B2D">
        <w:rPr>
          <w:u w:val="single"/>
        </w:rPr>
        <w:t>ORDER</w:t>
      </w:r>
      <w:bookmarkStart w:id="5" w:name="OrderTitle"/>
      <w:r>
        <w:rPr>
          <w:u w:val="single"/>
        </w:rPr>
        <w:t xml:space="preserve"> </w:t>
      </w:r>
      <w:bookmarkEnd w:id="5"/>
      <w:r w:rsidR="00AE372D">
        <w:rPr>
          <w:u w:val="single"/>
        </w:rPr>
        <w:t>APPROVING FLORIDA PUBLIC UTILITIES</w:t>
      </w:r>
      <w:r w:rsidR="005116DD">
        <w:rPr>
          <w:u w:val="single"/>
        </w:rPr>
        <w:t xml:space="preserve"> COMPANY’S</w:t>
      </w:r>
      <w:r w:rsidR="00AE372D">
        <w:rPr>
          <w:u w:val="single"/>
        </w:rPr>
        <w:t xml:space="preserve"> DEMAND-SIDE MANAGEMENT PLAN</w:t>
      </w:r>
    </w:p>
    <w:p w:rsidR="00490EFD" w:rsidRPr="003E4B2D" w:rsidRDefault="00490EFD">
      <w:pPr>
        <w:pStyle w:val="OrderBody"/>
      </w:pPr>
    </w:p>
    <w:p w:rsidR="00490EFD" w:rsidRPr="003E4B2D" w:rsidRDefault="00490EFD">
      <w:pPr>
        <w:pStyle w:val="OrderBody"/>
      </w:pPr>
    </w:p>
    <w:p w:rsidR="00490EFD" w:rsidRPr="003E4B2D" w:rsidRDefault="00490EFD">
      <w:pPr>
        <w:pStyle w:val="OrderBody"/>
      </w:pPr>
      <w:r w:rsidRPr="003E4B2D">
        <w:t>BY THE COMMISSION:</w:t>
      </w:r>
    </w:p>
    <w:p w:rsidR="00490EFD" w:rsidRPr="003E4B2D" w:rsidRDefault="00490EFD">
      <w:pPr>
        <w:pStyle w:val="OrderBody"/>
      </w:pPr>
    </w:p>
    <w:p w:rsidR="00490EFD" w:rsidRDefault="00490EFD">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w:t>
      </w:r>
      <w:r w:rsidR="009C5EBA">
        <w:t>29, Florida Administrative Code (F.A.C.).</w:t>
      </w:r>
    </w:p>
    <w:p w:rsidR="00CB5276" w:rsidRDefault="00CB5276" w:rsidP="00490EFD"/>
    <w:p w:rsidR="00490EFD" w:rsidRPr="00AE372D" w:rsidRDefault="00490EFD" w:rsidP="00490EFD">
      <w:pPr>
        <w:keepNext/>
        <w:spacing w:after="240"/>
        <w:jc w:val="center"/>
        <w:outlineLvl w:val="0"/>
        <w:rPr>
          <w:b/>
          <w:bCs/>
          <w:kern w:val="32"/>
          <w:szCs w:val="32"/>
          <w:u w:val="single"/>
        </w:rPr>
      </w:pPr>
      <w:bookmarkStart w:id="6" w:name="CaseBackground"/>
      <w:r w:rsidRPr="00AE372D">
        <w:rPr>
          <w:b/>
          <w:bCs/>
          <w:kern w:val="32"/>
          <w:szCs w:val="32"/>
          <w:u w:val="single"/>
        </w:rPr>
        <w:t>Background</w:t>
      </w:r>
      <w:r w:rsidRPr="00AE372D">
        <w:rPr>
          <w:b/>
          <w:bCs/>
          <w:kern w:val="32"/>
          <w:szCs w:val="32"/>
          <w:u w:val="single"/>
        </w:rPr>
        <w:fldChar w:fldCharType="begin"/>
      </w:r>
      <w:r w:rsidRPr="00AE372D">
        <w:rPr>
          <w:b/>
          <w:bCs/>
          <w:kern w:val="32"/>
          <w:szCs w:val="32"/>
          <w:u w:val="single"/>
        </w:rPr>
        <w:instrText xml:space="preserve"> TC  "</w:instrText>
      </w:r>
      <w:r w:rsidRPr="00AE372D">
        <w:rPr>
          <w:b/>
          <w:bCs/>
          <w:kern w:val="32"/>
          <w:szCs w:val="32"/>
          <w:u w:val="single"/>
        </w:rPr>
        <w:tab/>
      </w:r>
      <w:bookmarkStart w:id="7" w:name="_Toc94516455"/>
      <w:r w:rsidRPr="00AE372D">
        <w:rPr>
          <w:b/>
          <w:bCs/>
          <w:kern w:val="32"/>
          <w:szCs w:val="32"/>
          <w:u w:val="single"/>
        </w:rPr>
        <w:instrText>Case Background</w:instrText>
      </w:r>
      <w:bookmarkEnd w:id="7"/>
      <w:r w:rsidRPr="00AE372D">
        <w:rPr>
          <w:b/>
          <w:bCs/>
          <w:kern w:val="32"/>
          <w:szCs w:val="32"/>
          <w:u w:val="single"/>
        </w:rPr>
        <w:instrText xml:space="preserve">" \l 1 </w:instrText>
      </w:r>
      <w:r w:rsidRPr="00AE372D">
        <w:rPr>
          <w:b/>
          <w:bCs/>
          <w:kern w:val="32"/>
          <w:szCs w:val="32"/>
          <w:u w:val="single"/>
        </w:rPr>
        <w:fldChar w:fldCharType="end"/>
      </w:r>
    </w:p>
    <w:p w:rsidR="00490EFD" w:rsidRPr="00490EFD" w:rsidRDefault="00490EFD" w:rsidP="00AE372D">
      <w:pPr>
        <w:autoSpaceDE w:val="0"/>
        <w:autoSpaceDN w:val="0"/>
        <w:adjustRightInd w:val="0"/>
        <w:spacing w:after="240"/>
        <w:ind w:firstLine="720"/>
        <w:jc w:val="both"/>
      </w:pPr>
      <w:r w:rsidRPr="00490EFD">
        <w:t xml:space="preserve">By Order No. PSC-13-0645-PAA-EU, issued December 4, 2013, </w:t>
      </w:r>
      <w:r w:rsidR="00AE372D">
        <w:t xml:space="preserve">we </w:t>
      </w:r>
      <w:r w:rsidRPr="00490EFD">
        <w:t>approved the use of a proxy methodology to establish numeric demand-side management (DSM) goals for Florida Public Utilities Company (FPUC).</w:t>
      </w:r>
      <w:r w:rsidRPr="00490EFD">
        <w:rPr>
          <w:vertAlign w:val="superscript"/>
        </w:rPr>
        <w:footnoteReference w:id="1"/>
      </w:r>
      <w:r w:rsidRPr="00490EFD">
        <w:t xml:space="preserve"> By using this proxy methodology, FPUC was able to avoid costs associated with performing the analyses required by the minimum testimony requirements which would have represented a hardship to their customers. FPUC was instructed to file numeric goals based upon the proxy utility, Gulf Power Company, within 10 days of the Final Order establishing goals for the 2015 through 2024 period. </w:t>
      </w:r>
      <w:r w:rsidR="003530C5">
        <w:t>We</w:t>
      </w:r>
      <w:r w:rsidRPr="00490EFD">
        <w:t xml:space="preserve"> granted </w:t>
      </w:r>
      <w:r w:rsidR="003530C5">
        <w:t xml:space="preserve">our </w:t>
      </w:r>
      <w:r w:rsidRPr="00490EFD">
        <w:t>staff administrative authority to validate the calculations of the numeric conservation goals.</w:t>
      </w:r>
    </w:p>
    <w:p w:rsidR="00490EFD" w:rsidRPr="00490EFD" w:rsidRDefault="00490EFD" w:rsidP="003530C5">
      <w:pPr>
        <w:spacing w:after="240"/>
        <w:ind w:firstLine="720"/>
        <w:jc w:val="both"/>
      </w:pPr>
      <w:r w:rsidRPr="00490EFD">
        <w:lastRenderedPageBreak/>
        <w:t xml:space="preserve">By Order No. PSC-14-0696-FOF-EU, issued December 16, 2014, </w:t>
      </w:r>
      <w:r w:rsidR="003530C5">
        <w:t>we</w:t>
      </w:r>
      <w:r w:rsidRPr="00490EFD">
        <w:t xml:space="preserve"> established annual numeric goals for FPUC’s proxy.</w:t>
      </w:r>
      <w:r w:rsidRPr="00490EFD">
        <w:rPr>
          <w:vertAlign w:val="superscript"/>
        </w:rPr>
        <w:footnoteReference w:id="2"/>
      </w:r>
      <w:r w:rsidRPr="00490EFD">
        <w:t xml:space="preserve"> On December 23, 2014, FPUC filed its calculation of numeric conservation goals based upon its proxy utility. FPUC subsequently filed a revised calculation to correct rounding errors identified by staff.</w:t>
      </w:r>
    </w:p>
    <w:p w:rsidR="00490EFD" w:rsidRPr="00490EFD" w:rsidRDefault="00490EFD" w:rsidP="003530C5">
      <w:pPr>
        <w:autoSpaceDE w:val="0"/>
        <w:autoSpaceDN w:val="0"/>
        <w:adjustRightInd w:val="0"/>
        <w:spacing w:after="240"/>
        <w:ind w:firstLine="720"/>
        <w:jc w:val="both"/>
      </w:pPr>
      <w:r w:rsidRPr="00490EFD">
        <w:t xml:space="preserve">On December 29, 2014, </w:t>
      </w:r>
      <w:r w:rsidR="003530C5">
        <w:t xml:space="preserve">our </w:t>
      </w:r>
      <w:r w:rsidRPr="00490EFD">
        <w:t>staff administratively approved FPUC’s numeric DSM goals for the period 2015 through 2024.</w:t>
      </w:r>
      <w:r w:rsidRPr="00490EFD">
        <w:rPr>
          <w:vertAlign w:val="superscript"/>
        </w:rPr>
        <w:footnoteReference w:id="3"/>
      </w:r>
      <w:r w:rsidRPr="00490EFD">
        <w:t xml:space="preserve"> The DSM goals were established for both FPUC’s residential and commercial/industrial customer classes for three categories: summer peak demand, winter peak demand, and annual energy consumption.</w:t>
      </w:r>
    </w:p>
    <w:p w:rsidR="00490EFD" w:rsidRPr="00490EFD" w:rsidRDefault="00490EFD" w:rsidP="003530C5">
      <w:pPr>
        <w:autoSpaceDE w:val="0"/>
        <w:autoSpaceDN w:val="0"/>
        <w:adjustRightInd w:val="0"/>
        <w:spacing w:after="240"/>
        <w:ind w:firstLine="720"/>
        <w:jc w:val="both"/>
      </w:pPr>
      <w:r w:rsidRPr="00490EFD">
        <w:t xml:space="preserve">Rule 25-17.0021(4), F.A.C., requires a utility to file DSM programs for </w:t>
      </w:r>
      <w:r w:rsidR="003530C5">
        <w:t>our</w:t>
      </w:r>
      <w:r w:rsidRPr="00490EFD">
        <w:t xml:space="preserve"> approval no later than 90 days from when goals are established. On March 16, 2015, FPUC filed a petition requesting approval of its DSM Plan. As part of this filing, FPUC provided a cost-effectiveness analysis of the proposed programs pursuant to Rule 25-17.008, F.A.C. On April 21, 2015, FPUC filed a revised DSM Plan that corrected several calculation errors.</w:t>
      </w:r>
    </w:p>
    <w:p w:rsidR="00490EFD" w:rsidRPr="00490EFD" w:rsidRDefault="003530C5" w:rsidP="003530C5">
      <w:pPr>
        <w:ind w:firstLine="720"/>
        <w:jc w:val="both"/>
      </w:pPr>
      <w:r>
        <w:t>We have</w:t>
      </w:r>
      <w:r w:rsidR="00490EFD" w:rsidRPr="00490EFD">
        <w:t xml:space="preserve"> jurisdiction over this matter pursuant to Sections 366.80 through 366.83 and 403.519, Florida Statutes (F.S.), collectively known as the Florida Energy Efficiency and Conservation Act (FEECA).</w:t>
      </w:r>
    </w:p>
    <w:bookmarkEnd w:id="6"/>
    <w:p w:rsidR="003530C5" w:rsidRPr="003530C5" w:rsidRDefault="009C5EBA" w:rsidP="003530C5">
      <w:pPr>
        <w:spacing w:after="240"/>
        <w:jc w:val="center"/>
        <w:outlineLvl w:val="0"/>
        <w:rPr>
          <w:b/>
          <w:bCs/>
          <w:kern w:val="32"/>
          <w:szCs w:val="32"/>
          <w:u w:val="single"/>
        </w:rPr>
      </w:pPr>
      <w:r>
        <w:rPr>
          <w:b/>
          <w:bCs/>
          <w:kern w:val="32"/>
          <w:szCs w:val="32"/>
          <w:u w:val="single"/>
        </w:rPr>
        <w:t>Decision</w:t>
      </w:r>
    </w:p>
    <w:p w:rsidR="003530C5" w:rsidRDefault="00490EFD" w:rsidP="003530C5">
      <w:pPr>
        <w:spacing w:after="240"/>
        <w:ind w:firstLine="720"/>
        <w:jc w:val="both"/>
      </w:pPr>
      <w:r w:rsidRPr="00490EFD">
        <w:t>The criteria used to review the appropriateness of DSM programs are: 1) whether the program advances the policy objectives of FEECA and its implementing rules, 2) whether the program is directly monitorable and yields measurable results, and 3) whether the program is cost-effective.</w:t>
      </w:r>
      <w:r w:rsidRPr="00490EFD">
        <w:rPr>
          <w:vertAlign w:val="superscript"/>
        </w:rPr>
        <w:footnoteReference w:id="4"/>
      </w:r>
      <w:r w:rsidRPr="00490EFD">
        <w:t xml:space="preserve"> </w:t>
      </w:r>
    </w:p>
    <w:p w:rsidR="00490EFD" w:rsidRPr="003530C5" w:rsidRDefault="00490EFD" w:rsidP="003530C5">
      <w:pPr>
        <w:spacing w:after="240"/>
        <w:jc w:val="both"/>
        <w:rPr>
          <w:highlight w:val="cyan"/>
        </w:rPr>
      </w:pPr>
      <w:r w:rsidRPr="003530C5">
        <w:rPr>
          <w:b/>
          <w:bCs/>
          <w:iCs/>
          <w:szCs w:val="28"/>
          <w:u w:val="single"/>
        </w:rPr>
        <w:t>Description of DSM Plan</w:t>
      </w:r>
    </w:p>
    <w:p w:rsidR="00490EFD" w:rsidRPr="00490EFD" w:rsidRDefault="00490EFD" w:rsidP="003530C5">
      <w:pPr>
        <w:spacing w:after="240"/>
        <w:ind w:firstLine="720"/>
        <w:jc w:val="both"/>
      </w:pPr>
      <w:r w:rsidRPr="00490EFD">
        <w:t>FPUC’s DSM Plan consists of eight programs. A complete list of the programs and a brief description of each can be found in Attachment A</w:t>
      </w:r>
      <w:r w:rsidR="009C5EBA">
        <w:t xml:space="preserve"> of this Order</w:t>
      </w:r>
      <w:r w:rsidRPr="00490EFD">
        <w:t>. Of the eight programs, two are residential, three are commercial/industrial, and three are educational programs (including research and development and low income outreach). FPUC does not include its two existing solar pilot programs as part of its DSM Plan, but will continue the programs until their expiration in December 31, 2015.</w:t>
      </w:r>
      <w:r w:rsidR="003530C5">
        <w:t xml:space="preserve"> </w:t>
      </w:r>
      <w:r w:rsidRPr="00490EFD">
        <w:t>FPUC has proposed to continue several existing programs with modifications to reflect current market conditions, as well as add a new commercial/industrial program, as illustrated in Table 1-1 below.</w:t>
      </w:r>
    </w:p>
    <w:p w:rsidR="00490EFD" w:rsidRPr="003530C5" w:rsidRDefault="00490EFD" w:rsidP="00490EFD">
      <w:pPr>
        <w:keepNext/>
        <w:spacing w:before="480"/>
        <w:jc w:val="center"/>
        <w:rPr>
          <w:b/>
        </w:rPr>
      </w:pPr>
      <w:r w:rsidRPr="003530C5">
        <w:rPr>
          <w:b/>
        </w:rPr>
        <w:lastRenderedPageBreak/>
        <w:t xml:space="preserve">Table </w:t>
      </w:r>
      <w:r w:rsidR="009C5EBA">
        <w:rPr>
          <w:b/>
        </w:rPr>
        <w:t>1</w:t>
      </w:r>
      <w:r w:rsidRPr="003530C5">
        <w:rPr>
          <w:b/>
        </w:rPr>
        <w:t>-1</w:t>
      </w:r>
    </w:p>
    <w:p w:rsidR="00490EFD" w:rsidRPr="003530C5" w:rsidRDefault="00490EFD" w:rsidP="00490EFD">
      <w:pPr>
        <w:keepNext/>
        <w:jc w:val="center"/>
        <w:rPr>
          <w:b/>
        </w:rPr>
      </w:pPr>
      <w:r w:rsidRPr="003530C5">
        <w:rPr>
          <w:b/>
        </w:rPr>
        <w:t>FPUC DSM Plan Program Listing</w:t>
      </w:r>
    </w:p>
    <w:tbl>
      <w:tblPr>
        <w:tblStyle w:val="TableGrid"/>
        <w:tblW w:w="9576" w:type="dxa"/>
        <w:tblLook w:val="04A0" w:firstRow="1" w:lastRow="0" w:firstColumn="1" w:lastColumn="0" w:noHBand="0" w:noVBand="1"/>
      </w:tblPr>
      <w:tblGrid>
        <w:gridCol w:w="5886"/>
        <w:gridCol w:w="1230"/>
        <w:gridCol w:w="1230"/>
        <w:gridCol w:w="1230"/>
      </w:tblGrid>
      <w:tr w:rsidR="00490EFD" w:rsidRPr="00490EFD" w:rsidTr="00AE372D">
        <w:tc>
          <w:tcPr>
            <w:tcW w:w="5886" w:type="dxa"/>
            <w:vMerge w:val="restart"/>
            <w:vAlign w:val="center"/>
          </w:tcPr>
          <w:p w:rsidR="00490EFD" w:rsidRPr="00490EFD" w:rsidRDefault="00490EFD" w:rsidP="00490EFD">
            <w:pPr>
              <w:keepNext/>
              <w:jc w:val="center"/>
              <w:rPr>
                <w:b/>
              </w:rPr>
            </w:pPr>
            <w:r w:rsidRPr="00490EFD">
              <w:rPr>
                <w:b/>
              </w:rPr>
              <w:t>Program Name</w:t>
            </w:r>
          </w:p>
        </w:tc>
        <w:tc>
          <w:tcPr>
            <w:tcW w:w="3690" w:type="dxa"/>
            <w:gridSpan w:val="3"/>
            <w:vAlign w:val="center"/>
          </w:tcPr>
          <w:p w:rsidR="00490EFD" w:rsidRPr="00490EFD" w:rsidRDefault="00490EFD" w:rsidP="00490EFD">
            <w:pPr>
              <w:keepNext/>
              <w:jc w:val="center"/>
              <w:rPr>
                <w:b/>
              </w:rPr>
            </w:pPr>
            <w:r w:rsidRPr="00490EFD">
              <w:rPr>
                <w:b/>
              </w:rPr>
              <w:t>Program Status</w:t>
            </w:r>
          </w:p>
        </w:tc>
      </w:tr>
      <w:tr w:rsidR="00490EFD" w:rsidRPr="00490EFD" w:rsidTr="00AE372D">
        <w:tc>
          <w:tcPr>
            <w:tcW w:w="5886" w:type="dxa"/>
            <w:vMerge/>
            <w:vAlign w:val="center"/>
          </w:tcPr>
          <w:p w:rsidR="00490EFD" w:rsidRPr="00490EFD" w:rsidRDefault="00490EFD" w:rsidP="00490EFD">
            <w:pPr>
              <w:keepNext/>
              <w:jc w:val="center"/>
              <w:rPr>
                <w:b/>
              </w:rPr>
            </w:pPr>
          </w:p>
        </w:tc>
        <w:tc>
          <w:tcPr>
            <w:tcW w:w="1230" w:type="dxa"/>
            <w:vAlign w:val="center"/>
          </w:tcPr>
          <w:p w:rsidR="00490EFD" w:rsidRPr="00490EFD" w:rsidRDefault="00490EFD" w:rsidP="00490EFD">
            <w:pPr>
              <w:keepNext/>
              <w:jc w:val="center"/>
              <w:rPr>
                <w:b/>
              </w:rPr>
            </w:pPr>
            <w:r w:rsidRPr="00490EFD">
              <w:rPr>
                <w:b/>
              </w:rPr>
              <w:t>Existing</w:t>
            </w:r>
          </w:p>
        </w:tc>
        <w:tc>
          <w:tcPr>
            <w:tcW w:w="1230" w:type="dxa"/>
            <w:vAlign w:val="center"/>
          </w:tcPr>
          <w:p w:rsidR="00490EFD" w:rsidRPr="00490EFD" w:rsidRDefault="00490EFD" w:rsidP="00490EFD">
            <w:pPr>
              <w:keepNext/>
              <w:jc w:val="center"/>
              <w:rPr>
                <w:b/>
              </w:rPr>
            </w:pPr>
            <w:r w:rsidRPr="00490EFD">
              <w:rPr>
                <w:b/>
              </w:rPr>
              <w:t>Modified</w:t>
            </w:r>
          </w:p>
        </w:tc>
        <w:tc>
          <w:tcPr>
            <w:tcW w:w="1230" w:type="dxa"/>
            <w:vAlign w:val="center"/>
          </w:tcPr>
          <w:p w:rsidR="00490EFD" w:rsidRPr="00490EFD" w:rsidRDefault="00490EFD" w:rsidP="00490EFD">
            <w:pPr>
              <w:keepNext/>
              <w:jc w:val="center"/>
              <w:rPr>
                <w:b/>
              </w:rPr>
            </w:pPr>
            <w:r w:rsidRPr="00490EFD">
              <w:rPr>
                <w:b/>
              </w:rPr>
              <w:t>New</w:t>
            </w:r>
          </w:p>
        </w:tc>
      </w:tr>
      <w:tr w:rsidR="00490EFD" w:rsidRPr="00490EFD" w:rsidTr="00AE372D">
        <w:tc>
          <w:tcPr>
            <w:tcW w:w="9576" w:type="dxa"/>
            <w:gridSpan w:val="4"/>
          </w:tcPr>
          <w:p w:rsidR="00490EFD" w:rsidRPr="00490EFD" w:rsidRDefault="00490EFD" w:rsidP="00490EFD">
            <w:pPr>
              <w:keepNext/>
              <w:jc w:val="center"/>
              <w:rPr>
                <w:b/>
              </w:rPr>
            </w:pPr>
            <w:r w:rsidRPr="00490EFD">
              <w:rPr>
                <w:b/>
              </w:rPr>
              <w:t>Residential Programs</w:t>
            </w:r>
          </w:p>
        </w:tc>
      </w:tr>
      <w:tr w:rsidR="00490EFD" w:rsidRPr="00490EFD" w:rsidTr="00AE372D">
        <w:tc>
          <w:tcPr>
            <w:tcW w:w="5886" w:type="dxa"/>
          </w:tcPr>
          <w:p w:rsidR="00490EFD" w:rsidRPr="00490EFD" w:rsidRDefault="00490EFD" w:rsidP="00490EFD">
            <w:pPr>
              <w:keepNext/>
            </w:pPr>
            <w:r w:rsidRPr="00490EFD">
              <w:t>Residential Energy Survey</w:t>
            </w:r>
          </w:p>
        </w:tc>
        <w:tc>
          <w:tcPr>
            <w:tcW w:w="1230" w:type="dxa"/>
          </w:tcPr>
          <w:p w:rsidR="00490EFD" w:rsidRPr="00490EFD" w:rsidRDefault="00490EFD" w:rsidP="00490EFD">
            <w:pPr>
              <w:keepNext/>
              <w:jc w:val="center"/>
            </w:pPr>
            <w:r w:rsidRPr="00490EFD">
              <w:t>X</w:t>
            </w:r>
          </w:p>
        </w:tc>
        <w:tc>
          <w:tcPr>
            <w:tcW w:w="1230" w:type="dxa"/>
          </w:tcPr>
          <w:p w:rsidR="00490EFD" w:rsidRPr="00490EFD" w:rsidRDefault="00490EFD" w:rsidP="00490EFD">
            <w:pPr>
              <w:keepNext/>
              <w:jc w:val="center"/>
            </w:pPr>
            <w:r w:rsidRPr="00490EFD">
              <w:t>X</w:t>
            </w:r>
          </w:p>
        </w:tc>
        <w:tc>
          <w:tcPr>
            <w:tcW w:w="1230" w:type="dxa"/>
          </w:tcPr>
          <w:p w:rsidR="00490EFD" w:rsidRPr="00490EFD" w:rsidRDefault="00490EFD" w:rsidP="00490EFD">
            <w:pPr>
              <w:keepNext/>
              <w:jc w:val="center"/>
            </w:pPr>
          </w:p>
        </w:tc>
      </w:tr>
      <w:tr w:rsidR="00490EFD" w:rsidRPr="00490EFD" w:rsidTr="00AE372D">
        <w:tc>
          <w:tcPr>
            <w:tcW w:w="5886" w:type="dxa"/>
            <w:vAlign w:val="bottom"/>
          </w:tcPr>
          <w:p w:rsidR="00490EFD" w:rsidRPr="00490EFD" w:rsidRDefault="00490EFD" w:rsidP="00490EFD">
            <w:pPr>
              <w:keepNext/>
            </w:pPr>
            <w:r w:rsidRPr="00490EFD">
              <w:t>Residential Heating &amp; Cooling Efficiency</w:t>
            </w:r>
          </w:p>
        </w:tc>
        <w:tc>
          <w:tcPr>
            <w:tcW w:w="1230" w:type="dxa"/>
          </w:tcPr>
          <w:p w:rsidR="00490EFD" w:rsidRPr="00490EFD" w:rsidRDefault="00490EFD" w:rsidP="00490EFD">
            <w:pPr>
              <w:keepNext/>
              <w:jc w:val="center"/>
            </w:pPr>
            <w:r w:rsidRPr="00490EFD">
              <w:t>X</w:t>
            </w:r>
          </w:p>
        </w:tc>
        <w:tc>
          <w:tcPr>
            <w:tcW w:w="1230" w:type="dxa"/>
          </w:tcPr>
          <w:p w:rsidR="00490EFD" w:rsidRPr="00490EFD" w:rsidRDefault="00490EFD" w:rsidP="00490EFD">
            <w:pPr>
              <w:keepNext/>
              <w:jc w:val="center"/>
            </w:pPr>
            <w:r w:rsidRPr="00490EFD">
              <w:t>X</w:t>
            </w:r>
          </w:p>
        </w:tc>
        <w:tc>
          <w:tcPr>
            <w:tcW w:w="1230" w:type="dxa"/>
          </w:tcPr>
          <w:p w:rsidR="00490EFD" w:rsidRPr="00490EFD" w:rsidRDefault="00490EFD" w:rsidP="00490EFD">
            <w:pPr>
              <w:keepNext/>
              <w:jc w:val="center"/>
            </w:pPr>
          </w:p>
        </w:tc>
      </w:tr>
      <w:tr w:rsidR="00490EFD" w:rsidRPr="00490EFD" w:rsidTr="00AE372D">
        <w:tc>
          <w:tcPr>
            <w:tcW w:w="9576" w:type="dxa"/>
            <w:gridSpan w:val="4"/>
          </w:tcPr>
          <w:p w:rsidR="00490EFD" w:rsidRPr="00490EFD" w:rsidRDefault="00490EFD" w:rsidP="00490EFD">
            <w:pPr>
              <w:keepNext/>
              <w:jc w:val="center"/>
              <w:rPr>
                <w:b/>
              </w:rPr>
            </w:pPr>
            <w:r w:rsidRPr="00490EFD">
              <w:rPr>
                <w:b/>
              </w:rPr>
              <w:t>Commercial/Industrial Programs</w:t>
            </w:r>
          </w:p>
        </w:tc>
      </w:tr>
      <w:tr w:rsidR="00490EFD" w:rsidRPr="00490EFD" w:rsidTr="00AE372D">
        <w:tc>
          <w:tcPr>
            <w:tcW w:w="5886" w:type="dxa"/>
          </w:tcPr>
          <w:p w:rsidR="00490EFD" w:rsidRPr="00490EFD" w:rsidRDefault="00490EFD" w:rsidP="00490EFD">
            <w:pPr>
              <w:keepNext/>
            </w:pPr>
            <w:r w:rsidRPr="00490EFD">
              <w:t>Commercial Heating &amp; Cooling Efficiency</w:t>
            </w:r>
          </w:p>
        </w:tc>
        <w:tc>
          <w:tcPr>
            <w:tcW w:w="1230" w:type="dxa"/>
          </w:tcPr>
          <w:p w:rsidR="00490EFD" w:rsidRPr="00490EFD" w:rsidRDefault="00490EFD" w:rsidP="00490EFD">
            <w:pPr>
              <w:keepNext/>
              <w:jc w:val="center"/>
            </w:pPr>
            <w:r w:rsidRPr="00490EFD">
              <w:t>X</w:t>
            </w:r>
          </w:p>
        </w:tc>
        <w:tc>
          <w:tcPr>
            <w:tcW w:w="1230" w:type="dxa"/>
          </w:tcPr>
          <w:p w:rsidR="00490EFD" w:rsidRPr="00490EFD" w:rsidRDefault="00490EFD" w:rsidP="00490EFD">
            <w:pPr>
              <w:keepNext/>
              <w:jc w:val="center"/>
            </w:pPr>
            <w:r w:rsidRPr="00490EFD">
              <w:t>X</w:t>
            </w:r>
          </w:p>
        </w:tc>
        <w:tc>
          <w:tcPr>
            <w:tcW w:w="1230" w:type="dxa"/>
          </w:tcPr>
          <w:p w:rsidR="00490EFD" w:rsidRPr="00490EFD" w:rsidRDefault="00490EFD" w:rsidP="00490EFD">
            <w:pPr>
              <w:keepNext/>
              <w:jc w:val="center"/>
            </w:pPr>
          </w:p>
        </w:tc>
      </w:tr>
      <w:tr w:rsidR="00490EFD" w:rsidRPr="00490EFD" w:rsidTr="00AE372D">
        <w:tc>
          <w:tcPr>
            <w:tcW w:w="5886" w:type="dxa"/>
          </w:tcPr>
          <w:p w:rsidR="00490EFD" w:rsidRPr="00490EFD" w:rsidRDefault="00490EFD" w:rsidP="00490EFD">
            <w:pPr>
              <w:keepNext/>
            </w:pPr>
            <w:r w:rsidRPr="00490EFD">
              <w:t>Commercial Chiller Upgrade</w:t>
            </w:r>
          </w:p>
        </w:tc>
        <w:tc>
          <w:tcPr>
            <w:tcW w:w="1230" w:type="dxa"/>
          </w:tcPr>
          <w:p w:rsidR="00490EFD" w:rsidRPr="00490EFD" w:rsidRDefault="00490EFD" w:rsidP="00490EFD">
            <w:pPr>
              <w:keepNext/>
              <w:jc w:val="center"/>
            </w:pPr>
            <w:r w:rsidRPr="00490EFD">
              <w:t>X</w:t>
            </w:r>
          </w:p>
        </w:tc>
        <w:tc>
          <w:tcPr>
            <w:tcW w:w="1230" w:type="dxa"/>
          </w:tcPr>
          <w:p w:rsidR="00490EFD" w:rsidRPr="00490EFD" w:rsidRDefault="00490EFD" w:rsidP="00490EFD">
            <w:pPr>
              <w:keepNext/>
              <w:jc w:val="center"/>
            </w:pPr>
            <w:r w:rsidRPr="00490EFD">
              <w:t>X</w:t>
            </w:r>
          </w:p>
        </w:tc>
        <w:tc>
          <w:tcPr>
            <w:tcW w:w="1230" w:type="dxa"/>
          </w:tcPr>
          <w:p w:rsidR="00490EFD" w:rsidRPr="00490EFD" w:rsidRDefault="00490EFD" w:rsidP="00490EFD">
            <w:pPr>
              <w:keepNext/>
              <w:jc w:val="center"/>
            </w:pPr>
          </w:p>
        </w:tc>
      </w:tr>
      <w:tr w:rsidR="00490EFD" w:rsidRPr="00490EFD" w:rsidTr="00AE372D">
        <w:tc>
          <w:tcPr>
            <w:tcW w:w="5886" w:type="dxa"/>
          </w:tcPr>
          <w:p w:rsidR="00490EFD" w:rsidRPr="00490EFD" w:rsidRDefault="00490EFD" w:rsidP="00490EFD">
            <w:pPr>
              <w:keepNext/>
            </w:pPr>
            <w:r w:rsidRPr="00490EFD">
              <w:t>Commercial Reflective Roof</w:t>
            </w:r>
          </w:p>
        </w:tc>
        <w:tc>
          <w:tcPr>
            <w:tcW w:w="1230" w:type="dxa"/>
          </w:tcPr>
          <w:p w:rsidR="00490EFD" w:rsidRPr="00490EFD" w:rsidRDefault="00490EFD" w:rsidP="00490EFD">
            <w:pPr>
              <w:keepNext/>
              <w:jc w:val="center"/>
            </w:pPr>
          </w:p>
        </w:tc>
        <w:tc>
          <w:tcPr>
            <w:tcW w:w="1230" w:type="dxa"/>
          </w:tcPr>
          <w:p w:rsidR="00490EFD" w:rsidRPr="00490EFD" w:rsidRDefault="00490EFD" w:rsidP="00490EFD">
            <w:pPr>
              <w:keepNext/>
              <w:jc w:val="center"/>
            </w:pPr>
          </w:p>
        </w:tc>
        <w:tc>
          <w:tcPr>
            <w:tcW w:w="1230" w:type="dxa"/>
          </w:tcPr>
          <w:p w:rsidR="00490EFD" w:rsidRPr="00490EFD" w:rsidRDefault="00490EFD" w:rsidP="00490EFD">
            <w:pPr>
              <w:keepNext/>
              <w:jc w:val="center"/>
            </w:pPr>
            <w:r w:rsidRPr="00490EFD">
              <w:t>X</w:t>
            </w:r>
          </w:p>
        </w:tc>
      </w:tr>
      <w:tr w:rsidR="00490EFD" w:rsidRPr="00490EFD" w:rsidTr="00AE372D">
        <w:tc>
          <w:tcPr>
            <w:tcW w:w="9576" w:type="dxa"/>
            <w:gridSpan w:val="4"/>
          </w:tcPr>
          <w:p w:rsidR="00490EFD" w:rsidRPr="00490EFD" w:rsidRDefault="00490EFD" w:rsidP="00490EFD">
            <w:pPr>
              <w:keepNext/>
              <w:jc w:val="center"/>
              <w:rPr>
                <w:b/>
              </w:rPr>
            </w:pPr>
            <w:r w:rsidRPr="00490EFD">
              <w:rPr>
                <w:b/>
              </w:rPr>
              <w:t>Other Programs</w:t>
            </w:r>
          </w:p>
        </w:tc>
      </w:tr>
      <w:tr w:rsidR="00490EFD" w:rsidRPr="00490EFD" w:rsidTr="00AE372D">
        <w:tc>
          <w:tcPr>
            <w:tcW w:w="5886" w:type="dxa"/>
          </w:tcPr>
          <w:p w:rsidR="00490EFD" w:rsidRPr="00490EFD" w:rsidRDefault="00490EFD" w:rsidP="00490EFD">
            <w:pPr>
              <w:keepNext/>
            </w:pPr>
            <w:r w:rsidRPr="00490EFD">
              <w:t>Conservation Demonstration and Development</w:t>
            </w:r>
          </w:p>
        </w:tc>
        <w:tc>
          <w:tcPr>
            <w:tcW w:w="1230" w:type="dxa"/>
          </w:tcPr>
          <w:p w:rsidR="00490EFD" w:rsidRPr="00490EFD" w:rsidRDefault="00490EFD" w:rsidP="00490EFD">
            <w:pPr>
              <w:keepNext/>
              <w:jc w:val="center"/>
            </w:pPr>
            <w:r w:rsidRPr="00490EFD">
              <w:t>X</w:t>
            </w:r>
          </w:p>
        </w:tc>
        <w:tc>
          <w:tcPr>
            <w:tcW w:w="1230" w:type="dxa"/>
          </w:tcPr>
          <w:p w:rsidR="00490EFD" w:rsidRPr="00490EFD" w:rsidRDefault="00490EFD" w:rsidP="00490EFD">
            <w:pPr>
              <w:keepNext/>
              <w:jc w:val="center"/>
            </w:pPr>
          </w:p>
        </w:tc>
        <w:tc>
          <w:tcPr>
            <w:tcW w:w="1230" w:type="dxa"/>
          </w:tcPr>
          <w:p w:rsidR="00490EFD" w:rsidRPr="00490EFD" w:rsidRDefault="00490EFD" w:rsidP="00490EFD">
            <w:pPr>
              <w:keepNext/>
              <w:jc w:val="center"/>
            </w:pPr>
          </w:p>
        </w:tc>
      </w:tr>
      <w:tr w:rsidR="00490EFD" w:rsidRPr="00490EFD" w:rsidTr="00AE372D">
        <w:tc>
          <w:tcPr>
            <w:tcW w:w="5886" w:type="dxa"/>
          </w:tcPr>
          <w:p w:rsidR="00490EFD" w:rsidRPr="00490EFD" w:rsidRDefault="00490EFD" w:rsidP="00490EFD">
            <w:pPr>
              <w:keepNext/>
            </w:pPr>
            <w:r w:rsidRPr="00490EFD">
              <w:t>Low Income Energy Outreach</w:t>
            </w:r>
          </w:p>
        </w:tc>
        <w:tc>
          <w:tcPr>
            <w:tcW w:w="1230" w:type="dxa"/>
          </w:tcPr>
          <w:p w:rsidR="00490EFD" w:rsidRPr="00490EFD" w:rsidRDefault="00490EFD" w:rsidP="00490EFD">
            <w:pPr>
              <w:keepNext/>
              <w:jc w:val="center"/>
            </w:pPr>
            <w:r w:rsidRPr="00490EFD">
              <w:t>X</w:t>
            </w:r>
          </w:p>
        </w:tc>
        <w:tc>
          <w:tcPr>
            <w:tcW w:w="1230" w:type="dxa"/>
          </w:tcPr>
          <w:p w:rsidR="00490EFD" w:rsidRPr="00490EFD" w:rsidRDefault="00490EFD" w:rsidP="00490EFD">
            <w:pPr>
              <w:keepNext/>
              <w:jc w:val="center"/>
            </w:pPr>
            <w:r w:rsidRPr="00490EFD">
              <w:t>X</w:t>
            </w:r>
          </w:p>
        </w:tc>
        <w:tc>
          <w:tcPr>
            <w:tcW w:w="1230" w:type="dxa"/>
          </w:tcPr>
          <w:p w:rsidR="00490EFD" w:rsidRPr="00490EFD" w:rsidRDefault="00490EFD" w:rsidP="00490EFD">
            <w:pPr>
              <w:keepNext/>
              <w:jc w:val="center"/>
            </w:pPr>
          </w:p>
        </w:tc>
      </w:tr>
      <w:tr w:rsidR="00490EFD" w:rsidRPr="00490EFD" w:rsidTr="00AE372D">
        <w:tc>
          <w:tcPr>
            <w:tcW w:w="5886" w:type="dxa"/>
          </w:tcPr>
          <w:p w:rsidR="00490EFD" w:rsidRPr="00490EFD" w:rsidRDefault="00490EFD" w:rsidP="00490EFD">
            <w:pPr>
              <w:keepNext/>
            </w:pPr>
            <w:r w:rsidRPr="00490EFD">
              <w:t>Commercial Energy Consultation</w:t>
            </w:r>
          </w:p>
        </w:tc>
        <w:tc>
          <w:tcPr>
            <w:tcW w:w="1230" w:type="dxa"/>
          </w:tcPr>
          <w:p w:rsidR="00490EFD" w:rsidRPr="00490EFD" w:rsidRDefault="00490EFD" w:rsidP="00490EFD">
            <w:pPr>
              <w:keepNext/>
              <w:jc w:val="center"/>
            </w:pPr>
          </w:p>
        </w:tc>
        <w:tc>
          <w:tcPr>
            <w:tcW w:w="1230" w:type="dxa"/>
          </w:tcPr>
          <w:p w:rsidR="00490EFD" w:rsidRPr="00490EFD" w:rsidRDefault="00490EFD" w:rsidP="00490EFD">
            <w:pPr>
              <w:keepNext/>
              <w:jc w:val="center"/>
            </w:pPr>
          </w:p>
        </w:tc>
        <w:tc>
          <w:tcPr>
            <w:tcW w:w="1230" w:type="dxa"/>
          </w:tcPr>
          <w:p w:rsidR="00490EFD" w:rsidRPr="00490EFD" w:rsidRDefault="00490EFD" w:rsidP="00490EFD">
            <w:pPr>
              <w:keepNext/>
              <w:jc w:val="center"/>
            </w:pPr>
            <w:r w:rsidRPr="00490EFD">
              <w:t>X</w:t>
            </w:r>
          </w:p>
        </w:tc>
      </w:tr>
      <w:tr w:rsidR="00490EFD" w:rsidRPr="00490EFD" w:rsidTr="00AE372D">
        <w:tc>
          <w:tcPr>
            <w:tcW w:w="9576" w:type="dxa"/>
            <w:gridSpan w:val="4"/>
          </w:tcPr>
          <w:p w:rsidR="00490EFD" w:rsidRPr="00490EFD" w:rsidRDefault="00490EFD" w:rsidP="00490EFD">
            <w:pPr>
              <w:keepNext/>
              <w:jc w:val="center"/>
              <w:rPr>
                <w:b/>
              </w:rPr>
            </w:pPr>
            <w:r w:rsidRPr="00490EFD">
              <w:rPr>
                <w:b/>
              </w:rPr>
              <w:t>Pilot Programs</w:t>
            </w:r>
            <w:r w:rsidRPr="00490EFD">
              <w:rPr>
                <w:b/>
                <w:vertAlign w:val="superscript"/>
              </w:rPr>
              <w:footnoteReference w:id="5"/>
            </w:r>
          </w:p>
        </w:tc>
      </w:tr>
      <w:tr w:rsidR="00490EFD" w:rsidRPr="00490EFD" w:rsidTr="00AE372D">
        <w:tc>
          <w:tcPr>
            <w:tcW w:w="5886" w:type="dxa"/>
          </w:tcPr>
          <w:p w:rsidR="00490EFD" w:rsidRPr="00490EFD" w:rsidRDefault="00490EFD" w:rsidP="00490EFD">
            <w:pPr>
              <w:keepNext/>
            </w:pPr>
            <w:r w:rsidRPr="00490EFD">
              <w:t>Solar Water Heating</w:t>
            </w:r>
          </w:p>
        </w:tc>
        <w:tc>
          <w:tcPr>
            <w:tcW w:w="1230" w:type="dxa"/>
          </w:tcPr>
          <w:p w:rsidR="00490EFD" w:rsidRPr="00490EFD" w:rsidRDefault="00490EFD" w:rsidP="00490EFD">
            <w:pPr>
              <w:keepNext/>
              <w:jc w:val="center"/>
            </w:pPr>
            <w:r w:rsidRPr="00490EFD">
              <w:t>X</w:t>
            </w:r>
          </w:p>
        </w:tc>
        <w:tc>
          <w:tcPr>
            <w:tcW w:w="1230" w:type="dxa"/>
          </w:tcPr>
          <w:p w:rsidR="00490EFD" w:rsidRPr="00490EFD" w:rsidRDefault="00490EFD" w:rsidP="00490EFD">
            <w:pPr>
              <w:keepNext/>
              <w:jc w:val="center"/>
            </w:pPr>
          </w:p>
        </w:tc>
        <w:tc>
          <w:tcPr>
            <w:tcW w:w="1230" w:type="dxa"/>
          </w:tcPr>
          <w:p w:rsidR="00490EFD" w:rsidRPr="00490EFD" w:rsidRDefault="00490EFD" w:rsidP="00490EFD">
            <w:pPr>
              <w:keepNext/>
              <w:jc w:val="center"/>
            </w:pPr>
          </w:p>
        </w:tc>
      </w:tr>
      <w:tr w:rsidR="00490EFD" w:rsidRPr="00490EFD" w:rsidTr="00AE372D">
        <w:tc>
          <w:tcPr>
            <w:tcW w:w="5886" w:type="dxa"/>
          </w:tcPr>
          <w:p w:rsidR="00490EFD" w:rsidRPr="00490EFD" w:rsidRDefault="00490EFD" w:rsidP="00490EFD">
            <w:pPr>
              <w:keepNext/>
            </w:pPr>
            <w:r w:rsidRPr="00490EFD">
              <w:t>Solar PV</w:t>
            </w:r>
          </w:p>
        </w:tc>
        <w:tc>
          <w:tcPr>
            <w:tcW w:w="1230" w:type="dxa"/>
          </w:tcPr>
          <w:p w:rsidR="00490EFD" w:rsidRPr="00490EFD" w:rsidRDefault="00490EFD" w:rsidP="00490EFD">
            <w:pPr>
              <w:keepNext/>
              <w:jc w:val="center"/>
            </w:pPr>
            <w:r w:rsidRPr="00490EFD">
              <w:t>X</w:t>
            </w:r>
          </w:p>
        </w:tc>
        <w:tc>
          <w:tcPr>
            <w:tcW w:w="1230" w:type="dxa"/>
          </w:tcPr>
          <w:p w:rsidR="00490EFD" w:rsidRPr="00490EFD" w:rsidRDefault="00490EFD" w:rsidP="00490EFD">
            <w:pPr>
              <w:keepNext/>
              <w:jc w:val="center"/>
            </w:pPr>
          </w:p>
        </w:tc>
        <w:tc>
          <w:tcPr>
            <w:tcW w:w="1230" w:type="dxa"/>
          </w:tcPr>
          <w:p w:rsidR="00490EFD" w:rsidRPr="00490EFD" w:rsidRDefault="00490EFD" w:rsidP="00490EFD">
            <w:pPr>
              <w:keepNext/>
              <w:jc w:val="center"/>
            </w:pPr>
          </w:p>
        </w:tc>
      </w:tr>
    </w:tbl>
    <w:p w:rsidR="00490EFD" w:rsidRPr="00490EFD" w:rsidRDefault="00490EFD" w:rsidP="00490EFD">
      <w:pPr>
        <w:spacing w:after="480"/>
        <w:jc w:val="both"/>
      </w:pPr>
      <w:r w:rsidRPr="00490EFD">
        <w:t>Source: FPUC revised DSM Plan</w:t>
      </w:r>
    </w:p>
    <w:p w:rsidR="00490EFD" w:rsidRPr="00490EFD" w:rsidRDefault="00490EFD" w:rsidP="003530C5">
      <w:pPr>
        <w:spacing w:after="240"/>
        <w:ind w:firstLine="720"/>
        <w:jc w:val="both"/>
      </w:pPr>
      <w:r w:rsidRPr="00490EFD">
        <w:t>FPUC’s two residential programs are both modified to reflect changes in codes and standards. FPUC’s Residential Energy Survey program features an updated kit provided to customers including LED bulbs rather than CFLs, and an implementation of an online audit option. FPUC’s proposed demand and energy savings associated with this audit program are discussed in more detail below. The modified Residential Heating &amp; Cooling Efficiency Program includes additional structure types, including multi-family and stationary mobile homes.</w:t>
      </w:r>
    </w:p>
    <w:p w:rsidR="00490EFD" w:rsidRPr="00490EFD" w:rsidRDefault="00490EFD" w:rsidP="004121A0">
      <w:pPr>
        <w:spacing w:after="240"/>
        <w:ind w:firstLine="720"/>
        <w:jc w:val="both"/>
      </w:pPr>
      <w:r w:rsidRPr="00490EFD">
        <w:t>FPUC offers three commercial/industrial programs, two modified and one new. The Commercial Heating &amp; Cooling Efficiency program has been modified to reflect changes in codes and statutes, but maintains rebate levels. The existing Commercial Chiller Upgrade Program has been modified to revise its rebates amounts. FPUC also added a new Commercial Reflective Roof program, which encourages businesses to install or convert to energy efficient roofs.</w:t>
      </w:r>
    </w:p>
    <w:p w:rsidR="004121A0" w:rsidRDefault="00490EFD" w:rsidP="004121A0">
      <w:pPr>
        <w:spacing w:after="240"/>
        <w:ind w:firstLine="720"/>
        <w:jc w:val="both"/>
      </w:pPr>
      <w:r w:rsidRPr="00490EFD">
        <w:t>For FPUC’s other programs, the Commercial Energy Survey program is continued under a new name, Commercial Energy Consultation, but FPUC does not propose demand and energy savings based upon the program.</w:t>
      </w:r>
    </w:p>
    <w:p w:rsidR="004121A0" w:rsidRDefault="004121A0" w:rsidP="004121A0">
      <w:pPr>
        <w:spacing w:after="240"/>
        <w:ind w:firstLine="720"/>
        <w:jc w:val="both"/>
      </w:pPr>
    </w:p>
    <w:p w:rsidR="004121A0" w:rsidRDefault="004121A0" w:rsidP="004121A0">
      <w:pPr>
        <w:spacing w:after="240"/>
        <w:ind w:firstLine="720"/>
        <w:jc w:val="both"/>
      </w:pPr>
    </w:p>
    <w:p w:rsidR="004121A0" w:rsidRDefault="00490EFD" w:rsidP="004121A0">
      <w:pPr>
        <w:spacing w:after="240"/>
        <w:ind w:firstLine="720"/>
        <w:jc w:val="both"/>
      </w:pPr>
      <w:r w:rsidRPr="004121A0">
        <w:rPr>
          <w:bCs/>
          <w:iCs/>
          <w:szCs w:val="28"/>
          <w:u w:val="single"/>
        </w:rPr>
        <w:lastRenderedPageBreak/>
        <w:t>Audit Programs</w:t>
      </w:r>
    </w:p>
    <w:p w:rsidR="00490EFD" w:rsidRPr="00490EFD" w:rsidRDefault="00490EFD" w:rsidP="004121A0">
      <w:pPr>
        <w:spacing w:after="240"/>
        <w:ind w:firstLine="720"/>
        <w:jc w:val="both"/>
      </w:pPr>
      <w:r w:rsidRPr="00490EFD">
        <w:t>In accordance with Rule 25-17.003, F.A.C., FPUC will continue to offer audit programs for each sector, residential and commercial/industrial. FPUC’s DSM Plan, as submitted, includes projected savings from audit programs for the residential sector only, through the Residential Energy Survey program. While there may be many audit savings associated with customer behavior modifications, such savings are difficult to quantify and may expire before the end of the 10-year goal period. Although</w:t>
      </w:r>
      <w:r w:rsidR="004121A0">
        <w:t>, we have</w:t>
      </w:r>
      <w:r w:rsidRPr="00490EFD">
        <w:t xml:space="preserve"> allowed savings from these types of programs to be counted towards achieving DSM goals in previous proceedings, behavioral savings</w:t>
      </w:r>
      <w:r w:rsidR="004121A0">
        <w:t xml:space="preserve"> will no </w:t>
      </w:r>
      <w:r w:rsidRPr="00490EFD">
        <w:t>longer be counted towards achieving DSM goals because behavioral savings are not directly monitorable. Even with the removal of behavioral savings from audits, FPUC’s DSM Plan still meets or excee</w:t>
      </w:r>
      <w:r w:rsidR="004121A0">
        <w:t xml:space="preserve">ds the annual numeric goals we set in </w:t>
      </w:r>
      <w:r w:rsidRPr="00490EFD">
        <w:t xml:space="preserve">Order No. PSC-13-0645-PAA-EU. Savings associated with actual equipment provided to participants, such as light bulbs, could still be included in the goal savings. </w:t>
      </w:r>
    </w:p>
    <w:p w:rsidR="00490EFD" w:rsidRPr="00490EFD" w:rsidRDefault="00490EFD" w:rsidP="004121A0">
      <w:pPr>
        <w:spacing w:after="240"/>
        <w:ind w:firstLine="720"/>
        <w:jc w:val="both"/>
      </w:pPr>
      <w:r w:rsidRPr="00490EFD">
        <w:t>As FPUC is a smaller utility, savings of the Residential Energy Survey program are based on Duke Energy Florida’s Home Energy Check program, which FPUC modified to include LED lighting. While other items are included in the kit provided to customers, the only values available that are strictly related to equipment provided are for the LED bulbs.</w:t>
      </w:r>
    </w:p>
    <w:p w:rsidR="00490EFD" w:rsidRPr="004121A0" w:rsidRDefault="00490EFD" w:rsidP="00490EFD">
      <w:pPr>
        <w:ind w:left="720"/>
        <w:jc w:val="both"/>
        <w:outlineLvl w:val="3"/>
        <w:rPr>
          <w:bCs/>
          <w:iCs/>
          <w:szCs w:val="28"/>
          <w:u w:val="single"/>
        </w:rPr>
      </w:pPr>
      <w:r w:rsidRPr="004121A0">
        <w:rPr>
          <w:bCs/>
          <w:iCs/>
          <w:szCs w:val="28"/>
          <w:u w:val="single"/>
        </w:rPr>
        <w:t>Comparison of DSM Plan to Goals</w:t>
      </w:r>
    </w:p>
    <w:p w:rsidR="004121A0" w:rsidRDefault="004121A0" w:rsidP="004121A0">
      <w:pPr>
        <w:ind w:firstLine="720"/>
        <w:jc w:val="both"/>
      </w:pPr>
    </w:p>
    <w:p w:rsidR="00490EFD" w:rsidRPr="00490EFD" w:rsidRDefault="00490EFD" w:rsidP="004121A0">
      <w:pPr>
        <w:spacing w:after="240"/>
        <w:ind w:firstLine="720"/>
        <w:jc w:val="both"/>
      </w:pPr>
      <w:r w:rsidRPr="00490EFD">
        <w:t xml:space="preserve">Based upon FPUC’s DSM Plan, as modified by </w:t>
      </w:r>
      <w:r w:rsidR="008B459B">
        <w:t>us</w:t>
      </w:r>
      <w:r w:rsidRPr="00490EFD">
        <w:t xml:space="preserve"> to exclude behavioral savings associated with residential energy audits, FPUC is projected to meet or exceed each of the established goals. The projected savings associated with the Commission’s established goals, the company’s proposed DSM Plan, and </w:t>
      </w:r>
      <w:r w:rsidR="008B459B">
        <w:t>our</w:t>
      </w:r>
      <w:r w:rsidRPr="00490EFD">
        <w:t xml:space="preserve"> modifications to the DSM Plan are summarized in Table 1-2 and Table 1-3 below.</w:t>
      </w:r>
    </w:p>
    <w:p w:rsidR="00490EFD" w:rsidRPr="004121A0" w:rsidRDefault="00490EFD" w:rsidP="00490EFD">
      <w:pPr>
        <w:keepNext/>
        <w:spacing w:before="480"/>
        <w:jc w:val="center"/>
        <w:rPr>
          <w:b/>
        </w:rPr>
      </w:pPr>
      <w:r w:rsidRPr="004121A0">
        <w:rPr>
          <w:b/>
        </w:rPr>
        <w:lastRenderedPageBreak/>
        <w:t xml:space="preserve">Table </w:t>
      </w:r>
      <w:r w:rsidR="008B459B">
        <w:rPr>
          <w:b/>
        </w:rPr>
        <w:t>1</w:t>
      </w:r>
      <w:r w:rsidRPr="004121A0">
        <w:rPr>
          <w:b/>
        </w:rPr>
        <w:t>-2</w:t>
      </w:r>
    </w:p>
    <w:p w:rsidR="00490EFD" w:rsidRPr="004121A0" w:rsidRDefault="00490EFD" w:rsidP="00490EFD">
      <w:pPr>
        <w:keepNext/>
        <w:jc w:val="center"/>
        <w:rPr>
          <w:b/>
        </w:rPr>
      </w:pPr>
      <w:r w:rsidRPr="004121A0">
        <w:rPr>
          <w:b/>
        </w:rPr>
        <w:t>FPUC Residential Sector Goals vs. DSM Plan and Staff’s Recommendation</w:t>
      </w:r>
    </w:p>
    <w:tbl>
      <w:tblPr>
        <w:tblStyle w:val="TableGrid"/>
        <w:tblW w:w="0" w:type="auto"/>
        <w:jc w:val="center"/>
        <w:tblLook w:val="04A0" w:firstRow="1" w:lastRow="0" w:firstColumn="1" w:lastColumn="0" w:noHBand="0" w:noVBand="1"/>
      </w:tblPr>
      <w:tblGrid>
        <w:gridCol w:w="889"/>
        <w:gridCol w:w="813"/>
        <w:gridCol w:w="809"/>
        <w:gridCol w:w="1243"/>
        <w:gridCol w:w="834"/>
        <w:gridCol w:w="833"/>
        <w:gridCol w:w="1243"/>
        <w:gridCol w:w="835"/>
        <w:gridCol w:w="834"/>
        <w:gridCol w:w="1243"/>
      </w:tblGrid>
      <w:tr w:rsidR="00490EFD" w:rsidRPr="00490EFD" w:rsidTr="00AE372D">
        <w:trPr>
          <w:jc w:val="center"/>
        </w:trPr>
        <w:tc>
          <w:tcPr>
            <w:tcW w:w="939" w:type="dxa"/>
            <w:vMerge w:val="restart"/>
            <w:vAlign w:val="center"/>
          </w:tcPr>
          <w:p w:rsidR="00490EFD" w:rsidRPr="00490EFD" w:rsidRDefault="00490EFD" w:rsidP="00490EFD">
            <w:pPr>
              <w:keepNext/>
              <w:jc w:val="center"/>
              <w:rPr>
                <w:b/>
              </w:rPr>
            </w:pPr>
            <w:r w:rsidRPr="00490EFD">
              <w:rPr>
                <w:b/>
              </w:rPr>
              <w:t>Year</w:t>
            </w:r>
          </w:p>
        </w:tc>
        <w:tc>
          <w:tcPr>
            <w:tcW w:w="2662" w:type="dxa"/>
            <w:gridSpan w:val="3"/>
            <w:vAlign w:val="center"/>
          </w:tcPr>
          <w:p w:rsidR="00490EFD" w:rsidRPr="00490EFD" w:rsidRDefault="00490EFD" w:rsidP="00490EFD">
            <w:pPr>
              <w:keepNext/>
              <w:jc w:val="center"/>
              <w:rPr>
                <w:b/>
              </w:rPr>
            </w:pPr>
            <w:r w:rsidRPr="00490EFD">
              <w:rPr>
                <w:b/>
              </w:rPr>
              <w:t>Summer</w:t>
            </w:r>
          </w:p>
          <w:p w:rsidR="00490EFD" w:rsidRPr="00490EFD" w:rsidRDefault="00490EFD" w:rsidP="00490EFD">
            <w:pPr>
              <w:keepNext/>
              <w:jc w:val="center"/>
              <w:rPr>
                <w:b/>
              </w:rPr>
            </w:pPr>
            <w:r w:rsidRPr="00490EFD">
              <w:rPr>
                <w:b/>
              </w:rPr>
              <w:t>(MW)</w:t>
            </w:r>
          </w:p>
        </w:tc>
        <w:tc>
          <w:tcPr>
            <w:tcW w:w="2756" w:type="dxa"/>
            <w:gridSpan w:val="3"/>
            <w:vAlign w:val="center"/>
          </w:tcPr>
          <w:p w:rsidR="00490EFD" w:rsidRPr="00490EFD" w:rsidRDefault="00490EFD" w:rsidP="00490EFD">
            <w:pPr>
              <w:keepNext/>
              <w:jc w:val="center"/>
              <w:rPr>
                <w:b/>
              </w:rPr>
            </w:pPr>
            <w:r w:rsidRPr="00490EFD">
              <w:rPr>
                <w:b/>
              </w:rPr>
              <w:t>Winter</w:t>
            </w:r>
          </w:p>
          <w:p w:rsidR="00490EFD" w:rsidRPr="00490EFD" w:rsidRDefault="00490EFD" w:rsidP="00490EFD">
            <w:pPr>
              <w:keepNext/>
              <w:jc w:val="center"/>
              <w:rPr>
                <w:b/>
              </w:rPr>
            </w:pPr>
            <w:r w:rsidRPr="00490EFD">
              <w:rPr>
                <w:b/>
              </w:rPr>
              <w:t>(MW)</w:t>
            </w:r>
          </w:p>
        </w:tc>
        <w:tc>
          <w:tcPr>
            <w:tcW w:w="2756" w:type="dxa"/>
            <w:gridSpan w:val="3"/>
            <w:vAlign w:val="center"/>
          </w:tcPr>
          <w:p w:rsidR="00490EFD" w:rsidRPr="00490EFD" w:rsidRDefault="00490EFD" w:rsidP="00490EFD">
            <w:pPr>
              <w:keepNext/>
              <w:jc w:val="center"/>
              <w:rPr>
                <w:b/>
              </w:rPr>
            </w:pPr>
            <w:r w:rsidRPr="00490EFD">
              <w:rPr>
                <w:b/>
              </w:rPr>
              <w:t>Annual Energy</w:t>
            </w:r>
          </w:p>
          <w:p w:rsidR="00490EFD" w:rsidRPr="00490EFD" w:rsidRDefault="00490EFD" w:rsidP="00490EFD">
            <w:pPr>
              <w:keepNext/>
              <w:jc w:val="center"/>
              <w:rPr>
                <w:b/>
              </w:rPr>
            </w:pPr>
            <w:r w:rsidRPr="00490EFD">
              <w:rPr>
                <w:b/>
              </w:rPr>
              <w:t>(GWh)</w:t>
            </w:r>
          </w:p>
        </w:tc>
      </w:tr>
      <w:tr w:rsidR="00490EFD" w:rsidRPr="00490EFD" w:rsidTr="00AE372D">
        <w:trPr>
          <w:jc w:val="center"/>
        </w:trPr>
        <w:tc>
          <w:tcPr>
            <w:tcW w:w="939" w:type="dxa"/>
            <w:vMerge/>
            <w:vAlign w:val="center"/>
          </w:tcPr>
          <w:p w:rsidR="00490EFD" w:rsidRPr="00490EFD" w:rsidRDefault="00490EFD" w:rsidP="00490EFD">
            <w:pPr>
              <w:keepNext/>
              <w:jc w:val="center"/>
            </w:pPr>
          </w:p>
        </w:tc>
        <w:tc>
          <w:tcPr>
            <w:tcW w:w="876" w:type="dxa"/>
            <w:vAlign w:val="center"/>
          </w:tcPr>
          <w:p w:rsidR="00490EFD" w:rsidRPr="00490EFD" w:rsidRDefault="00490EFD" w:rsidP="00490EFD">
            <w:pPr>
              <w:keepNext/>
              <w:jc w:val="center"/>
              <w:rPr>
                <w:rFonts w:cs="Calibri"/>
                <w:b/>
              </w:rPr>
            </w:pPr>
            <w:r w:rsidRPr="00490EFD">
              <w:rPr>
                <w:rFonts w:cs="Calibri"/>
                <w:b/>
              </w:rPr>
              <w:t>Goal</w:t>
            </w:r>
          </w:p>
        </w:tc>
        <w:tc>
          <w:tcPr>
            <w:tcW w:w="867" w:type="dxa"/>
            <w:vAlign w:val="center"/>
          </w:tcPr>
          <w:p w:rsidR="00490EFD" w:rsidRPr="00490EFD" w:rsidRDefault="00490EFD" w:rsidP="00490EFD">
            <w:pPr>
              <w:keepNext/>
              <w:jc w:val="center"/>
              <w:rPr>
                <w:rFonts w:cs="Calibri"/>
                <w:b/>
              </w:rPr>
            </w:pPr>
            <w:r w:rsidRPr="00490EFD">
              <w:rPr>
                <w:rFonts w:cs="Calibri"/>
                <w:b/>
              </w:rPr>
              <w:t>DSM</w:t>
            </w:r>
          </w:p>
          <w:p w:rsidR="00490EFD" w:rsidRPr="00490EFD" w:rsidRDefault="00490EFD" w:rsidP="00490EFD">
            <w:pPr>
              <w:keepNext/>
              <w:jc w:val="center"/>
              <w:rPr>
                <w:rFonts w:cs="Calibri"/>
                <w:b/>
              </w:rPr>
            </w:pPr>
            <w:r w:rsidRPr="00490EFD">
              <w:rPr>
                <w:rFonts w:cs="Calibri"/>
                <w:b/>
              </w:rPr>
              <w:t>Plan</w:t>
            </w:r>
          </w:p>
        </w:tc>
        <w:tc>
          <w:tcPr>
            <w:tcW w:w="919" w:type="dxa"/>
          </w:tcPr>
          <w:p w:rsidR="00490EFD" w:rsidRDefault="005C6C74" w:rsidP="00490EFD">
            <w:pPr>
              <w:keepNext/>
              <w:jc w:val="center"/>
              <w:rPr>
                <w:rFonts w:cs="Calibri"/>
                <w:b/>
              </w:rPr>
            </w:pPr>
            <w:r>
              <w:rPr>
                <w:rFonts w:cs="Calibri"/>
                <w:b/>
              </w:rPr>
              <w:t>Approved</w:t>
            </w:r>
          </w:p>
          <w:p w:rsidR="005C6C74" w:rsidRPr="00490EFD" w:rsidRDefault="005C6C74" w:rsidP="00490EFD">
            <w:pPr>
              <w:keepNext/>
              <w:jc w:val="center"/>
              <w:rPr>
                <w:rFonts w:cs="Calibri"/>
                <w:b/>
              </w:rPr>
            </w:pPr>
            <w:r>
              <w:rPr>
                <w:rFonts w:cs="Calibri"/>
                <w:b/>
              </w:rPr>
              <w:t>Plan</w:t>
            </w:r>
          </w:p>
        </w:tc>
        <w:tc>
          <w:tcPr>
            <w:tcW w:w="919" w:type="dxa"/>
            <w:vAlign w:val="center"/>
          </w:tcPr>
          <w:p w:rsidR="00490EFD" w:rsidRPr="00490EFD" w:rsidRDefault="00490EFD" w:rsidP="00490EFD">
            <w:pPr>
              <w:keepNext/>
              <w:jc w:val="center"/>
              <w:rPr>
                <w:rFonts w:cs="Calibri"/>
                <w:b/>
              </w:rPr>
            </w:pPr>
            <w:r w:rsidRPr="00490EFD">
              <w:rPr>
                <w:rFonts w:cs="Calibri"/>
                <w:b/>
              </w:rPr>
              <w:t>Goal</w:t>
            </w:r>
          </w:p>
        </w:tc>
        <w:tc>
          <w:tcPr>
            <w:tcW w:w="917" w:type="dxa"/>
            <w:vAlign w:val="center"/>
          </w:tcPr>
          <w:p w:rsidR="00490EFD" w:rsidRPr="00490EFD" w:rsidRDefault="00490EFD" w:rsidP="00490EFD">
            <w:pPr>
              <w:keepNext/>
              <w:jc w:val="center"/>
              <w:rPr>
                <w:rFonts w:cs="Calibri"/>
                <w:b/>
              </w:rPr>
            </w:pPr>
            <w:r w:rsidRPr="00490EFD">
              <w:rPr>
                <w:rFonts w:cs="Calibri"/>
                <w:b/>
              </w:rPr>
              <w:t>DSM</w:t>
            </w:r>
          </w:p>
          <w:p w:rsidR="00490EFD" w:rsidRPr="00490EFD" w:rsidRDefault="00490EFD" w:rsidP="00490EFD">
            <w:pPr>
              <w:keepNext/>
              <w:jc w:val="center"/>
              <w:rPr>
                <w:rFonts w:cs="Calibri"/>
                <w:b/>
              </w:rPr>
            </w:pPr>
            <w:r w:rsidRPr="00490EFD">
              <w:rPr>
                <w:rFonts w:cs="Calibri"/>
                <w:b/>
              </w:rPr>
              <w:t>Plan</w:t>
            </w:r>
          </w:p>
        </w:tc>
        <w:tc>
          <w:tcPr>
            <w:tcW w:w="920" w:type="dxa"/>
          </w:tcPr>
          <w:p w:rsidR="00490EFD" w:rsidRDefault="005C6C74" w:rsidP="00490EFD">
            <w:pPr>
              <w:keepNext/>
              <w:jc w:val="center"/>
              <w:rPr>
                <w:rFonts w:cs="Calibri"/>
                <w:b/>
              </w:rPr>
            </w:pPr>
            <w:r>
              <w:rPr>
                <w:rFonts w:cs="Calibri"/>
                <w:b/>
              </w:rPr>
              <w:t>Approved</w:t>
            </w:r>
          </w:p>
          <w:p w:rsidR="005C6C74" w:rsidRPr="00490EFD" w:rsidRDefault="005C6C74" w:rsidP="00490EFD">
            <w:pPr>
              <w:keepNext/>
              <w:jc w:val="center"/>
              <w:rPr>
                <w:rFonts w:cs="Calibri"/>
                <w:b/>
              </w:rPr>
            </w:pPr>
            <w:r>
              <w:rPr>
                <w:rFonts w:cs="Calibri"/>
                <w:b/>
              </w:rPr>
              <w:t>Plan</w:t>
            </w:r>
          </w:p>
        </w:tc>
        <w:tc>
          <w:tcPr>
            <w:tcW w:w="920" w:type="dxa"/>
            <w:vAlign w:val="center"/>
          </w:tcPr>
          <w:p w:rsidR="00490EFD" w:rsidRPr="00490EFD" w:rsidRDefault="00490EFD" w:rsidP="00490EFD">
            <w:pPr>
              <w:keepNext/>
              <w:jc w:val="center"/>
              <w:rPr>
                <w:rFonts w:cs="Calibri"/>
                <w:b/>
              </w:rPr>
            </w:pPr>
            <w:r w:rsidRPr="00490EFD">
              <w:rPr>
                <w:rFonts w:cs="Calibri"/>
                <w:b/>
              </w:rPr>
              <w:t>Goal</w:t>
            </w:r>
          </w:p>
        </w:tc>
        <w:tc>
          <w:tcPr>
            <w:tcW w:w="918" w:type="dxa"/>
            <w:vAlign w:val="center"/>
          </w:tcPr>
          <w:p w:rsidR="00490EFD" w:rsidRPr="00490EFD" w:rsidRDefault="00490EFD" w:rsidP="00490EFD">
            <w:pPr>
              <w:keepNext/>
              <w:jc w:val="center"/>
              <w:rPr>
                <w:rFonts w:cs="Calibri"/>
                <w:b/>
              </w:rPr>
            </w:pPr>
            <w:r w:rsidRPr="00490EFD">
              <w:rPr>
                <w:rFonts w:cs="Calibri"/>
                <w:b/>
              </w:rPr>
              <w:t>DSM</w:t>
            </w:r>
          </w:p>
          <w:p w:rsidR="00490EFD" w:rsidRPr="00490EFD" w:rsidRDefault="00490EFD" w:rsidP="00490EFD">
            <w:pPr>
              <w:keepNext/>
              <w:jc w:val="center"/>
              <w:rPr>
                <w:rFonts w:cs="Calibri"/>
                <w:b/>
              </w:rPr>
            </w:pPr>
            <w:r w:rsidRPr="00490EFD">
              <w:rPr>
                <w:rFonts w:cs="Calibri"/>
                <w:b/>
              </w:rPr>
              <w:t>Plan</w:t>
            </w:r>
          </w:p>
        </w:tc>
        <w:tc>
          <w:tcPr>
            <w:tcW w:w="918" w:type="dxa"/>
          </w:tcPr>
          <w:p w:rsidR="00490EFD" w:rsidRDefault="005C6C74" w:rsidP="00490EFD">
            <w:pPr>
              <w:keepNext/>
              <w:jc w:val="center"/>
              <w:rPr>
                <w:rFonts w:cs="Calibri"/>
                <w:b/>
              </w:rPr>
            </w:pPr>
            <w:r>
              <w:rPr>
                <w:rFonts w:cs="Calibri"/>
                <w:b/>
              </w:rPr>
              <w:t>Approved</w:t>
            </w:r>
          </w:p>
          <w:p w:rsidR="005C6C74" w:rsidRPr="00490EFD" w:rsidRDefault="005C6C74" w:rsidP="00490EFD">
            <w:pPr>
              <w:keepNext/>
              <w:jc w:val="center"/>
              <w:rPr>
                <w:rFonts w:cs="Calibri"/>
                <w:b/>
              </w:rPr>
            </w:pPr>
            <w:r>
              <w:rPr>
                <w:rFonts w:cs="Calibri"/>
                <w:b/>
              </w:rPr>
              <w:t>Plan</w:t>
            </w:r>
          </w:p>
        </w:tc>
      </w:tr>
      <w:tr w:rsidR="00490EFD" w:rsidRPr="00490EFD" w:rsidTr="00AE372D">
        <w:trPr>
          <w:jc w:val="center"/>
        </w:trPr>
        <w:tc>
          <w:tcPr>
            <w:tcW w:w="939" w:type="dxa"/>
          </w:tcPr>
          <w:p w:rsidR="00490EFD" w:rsidRPr="00490EFD" w:rsidRDefault="00490EFD" w:rsidP="00490EFD">
            <w:pPr>
              <w:keepNext/>
              <w:rPr>
                <w:b/>
              </w:rPr>
            </w:pPr>
            <w:r w:rsidRPr="00490EFD">
              <w:rPr>
                <w:b/>
              </w:rPr>
              <w:t>2015</w:t>
            </w:r>
          </w:p>
        </w:tc>
        <w:tc>
          <w:tcPr>
            <w:tcW w:w="876" w:type="dxa"/>
            <w:vAlign w:val="bottom"/>
          </w:tcPr>
          <w:p w:rsidR="00490EFD" w:rsidRPr="00490EFD" w:rsidRDefault="00490EFD" w:rsidP="00490EFD">
            <w:pPr>
              <w:jc w:val="right"/>
              <w:rPr>
                <w:color w:val="000000"/>
              </w:rPr>
            </w:pPr>
            <w:r w:rsidRPr="00490EFD">
              <w:rPr>
                <w:color w:val="000000"/>
              </w:rPr>
              <w:t>0.036</w:t>
            </w:r>
          </w:p>
        </w:tc>
        <w:tc>
          <w:tcPr>
            <w:tcW w:w="867" w:type="dxa"/>
          </w:tcPr>
          <w:p w:rsidR="00490EFD" w:rsidRPr="00490EFD" w:rsidRDefault="00490EFD" w:rsidP="00490EFD">
            <w:r w:rsidRPr="00490EFD">
              <w:t>0.213</w:t>
            </w:r>
          </w:p>
        </w:tc>
        <w:tc>
          <w:tcPr>
            <w:tcW w:w="919" w:type="dxa"/>
          </w:tcPr>
          <w:p w:rsidR="00490EFD" w:rsidRPr="00490EFD" w:rsidRDefault="00490EFD" w:rsidP="00490EFD">
            <w:pPr>
              <w:jc w:val="right"/>
            </w:pPr>
            <w:r w:rsidRPr="00490EFD">
              <w:t>0.203</w:t>
            </w:r>
          </w:p>
        </w:tc>
        <w:tc>
          <w:tcPr>
            <w:tcW w:w="919" w:type="dxa"/>
            <w:vAlign w:val="bottom"/>
          </w:tcPr>
          <w:p w:rsidR="00490EFD" w:rsidRPr="00490EFD" w:rsidRDefault="00490EFD" w:rsidP="00490EFD">
            <w:pPr>
              <w:jc w:val="right"/>
              <w:rPr>
                <w:color w:val="000000"/>
              </w:rPr>
            </w:pPr>
            <w:r w:rsidRPr="00490EFD">
              <w:rPr>
                <w:color w:val="000000"/>
              </w:rPr>
              <w:t>0.012</w:t>
            </w:r>
          </w:p>
        </w:tc>
        <w:tc>
          <w:tcPr>
            <w:tcW w:w="917" w:type="dxa"/>
          </w:tcPr>
          <w:p w:rsidR="00490EFD" w:rsidRPr="00490EFD" w:rsidRDefault="00490EFD" w:rsidP="00490EFD">
            <w:r w:rsidRPr="00490EFD">
              <w:t>0.122</w:t>
            </w:r>
          </w:p>
        </w:tc>
        <w:tc>
          <w:tcPr>
            <w:tcW w:w="920" w:type="dxa"/>
          </w:tcPr>
          <w:p w:rsidR="00490EFD" w:rsidRPr="00490EFD" w:rsidRDefault="00490EFD" w:rsidP="00490EFD">
            <w:pPr>
              <w:jc w:val="right"/>
            </w:pPr>
            <w:r w:rsidRPr="00490EFD">
              <w:t>0.115</w:t>
            </w:r>
          </w:p>
        </w:tc>
        <w:tc>
          <w:tcPr>
            <w:tcW w:w="920" w:type="dxa"/>
            <w:vAlign w:val="bottom"/>
          </w:tcPr>
          <w:p w:rsidR="00490EFD" w:rsidRPr="00490EFD" w:rsidRDefault="00490EFD" w:rsidP="00490EFD">
            <w:pPr>
              <w:jc w:val="right"/>
              <w:rPr>
                <w:color w:val="000000"/>
              </w:rPr>
            </w:pPr>
            <w:r w:rsidRPr="00490EFD">
              <w:rPr>
                <w:color w:val="000000"/>
              </w:rPr>
              <w:t>0.023</w:t>
            </w:r>
          </w:p>
        </w:tc>
        <w:tc>
          <w:tcPr>
            <w:tcW w:w="918" w:type="dxa"/>
          </w:tcPr>
          <w:p w:rsidR="00490EFD" w:rsidRPr="00490EFD" w:rsidRDefault="00490EFD" w:rsidP="00490EFD">
            <w:r w:rsidRPr="00490EFD">
              <w:t>0.416</w:t>
            </w:r>
          </w:p>
        </w:tc>
        <w:tc>
          <w:tcPr>
            <w:tcW w:w="918" w:type="dxa"/>
          </w:tcPr>
          <w:p w:rsidR="00490EFD" w:rsidRPr="00490EFD" w:rsidRDefault="00490EFD" w:rsidP="00490EFD">
            <w:pPr>
              <w:jc w:val="right"/>
            </w:pPr>
            <w:r w:rsidRPr="00490EFD">
              <w:t>0.392</w:t>
            </w:r>
          </w:p>
        </w:tc>
      </w:tr>
      <w:tr w:rsidR="00490EFD" w:rsidRPr="00490EFD" w:rsidTr="00AE372D">
        <w:trPr>
          <w:jc w:val="center"/>
        </w:trPr>
        <w:tc>
          <w:tcPr>
            <w:tcW w:w="939" w:type="dxa"/>
          </w:tcPr>
          <w:p w:rsidR="00490EFD" w:rsidRPr="00490EFD" w:rsidRDefault="00490EFD" w:rsidP="00490EFD">
            <w:pPr>
              <w:keepNext/>
              <w:rPr>
                <w:b/>
              </w:rPr>
            </w:pPr>
            <w:r w:rsidRPr="00490EFD">
              <w:rPr>
                <w:b/>
              </w:rPr>
              <w:t>2016</w:t>
            </w:r>
          </w:p>
        </w:tc>
        <w:tc>
          <w:tcPr>
            <w:tcW w:w="876" w:type="dxa"/>
            <w:vAlign w:val="bottom"/>
          </w:tcPr>
          <w:p w:rsidR="00490EFD" w:rsidRPr="00490EFD" w:rsidRDefault="00490EFD" w:rsidP="00490EFD">
            <w:pPr>
              <w:jc w:val="right"/>
              <w:rPr>
                <w:color w:val="000000"/>
              </w:rPr>
            </w:pPr>
            <w:r w:rsidRPr="00490EFD">
              <w:rPr>
                <w:color w:val="000000"/>
              </w:rPr>
              <w:t>0.046</w:t>
            </w:r>
          </w:p>
        </w:tc>
        <w:tc>
          <w:tcPr>
            <w:tcW w:w="867" w:type="dxa"/>
          </w:tcPr>
          <w:p w:rsidR="00490EFD" w:rsidRPr="00490EFD" w:rsidRDefault="00490EFD" w:rsidP="00490EFD">
            <w:r w:rsidRPr="00490EFD">
              <w:t>0.213</w:t>
            </w:r>
          </w:p>
        </w:tc>
        <w:tc>
          <w:tcPr>
            <w:tcW w:w="919" w:type="dxa"/>
          </w:tcPr>
          <w:p w:rsidR="00490EFD" w:rsidRPr="00490EFD" w:rsidRDefault="00490EFD" w:rsidP="00490EFD">
            <w:pPr>
              <w:jc w:val="right"/>
            </w:pPr>
            <w:r w:rsidRPr="00490EFD">
              <w:t>0.203</w:t>
            </w:r>
          </w:p>
        </w:tc>
        <w:tc>
          <w:tcPr>
            <w:tcW w:w="919" w:type="dxa"/>
            <w:vAlign w:val="bottom"/>
          </w:tcPr>
          <w:p w:rsidR="00490EFD" w:rsidRPr="00490EFD" w:rsidRDefault="00490EFD" w:rsidP="00490EFD">
            <w:pPr>
              <w:jc w:val="right"/>
              <w:rPr>
                <w:color w:val="000000"/>
              </w:rPr>
            </w:pPr>
            <w:r w:rsidRPr="00490EFD">
              <w:rPr>
                <w:color w:val="000000"/>
              </w:rPr>
              <w:t>0.015</w:t>
            </w:r>
          </w:p>
        </w:tc>
        <w:tc>
          <w:tcPr>
            <w:tcW w:w="917" w:type="dxa"/>
          </w:tcPr>
          <w:p w:rsidR="00490EFD" w:rsidRPr="00490EFD" w:rsidRDefault="00490EFD" w:rsidP="00490EFD">
            <w:r w:rsidRPr="00490EFD">
              <w:t>0.122</w:t>
            </w:r>
          </w:p>
        </w:tc>
        <w:tc>
          <w:tcPr>
            <w:tcW w:w="920" w:type="dxa"/>
          </w:tcPr>
          <w:p w:rsidR="00490EFD" w:rsidRPr="00490EFD" w:rsidRDefault="00490EFD" w:rsidP="00490EFD">
            <w:pPr>
              <w:jc w:val="right"/>
            </w:pPr>
            <w:r w:rsidRPr="00490EFD">
              <w:t>0.115</w:t>
            </w:r>
          </w:p>
        </w:tc>
        <w:tc>
          <w:tcPr>
            <w:tcW w:w="920" w:type="dxa"/>
            <w:vAlign w:val="bottom"/>
          </w:tcPr>
          <w:p w:rsidR="00490EFD" w:rsidRPr="00490EFD" w:rsidRDefault="00490EFD" w:rsidP="00490EFD">
            <w:pPr>
              <w:jc w:val="right"/>
              <w:rPr>
                <w:color w:val="000000"/>
              </w:rPr>
            </w:pPr>
            <w:r w:rsidRPr="00490EFD">
              <w:rPr>
                <w:color w:val="000000"/>
              </w:rPr>
              <w:t>0.030</w:t>
            </w:r>
          </w:p>
        </w:tc>
        <w:tc>
          <w:tcPr>
            <w:tcW w:w="918" w:type="dxa"/>
          </w:tcPr>
          <w:p w:rsidR="00490EFD" w:rsidRPr="00490EFD" w:rsidRDefault="00490EFD" w:rsidP="00490EFD">
            <w:r w:rsidRPr="00490EFD">
              <w:t>0.416</w:t>
            </w:r>
          </w:p>
        </w:tc>
        <w:tc>
          <w:tcPr>
            <w:tcW w:w="918" w:type="dxa"/>
          </w:tcPr>
          <w:p w:rsidR="00490EFD" w:rsidRPr="00490EFD" w:rsidRDefault="00490EFD" w:rsidP="00490EFD">
            <w:pPr>
              <w:jc w:val="right"/>
            </w:pPr>
            <w:r w:rsidRPr="00490EFD">
              <w:t>0.392</w:t>
            </w:r>
          </w:p>
        </w:tc>
      </w:tr>
      <w:tr w:rsidR="00490EFD" w:rsidRPr="00490EFD" w:rsidTr="00AE372D">
        <w:trPr>
          <w:jc w:val="center"/>
        </w:trPr>
        <w:tc>
          <w:tcPr>
            <w:tcW w:w="939" w:type="dxa"/>
          </w:tcPr>
          <w:p w:rsidR="00490EFD" w:rsidRPr="00490EFD" w:rsidRDefault="00490EFD" w:rsidP="00490EFD">
            <w:pPr>
              <w:keepNext/>
              <w:rPr>
                <w:b/>
              </w:rPr>
            </w:pPr>
            <w:r w:rsidRPr="00490EFD">
              <w:rPr>
                <w:b/>
              </w:rPr>
              <w:t>2017</w:t>
            </w:r>
          </w:p>
        </w:tc>
        <w:tc>
          <w:tcPr>
            <w:tcW w:w="876" w:type="dxa"/>
            <w:vAlign w:val="bottom"/>
          </w:tcPr>
          <w:p w:rsidR="00490EFD" w:rsidRPr="00490EFD" w:rsidRDefault="00490EFD" w:rsidP="00490EFD">
            <w:pPr>
              <w:jc w:val="right"/>
              <w:rPr>
                <w:color w:val="000000"/>
              </w:rPr>
            </w:pPr>
            <w:r w:rsidRPr="00490EFD">
              <w:rPr>
                <w:color w:val="000000"/>
              </w:rPr>
              <w:t>0.056</w:t>
            </w:r>
          </w:p>
        </w:tc>
        <w:tc>
          <w:tcPr>
            <w:tcW w:w="867" w:type="dxa"/>
          </w:tcPr>
          <w:p w:rsidR="00490EFD" w:rsidRPr="00490EFD" w:rsidRDefault="00490EFD" w:rsidP="00490EFD">
            <w:r w:rsidRPr="00490EFD">
              <w:t>0.213</w:t>
            </w:r>
          </w:p>
        </w:tc>
        <w:tc>
          <w:tcPr>
            <w:tcW w:w="919" w:type="dxa"/>
          </w:tcPr>
          <w:p w:rsidR="00490EFD" w:rsidRPr="00490EFD" w:rsidRDefault="00490EFD" w:rsidP="00490EFD">
            <w:pPr>
              <w:jc w:val="right"/>
            </w:pPr>
            <w:r w:rsidRPr="00490EFD">
              <w:t>0.203</w:t>
            </w:r>
          </w:p>
        </w:tc>
        <w:tc>
          <w:tcPr>
            <w:tcW w:w="919" w:type="dxa"/>
            <w:vAlign w:val="bottom"/>
          </w:tcPr>
          <w:p w:rsidR="00490EFD" w:rsidRPr="00490EFD" w:rsidRDefault="00490EFD" w:rsidP="00490EFD">
            <w:pPr>
              <w:jc w:val="right"/>
              <w:rPr>
                <w:color w:val="000000"/>
              </w:rPr>
            </w:pPr>
            <w:r w:rsidRPr="00490EFD">
              <w:rPr>
                <w:color w:val="000000"/>
              </w:rPr>
              <w:t>0.018</w:t>
            </w:r>
          </w:p>
        </w:tc>
        <w:tc>
          <w:tcPr>
            <w:tcW w:w="917" w:type="dxa"/>
          </w:tcPr>
          <w:p w:rsidR="00490EFD" w:rsidRPr="00490EFD" w:rsidRDefault="00490EFD" w:rsidP="00490EFD">
            <w:r w:rsidRPr="00490EFD">
              <w:t>0.122</w:t>
            </w:r>
          </w:p>
        </w:tc>
        <w:tc>
          <w:tcPr>
            <w:tcW w:w="920" w:type="dxa"/>
          </w:tcPr>
          <w:p w:rsidR="00490EFD" w:rsidRPr="00490EFD" w:rsidRDefault="00490EFD" w:rsidP="00490EFD">
            <w:pPr>
              <w:jc w:val="right"/>
            </w:pPr>
            <w:r w:rsidRPr="00490EFD">
              <w:t>0.115</w:t>
            </w:r>
          </w:p>
        </w:tc>
        <w:tc>
          <w:tcPr>
            <w:tcW w:w="920" w:type="dxa"/>
            <w:vAlign w:val="bottom"/>
          </w:tcPr>
          <w:p w:rsidR="00490EFD" w:rsidRPr="00490EFD" w:rsidRDefault="00490EFD" w:rsidP="00490EFD">
            <w:pPr>
              <w:jc w:val="right"/>
              <w:rPr>
                <w:color w:val="000000"/>
              </w:rPr>
            </w:pPr>
            <w:r w:rsidRPr="00490EFD">
              <w:rPr>
                <w:color w:val="000000"/>
              </w:rPr>
              <w:t>0.038</w:t>
            </w:r>
          </w:p>
        </w:tc>
        <w:tc>
          <w:tcPr>
            <w:tcW w:w="918" w:type="dxa"/>
          </w:tcPr>
          <w:p w:rsidR="00490EFD" w:rsidRPr="00490EFD" w:rsidRDefault="00490EFD" w:rsidP="00490EFD">
            <w:r w:rsidRPr="00490EFD">
              <w:t>0.416</w:t>
            </w:r>
          </w:p>
        </w:tc>
        <w:tc>
          <w:tcPr>
            <w:tcW w:w="918" w:type="dxa"/>
          </w:tcPr>
          <w:p w:rsidR="00490EFD" w:rsidRPr="00490EFD" w:rsidRDefault="00490EFD" w:rsidP="00490EFD">
            <w:pPr>
              <w:jc w:val="right"/>
            </w:pPr>
            <w:r w:rsidRPr="00490EFD">
              <w:t>0.392</w:t>
            </w:r>
          </w:p>
        </w:tc>
      </w:tr>
      <w:tr w:rsidR="00490EFD" w:rsidRPr="00490EFD" w:rsidTr="00AE372D">
        <w:trPr>
          <w:jc w:val="center"/>
        </w:trPr>
        <w:tc>
          <w:tcPr>
            <w:tcW w:w="939" w:type="dxa"/>
          </w:tcPr>
          <w:p w:rsidR="00490EFD" w:rsidRPr="00490EFD" w:rsidRDefault="00490EFD" w:rsidP="00490EFD">
            <w:pPr>
              <w:keepNext/>
              <w:rPr>
                <w:b/>
              </w:rPr>
            </w:pPr>
            <w:r w:rsidRPr="00490EFD">
              <w:rPr>
                <w:b/>
              </w:rPr>
              <w:t>2018</w:t>
            </w:r>
          </w:p>
        </w:tc>
        <w:tc>
          <w:tcPr>
            <w:tcW w:w="876" w:type="dxa"/>
            <w:vAlign w:val="bottom"/>
          </w:tcPr>
          <w:p w:rsidR="00490EFD" w:rsidRPr="00490EFD" w:rsidRDefault="00490EFD" w:rsidP="00490EFD">
            <w:pPr>
              <w:jc w:val="right"/>
              <w:rPr>
                <w:color w:val="000000"/>
              </w:rPr>
            </w:pPr>
            <w:r w:rsidRPr="00490EFD">
              <w:rPr>
                <w:color w:val="000000"/>
              </w:rPr>
              <w:t>0.067</w:t>
            </w:r>
          </w:p>
        </w:tc>
        <w:tc>
          <w:tcPr>
            <w:tcW w:w="867" w:type="dxa"/>
          </w:tcPr>
          <w:p w:rsidR="00490EFD" w:rsidRPr="00490EFD" w:rsidRDefault="00490EFD" w:rsidP="00490EFD">
            <w:r w:rsidRPr="00490EFD">
              <w:t>0.213</w:t>
            </w:r>
          </w:p>
        </w:tc>
        <w:tc>
          <w:tcPr>
            <w:tcW w:w="919" w:type="dxa"/>
          </w:tcPr>
          <w:p w:rsidR="00490EFD" w:rsidRPr="00490EFD" w:rsidRDefault="00490EFD" w:rsidP="00490EFD">
            <w:pPr>
              <w:jc w:val="right"/>
            </w:pPr>
            <w:r w:rsidRPr="00490EFD">
              <w:t>0.203</w:t>
            </w:r>
          </w:p>
        </w:tc>
        <w:tc>
          <w:tcPr>
            <w:tcW w:w="919" w:type="dxa"/>
            <w:vAlign w:val="bottom"/>
          </w:tcPr>
          <w:p w:rsidR="00490EFD" w:rsidRPr="00490EFD" w:rsidRDefault="00490EFD" w:rsidP="00490EFD">
            <w:pPr>
              <w:jc w:val="right"/>
              <w:rPr>
                <w:color w:val="000000"/>
              </w:rPr>
            </w:pPr>
            <w:r w:rsidRPr="00490EFD">
              <w:rPr>
                <w:color w:val="000000"/>
              </w:rPr>
              <w:t>0.022</w:t>
            </w:r>
          </w:p>
        </w:tc>
        <w:tc>
          <w:tcPr>
            <w:tcW w:w="917" w:type="dxa"/>
          </w:tcPr>
          <w:p w:rsidR="00490EFD" w:rsidRPr="00490EFD" w:rsidRDefault="00490EFD" w:rsidP="00490EFD">
            <w:r w:rsidRPr="00490EFD">
              <w:t>0.122</w:t>
            </w:r>
          </w:p>
        </w:tc>
        <w:tc>
          <w:tcPr>
            <w:tcW w:w="920" w:type="dxa"/>
          </w:tcPr>
          <w:p w:rsidR="00490EFD" w:rsidRPr="00490EFD" w:rsidRDefault="00490EFD" w:rsidP="00490EFD">
            <w:pPr>
              <w:jc w:val="right"/>
            </w:pPr>
            <w:r w:rsidRPr="00490EFD">
              <w:t>0.115</w:t>
            </w:r>
          </w:p>
        </w:tc>
        <w:tc>
          <w:tcPr>
            <w:tcW w:w="920" w:type="dxa"/>
            <w:vAlign w:val="bottom"/>
          </w:tcPr>
          <w:p w:rsidR="00490EFD" w:rsidRPr="00490EFD" w:rsidRDefault="00490EFD" w:rsidP="00490EFD">
            <w:pPr>
              <w:jc w:val="right"/>
              <w:rPr>
                <w:color w:val="000000"/>
              </w:rPr>
            </w:pPr>
            <w:r w:rsidRPr="00490EFD">
              <w:rPr>
                <w:color w:val="000000"/>
              </w:rPr>
              <w:t>0.045</w:t>
            </w:r>
          </w:p>
        </w:tc>
        <w:tc>
          <w:tcPr>
            <w:tcW w:w="918" w:type="dxa"/>
          </w:tcPr>
          <w:p w:rsidR="00490EFD" w:rsidRPr="00490EFD" w:rsidRDefault="00490EFD" w:rsidP="00490EFD">
            <w:r w:rsidRPr="00490EFD">
              <w:t>0.416</w:t>
            </w:r>
          </w:p>
        </w:tc>
        <w:tc>
          <w:tcPr>
            <w:tcW w:w="918" w:type="dxa"/>
          </w:tcPr>
          <w:p w:rsidR="00490EFD" w:rsidRPr="00490EFD" w:rsidRDefault="00490EFD" w:rsidP="00490EFD">
            <w:pPr>
              <w:jc w:val="right"/>
            </w:pPr>
            <w:r w:rsidRPr="00490EFD">
              <w:t>0.392</w:t>
            </w:r>
          </w:p>
        </w:tc>
      </w:tr>
      <w:tr w:rsidR="00490EFD" w:rsidRPr="00490EFD" w:rsidTr="00AE372D">
        <w:trPr>
          <w:jc w:val="center"/>
        </w:trPr>
        <w:tc>
          <w:tcPr>
            <w:tcW w:w="939" w:type="dxa"/>
          </w:tcPr>
          <w:p w:rsidR="00490EFD" w:rsidRPr="00490EFD" w:rsidRDefault="00490EFD" w:rsidP="00490EFD">
            <w:pPr>
              <w:keepNext/>
              <w:rPr>
                <w:b/>
              </w:rPr>
            </w:pPr>
            <w:r w:rsidRPr="00490EFD">
              <w:rPr>
                <w:b/>
              </w:rPr>
              <w:t>2019</w:t>
            </w:r>
          </w:p>
        </w:tc>
        <w:tc>
          <w:tcPr>
            <w:tcW w:w="876" w:type="dxa"/>
            <w:vAlign w:val="bottom"/>
          </w:tcPr>
          <w:p w:rsidR="00490EFD" w:rsidRPr="00490EFD" w:rsidRDefault="00490EFD" w:rsidP="00490EFD">
            <w:pPr>
              <w:jc w:val="right"/>
              <w:rPr>
                <w:color w:val="000000"/>
              </w:rPr>
            </w:pPr>
            <w:r w:rsidRPr="00490EFD">
              <w:rPr>
                <w:color w:val="000000"/>
              </w:rPr>
              <w:t>0.078</w:t>
            </w:r>
          </w:p>
        </w:tc>
        <w:tc>
          <w:tcPr>
            <w:tcW w:w="867" w:type="dxa"/>
          </w:tcPr>
          <w:p w:rsidR="00490EFD" w:rsidRPr="00490EFD" w:rsidRDefault="00490EFD" w:rsidP="00490EFD">
            <w:r w:rsidRPr="00490EFD">
              <w:t>0.213</w:t>
            </w:r>
          </w:p>
        </w:tc>
        <w:tc>
          <w:tcPr>
            <w:tcW w:w="919" w:type="dxa"/>
          </w:tcPr>
          <w:p w:rsidR="00490EFD" w:rsidRPr="00490EFD" w:rsidRDefault="00490EFD" w:rsidP="00490EFD">
            <w:pPr>
              <w:jc w:val="right"/>
            </w:pPr>
            <w:r w:rsidRPr="00490EFD">
              <w:t>0.203</w:t>
            </w:r>
          </w:p>
        </w:tc>
        <w:tc>
          <w:tcPr>
            <w:tcW w:w="919" w:type="dxa"/>
            <w:vAlign w:val="bottom"/>
          </w:tcPr>
          <w:p w:rsidR="00490EFD" w:rsidRPr="00490EFD" w:rsidRDefault="00490EFD" w:rsidP="00490EFD">
            <w:pPr>
              <w:jc w:val="right"/>
              <w:rPr>
                <w:color w:val="000000"/>
              </w:rPr>
            </w:pPr>
            <w:r w:rsidRPr="00490EFD">
              <w:rPr>
                <w:color w:val="000000"/>
              </w:rPr>
              <w:t>0.025</w:t>
            </w:r>
          </w:p>
        </w:tc>
        <w:tc>
          <w:tcPr>
            <w:tcW w:w="917" w:type="dxa"/>
          </w:tcPr>
          <w:p w:rsidR="00490EFD" w:rsidRPr="00490EFD" w:rsidRDefault="00490EFD" w:rsidP="00490EFD">
            <w:r w:rsidRPr="00490EFD">
              <w:t>0.122</w:t>
            </w:r>
          </w:p>
        </w:tc>
        <w:tc>
          <w:tcPr>
            <w:tcW w:w="920" w:type="dxa"/>
          </w:tcPr>
          <w:p w:rsidR="00490EFD" w:rsidRPr="00490EFD" w:rsidRDefault="00490EFD" w:rsidP="00490EFD">
            <w:pPr>
              <w:jc w:val="right"/>
            </w:pPr>
            <w:r w:rsidRPr="00490EFD">
              <w:t>0.115</w:t>
            </w:r>
          </w:p>
        </w:tc>
        <w:tc>
          <w:tcPr>
            <w:tcW w:w="920" w:type="dxa"/>
            <w:vAlign w:val="bottom"/>
          </w:tcPr>
          <w:p w:rsidR="00490EFD" w:rsidRPr="00490EFD" w:rsidRDefault="00490EFD" w:rsidP="00490EFD">
            <w:pPr>
              <w:jc w:val="right"/>
              <w:rPr>
                <w:color w:val="000000"/>
              </w:rPr>
            </w:pPr>
            <w:r w:rsidRPr="00490EFD">
              <w:rPr>
                <w:color w:val="000000"/>
              </w:rPr>
              <w:t>0.053</w:t>
            </w:r>
          </w:p>
        </w:tc>
        <w:tc>
          <w:tcPr>
            <w:tcW w:w="918" w:type="dxa"/>
          </w:tcPr>
          <w:p w:rsidR="00490EFD" w:rsidRPr="00490EFD" w:rsidRDefault="00490EFD" w:rsidP="00490EFD">
            <w:r w:rsidRPr="00490EFD">
              <w:t>0.416</w:t>
            </w:r>
          </w:p>
        </w:tc>
        <w:tc>
          <w:tcPr>
            <w:tcW w:w="918" w:type="dxa"/>
          </w:tcPr>
          <w:p w:rsidR="00490EFD" w:rsidRPr="00490EFD" w:rsidRDefault="00490EFD" w:rsidP="00490EFD">
            <w:pPr>
              <w:jc w:val="right"/>
            </w:pPr>
            <w:r w:rsidRPr="00490EFD">
              <w:t>0.392</w:t>
            </w:r>
          </w:p>
        </w:tc>
      </w:tr>
      <w:tr w:rsidR="00490EFD" w:rsidRPr="00490EFD" w:rsidTr="00AE372D">
        <w:trPr>
          <w:jc w:val="center"/>
        </w:trPr>
        <w:tc>
          <w:tcPr>
            <w:tcW w:w="939" w:type="dxa"/>
          </w:tcPr>
          <w:p w:rsidR="00490EFD" w:rsidRPr="00490EFD" w:rsidRDefault="00490EFD" w:rsidP="00490EFD">
            <w:pPr>
              <w:keepNext/>
              <w:rPr>
                <w:b/>
              </w:rPr>
            </w:pPr>
            <w:r w:rsidRPr="00490EFD">
              <w:rPr>
                <w:b/>
              </w:rPr>
              <w:t>2020</w:t>
            </w:r>
          </w:p>
        </w:tc>
        <w:tc>
          <w:tcPr>
            <w:tcW w:w="876" w:type="dxa"/>
            <w:vAlign w:val="bottom"/>
          </w:tcPr>
          <w:p w:rsidR="00490EFD" w:rsidRPr="00490EFD" w:rsidRDefault="00490EFD" w:rsidP="00490EFD">
            <w:pPr>
              <w:jc w:val="right"/>
              <w:rPr>
                <w:color w:val="000000"/>
              </w:rPr>
            </w:pPr>
            <w:r w:rsidRPr="00490EFD">
              <w:rPr>
                <w:color w:val="000000"/>
              </w:rPr>
              <w:t>0.089</w:t>
            </w:r>
          </w:p>
        </w:tc>
        <w:tc>
          <w:tcPr>
            <w:tcW w:w="867" w:type="dxa"/>
          </w:tcPr>
          <w:p w:rsidR="00490EFD" w:rsidRPr="00490EFD" w:rsidRDefault="00490EFD" w:rsidP="00490EFD">
            <w:r w:rsidRPr="00490EFD">
              <w:t>0.213</w:t>
            </w:r>
          </w:p>
        </w:tc>
        <w:tc>
          <w:tcPr>
            <w:tcW w:w="919" w:type="dxa"/>
          </w:tcPr>
          <w:p w:rsidR="00490EFD" w:rsidRPr="00490EFD" w:rsidRDefault="00490EFD" w:rsidP="00490EFD">
            <w:pPr>
              <w:jc w:val="right"/>
            </w:pPr>
            <w:r w:rsidRPr="00490EFD">
              <w:t>0.203</w:t>
            </w:r>
          </w:p>
        </w:tc>
        <w:tc>
          <w:tcPr>
            <w:tcW w:w="919" w:type="dxa"/>
            <w:vAlign w:val="bottom"/>
          </w:tcPr>
          <w:p w:rsidR="00490EFD" w:rsidRPr="00490EFD" w:rsidRDefault="00490EFD" w:rsidP="00490EFD">
            <w:pPr>
              <w:jc w:val="right"/>
              <w:rPr>
                <w:color w:val="000000"/>
              </w:rPr>
            </w:pPr>
            <w:r w:rsidRPr="00490EFD">
              <w:rPr>
                <w:color w:val="000000"/>
              </w:rPr>
              <w:t>0.028</w:t>
            </w:r>
          </w:p>
        </w:tc>
        <w:tc>
          <w:tcPr>
            <w:tcW w:w="917" w:type="dxa"/>
          </w:tcPr>
          <w:p w:rsidR="00490EFD" w:rsidRPr="00490EFD" w:rsidRDefault="00490EFD" w:rsidP="00490EFD">
            <w:r w:rsidRPr="00490EFD">
              <w:t>0.122</w:t>
            </w:r>
          </w:p>
        </w:tc>
        <w:tc>
          <w:tcPr>
            <w:tcW w:w="920" w:type="dxa"/>
          </w:tcPr>
          <w:p w:rsidR="00490EFD" w:rsidRPr="00490EFD" w:rsidRDefault="00490EFD" w:rsidP="00490EFD">
            <w:pPr>
              <w:jc w:val="right"/>
            </w:pPr>
            <w:r w:rsidRPr="00490EFD">
              <w:t>0.115</w:t>
            </w:r>
          </w:p>
        </w:tc>
        <w:tc>
          <w:tcPr>
            <w:tcW w:w="920" w:type="dxa"/>
            <w:vAlign w:val="bottom"/>
          </w:tcPr>
          <w:p w:rsidR="00490EFD" w:rsidRPr="00490EFD" w:rsidRDefault="00490EFD" w:rsidP="00490EFD">
            <w:pPr>
              <w:jc w:val="right"/>
              <w:rPr>
                <w:color w:val="000000"/>
              </w:rPr>
            </w:pPr>
            <w:r w:rsidRPr="00490EFD">
              <w:rPr>
                <w:color w:val="000000"/>
              </w:rPr>
              <w:t>0.060</w:t>
            </w:r>
          </w:p>
        </w:tc>
        <w:tc>
          <w:tcPr>
            <w:tcW w:w="918" w:type="dxa"/>
          </w:tcPr>
          <w:p w:rsidR="00490EFD" w:rsidRPr="00490EFD" w:rsidRDefault="00490EFD" w:rsidP="00490EFD">
            <w:r w:rsidRPr="00490EFD">
              <w:t>0.416</w:t>
            </w:r>
          </w:p>
        </w:tc>
        <w:tc>
          <w:tcPr>
            <w:tcW w:w="918" w:type="dxa"/>
          </w:tcPr>
          <w:p w:rsidR="00490EFD" w:rsidRPr="00490EFD" w:rsidRDefault="00490EFD" w:rsidP="00490EFD">
            <w:pPr>
              <w:jc w:val="right"/>
            </w:pPr>
            <w:r w:rsidRPr="00490EFD">
              <w:t>0.392</w:t>
            </w:r>
          </w:p>
        </w:tc>
      </w:tr>
      <w:tr w:rsidR="00490EFD" w:rsidRPr="00490EFD" w:rsidTr="00AE372D">
        <w:trPr>
          <w:jc w:val="center"/>
        </w:trPr>
        <w:tc>
          <w:tcPr>
            <w:tcW w:w="939" w:type="dxa"/>
          </w:tcPr>
          <w:p w:rsidR="00490EFD" w:rsidRPr="00490EFD" w:rsidRDefault="00490EFD" w:rsidP="00490EFD">
            <w:pPr>
              <w:keepNext/>
              <w:rPr>
                <w:b/>
              </w:rPr>
            </w:pPr>
            <w:r w:rsidRPr="00490EFD">
              <w:rPr>
                <w:b/>
              </w:rPr>
              <w:t>2021</w:t>
            </w:r>
          </w:p>
        </w:tc>
        <w:tc>
          <w:tcPr>
            <w:tcW w:w="876" w:type="dxa"/>
            <w:vAlign w:val="bottom"/>
          </w:tcPr>
          <w:p w:rsidR="00490EFD" w:rsidRPr="00490EFD" w:rsidRDefault="00490EFD" w:rsidP="00490EFD">
            <w:pPr>
              <w:jc w:val="right"/>
              <w:rPr>
                <w:color w:val="000000"/>
              </w:rPr>
            </w:pPr>
            <w:r w:rsidRPr="00490EFD">
              <w:rPr>
                <w:color w:val="000000"/>
              </w:rPr>
              <w:t>0.099</w:t>
            </w:r>
          </w:p>
        </w:tc>
        <w:tc>
          <w:tcPr>
            <w:tcW w:w="867" w:type="dxa"/>
          </w:tcPr>
          <w:p w:rsidR="00490EFD" w:rsidRPr="00490EFD" w:rsidRDefault="00490EFD" w:rsidP="00490EFD">
            <w:r w:rsidRPr="00490EFD">
              <w:t>0.213</w:t>
            </w:r>
          </w:p>
        </w:tc>
        <w:tc>
          <w:tcPr>
            <w:tcW w:w="919" w:type="dxa"/>
          </w:tcPr>
          <w:p w:rsidR="00490EFD" w:rsidRPr="00490EFD" w:rsidRDefault="00490EFD" w:rsidP="00490EFD">
            <w:pPr>
              <w:jc w:val="right"/>
            </w:pPr>
            <w:r w:rsidRPr="00490EFD">
              <w:t>0.203</w:t>
            </w:r>
          </w:p>
        </w:tc>
        <w:tc>
          <w:tcPr>
            <w:tcW w:w="919" w:type="dxa"/>
            <w:vAlign w:val="bottom"/>
          </w:tcPr>
          <w:p w:rsidR="00490EFD" w:rsidRPr="00490EFD" w:rsidRDefault="00490EFD" w:rsidP="00490EFD">
            <w:pPr>
              <w:jc w:val="right"/>
              <w:rPr>
                <w:color w:val="000000"/>
              </w:rPr>
            </w:pPr>
            <w:r w:rsidRPr="00490EFD">
              <w:rPr>
                <w:color w:val="000000"/>
              </w:rPr>
              <w:t>0.031</w:t>
            </w:r>
          </w:p>
        </w:tc>
        <w:tc>
          <w:tcPr>
            <w:tcW w:w="917" w:type="dxa"/>
          </w:tcPr>
          <w:p w:rsidR="00490EFD" w:rsidRPr="00490EFD" w:rsidRDefault="00490EFD" w:rsidP="00490EFD">
            <w:r w:rsidRPr="00490EFD">
              <w:t>0.122</w:t>
            </w:r>
          </w:p>
        </w:tc>
        <w:tc>
          <w:tcPr>
            <w:tcW w:w="920" w:type="dxa"/>
          </w:tcPr>
          <w:p w:rsidR="00490EFD" w:rsidRPr="00490EFD" w:rsidRDefault="00490EFD" w:rsidP="00490EFD">
            <w:pPr>
              <w:jc w:val="right"/>
            </w:pPr>
            <w:r w:rsidRPr="00490EFD">
              <w:t>0.115</w:t>
            </w:r>
          </w:p>
        </w:tc>
        <w:tc>
          <w:tcPr>
            <w:tcW w:w="920" w:type="dxa"/>
            <w:vAlign w:val="bottom"/>
          </w:tcPr>
          <w:p w:rsidR="00490EFD" w:rsidRPr="00490EFD" w:rsidRDefault="00490EFD" w:rsidP="00490EFD">
            <w:pPr>
              <w:jc w:val="right"/>
              <w:rPr>
                <w:color w:val="000000"/>
              </w:rPr>
            </w:pPr>
            <w:r w:rsidRPr="00490EFD">
              <w:rPr>
                <w:color w:val="000000"/>
              </w:rPr>
              <w:t>0.067</w:t>
            </w:r>
          </w:p>
        </w:tc>
        <w:tc>
          <w:tcPr>
            <w:tcW w:w="918" w:type="dxa"/>
          </w:tcPr>
          <w:p w:rsidR="00490EFD" w:rsidRPr="00490EFD" w:rsidRDefault="00490EFD" w:rsidP="00490EFD">
            <w:r w:rsidRPr="00490EFD">
              <w:t>0.416</w:t>
            </w:r>
          </w:p>
        </w:tc>
        <w:tc>
          <w:tcPr>
            <w:tcW w:w="918" w:type="dxa"/>
          </w:tcPr>
          <w:p w:rsidR="00490EFD" w:rsidRPr="00490EFD" w:rsidRDefault="00490EFD" w:rsidP="00490EFD">
            <w:pPr>
              <w:jc w:val="right"/>
            </w:pPr>
            <w:r w:rsidRPr="00490EFD">
              <w:t>0.392</w:t>
            </w:r>
          </w:p>
        </w:tc>
      </w:tr>
      <w:tr w:rsidR="00490EFD" w:rsidRPr="00490EFD" w:rsidTr="00AE372D">
        <w:trPr>
          <w:jc w:val="center"/>
        </w:trPr>
        <w:tc>
          <w:tcPr>
            <w:tcW w:w="939" w:type="dxa"/>
          </w:tcPr>
          <w:p w:rsidR="00490EFD" w:rsidRPr="00490EFD" w:rsidRDefault="00490EFD" w:rsidP="00490EFD">
            <w:pPr>
              <w:keepNext/>
              <w:rPr>
                <w:b/>
              </w:rPr>
            </w:pPr>
            <w:r w:rsidRPr="00490EFD">
              <w:rPr>
                <w:b/>
              </w:rPr>
              <w:t>2022</w:t>
            </w:r>
          </w:p>
        </w:tc>
        <w:tc>
          <w:tcPr>
            <w:tcW w:w="876" w:type="dxa"/>
            <w:vAlign w:val="bottom"/>
          </w:tcPr>
          <w:p w:rsidR="00490EFD" w:rsidRPr="00490EFD" w:rsidRDefault="00490EFD" w:rsidP="00490EFD">
            <w:pPr>
              <w:jc w:val="right"/>
              <w:rPr>
                <w:color w:val="000000"/>
              </w:rPr>
            </w:pPr>
            <w:r w:rsidRPr="00490EFD">
              <w:rPr>
                <w:color w:val="000000"/>
              </w:rPr>
              <w:t>0.107</w:t>
            </w:r>
          </w:p>
        </w:tc>
        <w:tc>
          <w:tcPr>
            <w:tcW w:w="867" w:type="dxa"/>
          </w:tcPr>
          <w:p w:rsidR="00490EFD" w:rsidRPr="00490EFD" w:rsidRDefault="00490EFD" w:rsidP="00490EFD">
            <w:r w:rsidRPr="00490EFD">
              <w:t>0.213</w:t>
            </w:r>
          </w:p>
        </w:tc>
        <w:tc>
          <w:tcPr>
            <w:tcW w:w="919" w:type="dxa"/>
          </w:tcPr>
          <w:p w:rsidR="00490EFD" w:rsidRPr="00490EFD" w:rsidRDefault="00490EFD" w:rsidP="00490EFD">
            <w:pPr>
              <w:jc w:val="right"/>
            </w:pPr>
            <w:r w:rsidRPr="00490EFD">
              <w:t>0.203</w:t>
            </w:r>
          </w:p>
        </w:tc>
        <w:tc>
          <w:tcPr>
            <w:tcW w:w="919" w:type="dxa"/>
            <w:vAlign w:val="bottom"/>
          </w:tcPr>
          <w:p w:rsidR="00490EFD" w:rsidRPr="00490EFD" w:rsidRDefault="00490EFD" w:rsidP="00490EFD">
            <w:pPr>
              <w:jc w:val="right"/>
              <w:rPr>
                <w:color w:val="000000"/>
              </w:rPr>
            </w:pPr>
            <w:r w:rsidRPr="00490EFD">
              <w:rPr>
                <w:color w:val="000000"/>
              </w:rPr>
              <w:t>0.034</w:t>
            </w:r>
          </w:p>
        </w:tc>
        <w:tc>
          <w:tcPr>
            <w:tcW w:w="917" w:type="dxa"/>
          </w:tcPr>
          <w:p w:rsidR="00490EFD" w:rsidRPr="00490EFD" w:rsidRDefault="00490EFD" w:rsidP="00490EFD">
            <w:r w:rsidRPr="00490EFD">
              <w:t>0.122</w:t>
            </w:r>
          </w:p>
        </w:tc>
        <w:tc>
          <w:tcPr>
            <w:tcW w:w="920" w:type="dxa"/>
          </w:tcPr>
          <w:p w:rsidR="00490EFD" w:rsidRPr="00490EFD" w:rsidRDefault="00490EFD" w:rsidP="00490EFD">
            <w:pPr>
              <w:jc w:val="right"/>
            </w:pPr>
            <w:r w:rsidRPr="00490EFD">
              <w:t>0.115</w:t>
            </w:r>
          </w:p>
        </w:tc>
        <w:tc>
          <w:tcPr>
            <w:tcW w:w="920" w:type="dxa"/>
            <w:vAlign w:val="bottom"/>
          </w:tcPr>
          <w:p w:rsidR="00490EFD" w:rsidRPr="00490EFD" w:rsidRDefault="00490EFD" w:rsidP="00490EFD">
            <w:pPr>
              <w:jc w:val="right"/>
              <w:rPr>
                <w:color w:val="000000"/>
              </w:rPr>
            </w:pPr>
            <w:r w:rsidRPr="00490EFD">
              <w:rPr>
                <w:color w:val="000000"/>
              </w:rPr>
              <w:t>0.073</w:t>
            </w:r>
          </w:p>
        </w:tc>
        <w:tc>
          <w:tcPr>
            <w:tcW w:w="918" w:type="dxa"/>
          </w:tcPr>
          <w:p w:rsidR="00490EFD" w:rsidRPr="00490EFD" w:rsidRDefault="00490EFD" w:rsidP="00490EFD">
            <w:r w:rsidRPr="00490EFD">
              <w:t>0.416</w:t>
            </w:r>
          </w:p>
        </w:tc>
        <w:tc>
          <w:tcPr>
            <w:tcW w:w="918" w:type="dxa"/>
          </w:tcPr>
          <w:p w:rsidR="00490EFD" w:rsidRPr="00490EFD" w:rsidRDefault="00490EFD" w:rsidP="00490EFD">
            <w:pPr>
              <w:jc w:val="right"/>
            </w:pPr>
            <w:r w:rsidRPr="00490EFD">
              <w:t>0.392</w:t>
            </w:r>
          </w:p>
        </w:tc>
      </w:tr>
      <w:tr w:rsidR="00490EFD" w:rsidRPr="00490EFD" w:rsidTr="00AE372D">
        <w:trPr>
          <w:jc w:val="center"/>
        </w:trPr>
        <w:tc>
          <w:tcPr>
            <w:tcW w:w="939" w:type="dxa"/>
          </w:tcPr>
          <w:p w:rsidR="00490EFD" w:rsidRPr="00490EFD" w:rsidRDefault="00490EFD" w:rsidP="00490EFD">
            <w:pPr>
              <w:keepNext/>
              <w:rPr>
                <w:b/>
              </w:rPr>
            </w:pPr>
            <w:r w:rsidRPr="00490EFD">
              <w:rPr>
                <w:b/>
              </w:rPr>
              <w:t>2023</w:t>
            </w:r>
          </w:p>
        </w:tc>
        <w:tc>
          <w:tcPr>
            <w:tcW w:w="876" w:type="dxa"/>
            <w:vAlign w:val="bottom"/>
          </w:tcPr>
          <w:p w:rsidR="00490EFD" w:rsidRPr="00490EFD" w:rsidRDefault="00490EFD" w:rsidP="00490EFD">
            <w:pPr>
              <w:jc w:val="right"/>
              <w:rPr>
                <w:color w:val="000000"/>
              </w:rPr>
            </w:pPr>
            <w:r w:rsidRPr="00490EFD">
              <w:rPr>
                <w:color w:val="000000"/>
              </w:rPr>
              <w:t>0.117</w:t>
            </w:r>
          </w:p>
        </w:tc>
        <w:tc>
          <w:tcPr>
            <w:tcW w:w="867" w:type="dxa"/>
          </w:tcPr>
          <w:p w:rsidR="00490EFD" w:rsidRPr="00490EFD" w:rsidRDefault="00490EFD" w:rsidP="00490EFD">
            <w:r w:rsidRPr="00490EFD">
              <w:t>0.213</w:t>
            </w:r>
          </w:p>
        </w:tc>
        <w:tc>
          <w:tcPr>
            <w:tcW w:w="919" w:type="dxa"/>
          </w:tcPr>
          <w:p w:rsidR="00490EFD" w:rsidRPr="00490EFD" w:rsidRDefault="00490EFD" w:rsidP="00490EFD">
            <w:pPr>
              <w:jc w:val="right"/>
            </w:pPr>
            <w:r w:rsidRPr="00490EFD">
              <w:t>0.203</w:t>
            </w:r>
          </w:p>
        </w:tc>
        <w:tc>
          <w:tcPr>
            <w:tcW w:w="919" w:type="dxa"/>
            <w:vAlign w:val="bottom"/>
          </w:tcPr>
          <w:p w:rsidR="00490EFD" w:rsidRPr="00490EFD" w:rsidRDefault="00490EFD" w:rsidP="00490EFD">
            <w:pPr>
              <w:jc w:val="right"/>
              <w:rPr>
                <w:color w:val="000000"/>
              </w:rPr>
            </w:pPr>
            <w:r w:rsidRPr="00490EFD">
              <w:rPr>
                <w:color w:val="000000"/>
              </w:rPr>
              <w:t>0.036</w:t>
            </w:r>
          </w:p>
        </w:tc>
        <w:tc>
          <w:tcPr>
            <w:tcW w:w="917" w:type="dxa"/>
          </w:tcPr>
          <w:p w:rsidR="00490EFD" w:rsidRPr="00490EFD" w:rsidRDefault="00490EFD" w:rsidP="00490EFD">
            <w:r w:rsidRPr="00490EFD">
              <w:t>0.122</w:t>
            </w:r>
          </w:p>
        </w:tc>
        <w:tc>
          <w:tcPr>
            <w:tcW w:w="920" w:type="dxa"/>
          </w:tcPr>
          <w:p w:rsidR="00490EFD" w:rsidRPr="00490EFD" w:rsidRDefault="00490EFD" w:rsidP="00490EFD">
            <w:pPr>
              <w:jc w:val="right"/>
            </w:pPr>
            <w:r w:rsidRPr="00490EFD">
              <w:t>0.115</w:t>
            </w:r>
          </w:p>
        </w:tc>
        <w:tc>
          <w:tcPr>
            <w:tcW w:w="920" w:type="dxa"/>
            <w:vAlign w:val="bottom"/>
          </w:tcPr>
          <w:p w:rsidR="00490EFD" w:rsidRPr="00490EFD" w:rsidRDefault="00490EFD" w:rsidP="00490EFD">
            <w:pPr>
              <w:jc w:val="right"/>
              <w:rPr>
                <w:color w:val="000000"/>
              </w:rPr>
            </w:pPr>
            <w:r w:rsidRPr="00490EFD">
              <w:rPr>
                <w:color w:val="000000"/>
              </w:rPr>
              <w:t>0.078</w:t>
            </w:r>
          </w:p>
        </w:tc>
        <w:tc>
          <w:tcPr>
            <w:tcW w:w="918" w:type="dxa"/>
          </w:tcPr>
          <w:p w:rsidR="00490EFD" w:rsidRPr="00490EFD" w:rsidRDefault="00490EFD" w:rsidP="00490EFD">
            <w:r w:rsidRPr="00490EFD">
              <w:t>0.416</w:t>
            </w:r>
          </w:p>
        </w:tc>
        <w:tc>
          <w:tcPr>
            <w:tcW w:w="918" w:type="dxa"/>
          </w:tcPr>
          <w:p w:rsidR="00490EFD" w:rsidRPr="00490EFD" w:rsidRDefault="00490EFD" w:rsidP="00490EFD">
            <w:pPr>
              <w:jc w:val="right"/>
            </w:pPr>
            <w:r w:rsidRPr="00490EFD">
              <w:t>0.392</w:t>
            </w:r>
          </w:p>
        </w:tc>
      </w:tr>
      <w:tr w:rsidR="00490EFD" w:rsidRPr="00490EFD" w:rsidTr="00AE372D">
        <w:trPr>
          <w:jc w:val="center"/>
        </w:trPr>
        <w:tc>
          <w:tcPr>
            <w:tcW w:w="939" w:type="dxa"/>
          </w:tcPr>
          <w:p w:rsidR="00490EFD" w:rsidRPr="00490EFD" w:rsidRDefault="00490EFD" w:rsidP="00490EFD">
            <w:pPr>
              <w:keepNext/>
              <w:rPr>
                <w:b/>
              </w:rPr>
            </w:pPr>
            <w:r w:rsidRPr="00490EFD">
              <w:rPr>
                <w:b/>
              </w:rPr>
              <w:t>2024</w:t>
            </w:r>
          </w:p>
        </w:tc>
        <w:tc>
          <w:tcPr>
            <w:tcW w:w="876" w:type="dxa"/>
            <w:vAlign w:val="bottom"/>
          </w:tcPr>
          <w:p w:rsidR="00490EFD" w:rsidRPr="00490EFD" w:rsidRDefault="00490EFD" w:rsidP="00490EFD">
            <w:pPr>
              <w:jc w:val="right"/>
              <w:rPr>
                <w:color w:val="000000"/>
              </w:rPr>
            </w:pPr>
            <w:r w:rsidRPr="00490EFD">
              <w:rPr>
                <w:color w:val="000000"/>
              </w:rPr>
              <w:t>0.123</w:t>
            </w:r>
          </w:p>
        </w:tc>
        <w:tc>
          <w:tcPr>
            <w:tcW w:w="867" w:type="dxa"/>
          </w:tcPr>
          <w:p w:rsidR="00490EFD" w:rsidRPr="00490EFD" w:rsidRDefault="00490EFD" w:rsidP="00490EFD">
            <w:r w:rsidRPr="00490EFD">
              <w:t>0.213</w:t>
            </w:r>
          </w:p>
        </w:tc>
        <w:tc>
          <w:tcPr>
            <w:tcW w:w="919" w:type="dxa"/>
          </w:tcPr>
          <w:p w:rsidR="00490EFD" w:rsidRPr="00490EFD" w:rsidRDefault="00490EFD" w:rsidP="00490EFD">
            <w:pPr>
              <w:jc w:val="right"/>
            </w:pPr>
            <w:r w:rsidRPr="00490EFD">
              <w:t>0.203</w:t>
            </w:r>
          </w:p>
        </w:tc>
        <w:tc>
          <w:tcPr>
            <w:tcW w:w="919" w:type="dxa"/>
            <w:vAlign w:val="bottom"/>
          </w:tcPr>
          <w:p w:rsidR="00490EFD" w:rsidRPr="00490EFD" w:rsidRDefault="00490EFD" w:rsidP="00490EFD">
            <w:pPr>
              <w:jc w:val="right"/>
              <w:rPr>
                <w:color w:val="000000"/>
              </w:rPr>
            </w:pPr>
            <w:r w:rsidRPr="00490EFD">
              <w:rPr>
                <w:color w:val="000000"/>
              </w:rPr>
              <w:t>0.039</w:t>
            </w:r>
          </w:p>
        </w:tc>
        <w:tc>
          <w:tcPr>
            <w:tcW w:w="917" w:type="dxa"/>
          </w:tcPr>
          <w:p w:rsidR="00490EFD" w:rsidRPr="00490EFD" w:rsidRDefault="00490EFD" w:rsidP="00490EFD">
            <w:r w:rsidRPr="00490EFD">
              <w:t>0.122</w:t>
            </w:r>
          </w:p>
        </w:tc>
        <w:tc>
          <w:tcPr>
            <w:tcW w:w="920" w:type="dxa"/>
          </w:tcPr>
          <w:p w:rsidR="00490EFD" w:rsidRPr="00490EFD" w:rsidRDefault="00490EFD" w:rsidP="00490EFD">
            <w:pPr>
              <w:jc w:val="right"/>
            </w:pPr>
            <w:r w:rsidRPr="00490EFD">
              <w:t>0.115</w:t>
            </w:r>
          </w:p>
        </w:tc>
        <w:tc>
          <w:tcPr>
            <w:tcW w:w="920" w:type="dxa"/>
            <w:vAlign w:val="bottom"/>
          </w:tcPr>
          <w:p w:rsidR="00490EFD" w:rsidRPr="00490EFD" w:rsidRDefault="00490EFD" w:rsidP="00490EFD">
            <w:pPr>
              <w:jc w:val="right"/>
              <w:rPr>
                <w:color w:val="000000"/>
              </w:rPr>
            </w:pPr>
            <w:r w:rsidRPr="00490EFD">
              <w:rPr>
                <w:color w:val="000000"/>
              </w:rPr>
              <w:t>0.084</w:t>
            </w:r>
          </w:p>
        </w:tc>
        <w:tc>
          <w:tcPr>
            <w:tcW w:w="918" w:type="dxa"/>
          </w:tcPr>
          <w:p w:rsidR="00490EFD" w:rsidRPr="00490EFD" w:rsidRDefault="00490EFD" w:rsidP="00490EFD">
            <w:r w:rsidRPr="00490EFD">
              <w:t>0.416</w:t>
            </w:r>
          </w:p>
        </w:tc>
        <w:tc>
          <w:tcPr>
            <w:tcW w:w="918" w:type="dxa"/>
          </w:tcPr>
          <w:p w:rsidR="00490EFD" w:rsidRPr="00490EFD" w:rsidRDefault="00490EFD" w:rsidP="00490EFD">
            <w:pPr>
              <w:jc w:val="right"/>
            </w:pPr>
            <w:r w:rsidRPr="00490EFD">
              <w:t>0.392</w:t>
            </w:r>
          </w:p>
        </w:tc>
      </w:tr>
      <w:tr w:rsidR="00490EFD" w:rsidRPr="00490EFD" w:rsidTr="00AE372D">
        <w:trPr>
          <w:jc w:val="center"/>
        </w:trPr>
        <w:tc>
          <w:tcPr>
            <w:tcW w:w="939" w:type="dxa"/>
          </w:tcPr>
          <w:p w:rsidR="00490EFD" w:rsidRPr="00490EFD" w:rsidRDefault="00490EFD" w:rsidP="00490EFD">
            <w:pPr>
              <w:keepNext/>
              <w:rPr>
                <w:b/>
              </w:rPr>
            </w:pPr>
            <w:r w:rsidRPr="00490EFD">
              <w:rPr>
                <w:b/>
              </w:rPr>
              <w:t>Total</w:t>
            </w:r>
            <w:r w:rsidRPr="00490EFD">
              <w:rPr>
                <w:b/>
                <w:vertAlign w:val="superscript"/>
              </w:rPr>
              <w:footnoteReference w:id="6"/>
            </w:r>
          </w:p>
        </w:tc>
        <w:tc>
          <w:tcPr>
            <w:tcW w:w="876" w:type="dxa"/>
            <w:vAlign w:val="bottom"/>
          </w:tcPr>
          <w:p w:rsidR="00490EFD" w:rsidRPr="00490EFD" w:rsidRDefault="00490EFD" w:rsidP="00490EFD">
            <w:pPr>
              <w:jc w:val="right"/>
              <w:rPr>
                <w:b/>
                <w:bCs/>
                <w:color w:val="000000"/>
              </w:rPr>
            </w:pPr>
            <w:r w:rsidRPr="00490EFD">
              <w:rPr>
                <w:b/>
                <w:bCs/>
                <w:color w:val="000000"/>
              </w:rPr>
              <w:t>0.818</w:t>
            </w:r>
          </w:p>
        </w:tc>
        <w:tc>
          <w:tcPr>
            <w:tcW w:w="867" w:type="dxa"/>
          </w:tcPr>
          <w:p w:rsidR="00490EFD" w:rsidRPr="00490EFD" w:rsidRDefault="00490EFD" w:rsidP="00490EFD">
            <w:pPr>
              <w:rPr>
                <w:b/>
              </w:rPr>
            </w:pPr>
            <w:r w:rsidRPr="00490EFD">
              <w:rPr>
                <w:b/>
              </w:rPr>
              <w:t>2.130</w:t>
            </w:r>
          </w:p>
        </w:tc>
        <w:tc>
          <w:tcPr>
            <w:tcW w:w="919" w:type="dxa"/>
          </w:tcPr>
          <w:p w:rsidR="00490EFD" w:rsidRPr="00490EFD" w:rsidRDefault="00490EFD" w:rsidP="00490EFD">
            <w:pPr>
              <w:jc w:val="right"/>
              <w:rPr>
                <w:b/>
              </w:rPr>
            </w:pPr>
            <w:r w:rsidRPr="00490EFD">
              <w:rPr>
                <w:b/>
              </w:rPr>
              <w:t>2.030</w:t>
            </w:r>
          </w:p>
        </w:tc>
        <w:tc>
          <w:tcPr>
            <w:tcW w:w="919" w:type="dxa"/>
            <w:vAlign w:val="bottom"/>
          </w:tcPr>
          <w:p w:rsidR="00490EFD" w:rsidRPr="00490EFD" w:rsidRDefault="00490EFD" w:rsidP="00490EFD">
            <w:pPr>
              <w:jc w:val="right"/>
              <w:rPr>
                <w:b/>
                <w:bCs/>
                <w:color w:val="000000"/>
              </w:rPr>
            </w:pPr>
            <w:r w:rsidRPr="00490EFD">
              <w:rPr>
                <w:b/>
                <w:bCs/>
                <w:color w:val="000000"/>
              </w:rPr>
              <w:t>0.260</w:t>
            </w:r>
          </w:p>
        </w:tc>
        <w:tc>
          <w:tcPr>
            <w:tcW w:w="917" w:type="dxa"/>
          </w:tcPr>
          <w:p w:rsidR="00490EFD" w:rsidRPr="00490EFD" w:rsidRDefault="00490EFD" w:rsidP="00490EFD">
            <w:pPr>
              <w:rPr>
                <w:b/>
              </w:rPr>
            </w:pPr>
            <w:r w:rsidRPr="00490EFD">
              <w:rPr>
                <w:b/>
              </w:rPr>
              <w:t>1.220</w:t>
            </w:r>
          </w:p>
        </w:tc>
        <w:tc>
          <w:tcPr>
            <w:tcW w:w="920" w:type="dxa"/>
          </w:tcPr>
          <w:p w:rsidR="00490EFD" w:rsidRPr="00490EFD" w:rsidRDefault="00490EFD" w:rsidP="00490EFD">
            <w:pPr>
              <w:jc w:val="right"/>
              <w:rPr>
                <w:b/>
              </w:rPr>
            </w:pPr>
            <w:r w:rsidRPr="00490EFD">
              <w:rPr>
                <w:b/>
              </w:rPr>
              <w:t>1.150</w:t>
            </w:r>
          </w:p>
        </w:tc>
        <w:tc>
          <w:tcPr>
            <w:tcW w:w="920" w:type="dxa"/>
            <w:vAlign w:val="bottom"/>
          </w:tcPr>
          <w:p w:rsidR="00490EFD" w:rsidRPr="00490EFD" w:rsidRDefault="00490EFD" w:rsidP="00490EFD">
            <w:pPr>
              <w:jc w:val="right"/>
              <w:rPr>
                <w:b/>
                <w:bCs/>
                <w:color w:val="000000"/>
              </w:rPr>
            </w:pPr>
            <w:r w:rsidRPr="00490EFD">
              <w:rPr>
                <w:b/>
                <w:bCs/>
                <w:color w:val="000000"/>
              </w:rPr>
              <w:t>0.551</w:t>
            </w:r>
          </w:p>
        </w:tc>
        <w:tc>
          <w:tcPr>
            <w:tcW w:w="918" w:type="dxa"/>
          </w:tcPr>
          <w:p w:rsidR="00490EFD" w:rsidRPr="00490EFD" w:rsidRDefault="00490EFD" w:rsidP="00490EFD">
            <w:pPr>
              <w:rPr>
                <w:b/>
              </w:rPr>
            </w:pPr>
            <w:r w:rsidRPr="00490EFD">
              <w:rPr>
                <w:b/>
              </w:rPr>
              <w:t>4.160</w:t>
            </w:r>
          </w:p>
        </w:tc>
        <w:tc>
          <w:tcPr>
            <w:tcW w:w="918" w:type="dxa"/>
          </w:tcPr>
          <w:p w:rsidR="00490EFD" w:rsidRPr="00490EFD" w:rsidRDefault="00490EFD" w:rsidP="00490EFD">
            <w:pPr>
              <w:jc w:val="right"/>
              <w:rPr>
                <w:b/>
              </w:rPr>
            </w:pPr>
            <w:r w:rsidRPr="00490EFD">
              <w:rPr>
                <w:b/>
              </w:rPr>
              <w:t>3.920</w:t>
            </w:r>
          </w:p>
        </w:tc>
      </w:tr>
    </w:tbl>
    <w:p w:rsidR="00490EFD" w:rsidRPr="00490EFD" w:rsidRDefault="00490EFD" w:rsidP="00490EFD">
      <w:pPr>
        <w:spacing w:after="480"/>
        <w:ind w:left="90" w:hanging="90"/>
        <w:jc w:val="both"/>
      </w:pPr>
      <w:r w:rsidRPr="00490EFD">
        <w:t xml:space="preserve"> Source: FPSC Order Nos. PSC-13-0645-PAA-EU &amp; PSC-14-0696-FOF-EU, FPUC revised DSM Plan, </w:t>
      </w:r>
      <w:r w:rsidR="00BD4007">
        <w:t>Our</w:t>
      </w:r>
      <w:r w:rsidRPr="00490EFD">
        <w:t xml:space="preserve"> Calculation.</w:t>
      </w:r>
    </w:p>
    <w:p w:rsidR="00490EFD" w:rsidRPr="004121A0" w:rsidRDefault="00490EFD" w:rsidP="00490EFD">
      <w:pPr>
        <w:keepNext/>
        <w:spacing w:before="480"/>
        <w:jc w:val="center"/>
        <w:rPr>
          <w:b/>
        </w:rPr>
      </w:pPr>
      <w:r w:rsidRPr="004121A0">
        <w:rPr>
          <w:b/>
        </w:rPr>
        <w:t xml:space="preserve">Table </w:t>
      </w:r>
      <w:r w:rsidRPr="004121A0">
        <w:rPr>
          <w:b/>
        </w:rPr>
        <w:fldChar w:fldCharType="begin"/>
      </w:r>
      <w:r w:rsidRPr="004121A0">
        <w:rPr>
          <w:b/>
        </w:rPr>
        <w:instrText xml:space="preserve"> SEQ Issue \c </w:instrText>
      </w:r>
      <w:r w:rsidRPr="004121A0">
        <w:rPr>
          <w:b/>
        </w:rPr>
        <w:fldChar w:fldCharType="separate"/>
      </w:r>
      <w:r w:rsidR="00591160">
        <w:rPr>
          <w:b/>
          <w:noProof/>
        </w:rPr>
        <w:t>0</w:t>
      </w:r>
      <w:r w:rsidRPr="004121A0">
        <w:rPr>
          <w:b/>
          <w:noProof/>
        </w:rPr>
        <w:fldChar w:fldCharType="end"/>
      </w:r>
      <w:r w:rsidRPr="004121A0">
        <w:rPr>
          <w:b/>
        </w:rPr>
        <w:t>-3</w:t>
      </w:r>
    </w:p>
    <w:p w:rsidR="00490EFD" w:rsidRPr="004121A0" w:rsidRDefault="00490EFD" w:rsidP="00490EFD">
      <w:pPr>
        <w:keepNext/>
        <w:jc w:val="center"/>
        <w:rPr>
          <w:b/>
        </w:rPr>
      </w:pPr>
      <w:r w:rsidRPr="004121A0">
        <w:rPr>
          <w:b/>
        </w:rPr>
        <w:t>FPUC Commercial/Industrial Sector Goals vs. DSM Plan</w:t>
      </w:r>
    </w:p>
    <w:tbl>
      <w:tblPr>
        <w:tblStyle w:val="TableGrid"/>
        <w:tblW w:w="0" w:type="auto"/>
        <w:jc w:val="center"/>
        <w:tblLook w:val="04A0" w:firstRow="1" w:lastRow="0" w:firstColumn="1" w:lastColumn="0" w:noHBand="0" w:noVBand="1"/>
      </w:tblPr>
      <w:tblGrid>
        <w:gridCol w:w="939"/>
        <w:gridCol w:w="876"/>
        <w:gridCol w:w="942"/>
        <w:gridCol w:w="919"/>
        <w:gridCol w:w="912"/>
        <w:gridCol w:w="925"/>
        <w:gridCol w:w="962"/>
      </w:tblGrid>
      <w:tr w:rsidR="00490EFD" w:rsidRPr="00490EFD" w:rsidTr="00AE372D">
        <w:trPr>
          <w:jc w:val="center"/>
        </w:trPr>
        <w:tc>
          <w:tcPr>
            <w:tcW w:w="939" w:type="dxa"/>
            <w:vMerge w:val="restart"/>
            <w:vAlign w:val="center"/>
          </w:tcPr>
          <w:p w:rsidR="00490EFD" w:rsidRPr="00490EFD" w:rsidRDefault="00490EFD" w:rsidP="00490EFD">
            <w:pPr>
              <w:keepNext/>
              <w:jc w:val="center"/>
              <w:rPr>
                <w:b/>
              </w:rPr>
            </w:pPr>
            <w:r w:rsidRPr="00490EFD">
              <w:rPr>
                <w:b/>
              </w:rPr>
              <w:t>Year</w:t>
            </w:r>
          </w:p>
        </w:tc>
        <w:tc>
          <w:tcPr>
            <w:tcW w:w="1818" w:type="dxa"/>
            <w:gridSpan w:val="2"/>
            <w:vAlign w:val="center"/>
          </w:tcPr>
          <w:p w:rsidR="00490EFD" w:rsidRPr="00490EFD" w:rsidRDefault="00490EFD" w:rsidP="00490EFD">
            <w:pPr>
              <w:keepNext/>
              <w:jc w:val="center"/>
              <w:rPr>
                <w:b/>
              </w:rPr>
            </w:pPr>
            <w:r w:rsidRPr="00490EFD">
              <w:rPr>
                <w:b/>
              </w:rPr>
              <w:t>Summer</w:t>
            </w:r>
          </w:p>
          <w:p w:rsidR="00490EFD" w:rsidRPr="00490EFD" w:rsidRDefault="00490EFD" w:rsidP="00490EFD">
            <w:pPr>
              <w:keepNext/>
              <w:jc w:val="center"/>
              <w:rPr>
                <w:b/>
              </w:rPr>
            </w:pPr>
            <w:r w:rsidRPr="00490EFD">
              <w:rPr>
                <w:b/>
              </w:rPr>
              <w:t>(MW)</w:t>
            </w:r>
          </w:p>
        </w:tc>
        <w:tc>
          <w:tcPr>
            <w:tcW w:w="1831" w:type="dxa"/>
            <w:gridSpan w:val="2"/>
            <w:vAlign w:val="center"/>
          </w:tcPr>
          <w:p w:rsidR="00490EFD" w:rsidRPr="00490EFD" w:rsidRDefault="00490EFD" w:rsidP="00490EFD">
            <w:pPr>
              <w:keepNext/>
              <w:jc w:val="center"/>
              <w:rPr>
                <w:b/>
              </w:rPr>
            </w:pPr>
            <w:r w:rsidRPr="00490EFD">
              <w:rPr>
                <w:b/>
              </w:rPr>
              <w:t>Winter</w:t>
            </w:r>
          </w:p>
          <w:p w:rsidR="00490EFD" w:rsidRPr="00490EFD" w:rsidRDefault="00490EFD" w:rsidP="00490EFD">
            <w:pPr>
              <w:keepNext/>
              <w:jc w:val="center"/>
              <w:rPr>
                <w:b/>
              </w:rPr>
            </w:pPr>
            <w:r w:rsidRPr="00490EFD">
              <w:rPr>
                <w:b/>
              </w:rPr>
              <w:t>(MW)</w:t>
            </w:r>
          </w:p>
        </w:tc>
        <w:tc>
          <w:tcPr>
            <w:tcW w:w="1887" w:type="dxa"/>
            <w:gridSpan w:val="2"/>
            <w:vAlign w:val="center"/>
          </w:tcPr>
          <w:p w:rsidR="00490EFD" w:rsidRPr="00490EFD" w:rsidRDefault="00490EFD" w:rsidP="00490EFD">
            <w:pPr>
              <w:keepNext/>
              <w:jc w:val="center"/>
              <w:rPr>
                <w:b/>
              </w:rPr>
            </w:pPr>
            <w:r w:rsidRPr="00490EFD">
              <w:rPr>
                <w:b/>
              </w:rPr>
              <w:t>Annual Energy</w:t>
            </w:r>
          </w:p>
          <w:p w:rsidR="00490EFD" w:rsidRPr="00490EFD" w:rsidRDefault="00490EFD" w:rsidP="00490EFD">
            <w:pPr>
              <w:keepNext/>
              <w:jc w:val="center"/>
              <w:rPr>
                <w:b/>
              </w:rPr>
            </w:pPr>
            <w:r w:rsidRPr="00490EFD">
              <w:rPr>
                <w:b/>
              </w:rPr>
              <w:t>(GWh)</w:t>
            </w:r>
          </w:p>
        </w:tc>
      </w:tr>
      <w:tr w:rsidR="00490EFD" w:rsidRPr="00490EFD" w:rsidTr="00AE372D">
        <w:trPr>
          <w:jc w:val="center"/>
        </w:trPr>
        <w:tc>
          <w:tcPr>
            <w:tcW w:w="939" w:type="dxa"/>
            <w:vMerge/>
            <w:vAlign w:val="center"/>
          </w:tcPr>
          <w:p w:rsidR="00490EFD" w:rsidRPr="00490EFD" w:rsidRDefault="00490EFD" w:rsidP="00490EFD">
            <w:pPr>
              <w:keepNext/>
              <w:jc w:val="center"/>
            </w:pPr>
          </w:p>
        </w:tc>
        <w:tc>
          <w:tcPr>
            <w:tcW w:w="876" w:type="dxa"/>
            <w:vAlign w:val="center"/>
          </w:tcPr>
          <w:p w:rsidR="00490EFD" w:rsidRPr="00490EFD" w:rsidRDefault="00490EFD" w:rsidP="00490EFD">
            <w:pPr>
              <w:keepNext/>
              <w:jc w:val="center"/>
              <w:rPr>
                <w:rFonts w:cs="Calibri"/>
                <w:b/>
              </w:rPr>
            </w:pPr>
            <w:r w:rsidRPr="00490EFD">
              <w:rPr>
                <w:rFonts w:cs="Calibri"/>
                <w:b/>
              </w:rPr>
              <w:t>Goal</w:t>
            </w:r>
          </w:p>
        </w:tc>
        <w:tc>
          <w:tcPr>
            <w:tcW w:w="942" w:type="dxa"/>
            <w:vAlign w:val="center"/>
          </w:tcPr>
          <w:p w:rsidR="00490EFD" w:rsidRPr="00490EFD" w:rsidRDefault="00490EFD" w:rsidP="00490EFD">
            <w:pPr>
              <w:keepNext/>
              <w:jc w:val="center"/>
              <w:rPr>
                <w:rFonts w:cs="Calibri"/>
                <w:b/>
              </w:rPr>
            </w:pPr>
            <w:r w:rsidRPr="00490EFD">
              <w:rPr>
                <w:rFonts w:cs="Calibri"/>
                <w:b/>
              </w:rPr>
              <w:t>DSM</w:t>
            </w:r>
          </w:p>
          <w:p w:rsidR="00490EFD" w:rsidRPr="00490EFD" w:rsidRDefault="00490EFD" w:rsidP="00490EFD">
            <w:pPr>
              <w:keepNext/>
              <w:jc w:val="center"/>
              <w:rPr>
                <w:rFonts w:cs="Calibri"/>
                <w:b/>
              </w:rPr>
            </w:pPr>
            <w:r w:rsidRPr="00490EFD">
              <w:rPr>
                <w:rFonts w:cs="Calibri"/>
                <w:b/>
              </w:rPr>
              <w:t>Plan</w:t>
            </w:r>
          </w:p>
        </w:tc>
        <w:tc>
          <w:tcPr>
            <w:tcW w:w="919" w:type="dxa"/>
            <w:vAlign w:val="center"/>
          </w:tcPr>
          <w:p w:rsidR="00490EFD" w:rsidRPr="00490EFD" w:rsidRDefault="00490EFD" w:rsidP="00490EFD">
            <w:pPr>
              <w:keepNext/>
              <w:jc w:val="center"/>
              <w:rPr>
                <w:rFonts w:cs="Calibri"/>
                <w:b/>
              </w:rPr>
            </w:pPr>
            <w:r w:rsidRPr="00490EFD">
              <w:rPr>
                <w:rFonts w:cs="Calibri"/>
                <w:b/>
              </w:rPr>
              <w:t>Goal</w:t>
            </w:r>
          </w:p>
        </w:tc>
        <w:tc>
          <w:tcPr>
            <w:tcW w:w="912" w:type="dxa"/>
            <w:vAlign w:val="center"/>
          </w:tcPr>
          <w:p w:rsidR="00490EFD" w:rsidRPr="00490EFD" w:rsidRDefault="00490EFD" w:rsidP="00490EFD">
            <w:pPr>
              <w:keepNext/>
              <w:jc w:val="center"/>
              <w:rPr>
                <w:rFonts w:cs="Calibri"/>
                <w:b/>
              </w:rPr>
            </w:pPr>
            <w:r w:rsidRPr="00490EFD">
              <w:rPr>
                <w:rFonts w:cs="Calibri"/>
                <w:b/>
              </w:rPr>
              <w:t>DSM</w:t>
            </w:r>
          </w:p>
          <w:p w:rsidR="00490EFD" w:rsidRPr="00490EFD" w:rsidRDefault="00490EFD" w:rsidP="00490EFD">
            <w:pPr>
              <w:keepNext/>
              <w:jc w:val="center"/>
              <w:rPr>
                <w:rFonts w:cs="Calibri"/>
                <w:b/>
              </w:rPr>
            </w:pPr>
            <w:r w:rsidRPr="00490EFD">
              <w:rPr>
                <w:rFonts w:cs="Calibri"/>
                <w:b/>
              </w:rPr>
              <w:t>Plan</w:t>
            </w:r>
          </w:p>
        </w:tc>
        <w:tc>
          <w:tcPr>
            <w:tcW w:w="925" w:type="dxa"/>
            <w:vAlign w:val="center"/>
          </w:tcPr>
          <w:p w:rsidR="00490EFD" w:rsidRPr="00490EFD" w:rsidRDefault="00490EFD" w:rsidP="00490EFD">
            <w:pPr>
              <w:keepNext/>
              <w:jc w:val="center"/>
              <w:rPr>
                <w:rFonts w:cs="Calibri"/>
                <w:b/>
              </w:rPr>
            </w:pPr>
            <w:r w:rsidRPr="00490EFD">
              <w:rPr>
                <w:rFonts w:cs="Calibri"/>
                <w:b/>
              </w:rPr>
              <w:t>Goal</w:t>
            </w:r>
          </w:p>
        </w:tc>
        <w:tc>
          <w:tcPr>
            <w:tcW w:w="962" w:type="dxa"/>
            <w:vAlign w:val="center"/>
          </w:tcPr>
          <w:p w:rsidR="00490EFD" w:rsidRPr="00490EFD" w:rsidRDefault="00490EFD" w:rsidP="00490EFD">
            <w:pPr>
              <w:keepNext/>
              <w:jc w:val="center"/>
              <w:rPr>
                <w:rFonts w:cs="Calibri"/>
                <w:b/>
              </w:rPr>
            </w:pPr>
            <w:r w:rsidRPr="00490EFD">
              <w:rPr>
                <w:rFonts w:cs="Calibri"/>
                <w:b/>
              </w:rPr>
              <w:t>DSM</w:t>
            </w:r>
          </w:p>
          <w:p w:rsidR="00490EFD" w:rsidRPr="00490EFD" w:rsidRDefault="00490EFD" w:rsidP="00490EFD">
            <w:pPr>
              <w:keepNext/>
              <w:jc w:val="center"/>
              <w:rPr>
                <w:rFonts w:cs="Calibri"/>
                <w:b/>
              </w:rPr>
            </w:pPr>
            <w:r w:rsidRPr="00490EFD">
              <w:rPr>
                <w:rFonts w:cs="Calibri"/>
                <w:b/>
              </w:rPr>
              <w:t>Plan</w:t>
            </w:r>
          </w:p>
        </w:tc>
      </w:tr>
      <w:tr w:rsidR="00490EFD" w:rsidRPr="00490EFD" w:rsidTr="00AE372D">
        <w:trPr>
          <w:jc w:val="center"/>
        </w:trPr>
        <w:tc>
          <w:tcPr>
            <w:tcW w:w="939" w:type="dxa"/>
          </w:tcPr>
          <w:p w:rsidR="00490EFD" w:rsidRPr="00490EFD" w:rsidRDefault="00490EFD" w:rsidP="00490EFD">
            <w:pPr>
              <w:keepNext/>
              <w:rPr>
                <w:b/>
              </w:rPr>
            </w:pPr>
            <w:r w:rsidRPr="00490EFD">
              <w:rPr>
                <w:b/>
              </w:rPr>
              <w:t>2015</w:t>
            </w:r>
          </w:p>
        </w:tc>
        <w:tc>
          <w:tcPr>
            <w:tcW w:w="876" w:type="dxa"/>
            <w:vAlign w:val="bottom"/>
          </w:tcPr>
          <w:p w:rsidR="00490EFD" w:rsidRPr="00490EFD" w:rsidRDefault="00490EFD" w:rsidP="00490EFD">
            <w:pPr>
              <w:jc w:val="right"/>
              <w:rPr>
                <w:color w:val="000000"/>
              </w:rPr>
            </w:pPr>
            <w:r w:rsidRPr="00490EFD">
              <w:rPr>
                <w:color w:val="000000"/>
              </w:rPr>
              <w:t>0.021</w:t>
            </w:r>
          </w:p>
        </w:tc>
        <w:tc>
          <w:tcPr>
            <w:tcW w:w="942" w:type="dxa"/>
            <w:vAlign w:val="bottom"/>
          </w:tcPr>
          <w:p w:rsidR="00490EFD" w:rsidRPr="00490EFD" w:rsidRDefault="00490EFD" w:rsidP="00490EFD">
            <w:pPr>
              <w:jc w:val="right"/>
              <w:rPr>
                <w:color w:val="000000"/>
              </w:rPr>
            </w:pPr>
            <w:r w:rsidRPr="00490EFD">
              <w:rPr>
                <w:color w:val="000000"/>
              </w:rPr>
              <w:t>0.067</w:t>
            </w:r>
          </w:p>
        </w:tc>
        <w:tc>
          <w:tcPr>
            <w:tcW w:w="919" w:type="dxa"/>
            <w:vAlign w:val="bottom"/>
          </w:tcPr>
          <w:p w:rsidR="00490EFD" w:rsidRPr="00490EFD" w:rsidRDefault="00490EFD" w:rsidP="00490EFD">
            <w:pPr>
              <w:jc w:val="right"/>
              <w:rPr>
                <w:color w:val="000000"/>
              </w:rPr>
            </w:pPr>
            <w:r w:rsidRPr="00490EFD">
              <w:rPr>
                <w:color w:val="000000"/>
              </w:rPr>
              <w:t>0.010</w:t>
            </w:r>
          </w:p>
        </w:tc>
        <w:tc>
          <w:tcPr>
            <w:tcW w:w="912" w:type="dxa"/>
            <w:vAlign w:val="bottom"/>
          </w:tcPr>
          <w:p w:rsidR="00490EFD" w:rsidRPr="00490EFD" w:rsidRDefault="00490EFD" w:rsidP="00490EFD">
            <w:pPr>
              <w:jc w:val="right"/>
              <w:rPr>
                <w:color w:val="000000"/>
              </w:rPr>
            </w:pPr>
            <w:r w:rsidRPr="00490EFD">
              <w:rPr>
                <w:color w:val="000000"/>
              </w:rPr>
              <w:t>0.046</w:t>
            </w:r>
          </w:p>
        </w:tc>
        <w:tc>
          <w:tcPr>
            <w:tcW w:w="925" w:type="dxa"/>
            <w:vAlign w:val="bottom"/>
          </w:tcPr>
          <w:p w:rsidR="00490EFD" w:rsidRPr="00490EFD" w:rsidRDefault="00490EFD" w:rsidP="00490EFD">
            <w:pPr>
              <w:jc w:val="right"/>
              <w:rPr>
                <w:color w:val="000000"/>
              </w:rPr>
            </w:pPr>
            <w:r w:rsidRPr="00490EFD">
              <w:rPr>
                <w:color w:val="000000"/>
              </w:rPr>
              <w:t>0.055</w:t>
            </w:r>
          </w:p>
        </w:tc>
        <w:tc>
          <w:tcPr>
            <w:tcW w:w="962" w:type="dxa"/>
            <w:vAlign w:val="bottom"/>
          </w:tcPr>
          <w:p w:rsidR="00490EFD" w:rsidRPr="00490EFD" w:rsidRDefault="00490EFD" w:rsidP="00490EFD">
            <w:pPr>
              <w:jc w:val="right"/>
              <w:rPr>
                <w:color w:val="000000"/>
              </w:rPr>
            </w:pPr>
            <w:r w:rsidRPr="00490EFD">
              <w:rPr>
                <w:color w:val="000000"/>
              </w:rPr>
              <w:t>0.122</w:t>
            </w:r>
          </w:p>
        </w:tc>
      </w:tr>
      <w:tr w:rsidR="00490EFD" w:rsidRPr="00490EFD" w:rsidTr="00AE372D">
        <w:trPr>
          <w:jc w:val="center"/>
        </w:trPr>
        <w:tc>
          <w:tcPr>
            <w:tcW w:w="939" w:type="dxa"/>
          </w:tcPr>
          <w:p w:rsidR="00490EFD" w:rsidRPr="00490EFD" w:rsidRDefault="00490EFD" w:rsidP="00490EFD">
            <w:pPr>
              <w:keepNext/>
              <w:rPr>
                <w:b/>
              </w:rPr>
            </w:pPr>
            <w:r w:rsidRPr="00490EFD">
              <w:rPr>
                <w:b/>
              </w:rPr>
              <w:t>2016</w:t>
            </w:r>
          </w:p>
        </w:tc>
        <w:tc>
          <w:tcPr>
            <w:tcW w:w="876" w:type="dxa"/>
            <w:vAlign w:val="bottom"/>
          </w:tcPr>
          <w:p w:rsidR="00490EFD" w:rsidRPr="00490EFD" w:rsidRDefault="00490EFD" w:rsidP="00490EFD">
            <w:pPr>
              <w:jc w:val="right"/>
              <w:rPr>
                <w:color w:val="000000"/>
              </w:rPr>
            </w:pPr>
            <w:r w:rsidRPr="00490EFD">
              <w:rPr>
                <w:color w:val="000000"/>
              </w:rPr>
              <w:t>0.027</w:t>
            </w:r>
          </w:p>
        </w:tc>
        <w:tc>
          <w:tcPr>
            <w:tcW w:w="942" w:type="dxa"/>
            <w:vAlign w:val="bottom"/>
          </w:tcPr>
          <w:p w:rsidR="00490EFD" w:rsidRPr="00490EFD" w:rsidRDefault="00490EFD" w:rsidP="00490EFD">
            <w:pPr>
              <w:jc w:val="right"/>
              <w:rPr>
                <w:color w:val="000000"/>
              </w:rPr>
            </w:pPr>
            <w:r w:rsidRPr="00490EFD">
              <w:rPr>
                <w:color w:val="000000"/>
              </w:rPr>
              <w:t>0.072</w:t>
            </w:r>
          </w:p>
        </w:tc>
        <w:tc>
          <w:tcPr>
            <w:tcW w:w="919" w:type="dxa"/>
            <w:vAlign w:val="bottom"/>
          </w:tcPr>
          <w:p w:rsidR="00490EFD" w:rsidRPr="00490EFD" w:rsidRDefault="00490EFD" w:rsidP="00490EFD">
            <w:pPr>
              <w:jc w:val="right"/>
              <w:rPr>
                <w:color w:val="000000"/>
              </w:rPr>
            </w:pPr>
            <w:r w:rsidRPr="00490EFD">
              <w:rPr>
                <w:color w:val="000000"/>
              </w:rPr>
              <w:t>0.008</w:t>
            </w:r>
          </w:p>
        </w:tc>
        <w:tc>
          <w:tcPr>
            <w:tcW w:w="912" w:type="dxa"/>
            <w:vAlign w:val="bottom"/>
          </w:tcPr>
          <w:p w:rsidR="00490EFD" w:rsidRPr="00490EFD" w:rsidRDefault="00490EFD" w:rsidP="00490EFD">
            <w:pPr>
              <w:jc w:val="right"/>
              <w:rPr>
                <w:color w:val="000000"/>
              </w:rPr>
            </w:pPr>
            <w:r w:rsidRPr="00490EFD">
              <w:rPr>
                <w:color w:val="000000"/>
              </w:rPr>
              <w:t>0.046</w:t>
            </w:r>
          </w:p>
        </w:tc>
        <w:tc>
          <w:tcPr>
            <w:tcW w:w="925" w:type="dxa"/>
            <w:vAlign w:val="bottom"/>
          </w:tcPr>
          <w:p w:rsidR="00490EFD" w:rsidRPr="00490EFD" w:rsidRDefault="00490EFD" w:rsidP="00490EFD">
            <w:pPr>
              <w:jc w:val="right"/>
              <w:rPr>
                <w:color w:val="000000"/>
              </w:rPr>
            </w:pPr>
            <w:r w:rsidRPr="00490EFD">
              <w:rPr>
                <w:color w:val="000000"/>
              </w:rPr>
              <w:t>0.078</w:t>
            </w:r>
          </w:p>
        </w:tc>
        <w:tc>
          <w:tcPr>
            <w:tcW w:w="962" w:type="dxa"/>
            <w:vAlign w:val="bottom"/>
          </w:tcPr>
          <w:p w:rsidR="00490EFD" w:rsidRPr="00490EFD" w:rsidRDefault="00490EFD" w:rsidP="00490EFD">
            <w:pPr>
              <w:jc w:val="right"/>
              <w:rPr>
                <w:color w:val="000000"/>
              </w:rPr>
            </w:pPr>
            <w:r w:rsidRPr="00490EFD">
              <w:rPr>
                <w:color w:val="000000"/>
              </w:rPr>
              <w:t>0.135</w:t>
            </w:r>
          </w:p>
        </w:tc>
      </w:tr>
      <w:tr w:rsidR="00490EFD" w:rsidRPr="00490EFD" w:rsidTr="00AE372D">
        <w:trPr>
          <w:jc w:val="center"/>
        </w:trPr>
        <w:tc>
          <w:tcPr>
            <w:tcW w:w="939" w:type="dxa"/>
          </w:tcPr>
          <w:p w:rsidR="00490EFD" w:rsidRPr="00490EFD" w:rsidRDefault="00490EFD" w:rsidP="00490EFD">
            <w:pPr>
              <w:keepNext/>
              <w:rPr>
                <w:b/>
              </w:rPr>
            </w:pPr>
            <w:r w:rsidRPr="00490EFD">
              <w:rPr>
                <w:b/>
              </w:rPr>
              <w:t>2017</w:t>
            </w:r>
          </w:p>
        </w:tc>
        <w:tc>
          <w:tcPr>
            <w:tcW w:w="876" w:type="dxa"/>
            <w:vAlign w:val="bottom"/>
          </w:tcPr>
          <w:p w:rsidR="00490EFD" w:rsidRPr="00490EFD" w:rsidRDefault="00490EFD" w:rsidP="00490EFD">
            <w:pPr>
              <w:jc w:val="right"/>
              <w:rPr>
                <w:color w:val="000000"/>
              </w:rPr>
            </w:pPr>
            <w:r w:rsidRPr="00490EFD">
              <w:rPr>
                <w:color w:val="000000"/>
              </w:rPr>
              <w:t>0.031</w:t>
            </w:r>
          </w:p>
        </w:tc>
        <w:tc>
          <w:tcPr>
            <w:tcW w:w="942" w:type="dxa"/>
            <w:vAlign w:val="bottom"/>
          </w:tcPr>
          <w:p w:rsidR="00490EFD" w:rsidRPr="00490EFD" w:rsidRDefault="00490EFD" w:rsidP="00490EFD">
            <w:pPr>
              <w:jc w:val="right"/>
              <w:rPr>
                <w:color w:val="000000"/>
              </w:rPr>
            </w:pPr>
            <w:r w:rsidRPr="00490EFD">
              <w:rPr>
                <w:color w:val="000000"/>
              </w:rPr>
              <w:t>0.077</w:t>
            </w:r>
          </w:p>
        </w:tc>
        <w:tc>
          <w:tcPr>
            <w:tcW w:w="919" w:type="dxa"/>
            <w:vAlign w:val="bottom"/>
          </w:tcPr>
          <w:p w:rsidR="00490EFD" w:rsidRPr="00490EFD" w:rsidRDefault="00490EFD" w:rsidP="00490EFD">
            <w:pPr>
              <w:jc w:val="right"/>
              <w:rPr>
                <w:color w:val="000000"/>
              </w:rPr>
            </w:pPr>
            <w:r w:rsidRPr="00490EFD">
              <w:rPr>
                <w:color w:val="000000"/>
              </w:rPr>
              <w:t>0.009</w:t>
            </w:r>
          </w:p>
        </w:tc>
        <w:tc>
          <w:tcPr>
            <w:tcW w:w="912" w:type="dxa"/>
            <w:vAlign w:val="bottom"/>
          </w:tcPr>
          <w:p w:rsidR="00490EFD" w:rsidRPr="00490EFD" w:rsidRDefault="00490EFD" w:rsidP="00490EFD">
            <w:pPr>
              <w:jc w:val="right"/>
              <w:rPr>
                <w:color w:val="000000"/>
              </w:rPr>
            </w:pPr>
            <w:r w:rsidRPr="00490EFD">
              <w:rPr>
                <w:color w:val="000000"/>
              </w:rPr>
              <w:t>0.046</w:t>
            </w:r>
          </w:p>
        </w:tc>
        <w:tc>
          <w:tcPr>
            <w:tcW w:w="925" w:type="dxa"/>
            <w:vAlign w:val="bottom"/>
          </w:tcPr>
          <w:p w:rsidR="00490EFD" w:rsidRPr="00490EFD" w:rsidRDefault="00490EFD" w:rsidP="00490EFD">
            <w:pPr>
              <w:jc w:val="right"/>
              <w:rPr>
                <w:color w:val="000000"/>
              </w:rPr>
            </w:pPr>
            <w:r w:rsidRPr="00490EFD">
              <w:rPr>
                <w:color w:val="000000"/>
              </w:rPr>
              <w:t>0.094</w:t>
            </w:r>
          </w:p>
        </w:tc>
        <w:tc>
          <w:tcPr>
            <w:tcW w:w="962" w:type="dxa"/>
            <w:vAlign w:val="bottom"/>
          </w:tcPr>
          <w:p w:rsidR="00490EFD" w:rsidRPr="00490EFD" w:rsidRDefault="00490EFD" w:rsidP="00490EFD">
            <w:pPr>
              <w:jc w:val="right"/>
              <w:rPr>
                <w:color w:val="000000"/>
              </w:rPr>
            </w:pPr>
            <w:r w:rsidRPr="00490EFD">
              <w:rPr>
                <w:color w:val="000000"/>
              </w:rPr>
              <w:t>0.147</w:t>
            </w:r>
          </w:p>
        </w:tc>
      </w:tr>
      <w:tr w:rsidR="00490EFD" w:rsidRPr="00490EFD" w:rsidTr="00AE372D">
        <w:trPr>
          <w:jc w:val="center"/>
        </w:trPr>
        <w:tc>
          <w:tcPr>
            <w:tcW w:w="939" w:type="dxa"/>
          </w:tcPr>
          <w:p w:rsidR="00490EFD" w:rsidRPr="00490EFD" w:rsidRDefault="00490EFD" w:rsidP="00490EFD">
            <w:pPr>
              <w:keepNext/>
              <w:rPr>
                <w:b/>
              </w:rPr>
            </w:pPr>
            <w:r w:rsidRPr="00490EFD">
              <w:rPr>
                <w:b/>
              </w:rPr>
              <w:t>2018</w:t>
            </w:r>
          </w:p>
        </w:tc>
        <w:tc>
          <w:tcPr>
            <w:tcW w:w="876" w:type="dxa"/>
            <w:vAlign w:val="bottom"/>
          </w:tcPr>
          <w:p w:rsidR="00490EFD" w:rsidRPr="00490EFD" w:rsidRDefault="00490EFD" w:rsidP="00490EFD">
            <w:pPr>
              <w:jc w:val="right"/>
              <w:rPr>
                <w:color w:val="000000"/>
              </w:rPr>
            </w:pPr>
            <w:r w:rsidRPr="00490EFD">
              <w:rPr>
                <w:color w:val="000000"/>
              </w:rPr>
              <w:t>0.039</w:t>
            </w:r>
          </w:p>
        </w:tc>
        <w:tc>
          <w:tcPr>
            <w:tcW w:w="942" w:type="dxa"/>
            <w:vAlign w:val="bottom"/>
          </w:tcPr>
          <w:p w:rsidR="00490EFD" w:rsidRPr="00490EFD" w:rsidRDefault="00490EFD" w:rsidP="00490EFD">
            <w:pPr>
              <w:jc w:val="right"/>
              <w:rPr>
                <w:color w:val="000000"/>
              </w:rPr>
            </w:pPr>
            <w:r w:rsidRPr="00490EFD">
              <w:rPr>
                <w:color w:val="000000"/>
              </w:rPr>
              <w:t>0.082</w:t>
            </w:r>
          </w:p>
        </w:tc>
        <w:tc>
          <w:tcPr>
            <w:tcW w:w="919" w:type="dxa"/>
            <w:vAlign w:val="bottom"/>
          </w:tcPr>
          <w:p w:rsidR="00490EFD" w:rsidRPr="00490EFD" w:rsidRDefault="00490EFD" w:rsidP="00490EFD">
            <w:pPr>
              <w:jc w:val="right"/>
              <w:rPr>
                <w:color w:val="000000"/>
              </w:rPr>
            </w:pPr>
            <w:r w:rsidRPr="00490EFD">
              <w:rPr>
                <w:color w:val="000000"/>
              </w:rPr>
              <w:t>0.018</w:t>
            </w:r>
          </w:p>
        </w:tc>
        <w:tc>
          <w:tcPr>
            <w:tcW w:w="912" w:type="dxa"/>
            <w:vAlign w:val="bottom"/>
          </w:tcPr>
          <w:p w:rsidR="00490EFD" w:rsidRPr="00490EFD" w:rsidRDefault="00490EFD" w:rsidP="00490EFD">
            <w:pPr>
              <w:jc w:val="right"/>
              <w:rPr>
                <w:color w:val="000000"/>
              </w:rPr>
            </w:pPr>
            <w:r w:rsidRPr="00490EFD">
              <w:rPr>
                <w:color w:val="000000"/>
              </w:rPr>
              <w:t>0.046</w:t>
            </w:r>
          </w:p>
        </w:tc>
        <w:tc>
          <w:tcPr>
            <w:tcW w:w="925" w:type="dxa"/>
            <w:vAlign w:val="bottom"/>
          </w:tcPr>
          <w:p w:rsidR="00490EFD" w:rsidRPr="00490EFD" w:rsidRDefault="00490EFD" w:rsidP="00490EFD">
            <w:pPr>
              <w:jc w:val="right"/>
              <w:rPr>
                <w:color w:val="000000"/>
              </w:rPr>
            </w:pPr>
            <w:r w:rsidRPr="00490EFD">
              <w:rPr>
                <w:color w:val="000000"/>
              </w:rPr>
              <w:t>0.115</w:t>
            </w:r>
          </w:p>
        </w:tc>
        <w:tc>
          <w:tcPr>
            <w:tcW w:w="962" w:type="dxa"/>
            <w:vAlign w:val="bottom"/>
          </w:tcPr>
          <w:p w:rsidR="00490EFD" w:rsidRPr="00490EFD" w:rsidRDefault="00490EFD" w:rsidP="00490EFD">
            <w:pPr>
              <w:jc w:val="right"/>
              <w:rPr>
                <w:color w:val="000000"/>
              </w:rPr>
            </w:pPr>
            <w:r w:rsidRPr="00490EFD">
              <w:rPr>
                <w:color w:val="000000"/>
              </w:rPr>
              <w:t>0.160</w:t>
            </w:r>
          </w:p>
        </w:tc>
      </w:tr>
      <w:tr w:rsidR="00490EFD" w:rsidRPr="00490EFD" w:rsidTr="00AE372D">
        <w:trPr>
          <w:jc w:val="center"/>
        </w:trPr>
        <w:tc>
          <w:tcPr>
            <w:tcW w:w="939" w:type="dxa"/>
          </w:tcPr>
          <w:p w:rsidR="00490EFD" w:rsidRPr="00490EFD" w:rsidRDefault="00490EFD" w:rsidP="00490EFD">
            <w:pPr>
              <w:keepNext/>
              <w:rPr>
                <w:b/>
              </w:rPr>
            </w:pPr>
            <w:r w:rsidRPr="00490EFD">
              <w:rPr>
                <w:b/>
              </w:rPr>
              <w:t>2019</w:t>
            </w:r>
          </w:p>
        </w:tc>
        <w:tc>
          <w:tcPr>
            <w:tcW w:w="876" w:type="dxa"/>
            <w:vAlign w:val="bottom"/>
          </w:tcPr>
          <w:p w:rsidR="00490EFD" w:rsidRPr="00490EFD" w:rsidRDefault="00490EFD" w:rsidP="00490EFD">
            <w:pPr>
              <w:jc w:val="right"/>
              <w:rPr>
                <w:color w:val="000000"/>
              </w:rPr>
            </w:pPr>
            <w:r w:rsidRPr="00490EFD">
              <w:rPr>
                <w:color w:val="000000"/>
              </w:rPr>
              <w:t>0.045</w:t>
            </w:r>
          </w:p>
        </w:tc>
        <w:tc>
          <w:tcPr>
            <w:tcW w:w="942" w:type="dxa"/>
            <w:vAlign w:val="bottom"/>
          </w:tcPr>
          <w:p w:rsidR="00490EFD" w:rsidRPr="00490EFD" w:rsidRDefault="00490EFD" w:rsidP="00490EFD">
            <w:pPr>
              <w:jc w:val="right"/>
              <w:rPr>
                <w:color w:val="000000"/>
              </w:rPr>
            </w:pPr>
            <w:r w:rsidRPr="00490EFD">
              <w:rPr>
                <w:color w:val="000000"/>
              </w:rPr>
              <w:t>0.087</w:t>
            </w:r>
          </w:p>
        </w:tc>
        <w:tc>
          <w:tcPr>
            <w:tcW w:w="919" w:type="dxa"/>
            <w:vAlign w:val="bottom"/>
          </w:tcPr>
          <w:p w:rsidR="00490EFD" w:rsidRPr="00490EFD" w:rsidRDefault="00490EFD" w:rsidP="00490EFD">
            <w:pPr>
              <w:jc w:val="right"/>
              <w:rPr>
                <w:color w:val="000000"/>
              </w:rPr>
            </w:pPr>
            <w:r w:rsidRPr="00490EFD">
              <w:rPr>
                <w:color w:val="000000"/>
              </w:rPr>
              <w:t>0.018</w:t>
            </w:r>
          </w:p>
        </w:tc>
        <w:tc>
          <w:tcPr>
            <w:tcW w:w="912" w:type="dxa"/>
            <w:vAlign w:val="bottom"/>
          </w:tcPr>
          <w:p w:rsidR="00490EFD" w:rsidRPr="00490EFD" w:rsidRDefault="00490EFD" w:rsidP="00490EFD">
            <w:pPr>
              <w:jc w:val="right"/>
              <w:rPr>
                <w:color w:val="000000"/>
              </w:rPr>
            </w:pPr>
            <w:r w:rsidRPr="00490EFD">
              <w:rPr>
                <w:color w:val="000000"/>
              </w:rPr>
              <w:t>0.046</w:t>
            </w:r>
          </w:p>
        </w:tc>
        <w:tc>
          <w:tcPr>
            <w:tcW w:w="925" w:type="dxa"/>
            <w:vAlign w:val="bottom"/>
          </w:tcPr>
          <w:p w:rsidR="00490EFD" w:rsidRPr="00490EFD" w:rsidRDefault="00490EFD" w:rsidP="00490EFD">
            <w:pPr>
              <w:jc w:val="right"/>
              <w:rPr>
                <w:color w:val="000000"/>
              </w:rPr>
            </w:pPr>
            <w:r w:rsidRPr="00490EFD">
              <w:rPr>
                <w:color w:val="000000"/>
              </w:rPr>
              <w:t>0.148</w:t>
            </w:r>
          </w:p>
        </w:tc>
        <w:tc>
          <w:tcPr>
            <w:tcW w:w="962" w:type="dxa"/>
            <w:vAlign w:val="bottom"/>
          </w:tcPr>
          <w:p w:rsidR="00490EFD" w:rsidRPr="00490EFD" w:rsidRDefault="00490EFD" w:rsidP="00490EFD">
            <w:pPr>
              <w:jc w:val="right"/>
              <w:rPr>
                <w:color w:val="000000"/>
              </w:rPr>
            </w:pPr>
            <w:r w:rsidRPr="00490EFD">
              <w:rPr>
                <w:color w:val="000000"/>
              </w:rPr>
              <w:t>0.173</w:t>
            </w:r>
          </w:p>
        </w:tc>
      </w:tr>
      <w:tr w:rsidR="00490EFD" w:rsidRPr="00490EFD" w:rsidTr="00AE372D">
        <w:trPr>
          <w:jc w:val="center"/>
        </w:trPr>
        <w:tc>
          <w:tcPr>
            <w:tcW w:w="939" w:type="dxa"/>
          </w:tcPr>
          <w:p w:rsidR="00490EFD" w:rsidRPr="00490EFD" w:rsidRDefault="00490EFD" w:rsidP="00490EFD">
            <w:pPr>
              <w:keepNext/>
              <w:rPr>
                <w:b/>
              </w:rPr>
            </w:pPr>
            <w:r w:rsidRPr="00490EFD">
              <w:rPr>
                <w:b/>
              </w:rPr>
              <w:t>2020</w:t>
            </w:r>
          </w:p>
        </w:tc>
        <w:tc>
          <w:tcPr>
            <w:tcW w:w="876" w:type="dxa"/>
            <w:vAlign w:val="bottom"/>
          </w:tcPr>
          <w:p w:rsidR="00490EFD" w:rsidRPr="00490EFD" w:rsidRDefault="00490EFD" w:rsidP="00490EFD">
            <w:pPr>
              <w:jc w:val="right"/>
              <w:rPr>
                <w:color w:val="000000"/>
              </w:rPr>
            </w:pPr>
            <w:r w:rsidRPr="00490EFD">
              <w:rPr>
                <w:color w:val="000000"/>
              </w:rPr>
              <w:t>0.052</w:t>
            </w:r>
          </w:p>
        </w:tc>
        <w:tc>
          <w:tcPr>
            <w:tcW w:w="942" w:type="dxa"/>
            <w:vAlign w:val="bottom"/>
          </w:tcPr>
          <w:p w:rsidR="00490EFD" w:rsidRPr="00490EFD" w:rsidRDefault="00490EFD" w:rsidP="00490EFD">
            <w:pPr>
              <w:jc w:val="right"/>
              <w:rPr>
                <w:color w:val="000000"/>
              </w:rPr>
            </w:pPr>
            <w:r w:rsidRPr="00490EFD">
              <w:rPr>
                <w:color w:val="000000"/>
              </w:rPr>
              <w:t>0.138</w:t>
            </w:r>
          </w:p>
        </w:tc>
        <w:tc>
          <w:tcPr>
            <w:tcW w:w="919" w:type="dxa"/>
            <w:vAlign w:val="bottom"/>
          </w:tcPr>
          <w:p w:rsidR="00490EFD" w:rsidRPr="00490EFD" w:rsidRDefault="00490EFD" w:rsidP="00490EFD">
            <w:pPr>
              <w:jc w:val="right"/>
              <w:rPr>
                <w:color w:val="000000"/>
              </w:rPr>
            </w:pPr>
            <w:r w:rsidRPr="00490EFD">
              <w:rPr>
                <w:color w:val="000000"/>
              </w:rPr>
              <w:t>0.018</w:t>
            </w:r>
          </w:p>
        </w:tc>
        <w:tc>
          <w:tcPr>
            <w:tcW w:w="912" w:type="dxa"/>
            <w:vAlign w:val="bottom"/>
          </w:tcPr>
          <w:p w:rsidR="00490EFD" w:rsidRPr="00490EFD" w:rsidRDefault="00490EFD" w:rsidP="00490EFD">
            <w:pPr>
              <w:jc w:val="right"/>
              <w:rPr>
                <w:color w:val="000000"/>
              </w:rPr>
            </w:pPr>
            <w:r w:rsidRPr="00490EFD">
              <w:rPr>
                <w:color w:val="000000"/>
              </w:rPr>
              <w:t>0.080</w:t>
            </w:r>
          </w:p>
        </w:tc>
        <w:tc>
          <w:tcPr>
            <w:tcW w:w="925" w:type="dxa"/>
            <w:vAlign w:val="bottom"/>
          </w:tcPr>
          <w:p w:rsidR="00490EFD" w:rsidRPr="00490EFD" w:rsidRDefault="00490EFD" w:rsidP="00490EFD">
            <w:pPr>
              <w:jc w:val="right"/>
              <w:rPr>
                <w:color w:val="000000"/>
              </w:rPr>
            </w:pPr>
            <w:r w:rsidRPr="00490EFD">
              <w:rPr>
                <w:color w:val="000000"/>
              </w:rPr>
              <w:t>0.168</w:t>
            </w:r>
          </w:p>
        </w:tc>
        <w:tc>
          <w:tcPr>
            <w:tcW w:w="962" w:type="dxa"/>
            <w:vAlign w:val="bottom"/>
          </w:tcPr>
          <w:p w:rsidR="00490EFD" w:rsidRPr="00490EFD" w:rsidRDefault="00490EFD" w:rsidP="00490EFD">
            <w:pPr>
              <w:jc w:val="right"/>
              <w:rPr>
                <w:color w:val="000000"/>
              </w:rPr>
            </w:pPr>
            <w:r w:rsidRPr="00490EFD">
              <w:rPr>
                <w:color w:val="000000"/>
              </w:rPr>
              <w:t>0.270</w:t>
            </w:r>
          </w:p>
        </w:tc>
      </w:tr>
      <w:tr w:rsidR="00490EFD" w:rsidRPr="00490EFD" w:rsidTr="00AE372D">
        <w:trPr>
          <w:jc w:val="center"/>
        </w:trPr>
        <w:tc>
          <w:tcPr>
            <w:tcW w:w="939" w:type="dxa"/>
          </w:tcPr>
          <w:p w:rsidR="00490EFD" w:rsidRPr="00490EFD" w:rsidRDefault="00490EFD" w:rsidP="00490EFD">
            <w:pPr>
              <w:keepNext/>
              <w:rPr>
                <w:b/>
              </w:rPr>
            </w:pPr>
            <w:r w:rsidRPr="00490EFD">
              <w:rPr>
                <w:b/>
              </w:rPr>
              <w:t>2021</w:t>
            </w:r>
          </w:p>
        </w:tc>
        <w:tc>
          <w:tcPr>
            <w:tcW w:w="876" w:type="dxa"/>
            <w:vAlign w:val="bottom"/>
          </w:tcPr>
          <w:p w:rsidR="00490EFD" w:rsidRPr="00490EFD" w:rsidRDefault="00490EFD" w:rsidP="00490EFD">
            <w:pPr>
              <w:jc w:val="right"/>
              <w:rPr>
                <w:color w:val="000000"/>
              </w:rPr>
            </w:pPr>
            <w:r w:rsidRPr="00490EFD">
              <w:rPr>
                <w:color w:val="000000"/>
              </w:rPr>
              <w:t>0.058</w:t>
            </w:r>
          </w:p>
        </w:tc>
        <w:tc>
          <w:tcPr>
            <w:tcW w:w="942" w:type="dxa"/>
            <w:vAlign w:val="bottom"/>
          </w:tcPr>
          <w:p w:rsidR="00490EFD" w:rsidRPr="00490EFD" w:rsidRDefault="00490EFD" w:rsidP="00490EFD">
            <w:pPr>
              <w:jc w:val="right"/>
              <w:rPr>
                <w:color w:val="000000"/>
              </w:rPr>
            </w:pPr>
            <w:r w:rsidRPr="00490EFD">
              <w:rPr>
                <w:color w:val="000000"/>
              </w:rPr>
              <w:t>0.138</w:t>
            </w:r>
          </w:p>
        </w:tc>
        <w:tc>
          <w:tcPr>
            <w:tcW w:w="919" w:type="dxa"/>
            <w:vAlign w:val="bottom"/>
          </w:tcPr>
          <w:p w:rsidR="00490EFD" w:rsidRPr="00490EFD" w:rsidRDefault="00490EFD" w:rsidP="00490EFD">
            <w:pPr>
              <w:jc w:val="right"/>
              <w:rPr>
                <w:color w:val="000000"/>
              </w:rPr>
            </w:pPr>
            <w:r w:rsidRPr="00490EFD">
              <w:rPr>
                <w:color w:val="000000"/>
              </w:rPr>
              <w:t>0.018</w:t>
            </w:r>
          </w:p>
        </w:tc>
        <w:tc>
          <w:tcPr>
            <w:tcW w:w="912" w:type="dxa"/>
            <w:vAlign w:val="bottom"/>
          </w:tcPr>
          <w:p w:rsidR="00490EFD" w:rsidRPr="00490EFD" w:rsidRDefault="00490EFD" w:rsidP="00490EFD">
            <w:pPr>
              <w:jc w:val="right"/>
              <w:rPr>
                <w:color w:val="000000"/>
              </w:rPr>
            </w:pPr>
            <w:r w:rsidRPr="00490EFD">
              <w:rPr>
                <w:color w:val="000000"/>
              </w:rPr>
              <w:t>0.080</w:t>
            </w:r>
          </w:p>
        </w:tc>
        <w:tc>
          <w:tcPr>
            <w:tcW w:w="925" w:type="dxa"/>
            <w:vAlign w:val="bottom"/>
          </w:tcPr>
          <w:p w:rsidR="00490EFD" w:rsidRPr="00490EFD" w:rsidRDefault="00490EFD" w:rsidP="00490EFD">
            <w:pPr>
              <w:jc w:val="right"/>
              <w:rPr>
                <w:color w:val="000000"/>
              </w:rPr>
            </w:pPr>
            <w:r w:rsidRPr="00490EFD">
              <w:rPr>
                <w:color w:val="000000"/>
              </w:rPr>
              <w:t>0.182</w:t>
            </w:r>
          </w:p>
        </w:tc>
        <w:tc>
          <w:tcPr>
            <w:tcW w:w="962" w:type="dxa"/>
            <w:vAlign w:val="bottom"/>
          </w:tcPr>
          <w:p w:rsidR="00490EFD" w:rsidRPr="00490EFD" w:rsidRDefault="00490EFD" w:rsidP="00490EFD">
            <w:pPr>
              <w:jc w:val="right"/>
              <w:rPr>
                <w:color w:val="000000"/>
              </w:rPr>
            </w:pPr>
            <w:r w:rsidRPr="00490EFD">
              <w:rPr>
                <w:color w:val="000000"/>
              </w:rPr>
              <w:t>0.270</w:t>
            </w:r>
          </w:p>
        </w:tc>
      </w:tr>
      <w:tr w:rsidR="00490EFD" w:rsidRPr="00490EFD" w:rsidTr="00AE372D">
        <w:trPr>
          <w:jc w:val="center"/>
        </w:trPr>
        <w:tc>
          <w:tcPr>
            <w:tcW w:w="939" w:type="dxa"/>
          </w:tcPr>
          <w:p w:rsidR="00490EFD" w:rsidRPr="00490EFD" w:rsidRDefault="00490EFD" w:rsidP="00490EFD">
            <w:pPr>
              <w:keepNext/>
              <w:rPr>
                <w:b/>
              </w:rPr>
            </w:pPr>
            <w:r w:rsidRPr="00490EFD">
              <w:rPr>
                <w:b/>
              </w:rPr>
              <w:t>2022</w:t>
            </w:r>
          </w:p>
        </w:tc>
        <w:tc>
          <w:tcPr>
            <w:tcW w:w="876" w:type="dxa"/>
            <w:vAlign w:val="bottom"/>
          </w:tcPr>
          <w:p w:rsidR="00490EFD" w:rsidRPr="00490EFD" w:rsidRDefault="00490EFD" w:rsidP="00490EFD">
            <w:pPr>
              <w:jc w:val="right"/>
              <w:rPr>
                <w:color w:val="000000"/>
              </w:rPr>
            </w:pPr>
            <w:r w:rsidRPr="00490EFD">
              <w:rPr>
                <w:color w:val="000000"/>
              </w:rPr>
              <w:t>0.058</w:t>
            </w:r>
          </w:p>
        </w:tc>
        <w:tc>
          <w:tcPr>
            <w:tcW w:w="942" w:type="dxa"/>
            <w:vAlign w:val="bottom"/>
          </w:tcPr>
          <w:p w:rsidR="00490EFD" w:rsidRPr="00490EFD" w:rsidRDefault="00490EFD" w:rsidP="00490EFD">
            <w:pPr>
              <w:jc w:val="right"/>
              <w:rPr>
                <w:color w:val="000000"/>
              </w:rPr>
            </w:pPr>
            <w:r w:rsidRPr="00490EFD">
              <w:rPr>
                <w:color w:val="000000"/>
              </w:rPr>
              <w:t>0.138</w:t>
            </w:r>
          </w:p>
        </w:tc>
        <w:tc>
          <w:tcPr>
            <w:tcW w:w="919" w:type="dxa"/>
            <w:vAlign w:val="bottom"/>
          </w:tcPr>
          <w:p w:rsidR="00490EFD" w:rsidRPr="00490EFD" w:rsidRDefault="00490EFD" w:rsidP="00490EFD">
            <w:pPr>
              <w:jc w:val="right"/>
              <w:rPr>
                <w:color w:val="000000"/>
              </w:rPr>
            </w:pPr>
            <w:r w:rsidRPr="00490EFD">
              <w:rPr>
                <w:color w:val="000000"/>
              </w:rPr>
              <w:t>0.027</w:t>
            </w:r>
          </w:p>
        </w:tc>
        <w:tc>
          <w:tcPr>
            <w:tcW w:w="912" w:type="dxa"/>
            <w:vAlign w:val="bottom"/>
          </w:tcPr>
          <w:p w:rsidR="00490EFD" w:rsidRPr="00490EFD" w:rsidRDefault="00490EFD" w:rsidP="00490EFD">
            <w:pPr>
              <w:jc w:val="right"/>
              <w:rPr>
                <w:color w:val="000000"/>
              </w:rPr>
            </w:pPr>
            <w:r w:rsidRPr="00490EFD">
              <w:rPr>
                <w:color w:val="000000"/>
              </w:rPr>
              <w:t>0.080</w:t>
            </w:r>
          </w:p>
        </w:tc>
        <w:tc>
          <w:tcPr>
            <w:tcW w:w="925" w:type="dxa"/>
            <w:vAlign w:val="bottom"/>
          </w:tcPr>
          <w:p w:rsidR="00490EFD" w:rsidRPr="00490EFD" w:rsidRDefault="00490EFD" w:rsidP="00490EFD">
            <w:pPr>
              <w:jc w:val="right"/>
              <w:rPr>
                <w:color w:val="000000"/>
              </w:rPr>
            </w:pPr>
            <w:r w:rsidRPr="00490EFD">
              <w:rPr>
                <w:color w:val="000000"/>
              </w:rPr>
              <w:t>0.202</w:t>
            </w:r>
          </w:p>
        </w:tc>
        <w:tc>
          <w:tcPr>
            <w:tcW w:w="962" w:type="dxa"/>
            <w:vAlign w:val="bottom"/>
          </w:tcPr>
          <w:p w:rsidR="00490EFD" w:rsidRPr="00490EFD" w:rsidRDefault="00490EFD" w:rsidP="00490EFD">
            <w:pPr>
              <w:jc w:val="right"/>
              <w:rPr>
                <w:color w:val="000000"/>
              </w:rPr>
            </w:pPr>
            <w:r w:rsidRPr="00490EFD">
              <w:rPr>
                <w:color w:val="000000"/>
              </w:rPr>
              <w:t>0.270</w:t>
            </w:r>
          </w:p>
        </w:tc>
      </w:tr>
      <w:tr w:rsidR="00490EFD" w:rsidRPr="00490EFD" w:rsidTr="00AE372D">
        <w:trPr>
          <w:jc w:val="center"/>
        </w:trPr>
        <w:tc>
          <w:tcPr>
            <w:tcW w:w="939" w:type="dxa"/>
          </w:tcPr>
          <w:p w:rsidR="00490EFD" w:rsidRPr="00490EFD" w:rsidRDefault="00490EFD" w:rsidP="00490EFD">
            <w:pPr>
              <w:keepNext/>
              <w:rPr>
                <w:b/>
              </w:rPr>
            </w:pPr>
            <w:r w:rsidRPr="00490EFD">
              <w:rPr>
                <w:b/>
              </w:rPr>
              <w:t>2023</w:t>
            </w:r>
          </w:p>
        </w:tc>
        <w:tc>
          <w:tcPr>
            <w:tcW w:w="876" w:type="dxa"/>
            <w:vAlign w:val="bottom"/>
          </w:tcPr>
          <w:p w:rsidR="00490EFD" w:rsidRPr="00490EFD" w:rsidRDefault="00490EFD" w:rsidP="00490EFD">
            <w:pPr>
              <w:jc w:val="right"/>
              <w:rPr>
                <w:color w:val="000000"/>
              </w:rPr>
            </w:pPr>
            <w:r w:rsidRPr="00490EFD">
              <w:rPr>
                <w:color w:val="000000"/>
              </w:rPr>
              <w:t>0.065</w:t>
            </w:r>
          </w:p>
        </w:tc>
        <w:tc>
          <w:tcPr>
            <w:tcW w:w="942" w:type="dxa"/>
            <w:vAlign w:val="bottom"/>
          </w:tcPr>
          <w:p w:rsidR="00490EFD" w:rsidRPr="00490EFD" w:rsidRDefault="00490EFD" w:rsidP="00490EFD">
            <w:pPr>
              <w:jc w:val="right"/>
              <w:rPr>
                <w:color w:val="000000"/>
              </w:rPr>
            </w:pPr>
            <w:r w:rsidRPr="00490EFD">
              <w:rPr>
                <w:color w:val="000000"/>
              </w:rPr>
              <w:t>0.138</w:t>
            </w:r>
          </w:p>
        </w:tc>
        <w:tc>
          <w:tcPr>
            <w:tcW w:w="919" w:type="dxa"/>
            <w:vAlign w:val="bottom"/>
          </w:tcPr>
          <w:p w:rsidR="00490EFD" w:rsidRPr="00490EFD" w:rsidRDefault="00490EFD" w:rsidP="00490EFD">
            <w:pPr>
              <w:jc w:val="right"/>
              <w:rPr>
                <w:color w:val="000000"/>
              </w:rPr>
            </w:pPr>
            <w:r w:rsidRPr="00490EFD">
              <w:rPr>
                <w:color w:val="000000"/>
              </w:rPr>
              <w:t>0.027</w:t>
            </w:r>
          </w:p>
        </w:tc>
        <w:tc>
          <w:tcPr>
            <w:tcW w:w="912" w:type="dxa"/>
            <w:vAlign w:val="bottom"/>
          </w:tcPr>
          <w:p w:rsidR="00490EFD" w:rsidRPr="00490EFD" w:rsidRDefault="00490EFD" w:rsidP="00490EFD">
            <w:pPr>
              <w:jc w:val="right"/>
              <w:rPr>
                <w:color w:val="000000"/>
              </w:rPr>
            </w:pPr>
            <w:r w:rsidRPr="00490EFD">
              <w:rPr>
                <w:color w:val="000000"/>
              </w:rPr>
              <w:t>0.080</w:t>
            </w:r>
          </w:p>
        </w:tc>
        <w:tc>
          <w:tcPr>
            <w:tcW w:w="925" w:type="dxa"/>
            <w:vAlign w:val="bottom"/>
          </w:tcPr>
          <w:p w:rsidR="00490EFD" w:rsidRPr="00490EFD" w:rsidRDefault="00490EFD" w:rsidP="00490EFD">
            <w:pPr>
              <w:jc w:val="right"/>
              <w:rPr>
                <w:color w:val="000000"/>
              </w:rPr>
            </w:pPr>
            <w:r w:rsidRPr="00490EFD">
              <w:rPr>
                <w:color w:val="000000"/>
              </w:rPr>
              <w:t>0.215</w:t>
            </w:r>
          </w:p>
        </w:tc>
        <w:tc>
          <w:tcPr>
            <w:tcW w:w="962" w:type="dxa"/>
            <w:vAlign w:val="bottom"/>
          </w:tcPr>
          <w:p w:rsidR="00490EFD" w:rsidRPr="00490EFD" w:rsidRDefault="00490EFD" w:rsidP="00490EFD">
            <w:pPr>
              <w:jc w:val="right"/>
              <w:rPr>
                <w:color w:val="000000"/>
              </w:rPr>
            </w:pPr>
            <w:r w:rsidRPr="00490EFD">
              <w:rPr>
                <w:color w:val="000000"/>
              </w:rPr>
              <w:t>0.270</w:t>
            </w:r>
          </w:p>
        </w:tc>
      </w:tr>
      <w:tr w:rsidR="00490EFD" w:rsidRPr="00490EFD" w:rsidTr="00AE372D">
        <w:trPr>
          <w:jc w:val="center"/>
        </w:trPr>
        <w:tc>
          <w:tcPr>
            <w:tcW w:w="939" w:type="dxa"/>
          </w:tcPr>
          <w:p w:rsidR="00490EFD" w:rsidRPr="00490EFD" w:rsidRDefault="00490EFD" w:rsidP="00490EFD">
            <w:pPr>
              <w:keepNext/>
              <w:rPr>
                <w:b/>
              </w:rPr>
            </w:pPr>
            <w:r w:rsidRPr="00490EFD">
              <w:rPr>
                <w:b/>
              </w:rPr>
              <w:t>2024</w:t>
            </w:r>
          </w:p>
        </w:tc>
        <w:tc>
          <w:tcPr>
            <w:tcW w:w="876" w:type="dxa"/>
            <w:vAlign w:val="bottom"/>
          </w:tcPr>
          <w:p w:rsidR="00490EFD" w:rsidRPr="00490EFD" w:rsidRDefault="00490EFD" w:rsidP="00490EFD">
            <w:pPr>
              <w:jc w:val="right"/>
              <w:rPr>
                <w:color w:val="000000"/>
              </w:rPr>
            </w:pPr>
            <w:r w:rsidRPr="00490EFD">
              <w:rPr>
                <w:color w:val="000000"/>
              </w:rPr>
              <w:t>0.071</w:t>
            </w:r>
          </w:p>
        </w:tc>
        <w:tc>
          <w:tcPr>
            <w:tcW w:w="942" w:type="dxa"/>
            <w:vAlign w:val="bottom"/>
          </w:tcPr>
          <w:p w:rsidR="00490EFD" w:rsidRPr="00490EFD" w:rsidRDefault="00490EFD" w:rsidP="00490EFD">
            <w:pPr>
              <w:jc w:val="right"/>
              <w:rPr>
                <w:color w:val="000000"/>
              </w:rPr>
            </w:pPr>
            <w:r w:rsidRPr="00490EFD">
              <w:rPr>
                <w:color w:val="000000"/>
              </w:rPr>
              <w:t>0.138</w:t>
            </w:r>
          </w:p>
        </w:tc>
        <w:tc>
          <w:tcPr>
            <w:tcW w:w="919" w:type="dxa"/>
            <w:vAlign w:val="bottom"/>
          </w:tcPr>
          <w:p w:rsidR="00490EFD" w:rsidRPr="00490EFD" w:rsidRDefault="00490EFD" w:rsidP="00490EFD">
            <w:pPr>
              <w:jc w:val="right"/>
              <w:rPr>
                <w:color w:val="000000"/>
              </w:rPr>
            </w:pPr>
            <w:r w:rsidRPr="00490EFD">
              <w:rPr>
                <w:color w:val="000000"/>
              </w:rPr>
              <w:t>0.027</w:t>
            </w:r>
          </w:p>
        </w:tc>
        <w:tc>
          <w:tcPr>
            <w:tcW w:w="912" w:type="dxa"/>
            <w:vAlign w:val="bottom"/>
          </w:tcPr>
          <w:p w:rsidR="00490EFD" w:rsidRPr="00490EFD" w:rsidRDefault="00490EFD" w:rsidP="00490EFD">
            <w:pPr>
              <w:jc w:val="right"/>
              <w:rPr>
                <w:color w:val="000000"/>
              </w:rPr>
            </w:pPr>
            <w:r w:rsidRPr="00490EFD">
              <w:rPr>
                <w:color w:val="000000"/>
              </w:rPr>
              <w:t>0.080</w:t>
            </w:r>
          </w:p>
        </w:tc>
        <w:tc>
          <w:tcPr>
            <w:tcW w:w="925" w:type="dxa"/>
            <w:vAlign w:val="bottom"/>
          </w:tcPr>
          <w:p w:rsidR="00490EFD" w:rsidRPr="00490EFD" w:rsidRDefault="00490EFD" w:rsidP="00490EFD">
            <w:pPr>
              <w:jc w:val="right"/>
              <w:rPr>
                <w:color w:val="000000"/>
              </w:rPr>
            </w:pPr>
            <w:r w:rsidRPr="00490EFD">
              <w:rPr>
                <w:color w:val="000000"/>
              </w:rPr>
              <w:t>0.229</w:t>
            </w:r>
          </w:p>
        </w:tc>
        <w:tc>
          <w:tcPr>
            <w:tcW w:w="962" w:type="dxa"/>
            <w:vAlign w:val="bottom"/>
          </w:tcPr>
          <w:p w:rsidR="00490EFD" w:rsidRPr="00490EFD" w:rsidRDefault="00490EFD" w:rsidP="00490EFD">
            <w:pPr>
              <w:jc w:val="right"/>
              <w:rPr>
                <w:color w:val="000000"/>
              </w:rPr>
            </w:pPr>
            <w:r w:rsidRPr="00490EFD">
              <w:rPr>
                <w:color w:val="000000"/>
              </w:rPr>
              <w:t>0.270</w:t>
            </w:r>
          </w:p>
        </w:tc>
      </w:tr>
      <w:tr w:rsidR="00490EFD" w:rsidRPr="00490EFD" w:rsidTr="00AE372D">
        <w:trPr>
          <w:jc w:val="center"/>
        </w:trPr>
        <w:tc>
          <w:tcPr>
            <w:tcW w:w="939" w:type="dxa"/>
          </w:tcPr>
          <w:p w:rsidR="00490EFD" w:rsidRPr="00490EFD" w:rsidRDefault="00490EFD" w:rsidP="00490EFD">
            <w:pPr>
              <w:keepNext/>
              <w:rPr>
                <w:b/>
              </w:rPr>
            </w:pPr>
            <w:r w:rsidRPr="00490EFD">
              <w:rPr>
                <w:b/>
              </w:rPr>
              <w:t>Total</w:t>
            </w:r>
            <w:r w:rsidRPr="00490EFD">
              <w:rPr>
                <w:b/>
                <w:vertAlign w:val="superscript"/>
              </w:rPr>
              <w:footnoteReference w:id="7"/>
            </w:r>
          </w:p>
        </w:tc>
        <w:tc>
          <w:tcPr>
            <w:tcW w:w="876" w:type="dxa"/>
            <w:vAlign w:val="bottom"/>
          </w:tcPr>
          <w:p w:rsidR="00490EFD" w:rsidRPr="00490EFD" w:rsidRDefault="00490EFD" w:rsidP="00490EFD">
            <w:pPr>
              <w:jc w:val="right"/>
              <w:rPr>
                <w:b/>
                <w:bCs/>
                <w:color w:val="000000"/>
              </w:rPr>
            </w:pPr>
            <w:r w:rsidRPr="00490EFD">
              <w:rPr>
                <w:b/>
                <w:bCs/>
                <w:color w:val="000000"/>
              </w:rPr>
              <w:t>0.467</w:t>
            </w:r>
          </w:p>
        </w:tc>
        <w:tc>
          <w:tcPr>
            <w:tcW w:w="942" w:type="dxa"/>
            <w:vAlign w:val="bottom"/>
          </w:tcPr>
          <w:p w:rsidR="00490EFD" w:rsidRPr="00490EFD" w:rsidRDefault="00490EFD" w:rsidP="00490EFD">
            <w:pPr>
              <w:jc w:val="right"/>
              <w:rPr>
                <w:b/>
                <w:bCs/>
                <w:color w:val="000000"/>
              </w:rPr>
            </w:pPr>
            <w:r w:rsidRPr="00490EFD">
              <w:rPr>
                <w:b/>
                <w:bCs/>
                <w:color w:val="000000"/>
              </w:rPr>
              <w:t>1.076</w:t>
            </w:r>
          </w:p>
        </w:tc>
        <w:tc>
          <w:tcPr>
            <w:tcW w:w="919" w:type="dxa"/>
            <w:vAlign w:val="bottom"/>
          </w:tcPr>
          <w:p w:rsidR="00490EFD" w:rsidRPr="00490EFD" w:rsidRDefault="00490EFD" w:rsidP="00490EFD">
            <w:pPr>
              <w:jc w:val="right"/>
              <w:rPr>
                <w:b/>
                <w:bCs/>
                <w:color w:val="000000"/>
              </w:rPr>
            </w:pPr>
            <w:r w:rsidRPr="00490EFD">
              <w:rPr>
                <w:b/>
                <w:bCs/>
                <w:color w:val="000000"/>
              </w:rPr>
              <w:t>0.180</w:t>
            </w:r>
          </w:p>
        </w:tc>
        <w:tc>
          <w:tcPr>
            <w:tcW w:w="912" w:type="dxa"/>
            <w:vAlign w:val="bottom"/>
          </w:tcPr>
          <w:p w:rsidR="00490EFD" w:rsidRPr="00490EFD" w:rsidRDefault="00490EFD" w:rsidP="00490EFD">
            <w:pPr>
              <w:jc w:val="right"/>
              <w:rPr>
                <w:b/>
                <w:bCs/>
                <w:color w:val="000000"/>
              </w:rPr>
            </w:pPr>
            <w:r w:rsidRPr="00490EFD">
              <w:rPr>
                <w:b/>
                <w:bCs/>
                <w:color w:val="000000"/>
              </w:rPr>
              <w:t>0.631</w:t>
            </w:r>
          </w:p>
        </w:tc>
        <w:tc>
          <w:tcPr>
            <w:tcW w:w="925" w:type="dxa"/>
            <w:vAlign w:val="bottom"/>
          </w:tcPr>
          <w:p w:rsidR="00490EFD" w:rsidRPr="00490EFD" w:rsidRDefault="00490EFD" w:rsidP="00490EFD">
            <w:pPr>
              <w:jc w:val="right"/>
              <w:rPr>
                <w:b/>
                <w:bCs/>
                <w:color w:val="000000"/>
              </w:rPr>
            </w:pPr>
            <w:r w:rsidRPr="00490EFD">
              <w:rPr>
                <w:b/>
                <w:bCs/>
                <w:color w:val="000000"/>
              </w:rPr>
              <w:t>1.486</w:t>
            </w:r>
          </w:p>
        </w:tc>
        <w:tc>
          <w:tcPr>
            <w:tcW w:w="962" w:type="dxa"/>
            <w:vAlign w:val="bottom"/>
          </w:tcPr>
          <w:p w:rsidR="00490EFD" w:rsidRPr="00490EFD" w:rsidRDefault="00490EFD" w:rsidP="00490EFD">
            <w:pPr>
              <w:jc w:val="right"/>
              <w:rPr>
                <w:b/>
                <w:bCs/>
                <w:color w:val="000000"/>
              </w:rPr>
            </w:pPr>
            <w:r w:rsidRPr="00490EFD">
              <w:rPr>
                <w:b/>
                <w:bCs/>
                <w:color w:val="000000"/>
              </w:rPr>
              <w:t>2.087</w:t>
            </w:r>
          </w:p>
        </w:tc>
      </w:tr>
    </w:tbl>
    <w:p w:rsidR="00490EFD" w:rsidRPr="00490EFD" w:rsidRDefault="00490EFD" w:rsidP="00490EFD">
      <w:pPr>
        <w:spacing w:after="480"/>
        <w:ind w:left="1440" w:hanging="1440"/>
        <w:jc w:val="both"/>
      </w:pPr>
      <w:r w:rsidRPr="00490EFD">
        <w:t xml:space="preserve">                       Source: FPSC Order Nos. PSC-13-0645-PAA-EU &amp; PSC-14-0696-FOF-EU, FPUC revised DSM Plan, </w:t>
      </w:r>
      <w:r w:rsidR="00BD4007">
        <w:t>Our</w:t>
      </w:r>
      <w:r w:rsidRPr="00490EFD">
        <w:t xml:space="preserve"> Calculation</w:t>
      </w:r>
    </w:p>
    <w:p w:rsidR="00490EFD" w:rsidRPr="00490EFD" w:rsidRDefault="00490EFD" w:rsidP="004121A0">
      <w:pPr>
        <w:spacing w:after="240"/>
        <w:ind w:firstLine="720"/>
        <w:jc w:val="both"/>
      </w:pPr>
      <w:r w:rsidRPr="00490EFD">
        <w:lastRenderedPageBreak/>
        <w:t>FPUC has a single program that represents the majority of savings in each sector for all three goals categories. For residential, the majority of demand and energy savings are provided by the Residential Heating and Cooling Efficiency program, but program costs are split approximately equally between the Residential Heating and Cooling Efficiency program and the Residential Energy Survey program. For the commercial/industrial sector, the Commercial Chiller program provides the majority of demand and energy savings and program cost.</w:t>
      </w:r>
    </w:p>
    <w:p w:rsidR="00490EFD" w:rsidRPr="00490EFD" w:rsidRDefault="00490EFD" w:rsidP="004121A0">
      <w:pPr>
        <w:spacing w:after="240"/>
        <w:ind w:firstLine="720"/>
        <w:jc w:val="both"/>
      </w:pPr>
      <w:r w:rsidRPr="00490EFD">
        <w:t xml:space="preserve">The values presented above are projections based upon participation rates which may or may not occur. FPUC will be responsible for monitoring actual participation rates and seeking </w:t>
      </w:r>
      <w:r w:rsidR="004121A0">
        <w:t>our</w:t>
      </w:r>
      <w:r w:rsidRPr="00490EFD">
        <w:t xml:space="preserve"> action if necessary to modify, add, or remove programs. If FPUC is unable to meet the </w:t>
      </w:r>
      <w:r w:rsidR="004121A0">
        <w:t>our</w:t>
      </w:r>
      <w:r w:rsidRPr="00490EFD">
        <w:t xml:space="preserve"> goals, </w:t>
      </w:r>
      <w:r w:rsidR="004121A0">
        <w:t xml:space="preserve">we may take appropriate action against </w:t>
      </w:r>
      <w:r w:rsidRPr="00490EFD">
        <w:t>the company, up to and including financial penalties.</w:t>
      </w:r>
    </w:p>
    <w:p w:rsidR="004121A0" w:rsidRDefault="004121A0" w:rsidP="004121A0">
      <w:pPr>
        <w:spacing w:after="240"/>
        <w:ind w:firstLine="720"/>
        <w:jc w:val="both"/>
      </w:pPr>
      <w:r>
        <w:t>We are required by s</w:t>
      </w:r>
      <w:r w:rsidR="00490EFD" w:rsidRPr="00490EFD">
        <w:t xml:space="preserve">ection 366.82(10), F.S., </w:t>
      </w:r>
      <w:r>
        <w:t>to</w:t>
      </w:r>
      <w:r w:rsidR="00490EFD" w:rsidRPr="00490EFD">
        <w:t xml:space="preserve"> provide an annual report (FEECA Report) to the Governor and Legislature concerning the progress of each FEECA utility towards meeting its established goals. Rule 25-17.0021(5), F.A.C., requires that FPUC submit an annual report that summarizes the achieved results of its DSM Plan no later than March 1 of each year. </w:t>
      </w:r>
      <w:r>
        <w:t>Our s</w:t>
      </w:r>
      <w:r w:rsidR="00490EFD" w:rsidRPr="00490EFD">
        <w:t>taff will continue to monitor and report the actual amount of FPUC’s DSM savings each year, on an annual and cumulative basis, as part of the FEECA Report.</w:t>
      </w:r>
    </w:p>
    <w:p w:rsidR="00490EFD" w:rsidRPr="004121A0" w:rsidRDefault="00490EFD" w:rsidP="004121A0">
      <w:pPr>
        <w:spacing w:after="240"/>
        <w:jc w:val="both"/>
      </w:pPr>
      <w:r w:rsidRPr="004121A0">
        <w:rPr>
          <w:b/>
          <w:bCs/>
          <w:iCs/>
          <w:szCs w:val="28"/>
          <w:u w:val="single"/>
        </w:rPr>
        <w:t>Cost-Effectiveness Review</w:t>
      </w:r>
    </w:p>
    <w:p w:rsidR="00CF652B" w:rsidRDefault="00490EFD" w:rsidP="00CF652B">
      <w:pPr>
        <w:spacing w:after="240"/>
        <w:ind w:firstLine="720"/>
        <w:jc w:val="both"/>
      </w:pPr>
      <w:r w:rsidRPr="00490EFD">
        <w:t xml:space="preserve">Pursuant to Rule 25-17.008, F.A.C., FPUC provided a cost-effectiveness analysis of its proposed programs using the RIM test, the Total Resource Cost (TRC) test, and the Participants test. While </w:t>
      </w:r>
      <w:r w:rsidR="004121A0">
        <w:t>we established goals based upon the RIM test in</w:t>
      </w:r>
      <w:r w:rsidRPr="00490EFD">
        <w:t xml:space="preserve"> Order No. PSC-14-0696-FOF-EU, </w:t>
      </w:r>
      <w:r w:rsidR="004121A0">
        <w:t xml:space="preserve">our </w:t>
      </w:r>
      <w:r w:rsidRPr="00490EFD">
        <w:t xml:space="preserve">staff reviewed the results for each test. </w:t>
      </w:r>
      <w:r w:rsidR="004121A0">
        <w:t>The</w:t>
      </w:r>
      <w:r w:rsidRPr="00490EFD">
        <w:t xml:space="preserve"> assumptions associated with FPUC’s avoided costs and program savings</w:t>
      </w:r>
      <w:r w:rsidR="004121A0">
        <w:t xml:space="preserve"> are addressed</w:t>
      </w:r>
      <w:r w:rsidRPr="00490EFD">
        <w:t xml:space="preserve"> below.</w:t>
      </w:r>
    </w:p>
    <w:p w:rsidR="00490EFD" w:rsidRPr="00CF652B" w:rsidRDefault="00490EFD" w:rsidP="00CF652B">
      <w:pPr>
        <w:spacing w:after="240"/>
        <w:ind w:firstLine="720"/>
        <w:jc w:val="both"/>
        <w:rPr>
          <w:u w:val="single"/>
        </w:rPr>
      </w:pPr>
      <w:r w:rsidRPr="00CF652B">
        <w:rPr>
          <w:bCs/>
          <w:iCs/>
          <w:szCs w:val="28"/>
          <w:u w:val="single"/>
        </w:rPr>
        <w:t>Avoided Cost</w:t>
      </w:r>
    </w:p>
    <w:p w:rsidR="00CF652B" w:rsidRDefault="00490EFD" w:rsidP="00CF652B">
      <w:pPr>
        <w:spacing w:after="240"/>
        <w:ind w:firstLine="720"/>
        <w:jc w:val="both"/>
      </w:pPr>
      <w:r w:rsidRPr="00490EFD">
        <w:t xml:space="preserve">As FPUC is the only non-generating utility subject to FEECA, it does not use the next avoidable generating unit as the avoided cost basis. Instead, avoided cost is based upon the weighted average of avoided demand and energy charges from FPUC’s purchased power agreements with Gulf Power Company and JEA for its Northeast and Northwest Divisions, respectively. This methodology is reasonable and reflects </w:t>
      </w:r>
      <w:r w:rsidR="00CF652B">
        <w:t xml:space="preserve">our </w:t>
      </w:r>
      <w:r w:rsidRPr="00490EFD">
        <w:t>past treatment of FPUC’s unique circumstances.</w:t>
      </w:r>
    </w:p>
    <w:p w:rsidR="00CF652B" w:rsidRPr="00CF652B" w:rsidRDefault="00490EFD" w:rsidP="00CF652B">
      <w:pPr>
        <w:spacing w:after="240"/>
        <w:ind w:firstLine="720"/>
        <w:jc w:val="both"/>
        <w:rPr>
          <w:u w:val="single"/>
        </w:rPr>
      </w:pPr>
      <w:r w:rsidRPr="00CF652B">
        <w:rPr>
          <w:bCs/>
          <w:iCs/>
          <w:szCs w:val="28"/>
          <w:u w:val="single"/>
        </w:rPr>
        <w:t>Program Savings</w:t>
      </w:r>
    </w:p>
    <w:p w:rsidR="00CF652B" w:rsidRDefault="00490EFD" w:rsidP="00CF652B">
      <w:pPr>
        <w:spacing w:after="240"/>
        <w:ind w:firstLine="720"/>
        <w:jc w:val="both"/>
      </w:pPr>
      <w:r w:rsidRPr="00490EFD">
        <w:t>Seasonal peak demand and annual energy savings for FPUC’s programs were also reviewed. FPUC estimates and measures savings by a program using estimates from government energy efficiency resources such as, Energy Star or similar programs from other Florida Utilities, including Duke Energy Florida</w:t>
      </w:r>
      <w:r w:rsidR="00D90B90">
        <w:t xml:space="preserve">, Inc., </w:t>
      </w:r>
      <w:r w:rsidRPr="00490EFD">
        <w:t xml:space="preserve"> Tampa Electric Company, and Gulf Power Company. Given FPUC’s small size, the use of data from other resources is reasonable. While not explicitly outlined in FPUC’s DSM Plan, Rule 25-17.003(10), F.A.C., requires FPUC to conduct </w:t>
      </w:r>
      <w:r w:rsidRPr="00490EFD">
        <w:lastRenderedPageBreak/>
        <w:t xml:space="preserve">inspections of at least 10 percent of program installations to verify that the installations were performed and the installations meet quality standards. </w:t>
      </w:r>
    </w:p>
    <w:p w:rsidR="00490EFD" w:rsidRPr="00CF652B" w:rsidRDefault="00490EFD" w:rsidP="00CF652B">
      <w:pPr>
        <w:spacing w:after="240"/>
        <w:ind w:firstLine="720"/>
        <w:jc w:val="both"/>
        <w:rPr>
          <w:u w:val="single"/>
        </w:rPr>
      </w:pPr>
      <w:r w:rsidRPr="00CF652B">
        <w:rPr>
          <w:bCs/>
          <w:iCs/>
          <w:szCs w:val="28"/>
          <w:u w:val="single"/>
        </w:rPr>
        <w:t>Cost-Effectiveness Test Results</w:t>
      </w:r>
    </w:p>
    <w:p w:rsidR="00490EFD" w:rsidRPr="00490EFD" w:rsidRDefault="00490EFD" w:rsidP="00CF652B">
      <w:pPr>
        <w:spacing w:after="240"/>
        <w:ind w:firstLine="720"/>
        <w:jc w:val="both"/>
      </w:pPr>
      <w:r w:rsidRPr="00490EFD">
        <w:t xml:space="preserve">All FPUC’s proposed programs with allocated demand and energy savings pass both the RIM </w:t>
      </w:r>
      <w:r w:rsidR="00CF652B">
        <w:t>and P</w:t>
      </w:r>
      <w:r w:rsidRPr="00490EFD">
        <w:t>articipants tests, based upon FPUC’s filing and assumptions regarding common cost allocation. These tests consist of the benefits divided by the costs, as defined by Rule 25-17.008, F.A.C., so that programs are determined to be cost-effective if the result of the test is a ratio greater than 1.00. The cost-effectiveness test results for each of FPUC’s programs are provided in Table 1-4 below. Audit programs are not included below as they are required by Rule 25-17.003, F.A.C.</w:t>
      </w:r>
    </w:p>
    <w:p w:rsidR="00490EFD" w:rsidRPr="00CF652B" w:rsidRDefault="00490EFD" w:rsidP="00490EFD">
      <w:pPr>
        <w:keepNext/>
        <w:spacing w:before="480"/>
        <w:jc w:val="center"/>
        <w:rPr>
          <w:b/>
        </w:rPr>
      </w:pPr>
      <w:r w:rsidRPr="00CF652B">
        <w:rPr>
          <w:b/>
        </w:rPr>
        <w:t xml:space="preserve">Table </w:t>
      </w:r>
      <w:r w:rsidR="00D90B90">
        <w:rPr>
          <w:b/>
        </w:rPr>
        <w:t>1</w:t>
      </w:r>
      <w:r w:rsidRPr="00CF652B">
        <w:rPr>
          <w:b/>
        </w:rPr>
        <w:t>-4</w:t>
      </w:r>
    </w:p>
    <w:p w:rsidR="00490EFD" w:rsidRPr="00CF652B" w:rsidRDefault="00490EFD" w:rsidP="00490EFD">
      <w:pPr>
        <w:keepNext/>
        <w:jc w:val="center"/>
        <w:rPr>
          <w:b/>
        </w:rPr>
      </w:pPr>
      <w:r w:rsidRPr="00CF652B">
        <w:rPr>
          <w:b/>
        </w:rPr>
        <w:t>FPUC Cost-Effectiveness Test Results by Program</w:t>
      </w:r>
    </w:p>
    <w:tbl>
      <w:tblPr>
        <w:tblStyle w:val="TableGrid"/>
        <w:tblW w:w="0" w:type="auto"/>
        <w:jc w:val="center"/>
        <w:tblLook w:val="04A0" w:firstRow="1" w:lastRow="0" w:firstColumn="1" w:lastColumn="0" w:noHBand="0" w:noVBand="1"/>
      </w:tblPr>
      <w:tblGrid>
        <w:gridCol w:w="4482"/>
        <w:gridCol w:w="1330"/>
        <w:gridCol w:w="1343"/>
        <w:gridCol w:w="1599"/>
      </w:tblGrid>
      <w:tr w:rsidR="00490EFD" w:rsidRPr="00490EFD" w:rsidTr="00AE372D">
        <w:trPr>
          <w:jc w:val="center"/>
        </w:trPr>
        <w:tc>
          <w:tcPr>
            <w:tcW w:w="4482" w:type="dxa"/>
            <w:shd w:val="clear" w:color="auto" w:fill="auto"/>
            <w:vAlign w:val="center"/>
          </w:tcPr>
          <w:p w:rsidR="00490EFD" w:rsidRPr="00490EFD" w:rsidRDefault="00490EFD" w:rsidP="00490EFD">
            <w:pPr>
              <w:keepNext/>
              <w:jc w:val="center"/>
              <w:rPr>
                <w:b/>
              </w:rPr>
            </w:pPr>
            <w:r w:rsidRPr="00490EFD">
              <w:rPr>
                <w:b/>
              </w:rPr>
              <w:t>Program Name</w:t>
            </w:r>
          </w:p>
        </w:tc>
        <w:tc>
          <w:tcPr>
            <w:tcW w:w="1330" w:type="dxa"/>
            <w:shd w:val="clear" w:color="auto" w:fill="auto"/>
            <w:vAlign w:val="center"/>
          </w:tcPr>
          <w:p w:rsidR="00490EFD" w:rsidRPr="00490EFD" w:rsidRDefault="00490EFD" w:rsidP="00490EFD">
            <w:pPr>
              <w:keepNext/>
              <w:jc w:val="center"/>
              <w:rPr>
                <w:b/>
              </w:rPr>
            </w:pPr>
            <w:r w:rsidRPr="00490EFD">
              <w:rPr>
                <w:b/>
              </w:rPr>
              <w:t>RIM Test</w:t>
            </w:r>
          </w:p>
        </w:tc>
        <w:tc>
          <w:tcPr>
            <w:tcW w:w="1343" w:type="dxa"/>
            <w:shd w:val="clear" w:color="auto" w:fill="auto"/>
            <w:vAlign w:val="center"/>
          </w:tcPr>
          <w:p w:rsidR="00490EFD" w:rsidRPr="00490EFD" w:rsidRDefault="00490EFD" w:rsidP="00490EFD">
            <w:pPr>
              <w:keepNext/>
              <w:jc w:val="center"/>
              <w:rPr>
                <w:b/>
              </w:rPr>
            </w:pPr>
            <w:r w:rsidRPr="00490EFD">
              <w:rPr>
                <w:b/>
              </w:rPr>
              <w:t>TRC Test</w:t>
            </w:r>
          </w:p>
        </w:tc>
        <w:tc>
          <w:tcPr>
            <w:tcW w:w="1599" w:type="dxa"/>
            <w:shd w:val="clear" w:color="auto" w:fill="auto"/>
            <w:vAlign w:val="center"/>
          </w:tcPr>
          <w:p w:rsidR="00490EFD" w:rsidRPr="00490EFD" w:rsidRDefault="00490EFD" w:rsidP="00490EFD">
            <w:pPr>
              <w:keepNext/>
              <w:jc w:val="center"/>
              <w:rPr>
                <w:b/>
              </w:rPr>
            </w:pPr>
            <w:r w:rsidRPr="00490EFD">
              <w:rPr>
                <w:b/>
              </w:rPr>
              <w:t>Participants</w:t>
            </w:r>
          </w:p>
          <w:p w:rsidR="00490EFD" w:rsidRPr="00490EFD" w:rsidRDefault="00490EFD" w:rsidP="00490EFD">
            <w:pPr>
              <w:keepNext/>
              <w:jc w:val="center"/>
              <w:rPr>
                <w:b/>
              </w:rPr>
            </w:pPr>
            <w:r w:rsidRPr="00490EFD">
              <w:rPr>
                <w:b/>
              </w:rPr>
              <w:t>Test</w:t>
            </w:r>
          </w:p>
        </w:tc>
      </w:tr>
      <w:tr w:rsidR="00490EFD" w:rsidRPr="00490EFD" w:rsidTr="00AE372D">
        <w:trPr>
          <w:jc w:val="center"/>
        </w:trPr>
        <w:tc>
          <w:tcPr>
            <w:tcW w:w="8754" w:type="dxa"/>
            <w:gridSpan w:val="4"/>
            <w:shd w:val="clear" w:color="auto" w:fill="auto"/>
          </w:tcPr>
          <w:p w:rsidR="00490EFD" w:rsidRPr="00490EFD" w:rsidRDefault="00490EFD" w:rsidP="00490EFD">
            <w:pPr>
              <w:keepNext/>
              <w:jc w:val="center"/>
              <w:rPr>
                <w:b/>
              </w:rPr>
            </w:pPr>
            <w:r w:rsidRPr="00490EFD">
              <w:rPr>
                <w:b/>
              </w:rPr>
              <w:t>Residential Programs</w:t>
            </w:r>
          </w:p>
        </w:tc>
      </w:tr>
      <w:tr w:rsidR="00490EFD" w:rsidRPr="00490EFD" w:rsidTr="00AE372D">
        <w:trPr>
          <w:jc w:val="center"/>
        </w:trPr>
        <w:tc>
          <w:tcPr>
            <w:tcW w:w="4482" w:type="dxa"/>
            <w:shd w:val="clear" w:color="auto" w:fill="auto"/>
            <w:vAlign w:val="bottom"/>
          </w:tcPr>
          <w:p w:rsidR="00490EFD" w:rsidRPr="00490EFD" w:rsidRDefault="00490EFD" w:rsidP="00490EFD">
            <w:pPr>
              <w:keepNext/>
            </w:pPr>
            <w:r w:rsidRPr="00490EFD">
              <w:t>Residential Heating &amp; Cooling Efficiency</w:t>
            </w:r>
          </w:p>
        </w:tc>
        <w:tc>
          <w:tcPr>
            <w:tcW w:w="1330" w:type="dxa"/>
            <w:shd w:val="clear" w:color="auto" w:fill="auto"/>
          </w:tcPr>
          <w:p w:rsidR="00490EFD" w:rsidRPr="00490EFD" w:rsidRDefault="00490EFD" w:rsidP="00490EFD">
            <w:pPr>
              <w:keepNext/>
              <w:jc w:val="right"/>
            </w:pPr>
            <w:r w:rsidRPr="00490EFD">
              <w:t>1.22</w:t>
            </w:r>
          </w:p>
        </w:tc>
        <w:tc>
          <w:tcPr>
            <w:tcW w:w="1343" w:type="dxa"/>
            <w:shd w:val="clear" w:color="auto" w:fill="auto"/>
          </w:tcPr>
          <w:p w:rsidR="00490EFD" w:rsidRPr="00490EFD" w:rsidRDefault="00490EFD" w:rsidP="00490EFD">
            <w:pPr>
              <w:keepNext/>
              <w:jc w:val="right"/>
            </w:pPr>
            <w:r w:rsidRPr="00490EFD">
              <w:t>1.47</w:t>
            </w:r>
          </w:p>
        </w:tc>
        <w:tc>
          <w:tcPr>
            <w:tcW w:w="1599" w:type="dxa"/>
            <w:shd w:val="clear" w:color="auto" w:fill="auto"/>
          </w:tcPr>
          <w:p w:rsidR="00490EFD" w:rsidRPr="00490EFD" w:rsidRDefault="00490EFD" w:rsidP="00490EFD">
            <w:pPr>
              <w:keepNext/>
              <w:jc w:val="right"/>
            </w:pPr>
            <w:r w:rsidRPr="00490EFD">
              <w:t>1.40</w:t>
            </w:r>
          </w:p>
        </w:tc>
      </w:tr>
      <w:tr w:rsidR="00490EFD" w:rsidRPr="00490EFD" w:rsidTr="00AE372D">
        <w:trPr>
          <w:jc w:val="center"/>
        </w:trPr>
        <w:tc>
          <w:tcPr>
            <w:tcW w:w="8754" w:type="dxa"/>
            <w:gridSpan w:val="4"/>
            <w:shd w:val="clear" w:color="auto" w:fill="auto"/>
          </w:tcPr>
          <w:p w:rsidR="00490EFD" w:rsidRPr="00490EFD" w:rsidRDefault="00490EFD" w:rsidP="00490EFD">
            <w:pPr>
              <w:keepNext/>
              <w:jc w:val="center"/>
              <w:rPr>
                <w:b/>
              </w:rPr>
            </w:pPr>
            <w:r w:rsidRPr="00490EFD">
              <w:rPr>
                <w:b/>
              </w:rPr>
              <w:t>Commercial/Industrial Programs</w:t>
            </w:r>
          </w:p>
        </w:tc>
      </w:tr>
      <w:tr w:rsidR="00490EFD" w:rsidRPr="00490EFD" w:rsidTr="00AE372D">
        <w:trPr>
          <w:jc w:val="center"/>
        </w:trPr>
        <w:tc>
          <w:tcPr>
            <w:tcW w:w="4482" w:type="dxa"/>
            <w:shd w:val="clear" w:color="auto" w:fill="auto"/>
          </w:tcPr>
          <w:p w:rsidR="00490EFD" w:rsidRPr="00490EFD" w:rsidRDefault="00490EFD" w:rsidP="00490EFD">
            <w:pPr>
              <w:keepNext/>
            </w:pPr>
            <w:r w:rsidRPr="00490EFD">
              <w:t>Commercial Heating &amp; Cooling Efficiency</w:t>
            </w:r>
          </w:p>
        </w:tc>
        <w:tc>
          <w:tcPr>
            <w:tcW w:w="1330" w:type="dxa"/>
            <w:shd w:val="clear" w:color="auto" w:fill="auto"/>
          </w:tcPr>
          <w:p w:rsidR="00490EFD" w:rsidRPr="00490EFD" w:rsidRDefault="00490EFD" w:rsidP="00490EFD">
            <w:pPr>
              <w:keepNext/>
              <w:jc w:val="right"/>
            </w:pPr>
            <w:r w:rsidRPr="00490EFD">
              <w:t>1.14</w:t>
            </w:r>
          </w:p>
        </w:tc>
        <w:tc>
          <w:tcPr>
            <w:tcW w:w="1343" w:type="dxa"/>
            <w:shd w:val="clear" w:color="auto" w:fill="auto"/>
          </w:tcPr>
          <w:p w:rsidR="00490EFD" w:rsidRPr="00490EFD" w:rsidRDefault="00490EFD" w:rsidP="00490EFD">
            <w:pPr>
              <w:keepNext/>
              <w:jc w:val="right"/>
            </w:pPr>
            <w:r w:rsidRPr="00490EFD">
              <w:t>1.31</w:t>
            </w:r>
          </w:p>
        </w:tc>
        <w:tc>
          <w:tcPr>
            <w:tcW w:w="1599" w:type="dxa"/>
            <w:shd w:val="clear" w:color="auto" w:fill="auto"/>
          </w:tcPr>
          <w:p w:rsidR="00490EFD" w:rsidRPr="00490EFD" w:rsidRDefault="00490EFD" w:rsidP="00490EFD">
            <w:pPr>
              <w:keepNext/>
              <w:jc w:val="right"/>
            </w:pPr>
            <w:r w:rsidRPr="00490EFD">
              <w:t>1.37</w:t>
            </w:r>
          </w:p>
        </w:tc>
      </w:tr>
      <w:tr w:rsidR="00490EFD" w:rsidRPr="00490EFD" w:rsidTr="00AE372D">
        <w:trPr>
          <w:jc w:val="center"/>
        </w:trPr>
        <w:tc>
          <w:tcPr>
            <w:tcW w:w="4482" w:type="dxa"/>
            <w:shd w:val="clear" w:color="auto" w:fill="auto"/>
          </w:tcPr>
          <w:p w:rsidR="00490EFD" w:rsidRPr="00490EFD" w:rsidRDefault="00490EFD" w:rsidP="00490EFD">
            <w:pPr>
              <w:keepNext/>
            </w:pPr>
            <w:r w:rsidRPr="00490EFD">
              <w:t>Commercial Chiller Upgrade Program</w:t>
            </w:r>
          </w:p>
        </w:tc>
        <w:tc>
          <w:tcPr>
            <w:tcW w:w="1330" w:type="dxa"/>
            <w:shd w:val="clear" w:color="auto" w:fill="auto"/>
          </w:tcPr>
          <w:p w:rsidR="00490EFD" w:rsidRPr="00490EFD" w:rsidRDefault="00490EFD" w:rsidP="00490EFD">
            <w:pPr>
              <w:keepNext/>
              <w:jc w:val="right"/>
            </w:pPr>
            <w:r w:rsidRPr="00490EFD">
              <w:t>1.14</w:t>
            </w:r>
          </w:p>
        </w:tc>
        <w:tc>
          <w:tcPr>
            <w:tcW w:w="1343" w:type="dxa"/>
            <w:shd w:val="clear" w:color="auto" w:fill="auto"/>
          </w:tcPr>
          <w:p w:rsidR="00490EFD" w:rsidRPr="00490EFD" w:rsidRDefault="00490EFD" w:rsidP="00490EFD">
            <w:pPr>
              <w:keepNext/>
              <w:jc w:val="right"/>
            </w:pPr>
            <w:r w:rsidRPr="00490EFD">
              <w:t>1.35</w:t>
            </w:r>
          </w:p>
        </w:tc>
        <w:tc>
          <w:tcPr>
            <w:tcW w:w="1599" w:type="dxa"/>
            <w:shd w:val="clear" w:color="auto" w:fill="auto"/>
          </w:tcPr>
          <w:p w:rsidR="00490EFD" w:rsidRPr="00490EFD" w:rsidRDefault="00490EFD" w:rsidP="00490EFD">
            <w:pPr>
              <w:keepNext/>
              <w:jc w:val="right"/>
            </w:pPr>
            <w:r w:rsidRPr="00490EFD">
              <w:t>1.39</w:t>
            </w:r>
          </w:p>
        </w:tc>
      </w:tr>
      <w:tr w:rsidR="00490EFD" w:rsidRPr="00490EFD" w:rsidTr="00AE372D">
        <w:trPr>
          <w:jc w:val="center"/>
        </w:trPr>
        <w:tc>
          <w:tcPr>
            <w:tcW w:w="4482" w:type="dxa"/>
            <w:shd w:val="clear" w:color="auto" w:fill="auto"/>
          </w:tcPr>
          <w:p w:rsidR="00490EFD" w:rsidRPr="00490EFD" w:rsidRDefault="00490EFD" w:rsidP="00490EFD">
            <w:pPr>
              <w:keepNext/>
            </w:pPr>
            <w:r w:rsidRPr="00490EFD">
              <w:t>Commercial Reflective Roof Program</w:t>
            </w:r>
          </w:p>
        </w:tc>
        <w:tc>
          <w:tcPr>
            <w:tcW w:w="1330" w:type="dxa"/>
            <w:shd w:val="clear" w:color="auto" w:fill="auto"/>
          </w:tcPr>
          <w:p w:rsidR="00490EFD" w:rsidRPr="00490EFD" w:rsidRDefault="00490EFD" w:rsidP="00490EFD">
            <w:pPr>
              <w:keepNext/>
              <w:jc w:val="right"/>
            </w:pPr>
            <w:r w:rsidRPr="00490EFD">
              <w:t>1.01</w:t>
            </w:r>
          </w:p>
        </w:tc>
        <w:tc>
          <w:tcPr>
            <w:tcW w:w="1343" w:type="dxa"/>
            <w:shd w:val="clear" w:color="auto" w:fill="auto"/>
          </w:tcPr>
          <w:p w:rsidR="00490EFD" w:rsidRPr="00490EFD" w:rsidRDefault="00490EFD" w:rsidP="00490EFD">
            <w:pPr>
              <w:keepNext/>
              <w:jc w:val="right"/>
            </w:pPr>
            <w:r w:rsidRPr="00490EFD">
              <w:t>1.17</w:t>
            </w:r>
          </w:p>
        </w:tc>
        <w:tc>
          <w:tcPr>
            <w:tcW w:w="1599" w:type="dxa"/>
            <w:shd w:val="clear" w:color="auto" w:fill="auto"/>
          </w:tcPr>
          <w:p w:rsidR="00490EFD" w:rsidRPr="00490EFD" w:rsidRDefault="00490EFD" w:rsidP="00490EFD">
            <w:pPr>
              <w:keepNext/>
              <w:jc w:val="right"/>
            </w:pPr>
            <w:r w:rsidRPr="00490EFD">
              <w:t>1.39</w:t>
            </w:r>
          </w:p>
        </w:tc>
      </w:tr>
    </w:tbl>
    <w:p w:rsidR="00490EFD" w:rsidRPr="00490EFD" w:rsidRDefault="00490EFD" w:rsidP="00490EFD">
      <w:pPr>
        <w:spacing w:after="480"/>
        <w:jc w:val="both"/>
      </w:pPr>
      <w:r w:rsidRPr="00490EFD">
        <w:t xml:space="preserve">     Source: FPUC revised DSM Plan</w:t>
      </w:r>
    </w:p>
    <w:p w:rsidR="00CF652B" w:rsidRDefault="00490EFD" w:rsidP="00CF652B">
      <w:pPr>
        <w:spacing w:after="240"/>
        <w:ind w:firstLine="720"/>
        <w:jc w:val="both"/>
      </w:pPr>
      <w:r w:rsidRPr="00490EFD">
        <w:t xml:space="preserve">To perform the calculations in Table 1-4 above, FPUC estimated the administrative costs for implementing the proposed programs, and added it as a cost to the relevant tests. These administrative costs are not final. Moreover, </w:t>
      </w:r>
      <w:r w:rsidR="00CF652B">
        <w:t>our</w:t>
      </w:r>
      <w:r w:rsidRPr="00490EFD">
        <w:t xml:space="preserve"> acceptance of these test values would not signify that these values are reasonable for cost recovery purposes. FPUC, as the smallest FEECA utility, lacks the benefits of economies of scale that are available to the other utilities. As a result, administrative costs make up a larger portion of conservation costs for FPUC. FPUC sh</w:t>
      </w:r>
      <w:r w:rsidR="00CF652B">
        <w:t>all</w:t>
      </w:r>
      <w:r w:rsidRPr="00490EFD">
        <w:t xml:space="preserve"> continue to explore ways to reduce the administrative costs associated with implementing its DSM Plan. FPUC must demonstrate that the administrative costs associated with implementing its DSM programs are reasonable and prudent as part of its annual cost recovery filings in the E</w:t>
      </w:r>
      <w:r w:rsidR="00A80F89">
        <w:t xml:space="preserve">nergy </w:t>
      </w:r>
      <w:r w:rsidRPr="00490EFD">
        <w:t>C</w:t>
      </w:r>
      <w:r w:rsidR="00A80F89">
        <w:t xml:space="preserve">onservation </w:t>
      </w:r>
      <w:r w:rsidRPr="00490EFD">
        <w:t>C</w:t>
      </w:r>
      <w:r w:rsidR="00A80F89">
        <w:t xml:space="preserve">ost </w:t>
      </w:r>
      <w:r w:rsidRPr="00490EFD">
        <w:t>R</w:t>
      </w:r>
      <w:r w:rsidR="00A80F89">
        <w:t>ecover (ECCR)</w:t>
      </w:r>
      <w:r w:rsidRPr="00490EFD">
        <w:t xml:space="preserve"> clause proceeding.</w:t>
      </w:r>
    </w:p>
    <w:p w:rsidR="00490EFD" w:rsidRPr="00CF652B" w:rsidRDefault="00490EFD" w:rsidP="00CF652B">
      <w:pPr>
        <w:spacing w:after="240"/>
        <w:jc w:val="both"/>
        <w:rPr>
          <w:highlight w:val="cyan"/>
          <w:u w:val="single"/>
        </w:rPr>
      </w:pPr>
      <w:r w:rsidRPr="00CF652B">
        <w:rPr>
          <w:b/>
          <w:bCs/>
          <w:iCs/>
          <w:szCs w:val="28"/>
          <w:u w:val="single"/>
        </w:rPr>
        <w:t>Rate Impact</w:t>
      </w:r>
    </w:p>
    <w:p w:rsidR="00490EFD" w:rsidRPr="00490EFD" w:rsidRDefault="00E25987" w:rsidP="00CF652B">
      <w:pPr>
        <w:spacing w:after="240"/>
        <w:ind w:firstLine="720"/>
        <w:jc w:val="both"/>
      </w:pPr>
      <w:r>
        <w:t>As</w:t>
      </w:r>
      <w:r w:rsidR="00490EFD" w:rsidRPr="00490EFD">
        <w:t xml:space="preserve"> approved, the cost to implement the programs of FPUC’s DSM Plan programs would flow through to the ratepayers through the ECCR clause proceeding. In this annual docket, FPUC would file for recovery of incentives, equipment and administrative costs. The ECCR clause represents a monthly bill impact to customers as part of the non-fuel cost of energy and/or demand charges on their bill. Much like investments in other long-lived assets, investments in energy efficiency have an immediate rate impact, but produce savings over time. </w:t>
      </w:r>
    </w:p>
    <w:p w:rsidR="00490EFD" w:rsidRPr="00490EFD" w:rsidRDefault="00490EFD" w:rsidP="00CF652B">
      <w:pPr>
        <w:spacing w:after="240"/>
        <w:ind w:firstLine="720"/>
        <w:jc w:val="both"/>
      </w:pPr>
      <w:r w:rsidRPr="00490EFD">
        <w:lastRenderedPageBreak/>
        <w:t>Overall, the ECCR impact of FPUC’s DSM Plan is a small portion of a customer’s bill, and is anticipated to decrease over the ten-year period compared to 2014. Table 1-5 below is an estimate of the monthly bill impact of the ECCR clause on a typical residential and commercial/industrial customer over a ten-year period. The estimated ECCR factors are based upon the participation rates and administrative costs used in the cost-effectiveness analysis discussed above, and are not final.</w:t>
      </w:r>
    </w:p>
    <w:p w:rsidR="00490EFD" w:rsidRPr="00CF652B" w:rsidRDefault="00490EFD" w:rsidP="00490EFD">
      <w:pPr>
        <w:keepNext/>
        <w:spacing w:before="480"/>
        <w:jc w:val="center"/>
        <w:rPr>
          <w:b/>
        </w:rPr>
      </w:pPr>
      <w:r w:rsidRPr="00CF652B">
        <w:rPr>
          <w:b/>
        </w:rPr>
        <w:t xml:space="preserve">Table </w:t>
      </w:r>
      <w:r w:rsidR="00A80F89">
        <w:rPr>
          <w:b/>
        </w:rPr>
        <w:t>1</w:t>
      </w:r>
      <w:r w:rsidRPr="00CF652B">
        <w:rPr>
          <w:b/>
        </w:rPr>
        <w:t>-5</w:t>
      </w:r>
    </w:p>
    <w:p w:rsidR="00490EFD" w:rsidRPr="00CF652B" w:rsidRDefault="00490EFD" w:rsidP="00490EFD">
      <w:pPr>
        <w:keepNext/>
        <w:jc w:val="center"/>
        <w:rPr>
          <w:b/>
        </w:rPr>
      </w:pPr>
      <w:r w:rsidRPr="00CF652B">
        <w:rPr>
          <w:b/>
        </w:rPr>
        <w:t>FPUC Estimated Monthly Bill Impact of Proposed DSM Plan</w:t>
      </w:r>
    </w:p>
    <w:tbl>
      <w:tblPr>
        <w:tblStyle w:val="TableGrid"/>
        <w:tblW w:w="7807" w:type="dxa"/>
        <w:jc w:val="center"/>
        <w:tblLook w:val="04A0" w:firstRow="1" w:lastRow="0" w:firstColumn="1" w:lastColumn="0" w:noHBand="0" w:noVBand="1"/>
      </w:tblPr>
      <w:tblGrid>
        <w:gridCol w:w="803"/>
        <w:gridCol w:w="1596"/>
        <w:gridCol w:w="1596"/>
        <w:gridCol w:w="2216"/>
        <w:gridCol w:w="1596"/>
      </w:tblGrid>
      <w:tr w:rsidR="00490EFD" w:rsidRPr="00490EFD" w:rsidTr="00AE372D">
        <w:trPr>
          <w:jc w:val="center"/>
        </w:trPr>
        <w:tc>
          <w:tcPr>
            <w:tcW w:w="803" w:type="dxa"/>
            <w:vMerge w:val="restart"/>
            <w:vAlign w:val="center"/>
          </w:tcPr>
          <w:p w:rsidR="00490EFD" w:rsidRPr="00490EFD" w:rsidRDefault="00490EFD" w:rsidP="00490EFD">
            <w:pPr>
              <w:keepNext/>
              <w:jc w:val="center"/>
              <w:rPr>
                <w:b/>
              </w:rPr>
            </w:pPr>
            <w:r w:rsidRPr="00490EFD">
              <w:rPr>
                <w:b/>
              </w:rPr>
              <w:t>Year</w:t>
            </w:r>
          </w:p>
        </w:tc>
        <w:tc>
          <w:tcPr>
            <w:tcW w:w="3192" w:type="dxa"/>
            <w:gridSpan w:val="2"/>
            <w:vAlign w:val="center"/>
          </w:tcPr>
          <w:p w:rsidR="00490EFD" w:rsidRPr="00490EFD" w:rsidRDefault="00490EFD" w:rsidP="00490EFD">
            <w:pPr>
              <w:keepNext/>
              <w:jc w:val="center"/>
              <w:rPr>
                <w:b/>
              </w:rPr>
            </w:pPr>
            <w:r w:rsidRPr="00490EFD">
              <w:rPr>
                <w:b/>
              </w:rPr>
              <w:t>Residential Customer</w:t>
            </w:r>
          </w:p>
          <w:p w:rsidR="00490EFD" w:rsidRPr="00490EFD" w:rsidRDefault="00490EFD" w:rsidP="00490EFD">
            <w:pPr>
              <w:keepNext/>
              <w:jc w:val="center"/>
              <w:rPr>
                <w:b/>
              </w:rPr>
            </w:pPr>
            <w:r w:rsidRPr="00490EFD">
              <w:rPr>
                <w:b/>
              </w:rPr>
              <w:t>(1200 kWh/mo)</w:t>
            </w:r>
          </w:p>
        </w:tc>
        <w:tc>
          <w:tcPr>
            <w:tcW w:w="3812" w:type="dxa"/>
            <w:gridSpan w:val="2"/>
            <w:vAlign w:val="center"/>
          </w:tcPr>
          <w:p w:rsidR="00490EFD" w:rsidRPr="00490EFD" w:rsidRDefault="00490EFD" w:rsidP="00490EFD">
            <w:pPr>
              <w:keepNext/>
              <w:jc w:val="center"/>
              <w:rPr>
                <w:b/>
              </w:rPr>
            </w:pPr>
            <w:r w:rsidRPr="00490EFD">
              <w:rPr>
                <w:b/>
              </w:rPr>
              <w:t>Commercial/Industrial Customer</w:t>
            </w:r>
          </w:p>
          <w:p w:rsidR="00490EFD" w:rsidRPr="00490EFD" w:rsidRDefault="00490EFD" w:rsidP="00490EFD">
            <w:pPr>
              <w:keepNext/>
              <w:jc w:val="center"/>
              <w:rPr>
                <w:b/>
              </w:rPr>
            </w:pPr>
            <w:r w:rsidRPr="00490EFD">
              <w:rPr>
                <w:b/>
              </w:rPr>
              <w:t>(400,000 kWh/mo, 1000 kW)</w:t>
            </w:r>
          </w:p>
        </w:tc>
      </w:tr>
      <w:tr w:rsidR="00490EFD" w:rsidRPr="00490EFD" w:rsidTr="00AE372D">
        <w:trPr>
          <w:jc w:val="center"/>
        </w:trPr>
        <w:tc>
          <w:tcPr>
            <w:tcW w:w="803" w:type="dxa"/>
            <w:vMerge/>
            <w:vAlign w:val="center"/>
          </w:tcPr>
          <w:p w:rsidR="00490EFD" w:rsidRPr="00490EFD" w:rsidRDefault="00490EFD" w:rsidP="00490EFD">
            <w:pPr>
              <w:keepNext/>
              <w:jc w:val="center"/>
              <w:rPr>
                <w:b/>
              </w:rPr>
            </w:pPr>
          </w:p>
        </w:tc>
        <w:tc>
          <w:tcPr>
            <w:tcW w:w="1596" w:type="dxa"/>
            <w:vAlign w:val="center"/>
          </w:tcPr>
          <w:p w:rsidR="00490EFD" w:rsidRPr="00490EFD" w:rsidRDefault="00490EFD" w:rsidP="00490EFD">
            <w:pPr>
              <w:keepNext/>
              <w:jc w:val="center"/>
              <w:rPr>
                <w:b/>
              </w:rPr>
            </w:pPr>
            <w:r w:rsidRPr="00490EFD">
              <w:rPr>
                <w:b/>
              </w:rPr>
              <w:t>Bill Impact</w:t>
            </w:r>
          </w:p>
          <w:p w:rsidR="00490EFD" w:rsidRPr="00490EFD" w:rsidRDefault="00490EFD" w:rsidP="00490EFD">
            <w:pPr>
              <w:keepNext/>
              <w:jc w:val="center"/>
              <w:rPr>
                <w:b/>
              </w:rPr>
            </w:pPr>
            <w:r w:rsidRPr="00490EFD">
              <w:rPr>
                <w:b/>
              </w:rPr>
              <w:t>($/mo)</w:t>
            </w:r>
          </w:p>
        </w:tc>
        <w:tc>
          <w:tcPr>
            <w:tcW w:w="1596" w:type="dxa"/>
            <w:vAlign w:val="center"/>
          </w:tcPr>
          <w:p w:rsidR="00490EFD" w:rsidRPr="00490EFD" w:rsidRDefault="00490EFD" w:rsidP="00490EFD">
            <w:pPr>
              <w:keepNext/>
              <w:jc w:val="center"/>
              <w:rPr>
                <w:b/>
              </w:rPr>
            </w:pPr>
            <w:r w:rsidRPr="00490EFD">
              <w:rPr>
                <w:b/>
              </w:rPr>
              <w:t>Savings From 2014</w:t>
            </w:r>
          </w:p>
        </w:tc>
        <w:tc>
          <w:tcPr>
            <w:tcW w:w="2216" w:type="dxa"/>
            <w:vAlign w:val="center"/>
          </w:tcPr>
          <w:p w:rsidR="00490EFD" w:rsidRPr="00490EFD" w:rsidRDefault="00490EFD" w:rsidP="00490EFD">
            <w:pPr>
              <w:keepNext/>
              <w:jc w:val="center"/>
              <w:rPr>
                <w:b/>
              </w:rPr>
            </w:pPr>
            <w:r w:rsidRPr="00490EFD">
              <w:rPr>
                <w:b/>
              </w:rPr>
              <w:t>Bill Impact</w:t>
            </w:r>
          </w:p>
          <w:p w:rsidR="00490EFD" w:rsidRPr="00490EFD" w:rsidRDefault="00490EFD" w:rsidP="00490EFD">
            <w:pPr>
              <w:keepNext/>
              <w:jc w:val="center"/>
              <w:rPr>
                <w:b/>
              </w:rPr>
            </w:pPr>
            <w:r w:rsidRPr="00490EFD">
              <w:rPr>
                <w:b/>
              </w:rPr>
              <w:t>($/mo)</w:t>
            </w:r>
          </w:p>
        </w:tc>
        <w:tc>
          <w:tcPr>
            <w:tcW w:w="1596" w:type="dxa"/>
            <w:vAlign w:val="center"/>
          </w:tcPr>
          <w:p w:rsidR="00490EFD" w:rsidRPr="00490EFD" w:rsidRDefault="00490EFD" w:rsidP="00490EFD">
            <w:pPr>
              <w:keepNext/>
              <w:jc w:val="center"/>
              <w:rPr>
                <w:b/>
              </w:rPr>
            </w:pPr>
            <w:r w:rsidRPr="00490EFD">
              <w:rPr>
                <w:b/>
              </w:rPr>
              <w:t>Savings</w:t>
            </w:r>
          </w:p>
          <w:p w:rsidR="00490EFD" w:rsidRPr="00490EFD" w:rsidRDefault="00490EFD" w:rsidP="00490EFD">
            <w:pPr>
              <w:keepNext/>
              <w:jc w:val="center"/>
              <w:rPr>
                <w:b/>
              </w:rPr>
            </w:pPr>
            <w:r w:rsidRPr="00490EFD">
              <w:rPr>
                <w:b/>
              </w:rPr>
              <w:t>From 2014</w:t>
            </w:r>
          </w:p>
        </w:tc>
      </w:tr>
      <w:tr w:rsidR="00490EFD" w:rsidRPr="00490EFD" w:rsidTr="00AE372D">
        <w:trPr>
          <w:jc w:val="center"/>
        </w:trPr>
        <w:tc>
          <w:tcPr>
            <w:tcW w:w="803" w:type="dxa"/>
          </w:tcPr>
          <w:p w:rsidR="00490EFD" w:rsidRPr="00490EFD" w:rsidRDefault="00490EFD" w:rsidP="00490EFD">
            <w:pPr>
              <w:keepNext/>
              <w:rPr>
                <w:b/>
              </w:rPr>
            </w:pPr>
            <w:r w:rsidRPr="00490EFD">
              <w:rPr>
                <w:b/>
              </w:rPr>
              <w:t>2014</w:t>
            </w:r>
          </w:p>
        </w:tc>
        <w:tc>
          <w:tcPr>
            <w:tcW w:w="1596" w:type="dxa"/>
            <w:vAlign w:val="bottom"/>
          </w:tcPr>
          <w:p w:rsidR="00490EFD" w:rsidRPr="00490EFD" w:rsidRDefault="00490EFD" w:rsidP="00490EFD">
            <w:pPr>
              <w:jc w:val="right"/>
              <w:rPr>
                <w:color w:val="000000"/>
              </w:rPr>
            </w:pPr>
            <w:r w:rsidRPr="00490EFD">
              <w:rPr>
                <w:color w:val="000000"/>
              </w:rPr>
              <w:t xml:space="preserve">$1.20 </w:t>
            </w:r>
          </w:p>
        </w:tc>
        <w:tc>
          <w:tcPr>
            <w:tcW w:w="1596" w:type="dxa"/>
            <w:vAlign w:val="bottom"/>
          </w:tcPr>
          <w:p w:rsidR="00490EFD" w:rsidRPr="00490EFD" w:rsidRDefault="00490EFD" w:rsidP="00490EFD">
            <w:pPr>
              <w:jc w:val="right"/>
              <w:rPr>
                <w:color w:val="000000"/>
              </w:rPr>
            </w:pPr>
            <w:r w:rsidRPr="00490EFD">
              <w:rPr>
                <w:color w:val="000000"/>
              </w:rPr>
              <w:t>n/a</w:t>
            </w:r>
          </w:p>
        </w:tc>
        <w:tc>
          <w:tcPr>
            <w:tcW w:w="2216" w:type="dxa"/>
            <w:vAlign w:val="bottom"/>
          </w:tcPr>
          <w:p w:rsidR="00490EFD" w:rsidRPr="00490EFD" w:rsidRDefault="00490EFD" w:rsidP="00490EFD">
            <w:pPr>
              <w:jc w:val="right"/>
              <w:rPr>
                <w:color w:val="000000"/>
              </w:rPr>
            </w:pPr>
            <w:r w:rsidRPr="00490EFD">
              <w:rPr>
                <w:color w:val="000000"/>
              </w:rPr>
              <w:t xml:space="preserve">$400.00 </w:t>
            </w:r>
          </w:p>
        </w:tc>
        <w:tc>
          <w:tcPr>
            <w:tcW w:w="1596" w:type="dxa"/>
            <w:vAlign w:val="bottom"/>
          </w:tcPr>
          <w:p w:rsidR="00490EFD" w:rsidRPr="00490EFD" w:rsidRDefault="00490EFD" w:rsidP="00490EFD">
            <w:pPr>
              <w:jc w:val="right"/>
              <w:rPr>
                <w:color w:val="000000"/>
              </w:rPr>
            </w:pPr>
            <w:r w:rsidRPr="00490EFD">
              <w:rPr>
                <w:color w:val="000000"/>
              </w:rPr>
              <w:t>n/a</w:t>
            </w:r>
          </w:p>
        </w:tc>
      </w:tr>
      <w:tr w:rsidR="00490EFD" w:rsidRPr="00490EFD" w:rsidTr="00AE372D">
        <w:trPr>
          <w:jc w:val="center"/>
        </w:trPr>
        <w:tc>
          <w:tcPr>
            <w:tcW w:w="803" w:type="dxa"/>
          </w:tcPr>
          <w:p w:rsidR="00490EFD" w:rsidRPr="00490EFD" w:rsidRDefault="00490EFD" w:rsidP="00490EFD">
            <w:pPr>
              <w:keepNext/>
              <w:rPr>
                <w:b/>
              </w:rPr>
            </w:pPr>
            <w:r w:rsidRPr="00490EFD">
              <w:rPr>
                <w:b/>
              </w:rPr>
              <w:t>2015</w:t>
            </w:r>
          </w:p>
        </w:tc>
        <w:tc>
          <w:tcPr>
            <w:tcW w:w="1596" w:type="dxa"/>
            <w:vAlign w:val="bottom"/>
          </w:tcPr>
          <w:p w:rsidR="00490EFD" w:rsidRPr="00490EFD" w:rsidRDefault="00490EFD" w:rsidP="00490EFD">
            <w:pPr>
              <w:jc w:val="right"/>
              <w:rPr>
                <w:color w:val="000000"/>
              </w:rPr>
            </w:pPr>
            <w:r w:rsidRPr="00490EFD">
              <w:rPr>
                <w:color w:val="000000"/>
              </w:rPr>
              <w:t xml:space="preserve">$1.28 </w:t>
            </w:r>
          </w:p>
        </w:tc>
        <w:tc>
          <w:tcPr>
            <w:tcW w:w="1596" w:type="dxa"/>
            <w:vAlign w:val="bottom"/>
          </w:tcPr>
          <w:p w:rsidR="00490EFD" w:rsidRPr="00490EFD" w:rsidRDefault="00490EFD" w:rsidP="00490EFD">
            <w:pPr>
              <w:jc w:val="right"/>
              <w:rPr>
                <w:color w:val="000000"/>
              </w:rPr>
            </w:pPr>
            <w:r w:rsidRPr="00490EFD">
              <w:rPr>
                <w:color w:val="000000"/>
              </w:rPr>
              <w:t>($0.08)</w:t>
            </w:r>
          </w:p>
        </w:tc>
        <w:tc>
          <w:tcPr>
            <w:tcW w:w="2216" w:type="dxa"/>
            <w:vAlign w:val="bottom"/>
          </w:tcPr>
          <w:p w:rsidR="00490EFD" w:rsidRPr="00490EFD" w:rsidRDefault="00490EFD" w:rsidP="00490EFD">
            <w:pPr>
              <w:jc w:val="right"/>
              <w:rPr>
                <w:color w:val="000000"/>
              </w:rPr>
            </w:pPr>
            <w:r w:rsidRPr="00490EFD">
              <w:rPr>
                <w:color w:val="000000"/>
              </w:rPr>
              <w:t xml:space="preserve">$428.00 </w:t>
            </w:r>
          </w:p>
        </w:tc>
        <w:tc>
          <w:tcPr>
            <w:tcW w:w="1596" w:type="dxa"/>
            <w:vAlign w:val="bottom"/>
          </w:tcPr>
          <w:p w:rsidR="00490EFD" w:rsidRPr="00490EFD" w:rsidRDefault="00490EFD" w:rsidP="00490EFD">
            <w:pPr>
              <w:jc w:val="right"/>
              <w:rPr>
                <w:color w:val="000000"/>
              </w:rPr>
            </w:pPr>
            <w:r w:rsidRPr="00490EFD">
              <w:rPr>
                <w:color w:val="000000"/>
              </w:rPr>
              <w:t>($28.00)</w:t>
            </w:r>
          </w:p>
        </w:tc>
      </w:tr>
      <w:tr w:rsidR="00490EFD" w:rsidRPr="00490EFD" w:rsidTr="00AE372D">
        <w:trPr>
          <w:jc w:val="center"/>
        </w:trPr>
        <w:tc>
          <w:tcPr>
            <w:tcW w:w="803" w:type="dxa"/>
          </w:tcPr>
          <w:p w:rsidR="00490EFD" w:rsidRPr="00490EFD" w:rsidRDefault="00490EFD" w:rsidP="00490EFD">
            <w:pPr>
              <w:keepNext/>
              <w:rPr>
                <w:b/>
              </w:rPr>
            </w:pPr>
            <w:r w:rsidRPr="00490EFD">
              <w:rPr>
                <w:b/>
              </w:rPr>
              <w:t>2016</w:t>
            </w:r>
          </w:p>
        </w:tc>
        <w:tc>
          <w:tcPr>
            <w:tcW w:w="1596" w:type="dxa"/>
            <w:vAlign w:val="bottom"/>
          </w:tcPr>
          <w:p w:rsidR="00490EFD" w:rsidRPr="00490EFD" w:rsidRDefault="00490EFD" w:rsidP="00490EFD">
            <w:pPr>
              <w:jc w:val="right"/>
              <w:rPr>
                <w:color w:val="000000"/>
              </w:rPr>
            </w:pPr>
            <w:r w:rsidRPr="00490EFD">
              <w:rPr>
                <w:color w:val="000000"/>
              </w:rPr>
              <w:t xml:space="preserve">$0.90 </w:t>
            </w:r>
          </w:p>
        </w:tc>
        <w:tc>
          <w:tcPr>
            <w:tcW w:w="1596" w:type="dxa"/>
            <w:vAlign w:val="bottom"/>
          </w:tcPr>
          <w:p w:rsidR="00490EFD" w:rsidRPr="00490EFD" w:rsidRDefault="00490EFD" w:rsidP="00490EFD">
            <w:pPr>
              <w:jc w:val="right"/>
              <w:rPr>
                <w:color w:val="000000"/>
              </w:rPr>
            </w:pPr>
            <w:r w:rsidRPr="00490EFD">
              <w:rPr>
                <w:color w:val="000000"/>
              </w:rPr>
              <w:t xml:space="preserve">$0.30 </w:t>
            </w:r>
          </w:p>
        </w:tc>
        <w:tc>
          <w:tcPr>
            <w:tcW w:w="2216" w:type="dxa"/>
            <w:vAlign w:val="bottom"/>
          </w:tcPr>
          <w:p w:rsidR="00490EFD" w:rsidRPr="00490EFD" w:rsidRDefault="00490EFD" w:rsidP="00490EFD">
            <w:pPr>
              <w:jc w:val="right"/>
              <w:rPr>
                <w:color w:val="000000"/>
              </w:rPr>
            </w:pPr>
            <w:r w:rsidRPr="00490EFD">
              <w:rPr>
                <w:color w:val="000000"/>
              </w:rPr>
              <w:t xml:space="preserve">$299.00 </w:t>
            </w:r>
          </w:p>
        </w:tc>
        <w:tc>
          <w:tcPr>
            <w:tcW w:w="1596" w:type="dxa"/>
            <w:vAlign w:val="bottom"/>
          </w:tcPr>
          <w:p w:rsidR="00490EFD" w:rsidRPr="00490EFD" w:rsidRDefault="00490EFD" w:rsidP="00490EFD">
            <w:pPr>
              <w:jc w:val="right"/>
              <w:rPr>
                <w:color w:val="000000"/>
              </w:rPr>
            </w:pPr>
            <w:r w:rsidRPr="00490EFD">
              <w:rPr>
                <w:color w:val="000000"/>
              </w:rPr>
              <w:t xml:space="preserve">$101.00 </w:t>
            </w:r>
          </w:p>
        </w:tc>
      </w:tr>
      <w:tr w:rsidR="00490EFD" w:rsidRPr="00490EFD" w:rsidTr="00AE372D">
        <w:trPr>
          <w:jc w:val="center"/>
        </w:trPr>
        <w:tc>
          <w:tcPr>
            <w:tcW w:w="803" w:type="dxa"/>
          </w:tcPr>
          <w:p w:rsidR="00490EFD" w:rsidRPr="00490EFD" w:rsidRDefault="00490EFD" w:rsidP="00490EFD">
            <w:pPr>
              <w:keepNext/>
              <w:rPr>
                <w:b/>
              </w:rPr>
            </w:pPr>
            <w:r w:rsidRPr="00490EFD">
              <w:rPr>
                <w:b/>
              </w:rPr>
              <w:t>2017</w:t>
            </w:r>
          </w:p>
        </w:tc>
        <w:tc>
          <w:tcPr>
            <w:tcW w:w="1596" w:type="dxa"/>
            <w:vAlign w:val="bottom"/>
          </w:tcPr>
          <w:p w:rsidR="00490EFD" w:rsidRPr="00490EFD" w:rsidRDefault="00490EFD" w:rsidP="00490EFD">
            <w:pPr>
              <w:jc w:val="right"/>
              <w:rPr>
                <w:color w:val="000000"/>
              </w:rPr>
            </w:pPr>
            <w:r w:rsidRPr="00490EFD">
              <w:rPr>
                <w:color w:val="000000"/>
              </w:rPr>
              <w:t xml:space="preserve">$0.92 </w:t>
            </w:r>
          </w:p>
        </w:tc>
        <w:tc>
          <w:tcPr>
            <w:tcW w:w="1596" w:type="dxa"/>
            <w:vAlign w:val="bottom"/>
          </w:tcPr>
          <w:p w:rsidR="00490EFD" w:rsidRPr="00490EFD" w:rsidRDefault="00490EFD" w:rsidP="00490EFD">
            <w:pPr>
              <w:jc w:val="right"/>
              <w:rPr>
                <w:color w:val="000000"/>
              </w:rPr>
            </w:pPr>
            <w:r w:rsidRPr="00490EFD">
              <w:rPr>
                <w:color w:val="000000"/>
              </w:rPr>
              <w:t xml:space="preserve">$0.28 </w:t>
            </w:r>
          </w:p>
        </w:tc>
        <w:tc>
          <w:tcPr>
            <w:tcW w:w="2216" w:type="dxa"/>
            <w:vAlign w:val="bottom"/>
          </w:tcPr>
          <w:p w:rsidR="00490EFD" w:rsidRPr="00490EFD" w:rsidRDefault="00490EFD" w:rsidP="00490EFD">
            <w:pPr>
              <w:jc w:val="right"/>
              <w:rPr>
                <w:color w:val="000000"/>
              </w:rPr>
            </w:pPr>
            <w:r w:rsidRPr="00490EFD">
              <w:rPr>
                <w:color w:val="000000"/>
              </w:rPr>
              <w:t xml:space="preserve">$306.00 </w:t>
            </w:r>
          </w:p>
        </w:tc>
        <w:tc>
          <w:tcPr>
            <w:tcW w:w="1596" w:type="dxa"/>
            <w:vAlign w:val="bottom"/>
          </w:tcPr>
          <w:p w:rsidR="00490EFD" w:rsidRPr="00490EFD" w:rsidRDefault="00490EFD" w:rsidP="00490EFD">
            <w:pPr>
              <w:jc w:val="right"/>
              <w:rPr>
                <w:color w:val="000000"/>
              </w:rPr>
            </w:pPr>
            <w:r w:rsidRPr="00490EFD">
              <w:rPr>
                <w:color w:val="000000"/>
              </w:rPr>
              <w:t xml:space="preserve">$94.00 </w:t>
            </w:r>
          </w:p>
        </w:tc>
      </w:tr>
      <w:tr w:rsidR="00490EFD" w:rsidRPr="00490EFD" w:rsidTr="00AE372D">
        <w:trPr>
          <w:jc w:val="center"/>
        </w:trPr>
        <w:tc>
          <w:tcPr>
            <w:tcW w:w="803" w:type="dxa"/>
          </w:tcPr>
          <w:p w:rsidR="00490EFD" w:rsidRPr="00490EFD" w:rsidRDefault="00490EFD" w:rsidP="00490EFD">
            <w:pPr>
              <w:keepNext/>
              <w:rPr>
                <w:b/>
              </w:rPr>
            </w:pPr>
            <w:r w:rsidRPr="00490EFD">
              <w:rPr>
                <w:b/>
              </w:rPr>
              <w:t>2018</w:t>
            </w:r>
          </w:p>
        </w:tc>
        <w:tc>
          <w:tcPr>
            <w:tcW w:w="1596" w:type="dxa"/>
            <w:vAlign w:val="bottom"/>
          </w:tcPr>
          <w:p w:rsidR="00490EFD" w:rsidRPr="00490EFD" w:rsidRDefault="00490EFD" w:rsidP="00490EFD">
            <w:pPr>
              <w:jc w:val="right"/>
              <w:rPr>
                <w:color w:val="000000"/>
              </w:rPr>
            </w:pPr>
            <w:r w:rsidRPr="00490EFD">
              <w:rPr>
                <w:color w:val="000000"/>
              </w:rPr>
              <w:t xml:space="preserve">$0.94 </w:t>
            </w:r>
          </w:p>
        </w:tc>
        <w:tc>
          <w:tcPr>
            <w:tcW w:w="1596" w:type="dxa"/>
            <w:vAlign w:val="bottom"/>
          </w:tcPr>
          <w:p w:rsidR="00490EFD" w:rsidRPr="00490EFD" w:rsidRDefault="00490EFD" w:rsidP="00490EFD">
            <w:pPr>
              <w:jc w:val="right"/>
              <w:rPr>
                <w:color w:val="000000"/>
              </w:rPr>
            </w:pPr>
            <w:r w:rsidRPr="00490EFD">
              <w:rPr>
                <w:color w:val="000000"/>
              </w:rPr>
              <w:t xml:space="preserve">$0.26 </w:t>
            </w:r>
          </w:p>
        </w:tc>
        <w:tc>
          <w:tcPr>
            <w:tcW w:w="2216" w:type="dxa"/>
            <w:vAlign w:val="bottom"/>
          </w:tcPr>
          <w:p w:rsidR="00490EFD" w:rsidRPr="00490EFD" w:rsidRDefault="00490EFD" w:rsidP="00490EFD">
            <w:pPr>
              <w:jc w:val="right"/>
              <w:rPr>
                <w:color w:val="000000"/>
              </w:rPr>
            </w:pPr>
            <w:r w:rsidRPr="00490EFD">
              <w:rPr>
                <w:color w:val="000000"/>
              </w:rPr>
              <w:t xml:space="preserve">$312.00 </w:t>
            </w:r>
          </w:p>
        </w:tc>
        <w:tc>
          <w:tcPr>
            <w:tcW w:w="1596" w:type="dxa"/>
            <w:vAlign w:val="bottom"/>
          </w:tcPr>
          <w:p w:rsidR="00490EFD" w:rsidRPr="00490EFD" w:rsidRDefault="00490EFD" w:rsidP="00490EFD">
            <w:pPr>
              <w:jc w:val="right"/>
              <w:rPr>
                <w:color w:val="000000"/>
              </w:rPr>
            </w:pPr>
            <w:r w:rsidRPr="00490EFD">
              <w:rPr>
                <w:color w:val="000000"/>
              </w:rPr>
              <w:t xml:space="preserve">$88.00 </w:t>
            </w:r>
          </w:p>
        </w:tc>
      </w:tr>
      <w:tr w:rsidR="00490EFD" w:rsidRPr="00490EFD" w:rsidTr="00AE372D">
        <w:trPr>
          <w:jc w:val="center"/>
        </w:trPr>
        <w:tc>
          <w:tcPr>
            <w:tcW w:w="803" w:type="dxa"/>
          </w:tcPr>
          <w:p w:rsidR="00490EFD" w:rsidRPr="00490EFD" w:rsidRDefault="00490EFD" w:rsidP="00490EFD">
            <w:pPr>
              <w:keepNext/>
              <w:rPr>
                <w:b/>
              </w:rPr>
            </w:pPr>
            <w:r w:rsidRPr="00490EFD">
              <w:rPr>
                <w:b/>
              </w:rPr>
              <w:t>2019</w:t>
            </w:r>
          </w:p>
        </w:tc>
        <w:tc>
          <w:tcPr>
            <w:tcW w:w="1596" w:type="dxa"/>
            <w:vAlign w:val="bottom"/>
          </w:tcPr>
          <w:p w:rsidR="00490EFD" w:rsidRPr="00490EFD" w:rsidRDefault="00490EFD" w:rsidP="00490EFD">
            <w:pPr>
              <w:jc w:val="right"/>
              <w:rPr>
                <w:color w:val="000000"/>
              </w:rPr>
            </w:pPr>
            <w:r w:rsidRPr="00490EFD">
              <w:rPr>
                <w:color w:val="000000"/>
              </w:rPr>
              <w:t xml:space="preserve">$0.95 </w:t>
            </w:r>
          </w:p>
        </w:tc>
        <w:tc>
          <w:tcPr>
            <w:tcW w:w="1596" w:type="dxa"/>
            <w:vAlign w:val="bottom"/>
          </w:tcPr>
          <w:p w:rsidR="00490EFD" w:rsidRPr="00490EFD" w:rsidRDefault="00490EFD" w:rsidP="00490EFD">
            <w:pPr>
              <w:jc w:val="right"/>
              <w:rPr>
                <w:color w:val="000000"/>
              </w:rPr>
            </w:pPr>
            <w:r w:rsidRPr="00490EFD">
              <w:rPr>
                <w:color w:val="000000"/>
              </w:rPr>
              <w:t xml:space="preserve">$0.25 </w:t>
            </w:r>
          </w:p>
        </w:tc>
        <w:tc>
          <w:tcPr>
            <w:tcW w:w="2216" w:type="dxa"/>
            <w:vAlign w:val="bottom"/>
          </w:tcPr>
          <w:p w:rsidR="00490EFD" w:rsidRPr="00490EFD" w:rsidRDefault="00490EFD" w:rsidP="00490EFD">
            <w:pPr>
              <w:jc w:val="right"/>
              <w:rPr>
                <w:color w:val="000000"/>
              </w:rPr>
            </w:pPr>
            <w:r w:rsidRPr="00490EFD">
              <w:rPr>
                <w:color w:val="000000"/>
              </w:rPr>
              <w:t xml:space="preserve">$318.00 </w:t>
            </w:r>
          </w:p>
        </w:tc>
        <w:tc>
          <w:tcPr>
            <w:tcW w:w="1596" w:type="dxa"/>
            <w:vAlign w:val="bottom"/>
          </w:tcPr>
          <w:p w:rsidR="00490EFD" w:rsidRPr="00490EFD" w:rsidRDefault="00490EFD" w:rsidP="00490EFD">
            <w:pPr>
              <w:jc w:val="right"/>
              <w:rPr>
                <w:color w:val="000000"/>
              </w:rPr>
            </w:pPr>
            <w:r w:rsidRPr="00490EFD">
              <w:rPr>
                <w:color w:val="000000"/>
              </w:rPr>
              <w:t xml:space="preserve">$82.00 </w:t>
            </w:r>
          </w:p>
        </w:tc>
      </w:tr>
      <w:tr w:rsidR="00490EFD" w:rsidRPr="00490EFD" w:rsidTr="00AE372D">
        <w:trPr>
          <w:jc w:val="center"/>
        </w:trPr>
        <w:tc>
          <w:tcPr>
            <w:tcW w:w="803" w:type="dxa"/>
          </w:tcPr>
          <w:p w:rsidR="00490EFD" w:rsidRPr="00490EFD" w:rsidRDefault="00490EFD" w:rsidP="00490EFD">
            <w:pPr>
              <w:keepNext/>
              <w:rPr>
                <w:b/>
              </w:rPr>
            </w:pPr>
            <w:r w:rsidRPr="00490EFD">
              <w:rPr>
                <w:b/>
              </w:rPr>
              <w:t>2020</w:t>
            </w:r>
          </w:p>
        </w:tc>
        <w:tc>
          <w:tcPr>
            <w:tcW w:w="1596" w:type="dxa"/>
            <w:vAlign w:val="bottom"/>
          </w:tcPr>
          <w:p w:rsidR="00490EFD" w:rsidRPr="00490EFD" w:rsidRDefault="00490EFD" w:rsidP="00490EFD">
            <w:pPr>
              <w:jc w:val="right"/>
              <w:rPr>
                <w:color w:val="000000"/>
              </w:rPr>
            </w:pPr>
            <w:r w:rsidRPr="00490EFD">
              <w:rPr>
                <w:color w:val="000000"/>
              </w:rPr>
              <w:t xml:space="preserve">$1.00 </w:t>
            </w:r>
          </w:p>
        </w:tc>
        <w:tc>
          <w:tcPr>
            <w:tcW w:w="1596" w:type="dxa"/>
            <w:vAlign w:val="bottom"/>
          </w:tcPr>
          <w:p w:rsidR="00490EFD" w:rsidRPr="00490EFD" w:rsidRDefault="00490EFD" w:rsidP="00490EFD">
            <w:pPr>
              <w:jc w:val="right"/>
              <w:rPr>
                <w:color w:val="000000"/>
              </w:rPr>
            </w:pPr>
            <w:r w:rsidRPr="00490EFD">
              <w:rPr>
                <w:color w:val="000000"/>
              </w:rPr>
              <w:t xml:space="preserve">$0.20 </w:t>
            </w:r>
          </w:p>
        </w:tc>
        <w:tc>
          <w:tcPr>
            <w:tcW w:w="2216" w:type="dxa"/>
            <w:vAlign w:val="bottom"/>
          </w:tcPr>
          <w:p w:rsidR="00490EFD" w:rsidRPr="00490EFD" w:rsidRDefault="00490EFD" w:rsidP="00490EFD">
            <w:pPr>
              <w:jc w:val="right"/>
              <w:rPr>
                <w:color w:val="000000"/>
              </w:rPr>
            </w:pPr>
            <w:r w:rsidRPr="00490EFD">
              <w:rPr>
                <w:color w:val="000000"/>
              </w:rPr>
              <w:t xml:space="preserve">$333.00 </w:t>
            </w:r>
          </w:p>
        </w:tc>
        <w:tc>
          <w:tcPr>
            <w:tcW w:w="1596" w:type="dxa"/>
            <w:vAlign w:val="bottom"/>
          </w:tcPr>
          <w:p w:rsidR="00490EFD" w:rsidRPr="00490EFD" w:rsidRDefault="00490EFD" w:rsidP="00490EFD">
            <w:pPr>
              <w:jc w:val="right"/>
              <w:rPr>
                <w:color w:val="000000"/>
              </w:rPr>
            </w:pPr>
            <w:r w:rsidRPr="00490EFD">
              <w:rPr>
                <w:color w:val="000000"/>
              </w:rPr>
              <w:t xml:space="preserve">$67.00 </w:t>
            </w:r>
          </w:p>
        </w:tc>
      </w:tr>
      <w:tr w:rsidR="00490EFD" w:rsidRPr="00490EFD" w:rsidTr="00AE372D">
        <w:trPr>
          <w:jc w:val="center"/>
        </w:trPr>
        <w:tc>
          <w:tcPr>
            <w:tcW w:w="803" w:type="dxa"/>
          </w:tcPr>
          <w:p w:rsidR="00490EFD" w:rsidRPr="00490EFD" w:rsidRDefault="00490EFD" w:rsidP="00490EFD">
            <w:pPr>
              <w:keepNext/>
              <w:rPr>
                <w:b/>
              </w:rPr>
            </w:pPr>
            <w:r w:rsidRPr="00490EFD">
              <w:rPr>
                <w:b/>
              </w:rPr>
              <w:t>2021</w:t>
            </w:r>
          </w:p>
        </w:tc>
        <w:tc>
          <w:tcPr>
            <w:tcW w:w="1596" w:type="dxa"/>
            <w:vAlign w:val="bottom"/>
          </w:tcPr>
          <w:p w:rsidR="00490EFD" w:rsidRPr="00490EFD" w:rsidRDefault="00490EFD" w:rsidP="00490EFD">
            <w:pPr>
              <w:jc w:val="right"/>
              <w:rPr>
                <w:color w:val="000000"/>
              </w:rPr>
            </w:pPr>
            <w:r w:rsidRPr="00490EFD">
              <w:rPr>
                <w:color w:val="000000"/>
              </w:rPr>
              <w:t xml:space="preserve">$1.02 </w:t>
            </w:r>
          </w:p>
        </w:tc>
        <w:tc>
          <w:tcPr>
            <w:tcW w:w="1596" w:type="dxa"/>
            <w:vAlign w:val="bottom"/>
          </w:tcPr>
          <w:p w:rsidR="00490EFD" w:rsidRPr="00490EFD" w:rsidRDefault="00490EFD" w:rsidP="00490EFD">
            <w:pPr>
              <w:jc w:val="right"/>
              <w:rPr>
                <w:color w:val="000000"/>
              </w:rPr>
            </w:pPr>
            <w:r w:rsidRPr="00490EFD">
              <w:rPr>
                <w:color w:val="000000"/>
              </w:rPr>
              <w:t xml:space="preserve">$0.18 </w:t>
            </w:r>
          </w:p>
        </w:tc>
        <w:tc>
          <w:tcPr>
            <w:tcW w:w="2216" w:type="dxa"/>
            <w:vAlign w:val="bottom"/>
          </w:tcPr>
          <w:p w:rsidR="00490EFD" w:rsidRPr="00490EFD" w:rsidRDefault="00490EFD" w:rsidP="00490EFD">
            <w:pPr>
              <w:jc w:val="right"/>
              <w:rPr>
                <w:color w:val="000000"/>
              </w:rPr>
            </w:pPr>
            <w:r w:rsidRPr="00490EFD">
              <w:rPr>
                <w:color w:val="000000"/>
              </w:rPr>
              <w:t xml:space="preserve">$339.00 </w:t>
            </w:r>
          </w:p>
        </w:tc>
        <w:tc>
          <w:tcPr>
            <w:tcW w:w="1596" w:type="dxa"/>
            <w:vAlign w:val="bottom"/>
          </w:tcPr>
          <w:p w:rsidR="00490EFD" w:rsidRPr="00490EFD" w:rsidRDefault="00490EFD" w:rsidP="00490EFD">
            <w:pPr>
              <w:jc w:val="right"/>
              <w:rPr>
                <w:color w:val="000000"/>
              </w:rPr>
            </w:pPr>
            <w:r w:rsidRPr="00490EFD">
              <w:rPr>
                <w:color w:val="000000"/>
              </w:rPr>
              <w:t xml:space="preserve">$61.00 </w:t>
            </w:r>
          </w:p>
        </w:tc>
      </w:tr>
      <w:tr w:rsidR="00490EFD" w:rsidRPr="00490EFD" w:rsidTr="00AE372D">
        <w:trPr>
          <w:jc w:val="center"/>
        </w:trPr>
        <w:tc>
          <w:tcPr>
            <w:tcW w:w="803" w:type="dxa"/>
          </w:tcPr>
          <w:p w:rsidR="00490EFD" w:rsidRPr="00490EFD" w:rsidRDefault="00490EFD" w:rsidP="00490EFD">
            <w:pPr>
              <w:keepNext/>
              <w:rPr>
                <w:b/>
              </w:rPr>
            </w:pPr>
            <w:r w:rsidRPr="00490EFD">
              <w:rPr>
                <w:b/>
              </w:rPr>
              <w:t>2022</w:t>
            </w:r>
          </w:p>
        </w:tc>
        <w:tc>
          <w:tcPr>
            <w:tcW w:w="1596" w:type="dxa"/>
            <w:vAlign w:val="bottom"/>
          </w:tcPr>
          <w:p w:rsidR="00490EFD" w:rsidRPr="00490EFD" w:rsidRDefault="00490EFD" w:rsidP="00490EFD">
            <w:pPr>
              <w:jc w:val="right"/>
              <w:rPr>
                <w:color w:val="000000"/>
              </w:rPr>
            </w:pPr>
            <w:r w:rsidRPr="00490EFD">
              <w:rPr>
                <w:color w:val="000000"/>
              </w:rPr>
              <w:t xml:space="preserve">$1.03 </w:t>
            </w:r>
          </w:p>
        </w:tc>
        <w:tc>
          <w:tcPr>
            <w:tcW w:w="1596" w:type="dxa"/>
            <w:vAlign w:val="bottom"/>
          </w:tcPr>
          <w:p w:rsidR="00490EFD" w:rsidRPr="00490EFD" w:rsidRDefault="00490EFD" w:rsidP="00490EFD">
            <w:pPr>
              <w:jc w:val="right"/>
              <w:rPr>
                <w:color w:val="000000"/>
              </w:rPr>
            </w:pPr>
            <w:r w:rsidRPr="00490EFD">
              <w:rPr>
                <w:color w:val="000000"/>
              </w:rPr>
              <w:t xml:space="preserve">$0.17 </w:t>
            </w:r>
          </w:p>
        </w:tc>
        <w:tc>
          <w:tcPr>
            <w:tcW w:w="2216" w:type="dxa"/>
            <w:vAlign w:val="bottom"/>
          </w:tcPr>
          <w:p w:rsidR="00490EFD" w:rsidRPr="00490EFD" w:rsidRDefault="00490EFD" w:rsidP="00490EFD">
            <w:pPr>
              <w:jc w:val="right"/>
              <w:rPr>
                <w:color w:val="000000"/>
              </w:rPr>
            </w:pPr>
            <w:r w:rsidRPr="00490EFD">
              <w:rPr>
                <w:color w:val="000000"/>
              </w:rPr>
              <w:t xml:space="preserve">$344.00 </w:t>
            </w:r>
          </w:p>
        </w:tc>
        <w:tc>
          <w:tcPr>
            <w:tcW w:w="1596" w:type="dxa"/>
            <w:vAlign w:val="bottom"/>
          </w:tcPr>
          <w:p w:rsidR="00490EFD" w:rsidRPr="00490EFD" w:rsidRDefault="00490EFD" w:rsidP="00490EFD">
            <w:pPr>
              <w:jc w:val="right"/>
              <w:rPr>
                <w:color w:val="000000"/>
              </w:rPr>
            </w:pPr>
            <w:r w:rsidRPr="00490EFD">
              <w:rPr>
                <w:color w:val="000000"/>
              </w:rPr>
              <w:t xml:space="preserve">$56.00 </w:t>
            </w:r>
          </w:p>
        </w:tc>
      </w:tr>
      <w:tr w:rsidR="00490EFD" w:rsidRPr="00490EFD" w:rsidTr="00AE372D">
        <w:trPr>
          <w:jc w:val="center"/>
        </w:trPr>
        <w:tc>
          <w:tcPr>
            <w:tcW w:w="803" w:type="dxa"/>
          </w:tcPr>
          <w:p w:rsidR="00490EFD" w:rsidRPr="00490EFD" w:rsidRDefault="00490EFD" w:rsidP="00490EFD">
            <w:pPr>
              <w:keepNext/>
              <w:rPr>
                <w:b/>
              </w:rPr>
            </w:pPr>
            <w:r w:rsidRPr="00490EFD">
              <w:rPr>
                <w:b/>
              </w:rPr>
              <w:t>2023</w:t>
            </w:r>
          </w:p>
        </w:tc>
        <w:tc>
          <w:tcPr>
            <w:tcW w:w="1596" w:type="dxa"/>
            <w:vAlign w:val="bottom"/>
          </w:tcPr>
          <w:p w:rsidR="00490EFD" w:rsidRPr="00490EFD" w:rsidRDefault="00490EFD" w:rsidP="00490EFD">
            <w:pPr>
              <w:jc w:val="right"/>
              <w:rPr>
                <w:color w:val="000000"/>
              </w:rPr>
            </w:pPr>
            <w:r w:rsidRPr="00490EFD">
              <w:rPr>
                <w:color w:val="000000"/>
              </w:rPr>
              <w:t xml:space="preserve">$1.05 </w:t>
            </w:r>
          </w:p>
        </w:tc>
        <w:tc>
          <w:tcPr>
            <w:tcW w:w="1596" w:type="dxa"/>
            <w:vAlign w:val="bottom"/>
          </w:tcPr>
          <w:p w:rsidR="00490EFD" w:rsidRPr="00490EFD" w:rsidRDefault="00490EFD" w:rsidP="00490EFD">
            <w:pPr>
              <w:jc w:val="right"/>
              <w:rPr>
                <w:color w:val="000000"/>
              </w:rPr>
            </w:pPr>
            <w:r w:rsidRPr="00490EFD">
              <w:rPr>
                <w:color w:val="000000"/>
              </w:rPr>
              <w:t xml:space="preserve">$0.15 </w:t>
            </w:r>
          </w:p>
        </w:tc>
        <w:tc>
          <w:tcPr>
            <w:tcW w:w="2216" w:type="dxa"/>
            <w:vAlign w:val="bottom"/>
          </w:tcPr>
          <w:p w:rsidR="00490EFD" w:rsidRPr="00490EFD" w:rsidRDefault="00490EFD" w:rsidP="00490EFD">
            <w:pPr>
              <w:jc w:val="right"/>
              <w:rPr>
                <w:color w:val="000000"/>
              </w:rPr>
            </w:pPr>
            <w:r w:rsidRPr="00490EFD">
              <w:rPr>
                <w:color w:val="000000"/>
              </w:rPr>
              <w:t xml:space="preserve">$350.00 </w:t>
            </w:r>
          </w:p>
        </w:tc>
        <w:tc>
          <w:tcPr>
            <w:tcW w:w="1596" w:type="dxa"/>
            <w:vAlign w:val="bottom"/>
          </w:tcPr>
          <w:p w:rsidR="00490EFD" w:rsidRPr="00490EFD" w:rsidRDefault="00490EFD" w:rsidP="00490EFD">
            <w:pPr>
              <w:jc w:val="right"/>
              <w:rPr>
                <w:color w:val="000000"/>
              </w:rPr>
            </w:pPr>
            <w:r w:rsidRPr="00490EFD">
              <w:rPr>
                <w:color w:val="000000"/>
              </w:rPr>
              <w:t xml:space="preserve">$50.00 </w:t>
            </w:r>
          </w:p>
        </w:tc>
      </w:tr>
      <w:tr w:rsidR="00490EFD" w:rsidRPr="00490EFD" w:rsidTr="00AE372D">
        <w:trPr>
          <w:jc w:val="center"/>
        </w:trPr>
        <w:tc>
          <w:tcPr>
            <w:tcW w:w="803" w:type="dxa"/>
          </w:tcPr>
          <w:p w:rsidR="00490EFD" w:rsidRPr="00490EFD" w:rsidRDefault="00490EFD" w:rsidP="00490EFD">
            <w:pPr>
              <w:keepNext/>
              <w:rPr>
                <w:b/>
              </w:rPr>
            </w:pPr>
            <w:r w:rsidRPr="00490EFD">
              <w:rPr>
                <w:b/>
              </w:rPr>
              <w:t>2024</w:t>
            </w:r>
          </w:p>
        </w:tc>
        <w:tc>
          <w:tcPr>
            <w:tcW w:w="1596" w:type="dxa"/>
            <w:vAlign w:val="bottom"/>
          </w:tcPr>
          <w:p w:rsidR="00490EFD" w:rsidRPr="00490EFD" w:rsidRDefault="00490EFD" w:rsidP="00490EFD">
            <w:pPr>
              <w:jc w:val="right"/>
              <w:rPr>
                <w:color w:val="000000"/>
              </w:rPr>
            </w:pPr>
            <w:r w:rsidRPr="00490EFD">
              <w:rPr>
                <w:color w:val="000000"/>
              </w:rPr>
              <w:t xml:space="preserve">$1.07 </w:t>
            </w:r>
          </w:p>
        </w:tc>
        <w:tc>
          <w:tcPr>
            <w:tcW w:w="1596" w:type="dxa"/>
            <w:vAlign w:val="bottom"/>
          </w:tcPr>
          <w:p w:rsidR="00490EFD" w:rsidRPr="00490EFD" w:rsidRDefault="00490EFD" w:rsidP="00490EFD">
            <w:pPr>
              <w:jc w:val="right"/>
              <w:rPr>
                <w:color w:val="000000"/>
              </w:rPr>
            </w:pPr>
            <w:r w:rsidRPr="00490EFD">
              <w:rPr>
                <w:color w:val="000000"/>
              </w:rPr>
              <w:t xml:space="preserve">$0.13 </w:t>
            </w:r>
          </w:p>
        </w:tc>
        <w:tc>
          <w:tcPr>
            <w:tcW w:w="2216" w:type="dxa"/>
            <w:vAlign w:val="bottom"/>
          </w:tcPr>
          <w:p w:rsidR="00490EFD" w:rsidRPr="00490EFD" w:rsidRDefault="00490EFD" w:rsidP="00490EFD">
            <w:pPr>
              <w:jc w:val="right"/>
              <w:rPr>
                <w:color w:val="000000"/>
              </w:rPr>
            </w:pPr>
            <w:r w:rsidRPr="00490EFD">
              <w:rPr>
                <w:color w:val="000000"/>
              </w:rPr>
              <w:t xml:space="preserve">$355.00 </w:t>
            </w:r>
          </w:p>
        </w:tc>
        <w:tc>
          <w:tcPr>
            <w:tcW w:w="1596" w:type="dxa"/>
            <w:vAlign w:val="bottom"/>
          </w:tcPr>
          <w:p w:rsidR="00490EFD" w:rsidRPr="00490EFD" w:rsidRDefault="00490EFD" w:rsidP="00490EFD">
            <w:pPr>
              <w:jc w:val="right"/>
              <w:rPr>
                <w:color w:val="000000"/>
              </w:rPr>
            </w:pPr>
            <w:r w:rsidRPr="00490EFD">
              <w:rPr>
                <w:color w:val="000000"/>
              </w:rPr>
              <w:t xml:space="preserve">$45.00 </w:t>
            </w:r>
          </w:p>
        </w:tc>
      </w:tr>
    </w:tbl>
    <w:p w:rsidR="00490EFD" w:rsidRPr="00490EFD" w:rsidRDefault="00490EFD" w:rsidP="00490EFD">
      <w:pPr>
        <w:spacing w:after="480"/>
        <w:jc w:val="both"/>
      </w:pPr>
      <w:r w:rsidRPr="00490EFD">
        <w:t xml:space="preserve">            Source: FPUC revised response to staff data request</w:t>
      </w:r>
    </w:p>
    <w:p w:rsidR="00CF652B" w:rsidRDefault="00490EFD" w:rsidP="00CF652B">
      <w:pPr>
        <w:spacing w:after="240"/>
        <w:ind w:firstLine="720"/>
        <w:jc w:val="both"/>
      </w:pPr>
      <w:r w:rsidRPr="00490EFD">
        <w:t>FPUC’s DSM Plan includes programs for low-income, residential, and commercial/industrial customers. By participati</w:t>
      </w:r>
      <w:r w:rsidR="00917265">
        <w:t>ng in a DSM program, customers could</w:t>
      </w:r>
      <w:r w:rsidRPr="00490EFD">
        <w:t xml:space="preserve"> be able to reduce their bills, potentially eliminating the additional cost associated with FPUC’s DSM Plan. In addition, since </w:t>
      </w:r>
      <w:r w:rsidR="00CF652B">
        <w:t>our</w:t>
      </w:r>
      <w:r w:rsidRPr="00490EFD">
        <w:t xml:space="preserve"> approved goals</w:t>
      </w:r>
      <w:r w:rsidR="00CF652B">
        <w:t xml:space="preserve"> are</w:t>
      </w:r>
      <w:r w:rsidRPr="00490EFD">
        <w:t xml:space="preserve"> based on the RIM test, which considers the impact of lost revenues, even customers who do not participate in a DSM program should see a benefit of lower rates.</w:t>
      </w:r>
    </w:p>
    <w:p w:rsidR="00490EFD" w:rsidRPr="00490EFD" w:rsidRDefault="00490EFD" w:rsidP="00CF652B">
      <w:pPr>
        <w:spacing w:after="240"/>
        <w:ind w:firstLine="720"/>
        <w:jc w:val="both"/>
      </w:pPr>
      <w:r w:rsidRPr="00490EFD">
        <w:t xml:space="preserve">FPUC’s DSM Plan is cost-effective based upon the Rate Impact Measure (RIM) test and results in a net decrease in ratepayers’ monthly rates. Although </w:t>
      </w:r>
      <w:r w:rsidR="00CF652B">
        <w:t xml:space="preserve">we have </w:t>
      </w:r>
      <w:r w:rsidRPr="00490EFD">
        <w:t xml:space="preserve">allowed savings from audit programs to be counted towards the achievement of DSM goals in previous proceedings, no behavioral savings associated with audit programs </w:t>
      </w:r>
      <w:r w:rsidR="00CF652B">
        <w:t xml:space="preserve">shall </w:t>
      </w:r>
      <w:r w:rsidRPr="00490EFD">
        <w:t xml:space="preserve">be counted towards goals in this proceeding because behavioral savings are not directly monitorable. Even with the removal of projected behavioral savings from audits, FPUC’s DSM Plan is projected to meet or exceed the annual goals </w:t>
      </w:r>
      <w:r w:rsidR="00CF652B">
        <w:t>we set in</w:t>
      </w:r>
      <w:r w:rsidRPr="00490EFD">
        <w:t xml:space="preserve"> Order No. PSC-13-0645-PAA-EU.</w:t>
      </w:r>
    </w:p>
    <w:p w:rsidR="00490EFD" w:rsidRPr="00490EFD" w:rsidRDefault="00CF652B" w:rsidP="00CF652B">
      <w:pPr>
        <w:spacing w:after="240"/>
        <w:ind w:firstLine="720"/>
        <w:jc w:val="both"/>
      </w:pPr>
      <w:r>
        <w:t xml:space="preserve">Therefore, we </w:t>
      </w:r>
      <w:r w:rsidR="00490EFD" w:rsidRPr="00490EFD">
        <w:t>approve the programs contained in FPUC’</w:t>
      </w:r>
      <w:r>
        <w:t>s DSM Plan. In addition, we shall</w:t>
      </w:r>
      <w:r w:rsidR="00490EFD" w:rsidRPr="00490EFD">
        <w:t xml:space="preserve"> allow FPUC to file for cost recovery of the programs in the</w:t>
      </w:r>
      <w:r w:rsidR="00917265">
        <w:t xml:space="preserve"> </w:t>
      </w:r>
      <w:r w:rsidR="00490EFD" w:rsidRPr="00490EFD">
        <w:t xml:space="preserve">ECCR clause proceeding. </w:t>
      </w:r>
      <w:r w:rsidR="00490EFD" w:rsidRPr="00490EFD">
        <w:lastRenderedPageBreak/>
        <w:t xml:space="preserve">FPUC, however, </w:t>
      </w:r>
      <w:r>
        <w:t>shall</w:t>
      </w:r>
      <w:r w:rsidR="00490EFD" w:rsidRPr="00490EFD">
        <w:t xml:space="preserve"> demonstrate that its expenditures to implement these programs are reasonable and prudent in order to recover the expenditures through the ECCR clause. FPUC </w:t>
      </w:r>
      <w:r w:rsidR="006D36F6">
        <w:t>shall</w:t>
      </w:r>
      <w:r w:rsidR="00490EFD" w:rsidRPr="00490EFD">
        <w:t xml:space="preserve"> not discontinue its DSM programs or change its programs’ rebate levels without seeking </w:t>
      </w:r>
      <w:r>
        <w:t xml:space="preserve">our </w:t>
      </w:r>
      <w:r w:rsidR="00490EFD" w:rsidRPr="00490EFD">
        <w:t xml:space="preserve">formal approval. </w:t>
      </w:r>
    </w:p>
    <w:p w:rsidR="00490EFD" w:rsidRDefault="00490EFD" w:rsidP="009F29D5">
      <w:pPr>
        <w:spacing w:after="240"/>
        <w:ind w:firstLine="720"/>
        <w:jc w:val="both"/>
      </w:pPr>
      <w:r w:rsidRPr="00490EFD">
        <w:t xml:space="preserve">Finally, FPUC </w:t>
      </w:r>
      <w:r w:rsidR="00CF652B">
        <w:t xml:space="preserve">shall </w:t>
      </w:r>
      <w:r w:rsidRPr="00490EFD">
        <w:t>file its administrative program standards for all programs within 30 days of the Consummating Order being issued in this docket</w:t>
      </w:r>
      <w:r w:rsidR="00CF652B">
        <w:t>. We grant our</w:t>
      </w:r>
      <w:r w:rsidRPr="00490EFD">
        <w:t xml:space="preserve"> staff administrative authority to review and approve these standards.</w:t>
      </w:r>
    </w:p>
    <w:p w:rsidR="00490EFD" w:rsidRDefault="00490EFD" w:rsidP="00490EFD">
      <w:pPr>
        <w:pStyle w:val="OrderBody"/>
      </w:pPr>
      <w:r>
        <w:tab/>
        <w:t>Based on the foregoing, it is</w:t>
      </w:r>
    </w:p>
    <w:p w:rsidR="00490EFD" w:rsidRDefault="00490EFD" w:rsidP="00490EFD">
      <w:pPr>
        <w:pStyle w:val="OrderBody"/>
      </w:pPr>
    </w:p>
    <w:p w:rsidR="00923416" w:rsidRDefault="00490EFD" w:rsidP="00490EFD">
      <w:pPr>
        <w:pStyle w:val="OrderBody"/>
      </w:pPr>
      <w:r>
        <w:tab/>
      </w:r>
      <w:r w:rsidR="00923416">
        <w:t xml:space="preserve">ORDERED that the programs contained in Florida Public Utilities Company’s demand-side management plan are hereby approved. It is further </w:t>
      </w:r>
    </w:p>
    <w:p w:rsidR="00923416" w:rsidRDefault="00923416" w:rsidP="00490EFD">
      <w:pPr>
        <w:pStyle w:val="OrderBody"/>
      </w:pPr>
    </w:p>
    <w:p w:rsidR="00490EFD" w:rsidRDefault="00490EFD" w:rsidP="00923416">
      <w:pPr>
        <w:pStyle w:val="OrderBody"/>
        <w:ind w:firstLine="720"/>
      </w:pPr>
      <w:r>
        <w:t>ORDERED by the Florida Public Service Commission that</w:t>
      </w:r>
      <w:r w:rsidR="00CF652B">
        <w:t xml:space="preserve"> Florida Public Utilities</w:t>
      </w:r>
      <w:r w:rsidR="002B2D4F">
        <w:t xml:space="preserve"> Company’s</w:t>
      </w:r>
      <w:r w:rsidR="00CF652B">
        <w:t xml:space="preserve"> demand-side manage plan is cost-effective based upon the Rate Impact Measure test, results in a net decrease in ratepayers’ monthly rates, and is projected to meet or exceed the </w:t>
      </w:r>
      <w:r w:rsidR="006D36F6">
        <w:t>annual conservation goals</w:t>
      </w:r>
      <w:r w:rsidR="00923416">
        <w:t xml:space="preserve"> without behavioral savings from programs included in savings</w:t>
      </w:r>
      <w:r w:rsidR="006D36F6">
        <w:t xml:space="preserve">. It is further </w:t>
      </w:r>
    </w:p>
    <w:p w:rsidR="006D36F6" w:rsidRDefault="006D36F6" w:rsidP="00490EFD">
      <w:pPr>
        <w:pStyle w:val="OrderBody"/>
      </w:pPr>
    </w:p>
    <w:p w:rsidR="006D36F6" w:rsidRDefault="006D36F6" w:rsidP="00490EFD">
      <w:pPr>
        <w:pStyle w:val="OrderBody"/>
      </w:pPr>
      <w:r>
        <w:tab/>
        <w:t>ORDERED that Florida Public Utilities</w:t>
      </w:r>
      <w:r w:rsidR="002B2D4F">
        <w:t xml:space="preserve"> Company</w:t>
      </w:r>
      <w:r>
        <w:t xml:space="preserve"> shall be allowed to </w:t>
      </w:r>
      <w:r w:rsidR="00923416">
        <w:t xml:space="preserve">recover the </w:t>
      </w:r>
      <w:r>
        <w:t xml:space="preserve">cost of the programs approved herein, </w:t>
      </w:r>
      <w:r w:rsidR="00923416">
        <w:t>through</w:t>
      </w:r>
      <w:r>
        <w:t xml:space="preserve"> the Energy Conservation Cost Recovery clause proceeding</w:t>
      </w:r>
      <w:r w:rsidR="00923416">
        <w:t xml:space="preserve">, upon </w:t>
      </w:r>
      <w:r>
        <w:t>demonstrat</w:t>
      </w:r>
      <w:r w:rsidR="00923416">
        <w:t>ing</w:t>
      </w:r>
      <w:r>
        <w:t xml:space="preserve"> that its expenditures to implement these programs are reasonable and prudent. It is further </w:t>
      </w:r>
    </w:p>
    <w:p w:rsidR="006D36F6" w:rsidRDefault="006D36F6" w:rsidP="00490EFD">
      <w:pPr>
        <w:pStyle w:val="OrderBody"/>
      </w:pPr>
    </w:p>
    <w:p w:rsidR="006D36F6" w:rsidRDefault="006D36F6" w:rsidP="00490EFD">
      <w:pPr>
        <w:pStyle w:val="OrderBody"/>
      </w:pPr>
      <w:r>
        <w:tab/>
        <w:t>ORDERED that Florida Public Utilities</w:t>
      </w:r>
      <w:r w:rsidR="002B2D4F">
        <w:t xml:space="preserve"> Company</w:t>
      </w:r>
      <w:r>
        <w:t xml:space="preserve"> shall not discontinue its demand-side management programs or change its programs rebate levels without </w:t>
      </w:r>
      <w:r w:rsidR="00923416">
        <w:t>Commission</w:t>
      </w:r>
      <w:r>
        <w:t xml:space="preserve"> approval. It is further </w:t>
      </w:r>
    </w:p>
    <w:p w:rsidR="006D36F6" w:rsidRDefault="006D36F6" w:rsidP="00490EFD">
      <w:pPr>
        <w:pStyle w:val="OrderBody"/>
      </w:pPr>
    </w:p>
    <w:p w:rsidR="001E5D00" w:rsidRDefault="00A379BE" w:rsidP="00923416">
      <w:pPr>
        <w:pStyle w:val="OrderBody"/>
        <w:ind w:firstLine="720"/>
      </w:pPr>
      <w:r>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923416" w:rsidRDefault="00923416" w:rsidP="00923416">
      <w:pPr>
        <w:pStyle w:val="OrderBody"/>
        <w:ind w:firstLine="720"/>
      </w:pPr>
    </w:p>
    <w:p w:rsidR="006D36F6" w:rsidRDefault="006D36F6" w:rsidP="001E5D00">
      <w:pPr>
        <w:pStyle w:val="OrderBody"/>
        <w:ind w:firstLine="720"/>
      </w:pPr>
      <w:r>
        <w:t>ORDERED that if no person whose substantial interests are affected by the proposed agency ac</w:t>
      </w:r>
      <w:r w:rsidR="001A25DB">
        <w:t>tion files a protest within 21 d</w:t>
      </w:r>
      <w:r>
        <w:t xml:space="preserve">ays of the issuance of this order, a Consummating Order shall be issued in this docket and any programs approved herein shall become effective on the date of the Consummating Order. </w:t>
      </w:r>
      <w:r w:rsidR="00643A69">
        <w:t xml:space="preserve">It is further </w:t>
      </w:r>
    </w:p>
    <w:p w:rsidR="00821B11" w:rsidRDefault="00821B11" w:rsidP="00923416">
      <w:pPr>
        <w:pStyle w:val="OrderBody"/>
      </w:pPr>
    </w:p>
    <w:p w:rsidR="00923416" w:rsidRDefault="00821B11" w:rsidP="00821B11">
      <w:pPr>
        <w:pStyle w:val="OrderBody"/>
        <w:ind w:firstLine="720"/>
      </w:pPr>
      <w:r>
        <w:t>ORDERED that if a protest is filed within 21 days of the issuance of this order, the programs approved herein shall not be implemented until after the resolution of the protest. It is further</w:t>
      </w:r>
    </w:p>
    <w:p w:rsidR="00923416" w:rsidRDefault="00923416" w:rsidP="00923416">
      <w:pPr>
        <w:pStyle w:val="OrderBody"/>
        <w:ind w:firstLine="720"/>
      </w:pPr>
      <w:r>
        <w:lastRenderedPageBreak/>
        <w:t>ORDERED that Florida Publ</w:t>
      </w:r>
      <w:r w:rsidR="001754C1">
        <w:t>ic Utilities Company shall file</w:t>
      </w:r>
      <w:r>
        <w:t xml:space="preserve"> its administrative program standards for all programs within 30 days of the Consummating Order being issued in this docket and Commission staff is granted administrative authority to review and approve these standards. It is further</w:t>
      </w:r>
    </w:p>
    <w:p w:rsidR="00643A69" w:rsidRDefault="00643A69" w:rsidP="00490EFD">
      <w:pPr>
        <w:pStyle w:val="OrderBody"/>
      </w:pPr>
    </w:p>
    <w:p w:rsidR="00643A69" w:rsidRDefault="00643A69" w:rsidP="00490EFD">
      <w:pPr>
        <w:pStyle w:val="OrderBody"/>
      </w:pPr>
      <w:r>
        <w:tab/>
        <w:t xml:space="preserve">ORDERED that this docket </w:t>
      </w:r>
      <w:r w:rsidR="00A93A51">
        <w:t>shall be closed administratively upon Commission staff’s app</w:t>
      </w:r>
      <w:r w:rsidR="000F2359">
        <w:t>roval of Florida Public Utili</w:t>
      </w:r>
      <w:r w:rsidR="00051B42">
        <w:t>ties</w:t>
      </w:r>
      <w:r w:rsidR="000F2359">
        <w:t xml:space="preserve"> Company’</w:t>
      </w:r>
      <w:r w:rsidR="00A93A51">
        <w:t xml:space="preserve">s </w:t>
      </w:r>
      <w:r>
        <w:t>program standards</w:t>
      </w:r>
      <w:r w:rsidR="00051B42">
        <w:t>.</w:t>
      </w:r>
    </w:p>
    <w:p w:rsidR="009F29D5" w:rsidRDefault="009F29D5" w:rsidP="00490EFD">
      <w:pPr>
        <w:pStyle w:val="OrderBody"/>
      </w:pPr>
    </w:p>
    <w:p w:rsidR="009F29D5" w:rsidRDefault="00490EFD" w:rsidP="00490EFD">
      <w:pPr>
        <w:pStyle w:val="OrderBody"/>
        <w:keepNext/>
        <w:keepLines/>
      </w:pPr>
      <w:r>
        <w:tab/>
        <w:t xml:space="preserve">By ORDER of the Florida Public Service Commission this </w:t>
      </w:r>
      <w:bookmarkStart w:id="8" w:name="replaceDate"/>
      <w:bookmarkEnd w:id="8"/>
      <w:r w:rsidR="001D6139">
        <w:rPr>
          <w:u w:val="single"/>
        </w:rPr>
        <w:t>11th</w:t>
      </w:r>
      <w:r w:rsidR="001D6139">
        <w:t xml:space="preserve"> day of </w:t>
      </w:r>
      <w:r w:rsidR="001D6139">
        <w:rPr>
          <w:u w:val="single"/>
        </w:rPr>
        <w:t>August</w:t>
      </w:r>
      <w:r w:rsidR="001D6139">
        <w:t xml:space="preserve">, </w:t>
      </w:r>
      <w:r w:rsidR="001D6139">
        <w:rPr>
          <w:u w:val="single"/>
        </w:rPr>
        <w:t>2015</w:t>
      </w:r>
      <w:r w:rsidR="001D6139">
        <w:t>.</w:t>
      </w:r>
    </w:p>
    <w:p w:rsidR="001D6139" w:rsidRPr="001D6139" w:rsidRDefault="001D6139" w:rsidP="00490EFD">
      <w:pPr>
        <w:pStyle w:val="OrderBody"/>
        <w:keepNext/>
        <w:keepLines/>
      </w:pPr>
    </w:p>
    <w:p w:rsidR="009F29D5" w:rsidRDefault="009F29D5" w:rsidP="00490EF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90EFD" w:rsidTr="00490EFD">
        <w:tc>
          <w:tcPr>
            <w:tcW w:w="720" w:type="dxa"/>
            <w:shd w:val="clear" w:color="auto" w:fill="auto"/>
          </w:tcPr>
          <w:p w:rsidR="00490EFD" w:rsidRDefault="00490EFD" w:rsidP="00490EFD">
            <w:pPr>
              <w:pStyle w:val="OrderBody"/>
              <w:keepNext/>
              <w:keepLines/>
            </w:pPr>
            <w:bookmarkStart w:id="9" w:name="bkmrkSignature" w:colFirst="0" w:colLast="0"/>
          </w:p>
        </w:tc>
        <w:tc>
          <w:tcPr>
            <w:tcW w:w="4320" w:type="dxa"/>
            <w:tcBorders>
              <w:bottom w:val="single" w:sz="4" w:space="0" w:color="auto"/>
            </w:tcBorders>
            <w:shd w:val="clear" w:color="auto" w:fill="auto"/>
          </w:tcPr>
          <w:p w:rsidR="00490EFD" w:rsidRDefault="00051B42" w:rsidP="00490EFD">
            <w:pPr>
              <w:pStyle w:val="OrderBody"/>
              <w:keepNext/>
              <w:keepLines/>
            </w:pPr>
            <w:r>
              <w:t>/s/ Carlotta S. Stauffer</w:t>
            </w:r>
          </w:p>
        </w:tc>
      </w:tr>
      <w:bookmarkEnd w:id="9"/>
      <w:tr w:rsidR="00490EFD" w:rsidTr="00490EFD">
        <w:tc>
          <w:tcPr>
            <w:tcW w:w="720" w:type="dxa"/>
            <w:shd w:val="clear" w:color="auto" w:fill="auto"/>
          </w:tcPr>
          <w:p w:rsidR="00490EFD" w:rsidRDefault="00490EFD" w:rsidP="00490EFD">
            <w:pPr>
              <w:pStyle w:val="OrderBody"/>
              <w:keepNext/>
              <w:keepLines/>
            </w:pPr>
          </w:p>
        </w:tc>
        <w:tc>
          <w:tcPr>
            <w:tcW w:w="4320" w:type="dxa"/>
            <w:tcBorders>
              <w:top w:val="single" w:sz="4" w:space="0" w:color="auto"/>
            </w:tcBorders>
            <w:shd w:val="clear" w:color="auto" w:fill="auto"/>
          </w:tcPr>
          <w:p w:rsidR="00490EFD" w:rsidRDefault="00490EFD" w:rsidP="00490EFD">
            <w:pPr>
              <w:pStyle w:val="OrderBody"/>
              <w:keepNext/>
              <w:keepLines/>
            </w:pPr>
            <w:r>
              <w:t>CARLOTTA S. STAUFFER</w:t>
            </w:r>
          </w:p>
          <w:p w:rsidR="00490EFD" w:rsidRDefault="00490EFD" w:rsidP="00490EFD">
            <w:pPr>
              <w:pStyle w:val="OrderBody"/>
              <w:keepNext/>
              <w:keepLines/>
            </w:pPr>
            <w:r>
              <w:t>Commission Clerk</w:t>
            </w:r>
          </w:p>
        </w:tc>
      </w:tr>
    </w:tbl>
    <w:p w:rsidR="00490EFD" w:rsidRDefault="00490EFD" w:rsidP="00490EFD">
      <w:pPr>
        <w:pStyle w:val="OrderSigInfo"/>
        <w:keepNext/>
        <w:keepLines/>
      </w:pPr>
      <w:r>
        <w:t>Florida Public Service Commission</w:t>
      </w:r>
    </w:p>
    <w:p w:rsidR="00490EFD" w:rsidRDefault="00490EFD" w:rsidP="00490EFD">
      <w:pPr>
        <w:pStyle w:val="OrderSigInfo"/>
        <w:keepNext/>
        <w:keepLines/>
      </w:pPr>
      <w:r>
        <w:t>2540 Shumard Oak Boulevard</w:t>
      </w:r>
    </w:p>
    <w:p w:rsidR="00490EFD" w:rsidRDefault="00490EFD" w:rsidP="00490EFD">
      <w:pPr>
        <w:pStyle w:val="OrderSigInfo"/>
        <w:keepNext/>
        <w:keepLines/>
      </w:pPr>
      <w:r>
        <w:t>Tallahassee, Florida  32399</w:t>
      </w:r>
    </w:p>
    <w:p w:rsidR="00490EFD" w:rsidRDefault="00490EFD" w:rsidP="00490EFD">
      <w:pPr>
        <w:pStyle w:val="OrderSigInfo"/>
        <w:keepNext/>
        <w:keepLines/>
      </w:pPr>
      <w:r>
        <w:t>(850) 413</w:t>
      </w:r>
      <w:r>
        <w:noBreakHyphen/>
        <w:t>6770</w:t>
      </w:r>
    </w:p>
    <w:p w:rsidR="00490EFD" w:rsidRDefault="00490EFD" w:rsidP="00490EFD">
      <w:pPr>
        <w:pStyle w:val="OrderSigInfo"/>
        <w:keepNext/>
        <w:keepLines/>
      </w:pPr>
      <w:bookmarkStart w:id="10" w:name="_GoBack"/>
      <w:bookmarkEnd w:id="10"/>
      <w:r>
        <w:t>www.floridapsc.com</w:t>
      </w:r>
    </w:p>
    <w:p w:rsidR="00490EFD" w:rsidRDefault="00490EFD" w:rsidP="00490EFD">
      <w:pPr>
        <w:pStyle w:val="OrderSigInfo"/>
        <w:keepNext/>
        <w:keepLines/>
      </w:pPr>
    </w:p>
    <w:p w:rsidR="00490EFD" w:rsidRDefault="00490EFD" w:rsidP="00490EFD">
      <w:pPr>
        <w:pStyle w:val="OrderSigInfo"/>
        <w:keepNext/>
        <w:keepLines/>
      </w:pPr>
      <w:r>
        <w:t>Copies furnished:  A copy of this document is provided to the parties of record at the time of issuance and, if applicable, interested persons.</w:t>
      </w:r>
    </w:p>
    <w:p w:rsidR="00490EFD" w:rsidRDefault="00490EFD" w:rsidP="00490EFD">
      <w:pPr>
        <w:pStyle w:val="OrderBody"/>
        <w:keepNext/>
        <w:keepLines/>
      </w:pPr>
    </w:p>
    <w:p w:rsidR="00490EFD" w:rsidRDefault="00490EFD" w:rsidP="00490EFD">
      <w:pPr>
        <w:pStyle w:val="OrderBody"/>
        <w:keepNext/>
        <w:keepLines/>
      </w:pPr>
    </w:p>
    <w:p w:rsidR="00490EFD" w:rsidRDefault="00490EFD" w:rsidP="00490EFD">
      <w:pPr>
        <w:pStyle w:val="OrderBody"/>
        <w:keepNext/>
        <w:keepLines/>
      </w:pPr>
      <w:r>
        <w:t>LAA</w:t>
      </w:r>
    </w:p>
    <w:p w:rsidR="00490EFD" w:rsidRDefault="00490EFD" w:rsidP="00490EFD">
      <w:pPr>
        <w:pStyle w:val="OrderBody"/>
      </w:pPr>
    </w:p>
    <w:p w:rsidR="00490EFD" w:rsidRDefault="00490EFD" w:rsidP="00490EFD">
      <w:pPr>
        <w:pStyle w:val="OrderBody"/>
      </w:pPr>
    </w:p>
    <w:p w:rsidR="00643A69" w:rsidRDefault="00643A69" w:rsidP="00490EFD">
      <w:pPr>
        <w:pStyle w:val="CenterUnderline"/>
      </w:pPr>
    </w:p>
    <w:p w:rsidR="00643A69" w:rsidRDefault="00643A69" w:rsidP="00490EFD">
      <w:pPr>
        <w:pStyle w:val="CenterUnderline"/>
      </w:pPr>
    </w:p>
    <w:p w:rsidR="00643A69" w:rsidRDefault="00643A69" w:rsidP="00490EFD">
      <w:pPr>
        <w:pStyle w:val="CenterUnderline"/>
      </w:pPr>
    </w:p>
    <w:p w:rsidR="00643A69" w:rsidRDefault="00643A69" w:rsidP="00490EFD">
      <w:pPr>
        <w:pStyle w:val="CenterUnderline"/>
      </w:pPr>
    </w:p>
    <w:p w:rsidR="00643A69" w:rsidRDefault="00643A69" w:rsidP="00490EFD">
      <w:pPr>
        <w:pStyle w:val="CenterUnderline"/>
      </w:pPr>
    </w:p>
    <w:p w:rsidR="00643A69" w:rsidRDefault="00643A69" w:rsidP="00490EFD">
      <w:pPr>
        <w:pStyle w:val="CenterUnderline"/>
      </w:pPr>
    </w:p>
    <w:p w:rsidR="00643A69" w:rsidRDefault="00643A69" w:rsidP="00490EFD">
      <w:pPr>
        <w:pStyle w:val="CenterUnderline"/>
      </w:pPr>
    </w:p>
    <w:p w:rsidR="009F29D5" w:rsidRDefault="009F29D5" w:rsidP="00490EFD">
      <w:pPr>
        <w:pStyle w:val="CenterUnderline"/>
      </w:pPr>
    </w:p>
    <w:p w:rsidR="009F29D5" w:rsidRDefault="009F29D5" w:rsidP="00490EFD">
      <w:pPr>
        <w:pStyle w:val="CenterUnderline"/>
      </w:pPr>
    </w:p>
    <w:p w:rsidR="009F29D5" w:rsidRDefault="009F29D5" w:rsidP="00490EFD">
      <w:pPr>
        <w:pStyle w:val="CenterUnderline"/>
      </w:pPr>
    </w:p>
    <w:p w:rsidR="009F29D5" w:rsidRDefault="009F29D5" w:rsidP="00490EFD">
      <w:pPr>
        <w:pStyle w:val="CenterUnderline"/>
      </w:pPr>
    </w:p>
    <w:p w:rsidR="00923416" w:rsidRDefault="00923416" w:rsidP="00490EFD">
      <w:pPr>
        <w:pStyle w:val="CenterUnderline"/>
      </w:pPr>
    </w:p>
    <w:p w:rsidR="00923416" w:rsidRDefault="00923416" w:rsidP="00490EFD">
      <w:pPr>
        <w:pStyle w:val="CenterUnderline"/>
      </w:pPr>
    </w:p>
    <w:p w:rsidR="00923416" w:rsidRDefault="00923416" w:rsidP="00490EFD">
      <w:pPr>
        <w:pStyle w:val="CenterUnderline"/>
      </w:pPr>
    </w:p>
    <w:p w:rsidR="001754C1" w:rsidRDefault="001754C1" w:rsidP="00490EFD">
      <w:pPr>
        <w:pStyle w:val="CenterUnderline"/>
      </w:pPr>
    </w:p>
    <w:p w:rsidR="001D6139" w:rsidRDefault="001D6139" w:rsidP="00490EFD">
      <w:pPr>
        <w:pStyle w:val="CenterUnderline"/>
      </w:pPr>
    </w:p>
    <w:p w:rsidR="001D6139" w:rsidRDefault="001D6139" w:rsidP="00490EFD">
      <w:pPr>
        <w:pStyle w:val="CenterUnderline"/>
      </w:pPr>
    </w:p>
    <w:p w:rsidR="00490EFD" w:rsidRDefault="00490EFD" w:rsidP="00490EFD">
      <w:pPr>
        <w:pStyle w:val="CenterUnderline"/>
      </w:pPr>
      <w:r>
        <w:lastRenderedPageBreak/>
        <w:t>NOTICE OF FURTHER PROCEEDINGS OR JUDICIAL REVIEW</w:t>
      </w:r>
    </w:p>
    <w:p w:rsidR="00490EFD" w:rsidRDefault="00490EFD" w:rsidP="00490EFD">
      <w:pPr>
        <w:pStyle w:val="CenterUnderline"/>
        <w:rPr>
          <w:u w:val="none"/>
        </w:rPr>
      </w:pPr>
    </w:p>
    <w:p w:rsidR="00490EFD" w:rsidRDefault="00490EFD" w:rsidP="00490EFD">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490EFD" w:rsidRDefault="00490EFD" w:rsidP="00490EFD">
      <w:pPr>
        <w:pStyle w:val="OrderBody"/>
      </w:pPr>
    </w:p>
    <w:p w:rsidR="00490EFD" w:rsidRDefault="00490EFD" w:rsidP="00490EFD">
      <w:pPr>
        <w:pStyle w:val="OrderBody"/>
      </w:pPr>
      <w:r>
        <w:tab/>
        <w:t>Mediation may be available on a case-by-case basis.  If mediation is conducted, it does not affect a substantially interested person's right to a hearing.</w:t>
      </w:r>
    </w:p>
    <w:p w:rsidR="00490EFD" w:rsidRDefault="00490EFD" w:rsidP="00490EFD">
      <w:pPr>
        <w:pStyle w:val="OrderBody"/>
      </w:pPr>
    </w:p>
    <w:p w:rsidR="00490EFD" w:rsidRDefault="00490EFD" w:rsidP="00490EFD">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8D2E48">
        <w:rPr>
          <w:u w:val="single"/>
        </w:rPr>
        <w:t>September 1, 2015</w:t>
      </w:r>
      <w:r>
        <w:t>.</w:t>
      </w:r>
    </w:p>
    <w:p w:rsidR="00490EFD" w:rsidRDefault="00490EFD" w:rsidP="00490EFD">
      <w:pPr>
        <w:pStyle w:val="OrderBody"/>
      </w:pPr>
    </w:p>
    <w:p w:rsidR="00490EFD" w:rsidRDefault="00490EFD" w:rsidP="00490EFD">
      <w:pPr>
        <w:pStyle w:val="OrderBody"/>
      </w:pPr>
      <w:r>
        <w:tab/>
        <w:t>In the absence of such a petition, this order shall become final and effective upon the issuance of a Consummating Order.</w:t>
      </w:r>
    </w:p>
    <w:p w:rsidR="00490EFD" w:rsidRDefault="00490EFD" w:rsidP="00490EFD">
      <w:pPr>
        <w:pStyle w:val="OrderBody"/>
      </w:pPr>
    </w:p>
    <w:p w:rsidR="00490EFD" w:rsidRDefault="00490EFD" w:rsidP="00490EFD">
      <w:pPr>
        <w:pStyle w:val="OrderBody"/>
      </w:pPr>
      <w:r>
        <w:tab/>
        <w:t>Any objection or protest filed in this/these docket(s) before the issuance date of this order is considered abandoned unless it satisfies the foregoing conditions and is renewed within the specified protest period.</w:t>
      </w:r>
    </w:p>
    <w:p w:rsidR="00490EFD" w:rsidRDefault="00490EFD" w:rsidP="00490EFD">
      <w:pPr>
        <w:pStyle w:val="OrderBody"/>
      </w:pPr>
    </w:p>
    <w:p w:rsidR="00490EFD" w:rsidRDefault="00490EFD" w:rsidP="00490EFD">
      <w:pPr>
        <w:pStyle w:val="OrderBody"/>
        <w:sectPr w:rsidR="00490EFD">
          <w:headerReference w:type="default" r:id="rId8"/>
          <w:footerReference w:type="first" r:id="rId9"/>
          <w:pgSz w:w="12240" w:h="15840" w:code="1"/>
          <w:pgMar w:top="1440" w:right="1440" w:bottom="1440" w:left="1440" w:header="720" w:footer="720" w:gutter="0"/>
          <w:cols w:space="720"/>
          <w:titlePg/>
          <w:docGrid w:linePitch="360"/>
        </w:sectPr>
      </w:pPr>
    </w:p>
    <w:p w:rsidR="00490EFD" w:rsidRPr="00D76AC1" w:rsidRDefault="00490EFD" w:rsidP="00490EFD">
      <w:pPr>
        <w:spacing w:after="240"/>
        <w:jc w:val="center"/>
        <w:rPr>
          <w:b/>
          <w:u w:val="single"/>
        </w:rPr>
      </w:pPr>
      <w:r w:rsidRPr="00D76AC1">
        <w:rPr>
          <w:b/>
          <w:u w:val="single"/>
        </w:rPr>
        <w:lastRenderedPageBreak/>
        <w:t>Florida Public Utilities Company – 2015 DSM Programs</w:t>
      </w:r>
    </w:p>
    <w:p w:rsidR="00490EFD" w:rsidRPr="00D76AC1" w:rsidRDefault="00490EFD" w:rsidP="00490EFD">
      <w:pPr>
        <w:spacing w:after="240"/>
        <w:rPr>
          <w:b/>
          <w:u w:val="single"/>
        </w:rPr>
      </w:pPr>
      <w:r w:rsidRPr="00D76AC1">
        <w:rPr>
          <w:b/>
          <w:u w:val="single"/>
        </w:rPr>
        <w:t>Residential Programs</w:t>
      </w:r>
    </w:p>
    <w:p w:rsidR="00490EFD" w:rsidRPr="00D76AC1" w:rsidRDefault="00490EFD" w:rsidP="00490EFD">
      <w:pPr>
        <w:spacing w:before="240"/>
        <w:ind w:firstLine="720"/>
        <w:rPr>
          <w:u w:val="single"/>
        </w:rPr>
      </w:pPr>
      <w:r w:rsidRPr="00D76AC1">
        <w:rPr>
          <w:u w:val="single"/>
        </w:rPr>
        <w:t>Residential Energy Survey</w:t>
      </w:r>
    </w:p>
    <w:p w:rsidR="00D76AC1" w:rsidRDefault="00D76AC1" w:rsidP="00D76AC1">
      <w:pPr>
        <w:jc w:val="both"/>
      </w:pPr>
    </w:p>
    <w:p w:rsidR="00490EFD" w:rsidRPr="00490EFD" w:rsidRDefault="00490EFD" w:rsidP="00D76AC1">
      <w:pPr>
        <w:spacing w:after="120"/>
        <w:ind w:firstLine="720"/>
        <w:jc w:val="both"/>
      </w:pPr>
      <w:r w:rsidRPr="00490EFD">
        <w:t>The objective of the Residential Energy Survey is to provide FPUC’s residential customers with energy conservation advice that encourages the implementation of efficiency measures resulting in energy savings for the customer. These measures, once implemented, also lower FPUC’s energy requirements and improve operating efficiencies. FPUC views this program as a way of promoting the installation of cost-effective conservation features. During the survey process, the customer is provided with specific whole-house recommendations.</w:t>
      </w:r>
    </w:p>
    <w:p w:rsidR="00490EFD" w:rsidRPr="00490EFD" w:rsidRDefault="00490EFD" w:rsidP="00D76AC1">
      <w:pPr>
        <w:spacing w:after="120"/>
        <w:ind w:firstLine="720"/>
        <w:jc w:val="both"/>
      </w:pPr>
      <w:r w:rsidRPr="00490EFD">
        <w:t>The survey process also checks for possible duct leakage. If a problem is identified, recommendations are made for further analysis and repairs. Blower-door testing is required to identify and quantify the duct leakage. FPUC provides the customer a list of contractors that provide blower-door testing. After the blower-door test contractor identifies the leakage sites and quantities, the customer is given a written summary of the test findings and the potential for savings, along with a list of approved repair contractors.</w:t>
      </w:r>
    </w:p>
    <w:p w:rsidR="00490EFD" w:rsidRPr="00490EFD" w:rsidRDefault="00490EFD" w:rsidP="00D76AC1">
      <w:pPr>
        <w:spacing w:after="120"/>
        <w:ind w:firstLine="720"/>
        <w:jc w:val="both"/>
      </w:pPr>
      <w:r w:rsidRPr="00490EFD">
        <w:t>During the survey, FPUC will provide the customer with a conservation kit as appropriate. The kit includes two LED bulbs, weather stripping, caulk, insulators for wall sockets and light switches, and a water temperature thermometer. While the contents of the conservation kit will result in demand and energy savings, its purpose is to provide the customer with actual samples of low and no cost measures the customer can take to reduce their energy costs.</w:t>
      </w:r>
    </w:p>
    <w:p w:rsidR="00490EFD" w:rsidRPr="00490EFD" w:rsidRDefault="00490EFD" w:rsidP="00D76AC1">
      <w:pPr>
        <w:spacing w:after="120"/>
        <w:ind w:firstLine="720"/>
        <w:jc w:val="both"/>
      </w:pPr>
      <w:r w:rsidRPr="00490EFD">
        <w:t>Through follow-up survey work, FPUC monitors and tracks the installation of cost-effective conservation features and/or duct leakage repairs. As a result, the increase in operating efficiencies provides for a reduction in weather-sensitive peak demand, as well as a reduction in energy consumption.</w:t>
      </w:r>
    </w:p>
    <w:p w:rsidR="00490EFD" w:rsidRPr="00D76AC1" w:rsidRDefault="00490EFD" w:rsidP="00490EFD">
      <w:pPr>
        <w:spacing w:before="240"/>
        <w:ind w:firstLine="720"/>
        <w:rPr>
          <w:u w:val="single"/>
        </w:rPr>
      </w:pPr>
      <w:r w:rsidRPr="00D76AC1">
        <w:rPr>
          <w:u w:val="single"/>
        </w:rPr>
        <w:t>Residential Heating &amp; Cooling Efficiency Upgrade</w:t>
      </w:r>
    </w:p>
    <w:p w:rsidR="00D76AC1" w:rsidRDefault="00D76AC1" w:rsidP="00D76AC1">
      <w:pPr>
        <w:jc w:val="both"/>
      </w:pPr>
    </w:p>
    <w:p w:rsidR="00490EFD" w:rsidRPr="00490EFD" w:rsidRDefault="00490EFD" w:rsidP="00D76AC1">
      <w:pPr>
        <w:spacing w:after="120"/>
        <w:ind w:firstLine="720"/>
        <w:jc w:val="both"/>
      </w:pPr>
      <w:r w:rsidRPr="00490EFD">
        <w:t>This program is directed at reducing the rate of growth in peak demand and energy throughout FPUC’s electricity service territories. The program will do this by increasing the saturation of high-efficiency heat pumps and central air conditioning systems. The program requires that customers install a high-efficiency central air conditioning system or heat pump with a minimum 15 SEER.</w:t>
      </w:r>
    </w:p>
    <w:p w:rsidR="00490EFD" w:rsidRPr="00490EFD" w:rsidRDefault="00490EFD" w:rsidP="00D76AC1">
      <w:pPr>
        <w:ind w:firstLine="720"/>
        <w:jc w:val="both"/>
      </w:pPr>
      <w:r w:rsidRPr="00490EFD">
        <w:t>The Residential Heating &amp; Cooling Efficiency Upgrade Program focuses in two areas. The first is to incent customers operating inefficient heat pumps and air conditioners to replace them with more efficient units. The program also incents customers with resistance heating to install a new heat pump. The second area of focus for the program is to incent customers that are replacing a heat pump or air conditioner that has reached the end of its life with a more efficient heat pump or air conditioner than is required by codes and standards. The incentive to install a more efficient heat pump or air conditioner also applies to heat pumps and air conditioners being installed in new construction.</w:t>
      </w:r>
    </w:p>
    <w:p w:rsidR="00490EFD" w:rsidRPr="00490EFD" w:rsidRDefault="00490EFD" w:rsidP="00490EFD">
      <w:pPr>
        <w:ind w:left="720"/>
        <w:contextualSpacing/>
        <w:rPr>
          <w:rFonts w:eastAsia="Calibri"/>
        </w:rPr>
      </w:pPr>
      <w:r w:rsidRPr="00490EFD">
        <w:rPr>
          <w:rFonts w:ascii="Calibri" w:eastAsia="Calibri" w:hAnsi="Calibri"/>
        </w:rPr>
        <w:lastRenderedPageBreak/>
        <w:t xml:space="preserve">• </w:t>
      </w:r>
      <w:r w:rsidRPr="00490EFD">
        <w:rPr>
          <w:rFonts w:eastAsia="Calibri"/>
        </w:rPr>
        <w:t>Customer Rebate of $100, with Dealer Incentive of $75 for heat pump replacing resistance heating, or $25 for all other types.</w:t>
      </w:r>
    </w:p>
    <w:p w:rsidR="00490EFD" w:rsidRPr="00490EFD" w:rsidRDefault="00490EFD" w:rsidP="00490EFD">
      <w:pPr>
        <w:spacing w:after="240"/>
      </w:pPr>
    </w:p>
    <w:p w:rsidR="00490EFD" w:rsidRPr="00490EFD" w:rsidRDefault="00490EFD" w:rsidP="00490EFD">
      <w:pPr>
        <w:spacing w:after="240"/>
        <w:rPr>
          <w:rFonts w:ascii="Arial" w:hAnsi="Arial"/>
          <w:b/>
        </w:rPr>
      </w:pPr>
      <w:r w:rsidRPr="00D76AC1">
        <w:rPr>
          <w:b/>
          <w:u w:val="single"/>
        </w:rPr>
        <w:t>Commercial/Industrial Programs</w:t>
      </w:r>
    </w:p>
    <w:p w:rsidR="00490EFD" w:rsidRPr="00D76AC1" w:rsidRDefault="00490EFD" w:rsidP="00490EFD">
      <w:pPr>
        <w:spacing w:before="240"/>
        <w:ind w:firstLine="720"/>
        <w:rPr>
          <w:u w:val="single"/>
        </w:rPr>
      </w:pPr>
      <w:r w:rsidRPr="00D76AC1">
        <w:rPr>
          <w:u w:val="single"/>
        </w:rPr>
        <w:t>Commercial Heating &amp; Cooling Efficiency Upgrade</w:t>
      </w:r>
    </w:p>
    <w:p w:rsidR="00D76AC1" w:rsidRDefault="00D76AC1" w:rsidP="00D76AC1">
      <w:pPr>
        <w:jc w:val="both"/>
      </w:pPr>
    </w:p>
    <w:p w:rsidR="00490EFD" w:rsidRPr="00490EFD" w:rsidRDefault="00490EFD" w:rsidP="00D76AC1">
      <w:pPr>
        <w:spacing w:after="120"/>
        <w:ind w:firstLine="720"/>
        <w:jc w:val="both"/>
      </w:pPr>
      <w:r w:rsidRPr="00490EFD">
        <w:t>This program is directed at reducing the rate of growth in peak demand and energy throughout FPUC’s commercial sector. The program will do this by increasing the saturation of high-efficiency heat pumps and air conditioners. The program requires that customers install a high-efficiency central air conditioning system or heat pump with a minimum 15 SEER.</w:t>
      </w:r>
    </w:p>
    <w:p w:rsidR="00490EFD" w:rsidRPr="00490EFD" w:rsidRDefault="00490EFD" w:rsidP="00D76AC1">
      <w:pPr>
        <w:ind w:firstLine="720"/>
        <w:jc w:val="both"/>
      </w:pPr>
      <w:r w:rsidRPr="00490EFD">
        <w:t>The Commercial Heating &amp; Cooling Efficiency Upgrade Program is essentially the same program as the Residential Heating &amp; Cooling Efficiency Upgrade Program only for FPUC’s commercial sector.</w:t>
      </w:r>
    </w:p>
    <w:p w:rsidR="00D76AC1" w:rsidRDefault="00D76AC1" w:rsidP="00490EFD">
      <w:pPr>
        <w:ind w:left="720"/>
        <w:contextualSpacing/>
        <w:rPr>
          <w:rFonts w:ascii="Calibri" w:eastAsia="Calibri" w:hAnsi="Calibri"/>
        </w:rPr>
      </w:pPr>
    </w:p>
    <w:p w:rsidR="00490EFD" w:rsidRPr="00490EFD" w:rsidRDefault="00490EFD" w:rsidP="00490EFD">
      <w:pPr>
        <w:ind w:left="720"/>
        <w:contextualSpacing/>
        <w:rPr>
          <w:rFonts w:eastAsia="Calibri"/>
        </w:rPr>
      </w:pPr>
      <w:r w:rsidRPr="00490EFD">
        <w:rPr>
          <w:rFonts w:ascii="Calibri" w:eastAsia="Calibri" w:hAnsi="Calibri"/>
        </w:rPr>
        <w:t xml:space="preserve">• </w:t>
      </w:r>
      <w:r w:rsidRPr="00490EFD">
        <w:rPr>
          <w:rFonts w:eastAsia="Calibri"/>
        </w:rPr>
        <w:t>Customer Rebate of $100, with Dealer Incentive of $75 for heat pump replacing resistance heating, or $25 for all other types.</w:t>
      </w:r>
    </w:p>
    <w:p w:rsidR="00490EFD" w:rsidRPr="00D76AC1" w:rsidRDefault="00490EFD" w:rsidP="00490EFD">
      <w:pPr>
        <w:spacing w:before="240"/>
        <w:ind w:firstLine="720"/>
        <w:rPr>
          <w:u w:val="single"/>
        </w:rPr>
      </w:pPr>
      <w:r w:rsidRPr="00D76AC1">
        <w:rPr>
          <w:u w:val="single"/>
        </w:rPr>
        <w:t>Commercial Chiller Upgrade</w:t>
      </w:r>
    </w:p>
    <w:p w:rsidR="00D76AC1" w:rsidRDefault="00D76AC1" w:rsidP="00490EFD">
      <w:pPr>
        <w:spacing w:after="120"/>
        <w:jc w:val="both"/>
      </w:pPr>
    </w:p>
    <w:p w:rsidR="00D76AC1" w:rsidRDefault="00490EFD" w:rsidP="00D76AC1">
      <w:pPr>
        <w:spacing w:after="120"/>
        <w:ind w:firstLine="720"/>
        <w:jc w:val="both"/>
      </w:pPr>
      <w:r w:rsidRPr="00490EFD">
        <w:t>The program is directed at reducing the rate of growth in peak demand and energy throughout FPUC’s commercial/industrial sector. To serve this purpose, this program requires that commercial/industrial customers replace existing chillers with a more efficient system.</w:t>
      </w:r>
    </w:p>
    <w:p w:rsidR="00490EFD" w:rsidRPr="00490EFD" w:rsidRDefault="00490EFD" w:rsidP="00D76AC1">
      <w:pPr>
        <w:spacing w:after="120"/>
        <w:ind w:firstLine="720"/>
        <w:jc w:val="both"/>
      </w:pPr>
      <w:r w:rsidRPr="00490EFD">
        <w:t>The program covers water-cooled centrifugal chillers, water-cooled scroll or screw chillers, and air-cooled electric chillers. Minimum qualifications for efficiency exist for each of the chiller types based on size and are presented in the participation standards section of this program description. Interested customers will send project proposals to FPUC and a representative will schedule an on-site visit for inspection prior to installation. After the project is completed, a FPUC representative will conduct an on-site inspection. By following the guidelines, the customer will qualify for the rebate.</w:t>
      </w:r>
    </w:p>
    <w:p w:rsidR="00490EFD" w:rsidRPr="00490EFD" w:rsidRDefault="00490EFD" w:rsidP="00490EFD">
      <w:pPr>
        <w:ind w:left="720"/>
        <w:contextualSpacing/>
        <w:rPr>
          <w:rFonts w:eastAsia="Calibri"/>
        </w:rPr>
      </w:pPr>
      <w:r w:rsidRPr="00490EFD">
        <w:rPr>
          <w:rFonts w:ascii="Calibri" w:eastAsia="Calibri" w:hAnsi="Calibri"/>
        </w:rPr>
        <w:t xml:space="preserve">• </w:t>
      </w:r>
      <w:r w:rsidRPr="00490EFD">
        <w:rPr>
          <w:rFonts w:eastAsia="Calibri"/>
        </w:rPr>
        <w:t>Rebate of $175/kW of savings above minimum efficiency levels.</w:t>
      </w:r>
    </w:p>
    <w:p w:rsidR="00490EFD" w:rsidRPr="00D76AC1" w:rsidRDefault="00490EFD" w:rsidP="00490EFD">
      <w:pPr>
        <w:spacing w:before="240"/>
        <w:ind w:firstLine="720"/>
        <w:rPr>
          <w:u w:val="single"/>
        </w:rPr>
      </w:pPr>
      <w:r w:rsidRPr="00D76AC1">
        <w:rPr>
          <w:u w:val="single"/>
        </w:rPr>
        <w:t>Commercial Reflective Roof</w:t>
      </w:r>
    </w:p>
    <w:p w:rsidR="00D76AC1" w:rsidRDefault="00D76AC1" w:rsidP="00D76AC1">
      <w:pPr>
        <w:jc w:val="both"/>
      </w:pPr>
    </w:p>
    <w:p w:rsidR="00490EFD" w:rsidRDefault="00490EFD" w:rsidP="00D76AC1">
      <w:pPr>
        <w:ind w:firstLine="720"/>
        <w:jc w:val="both"/>
      </w:pPr>
      <w:r w:rsidRPr="00490EFD">
        <w:t>The Commercial Reflective Roof Program is a new program that provides rebates to nonresidential customers that either convert their existing roof to a cool roof or install a new cool roof on an existing building or a new building. Roofing material must be Energy Star certified in all cases. The program will reduce energy and demand required for cooling. Participation rates are measured per 1000 sq. ft. of roof.</w:t>
      </w:r>
    </w:p>
    <w:p w:rsidR="00D76AC1" w:rsidRPr="00490EFD" w:rsidRDefault="00D76AC1" w:rsidP="00D76AC1">
      <w:pPr>
        <w:ind w:firstLine="720"/>
        <w:jc w:val="both"/>
      </w:pPr>
    </w:p>
    <w:p w:rsidR="00490EFD" w:rsidRPr="00490EFD" w:rsidRDefault="00490EFD" w:rsidP="00D76AC1">
      <w:pPr>
        <w:ind w:firstLine="720"/>
        <w:jc w:val="both"/>
      </w:pPr>
      <w:r w:rsidRPr="00490EFD">
        <w:t xml:space="preserve">FPUC will work with roofing contractors to promote the program in a manner similar to the Residential and Commercial Heating &amp; Cooling Upgrade Programs. The roofing contractors will provide copies of their proposal to provide roofing services for FPUC’s customers. FPUC </w:t>
      </w:r>
      <w:r w:rsidRPr="00490EFD">
        <w:lastRenderedPageBreak/>
        <w:t>will inspect the roof before work begins and after the work is completed. FPUC will make the determination of which level of rebate will apply to the project and that the project qualifies for a rebate by using Energy Star certified materials.</w:t>
      </w:r>
    </w:p>
    <w:p w:rsidR="00490EFD" w:rsidRPr="00490EFD" w:rsidRDefault="00490EFD" w:rsidP="00490EFD">
      <w:pPr>
        <w:ind w:left="720"/>
        <w:contextualSpacing/>
        <w:rPr>
          <w:rFonts w:eastAsia="Calibri"/>
        </w:rPr>
      </w:pPr>
      <w:r w:rsidRPr="00490EFD">
        <w:rPr>
          <w:rFonts w:ascii="Calibri" w:eastAsia="Calibri" w:hAnsi="Calibri"/>
        </w:rPr>
        <w:t xml:space="preserve">• </w:t>
      </w:r>
      <w:r w:rsidRPr="00490EFD">
        <w:rPr>
          <w:rFonts w:eastAsia="Calibri"/>
        </w:rPr>
        <w:t>$0.075/sq. ft. for new roofs and $0.325/sq. ft. for conversions.</w:t>
      </w:r>
    </w:p>
    <w:p w:rsidR="00D76AC1" w:rsidRDefault="00D76AC1" w:rsidP="00D76AC1">
      <w:pPr>
        <w:rPr>
          <w:b/>
        </w:rPr>
      </w:pPr>
    </w:p>
    <w:p w:rsidR="00490EFD" w:rsidRPr="00D76AC1" w:rsidRDefault="00490EFD" w:rsidP="00D76AC1">
      <w:pPr>
        <w:rPr>
          <w:b/>
        </w:rPr>
      </w:pPr>
      <w:r w:rsidRPr="00D76AC1">
        <w:rPr>
          <w:b/>
          <w:u w:val="single"/>
        </w:rPr>
        <w:t>Energy Education Programs</w:t>
      </w:r>
    </w:p>
    <w:p w:rsidR="00490EFD" w:rsidRPr="00D76AC1" w:rsidRDefault="00490EFD" w:rsidP="00490EFD">
      <w:pPr>
        <w:spacing w:before="240"/>
        <w:ind w:firstLine="720"/>
        <w:rPr>
          <w:u w:val="single"/>
        </w:rPr>
      </w:pPr>
      <w:r w:rsidRPr="00D76AC1">
        <w:rPr>
          <w:u w:val="single"/>
        </w:rPr>
        <w:t>Conservation Demonstration and Development</w:t>
      </w:r>
    </w:p>
    <w:p w:rsidR="00D76AC1" w:rsidRDefault="00D76AC1" w:rsidP="00D76AC1">
      <w:pPr>
        <w:ind w:firstLine="720"/>
        <w:jc w:val="both"/>
      </w:pPr>
    </w:p>
    <w:p w:rsidR="00490EFD" w:rsidRPr="00490EFD" w:rsidRDefault="00490EFD" w:rsidP="00D76AC1">
      <w:pPr>
        <w:spacing w:after="120"/>
        <w:ind w:firstLine="720"/>
        <w:jc w:val="both"/>
      </w:pPr>
      <w:r w:rsidRPr="00490EFD">
        <w:t>The primary purpose of the Conservation Demonstration and Development (CDD) program is to pursue research, development, and demonstration projects designed to promote energy efficiency and conservation. This program will supplement and complement the other demand-side management programs offered by FPUC.</w:t>
      </w:r>
    </w:p>
    <w:p w:rsidR="00490EFD" w:rsidRPr="00490EFD" w:rsidRDefault="00490EFD" w:rsidP="00D76AC1">
      <w:pPr>
        <w:spacing w:after="120"/>
        <w:ind w:firstLine="720"/>
        <w:jc w:val="both"/>
      </w:pPr>
      <w:r w:rsidRPr="00490EFD">
        <w:t>The CDD program is meant to be an umbrella program for the identification, development, demonstration, and evaluation of promising new end-use technologies and or energy efficiency measures. The CDD program does not focus on any specific end-use technology but, instead, will address a wide variety of energy applications. Expenditures are limited to a maximum of $75,000 per year, and FPUC will notify the Commission of any project that individually exceeds $15,000.</w:t>
      </w:r>
    </w:p>
    <w:p w:rsidR="00490EFD" w:rsidRPr="00D76AC1" w:rsidRDefault="00490EFD" w:rsidP="00490EFD">
      <w:pPr>
        <w:spacing w:before="240"/>
        <w:rPr>
          <w:u w:val="single"/>
        </w:rPr>
      </w:pPr>
      <w:r w:rsidRPr="00490EFD">
        <w:rPr>
          <w:rFonts w:ascii="Arial" w:hAnsi="Arial"/>
          <w:b/>
          <w:i/>
        </w:rPr>
        <w:tab/>
      </w:r>
      <w:r w:rsidRPr="00D76AC1">
        <w:rPr>
          <w:u w:val="single"/>
        </w:rPr>
        <w:t>Low Income Energy Outreach</w:t>
      </w:r>
    </w:p>
    <w:p w:rsidR="00D76AC1" w:rsidRDefault="00D76AC1" w:rsidP="00D76AC1">
      <w:pPr>
        <w:jc w:val="both"/>
      </w:pPr>
    </w:p>
    <w:p w:rsidR="00490EFD" w:rsidRPr="00490EFD" w:rsidRDefault="00490EFD" w:rsidP="00D76AC1">
      <w:pPr>
        <w:spacing w:after="120"/>
        <w:ind w:firstLine="720"/>
        <w:jc w:val="both"/>
      </w:pPr>
      <w:r w:rsidRPr="00490EFD">
        <w:t>The Low Income Energy Outreach Program is an educational program designed to enhance the effectiveness of existing weatherization programs for low-income households. FPUC's Low Income Energy Outreach Program partners with Department of Economic Opportunity approved Low Income Weatherization Program operators by offering Residential Energy Surveys scheduled by the Low Income Weatherization Program operators weatherization contractor training, distributing energy efficiency educational literature to participants, and hosting energy conservation events customized for low income households. The Low Income Energy Outreach Program consists of the following four major components:</w:t>
      </w:r>
    </w:p>
    <w:p w:rsidR="00490EFD" w:rsidRPr="00490EFD" w:rsidRDefault="00490EFD" w:rsidP="00490EFD">
      <w:pPr>
        <w:ind w:left="720"/>
        <w:contextualSpacing/>
        <w:jc w:val="both"/>
        <w:rPr>
          <w:rFonts w:ascii="Arial" w:eastAsia="Calibri" w:hAnsi="Arial"/>
          <w:i/>
        </w:rPr>
      </w:pPr>
      <w:r w:rsidRPr="00490EFD">
        <w:rPr>
          <w:rFonts w:ascii="Calibri" w:eastAsia="Calibri" w:hAnsi="Calibri"/>
        </w:rPr>
        <w:t xml:space="preserve">• </w:t>
      </w:r>
      <w:r w:rsidRPr="00D76AC1">
        <w:rPr>
          <w:rFonts w:eastAsia="Calibri"/>
          <w:i/>
        </w:rPr>
        <w:t>Residential Energy Surveys</w:t>
      </w:r>
    </w:p>
    <w:p w:rsidR="00490EFD" w:rsidRPr="00490EFD" w:rsidRDefault="00490EFD" w:rsidP="00490EFD">
      <w:pPr>
        <w:ind w:left="720"/>
        <w:jc w:val="both"/>
      </w:pPr>
      <w:r w:rsidRPr="00490EFD">
        <w:t xml:space="preserve">The Low Income Weatherization Program operators will be responsible for scheduling Residential Energy Surveys to be conducted by FPUC with the low-income households. Each low-income household receiving a FPUC Residential Energy Survey will receive an Energy Conservation Kit from FPUC which contains caulking, weather stripping, two LED bulbs, lighting and wall socket insulation, and a water temperature thermometer. While Energy Conservation Kit components provide some demand and energy savings, the intent of the kit is to provide samples of these low cost energy conservation measures that can easily be implemented by the low-income households. </w:t>
      </w:r>
    </w:p>
    <w:p w:rsidR="00490EFD" w:rsidRPr="00490EFD" w:rsidRDefault="00490EFD" w:rsidP="00490EFD">
      <w:pPr>
        <w:ind w:left="720"/>
        <w:jc w:val="both"/>
      </w:pPr>
    </w:p>
    <w:p w:rsidR="00490EFD" w:rsidRPr="00490EFD" w:rsidRDefault="00490EFD" w:rsidP="00490EFD">
      <w:pPr>
        <w:ind w:left="720"/>
        <w:contextualSpacing/>
        <w:jc w:val="both"/>
        <w:rPr>
          <w:rFonts w:ascii="Arial" w:eastAsia="Calibri" w:hAnsi="Arial"/>
          <w:i/>
        </w:rPr>
      </w:pPr>
      <w:r w:rsidRPr="00490EFD">
        <w:rPr>
          <w:rFonts w:ascii="Calibri" w:eastAsia="Calibri" w:hAnsi="Calibri"/>
        </w:rPr>
        <w:t xml:space="preserve">• </w:t>
      </w:r>
      <w:r w:rsidRPr="00D76AC1">
        <w:rPr>
          <w:rFonts w:eastAsia="Calibri"/>
          <w:i/>
        </w:rPr>
        <w:t>Contractor Training</w:t>
      </w:r>
    </w:p>
    <w:p w:rsidR="00490EFD" w:rsidRPr="00490EFD" w:rsidRDefault="00490EFD" w:rsidP="00490EFD">
      <w:pPr>
        <w:ind w:left="720"/>
        <w:jc w:val="both"/>
      </w:pPr>
      <w:r w:rsidRPr="00490EFD">
        <w:t xml:space="preserve">Training will be provided by FPUC to educate and inform weatherization contractors about thermal envelope improvement best practices, product procurement ideas, and emerging weatherization strategies. Training events will occur on an annual basis </w:t>
      </w:r>
      <w:r w:rsidRPr="00490EFD">
        <w:lastRenderedPageBreak/>
        <w:t>throughout each of the counties FPUC serves. These efforts will include coordination with the Weatherization Assistance Program Technical Assistance Center.</w:t>
      </w:r>
    </w:p>
    <w:p w:rsidR="00490EFD" w:rsidRPr="00490EFD" w:rsidRDefault="00490EFD" w:rsidP="00490EFD">
      <w:pPr>
        <w:ind w:left="360"/>
        <w:jc w:val="both"/>
      </w:pPr>
    </w:p>
    <w:p w:rsidR="00490EFD" w:rsidRPr="00490EFD" w:rsidRDefault="00490EFD" w:rsidP="00490EFD">
      <w:pPr>
        <w:ind w:left="720"/>
        <w:contextualSpacing/>
        <w:jc w:val="both"/>
        <w:rPr>
          <w:rFonts w:ascii="Arial" w:eastAsia="Calibri" w:hAnsi="Arial"/>
          <w:i/>
        </w:rPr>
      </w:pPr>
      <w:r w:rsidRPr="00490EFD">
        <w:rPr>
          <w:rFonts w:ascii="Calibri" w:eastAsia="Calibri" w:hAnsi="Calibri"/>
        </w:rPr>
        <w:t xml:space="preserve">• </w:t>
      </w:r>
      <w:r w:rsidRPr="00D76AC1">
        <w:rPr>
          <w:rFonts w:eastAsia="Calibri"/>
          <w:i/>
        </w:rPr>
        <w:t>Demographic Targeted Energy Materials</w:t>
      </w:r>
    </w:p>
    <w:p w:rsidR="00490EFD" w:rsidRPr="00490EFD" w:rsidRDefault="00490EFD" w:rsidP="00490EFD">
      <w:pPr>
        <w:ind w:left="720"/>
        <w:jc w:val="both"/>
      </w:pPr>
      <w:r w:rsidRPr="00490EFD">
        <w:t>Energy Conservation materials that are specifically geared towards low income households will be compiled by FPUC and provided by the approved weatherization organization performing the energy improvements.</w:t>
      </w:r>
    </w:p>
    <w:p w:rsidR="00490EFD" w:rsidRPr="00490EFD" w:rsidRDefault="00490EFD" w:rsidP="00490EFD">
      <w:pPr>
        <w:ind w:left="360"/>
        <w:jc w:val="both"/>
      </w:pPr>
    </w:p>
    <w:p w:rsidR="00490EFD" w:rsidRPr="00490EFD" w:rsidRDefault="00490EFD" w:rsidP="00490EFD">
      <w:pPr>
        <w:ind w:left="720"/>
        <w:contextualSpacing/>
        <w:jc w:val="both"/>
        <w:rPr>
          <w:rFonts w:ascii="Arial" w:eastAsia="Calibri" w:hAnsi="Arial"/>
          <w:i/>
        </w:rPr>
      </w:pPr>
      <w:r w:rsidRPr="00490EFD">
        <w:rPr>
          <w:rFonts w:ascii="Calibri" w:eastAsia="Calibri" w:hAnsi="Calibri"/>
        </w:rPr>
        <w:t xml:space="preserve">• </w:t>
      </w:r>
      <w:r w:rsidRPr="00D76AC1">
        <w:rPr>
          <w:rFonts w:eastAsia="Calibri"/>
          <w:i/>
        </w:rPr>
        <w:t>Community Conservation Events</w:t>
      </w:r>
    </w:p>
    <w:p w:rsidR="00490EFD" w:rsidRPr="00490EFD" w:rsidRDefault="00490EFD" w:rsidP="00490EFD">
      <w:pPr>
        <w:ind w:left="720"/>
        <w:jc w:val="both"/>
      </w:pPr>
      <w:r w:rsidRPr="00490EFD">
        <w:t xml:space="preserve">Annual Community Conservation events will be conducted in each of the territories that FPUC serves. These events will educate and inform low income households about the weatherization programs offered in their county and depending upon the event each participant will receive FPUC’s Energy Conservation Kit along with information about reading electric bills and energy conservation tips. </w:t>
      </w:r>
    </w:p>
    <w:p w:rsidR="00490EFD" w:rsidRPr="00490EFD" w:rsidRDefault="00490EFD" w:rsidP="00490EFD">
      <w:pPr>
        <w:ind w:left="720"/>
        <w:jc w:val="both"/>
      </w:pPr>
    </w:p>
    <w:p w:rsidR="00490EFD" w:rsidRPr="00D76AC1" w:rsidRDefault="00490EFD" w:rsidP="00490EFD">
      <w:pPr>
        <w:ind w:firstLine="720"/>
        <w:rPr>
          <w:u w:val="single"/>
        </w:rPr>
      </w:pPr>
      <w:r w:rsidRPr="00D76AC1">
        <w:rPr>
          <w:u w:val="single"/>
        </w:rPr>
        <w:t>Commercial Energy Consultation</w:t>
      </w:r>
    </w:p>
    <w:p w:rsidR="00D76AC1" w:rsidRDefault="00D76AC1" w:rsidP="00490EFD">
      <w:pPr>
        <w:jc w:val="both"/>
        <w:rPr>
          <w:color w:val="000000"/>
        </w:rPr>
      </w:pPr>
    </w:p>
    <w:p w:rsidR="00490EFD" w:rsidRPr="00490EFD" w:rsidRDefault="00490EFD" w:rsidP="00D76AC1">
      <w:pPr>
        <w:ind w:firstLine="720"/>
        <w:jc w:val="both"/>
      </w:pPr>
      <w:r w:rsidRPr="00490EFD">
        <w:rPr>
          <w:color w:val="000000"/>
        </w:rPr>
        <w:t>The Florida Public Utilities Company Commercial Energy Consultation Program is designed to directly communicate the availability of the commercial DSM programs to commercial customers. This program allows for FPUC energy conservation representatives to conduct commercial site visits to educate customers about FPUC’s commercial DSM programs, assess the potential for applicable DSM Programs, conduct an electric bill review, offer commercial energy savings suggestions, and inform customer about FPUC’s commercial online energy efficiency resources and tools.</w:t>
      </w:r>
    </w:p>
    <w:p w:rsidR="00490EFD" w:rsidRDefault="00490EFD" w:rsidP="00490EFD">
      <w:pPr>
        <w:pStyle w:val="OrderBody"/>
      </w:pPr>
    </w:p>
    <w:sectPr w:rsidR="00490EFD" w:rsidSect="00AE372D">
      <w:headerReference w:type="default" r:id="rId10"/>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265" w:rsidRDefault="00917265">
      <w:r>
        <w:separator/>
      </w:r>
    </w:p>
  </w:endnote>
  <w:endnote w:type="continuationSeparator" w:id="0">
    <w:p w:rsidR="00917265" w:rsidRDefault="00917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65" w:rsidRDefault="00917265">
    <w:pPr>
      <w:pStyle w:val="Footer"/>
    </w:pPr>
  </w:p>
  <w:p w:rsidR="00917265" w:rsidRDefault="009172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265" w:rsidRDefault="00917265">
      <w:r>
        <w:separator/>
      </w:r>
    </w:p>
  </w:footnote>
  <w:footnote w:type="continuationSeparator" w:id="0">
    <w:p w:rsidR="00917265" w:rsidRDefault="00917265">
      <w:r>
        <w:continuationSeparator/>
      </w:r>
    </w:p>
  </w:footnote>
  <w:footnote w:id="1">
    <w:p w:rsidR="00917265" w:rsidRDefault="00917265" w:rsidP="00490EFD">
      <w:pPr>
        <w:pStyle w:val="FootnoteText"/>
      </w:pPr>
      <w:r>
        <w:rPr>
          <w:rStyle w:val="FootnoteReference"/>
        </w:rPr>
        <w:footnoteRef/>
      </w:r>
      <w:r>
        <w:t xml:space="preserve"> FPSC Order No. PSC-13-0645-PAA-EU, </w:t>
      </w:r>
      <w:r w:rsidR="008F6E41">
        <w:t xml:space="preserve">issued December 4, 2013, in </w:t>
      </w:r>
      <w:r>
        <w:t xml:space="preserve">Docket No. 130205-EI, </w:t>
      </w:r>
      <w:r w:rsidR="008F6E41" w:rsidRPr="008F6E41">
        <w:rPr>
          <w:u w:val="single"/>
        </w:rPr>
        <w:t xml:space="preserve">In re: </w:t>
      </w:r>
      <w:r w:rsidRPr="008F6E41">
        <w:rPr>
          <w:u w:val="single"/>
        </w:rPr>
        <w:t>Commission review of numeric conservation goals (Florida Public Utilities Company)</w:t>
      </w:r>
      <w:r w:rsidR="008F6E41">
        <w:t>.</w:t>
      </w:r>
    </w:p>
  </w:footnote>
  <w:footnote w:id="2">
    <w:p w:rsidR="00917265" w:rsidRDefault="00917265" w:rsidP="00490EFD">
      <w:pPr>
        <w:pStyle w:val="FootnoteText"/>
      </w:pPr>
      <w:r>
        <w:rPr>
          <w:rStyle w:val="FootnoteReference"/>
        </w:rPr>
        <w:footnoteRef/>
      </w:r>
      <w:r>
        <w:t xml:space="preserve"> FPSC Order No. PSC-14-0696-FOF-EU, </w:t>
      </w:r>
      <w:r w:rsidR="00433711">
        <w:t xml:space="preserve">issued December 16, 2014, in </w:t>
      </w:r>
      <w:r>
        <w:t xml:space="preserve">Docket No. 130202-EI, </w:t>
      </w:r>
      <w:r w:rsidR="00433711" w:rsidRPr="00433711">
        <w:rPr>
          <w:u w:val="single"/>
        </w:rPr>
        <w:t xml:space="preserve">In re: </w:t>
      </w:r>
      <w:r w:rsidRPr="00433711">
        <w:rPr>
          <w:u w:val="single"/>
        </w:rPr>
        <w:t>Commission review of numeric conservation goals (Gulf Power Company)</w:t>
      </w:r>
      <w:r w:rsidR="00433711">
        <w:t>.</w:t>
      </w:r>
    </w:p>
  </w:footnote>
  <w:footnote w:id="3">
    <w:p w:rsidR="00917265" w:rsidRDefault="00917265" w:rsidP="00490EFD">
      <w:pPr>
        <w:pStyle w:val="FootnoteText"/>
      </w:pPr>
      <w:r>
        <w:rPr>
          <w:rStyle w:val="FootnoteReference"/>
        </w:rPr>
        <w:footnoteRef/>
      </w:r>
      <w:r>
        <w:t xml:space="preserve"> </w:t>
      </w:r>
      <w:r w:rsidR="00433711">
        <w:rPr>
          <w:u w:val="single"/>
        </w:rPr>
        <w:t>See</w:t>
      </w:r>
      <w:r w:rsidR="00433711">
        <w:t xml:space="preserve">, </w:t>
      </w:r>
      <w:r>
        <w:t>Document No. 06888-14 in Docket No. 130205-EI.</w:t>
      </w:r>
    </w:p>
  </w:footnote>
  <w:footnote w:id="4">
    <w:p w:rsidR="00917265" w:rsidRDefault="00917265" w:rsidP="00490EFD">
      <w:pPr>
        <w:pStyle w:val="FootnoteText"/>
      </w:pPr>
      <w:r>
        <w:rPr>
          <w:rStyle w:val="FootnoteReference"/>
        </w:rPr>
        <w:footnoteRef/>
      </w:r>
      <w:r>
        <w:t xml:space="preserve"> FPSC Order No. 22176, </w:t>
      </w:r>
      <w:r w:rsidR="00433711">
        <w:t xml:space="preserve">issued November 14, 1989, in </w:t>
      </w:r>
      <w:r>
        <w:t xml:space="preserve">Docket No. 890737-PU, </w:t>
      </w:r>
      <w:r w:rsidR="00433711" w:rsidRPr="00433711">
        <w:rPr>
          <w:u w:val="single"/>
        </w:rPr>
        <w:t xml:space="preserve">In re: </w:t>
      </w:r>
      <w:r w:rsidRPr="00433711">
        <w:rPr>
          <w:u w:val="single"/>
        </w:rPr>
        <w:t>Implementation of Section 366.80-.85, Florida Statutes, Conservation Activities of Electric and Natural Gas Utilities</w:t>
      </w:r>
      <w:r w:rsidR="00433711">
        <w:t>.</w:t>
      </w:r>
    </w:p>
  </w:footnote>
  <w:footnote w:id="5">
    <w:p w:rsidR="00917265" w:rsidRDefault="00917265" w:rsidP="00490EFD">
      <w:pPr>
        <w:pStyle w:val="FootnoteText"/>
      </w:pPr>
      <w:r>
        <w:rPr>
          <w:rStyle w:val="FootnoteReference"/>
        </w:rPr>
        <w:footnoteRef/>
      </w:r>
      <w:r>
        <w:t xml:space="preserve"> FPUC’s Pilot Programs are set to expire on December 31, 2015, pursuant to FPSC Order No. PSC-14-0632-FOF-EG.</w:t>
      </w:r>
    </w:p>
  </w:footnote>
  <w:footnote w:id="6">
    <w:p w:rsidR="00917265" w:rsidRDefault="00917265" w:rsidP="00490EFD">
      <w:pPr>
        <w:pStyle w:val="FootnoteText"/>
      </w:pPr>
      <w:r>
        <w:rPr>
          <w:rStyle w:val="FootnoteReference"/>
        </w:rPr>
        <w:footnoteRef/>
      </w:r>
      <w:r>
        <w:t xml:space="preserve"> Totals may not equal due to rounding.</w:t>
      </w:r>
    </w:p>
  </w:footnote>
  <w:footnote w:id="7">
    <w:p w:rsidR="00917265" w:rsidRDefault="00917265" w:rsidP="00490EFD">
      <w:pPr>
        <w:pStyle w:val="FootnoteText"/>
      </w:pPr>
      <w:r>
        <w:rPr>
          <w:rStyle w:val="FootnoteReference"/>
        </w:rPr>
        <w:footnoteRef/>
      </w:r>
      <w:r>
        <w:t xml:space="preserve"> Totals may not equal due to rounding.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65" w:rsidRDefault="00917265">
    <w:pPr>
      <w:pStyle w:val="OrderHeader"/>
    </w:pPr>
    <w:r>
      <w:t xml:space="preserve">ORDER NO. </w:t>
    </w:r>
    <w:r w:rsidR="00591160">
      <w:fldChar w:fldCharType="begin"/>
    </w:r>
    <w:r w:rsidR="00591160">
      <w:instrText xml:space="preserve"> REF OrderNo0326 </w:instrText>
    </w:r>
    <w:r w:rsidR="00591160">
      <w:fldChar w:fldCharType="separate"/>
    </w:r>
    <w:r w:rsidR="00591160">
      <w:t>PSC-15-0326-PAA-EG</w:t>
    </w:r>
    <w:r w:rsidR="00591160">
      <w:fldChar w:fldCharType="end"/>
    </w:r>
  </w:p>
  <w:p w:rsidR="00917265" w:rsidRDefault="00917265">
    <w:pPr>
      <w:pStyle w:val="OrderHeader"/>
    </w:pPr>
    <w:bookmarkStart w:id="11" w:name="HeaderDocketNo"/>
    <w:bookmarkEnd w:id="11"/>
    <w:r>
      <w:t>DOCKET NO. 150089-EG</w:t>
    </w:r>
  </w:p>
  <w:p w:rsidR="00917265" w:rsidRDefault="0091726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1160">
      <w:rPr>
        <w:rStyle w:val="PageNumber"/>
        <w:noProof/>
      </w:rPr>
      <w:t>11</w:t>
    </w:r>
    <w:r>
      <w:rPr>
        <w:rStyle w:val="PageNumber"/>
      </w:rPr>
      <w:fldChar w:fldCharType="end"/>
    </w:r>
  </w:p>
  <w:p w:rsidR="00917265" w:rsidRDefault="00917265">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65" w:rsidRDefault="00917265" w:rsidP="00490EFD">
    <w:pPr>
      <w:pStyle w:val="OrderHeader"/>
    </w:pPr>
    <w:r>
      <w:t xml:space="preserve">ORDER NO. </w:t>
    </w:r>
    <w:fldSimple w:instr=" REF OrderNo0326 ">
      <w:r w:rsidR="00591160">
        <w:t>PSC-15-0326-PAA-EG</w:t>
      </w:r>
    </w:fldSimple>
    <w:r>
      <w:tab/>
    </w:r>
    <w:r>
      <w:tab/>
      <w:t>ATTACHMENT A</w:t>
    </w:r>
  </w:p>
  <w:p w:rsidR="00917265" w:rsidRDefault="00917265" w:rsidP="00490EFD">
    <w:pPr>
      <w:pStyle w:val="OrderHeader"/>
    </w:pPr>
    <w:r>
      <w:t>DOCKET NO. 150089-EG</w:t>
    </w:r>
  </w:p>
  <w:p w:rsidR="00917265" w:rsidRDefault="00917265" w:rsidP="00490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1160">
      <w:rPr>
        <w:rStyle w:val="PageNumber"/>
        <w:noProof/>
      </w:rPr>
      <w:t>15</w:t>
    </w:r>
    <w:r>
      <w:rPr>
        <w:rStyle w:val="PageNumber"/>
      </w:rPr>
      <w:fldChar w:fldCharType="end"/>
    </w:r>
  </w:p>
  <w:p w:rsidR="00917265" w:rsidRDefault="00917265" w:rsidP="00AE372D">
    <w:pPr>
      <w:pStyle w:val="Header"/>
      <w:tabs>
        <w:tab w:val="clear" w:pos="4320"/>
        <w:tab w:val="clear" w:pos="8640"/>
        <w:tab w:val="left" w:pos="838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2796634"/>
    <w:multiLevelType w:val="hybridMultilevel"/>
    <w:tmpl w:val="ACAE2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D204FCC"/>
    <w:multiLevelType w:val="hybridMultilevel"/>
    <w:tmpl w:val="1584D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89-EG"/>
  </w:docVars>
  <w:rsids>
    <w:rsidRoot w:val="00490EFD"/>
    <w:rsid w:val="000022B8"/>
    <w:rsid w:val="00051B42"/>
    <w:rsid w:val="00053AB9"/>
    <w:rsid w:val="00056229"/>
    <w:rsid w:val="00065FC2"/>
    <w:rsid w:val="00076AB5"/>
    <w:rsid w:val="00090AFC"/>
    <w:rsid w:val="000D06E8"/>
    <w:rsid w:val="000E344D"/>
    <w:rsid w:val="000F2359"/>
    <w:rsid w:val="000F3B2C"/>
    <w:rsid w:val="000F7BE3"/>
    <w:rsid w:val="00116AD3"/>
    <w:rsid w:val="00126593"/>
    <w:rsid w:val="00142A96"/>
    <w:rsid w:val="001754C1"/>
    <w:rsid w:val="00187E32"/>
    <w:rsid w:val="00194E81"/>
    <w:rsid w:val="001A25DB"/>
    <w:rsid w:val="001A33C9"/>
    <w:rsid w:val="001D008A"/>
    <w:rsid w:val="001D6139"/>
    <w:rsid w:val="001E5D00"/>
    <w:rsid w:val="002002ED"/>
    <w:rsid w:val="0022721A"/>
    <w:rsid w:val="00230BB9"/>
    <w:rsid w:val="002A11AC"/>
    <w:rsid w:val="002A6F30"/>
    <w:rsid w:val="002B2D4F"/>
    <w:rsid w:val="002D7D15"/>
    <w:rsid w:val="00303FDE"/>
    <w:rsid w:val="003140E8"/>
    <w:rsid w:val="003231C7"/>
    <w:rsid w:val="00331ED0"/>
    <w:rsid w:val="003530C5"/>
    <w:rsid w:val="0035495B"/>
    <w:rsid w:val="003744F5"/>
    <w:rsid w:val="00390DD8"/>
    <w:rsid w:val="00394DC6"/>
    <w:rsid w:val="00397C3E"/>
    <w:rsid w:val="003D4CCA"/>
    <w:rsid w:val="003D6416"/>
    <w:rsid w:val="003E1D48"/>
    <w:rsid w:val="004121A0"/>
    <w:rsid w:val="00433711"/>
    <w:rsid w:val="00457DC7"/>
    <w:rsid w:val="00472BCC"/>
    <w:rsid w:val="00490EFD"/>
    <w:rsid w:val="004A25CD"/>
    <w:rsid w:val="004A26CC"/>
    <w:rsid w:val="004B2108"/>
    <w:rsid w:val="004B3A2B"/>
    <w:rsid w:val="004D2D1B"/>
    <w:rsid w:val="004F2DDE"/>
    <w:rsid w:val="0050097F"/>
    <w:rsid w:val="005116DD"/>
    <w:rsid w:val="00514B1F"/>
    <w:rsid w:val="00556A10"/>
    <w:rsid w:val="00591160"/>
    <w:rsid w:val="005963C2"/>
    <w:rsid w:val="005B45F7"/>
    <w:rsid w:val="005B63EA"/>
    <w:rsid w:val="005C6C74"/>
    <w:rsid w:val="00643A69"/>
    <w:rsid w:val="00660774"/>
    <w:rsid w:val="00665CC7"/>
    <w:rsid w:val="006A0BF3"/>
    <w:rsid w:val="006B0DA6"/>
    <w:rsid w:val="006C547E"/>
    <w:rsid w:val="006D36F6"/>
    <w:rsid w:val="00704C5D"/>
    <w:rsid w:val="00733B6B"/>
    <w:rsid w:val="0076170F"/>
    <w:rsid w:val="0076669C"/>
    <w:rsid w:val="007865E9"/>
    <w:rsid w:val="00792383"/>
    <w:rsid w:val="007D3D20"/>
    <w:rsid w:val="007E3AFD"/>
    <w:rsid w:val="00804E7A"/>
    <w:rsid w:val="00805FBB"/>
    <w:rsid w:val="008169A4"/>
    <w:rsid w:val="008217E3"/>
    <w:rsid w:val="00821B11"/>
    <w:rsid w:val="008278FE"/>
    <w:rsid w:val="00832598"/>
    <w:rsid w:val="0083397E"/>
    <w:rsid w:val="0083534B"/>
    <w:rsid w:val="00863A66"/>
    <w:rsid w:val="00874429"/>
    <w:rsid w:val="00883D9A"/>
    <w:rsid w:val="008919EF"/>
    <w:rsid w:val="008B459B"/>
    <w:rsid w:val="008C6A5B"/>
    <w:rsid w:val="008D2E48"/>
    <w:rsid w:val="008E26A5"/>
    <w:rsid w:val="008E42D2"/>
    <w:rsid w:val="008F6E41"/>
    <w:rsid w:val="009040EE"/>
    <w:rsid w:val="009057FD"/>
    <w:rsid w:val="00917265"/>
    <w:rsid w:val="00922A7F"/>
    <w:rsid w:val="00923416"/>
    <w:rsid w:val="00923A5E"/>
    <w:rsid w:val="00994100"/>
    <w:rsid w:val="009C5EBA"/>
    <w:rsid w:val="009D4C29"/>
    <w:rsid w:val="009F29D5"/>
    <w:rsid w:val="00A379BE"/>
    <w:rsid w:val="00A62DAB"/>
    <w:rsid w:val="00A726A6"/>
    <w:rsid w:val="00A80F89"/>
    <w:rsid w:val="00A93A51"/>
    <w:rsid w:val="00A97535"/>
    <w:rsid w:val="00AA73F1"/>
    <w:rsid w:val="00AB0E1A"/>
    <w:rsid w:val="00AB1A30"/>
    <w:rsid w:val="00AD1ED3"/>
    <w:rsid w:val="00AE372D"/>
    <w:rsid w:val="00B0777D"/>
    <w:rsid w:val="00B4057A"/>
    <w:rsid w:val="00B40894"/>
    <w:rsid w:val="00B45E75"/>
    <w:rsid w:val="00B50876"/>
    <w:rsid w:val="00B55EE5"/>
    <w:rsid w:val="00B73DE6"/>
    <w:rsid w:val="00B86EF0"/>
    <w:rsid w:val="00B97900"/>
    <w:rsid w:val="00BA44A8"/>
    <w:rsid w:val="00BD4007"/>
    <w:rsid w:val="00BF6691"/>
    <w:rsid w:val="00C028FC"/>
    <w:rsid w:val="00C66692"/>
    <w:rsid w:val="00C91123"/>
    <w:rsid w:val="00C942BD"/>
    <w:rsid w:val="00CA71FF"/>
    <w:rsid w:val="00CB5276"/>
    <w:rsid w:val="00CB68D7"/>
    <w:rsid w:val="00CC7E68"/>
    <w:rsid w:val="00CD7132"/>
    <w:rsid w:val="00CF652B"/>
    <w:rsid w:val="00D30B48"/>
    <w:rsid w:val="00D46FAA"/>
    <w:rsid w:val="00D57BB2"/>
    <w:rsid w:val="00D76AC1"/>
    <w:rsid w:val="00D8560E"/>
    <w:rsid w:val="00D8758F"/>
    <w:rsid w:val="00D90B90"/>
    <w:rsid w:val="00DC1D94"/>
    <w:rsid w:val="00DE057F"/>
    <w:rsid w:val="00DE2082"/>
    <w:rsid w:val="00DE2289"/>
    <w:rsid w:val="00E04410"/>
    <w:rsid w:val="00E11351"/>
    <w:rsid w:val="00E25987"/>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link w:val="Header"/>
    <w:rsid w:val="00490EFD"/>
    <w:rPr>
      <w:sz w:val="24"/>
      <w:szCs w:val="24"/>
    </w:rPr>
  </w:style>
  <w:style w:type="character" w:customStyle="1" w:styleId="FooterChar">
    <w:name w:val="Footer Char"/>
    <w:link w:val="Footer"/>
    <w:rsid w:val="00490EFD"/>
    <w:rPr>
      <w:sz w:val="24"/>
      <w:szCs w:val="24"/>
    </w:rPr>
  </w:style>
  <w:style w:type="paragraph" w:customStyle="1" w:styleId="MemoAddresses">
    <w:name w:val="Memo Addresses"/>
    <w:basedOn w:val="Normal"/>
    <w:next w:val="Normal"/>
    <w:rsid w:val="00490EFD"/>
    <w:pPr>
      <w:spacing w:before="120"/>
      <w:ind w:left="1008" w:hanging="1008"/>
      <w:jc w:val="both"/>
    </w:pPr>
  </w:style>
  <w:style w:type="paragraph" w:customStyle="1" w:styleId="MastHeadPSC">
    <w:name w:val="MastHead PSC"/>
    <w:basedOn w:val="Normal"/>
    <w:next w:val="Normal"/>
    <w:rsid w:val="00490EFD"/>
    <w:pPr>
      <w:jc w:val="center"/>
    </w:pPr>
    <w:rPr>
      <w:b/>
      <w:sz w:val="48"/>
      <w:szCs w:val="48"/>
    </w:rPr>
  </w:style>
  <w:style w:type="paragraph" w:customStyle="1" w:styleId="MastHeadMemorandum">
    <w:name w:val="MastHead Memorandum"/>
    <w:basedOn w:val="Normal"/>
    <w:next w:val="Normal"/>
    <w:rsid w:val="00490EFD"/>
    <w:pPr>
      <w:jc w:val="center"/>
    </w:pPr>
    <w:rPr>
      <w:b/>
      <w:sz w:val="28"/>
      <w:szCs w:val="28"/>
    </w:rPr>
  </w:style>
  <w:style w:type="paragraph" w:customStyle="1" w:styleId="MastHeadAddress">
    <w:name w:val="MastHead Address"/>
    <w:basedOn w:val="Normal"/>
    <w:next w:val="Normal"/>
    <w:rsid w:val="00490EFD"/>
    <w:pPr>
      <w:spacing w:after="200"/>
      <w:jc w:val="center"/>
    </w:pPr>
    <w:rPr>
      <w:b/>
      <w:smallCaps/>
      <w:sz w:val="20"/>
      <w:szCs w:val="20"/>
    </w:rPr>
  </w:style>
  <w:style w:type="paragraph" w:customStyle="1" w:styleId="MastHeadState">
    <w:name w:val="MastHead State"/>
    <w:basedOn w:val="Normal"/>
    <w:next w:val="Normal"/>
    <w:rsid w:val="00490EFD"/>
    <w:pPr>
      <w:jc w:val="center"/>
    </w:pPr>
    <w:rPr>
      <w:b/>
      <w:sz w:val="28"/>
      <w:szCs w:val="28"/>
    </w:rPr>
  </w:style>
  <w:style w:type="paragraph" w:customStyle="1" w:styleId="MemoHeading">
    <w:name w:val="Memo Heading"/>
    <w:basedOn w:val="Normal"/>
    <w:next w:val="Normal"/>
    <w:rsid w:val="00490EFD"/>
    <w:pPr>
      <w:jc w:val="both"/>
    </w:pPr>
  </w:style>
  <w:style w:type="paragraph" w:customStyle="1" w:styleId="BlockText5">
    <w:name w:val="Block Text .5&quot;"/>
    <w:basedOn w:val="Normal"/>
    <w:rsid w:val="00490EFD"/>
    <w:pPr>
      <w:spacing w:after="120"/>
      <w:ind w:left="720" w:right="720"/>
    </w:pPr>
  </w:style>
  <w:style w:type="paragraph" w:customStyle="1" w:styleId="BlockText1">
    <w:name w:val="Block Text 1&quot;"/>
    <w:basedOn w:val="Normal"/>
    <w:rsid w:val="00490EFD"/>
    <w:pPr>
      <w:spacing w:after="120"/>
      <w:ind w:left="1440" w:right="1440"/>
    </w:pPr>
  </w:style>
  <w:style w:type="paragraph" w:customStyle="1" w:styleId="BlockText15">
    <w:name w:val="Block Text 1.5&quot;"/>
    <w:basedOn w:val="Normal"/>
    <w:rsid w:val="00490EFD"/>
    <w:pPr>
      <w:spacing w:after="120"/>
      <w:ind w:left="2160" w:right="2160"/>
    </w:pPr>
  </w:style>
  <w:style w:type="paragraph" w:customStyle="1" w:styleId="IssueHeading">
    <w:name w:val="Issue Heading"/>
    <w:basedOn w:val="Heading1"/>
    <w:next w:val="BodyText"/>
    <w:link w:val="IssueHeadingChar"/>
    <w:rsid w:val="00490EFD"/>
    <w:pPr>
      <w:keepNext w:val="0"/>
    </w:pPr>
    <w:rPr>
      <w:rFonts w:ascii="Arial" w:hAnsi="Arial"/>
    </w:rPr>
  </w:style>
  <w:style w:type="character" w:customStyle="1" w:styleId="IssueHeadingChar">
    <w:name w:val="Issue Heading Char"/>
    <w:link w:val="IssueHeading"/>
    <w:rsid w:val="00490EFD"/>
    <w:rPr>
      <w:rFonts w:ascii="Arial" w:hAnsi="Arial" w:cs="Arial"/>
      <w:bCs/>
      <w:kern w:val="32"/>
      <w:sz w:val="24"/>
      <w:szCs w:val="32"/>
    </w:rPr>
  </w:style>
  <w:style w:type="paragraph" w:customStyle="1" w:styleId="MemoHeadingRe">
    <w:name w:val="Memo Heading Re"/>
    <w:basedOn w:val="MemoHeading"/>
    <w:rsid w:val="00490EFD"/>
    <w:pPr>
      <w:tabs>
        <w:tab w:val="left" w:pos="2520"/>
        <w:tab w:val="left" w:pos="2736"/>
      </w:tabs>
    </w:pPr>
  </w:style>
  <w:style w:type="paragraph" w:styleId="TOC1">
    <w:name w:val="toc 1"/>
    <w:basedOn w:val="Normal"/>
    <w:next w:val="Normal"/>
    <w:rsid w:val="00490EFD"/>
    <w:pPr>
      <w:tabs>
        <w:tab w:val="left" w:pos="864"/>
        <w:tab w:val="right" w:leader="dot" w:pos="9360"/>
      </w:tabs>
      <w:ind w:left="864" w:right="360" w:hanging="864"/>
    </w:pPr>
  </w:style>
  <w:style w:type="character" w:styleId="Hyperlink">
    <w:name w:val="Hyperlink"/>
    <w:rsid w:val="00490EFD"/>
    <w:rPr>
      <w:color w:val="0000FF"/>
      <w:u w:val="single"/>
    </w:rPr>
  </w:style>
  <w:style w:type="paragraph" w:customStyle="1" w:styleId="RecommendationMajorSectionHeading">
    <w:name w:val="Recommendation Major Section Heading"/>
    <w:basedOn w:val="Heading1"/>
    <w:next w:val="BodyText"/>
    <w:rsid w:val="00490EFD"/>
    <w:pPr>
      <w:jc w:val="center"/>
    </w:pPr>
    <w:rPr>
      <w:rFonts w:ascii="Arial" w:hAnsi="Arial"/>
      <w:b/>
    </w:rPr>
  </w:style>
  <w:style w:type="paragraph" w:customStyle="1" w:styleId="IssueSubsectionHeading">
    <w:name w:val="Issue Subsection Heading"/>
    <w:basedOn w:val="Heading2"/>
    <w:next w:val="BodyText"/>
    <w:link w:val="IssueSubsectionHeadingChar"/>
    <w:rsid w:val="00490EFD"/>
    <w:pPr>
      <w:keepNext w:val="0"/>
    </w:pPr>
    <w:rPr>
      <w:rFonts w:ascii="Arial" w:hAnsi="Arial"/>
    </w:rPr>
  </w:style>
  <w:style w:type="character" w:customStyle="1" w:styleId="IssueSubsectionHeadingChar">
    <w:name w:val="Issue Subsection Heading Char"/>
    <w:link w:val="IssueSubsectionHeading"/>
    <w:rsid w:val="00490EFD"/>
    <w:rPr>
      <w:rFonts w:ascii="Arial" w:hAnsi="Arial" w:cs="Arial"/>
      <w:bCs/>
      <w:iCs/>
      <w:sz w:val="24"/>
      <w:szCs w:val="28"/>
    </w:rPr>
  </w:style>
  <w:style w:type="paragraph" w:customStyle="1" w:styleId="RecommendationHeading">
    <w:name w:val="Recommendation Heading"/>
    <w:basedOn w:val="Heading1"/>
    <w:next w:val="BodyText"/>
    <w:rsid w:val="00490EFD"/>
    <w:pPr>
      <w:keepNext w:val="0"/>
      <w:jc w:val="center"/>
    </w:pPr>
    <w:rPr>
      <w:b/>
      <w:u w:val="single"/>
    </w:rPr>
  </w:style>
  <w:style w:type="paragraph" w:customStyle="1" w:styleId="DiscussionofIssues">
    <w:name w:val="Discussion of Issues"/>
    <w:basedOn w:val="RecommendationMajorSectionHeading"/>
    <w:next w:val="BodyText"/>
    <w:rsid w:val="00490EFD"/>
    <w:pPr>
      <w:spacing w:after="0"/>
    </w:pPr>
  </w:style>
  <w:style w:type="paragraph" w:customStyle="1" w:styleId="TOCColumnHeadings">
    <w:name w:val="TOC Column Headings"/>
    <w:basedOn w:val="Normal"/>
    <w:rsid w:val="00490EFD"/>
    <w:pPr>
      <w:tabs>
        <w:tab w:val="left" w:pos="864"/>
        <w:tab w:val="right" w:pos="9360"/>
      </w:tabs>
    </w:pPr>
    <w:rPr>
      <w:u w:val="words"/>
    </w:rPr>
  </w:style>
  <w:style w:type="table" w:customStyle="1" w:styleId="TableMasthead">
    <w:name w:val="Table Masthead"/>
    <w:basedOn w:val="TableGrid"/>
    <w:rsid w:val="00490EFD"/>
    <w:tblPr/>
  </w:style>
  <w:style w:type="paragraph" w:customStyle="1" w:styleId="StyleHeading1BoldUnderline">
    <w:name w:val="Style Heading 1 + Bold Underline"/>
    <w:basedOn w:val="Heading1"/>
    <w:link w:val="StyleHeading1BoldUnderlineChar"/>
    <w:rsid w:val="00490EFD"/>
    <w:pPr>
      <w:keepNext w:val="0"/>
      <w:spacing w:before="240"/>
    </w:pPr>
    <w:rPr>
      <w:b/>
      <w:u w:val="single"/>
    </w:rPr>
  </w:style>
  <w:style w:type="character" w:customStyle="1" w:styleId="StyleHeading1BoldUnderlineChar">
    <w:name w:val="Style Heading 1 + Bold Underline Char"/>
    <w:link w:val="StyleHeading1BoldUnderline"/>
    <w:rsid w:val="00490EFD"/>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490EFD"/>
    <w:pPr>
      <w:jc w:val="left"/>
    </w:pPr>
  </w:style>
  <w:style w:type="character" w:customStyle="1" w:styleId="FootnoteTextChar">
    <w:name w:val="Footnote Text Char"/>
    <w:link w:val="FootnoteText"/>
    <w:uiPriority w:val="99"/>
    <w:rsid w:val="00490EFD"/>
  </w:style>
  <w:style w:type="paragraph" w:styleId="TOC3">
    <w:name w:val="toc 3"/>
    <w:basedOn w:val="TOC2"/>
    <w:next w:val="Normal"/>
    <w:rsid w:val="00490EFD"/>
    <w:pPr>
      <w:tabs>
        <w:tab w:val="clear" w:pos="1152"/>
        <w:tab w:val="left" w:pos="1584"/>
      </w:tabs>
      <w:ind w:left="1584" w:hanging="432"/>
    </w:pPr>
  </w:style>
  <w:style w:type="paragraph" w:styleId="TOC2">
    <w:name w:val="toc 2"/>
    <w:basedOn w:val="TOC1"/>
    <w:next w:val="Normal"/>
    <w:rsid w:val="00490EFD"/>
    <w:pPr>
      <w:tabs>
        <w:tab w:val="clear" w:pos="864"/>
        <w:tab w:val="left" w:pos="1152"/>
      </w:tabs>
      <w:ind w:left="1152" w:hanging="288"/>
    </w:pPr>
  </w:style>
  <w:style w:type="paragraph" w:styleId="DocumentMap">
    <w:name w:val="Document Map"/>
    <w:basedOn w:val="Normal"/>
    <w:link w:val="DocumentMapChar"/>
    <w:rsid w:val="00490EFD"/>
    <w:pPr>
      <w:shd w:val="clear" w:color="auto" w:fill="000080"/>
    </w:pPr>
    <w:rPr>
      <w:rFonts w:ascii="Tahoma" w:hAnsi="Tahoma" w:cs="Tahoma"/>
    </w:rPr>
  </w:style>
  <w:style w:type="character" w:customStyle="1" w:styleId="DocumentMapChar">
    <w:name w:val="Document Map Char"/>
    <w:basedOn w:val="DefaultParagraphFont"/>
    <w:link w:val="DocumentMap"/>
    <w:rsid w:val="00490EFD"/>
    <w:rPr>
      <w:rFonts w:ascii="Tahoma" w:hAnsi="Tahoma" w:cs="Tahoma"/>
      <w:sz w:val="24"/>
      <w:szCs w:val="24"/>
      <w:shd w:val="clear" w:color="auto" w:fill="000080"/>
    </w:rPr>
  </w:style>
  <w:style w:type="paragraph" w:styleId="BalloonText">
    <w:name w:val="Balloon Text"/>
    <w:basedOn w:val="Normal"/>
    <w:link w:val="BalloonTextChar"/>
    <w:rsid w:val="00490EFD"/>
    <w:rPr>
      <w:rFonts w:ascii="Tahoma" w:hAnsi="Tahoma" w:cs="Tahoma"/>
      <w:sz w:val="16"/>
      <w:szCs w:val="16"/>
    </w:rPr>
  </w:style>
  <w:style w:type="character" w:customStyle="1" w:styleId="BalloonTextChar">
    <w:name w:val="Balloon Text Char"/>
    <w:basedOn w:val="DefaultParagraphFont"/>
    <w:link w:val="BalloonText"/>
    <w:rsid w:val="00490EFD"/>
    <w:rPr>
      <w:rFonts w:ascii="Tahoma" w:hAnsi="Tahoma" w:cs="Tahoma"/>
      <w:sz w:val="16"/>
      <w:szCs w:val="16"/>
    </w:rPr>
  </w:style>
  <w:style w:type="paragraph" w:styleId="BlockText">
    <w:name w:val="Block Text"/>
    <w:basedOn w:val="Normal"/>
    <w:rsid w:val="00490EFD"/>
    <w:pPr>
      <w:spacing w:after="120"/>
      <w:ind w:left="1440" w:right="1440"/>
    </w:pPr>
  </w:style>
  <w:style w:type="paragraph" w:styleId="BodyText2">
    <w:name w:val="Body Text 2"/>
    <w:basedOn w:val="Normal"/>
    <w:link w:val="BodyText2Char"/>
    <w:rsid w:val="00490EFD"/>
    <w:pPr>
      <w:spacing w:after="120" w:line="480" w:lineRule="auto"/>
    </w:pPr>
  </w:style>
  <w:style w:type="character" w:customStyle="1" w:styleId="BodyText2Char">
    <w:name w:val="Body Text 2 Char"/>
    <w:basedOn w:val="DefaultParagraphFont"/>
    <w:link w:val="BodyText2"/>
    <w:rsid w:val="00490EFD"/>
    <w:rPr>
      <w:sz w:val="24"/>
      <w:szCs w:val="24"/>
    </w:rPr>
  </w:style>
  <w:style w:type="paragraph" w:styleId="BodyText3">
    <w:name w:val="Body Text 3"/>
    <w:basedOn w:val="Normal"/>
    <w:link w:val="BodyText3Char"/>
    <w:rsid w:val="00490EFD"/>
    <w:pPr>
      <w:spacing w:after="120"/>
    </w:pPr>
    <w:rPr>
      <w:sz w:val="16"/>
      <w:szCs w:val="16"/>
    </w:rPr>
  </w:style>
  <w:style w:type="character" w:customStyle="1" w:styleId="BodyText3Char">
    <w:name w:val="Body Text 3 Char"/>
    <w:basedOn w:val="DefaultParagraphFont"/>
    <w:link w:val="BodyText3"/>
    <w:rsid w:val="00490EFD"/>
    <w:rPr>
      <w:sz w:val="16"/>
      <w:szCs w:val="16"/>
    </w:rPr>
  </w:style>
  <w:style w:type="paragraph" w:styleId="BodyTextFirstIndent">
    <w:name w:val="Body Text First Indent"/>
    <w:basedOn w:val="BodyText"/>
    <w:link w:val="BodyTextFirstIndentChar"/>
    <w:rsid w:val="00490EFD"/>
    <w:pPr>
      <w:ind w:firstLine="210"/>
    </w:pPr>
  </w:style>
  <w:style w:type="character" w:customStyle="1" w:styleId="BodyTextFirstIndentChar">
    <w:name w:val="Body Text First Indent Char"/>
    <w:basedOn w:val="BodyTextChar"/>
    <w:link w:val="BodyTextFirstIndent"/>
    <w:rsid w:val="00490EFD"/>
    <w:rPr>
      <w:sz w:val="24"/>
      <w:szCs w:val="24"/>
    </w:rPr>
  </w:style>
  <w:style w:type="paragraph" w:styleId="BodyTextIndent">
    <w:name w:val="Body Text Indent"/>
    <w:basedOn w:val="Normal"/>
    <w:link w:val="BodyTextIndentChar"/>
    <w:rsid w:val="00490EFD"/>
    <w:pPr>
      <w:spacing w:after="120"/>
      <w:ind w:left="360"/>
    </w:pPr>
  </w:style>
  <w:style w:type="character" w:customStyle="1" w:styleId="BodyTextIndentChar">
    <w:name w:val="Body Text Indent Char"/>
    <w:basedOn w:val="DefaultParagraphFont"/>
    <w:link w:val="BodyTextIndent"/>
    <w:rsid w:val="00490EFD"/>
    <w:rPr>
      <w:sz w:val="24"/>
      <w:szCs w:val="24"/>
    </w:rPr>
  </w:style>
  <w:style w:type="paragraph" w:styleId="BodyTextFirstIndent2">
    <w:name w:val="Body Text First Indent 2"/>
    <w:basedOn w:val="BodyTextIndent"/>
    <w:link w:val="BodyTextFirstIndent2Char"/>
    <w:rsid w:val="00490EFD"/>
    <w:pPr>
      <w:ind w:firstLine="210"/>
    </w:pPr>
  </w:style>
  <w:style w:type="character" w:customStyle="1" w:styleId="BodyTextFirstIndent2Char">
    <w:name w:val="Body Text First Indent 2 Char"/>
    <w:basedOn w:val="BodyTextIndentChar"/>
    <w:link w:val="BodyTextFirstIndent2"/>
    <w:rsid w:val="00490EFD"/>
    <w:rPr>
      <w:sz w:val="24"/>
      <w:szCs w:val="24"/>
    </w:rPr>
  </w:style>
  <w:style w:type="paragraph" w:styleId="BodyTextIndent2">
    <w:name w:val="Body Text Indent 2"/>
    <w:basedOn w:val="Normal"/>
    <w:link w:val="BodyTextIndent2Char"/>
    <w:rsid w:val="00490EFD"/>
    <w:pPr>
      <w:spacing w:after="120" w:line="480" w:lineRule="auto"/>
      <w:ind w:left="360"/>
    </w:pPr>
  </w:style>
  <w:style w:type="character" w:customStyle="1" w:styleId="BodyTextIndent2Char">
    <w:name w:val="Body Text Indent 2 Char"/>
    <w:basedOn w:val="DefaultParagraphFont"/>
    <w:link w:val="BodyTextIndent2"/>
    <w:rsid w:val="00490EFD"/>
    <w:rPr>
      <w:sz w:val="24"/>
      <w:szCs w:val="24"/>
    </w:rPr>
  </w:style>
  <w:style w:type="paragraph" w:styleId="BodyTextIndent3">
    <w:name w:val="Body Text Indent 3"/>
    <w:basedOn w:val="Normal"/>
    <w:link w:val="BodyTextIndent3Char"/>
    <w:rsid w:val="00490EFD"/>
    <w:pPr>
      <w:spacing w:after="120"/>
      <w:ind w:left="360"/>
    </w:pPr>
    <w:rPr>
      <w:sz w:val="16"/>
      <w:szCs w:val="16"/>
    </w:rPr>
  </w:style>
  <w:style w:type="character" w:customStyle="1" w:styleId="BodyTextIndent3Char">
    <w:name w:val="Body Text Indent 3 Char"/>
    <w:basedOn w:val="DefaultParagraphFont"/>
    <w:link w:val="BodyTextIndent3"/>
    <w:rsid w:val="00490EFD"/>
    <w:rPr>
      <w:sz w:val="16"/>
      <w:szCs w:val="16"/>
    </w:rPr>
  </w:style>
  <w:style w:type="paragraph" w:styleId="Caption">
    <w:name w:val="caption"/>
    <w:basedOn w:val="Normal"/>
    <w:next w:val="Normal"/>
    <w:qFormat/>
    <w:rsid w:val="00490EFD"/>
    <w:pPr>
      <w:spacing w:before="120" w:after="120"/>
    </w:pPr>
    <w:rPr>
      <w:b/>
      <w:bCs/>
      <w:sz w:val="20"/>
      <w:szCs w:val="20"/>
    </w:rPr>
  </w:style>
  <w:style w:type="paragraph" w:styleId="Closing">
    <w:name w:val="Closing"/>
    <w:basedOn w:val="Normal"/>
    <w:link w:val="ClosingChar"/>
    <w:rsid w:val="00490EFD"/>
    <w:pPr>
      <w:ind w:left="4320"/>
    </w:pPr>
  </w:style>
  <w:style w:type="character" w:customStyle="1" w:styleId="ClosingChar">
    <w:name w:val="Closing Char"/>
    <w:basedOn w:val="DefaultParagraphFont"/>
    <w:link w:val="Closing"/>
    <w:rsid w:val="00490EFD"/>
    <w:rPr>
      <w:sz w:val="24"/>
      <w:szCs w:val="24"/>
    </w:rPr>
  </w:style>
  <w:style w:type="paragraph" w:styleId="CommentText">
    <w:name w:val="annotation text"/>
    <w:basedOn w:val="Normal"/>
    <w:link w:val="CommentTextChar"/>
    <w:rsid w:val="00490EFD"/>
    <w:rPr>
      <w:sz w:val="20"/>
      <w:szCs w:val="20"/>
    </w:rPr>
  </w:style>
  <w:style w:type="character" w:customStyle="1" w:styleId="CommentTextChar">
    <w:name w:val="Comment Text Char"/>
    <w:basedOn w:val="DefaultParagraphFont"/>
    <w:link w:val="CommentText"/>
    <w:rsid w:val="00490EFD"/>
  </w:style>
  <w:style w:type="paragraph" w:styleId="CommentSubject">
    <w:name w:val="annotation subject"/>
    <w:basedOn w:val="CommentText"/>
    <w:next w:val="CommentText"/>
    <w:link w:val="CommentSubjectChar"/>
    <w:rsid w:val="00490EFD"/>
    <w:rPr>
      <w:b/>
      <w:bCs/>
    </w:rPr>
  </w:style>
  <w:style w:type="character" w:customStyle="1" w:styleId="CommentSubjectChar">
    <w:name w:val="Comment Subject Char"/>
    <w:basedOn w:val="CommentTextChar"/>
    <w:link w:val="CommentSubject"/>
    <w:rsid w:val="00490EFD"/>
    <w:rPr>
      <w:b/>
      <w:bCs/>
    </w:rPr>
  </w:style>
  <w:style w:type="paragraph" w:styleId="Date">
    <w:name w:val="Date"/>
    <w:basedOn w:val="Normal"/>
    <w:next w:val="Normal"/>
    <w:link w:val="DateChar"/>
    <w:rsid w:val="00490EFD"/>
  </w:style>
  <w:style w:type="character" w:customStyle="1" w:styleId="DateChar">
    <w:name w:val="Date Char"/>
    <w:basedOn w:val="DefaultParagraphFont"/>
    <w:link w:val="Date"/>
    <w:rsid w:val="00490EFD"/>
    <w:rPr>
      <w:sz w:val="24"/>
      <w:szCs w:val="24"/>
    </w:rPr>
  </w:style>
  <w:style w:type="paragraph" w:styleId="E-mailSignature">
    <w:name w:val="E-mail Signature"/>
    <w:basedOn w:val="Normal"/>
    <w:link w:val="E-mailSignatureChar"/>
    <w:rsid w:val="00490EFD"/>
  </w:style>
  <w:style w:type="character" w:customStyle="1" w:styleId="E-mailSignatureChar">
    <w:name w:val="E-mail Signature Char"/>
    <w:basedOn w:val="DefaultParagraphFont"/>
    <w:link w:val="E-mailSignature"/>
    <w:rsid w:val="00490EFD"/>
    <w:rPr>
      <w:sz w:val="24"/>
      <w:szCs w:val="24"/>
    </w:rPr>
  </w:style>
  <w:style w:type="paragraph" w:styleId="EndnoteText">
    <w:name w:val="endnote text"/>
    <w:basedOn w:val="Normal"/>
    <w:link w:val="EndnoteTextChar"/>
    <w:rsid w:val="00490EFD"/>
    <w:rPr>
      <w:sz w:val="20"/>
      <w:szCs w:val="20"/>
    </w:rPr>
  </w:style>
  <w:style w:type="character" w:customStyle="1" w:styleId="EndnoteTextChar">
    <w:name w:val="Endnote Text Char"/>
    <w:basedOn w:val="DefaultParagraphFont"/>
    <w:link w:val="EndnoteText"/>
    <w:rsid w:val="00490EFD"/>
  </w:style>
  <w:style w:type="paragraph" w:styleId="EnvelopeAddress">
    <w:name w:val="envelope address"/>
    <w:basedOn w:val="Normal"/>
    <w:rsid w:val="00490EF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90EFD"/>
    <w:rPr>
      <w:rFonts w:ascii="Arial" w:hAnsi="Arial" w:cs="Arial"/>
      <w:sz w:val="20"/>
      <w:szCs w:val="20"/>
    </w:rPr>
  </w:style>
  <w:style w:type="paragraph" w:styleId="HTMLAddress">
    <w:name w:val="HTML Address"/>
    <w:basedOn w:val="Normal"/>
    <w:link w:val="HTMLAddressChar"/>
    <w:rsid w:val="00490EFD"/>
    <w:rPr>
      <w:i/>
      <w:iCs/>
    </w:rPr>
  </w:style>
  <w:style w:type="character" w:customStyle="1" w:styleId="HTMLAddressChar">
    <w:name w:val="HTML Address Char"/>
    <w:basedOn w:val="DefaultParagraphFont"/>
    <w:link w:val="HTMLAddress"/>
    <w:rsid w:val="00490EFD"/>
    <w:rPr>
      <w:i/>
      <w:iCs/>
      <w:sz w:val="24"/>
      <w:szCs w:val="24"/>
    </w:rPr>
  </w:style>
  <w:style w:type="paragraph" w:styleId="HTMLPreformatted">
    <w:name w:val="HTML Preformatted"/>
    <w:basedOn w:val="Normal"/>
    <w:link w:val="HTMLPreformattedChar"/>
    <w:rsid w:val="00490EFD"/>
    <w:rPr>
      <w:rFonts w:ascii="Courier New" w:hAnsi="Courier New" w:cs="Courier New"/>
      <w:sz w:val="20"/>
      <w:szCs w:val="20"/>
    </w:rPr>
  </w:style>
  <w:style w:type="character" w:customStyle="1" w:styleId="HTMLPreformattedChar">
    <w:name w:val="HTML Preformatted Char"/>
    <w:basedOn w:val="DefaultParagraphFont"/>
    <w:link w:val="HTMLPreformatted"/>
    <w:rsid w:val="00490EFD"/>
    <w:rPr>
      <w:rFonts w:ascii="Courier New" w:hAnsi="Courier New" w:cs="Courier New"/>
    </w:rPr>
  </w:style>
  <w:style w:type="paragraph" w:styleId="Index1">
    <w:name w:val="index 1"/>
    <w:basedOn w:val="Normal"/>
    <w:next w:val="Normal"/>
    <w:autoRedefine/>
    <w:rsid w:val="00490EFD"/>
    <w:pPr>
      <w:ind w:left="240" w:hanging="240"/>
    </w:pPr>
  </w:style>
  <w:style w:type="paragraph" w:styleId="Index2">
    <w:name w:val="index 2"/>
    <w:basedOn w:val="Normal"/>
    <w:next w:val="Normal"/>
    <w:autoRedefine/>
    <w:rsid w:val="00490EFD"/>
    <w:pPr>
      <w:ind w:left="480" w:hanging="240"/>
    </w:pPr>
  </w:style>
  <w:style w:type="paragraph" w:styleId="Index3">
    <w:name w:val="index 3"/>
    <w:basedOn w:val="Normal"/>
    <w:next w:val="Normal"/>
    <w:autoRedefine/>
    <w:rsid w:val="00490EFD"/>
    <w:pPr>
      <w:ind w:left="720" w:hanging="240"/>
    </w:pPr>
  </w:style>
  <w:style w:type="paragraph" w:styleId="Index4">
    <w:name w:val="index 4"/>
    <w:basedOn w:val="Normal"/>
    <w:next w:val="Normal"/>
    <w:autoRedefine/>
    <w:rsid w:val="00490EFD"/>
    <w:pPr>
      <w:ind w:left="960" w:hanging="240"/>
    </w:pPr>
  </w:style>
  <w:style w:type="paragraph" w:styleId="Index5">
    <w:name w:val="index 5"/>
    <w:basedOn w:val="Normal"/>
    <w:next w:val="Normal"/>
    <w:autoRedefine/>
    <w:rsid w:val="00490EFD"/>
    <w:pPr>
      <w:ind w:left="1200" w:hanging="240"/>
    </w:pPr>
  </w:style>
  <w:style w:type="paragraph" w:styleId="Index6">
    <w:name w:val="index 6"/>
    <w:basedOn w:val="Normal"/>
    <w:next w:val="Normal"/>
    <w:autoRedefine/>
    <w:rsid w:val="00490EFD"/>
    <w:pPr>
      <w:ind w:left="1440" w:hanging="240"/>
    </w:pPr>
  </w:style>
  <w:style w:type="paragraph" w:styleId="Index7">
    <w:name w:val="index 7"/>
    <w:basedOn w:val="Normal"/>
    <w:next w:val="Normal"/>
    <w:autoRedefine/>
    <w:rsid w:val="00490EFD"/>
    <w:pPr>
      <w:ind w:left="1680" w:hanging="240"/>
    </w:pPr>
  </w:style>
  <w:style w:type="paragraph" w:styleId="Index8">
    <w:name w:val="index 8"/>
    <w:basedOn w:val="Normal"/>
    <w:next w:val="Normal"/>
    <w:autoRedefine/>
    <w:rsid w:val="00490EFD"/>
    <w:pPr>
      <w:ind w:left="1920" w:hanging="240"/>
    </w:pPr>
  </w:style>
  <w:style w:type="paragraph" w:styleId="Index9">
    <w:name w:val="index 9"/>
    <w:basedOn w:val="Normal"/>
    <w:next w:val="Normal"/>
    <w:autoRedefine/>
    <w:rsid w:val="00490EFD"/>
    <w:pPr>
      <w:ind w:left="2160" w:hanging="240"/>
    </w:pPr>
  </w:style>
  <w:style w:type="paragraph" w:styleId="IndexHeading">
    <w:name w:val="index heading"/>
    <w:basedOn w:val="Normal"/>
    <w:next w:val="Index1"/>
    <w:rsid w:val="00490EFD"/>
    <w:rPr>
      <w:rFonts w:ascii="Arial" w:hAnsi="Arial" w:cs="Arial"/>
      <w:b/>
      <w:bCs/>
    </w:rPr>
  </w:style>
  <w:style w:type="paragraph" w:styleId="List">
    <w:name w:val="List"/>
    <w:basedOn w:val="Normal"/>
    <w:rsid w:val="00490EFD"/>
    <w:pPr>
      <w:ind w:left="360" w:hanging="360"/>
    </w:pPr>
  </w:style>
  <w:style w:type="paragraph" w:styleId="List2">
    <w:name w:val="List 2"/>
    <w:basedOn w:val="Normal"/>
    <w:rsid w:val="00490EFD"/>
    <w:pPr>
      <w:ind w:left="720" w:hanging="360"/>
    </w:pPr>
  </w:style>
  <w:style w:type="paragraph" w:styleId="List3">
    <w:name w:val="List 3"/>
    <w:basedOn w:val="Normal"/>
    <w:rsid w:val="00490EFD"/>
    <w:pPr>
      <w:ind w:left="1080" w:hanging="360"/>
    </w:pPr>
  </w:style>
  <w:style w:type="paragraph" w:styleId="List4">
    <w:name w:val="List 4"/>
    <w:basedOn w:val="Normal"/>
    <w:rsid w:val="00490EFD"/>
    <w:pPr>
      <w:ind w:left="1440" w:hanging="360"/>
    </w:pPr>
  </w:style>
  <w:style w:type="paragraph" w:styleId="List5">
    <w:name w:val="List 5"/>
    <w:basedOn w:val="Normal"/>
    <w:rsid w:val="00490EFD"/>
    <w:pPr>
      <w:ind w:left="1800" w:hanging="360"/>
    </w:pPr>
  </w:style>
  <w:style w:type="paragraph" w:styleId="ListBullet">
    <w:name w:val="List Bullet"/>
    <w:basedOn w:val="Normal"/>
    <w:autoRedefine/>
    <w:rsid w:val="00490EFD"/>
    <w:pPr>
      <w:tabs>
        <w:tab w:val="num" w:pos="360"/>
      </w:tabs>
      <w:ind w:left="360" w:hanging="360"/>
    </w:pPr>
  </w:style>
  <w:style w:type="paragraph" w:styleId="ListBullet2">
    <w:name w:val="List Bullet 2"/>
    <w:basedOn w:val="Normal"/>
    <w:autoRedefine/>
    <w:rsid w:val="00490EFD"/>
    <w:pPr>
      <w:tabs>
        <w:tab w:val="num" w:pos="720"/>
      </w:tabs>
      <w:ind w:left="720" w:hanging="360"/>
    </w:pPr>
  </w:style>
  <w:style w:type="paragraph" w:styleId="ListBullet3">
    <w:name w:val="List Bullet 3"/>
    <w:basedOn w:val="Normal"/>
    <w:autoRedefine/>
    <w:rsid w:val="00490EFD"/>
    <w:pPr>
      <w:tabs>
        <w:tab w:val="num" w:pos="1080"/>
      </w:tabs>
      <w:ind w:left="1080" w:hanging="360"/>
    </w:pPr>
  </w:style>
  <w:style w:type="paragraph" w:styleId="ListBullet4">
    <w:name w:val="List Bullet 4"/>
    <w:basedOn w:val="Normal"/>
    <w:autoRedefine/>
    <w:rsid w:val="00490EFD"/>
    <w:pPr>
      <w:tabs>
        <w:tab w:val="num" w:pos="1440"/>
      </w:tabs>
      <w:ind w:left="1440" w:hanging="360"/>
    </w:pPr>
  </w:style>
  <w:style w:type="paragraph" w:styleId="ListBullet5">
    <w:name w:val="List Bullet 5"/>
    <w:basedOn w:val="Normal"/>
    <w:autoRedefine/>
    <w:rsid w:val="00490EFD"/>
    <w:pPr>
      <w:tabs>
        <w:tab w:val="num" w:pos="1800"/>
      </w:tabs>
      <w:ind w:left="1800" w:hanging="360"/>
    </w:pPr>
  </w:style>
  <w:style w:type="paragraph" w:styleId="ListContinue">
    <w:name w:val="List Continue"/>
    <w:basedOn w:val="Normal"/>
    <w:rsid w:val="00490EFD"/>
    <w:pPr>
      <w:spacing w:after="120"/>
      <w:ind w:left="360"/>
    </w:pPr>
  </w:style>
  <w:style w:type="paragraph" w:styleId="ListContinue2">
    <w:name w:val="List Continue 2"/>
    <w:basedOn w:val="Normal"/>
    <w:rsid w:val="00490EFD"/>
    <w:pPr>
      <w:spacing w:after="120"/>
      <w:ind w:left="720"/>
    </w:pPr>
  </w:style>
  <w:style w:type="paragraph" w:styleId="ListContinue3">
    <w:name w:val="List Continue 3"/>
    <w:basedOn w:val="Normal"/>
    <w:rsid w:val="00490EFD"/>
    <w:pPr>
      <w:spacing w:after="120"/>
      <w:ind w:left="1080"/>
    </w:pPr>
  </w:style>
  <w:style w:type="paragraph" w:styleId="ListContinue4">
    <w:name w:val="List Continue 4"/>
    <w:basedOn w:val="Normal"/>
    <w:rsid w:val="00490EFD"/>
    <w:pPr>
      <w:spacing w:after="120"/>
      <w:ind w:left="1440"/>
    </w:pPr>
  </w:style>
  <w:style w:type="paragraph" w:styleId="ListContinue5">
    <w:name w:val="List Continue 5"/>
    <w:basedOn w:val="Normal"/>
    <w:rsid w:val="00490EFD"/>
    <w:pPr>
      <w:spacing w:after="120"/>
      <w:ind w:left="1800"/>
    </w:pPr>
  </w:style>
  <w:style w:type="paragraph" w:styleId="ListNumber">
    <w:name w:val="List Number"/>
    <w:basedOn w:val="Normal"/>
    <w:rsid w:val="00490EFD"/>
    <w:pPr>
      <w:tabs>
        <w:tab w:val="num" w:pos="360"/>
      </w:tabs>
      <w:ind w:left="360" w:hanging="360"/>
    </w:pPr>
  </w:style>
  <w:style w:type="paragraph" w:styleId="ListNumber2">
    <w:name w:val="List Number 2"/>
    <w:basedOn w:val="Normal"/>
    <w:rsid w:val="00490EFD"/>
    <w:pPr>
      <w:tabs>
        <w:tab w:val="num" w:pos="720"/>
      </w:tabs>
      <w:ind w:left="720" w:hanging="360"/>
    </w:pPr>
  </w:style>
  <w:style w:type="paragraph" w:styleId="ListNumber3">
    <w:name w:val="List Number 3"/>
    <w:basedOn w:val="Normal"/>
    <w:rsid w:val="00490EFD"/>
    <w:pPr>
      <w:tabs>
        <w:tab w:val="num" w:pos="1080"/>
      </w:tabs>
      <w:ind w:left="1080" w:hanging="360"/>
    </w:pPr>
  </w:style>
  <w:style w:type="paragraph" w:styleId="ListNumber4">
    <w:name w:val="List Number 4"/>
    <w:basedOn w:val="Normal"/>
    <w:rsid w:val="00490EFD"/>
    <w:pPr>
      <w:tabs>
        <w:tab w:val="num" w:pos="1440"/>
      </w:tabs>
      <w:ind w:left="1440" w:hanging="360"/>
    </w:pPr>
  </w:style>
  <w:style w:type="paragraph" w:styleId="ListNumber5">
    <w:name w:val="List Number 5"/>
    <w:basedOn w:val="Normal"/>
    <w:rsid w:val="00490EFD"/>
    <w:pPr>
      <w:tabs>
        <w:tab w:val="num" w:pos="1800"/>
      </w:tabs>
      <w:ind w:left="1800" w:hanging="360"/>
    </w:pPr>
  </w:style>
  <w:style w:type="paragraph" w:styleId="MacroText">
    <w:name w:val="macro"/>
    <w:link w:val="MacroTextChar"/>
    <w:rsid w:val="00490E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490EFD"/>
    <w:rPr>
      <w:rFonts w:ascii="Courier New" w:hAnsi="Courier New" w:cs="Courier New"/>
    </w:rPr>
  </w:style>
  <w:style w:type="paragraph" w:styleId="MessageHeader">
    <w:name w:val="Message Header"/>
    <w:basedOn w:val="Normal"/>
    <w:link w:val="MessageHeaderChar"/>
    <w:rsid w:val="00490EF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490EFD"/>
    <w:rPr>
      <w:rFonts w:ascii="Arial" w:hAnsi="Arial" w:cs="Arial"/>
      <w:sz w:val="24"/>
      <w:szCs w:val="24"/>
      <w:shd w:val="pct20" w:color="auto" w:fill="auto"/>
    </w:rPr>
  </w:style>
  <w:style w:type="paragraph" w:styleId="NormalWeb">
    <w:name w:val="Normal (Web)"/>
    <w:basedOn w:val="Normal"/>
    <w:rsid w:val="00490EFD"/>
  </w:style>
  <w:style w:type="paragraph" w:styleId="NormalIndent">
    <w:name w:val="Normal Indent"/>
    <w:basedOn w:val="Normal"/>
    <w:rsid w:val="00490EFD"/>
    <w:pPr>
      <w:ind w:left="720"/>
    </w:pPr>
  </w:style>
  <w:style w:type="paragraph" w:styleId="NoteHeading">
    <w:name w:val="Note Heading"/>
    <w:basedOn w:val="Normal"/>
    <w:next w:val="Normal"/>
    <w:link w:val="NoteHeadingChar"/>
    <w:rsid w:val="00490EFD"/>
  </w:style>
  <w:style w:type="character" w:customStyle="1" w:styleId="NoteHeadingChar">
    <w:name w:val="Note Heading Char"/>
    <w:basedOn w:val="DefaultParagraphFont"/>
    <w:link w:val="NoteHeading"/>
    <w:rsid w:val="00490EFD"/>
    <w:rPr>
      <w:sz w:val="24"/>
      <w:szCs w:val="24"/>
    </w:rPr>
  </w:style>
  <w:style w:type="paragraph" w:styleId="PlainText">
    <w:name w:val="Plain Text"/>
    <w:basedOn w:val="Normal"/>
    <w:link w:val="PlainTextChar"/>
    <w:rsid w:val="00490EFD"/>
    <w:rPr>
      <w:rFonts w:ascii="Courier New" w:hAnsi="Courier New" w:cs="Courier New"/>
      <w:sz w:val="20"/>
      <w:szCs w:val="20"/>
    </w:rPr>
  </w:style>
  <w:style w:type="character" w:customStyle="1" w:styleId="PlainTextChar">
    <w:name w:val="Plain Text Char"/>
    <w:basedOn w:val="DefaultParagraphFont"/>
    <w:link w:val="PlainText"/>
    <w:rsid w:val="00490EFD"/>
    <w:rPr>
      <w:rFonts w:ascii="Courier New" w:hAnsi="Courier New" w:cs="Courier New"/>
    </w:rPr>
  </w:style>
  <w:style w:type="paragraph" w:styleId="Salutation">
    <w:name w:val="Salutation"/>
    <w:basedOn w:val="Normal"/>
    <w:next w:val="Normal"/>
    <w:link w:val="SalutationChar"/>
    <w:rsid w:val="00490EFD"/>
  </w:style>
  <w:style w:type="character" w:customStyle="1" w:styleId="SalutationChar">
    <w:name w:val="Salutation Char"/>
    <w:basedOn w:val="DefaultParagraphFont"/>
    <w:link w:val="Salutation"/>
    <w:rsid w:val="00490EFD"/>
    <w:rPr>
      <w:sz w:val="24"/>
      <w:szCs w:val="24"/>
    </w:rPr>
  </w:style>
  <w:style w:type="paragraph" w:styleId="Signature">
    <w:name w:val="Signature"/>
    <w:basedOn w:val="Normal"/>
    <w:link w:val="SignatureChar"/>
    <w:rsid w:val="00490EFD"/>
    <w:pPr>
      <w:ind w:left="4320"/>
    </w:pPr>
  </w:style>
  <w:style w:type="character" w:customStyle="1" w:styleId="SignatureChar">
    <w:name w:val="Signature Char"/>
    <w:basedOn w:val="DefaultParagraphFont"/>
    <w:link w:val="Signature"/>
    <w:rsid w:val="00490EFD"/>
    <w:rPr>
      <w:sz w:val="24"/>
      <w:szCs w:val="24"/>
    </w:rPr>
  </w:style>
  <w:style w:type="paragraph" w:styleId="Subtitle">
    <w:name w:val="Subtitle"/>
    <w:basedOn w:val="Normal"/>
    <w:link w:val="SubtitleChar"/>
    <w:qFormat/>
    <w:rsid w:val="00490EFD"/>
    <w:pPr>
      <w:spacing w:after="60"/>
      <w:jc w:val="center"/>
      <w:outlineLvl w:val="1"/>
    </w:pPr>
    <w:rPr>
      <w:rFonts w:ascii="Arial" w:hAnsi="Arial" w:cs="Arial"/>
    </w:rPr>
  </w:style>
  <w:style w:type="character" w:customStyle="1" w:styleId="SubtitleChar">
    <w:name w:val="Subtitle Char"/>
    <w:basedOn w:val="DefaultParagraphFont"/>
    <w:link w:val="Subtitle"/>
    <w:rsid w:val="00490EFD"/>
    <w:rPr>
      <w:rFonts w:ascii="Arial" w:hAnsi="Arial" w:cs="Arial"/>
      <w:sz w:val="24"/>
      <w:szCs w:val="24"/>
    </w:rPr>
  </w:style>
  <w:style w:type="paragraph" w:styleId="TableofAuthorities">
    <w:name w:val="table of authorities"/>
    <w:basedOn w:val="Normal"/>
    <w:next w:val="Normal"/>
    <w:rsid w:val="00490EFD"/>
    <w:pPr>
      <w:ind w:left="240" w:hanging="240"/>
    </w:pPr>
  </w:style>
  <w:style w:type="paragraph" w:styleId="TableofFigures">
    <w:name w:val="table of figures"/>
    <w:basedOn w:val="Normal"/>
    <w:next w:val="Normal"/>
    <w:rsid w:val="00490EFD"/>
    <w:pPr>
      <w:ind w:left="480" w:hanging="480"/>
    </w:pPr>
  </w:style>
  <w:style w:type="paragraph" w:styleId="Title">
    <w:name w:val="Title"/>
    <w:basedOn w:val="Normal"/>
    <w:link w:val="TitleChar"/>
    <w:qFormat/>
    <w:rsid w:val="00490EF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490EFD"/>
    <w:rPr>
      <w:rFonts w:ascii="Arial" w:hAnsi="Arial" w:cs="Arial"/>
      <w:b/>
      <w:bCs/>
      <w:kern w:val="28"/>
      <w:sz w:val="32"/>
      <w:szCs w:val="32"/>
    </w:rPr>
  </w:style>
  <w:style w:type="paragraph" w:styleId="TOAHeading">
    <w:name w:val="toa heading"/>
    <w:basedOn w:val="Normal"/>
    <w:next w:val="Normal"/>
    <w:rsid w:val="00490EFD"/>
    <w:pPr>
      <w:spacing w:before="120"/>
    </w:pPr>
    <w:rPr>
      <w:rFonts w:ascii="Arial" w:hAnsi="Arial" w:cs="Arial"/>
      <w:b/>
      <w:bCs/>
    </w:rPr>
  </w:style>
  <w:style w:type="paragraph" w:styleId="TOC4">
    <w:name w:val="toc 4"/>
    <w:basedOn w:val="Normal"/>
    <w:next w:val="Normal"/>
    <w:autoRedefine/>
    <w:rsid w:val="00490EFD"/>
    <w:pPr>
      <w:ind w:left="720"/>
    </w:pPr>
  </w:style>
  <w:style w:type="paragraph" w:styleId="TOC5">
    <w:name w:val="toc 5"/>
    <w:basedOn w:val="Normal"/>
    <w:next w:val="Normal"/>
    <w:autoRedefine/>
    <w:rsid w:val="00490EFD"/>
    <w:pPr>
      <w:ind w:left="960"/>
    </w:pPr>
  </w:style>
  <w:style w:type="paragraph" w:styleId="TOC6">
    <w:name w:val="toc 6"/>
    <w:basedOn w:val="Normal"/>
    <w:next w:val="Normal"/>
    <w:autoRedefine/>
    <w:rsid w:val="00490EFD"/>
    <w:pPr>
      <w:ind w:left="1200"/>
    </w:pPr>
  </w:style>
  <w:style w:type="paragraph" w:styleId="TOC9">
    <w:name w:val="toc 9"/>
    <w:basedOn w:val="TOC1"/>
    <w:next w:val="Normal"/>
    <w:autoRedefine/>
    <w:rsid w:val="00490EFD"/>
    <w:pPr>
      <w:ind w:left="1728"/>
    </w:pPr>
    <w:rPr>
      <w:u w:val="single"/>
    </w:rPr>
  </w:style>
  <w:style w:type="paragraph" w:customStyle="1" w:styleId="MemoHeadingLabel">
    <w:name w:val="Memo Heading Label"/>
    <w:basedOn w:val="MemoHeading"/>
    <w:qFormat/>
    <w:rsid w:val="00490EFD"/>
    <w:rPr>
      <w:rFonts w:ascii="Arial" w:hAnsi="Arial"/>
      <w:b/>
    </w:rPr>
  </w:style>
  <w:style w:type="paragraph" w:customStyle="1" w:styleId="First-LevelSubheading">
    <w:name w:val="First-Level Subheading"/>
    <w:basedOn w:val="IssueSubsectionHeading"/>
    <w:next w:val="BodyText"/>
    <w:qFormat/>
    <w:rsid w:val="00490EFD"/>
    <w:pPr>
      <w:spacing w:after="0"/>
      <w:outlineLvl w:val="2"/>
    </w:pPr>
    <w:rPr>
      <w:b/>
    </w:rPr>
  </w:style>
  <w:style w:type="paragraph" w:customStyle="1" w:styleId="Second-LevelSubheading">
    <w:name w:val="Second-Level Subheading"/>
    <w:basedOn w:val="First-LevelSubheading"/>
    <w:next w:val="BodyText"/>
    <w:qFormat/>
    <w:rsid w:val="00490EFD"/>
    <w:pPr>
      <w:ind w:left="720"/>
      <w:outlineLvl w:val="3"/>
    </w:pPr>
    <w:rPr>
      <w:i/>
    </w:rPr>
  </w:style>
  <w:style w:type="paragraph" w:customStyle="1" w:styleId="TableNumber">
    <w:name w:val="Table Number"/>
    <w:basedOn w:val="BodyText"/>
    <w:next w:val="BodyText"/>
    <w:qFormat/>
    <w:rsid w:val="00490EFD"/>
    <w:pPr>
      <w:spacing w:before="480" w:after="0"/>
      <w:jc w:val="center"/>
    </w:pPr>
    <w:rPr>
      <w:rFonts w:ascii="Arial" w:hAnsi="Arial"/>
      <w:b/>
    </w:rPr>
  </w:style>
  <w:style w:type="paragraph" w:customStyle="1" w:styleId="TableTitle">
    <w:name w:val="Table Title"/>
    <w:basedOn w:val="BodyText"/>
    <w:next w:val="BodyText"/>
    <w:qFormat/>
    <w:rsid w:val="00490EFD"/>
    <w:pPr>
      <w:spacing w:after="0"/>
      <w:jc w:val="center"/>
    </w:pPr>
    <w:rPr>
      <w:rFonts w:ascii="Arial" w:hAnsi="Arial"/>
      <w:b/>
    </w:rPr>
  </w:style>
  <w:style w:type="paragraph" w:customStyle="1" w:styleId="TableSource">
    <w:name w:val="Table Source"/>
    <w:basedOn w:val="BodyText"/>
    <w:next w:val="BodyText"/>
    <w:qFormat/>
    <w:rsid w:val="00490EFD"/>
    <w:pPr>
      <w:spacing w:after="480"/>
      <w:jc w:val="both"/>
    </w:pPr>
  </w:style>
  <w:style w:type="paragraph" w:styleId="ListParagraph">
    <w:name w:val="List Paragraph"/>
    <w:basedOn w:val="Normal"/>
    <w:uiPriority w:val="34"/>
    <w:qFormat/>
    <w:rsid w:val="00490EFD"/>
    <w:pPr>
      <w:ind w:left="720"/>
      <w:contextualSpacing/>
    </w:pPr>
    <w:rPr>
      <w:rFonts w:ascii="Calibri" w:eastAsia="Calibri" w:hAnsi="Calibri"/>
    </w:rPr>
  </w:style>
  <w:style w:type="character" w:styleId="FollowedHyperlink">
    <w:name w:val="FollowedHyperlink"/>
    <w:uiPriority w:val="99"/>
    <w:unhideWhenUsed/>
    <w:rsid w:val="00490EF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link w:val="Header"/>
    <w:rsid w:val="00490EFD"/>
    <w:rPr>
      <w:sz w:val="24"/>
      <w:szCs w:val="24"/>
    </w:rPr>
  </w:style>
  <w:style w:type="character" w:customStyle="1" w:styleId="FooterChar">
    <w:name w:val="Footer Char"/>
    <w:link w:val="Footer"/>
    <w:rsid w:val="00490EFD"/>
    <w:rPr>
      <w:sz w:val="24"/>
      <w:szCs w:val="24"/>
    </w:rPr>
  </w:style>
  <w:style w:type="paragraph" w:customStyle="1" w:styleId="MemoAddresses">
    <w:name w:val="Memo Addresses"/>
    <w:basedOn w:val="Normal"/>
    <w:next w:val="Normal"/>
    <w:rsid w:val="00490EFD"/>
    <w:pPr>
      <w:spacing w:before="120"/>
      <w:ind w:left="1008" w:hanging="1008"/>
      <w:jc w:val="both"/>
    </w:pPr>
  </w:style>
  <w:style w:type="paragraph" w:customStyle="1" w:styleId="MastHeadPSC">
    <w:name w:val="MastHead PSC"/>
    <w:basedOn w:val="Normal"/>
    <w:next w:val="Normal"/>
    <w:rsid w:val="00490EFD"/>
    <w:pPr>
      <w:jc w:val="center"/>
    </w:pPr>
    <w:rPr>
      <w:b/>
      <w:sz w:val="48"/>
      <w:szCs w:val="48"/>
    </w:rPr>
  </w:style>
  <w:style w:type="paragraph" w:customStyle="1" w:styleId="MastHeadMemorandum">
    <w:name w:val="MastHead Memorandum"/>
    <w:basedOn w:val="Normal"/>
    <w:next w:val="Normal"/>
    <w:rsid w:val="00490EFD"/>
    <w:pPr>
      <w:jc w:val="center"/>
    </w:pPr>
    <w:rPr>
      <w:b/>
      <w:sz w:val="28"/>
      <w:szCs w:val="28"/>
    </w:rPr>
  </w:style>
  <w:style w:type="paragraph" w:customStyle="1" w:styleId="MastHeadAddress">
    <w:name w:val="MastHead Address"/>
    <w:basedOn w:val="Normal"/>
    <w:next w:val="Normal"/>
    <w:rsid w:val="00490EFD"/>
    <w:pPr>
      <w:spacing w:after="200"/>
      <w:jc w:val="center"/>
    </w:pPr>
    <w:rPr>
      <w:b/>
      <w:smallCaps/>
      <w:sz w:val="20"/>
      <w:szCs w:val="20"/>
    </w:rPr>
  </w:style>
  <w:style w:type="paragraph" w:customStyle="1" w:styleId="MastHeadState">
    <w:name w:val="MastHead State"/>
    <w:basedOn w:val="Normal"/>
    <w:next w:val="Normal"/>
    <w:rsid w:val="00490EFD"/>
    <w:pPr>
      <w:jc w:val="center"/>
    </w:pPr>
    <w:rPr>
      <w:b/>
      <w:sz w:val="28"/>
      <w:szCs w:val="28"/>
    </w:rPr>
  </w:style>
  <w:style w:type="paragraph" w:customStyle="1" w:styleId="MemoHeading">
    <w:name w:val="Memo Heading"/>
    <w:basedOn w:val="Normal"/>
    <w:next w:val="Normal"/>
    <w:rsid w:val="00490EFD"/>
    <w:pPr>
      <w:jc w:val="both"/>
    </w:pPr>
  </w:style>
  <w:style w:type="paragraph" w:customStyle="1" w:styleId="BlockText5">
    <w:name w:val="Block Text .5&quot;"/>
    <w:basedOn w:val="Normal"/>
    <w:rsid w:val="00490EFD"/>
    <w:pPr>
      <w:spacing w:after="120"/>
      <w:ind w:left="720" w:right="720"/>
    </w:pPr>
  </w:style>
  <w:style w:type="paragraph" w:customStyle="1" w:styleId="BlockText1">
    <w:name w:val="Block Text 1&quot;"/>
    <w:basedOn w:val="Normal"/>
    <w:rsid w:val="00490EFD"/>
    <w:pPr>
      <w:spacing w:after="120"/>
      <w:ind w:left="1440" w:right="1440"/>
    </w:pPr>
  </w:style>
  <w:style w:type="paragraph" w:customStyle="1" w:styleId="BlockText15">
    <w:name w:val="Block Text 1.5&quot;"/>
    <w:basedOn w:val="Normal"/>
    <w:rsid w:val="00490EFD"/>
    <w:pPr>
      <w:spacing w:after="120"/>
      <w:ind w:left="2160" w:right="2160"/>
    </w:pPr>
  </w:style>
  <w:style w:type="paragraph" w:customStyle="1" w:styleId="IssueHeading">
    <w:name w:val="Issue Heading"/>
    <w:basedOn w:val="Heading1"/>
    <w:next w:val="BodyText"/>
    <w:link w:val="IssueHeadingChar"/>
    <w:rsid w:val="00490EFD"/>
    <w:pPr>
      <w:keepNext w:val="0"/>
    </w:pPr>
    <w:rPr>
      <w:rFonts w:ascii="Arial" w:hAnsi="Arial"/>
    </w:rPr>
  </w:style>
  <w:style w:type="character" w:customStyle="1" w:styleId="IssueHeadingChar">
    <w:name w:val="Issue Heading Char"/>
    <w:link w:val="IssueHeading"/>
    <w:rsid w:val="00490EFD"/>
    <w:rPr>
      <w:rFonts w:ascii="Arial" w:hAnsi="Arial" w:cs="Arial"/>
      <w:bCs/>
      <w:kern w:val="32"/>
      <w:sz w:val="24"/>
      <w:szCs w:val="32"/>
    </w:rPr>
  </w:style>
  <w:style w:type="paragraph" w:customStyle="1" w:styleId="MemoHeadingRe">
    <w:name w:val="Memo Heading Re"/>
    <w:basedOn w:val="MemoHeading"/>
    <w:rsid w:val="00490EFD"/>
    <w:pPr>
      <w:tabs>
        <w:tab w:val="left" w:pos="2520"/>
        <w:tab w:val="left" w:pos="2736"/>
      </w:tabs>
    </w:pPr>
  </w:style>
  <w:style w:type="paragraph" w:styleId="TOC1">
    <w:name w:val="toc 1"/>
    <w:basedOn w:val="Normal"/>
    <w:next w:val="Normal"/>
    <w:rsid w:val="00490EFD"/>
    <w:pPr>
      <w:tabs>
        <w:tab w:val="left" w:pos="864"/>
        <w:tab w:val="right" w:leader="dot" w:pos="9360"/>
      </w:tabs>
      <w:ind w:left="864" w:right="360" w:hanging="864"/>
    </w:pPr>
  </w:style>
  <w:style w:type="character" w:styleId="Hyperlink">
    <w:name w:val="Hyperlink"/>
    <w:rsid w:val="00490EFD"/>
    <w:rPr>
      <w:color w:val="0000FF"/>
      <w:u w:val="single"/>
    </w:rPr>
  </w:style>
  <w:style w:type="paragraph" w:customStyle="1" w:styleId="RecommendationMajorSectionHeading">
    <w:name w:val="Recommendation Major Section Heading"/>
    <w:basedOn w:val="Heading1"/>
    <w:next w:val="BodyText"/>
    <w:rsid w:val="00490EFD"/>
    <w:pPr>
      <w:jc w:val="center"/>
    </w:pPr>
    <w:rPr>
      <w:rFonts w:ascii="Arial" w:hAnsi="Arial"/>
      <w:b/>
    </w:rPr>
  </w:style>
  <w:style w:type="paragraph" w:customStyle="1" w:styleId="IssueSubsectionHeading">
    <w:name w:val="Issue Subsection Heading"/>
    <w:basedOn w:val="Heading2"/>
    <w:next w:val="BodyText"/>
    <w:link w:val="IssueSubsectionHeadingChar"/>
    <w:rsid w:val="00490EFD"/>
    <w:pPr>
      <w:keepNext w:val="0"/>
    </w:pPr>
    <w:rPr>
      <w:rFonts w:ascii="Arial" w:hAnsi="Arial"/>
    </w:rPr>
  </w:style>
  <w:style w:type="character" w:customStyle="1" w:styleId="IssueSubsectionHeadingChar">
    <w:name w:val="Issue Subsection Heading Char"/>
    <w:link w:val="IssueSubsectionHeading"/>
    <w:rsid w:val="00490EFD"/>
    <w:rPr>
      <w:rFonts w:ascii="Arial" w:hAnsi="Arial" w:cs="Arial"/>
      <w:bCs/>
      <w:iCs/>
      <w:sz w:val="24"/>
      <w:szCs w:val="28"/>
    </w:rPr>
  </w:style>
  <w:style w:type="paragraph" w:customStyle="1" w:styleId="RecommendationHeading">
    <w:name w:val="Recommendation Heading"/>
    <w:basedOn w:val="Heading1"/>
    <w:next w:val="BodyText"/>
    <w:rsid w:val="00490EFD"/>
    <w:pPr>
      <w:keepNext w:val="0"/>
      <w:jc w:val="center"/>
    </w:pPr>
    <w:rPr>
      <w:b/>
      <w:u w:val="single"/>
    </w:rPr>
  </w:style>
  <w:style w:type="paragraph" w:customStyle="1" w:styleId="DiscussionofIssues">
    <w:name w:val="Discussion of Issues"/>
    <w:basedOn w:val="RecommendationMajorSectionHeading"/>
    <w:next w:val="BodyText"/>
    <w:rsid w:val="00490EFD"/>
    <w:pPr>
      <w:spacing w:after="0"/>
    </w:pPr>
  </w:style>
  <w:style w:type="paragraph" w:customStyle="1" w:styleId="TOCColumnHeadings">
    <w:name w:val="TOC Column Headings"/>
    <w:basedOn w:val="Normal"/>
    <w:rsid w:val="00490EFD"/>
    <w:pPr>
      <w:tabs>
        <w:tab w:val="left" w:pos="864"/>
        <w:tab w:val="right" w:pos="9360"/>
      </w:tabs>
    </w:pPr>
    <w:rPr>
      <w:u w:val="words"/>
    </w:rPr>
  </w:style>
  <w:style w:type="table" w:customStyle="1" w:styleId="TableMasthead">
    <w:name w:val="Table Masthead"/>
    <w:basedOn w:val="TableGrid"/>
    <w:rsid w:val="00490EFD"/>
    <w:tblPr/>
  </w:style>
  <w:style w:type="paragraph" w:customStyle="1" w:styleId="StyleHeading1BoldUnderline">
    <w:name w:val="Style Heading 1 + Bold Underline"/>
    <w:basedOn w:val="Heading1"/>
    <w:link w:val="StyleHeading1BoldUnderlineChar"/>
    <w:rsid w:val="00490EFD"/>
    <w:pPr>
      <w:keepNext w:val="0"/>
      <w:spacing w:before="240"/>
    </w:pPr>
    <w:rPr>
      <w:b/>
      <w:u w:val="single"/>
    </w:rPr>
  </w:style>
  <w:style w:type="character" w:customStyle="1" w:styleId="StyleHeading1BoldUnderlineChar">
    <w:name w:val="Style Heading 1 + Bold Underline Char"/>
    <w:link w:val="StyleHeading1BoldUnderline"/>
    <w:rsid w:val="00490EFD"/>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490EFD"/>
    <w:pPr>
      <w:jc w:val="left"/>
    </w:pPr>
  </w:style>
  <w:style w:type="character" w:customStyle="1" w:styleId="FootnoteTextChar">
    <w:name w:val="Footnote Text Char"/>
    <w:link w:val="FootnoteText"/>
    <w:uiPriority w:val="99"/>
    <w:rsid w:val="00490EFD"/>
  </w:style>
  <w:style w:type="paragraph" w:styleId="TOC3">
    <w:name w:val="toc 3"/>
    <w:basedOn w:val="TOC2"/>
    <w:next w:val="Normal"/>
    <w:rsid w:val="00490EFD"/>
    <w:pPr>
      <w:tabs>
        <w:tab w:val="clear" w:pos="1152"/>
        <w:tab w:val="left" w:pos="1584"/>
      </w:tabs>
      <w:ind w:left="1584" w:hanging="432"/>
    </w:pPr>
  </w:style>
  <w:style w:type="paragraph" w:styleId="TOC2">
    <w:name w:val="toc 2"/>
    <w:basedOn w:val="TOC1"/>
    <w:next w:val="Normal"/>
    <w:rsid w:val="00490EFD"/>
    <w:pPr>
      <w:tabs>
        <w:tab w:val="clear" w:pos="864"/>
        <w:tab w:val="left" w:pos="1152"/>
      </w:tabs>
      <w:ind w:left="1152" w:hanging="288"/>
    </w:pPr>
  </w:style>
  <w:style w:type="paragraph" w:styleId="DocumentMap">
    <w:name w:val="Document Map"/>
    <w:basedOn w:val="Normal"/>
    <w:link w:val="DocumentMapChar"/>
    <w:rsid w:val="00490EFD"/>
    <w:pPr>
      <w:shd w:val="clear" w:color="auto" w:fill="000080"/>
    </w:pPr>
    <w:rPr>
      <w:rFonts w:ascii="Tahoma" w:hAnsi="Tahoma" w:cs="Tahoma"/>
    </w:rPr>
  </w:style>
  <w:style w:type="character" w:customStyle="1" w:styleId="DocumentMapChar">
    <w:name w:val="Document Map Char"/>
    <w:basedOn w:val="DefaultParagraphFont"/>
    <w:link w:val="DocumentMap"/>
    <w:rsid w:val="00490EFD"/>
    <w:rPr>
      <w:rFonts w:ascii="Tahoma" w:hAnsi="Tahoma" w:cs="Tahoma"/>
      <w:sz w:val="24"/>
      <w:szCs w:val="24"/>
      <w:shd w:val="clear" w:color="auto" w:fill="000080"/>
    </w:rPr>
  </w:style>
  <w:style w:type="paragraph" w:styleId="BalloonText">
    <w:name w:val="Balloon Text"/>
    <w:basedOn w:val="Normal"/>
    <w:link w:val="BalloonTextChar"/>
    <w:rsid w:val="00490EFD"/>
    <w:rPr>
      <w:rFonts w:ascii="Tahoma" w:hAnsi="Tahoma" w:cs="Tahoma"/>
      <w:sz w:val="16"/>
      <w:szCs w:val="16"/>
    </w:rPr>
  </w:style>
  <w:style w:type="character" w:customStyle="1" w:styleId="BalloonTextChar">
    <w:name w:val="Balloon Text Char"/>
    <w:basedOn w:val="DefaultParagraphFont"/>
    <w:link w:val="BalloonText"/>
    <w:rsid w:val="00490EFD"/>
    <w:rPr>
      <w:rFonts w:ascii="Tahoma" w:hAnsi="Tahoma" w:cs="Tahoma"/>
      <w:sz w:val="16"/>
      <w:szCs w:val="16"/>
    </w:rPr>
  </w:style>
  <w:style w:type="paragraph" w:styleId="BlockText">
    <w:name w:val="Block Text"/>
    <w:basedOn w:val="Normal"/>
    <w:rsid w:val="00490EFD"/>
    <w:pPr>
      <w:spacing w:after="120"/>
      <w:ind w:left="1440" w:right="1440"/>
    </w:pPr>
  </w:style>
  <w:style w:type="paragraph" w:styleId="BodyText2">
    <w:name w:val="Body Text 2"/>
    <w:basedOn w:val="Normal"/>
    <w:link w:val="BodyText2Char"/>
    <w:rsid w:val="00490EFD"/>
    <w:pPr>
      <w:spacing w:after="120" w:line="480" w:lineRule="auto"/>
    </w:pPr>
  </w:style>
  <w:style w:type="character" w:customStyle="1" w:styleId="BodyText2Char">
    <w:name w:val="Body Text 2 Char"/>
    <w:basedOn w:val="DefaultParagraphFont"/>
    <w:link w:val="BodyText2"/>
    <w:rsid w:val="00490EFD"/>
    <w:rPr>
      <w:sz w:val="24"/>
      <w:szCs w:val="24"/>
    </w:rPr>
  </w:style>
  <w:style w:type="paragraph" w:styleId="BodyText3">
    <w:name w:val="Body Text 3"/>
    <w:basedOn w:val="Normal"/>
    <w:link w:val="BodyText3Char"/>
    <w:rsid w:val="00490EFD"/>
    <w:pPr>
      <w:spacing w:after="120"/>
    </w:pPr>
    <w:rPr>
      <w:sz w:val="16"/>
      <w:szCs w:val="16"/>
    </w:rPr>
  </w:style>
  <w:style w:type="character" w:customStyle="1" w:styleId="BodyText3Char">
    <w:name w:val="Body Text 3 Char"/>
    <w:basedOn w:val="DefaultParagraphFont"/>
    <w:link w:val="BodyText3"/>
    <w:rsid w:val="00490EFD"/>
    <w:rPr>
      <w:sz w:val="16"/>
      <w:szCs w:val="16"/>
    </w:rPr>
  </w:style>
  <w:style w:type="paragraph" w:styleId="BodyTextFirstIndent">
    <w:name w:val="Body Text First Indent"/>
    <w:basedOn w:val="BodyText"/>
    <w:link w:val="BodyTextFirstIndentChar"/>
    <w:rsid w:val="00490EFD"/>
    <w:pPr>
      <w:ind w:firstLine="210"/>
    </w:pPr>
  </w:style>
  <w:style w:type="character" w:customStyle="1" w:styleId="BodyTextFirstIndentChar">
    <w:name w:val="Body Text First Indent Char"/>
    <w:basedOn w:val="BodyTextChar"/>
    <w:link w:val="BodyTextFirstIndent"/>
    <w:rsid w:val="00490EFD"/>
    <w:rPr>
      <w:sz w:val="24"/>
      <w:szCs w:val="24"/>
    </w:rPr>
  </w:style>
  <w:style w:type="paragraph" w:styleId="BodyTextIndent">
    <w:name w:val="Body Text Indent"/>
    <w:basedOn w:val="Normal"/>
    <w:link w:val="BodyTextIndentChar"/>
    <w:rsid w:val="00490EFD"/>
    <w:pPr>
      <w:spacing w:after="120"/>
      <w:ind w:left="360"/>
    </w:pPr>
  </w:style>
  <w:style w:type="character" w:customStyle="1" w:styleId="BodyTextIndentChar">
    <w:name w:val="Body Text Indent Char"/>
    <w:basedOn w:val="DefaultParagraphFont"/>
    <w:link w:val="BodyTextIndent"/>
    <w:rsid w:val="00490EFD"/>
    <w:rPr>
      <w:sz w:val="24"/>
      <w:szCs w:val="24"/>
    </w:rPr>
  </w:style>
  <w:style w:type="paragraph" w:styleId="BodyTextFirstIndent2">
    <w:name w:val="Body Text First Indent 2"/>
    <w:basedOn w:val="BodyTextIndent"/>
    <w:link w:val="BodyTextFirstIndent2Char"/>
    <w:rsid w:val="00490EFD"/>
    <w:pPr>
      <w:ind w:firstLine="210"/>
    </w:pPr>
  </w:style>
  <w:style w:type="character" w:customStyle="1" w:styleId="BodyTextFirstIndent2Char">
    <w:name w:val="Body Text First Indent 2 Char"/>
    <w:basedOn w:val="BodyTextIndentChar"/>
    <w:link w:val="BodyTextFirstIndent2"/>
    <w:rsid w:val="00490EFD"/>
    <w:rPr>
      <w:sz w:val="24"/>
      <w:szCs w:val="24"/>
    </w:rPr>
  </w:style>
  <w:style w:type="paragraph" w:styleId="BodyTextIndent2">
    <w:name w:val="Body Text Indent 2"/>
    <w:basedOn w:val="Normal"/>
    <w:link w:val="BodyTextIndent2Char"/>
    <w:rsid w:val="00490EFD"/>
    <w:pPr>
      <w:spacing w:after="120" w:line="480" w:lineRule="auto"/>
      <w:ind w:left="360"/>
    </w:pPr>
  </w:style>
  <w:style w:type="character" w:customStyle="1" w:styleId="BodyTextIndent2Char">
    <w:name w:val="Body Text Indent 2 Char"/>
    <w:basedOn w:val="DefaultParagraphFont"/>
    <w:link w:val="BodyTextIndent2"/>
    <w:rsid w:val="00490EFD"/>
    <w:rPr>
      <w:sz w:val="24"/>
      <w:szCs w:val="24"/>
    </w:rPr>
  </w:style>
  <w:style w:type="paragraph" w:styleId="BodyTextIndent3">
    <w:name w:val="Body Text Indent 3"/>
    <w:basedOn w:val="Normal"/>
    <w:link w:val="BodyTextIndent3Char"/>
    <w:rsid w:val="00490EFD"/>
    <w:pPr>
      <w:spacing w:after="120"/>
      <w:ind w:left="360"/>
    </w:pPr>
    <w:rPr>
      <w:sz w:val="16"/>
      <w:szCs w:val="16"/>
    </w:rPr>
  </w:style>
  <w:style w:type="character" w:customStyle="1" w:styleId="BodyTextIndent3Char">
    <w:name w:val="Body Text Indent 3 Char"/>
    <w:basedOn w:val="DefaultParagraphFont"/>
    <w:link w:val="BodyTextIndent3"/>
    <w:rsid w:val="00490EFD"/>
    <w:rPr>
      <w:sz w:val="16"/>
      <w:szCs w:val="16"/>
    </w:rPr>
  </w:style>
  <w:style w:type="paragraph" w:styleId="Caption">
    <w:name w:val="caption"/>
    <w:basedOn w:val="Normal"/>
    <w:next w:val="Normal"/>
    <w:qFormat/>
    <w:rsid w:val="00490EFD"/>
    <w:pPr>
      <w:spacing w:before="120" w:after="120"/>
    </w:pPr>
    <w:rPr>
      <w:b/>
      <w:bCs/>
      <w:sz w:val="20"/>
      <w:szCs w:val="20"/>
    </w:rPr>
  </w:style>
  <w:style w:type="paragraph" w:styleId="Closing">
    <w:name w:val="Closing"/>
    <w:basedOn w:val="Normal"/>
    <w:link w:val="ClosingChar"/>
    <w:rsid w:val="00490EFD"/>
    <w:pPr>
      <w:ind w:left="4320"/>
    </w:pPr>
  </w:style>
  <w:style w:type="character" w:customStyle="1" w:styleId="ClosingChar">
    <w:name w:val="Closing Char"/>
    <w:basedOn w:val="DefaultParagraphFont"/>
    <w:link w:val="Closing"/>
    <w:rsid w:val="00490EFD"/>
    <w:rPr>
      <w:sz w:val="24"/>
      <w:szCs w:val="24"/>
    </w:rPr>
  </w:style>
  <w:style w:type="paragraph" w:styleId="CommentText">
    <w:name w:val="annotation text"/>
    <w:basedOn w:val="Normal"/>
    <w:link w:val="CommentTextChar"/>
    <w:rsid w:val="00490EFD"/>
    <w:rPr>
      <w:sz w:val="20"/>
      <w:szCs w:val="20"/>
    </w:rPr>
  </w:style>
  <w:style w:type="character" w:customStyle="1" w:styleId="CommentTextChar">
    <w:name w:val="Comment Text Char"/>
    <w:basedOn w:val="DefaultParagraphFont"/>
    <w:link w:val="CommentText"/>
    <w:rsid w:val="00490EFD"/>
  </w:style>
  <w:style w:type="paragraph" w:styleId="CommentSubject">
    <w:name w:val="annotation subject"/>
    <w:basedOn w:val="CommentText"/>
    <w:next w:val="CommentText"/>
    <w:link w:val="CommentSubjectChar"/>
    <w:rsid w:val="00490EFD"/>
    <w:rPr>
      <w:b/>
      <w:bCs/>
    </w:rPr>
  </w:style>
  <w:style w:type="character" w:customStyle="1" w:styleId="CommentSubjectChar">
    <w:name w:val="Comment Subject Char"/>
    <w:basedOn w:val="CommentTextChar"/>
    <w:link w:val="CommentSubject"/>
    <w:rsid w:val="00490EFD"/>
    <w:rPr>
      <w:b/>
      <w:bCs/>
    </w:rPr>
  </w:style>
  <w:style w:type="paragraph" w:styleId="Date">
    <w:name w:val="Date"/>
    <w:basedOn w:val="Normal"/>
    <w:next w:val="Normal"/>
    <w:link w:val="DateChar"/>
    <w:rsid w:val="00490EFD"/>
  </w:style>
  <w:style w:type="character" w:customStyle="1" w:styleId="DateChar">
    <w:name w:val="Date Char"/>
    <w:basedOn w:val="DefaultParagraphFont"/>
    <w:link w:val="Date"/>
    <w:rsid w:val="00490EFD"/>
    <w:rPr>
      <w:sz w:val="24"/>
      <w:szCs w:val="24"/>
    </w:rPr>
  </w:style>
  <w:style w:type="paragraph" w:styleId="E-mailSignature">
    <w:name w:val="E-mail Signature"/>
    <w:basedOn w:val="Normal"/>
    <w:link w:val="E-mailSignatureChar"/>
    <w:rsid w:val="00490EFD"/>
  </w:style>
  <w:style w:type="character" w:customStyle="1" w:styleId="E-mailSignatureChar">
    <w:name w:val="E-mail Signature Char"/>
    <w:basedOn w:val="DefaultParagraphFont"/>
    <w:link w:val="E-mailSignature"/>
    <w:rsid w:val="00490EFD"/>
    <w:rPr>
      <w:sz w:val="24"/>
      <w:szCs w:val="24"/>
    </w:rPr>
  </w:style>
  <w:style w:type="paragraph" w:styleId="EndnoteText">
    <w:name w:val="endnote text"/>
    <w:basedOn w:val="Normal"/>
    <w:link w:val="EndnoteTextChar"/>
    <w:rsid w:val="00490EFD"/>
    <w:rPr>
      <w:sz w:val="20"/>
      <w:szCs w:val="20"/>
    </w:rPr>
  </w:style>
  <w:style w:type="character" w:customStyle="1" w:styleId="EndnoteTextChar">
    <w:name w:val="Endnote Text Char"/>
    <w:basedOn w:val="DefaultParagraphFont"/>
    <w:link w:val="EndnoteText"/>
    <w:rsid w:val="00490EFD"/>
  </w:style>
  <w:style w:type="paragraph" w:styleId="EnvelopeAddress">
    <w:name w:val="envelope address"/>
    <w:basedOn w:val="Normal"/>
    <w:rsid w:val="00490EF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90EFD"/>
    <w:rPr>
      <w:rFonts w:ascii="Arial" w:hAnsi="Arial" w:cs="Arial"/>
      <w:sz w:val="20"/>
      <w:szCs w:val="20"/>
    </w:rPr>
  </w:style>
  <w:style w:type="paragraph" w:styleId="HTMLAddress">
    <w:name w:val="HTML Address"/>
    <w:basedOn w:val="Normal"/>
    <w:link w:val="HTMLAddressChar"/>
    <w:rsid w:val="00490EFD"/>
    <w:rPr>
      <w:i/>
      <w:iCs/>
    </w:rPr>
  </w:style>
  <w:style w:type="character" w:customStyle="1" w:styleId="HTMLAddressChar">
    <w:name w:val="HTML Address Char"/>
    <w:basedOn w:val="DefaultParagraphFont"/>
    <w:link w:val="HTMLAddress"/>
    <w:rsid w:val="00490EFD"/>
    <w:rPr>
      <w:i/>
      <w:iCs/>
      <w:sz w:val="24"/>
      <w:szCs w:val="24"/>
    </w:rPr>
  </w:style>
  <w:style w:type="paragraph" w:styleId="HTMLPreformatted">
    <w:name w:val="HTML Preformatted"/>
    <w:basedOn w:val="Normal"/>
    <w:link w:val="HTMLPreformattedChar"/>
    <w:rsid w:val="00490EFD"/>
    <w:rPr>
      <w:rFonts w:ascii="Courier New" w:hAnsi="Courier New" w:cs="Courier New"/>
      <w:sz w:val="20"/>
      <w:szCs w:val="20"/>
    </w:rPr>
  </w:style>
  <w:style w:type="character" w:customStyle="1" w:styleId="HTMLPreformattedChar">
    <w:name w:val="HTML Preformatted Char"/>
    <w:basedOn w:val="DefaultParagraphFont"/>
    <w:link w:val="HTMLPreformatted"/>
    <w:rsid w:val="00490EFD"/>
    <w:rPr>
      <w:rFonts w:ascii="Courier New" w:hAnsi="Courier New" w:cs="Courier New"/>
    </w:rPr>
  </w:style>
  <w:style w:type="paragraph" w:styleId="Index1">
    <w:name w:val="index 1"/>
    <w:basedOn w:val="Normal"/>
    <w:next w:val="Normal"/>
    <w:autoRedefine/>
    <w:rsid w:val="00490EFD"/>
    <w:pPr>
      <w:ind w:left="240" w:hanging="240"/>
    </w:pPr>
  </w:style>
  <w:style w:type="paragraph" w:styleId="Index2">
    <w:name w:val="index 2"/>
    <w:basedOn w:val="Normal"/>
    <w:next w:val="Normal"/>
    <w:autoRedefine/>
    <w:rsid w:val="00490EFD"/>
    <w:pPr>
      <w:ind w:left="480" w:hanging="240"/>
    </w:pPr>
  </w:style>
  <w:style w:type="paragraph" w:styleId="Index3">
    <w:name w:val="index 3"/>
    <w:basedOn w:val="Normal"/>
    <w:next w:val="Normal"/>
    <w:autoRedefine/>
    <w:rsid w:val="00490EFD"/>
    <w:pPr>
      <w:ind w:left="720" w:hanging="240"/>
    </w:pPr>
  </w:style>
  <w:style w:type="paragraph" w:styleId="Index4">
    <w:name w:val="index 4"/>
    <w:basedOn w:val="Normal"/>
    <w:next w:val="Normal"/>
    <w:autoRedefine/>
    <w:rsid w:val="00490EFD"/>
    <w:pPr>
      <w:ind w:left="960" w:hanging="240"/>
    </w:pPr>
  </w:style>
  <w:style w:type="paragraph" w:styleId="Index5">
    <w:name w:val="index 5"/>
    <w:basedOn w:val="Normal"/>
    <w:next w:val="Normal"/>
    <w:autoRedefine/>
    <w:rsid w:val="00490EFD"/>
    <w:pPr>
      <w:ind w:left="1200" w:hanging="240"/>
    </w:pPr>
  </w:style>
  <w:style w:type="paragraph" w:styleId="Index6">
    <w:name w:val="index 6"/>
    <w:basedOn w:val="Normal"/>
    <w:next w:val="Normal"/>
    <w:autoRedefine/>
    <w:rsid w:val="00490EFD"/>
    <w:pPr>
      <w:ind w:left="1440" w:hanging="240"/>
    </w:pPr>
  </w:style>
  <w:style w:type="paragraph" w:styleId="Index7">
    <w:name w:val="index 7"/>
    <w:basedOn w:val="Normal"/>
    <w:next w:val="Normal"/>
    <w:autoRedefine/>
    <w:rsid w:val="00490EFD"/>
    <w:pPr>
      <w:ind w:left="1680" w:hanging="240"/>
    </w:pPr>
  </w:style>
  <w:style w:type="paragraph" w:styleId="Index8">
    <w:name w:val="index 8"/>
    <w:basedOn w:val="Normal"/>
    <w:next w:val="Normal"/>
    <w:autoRedefine/>
    <w:rsid w:val="00490EFD"/>
    <w:pPr>
      <w:ind w:left="1920" w:hanging="240"/>
    </w:pPr>
  </w:style>
  <w:style w:type="paragraph" w:styleId="Index9">
    <w:name w:val="index 9"/>
    <w:basedOn w:val="Normal"/>
    <w:next w:val="Normal"/>
    <w:autoRedefine/>
    <w:rsid w:val="00490EFD"/>
    <w:pPr>
      <w:ind w:left="2160" w:hanging="240"/>
    </w:pPr>
  </w:style>
  <w:style w:type="paragraph" w:styleId="IndexHeading">
    <w:name w:val="index heading"/>
    <w:basedOn w:val="Normal"/>
    <w:next w:val="Index1"/>
    <w:rsid w:val="00490EFD"/>
    <w:rPr>
      <w:rFonts w:ascii="Arial" w:hAnsi="Arial" w:cs="Arial"/>
      <w:b/>
      <w:bCs/>
    </w:rPr>
  </w:style>
  <w:style w:type="paragraph" w:styleId="List">
    <w:name w:val="List"/>
    <w:basedOn w:val="Normal"/>
    <w:rsid w:val="00490EFD"/>
    <w:pPr>
      <w:ind w:left="360" w:hanging="360"/>
    </w:pPr>
  </w:style>
  <w:style w:type="paragraph" w:styleId="List2">
    <w:name w:val="List 2"/>
    <w:basedOn w:val="Normal"/>
    <w:rsid w:val="00490EFD"/>
    <w:pPr>
      <w:ind w:left="720" w:hanging="360"/>
    </w:pPr>
  </w:style>
  <w:style w:type="paragraph" w:styleId="List3">
    <w:name w:val="List 3"/>
    <w:basedOn w:val="Normal"/>
    <w:rsid w:val="00490EFD"/>
    <w:pPr>
      <w:ind w:left="1080" w:hanging="360"/>
    </w:pPr>
  </w:style>
  <w:style w:type="paragraph" w:styleId="List4">
    <w:name w:val="List 4"/>
    <w:basedOn w:val="Normal"/>
    <w:rsid w:val="00490EFD"/>
    <w:pPr>
      <w:ind w:left="1440" w:hanging="360"/>
    </w:pPr>
  </w:style>
  <w:style w:type="paragraph" w:styleId="List5">
    <w:name w:val="List 5"/>
    <w:basedOn w:val="Normal"/>
    <w:rsid w:val="00490EFD"/>
    <w:pPr>
      <w:ind w:left="1800" w:hanging="360"/>
    </w:pPr>
  </w:style>
  <w:style w:type="paragraph" w:styleId="ListBullet">
    <w:name w:val="List Bullet"/>
    <w:basedOn w:val="Normal"/>
    <w:autoRedefine/>
    <w:rsid w:val="00490EFD"/>
    <w:pPr>
      <w:tabs>
        <w:tab w:val="num" w:pos="360"/>
      </w:tabs>
      <w:ind w:left="360" w:hanging="360"/>
    </w:pPr>
  </w:style>
  <w:style w:type="paragraph" w:styleId="ListBullet2">
    <w:name w:val="List Bullet 2"/>
    <w:basedOn w:val="Normal"/>
    <w:autoRedefine/>
    <w:rsid w:val="00490EFD"/>
    <w:pPr>
      <w:tabs>
        <w:tab w:val="num" w:pos="720"/>
      </w:tabs>
      <w:ind w:left="720" w:hanging="360"/>
    </w:pPr>
  </w:style>
  <w:style w:type="paragraph" w:styleId="ListBullet3">
    <w:name w:val="List Bullet 3"/>
    <w:basedOn w:val="Normal"/>
    <w:autoRedefine/>
    <w:rsid w:val="00490EFD"/>
    <w:pPr>
      <w:tabs>
        <w:tab w:val="num" w:pos="1080"/>
      </w:tabs>
      <w:ind w:left="1080" w:hanging="360"/>
    </w:pPr>
  </w:style>
  <w:style w:type="paragraph" w:styleId="ListBullet4">
    <w:name w:val="List Bullet 4"/>
    <w:basedOn w:val="Normal"/>
    <w:autoRedefine/>
    <w:rsid w:val="00490EFD"/>
    <w:pPr>
      <w:tabs>
        <w:tab w:val="num" w:pos="1440"/>
      </w:tabs>
      <w:ind w:left="1440" w:hanging="360"/>
    </w:pPr>
  </w:style>
  <w:style w:type="paragraph" w:styleId="ListBullet5">
    <w:name w:val="List Bullet 5"/>
    <w:basedOn w:val="Normal"/>
    <w:autoRedefine/>
    <w:rsid w:val="00490EFD"/>
    <w:pPr>
      <w:tabs>
        <w:tab w:val="num" w:pos="1800"/>
      </w:tabs>
      <w:ind w:left="1800" w:hanging="360"/>
    </w:pPr>
  </w:style>
  <w:style w:type="paragraph" w:styleId="ListContinue">
    <w:name w:val="List Continue"/>
    <w:basedOn w:val="Normal"/>
    <w:rsid w:val="00490EFD"/>
    <w:pPr>
      <w:spacing w:after="120"/>
      <w:ind w:left="360"/>
    </w:pPr>
  </w:style>
  <w:style w:type="paragraph" w:styleId="ListContinue2">
    <w:name w:val="List Continue 2"/>
    <w:basedOn w:val="Normal"/>
    <w:rsid w:val="00490EFD"/>
    <w:pPr>
      <w:spacing w:after="120"/>
      <w:ind w:left="720"/>
    </w:pPr>
  </w:style>
  <w:style w:type="paragraph" w:styleId="ListContinue3">
    <w:name w:val="List Continue 3"/>
    <w:basedOn w:val="Normal"/>
    <w:rsid w:val="00490EFD"/>
    <w:pPr>
      <w:spacing w:after="120"/>
      <w:ind w:left="1080"/>
    </w:pPr>
  </w:style>
  <w:style w:type="paragraph" w:styleId="ListContinue4">
    <w:name w:val="List Continue 4"/>
    <w:basedOn w:val="Normal"/>
    <w:rsid w:val="00490EFD"/>
    <w:pPr>
      <w:spacing w:after="120"/>
      <w:ind w:left="1440"/>
    </w:pPr>
  </w:style>
  <w:style w:type="paragraph" w:styleId="ListContinue5">
    <w:name w:val="List Continue 5"/>
    <w:basedOn w:val="Normal"/>
    <w:rsid w:val="00490EFD"/>
    <w:pPr>
      <w:spacing w:after="120"/>
      <w:ind w:left="1800"/>
    </w:pPr>
  </w:style>
  <w:style w:type="paragraph" w:styleId="ListNumber">
    <w:name w:val="List Number"/>
    <w:basedOn w:val="Normal"/>
    <w:rsid w:val="00490EFD"/>
    <w:pPr>
      <w:tabs>
        <w:tab w:val="num" w:pos="360"/>
      </w:tabs>
      <w:ind w:left="360" w:hanging="360"/>
    </w:pPr>
  </w:style>
  <w:style w:type="paragraph" w:styleId="ListNumber2">
    <w:name w:val="List Number 2"/>
    <w:basedOn w:val="Normal"/>
    <w:rsid w:val="00490EFD"/>
    <w:pPr>
      <w:tabs>
        <w:tab w:val="num" w:pos="720"/>
      </w:tabs>
      <w:ind w:left="720" w:hanging="360"/>
    </w:pPr>
  </w:style>
  <w:style w:type="paragraph" w:styleId="ListNumber3">
    <w:name w:val="List Number 3"/>
    <w:basedOn w:val="Normal"/>
    <w:rsid w:val="00490EFD"/>
    <w:pPr>
      <w:tabs>
        <w:tab w:val="num" w:pos="1080"/>
      </w:tabs>
      <w:ind w:left="1080" w:hanging="360"/>
    </w:pPr>
  </w:style>
  <w:style w:type="paragraph" w:styleId="ListNumber4">
    <w:name w:val="List Number 4"/>
    <w:basedOn w:val="Normal"/>
    <w:rsid w:val="00490EFD"/>
    <w:pPr>
      <w:tabs>
        <w:tab w:val="num" w:pos="1440"/>
      </w:tabs>
      <w:ind w:left="1440" w:hanging="360"/>
    </w:pPr>
  </w:style>
  <w:style w:type="paragraph" w:styleId="ListNumber5">
    <w:name w:val="List Number 5"/>
    <w:basedOn w:val="Normal"/>
    <w:rsid w:val="00490EFD"/>
    <w:pPr>
      <w:tabs>
        <w:tab w:val="num" w:pos="1800"/>
      </w:tabs>
      <w:ind w:left="1800" w:hanging="360"/>
    </w:pPr>
  </w:style>
  <w:style w:type="paragraph" w:styleId="MacroText">
    <w:name w:val="macro"/>
    <w:link w:val="MacroTextChar"/>
    <w:rsid w:val="00490E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490EFD"/>
    <w:rPr>
      <w:rFonts w:ascii="Courier New" w:hAnsi="Courier New" w:cs="Courier New"/>
    </w:rPr>
  </w:style>
  <w:style w:type="paragraph" w:styleId="MessageHeader">
    <w:name w:val="Message Header"/>
    <w:basedOn w:val="Normal"/>
    <w:link w:val="MessageHeaderChar"/>
    <w:rsid w:val="00490EF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490EFD"/>
    <w:rPr>
      <w:rFonts w:ascii="Arial" w:hAnsi="Arial" w:cs="Arial"/>
      <w:sz w:val="24"/>
      <w:szCs w:val="24"/>
      <w:shd w:val="pct20" w:color="auto" w:fill="auto"/>
    </w:rPr>
  </w:style>
  <w:style w:type="paragraph" w:styleId="NormalWeb">
    <w:name w:val="Normal (Web)"/>
    <w:basedOn w:val="Normal"/>
    <w:rsid w:val="00490EFD"/>
  </w:style>
  <w:style w:type="paragraph" w:styleId="NormalIndent">
    <w:name w:val="Normal Indent"/>
    <w:basedOn w:val="Normal"/>
    <w:rsid w:val="00490EFD"/>
    <w:pPr>
      <w:ind w:left="720"/>
    </w:pPr>
  </w:style>
  <w:style w:type="paragraph" w:styleId="NoteHeading">
    <w:name w:val="Note Heading"/>
    <w:basedOn w:val="Normal"/>
    <w:next w:val="Normal"/>
    <w:link w:val="NoteHeadingChar"/>
    <w:rsid w:val="00490EFD"/>
  </w:style>
  <w:style w:type="character" w:customStyle="1" w:styleId="NoteHeadingChar">
    <w:name w:val="Note Heading Char"/>
    <w:basedOn w:val="DefaultParagraphFont"/>
    <w:link w:val="NoteHeading"/>
    <w:rsid w:val="00490EFD"/>
    <w:rPr>
      <w:sz w:val="24"/>
      <w:szCs w:val="24"/>
    </w:rPr>
  </w:style>
  <w:style w:type="paragraph" w:styleId="PlainText">
    <w:name w:val="Plain Text"/>
    <w:basedOn w:val="Normal"/>
    <w:link w:val="PlainTextChar"/>
    <w:rsid w:val="00490EFD"/>
    <w:rPr>
      <w:rFonts w:ascii="Courier New" w:hAnsi="Courier New" w:cs="Courier New"/>
      <w:sz w:val="20"/>
      <w:szCs w:val="20"/>
    </w:rPr>
  </w:style>
  <w:style w:type="character" w:customStyle="1" w:styleId="PlainTextChar">
    <w:name w:val="Plain Text Char"/>
    <w:basedOn w:val="DefaultParagraphFont"/>
    <w:link w:val="PlainText"/>
    <w:rsid w:val="00490EFD"/>
    <w:rPr>
      <w:rFonts w:ascii="Courier New" w:hAnsi="Courier New" w:cs="Courier New"/>
    </w:rPr>
  </w:style>
  <w:style w:type="paragraph" w:styleId="Salutation">
    <w:name w:val="Salutation"/>
    <w:basedOn w:val="Normal"/>
    <w:next w:val="Normal"/>
    <w:link w:val="SalutationChar"/>
    <w:rsid w:val="00490EFD"/>
  </w:style>
  <w:style w:type="character" w:customStyle="1" w:styleId="SalutationChar">
    <w:name w:val="Salutation Char"/>
    <w:basedOn w:val="DefaultParagraphFont"/>
    <w:link w:val="Salutation"/>
    <w:rsid w:val="00490EFD"/>
    <w:rPr>
      <w:sz w:val="24"/>
      <w:szCs w:val="24"/>
    </w:rPr>
  </w:style>
  <w:style w:type="paragraph" w:styleId="Signature">
    <w:name w:val="Signature"/>
    <w:basedOn w:val="Normal"/>
    <w:link w:val="SignatureChar"/>
    <w:rsid w:val="00490EFD"/>
    <w:pPr>
      <w:ind w:left="4320"/>
    </w:pPr>
  </w:style>
  <w:style w:type="character" w:customStyle="1" w:styleId="SignatureChar">
    <w:name w:val="Signature Char"/>
    <w:basedOn w:val="DefaultParagraphFont"/>
    <w:link w:val="Signature"/>
    <w:rsid w:val="00490EFD"/>
    <w:rPr>
      <w:sz w:val="24"/>
      <w:szCs w:val="24"/>
    </w:rPr>
  </w:style>
  <w:style w:type="paragraph" w:styleId="Subtitle">
    <w:name w:val="Subtitle"/>
    <w:basedOn w:val="Normal"/>
    <w:link w:val="SubtitleChar"/>
    <w:qFormat/>
    <w:rsid w:val="00490EFD"/>
    <w:pPr>
      <w:spacing w:after="60"/>
      <w:jc w:val="center"/>
      <w:outlineLvl w:val="1"/>
    </w:pPr>
    <w:rPr>
      <w:rFonts w:ascii="Arial" w:hAnsi="Arial" w:cs="Arial"/>
    </w:rPr>
  </w:style>
  <w:style w:type="character" w:customStyle="1" w:styleId="SubtitleChar">
    <w:name w:val="Subtitle Char"/>
    <w:basedOn w:val="DefaultParagraphFont"/>
    <w:link w:val="Subtitle"/>
    <w:rsid w:val="00490EFD"/>
    <w:rPr>
      <w:rFonts w:ascii="Arial" w:hAnsi="Arial" w:cs="Arial"/>
      <w:sz w:val="24"/>
      <w:szCs w:val="24"/>
    </w:rPr>
  </w:style>
  <w:style w:type="paragraph" w:styleId="TableofAuthorities">
    <w:name w:val="table of authorities"/>
    <w:basedOn w:val="Normal"/>
    <w:next w:val="Normal"/>
    <w:rsid w:val="00490EFD"/>
    <w:pPr>
      <w:ind w:left="240" w:hanging="240"/>
    </w:pPr>
  </w:style>
  <w:style w:type="paragraph" w:styleId="TableofFigures">
    <w:name w:val="table of figures"/>
    <w:basedOn w:val="Normal"/>
    <w:next w:val="Normal"/>
    <w:rsid w:val="00490EFD"/>
    <w:pPr>
      <w:ind w:left="480" w:hanging="480"/>
    </w:pPr>
  </w:style>
  <w:style w:type="paragraph" w:styleId="Title">
    <w:name w:val="Title"/>
    <w:basedOn w:val="Normal"/>
    <w:link w:val="TitleChar"/>
    <w:qFormat/>
    <w:rsid w:val="00490EF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490EFD"/>
    <w:rPr>
      <w:rFonts w:ascii="Arial" w:hAnsi="Arial" w:cs="Arial"/>
      <w:b/>
      <w:bCs/>
      <w:kern w:val="28"/>
      <w:sz w:val="32"/>
      <w:szCs w:val="32"/>
    </w:rPr>
  </w:style>
  <w:style w:type="paragraph" w:styleId="TOAHeading">
    <w:name w:val="toa heading"/>
    <w:basedOn w:val="Normal"/>
    <w:next w:val="Normal"/>
    <w:rsid w:val="00490EFD"/>
    <w:pPr>
      <w:spacing w:before="120"/>
    </w:pPr>
    <w:rPr>
      <w:rFonts w:ascii="Arial" w:hAnsi="Arial" w:cs="Arial"/>
      <w:b/>
      <w:bCs/>
    </w:rPr>
  </w:style>
  <w:style w:type="paragraph" w:styleId="TOC4">
    <w:name w:val="toc 4"/>
    <w:basedOn w:val="Normal"/>
    <w:next w:val="Normal"/>
    <w:autoRedefine/>
    <w:rsid w:val="00490EFD"/>
    <w:pPr>
      <w:ind w:left="720"/>
    </w:pPr>
  </w:style>
  <w:style w:type="paragraph" w:styleId="TOC5">
    <w:name w:val="toc 5"/>
    <w:basedOn w:val="Normal"/>
    <w:next w:val="Normal"/>
    <w:autoRedefine/>
    <w:rsid w:val="00490EFD"/>
    <w:pPr>
      <w:ind w:left="960"/>
    </w:pPr>
  </w:style>
  <w:style w:type="paragraph" w:styleId="TOC6">
    <w:name w:val="toc 6"/>
    <w:basedOn w:val="Normal"/>
    <w:next w:val="Normal"/>
    <w:autoRedefine/>
    <w:rsid w:val="00490EFD"/>
    <w:pPr>
      <w:ind w:left="1200"/>
    </w:pPr>
  </w:style>
  <w:style w:type="paragraph" w:styleId="TOC9">
    <w:name w:val="toc 9"/>
    <w:basedOn w:val="TOC1"/>
    <w:next w:val="Normal"/>
    <w:autoRedefine/>
    <w:rsid w:val="00490EFD"/>
    <w:pPr>
      <w:ind w:left="1728"/>
    </w:pPr>
    <w:rPr>
      <w:u w:val="single"/>
    </w:rPr>
  </w:style>
  <w:style w:type="paragraph" w:customStyle="1" w:styleId="MemoHeadingLabel">
    <w:name w:val="Memo Heading Label"/>
    <w:basedOn w:val="MemoHeading"/>
    <w:qFormat/>
    <w:rsid w:val="00490EFD"/>
    <w:rPr>
      <w:rFonts w:ascii="Arial" w:hAnsi="Arial"/>
      <w:b/>
    </w:rPr>
  </w:style>
  <w:style w:type="paragraph" w:customStyle="1" w:styleId="First-LevelSubheading">
    <w:name w:val="First-Level Subheading"/>
    <w:basedOn w:val="IssueSubsectionHeading"/>
    <w:next w:val="BodyText"/>
    <w:qFormat/>
    <w:rsid w:val="00490EFD"/>
    <w:pPr>
      <w:spacing w:after="0"/>
      <w:outlineLvl w:val="2"/>
    </w:pPr>
    <w:rPr>
      <w:b/>
    </w:rPr>
  </w:style>
  <w:style w:type="paragraph" w:customStyle="1" w:styleId="Second-LevelSubheading">
    <w:name w:val="Second-Level Subheading"/>
    <w:basedOn w:val="First-LevelSubheading"/>
    <w:next w:val="BodyText"/>
    <w:qFormat/>
    <w:rsid w:val="00490EFD"/>
    <w:pPr>
      <w:ind w:left="720"/>
      <w:outlineLvl w:val="3"/>
    </w:pPr>
    <w:rPr>
      <w:i/>
    </w:rPr>
  </w:style>
  <w:style w:type="paragraph" w:customStyle="1" w:styleId="TableNumber">
    <w:name w:val="Table Number"/>
    <w:basedOn w:val="BodyText"/>
    <w:next w:val="BodyText"/>
    <w:qFormat/>
    <w:rsid w:val="00490EFD"/>
    <w:pPr>
      <w:spacing w:before="480" w:after="0"/>
      <w:jc w:val="center"/>
    </w:pPr>
    <w:rPr>
      <w:rFonts w:ascii="Arial" w:hAnsi="Arial"/>
      <w:b/>
    </w:rPr>
  </w:style>
  <w:style w:type="paragraph" w:customStyle="1" w:styleId="TableTitle">
    <w:name w:val="Table Title"/>
    <w:basedOn w:val="BodyText"/>
    <w:next w:val="BodyText"/>
    <w:qFormat/>
    <w:rsid w:val="00490EFD"/>
    <w:pPr>
      <w:spacing w:after="0"/>
      <w:jc w:val="center"/>
    </w:pPr>
    <w:rPr>
      <w:rFonts w:ascii="Arial" w:hAnsi="Arial"/>
      <w:b/>
    </w:rPr>
  </w:style>
  <w:style w:type="paragraph" w:customStyle="1" w:styleId="TableSource">
    <w:name w:val="Table Source"/>
    <w:basedOn w:val="BodyText"/>
    <w:next w:val="BodyText"/>
    <w:qFormat/>
    <w:rsid w:val="00490EFD"/>
    <w:pPr>
      <w:spacing w:after="480"/>
      <w:jc w:val="both"/>
    </w:pPr>
  </w:style>
  <w:style w:type="paragraph" w:styleId="ListParagraph">
    <w:name w:val="List Paragraph"/>
    <w:basedOn w:val="Normal"/>
    <w:uiPriority w:val="34"/>
    <w:qFormat/>
    <w:rsid w:val="00490EFD"/>
    <w:pPr>
      <w:ind w:left="720"/>
      <w:contextualSpacing/>
    </w:pPr>
    <w:rPr>
      <w:rFonts w:ascii="Calibri" w:eastAsia="Calibri" w:hAnsi="Calibri"/>
    </w:rPr>
  </w:style>
  <w:style w:type="character" w:styleId="FollowedHyperlink">
    <w:name w:val="FollowedHyperlink"/>
    <w:uiPriority w:val="99"/>
    <w:unhideWhenUsed/>
    <w:rsid w:val="00490EF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148</TotalTime>
  <Pages>15</Pages>
  <Words>4714</Words>
  <Characters>27048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31</cp:revision>
  <cp:lastPrinted>2015-08-11T18:25:00Z</cp:lastPrinted>
  <dcterms:created xsi:type="dcterms:W3CDTF">2015-07-21T19:43:00Z</dcterms:created>
  <dcterms:modified xsi:type="dcterms:W3CDTF">2015-08-11T18:25:00Z</dcterms:modified>
</cp:coreProperties>
</file>