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9D2" w:rsidRDefault="00CF79D2" w:rsidP="00CF79D2">
      <w:pPr>
        <w:pStyle w:val="OrderHeading"/>
      </w:pPr>
      <w:r>
        <w:t>BEFORE THE FLORIDA PUBLIC SERVICE COMMISSION</w:t>
      </w:r>
    </w:p>
    <w:p w:rsidR="00CF79D2" w:rsidRDefault="00CF79D2" w:rsidP="00CF79D2">
      <w:pPr>
        <w:pStyle w:val="OrderHeading"/>
      </w:pPr>
    </w:p>
    <w:p w:rsidR="00CF79D2" w:rsidRDefault="00CF79D2" w:rsidP="00CF79D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F79D2" w:rsidRPr="00C63FCF" w:rsidTr="00E722F9">
        <w:trPr>
          <w:trHeight w:val="828"/>
        </w:trPr>
        <w:tc>
          <w:tcPr>
            <w:tcW w:w="4788" w:type="dxa"/>
            <w:tcBorders>
              <w:bottom w:val="single" w:sz="8" w:space="0" w:color="auto"/>
              <w:right w:val="double" w:sz="6" w:space="0" w:color="auto"/>
            </w:tcBorders>
            <w:shd w:val="clear" w:color="auto" w:fill="auto"/>
          </w:tcPr>
          <w:p w:rsidR="00CF79D2" w:rsidRDefault="00CF79D2" w:rsidP="00E722F9">
            <w:pPr>
              <w:pStyle w:val="OrderBody"/>
              <w:tabs>
                <w:tab w:val="center" w:pos="4320"/>
                <w:tab w:val="right" w:pos="8640"/>
              </w:tabs>
              <w:jc w:val="left"/>
            </w:pPr>
            <w:r>
              <w:t xml:space="preserve">In re: </w:t>
            </w:r>
            <w:bookmarkStart w:id="0" w:name="SSInRe"/>
            <w:bookmarkEnd w:id="0"/>
            <w:r>
              <w:t>Petition by Communications Authority, Inc. for arbitration of Section 252(b) interconnection agreement with BellSouth Telecommunications, LLC d/b/a AT&amp;T Florida.</w:t>
            </w:r>
          </w:p>
        </w:tc>
        <w:tc>
          <w:tcPr>
            <w:tcW w:w="4788" w:type="dxa"/>
            <w:tcBorders>
              <w:left w:val="double" w:sz="6" w:space="0" w:color="auto"/>
            </w:tcBorders>
            <w:shd w:val="clear" w:color="auto" w:fill="auto"/>
          </w:tcPr>
          <w:p w:rsidR="00CF79D2" w:rsidRDefault="00CF79D2" w:rsidP="00E722F9">
            <w:pPr>
              <w:pStyle w:val="OrderBody"/>
            </w:pPr>
            <w:r>
              <w:t xml:space="preserve">DOCKET NO. </w:t>
            </w:r>
            <w:bookmarkStart w:id="1" w:name="SSDocketNo"/>
            <w:bookmarkEnd w:id="1"/>
            <w:r>
              <w:t>140156-TP</w:t>
            </w:r>
          </w:p>
          <w:p w:rsidR="00CF79D2" w:rsidRDefault="00CF79D2" w:rsidP="00E722F9">
            <w:pPr>
              <w:pStyle w:val="OrderBody"/>
              <w:tabs>
                <w:tab w:val="center" w:pos="4320"/>
                <w:tab w:val="right" w:pos="8640"/>
              </w:tabs>
              <w:jc w:val="left"/>
            </w:pPr>
            <w:r>
              <w:t xml:space="preserve">ORDER NO. </w:t>
            </w:r>
            <w:bookmarkStart w:id="2" w:name="OrderNo0344"/>
            <w:r w:rsidR="00DC47AD">
              <w:t>PSC-15-0344-PCO-TP</w:t>
            </w:r>
            <w:bookmarkEnd w:id="2"/>
          </w:p>
          <w:p w:rsidR="00CF79D2" w:rsidRDefault="00CF79D2" w:rsidP="00E722F9">
            <w:pPr>
              <w:pStyle w:val="OrderBody"/>
              <w:tabs>
                <w:tab w:val="center" w:pos="4320"/>
                <w:tab w:val="right" w:pos="8640"/>
              </w:tabs>
              <w:jc w:val="left"/>
            </w:pPr>
            <w:r>
              <w:t xml:space="preserve">ISSUED: </w:t>
            </w:r>
            <w:r w:rsidR="00DC47AD">
              <w:t>August 25, 2015</w:t>
            </w:r>
          </w:p>
        </w:tc>
      </w:tr>
    </w:tbl>
    <w:p w:rsidR="00CF79D2" w:rsidRDefault="00CF79D2" w:rsidP="00CF79D2"/>
    <w:p w:rsidR="00CF79D2" w:rsidRDefault="00CF79D2" w:rsidP="00CF79D2"/>
    <w:p w:rsidR="00CF79D2" w:rsidRDefault="00CF79D2" w:rsidP="00CF79D2">
      <w:pPr>
        <w:pStyle w:val="CenterUnderline"/>
      </w:pPr>
      <w:bookmarkStart w:id="3" w:name="Commissioners"/>
      <w:bookmarkEnd w:id="3"/>
      <w:r>
        <w:t>ORDER</w:t>
      </w:r>
      <w:bookmarkStart w:id="4" w:name="OrderTitle"/>
      <w:r w:rsidR="00805A69">
        <w:t xml:space="preserve"> GRANTING IN PART</w:t>
      </w:r>
      <w:r w:rsidR="004B5227">
        <w:t xml:space="preserve"> AND DENYING IN PART </w:t>
      </w:r>
      <w:r>
        <w:t xml:space="preserve">MOTION TO </w:t>
      </w:r>
    </w:p>
    <w:p w:rsidR="00CF79D2" w:rsidRDefault="00805A69" w:rsidP="00CF79D2">
      <w:pPr>
        <w:pStyle w:val="CenterUnderline"/>
      </w:pPr>
      <w:r>
        <w:t xml:space="preserve">STRIKE AND DENYING </w:t>
      </w:r>
      <w:r w:rsidR="00CF79D2">
        <w:t xml:space="preserve">REQUEST FOR ATTORNEY’S FEES </w:t>
      </w:r>
      <w:bookmarkEnd w:id="4"/>
    </w:p>
    <w:p w:rsidR="00CF79D2" w:rsidRDefault="00CF79D2" w:rsidP="00CF79D2">
      <w:pPr>
        <w:pStyle w:val="CenterUnderline"/>
      </w:pPr>
    </w:p>
    <w:p w:rsidR="00CF79D2" w:rsidRDefault="00CF79D2" w:rsidP="00CF79D2">
      <w:pPr>
        <w:pStyle w:val="OrderBody"/>
      </w:pPr>
      <w:r>
        <w:tab/>
        <w:t>On August 20, 2014, Communications Authority (CA) filed a Petition for Arbitration seeking resolution of certain issues arising between BellSouth Telecommunications, LLC d/b/a/AT&amp;T Florida (AT&amp;T Florida) and CA in negotiating an interconnection agreement.  A hearing was held on May 6 through May 7, 2015</w:t>
      </w:r>
      <w:r w:rsidR="004B5227">
        <w:t>,</w:t>
      </w:r>
      <w:r>
        <w:t xml:space="preserve"> and post hearing briefs were filed June 5, 2015.  On June 19, 2015, AT&amp;T Florida filed a Motion to Strike and for Attorney’s fees.  On June 26, 2015, CA filed </w:t>
      </w:r>
      <w:r w:rsidR="00D823A6">
        <w:t>a</w:t>
      </w:r>
      <w:r>
        <w:t xml:space="preserve"> Response in Opposition (Response).</w:t>
      </w:r>
    </w:p>
    <w:p w:rsidR="00CF79D2" w:rsidRDefault="00CF79D2" w:rsidP="00CF79D2">
      <w:pPr>
        <w:pStyle w:val="OrderBody"/>
      </w:pPr>
    </w:p>
    <w:p w:rsidR="00E92739" w:rsidRPr="00E92739" w:rsidRDefault="00E92739" w:rsidP="00CF79D2">
      <w:pPr>
        <w:pStyle w:val="OrderBody"/>
        <w:rPr>
          <w:u w:val="single"/>
        </w:rPr>
      </w:pPr>
      <w:r w:rsidRPr="00E92739">
        <w:rPr>
          <w:u w:val="single"/>
        </w:rPr>
        <w:t>Motion to Strike</w:t>
      </w:r>
    </w:p>
    <w:p w:rsidR="00E92739" w:rsidRDefault="00E92739" w:rsidP="00CF79D2">
      <w:pPr>
        <w:pStyle w:val="OrderBody"/>
      </w:pPr>
    </w:p>
    <w:p w:rsidR="00CF79D2" w:rsidRDefault="00CF79D2" w:rsidP="00CF79D2">
      <w:pPr>
        <w:pStyle w:val="OrderBody"/>
        <w:ind w:firstLine="720"/>
      </w:pPr>
      <w:r>
        <w:t>In its motion, AT&amp;T Florida request</w:t>
      </w:r>
      <w:r w:rsidR="00C645B1">
        <w:t>s</w:t>
      </w:r>
      <w:r>
        <w:t>, pursuant to Rule 28-106.204, Florida Administrative Code (F.A.C.), that the Commission issue an order striking four exhibits CA attached to its post-hearing brief that were never introduced in evidence, four assertions based on the improperly filed exhibits, and an additional twenty-one assertions AT&amp;T Florida argu</w:t>
      </w:r>
      <w:r w:rsidR="00C645B1">
        <w:t>es</w:t>
      </w:r>
      <w:r>
        <w:t xml:space="preserve"> </w:t>
      </w:r>
      <w:r w:rsidR="00C645B1">
        <w:t>are</w:t>
      </w:r>
      <w:r>
        <w:t xml:space="preserve"> not supported by evidence in the record. AT&amp;T Florida request</w:t>
      </w:r>
      <w:r w:rsidR="00C645B1">
        <w:t>s</w:t>
      </w:r>
      <w:r>
        <w:t xml:space="preserve"> the Commission direct CA to refile its post-hearing brief without the four exhibits and with all the identified passages deleted.</w:t>
      </w:r>
      <w:r w:rsidR="00C645B1">
        <w:t xml:space="preserve"> </w:t>
      </w:r>
      <w:r>
        <w:t xml:space="preserve"> </w:t>
      </w:r>
    </w:p>
    <w:p w:rsidR="00844789" w:rsidRDefault="00844789" w:rsidP="00844789">
      <w:pPr>
        <w:pStyle w:val="OrderBody"/>
      </w:pPr>
    </w:p>
    <w:p w:rsidR="00C645B1" w:rsidRDefault="00C645B1" w:rsidP="00844789">
      <w:pPr>
        <w:pStyle w:val="OrderBody"/>
        <w:ind w:firstLine="720"/>
      </w:pPr>
      <w:r>
        <w:t xml:space="preserve">Commission </w:t>
      </w:r>
      <w:r w:rsidR="004E5B6F">
        <w:t>s</w:t>
      </w:r>
      <w:r>
        <w:t xml:space="preserve">taff previously notified the parties </w:t>
      </w:r>
      <w:r w:rsidR="00844789">
        <w:t xml:space="preserve">the additional exhibits CA attached to its post-hearing brief </w:t>
      </w:r>
      <w:r w:rsidR="0091742C">
        <w:t>were viewed</w:t>
      </w:r>
      <w:r w:rsidR="00844789">
        <w:t xml:space="preserve"> as new information not included in the hearing record and as such, will not be considered. Further, the assertions based upon the four improper exhibits </w:t>
      </w:r>
      <w:r w:rsidR="0091742C">
        <w:t>would</w:t>
      </w:r>
      <w:r w:rsidR="00844789">
        <w:t xml:space="preserve"> also not be considered.  In its response, </w:t>
      </w:r>
      <w:r>
        <w:t>CA does not oppose the removal of these statements and the four exhibits.</w:t>
      </w:r>
      <w:r>
        <w:rPr>
          <w:rStyle w:val="FootnoteReference"/>
        </w:rPr>
        <w:footnoteReference w:id="1"/>
      </w:r>
      <w:r w:rsidR="00844789">
        <w:t xml:space="preserve"> In its response, CA argues the additional assertions AT&amp;T Florida wishes the Commission to strike are supported by the record.</w:t>
      </w:r>
    </w:p>
    <w:p w:rsidR="00C645B1" w:rsidRDefault="00C645B1" w:rsidP="00CF79D2">
      <w:pPr>
        <w:pStyle w:val="OrderBody"/>
        <w:ind w:firstLine="720"/>
      </w:pPr>
    </w:p>
    <w:p w:rsidR="00BE054E" w:rsidRDefault="00C645B1" w:rsidP="00BE054E">
      <w:pPr>
        <w:pStyle w:val="OrderBody"/>
        <w:ind w:firstLine="720"/>
      </w:pPr>
      <w:r>
        <w:t xml:space="preserve">As always, staff will ensure that the facts asserted in the parties’ post-hearing briefs are supported in the hearing record, </w:t>
      </w:r>
      <w:r w:rsidR="0091742C">
        <w:t xml:space="preserve">when making its recommendation to the Commission. </w:t>
      </w:r>
      <w:r w:rsidR="00BE054E">
        <w:t>Based on the concerns raised by AT&amp;T Florida in</w:t>
      </w:r>
      <w:r w:rsidR="0091742C">
        <w:t xml:space="preserve"> its Motion and review of CA’s R</w:t>
      </w:r>
      <w:r w:rsidR="00BE054E">
        <w:t>esponse</w:t>
      </w:r>
      <w:r w:rsidR="0091742C">
        <w:t>,</w:t>
      </w:r>
      <w:r w:rsidR="00BE054E">
        <w:t xml:space="preserve"> there appears to be no foundation in the evidentiary record to </w:t>
      </w:r>
      <w:r w:rsidR="00E45E17">
        <w:t xml:space="preserve">support </w:t>
      </w:r>
      <w:r w:rsidR="00BE054E">
        <w:t xml:space="preserve">the assertions </w:t>
      </w:r>
      <w:r w:rsidR="0091742C">
        <w:t>made by CA</w:t>
      </w:r>
      <w:r w:rsidR="00E45E17">
        <w:t xml:space="preserve"> </w:t>
      </w:r>
      <w:r w:rsidR="00BE054E">
        <w:t xml:space="preserve">in AT&amp;T Florida’s challenges </w:t>
      </w:r>
      <w:r w:rsidR="004B5227">
        <w:t xml:space="preserve">Nos. </w:t>
      </w:r>
      <w:r w:rsidR="00BE054E">
        <w:t>1</w:t>
      </w:r>
      <w:r w:rsidR="004B5227">
        <w:t>-5</w:t>
      </w:r>
      <w:r w:rsidR="00BE054E">
        <w:t>,</w:t>
      </w:r>
      <w:r w:rsidR="004B5227">
        <w:t xml:space="preserve"> 7-10</w:t>
      </w:r>
      <w:r w:rsidR="00BE054E">
        <w:t xml:space="preserve">, 12, 22, 23.  It is appropriate to strike these assertions from CA’s post-hearing brief. However it is not deemed necessary </w:t>
      </w:r>
      <w:r w:rsidR="0091742C">
        <w:t>for</w:t>
      </w:r>
      <w:r w:rsidR="00BE054E">
        <w:t xml:space="preserve"> CA refile its post-hearing brief as staff is instructed not to rely upon the above</w:t>
      </w:r>
      <w:r w:rsidR="0091742C">
        <w:t>-referenced</w:t>
      </w:r>
      <w:r w:rsidR="00BE054E">
        <w:t xml:space="preserve"> information.</w:t>
      </w:r>
    </w:p>
    <w:p w:rsidR="00BE054E" w:rsidRDefault="00BE054E" w:rsidP="00BE054E">
      <w:pPr>
        <w:pStyle w:val="OrderBody"/>
        <w:ind w:firstLine="720"/>
      </w:pPr>
    </w:p>
    <w:p w:rsidR="00844789" w:rsidRDefault="00BE054E" w:rsidP="00E45E17">
      <w:pPr>
        <w:pStyle w:val="OrderBody"/>
        <w:ind w:firstLine="720"/>
      </w:pPr>
      <w:r>
        <w:lastRenderedPageBreak/>
        <w:t>Upon review</w:t>
      </w:r>
      <w:r w:rsidR="00E45E17">
        <w:t xml:space="preserve"> </w:t>
      </w:r>
      <w:r w:rsidR="009A3D6D">
        <w:t xml:space="preserve">of </w:t>
      </w:r>
      <w:r w:rsidR="00E45E17">
        <w:t>AT&amp;T Florida</w:t>
      </w:r>
      <w:r w:rsidR="009A3D6D">
        <w:t>’s remaining challenges</w:t>
      </w:r>
      <w:r w:rsidR="00E45E17">
        <w:t xml:space="preserve"> </w:t>
      </w:r>
      <w:r w:rsidR="004B5227">
        <w:t xml:space="preserve">Nos. </w:t>
      </w:r>
      <w:r w:rsidR="00E45E17">
        <w:t xml:space="preserve">6, 11, 13, 14, 15, 16, 17, 18, 19, 20, 21, 24, 25, </w:t>
      </w:r>
      <w:r w:rsidR="0091742C">
        <w:t xml:space="preserve">it appears </w:t>
      </w:r>
      <w:r w:rsidR="00E45E17">
        <w:t>information</w:t>
      </w:r>
      <w:r w:rsidR="004B5227">
        <w:t xml:space="preserve"> is</w:t>
      </w:r>
      <w:r w:rsidR="00E45E17">
        <w:t xml:space="preserve"> in the evidentiary record to support </w:t>
      </w:r>
      <w:r w:rsidR="004B5227">
        <w:t>the</w:t>
      </w:r>
      <w:r w:rsidR="009A3D6D">
        <w:t xml:space="preserve"> </w:t>
      </w:r>
      <w:r w:rsidR="00E45E17">
        <w:t>aforementioned assertions</w:t>
      </w:r>
      <w:r w:rsidR="004B5227">
        <w:t xml:space="preserve"> not necessarily as delineated by CA</w:t>
      </w:r>
      <w:r w:rsidR="00E45E17">
        <w:t xml:space="preserve">. Overall it appears to be a failure by CA to properly cite </w:t>
      </w:r>
      <w:r w:rsidR="004B5227">
        <w:t xml:space="preserve">to </w:t>
      </w:r>
      <w:r w:rsidR="00E45E17">
        <w:t xml:space="preserve">the record rather than a purposeful attempt to introduce new evidence into the record.  </w:t>
      </w:r>
      <w:r w:rsidR="00E45E17" w:rsidRPr="00BA4DC3">
        <w:t xml:space="preserve">These </w:t>
      </w:r>
      <w:r w:rsidR="00844789" w:rsidRPr="00BA4DC3">
        <w:t>assertions appear to be arguments, opinions, or conclusions with which AT&amp;T Florida disagrees</w:t>
      </w:r>
      <w:r w:rsidR="00536F0A" w:rsidRPr="00BA4DC3">
        <w:t>.</w:t>
      </w:r>
      <w:r w:rsidR="00536F0A">
        <w:t xml:space="preserve">  These assertions are CA’s interpretation of the evidence. </w:t>
      </w:r>
      <w:r w:rsidR="00E45E17">
        <w:t xml:space="preserve">Again, </w:t>
      </w:r>
      <w:r w:rsidR="0091742C">
        <w:t>th</w:t>
      </w:r>
      <w:r w:rsidR="00BA4DC3">
        <w:t>is</w:t>
      </w:r>
      <w:r w:rsidR="0091742C">
        <w:t xml:space="preserve"> Commission</w:t>
      </w:r>
      <w:r w:rsidR="00E45E17">
        <w:t xml:space="preserve"> will gi</w:t>
      </w:r>
      <w:r w:rsidR="00BA4DC3">
        <w:t>ve the information the weight it is</w:t>
      </w:r>
      <w:r w:rsidR="00EE2FE5">
        <w:t xml:space="preserve"> due</w:t>
      </w:r>
      <w:r w:rsidR="00BA4DC3">
        <w:t>.</w:t>
      </w:r>
    </w:p>
    <w:p w:rsidR="00844789" w:rsidRDefault="00844789" w:rsidP="00844789">
      <w:pPr>
        <w:pStyle w:val="OrderBody"/>
      </w:pPr>
    </w:p>
    <w:p w:rsidR="00E92739" w:rsidRPr="00E92739" w:rsidRDefault="00E92739" w:rsidP="00844789">
      <w:pPr>
        <w:pStyle w:val="OrderBody"/>
        <w:rPr>
          <w:u w:val="single"/>
        </w:rPr>
      </w:pPr>
      <w:r w:rsidRPr="00E92739">
        <w:rPr>
          <w:u w:val="single"/>
        </w:rPr>
        <w:t>Request for Attorney’s Fees</w:t>
      </w:r>
    </w:p>
    <w:p w:rsidR="00E92739" w:rsidRDefault="00E92739" w:rsidP="00844789">
      <w:pPr>
        <w:pStyle w:val="OrderBody"/>
      </w:pPr>
    </w:p>
    <w:p w:rsidR="00CF79D2" w:rsidRDefault="003B2407" w:rsidP="00CF79D2">
      <w:pPr>
        <w:pStyle w:val="OrderBody"/>
        <w:ind w:firstLine="720"/>
      </w:pPr>
      <w:r w:rsidRPr="003B2407">
        <w:t>Section 120.569(</w:t>
      </w:r>
      <w:r>
        <w:t>2</w:t>
      </w:r>
      <w:r w:rsidRPr="003B2407">
        <w:t>)(e), Florida Statutes (F.S.), requires all pleadings, motions, or other papers must be signed by the party, the party’s attorney, or the party’s qualified representative certifying the filing is not used for an improper purpose including to harass, or cause unnecessary delay, or for a frivolous purpose or to needlessly increase the cost of litigation.  Under section 120.569(</w:t>
      </w:r>
      <w:r>
        <w:t>2</w:t>
      </w:r>
      <w:r w:rsidRPr="003B2407">
        <w:t>)(e)</w:t>
      </w:r>
      <w:r w:rsidR="00E92739">
        <w:t xml:space="preserve"> F.S.</w:t>
      </w:r>
      <w:r w:rsidRPr="003B2407">
        <w:t>, the presiding officer ha</w:t>
      </w:r>
      <w:r w:rsidR="0091742C">
        <w:t>s authority to impose sanctions</w:t>
      </w:r>
      <w:r w:rsidRPr="003B2407">
        <w:t xml:space="preserve"> upon a person who has signed a pleading, motion, or other papers violating these requirements. AT&amp;T Florida argues, in a footnote, that CA knew it was improper to rely on evidence outside the record but proceeded to do so regardless. AT&amp;T Florida has requested the Commission, to discourage parties' “cavalier approach to complying with its rules</w:t>
      </w:r>
      <w:r w:rsidR="0091742C">
        <w:t>,”</w:t>
      </w:r>
      <w:r w:rsidRPr="003B2407">
        <w:t xml:space="preserve"> impose attorney’s fees caused by the need to address CA’s improper conduct.  </w:t>
      </w:r>
      <w:r w:rsidR="0091742C">
        <w:t>Although</w:t>
      </w:r>
      <w:r w:rsidRPr="003B2407">
        <w:t xml:space="preserve"> CA's brief does </w:t>
      </w:r>
      <w:r w:rsidR="002D4CA3" w:rsidRPr="003B2407">
        <w:t>contain</w:t>
      </w:r>
      <w:r w:rsidRPr="003B2407">
        <w:t xml:space="preserve"> references to evidence not </w:t>
      </w:r>
      <w:r w:rsidR="0091742C">
        <w:t>supported by the hearing record,</w:t>
      </w:r>
      <w:r w:rsidRPr="003B2407">
        <w:t xml:space="preserve"> </w:t>
      </w:r>
      <w:r w:rsidR="0091742C">
        <w:t>it</w:t>
      </w:r>
      <w:r w:rsidRPr="003B2407">
        <w:t xml:space="preserve"> does not rise to the level of a frivolous action nor does it appear to be for an improper purpose</w:t>
      </w:r>
      <w:r w:rsidR="0091742C">
        <w:t xml:space="preserve">. </w:t>
      </w:r>
      <w:r w:rsidR="00D823A6" w:rsidRPr="003B2407">
        <w:t>I</w:t>
      </w:r>
      <w:r w:rsidRPr="003B2407">
        <w:t xml:space="preserve"> caution parties</w:t>
      </w:r>
      <w:r w:rsidR="0091742C">
        <w:t>, however, to stay within</w:t>
      </w:r>
      <w:r w:rsidRPr="003B2407">
        <w:t xml:space="preserve"> the hearing record</w:t>
      </w:r>
      <w:r w:rsidR="0091742C">
        <w:t xml:space="preserve"> when preparing post-hearing filings</w:t>
      </w:r>
      <w:r w:rsidRPr="003B2407">
        <w:t>.  Therefore, the request for sanctions in the form of attorney’s fees is denied.</w:t>
      </w:r>
    </w:p>
    <w:p w:rsidR="003B2407" w:rsidRDefault="003B2407" w:rsidP="00CF79D2">
      <w:pPr>
        <w:pStyle w:val="OrderBody"/>
        <w:ind w:firstLine="720"/>
      </w:pPr>
    </w:p>
    <w:p w:rsidR="00CF79D2" w:rsidRDefault="00CF79D2" w:rsidP="00CF79D2">
      <w:pPr>
        <w:pStyle w:val="OrderBody"/>
        <w:ind w:firstLine="720"/>
      </w:pPr>
      <w:r>
        <w:t xml:space="preserve">Rule 28-106.211, F.A.C., specifically provides that the presiding officer before whom a case is pending may issue any order necessary to effectuate discovery, prevent delay and promote the just, speedy, and inexpensive determination of all aspect of the case.  This Order is issued pursuant to that authority. </w:t>
      </w:r>
    </w:p>
    <w:p w:rsidR="00CF79D2" w:rsidRDefault="00CF79D2" w:rsidP="00CF79D2"/>
    <w:p w:rsidR="00CF79D2" w:rsidRDefault="00CF79D2" w:rsidP="00CF79D2">
      <w:pPr>
        <w:pStyle w:val="OrderBody"/>
      </w:pPr>
      <w:r>
        <w:tab/>
        <w:t xml:space="preserve">Based on the foregoing, it is </w:t>
      </w:r>
    </w:p>
    <w:p w:rsidR="00CF79D2" w:rsidRDefault="00CF79D2" w:rsidP="00CF79D2">
      <w:pPr>
        <w:pStyle w:val="OrderBody"/>
      </w:pPr>
    </w:p>
    <w:p w:rsidR="00805A69" w:rsidRDefault="00CF79D2" w:rsidP="00CF79D2">
      <w:pPr>
        <w:pStyle w:val="OrderBody"/>
        <w:ind w:firstLine="720"/>
      </w:pPr>
      <w:r>
        <w:t xml:space="preserve">ORDERED by Commissioner Ronald A. Brisé, as Prehearing Officer, that BellSouth Telecommunications, LLC d/b/a AT&amp;T Florida’s Motion to Strike </w:t>
      </w:r>
      <w:r w:rsidR="00805A69">
        <w:t xml:space="preserve">is hereby granted in part and denied in part, as described in the body of this Order. It is further </w:t>
      </w:r>
    </w:p>
    <w:p w:rsidR="00805A69" w:rsidRDefault="00805A69" w:rsidP="00CF79D2">
      <w:pPr>
        <w:pStyle w:val="OrderBody"/>
        <w:ind w:firstLine="720"/>
      </w:pPr>
    </w:p>
    <w:p w:rsidR="00CF79D2" w:rsidRDefault="00805A69" w:rsidP="00CF79D2">
      <w:pPr>
        <w:pStyle w:val="OrderBody"/>
        <w:ind w:firstLine="720"/>
      </w:pPr>
      <w:r>
        <w:t>ORDERED that BellSouth Telecommunications, LLC d/b/a AT&amp;T Florida’s request for attorney’s fees</w:t>
      </w:r>
      <w:r w:rsidR="00CF79D2">
        <w:t xml:space="preserve"> is hereby denied. </w:t>
      </w:r>
    </w:p>
    <w:p w:rsidR="00CF79D2" w:rsidRDefault="00CF79D2" w:rsidP="00CF79D2">
      <w:pPr>
        <w:pStyle w:val="OrderBody"/>
      </w:pPr>
    </w:p>
    <w:p w:rsidR="00CF79D2" w:rsidRDefault="00CF79D2" w:rsidP="00CF79D2">
      <w:pPr>
        <w:pStyle w:val="OrderBody"/>
      </w:pPr>
    </w:p>
    <w:p w:rsidR="00CF79D2" w:rsidRDefault="00CF79D2" w:rsidP="00CF79D2">
      <w:pPr>
        <w:pStyle w:val="OrderBody"/>
        <w:keepNext/>
        <w:keepLines/>
      </w:pPr>
      <w:r>
        <w:lastRenderedPageBreak/>
        <w:tab/>
        <w:t xml:space="preserve">By ORDER of Commissioner Ronald A. Brisé, as Prehearing Officer, this </w:t>
      </w:r>
      <w:bookmarkStart w:id="5" w:name="replaceDate"/>
      <w:bookmarkEnd w:id="5"/>
      <w:r w:rsidR="00DC47AD">
        <w:rPr>
          <w:u w:val="single"/>
        </w:rPr>
        <w:t>25th</w:t>
      </w:r>
      <w:r w:rsidR="00DC47AD">
        <w:t xml:space="preserve"> day of </w:t>
      </w:r>
      <w:r w:rsidR="00DC47AD">
        <w:rPr>
          <w:u w:val="single"/>
        </w:rPr>
        <w:t>August</w:t>
      </w:r>
      <w:r w:rsidR="00DC47AD">
        <w:t xml:space="preserve">, </w:t>
      </w:r>
      <w:r w:rsidR="00DC47AD">
        <w:rPr>
          <w:u w:val="single"/>
        </w:rPr>
        <w:t>2015</w:t>
      </w:r>
      <w:r w:rsidR="00DC47AD">
        <w:t>.</w:t>
      </w:r>
    </w:p>
    <w:p w:rsidR="00DC47AD" w:rsidRPr="00DC47AD" w:rsidRDefault="00DC47AD" w:rsidP="00CF79D2">
      <w:pPr>
        <w:pStyle w:val="OrderBody"/>
        <w:keepNext/>
        <w:keepLines/>
      </w:pPr>
    </w:p>
    <w:p w:rsidR="00CF79D2" w:rsidRDefault="00CF79D2" w:rsidP="00CF79D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F79D2" w:rsidTr="00E722F9">
        <w:tc>
          <w:tcPr>
            <w:tcW w:w="720" w:type="dxa"/>
            <w:shd w:val="clear" w:color="auto" w:fill="auto"/>
          </w:tcPr>
          <w:p w:rsidR="00CF79D2" w:rsidRDefault="00CF79D2" w:rsidP="00E722F9">
            <w:pPr>
              <w:pStyle w:val="OrderBody"/>
              <w:keepNext/>
              <w:keepLines/>
            </w:pPr>
            <w:bookmarkStart w:id="6" w:name="bkmrkSignature" w:colFirst="0" w:colLast="0"/>
          </w:p>
        </w:tc>
        <w:tc>
          <w:tcPr>
            <w:tcW w:w="4320" w:type="dxa"/>
            <w:tcBorders>
              <w:bottom w:val="single" w:sz="4" w:space="0" w:color="auto"/>
            </w:tcBorders>
            <w:shd w:val="clear" w:color="auto" w:fill="auto"/>
          </w:tcPr>
          <w:p w:rsidR="00CF79D2" w:rsidRDefault="00BB35F5" w:rsidP="00E722F9">
            <w:pPr>
              <w:pStyle w:val="OrderBody"/>
              <w:keepNext/>
              <w:keepLines/>
            </w:pPr>
            <w:r>
              <w:t>/s/ Ronald A. Brisé</w:t>
            </w:r>
            <w:bookmarkStart w:id="7" w:name="_GoBack"/>
            <w:bookmarkEnd w:id="7"/>
          </w:p>
        </w:tc>
      </w:tr>
      <w:bookmarkEnd w:id="6"/>
      <w:tr w:rsidR="00CF79D2" w:rsidTr="00E722F9">
        <w:tc>
          <w:tcPr>
            <w:tcW w:w="720" w:type="dxa"/>
            <w:shd w:val="clear" w:color="auto" w:fill="auto"/>
          </w:tcPr>
          <w:p w:rsidR="00CF79D2" w:rsidRDefault="00CF79D2" w:rsidP="00E722F9">
            <w:pPr>
              <w:pStyle w:val="OrderBody"/>
              <w:keepNext/>
              <w:keepLines/>
            </w:pPr>
          </w:p>
        </w:tc>
        <w:tc>
          <w:tcPr>
            <w:tcW w:w="4320" w:type="dxa"/>
            <w:tcBorders>
              <w:top w:val="single" w:sz="4" w:space="0" w:color="auto"/>
            </w:tcBorders>
            <w:shd w:val="clear" w:color="auto" w:fill="auto"/>
          </w:tcPr>
          <w:p w:rsidR="00CF79D2" w:rsidRDefault="00CF79D2" w:rsidP="00E722F9">
            <w:pPr>
              <w:pStyle w:val="OrderBody"/>
              <w:keepNext/>
              <w:keepLines/>
            </w:pPr>
            <w:r>
              <w:t>RONALD A. BRISÉ</w:t>
            </w:r>
          </w:p>
          <w:p w:rsidR="00CF79D2" w:rsidRDefault="00CF79D2" w:rsidP="00E722F9">
            <w:pPr>
              <w:pStyle w:val="OrderBody"/>
              <w:keepNext/>
              <w:keepLines/>
            </w:pPr>
            <w:r>
              <w:t>Commissioner and Prehearing Officer</w:t>
            </w:r>
          </w:p>
        </w:tc>
      </w:tr>
    </w:tbl>
    <w:p w:rsidR="00CF79D2" w:rsidRDefault="00CF79D2" w:rsidP="00CF79D2">
      <w:pPr>
        <w:pStyle w:val="OrderSigInfo"/>
        <w:keepNext/>
        <w:keepLines/>
      </w:pPr>
      <w:r>
        <w:t>Florida Public Service Commission</w:t>
      </w:r>
    </w:p>
    <w:p w:rsidR="00CF79D2" w:rsidRDefault="00CF79D2" w:rsidP="00CF79D2">
      <w:pPr>
        <w:pStyle w:val="OrderSigInfo"/>
        <w:keepNext/>
        <w:keepLines/>
      </w:pPr>
      <w:r>
        <w:t>2540 Shumard Oak Boulevard</w:t>
      </w:r>
    </w:p>
    <w:p w:rsidR="00CF79D2" w:rsidRDefault="00CF79D2" w:rsidP="00CF79D2">
      <w:pPr>
        <w:pStyle w:val="OrderSigInfo"/>
        <w:keepNext/>
        <w:keepLines/>
      </w:pPr>
      <w:r>
        <w:t>Tallahassee, Florida  32399</w:t>
      </w:r>
    </w:p>
    <w:p w:rsidR="00CF79D2" w:rsidRDefault="00CF79D2" w:rsidP="00CF79D2">
      <w:pPr>
        <w:pStyle w:val="OrderSigInfo"/>
        <w:keepNext/>
        <w:keepLines/>
      </w:pPr>
      <w:r>
        <w:t>(850) 413</w:t>
      </w:r>
      <w:r>
        <w:noBreakHyphen/>
        <w:t>6770</w:t>
      </w:r>
    </w:p>
    <w:p w:rsidR="00CF79D2" w:rsidRDefault="00CF79D2" w:rsidP="00CF79D2">
      <w:pPr>
        <w:pStyle w:val="OrderSigInfo"/>
        <w:keepNext/>
        <w:keepLines/>
      </w:pPr>
      <w:r>
        <w:t>www.floridapsc.com</w:t>
      </w:r>
    </w:p>
    <w:p w:rsidR="00CF79D2" w:rsidRDefault="00CF79D2" w:rsidP="00CF79D2">
      <w:pPr>
        <w:pStyle w:val="OrderSigInfo"/>
        <w:keepNext/>
        <w:keepLines/>
      </w:pPr>
    </w:p>
    <w:p w:rsidR="00CF79D2" w:rsidRDefault="00CF79D2" w:rsidP="00CF79D2">
      <w:pPr>
        <w:pStyle w:val="OrderSigInfo"/>
        <w:keepNext/>
        <w:keepLines/>
      </w:pPr>
      <w:r>
        <w:t>Copies furnished:  A copy of this document is provided to the parties of record at the time of issuance and, if applicable, interested persons.</w:t>
      </w:r>
    </w:p>
    <w:p w:rsidR="00CF79D2" w:rsidRDefault="00CF79D2" w:rsidP="00CF79D2">
      <w:pPr>
        <w:pStyle w:val="OrderBody"/>
        <w:keepNext/>
        <w:keepLines/>
      </w:pPr>
    </w:p>
    <w:p w:rsidR="00CF79D2" w:rsidRDefault="00CF79D2" w:rsidP="00CF79D2">
      <w:pPr>
        <w:pStyle w:val="OrderBody"/>
        <w:keepNext/>
        <w:keepLines/>
      </w:pPr>
    </w:p>
    <w:p w:rsidR="00CF79D2" w:rsidRDefault="00CF79D2" w:rsidP="00CF79D2">
      <w:pPr>
        <w:pStyle w:val="OrderBody"/>
        <w:keepNext/>
        <w:keepLines/>
      </w:pPr>
      <w:r>
        <w:t>LAA</w:t>
      </w:r>
    </w:p>
    <w:p w:rsidR="00CF79D2" w:rsidRDefault="00CF79D2" w:rsidP="00CF79D2">
      <w:pPr>
        <w:pStyle w:val="OrderBody"/>
      </w:pPr>
    </w:p>
    <w:p w:rsidR="00CF79D2" w:rsidRDefault="00CF79D2" w:rsidP="00CF79D2">
      <w:pPr>
        <w:pStyle w:val="OrderBody"/>
      </w:pPr>
    </w:p>
    <w:p w:rsidR="00CF79D2" w:rsidRDefault="00CF79D2" w:rsidP="00CF79D2">
      <w:pPr>
        <w:pStyle w:val="CenterUnderline"/>
      </w:pPr>
    </w:p>
    <w:p w:rsidR="00805A69" w:rsidRDefault="00805A69" w:rsidP="00CF79D2">
      <w:pPr>
        <w:pStyle w:val="CenterUnderline"/>
      </w:pPr>
    </w:p>
    <w:p w:rsidR="00805A69" w:rsidRDefault="00805A69" w:rsidP="00CF79D2">
      <w:pPr>
        <w:pStyle w:val="CenterUnderline"/>
      </w:pPr>
    </w:p>
    <w:p w:rsidR="00805A69" w:rsidRDefault="00805A69" w:rsidP="00CF79D2">
      <w:pPr>
        <w:pStyle w:val="CenterUnderline"/>
      </w:pPr>
    </w:p>
    <w:p w:rsidR="00805A69" w:rsidRDefault="00805A69" w:rsidP="00CF79D2">
      <w:pPr>
        <w:pStyle w:val="CenterUnderline"/>
      </w:pPr>
    </w:p>
    <w:p w:rsidR="00805A69" w:rsidRDefault="00805A69" w:rsidP="00CF79D2">
      <w:pPr>
        <w:pStyle w:val="CenterUnderline"/>
      </w:pPr>
    </w:p>
    <w:p w:rsidR="00805A69" w:rsidRDefault="00805A69" w:rsidP="00CF79D2">
      <w:pPr>
        <w:pStyle w:val="CenterUnderline"/>
      </w:pPr>
    </w:p>
    <w:p w:rsidR="00805A69" w:rsidRDefault="00805A69" w:rsidP="00CF79D2">
      <w:pPr>
        <w:pStyle w:val="CenterUnderline"/>
      </w:pPr>
    </w:p>
    <w:p w:rsidR="00805A69" w:rsidRDefault="00805A69" w:rsidP="00CF79D2">
      <w:pPr>
        <w:pStyle w:val="CenterUnderline"/>
      </w:pPr>
    </w:p>
    <w:p w:rsidR="00805A69" w:rsidRDefault="00805A69" w:rsidP="00CF79D2">
      <w:pPr>
        <w:pStyle w:val="CenterUnderline"/>
      </w:pPr>
    </w:p>
    <w:p w:rsidR="00805A69" w:rsidRDefault="00805A69" w:rsidP="00CF79D2">
      <w:pPr>
        <w:pStyle w:val="CenterUnderline"/>
      </w:pPr>
    </w:p>
    <w:p w:rsidR="00805A69" w:rsidRDefault="00805A69" w:rsidP="00CF79D2">
      <w:pPr>
        <w:pStyle w:val="CenterUnderline"/>
      </w:pPr>
    </w:p>
    <w:p w:rsidR="00805A69" w:rsidRDefault="00805A69" w:rsidP="00CF79D2">
      <w:pPr>
        <w:pStyle w:val="CenterUnderline"/>
      </w:pPr>
    </w:p>
    <w:p w:rsidR="00805A69" w:rsidRDefault="00805A69" w:rsidP="00CF79D2">
      <w:pPr>
        <w:pStyle w:val="CenterUnderline"/>
      </w:pPr>
    </w:p>
    <w:p w:rsidR="00805A69" w:rsidRDefault="00805A69" w:rsidP="00CF79D2">
      <w:pPr>
        <w:pStyle w:val="CenterUnderline"/>
      </w:pPr>
    </w:p>
    <w:p w:rsidR="00805A69" w:rsidRDefault="00805A69" w:rsidP="00CF79D2">
      <w:pPr>
        <w:pStyle w:val="CenterUnderline"/>
      </w:pPr>
    </w:p>
    <w:p w:rsidR="00805A69" w:rsidRDefault="00805A69" w:rsidP="00CF79D2">
      <w:pPr>
        <w:pStyle w:val="CenterUnderline"/>
      </w:pPr>
    </w:p>
    <w:p w:rsidR="00805A69" w:rsidRDefault="00805A69" w:rsidP="00CF79D2">
      <w:pPr>
        <w:pStyle w:val="CenterUnderline"/>
      </w:pPr>
    </w:p>
    <w:p w:rsidR="004B5227" w:rsidRDefault="004B5227" w:rsidP="00CF79D2">
      <w:pPr>
        <w:pStyle w:val="CenterUnderline"/>
      </w:pPr>
    </w:p>
    <w:p w:rsidR="004B5227" w:rsidRDefault="004B5227" w:rsidP="00CF79D2">
      <w:pPr>
        <w:pStyle w:val="CenterUnderline"/>
      </w:pPr>
    </w:p>
    <w:p w:rsidR="004B5227" w:rsidRDefault="004B5227" w:rsidP="00CF79D2">
      <w:pPr>
        <w:pStyle w:val="CenterUnderline"/>
      </w:pPr>
    </w:p>
    <w:p w:rsidR="004B5227" w:rsidRDefault="004B5227" w:rsidP="00CF79D2">
      <w:pPr>
        <w:pStyle w:val="CenterUnderline"/>
      </w:pPr>
    </w:p>
    <w:p w:rsidR="004B5227" w:rsidRDefault="004B5227" w:rsidP="00CF79D2">
      <w:pPr>
        <w:pStyle w:val="CenterUnderline"/>
      </w:pPr>
    </w:p>
    <w:p w:rsidR="00DC47AD" w:rsidRDefault="00DC47AD" w:rsidP="00CF79D2">
      <w:pPr>
        <w:pStyle w:val="CenterUnderline"/>
      </w:pPr>
    </w:p>
    <w:p w:rsidR="00CF79D2" w:rsidRDefault="00CF79D2" w:rsidP="00CF79D2">
      <w:pPr>
        <w:pStyle w:val="CenterUnderline"/>
      </w:pPr>
      <w:r>
        <w:lastRenderedPageBreak/>
        <w:t>NOTICE OF FURTHER PROCEEDINGS OR JUDICIAL REVIEW</w:t>
      </w:r>
    </w:p>
    <w:p w:rsidR="00CF79D2" w:rsidRDefault="00CF79D2" w:rsidP="00CF79D2">
      <w:pPr>
        <w:pStyle w:val="CenterUnderline"/>
        <w:rPr>
          <w:u w:val="none"/>
        </w:rPr>
      </w:pPr>
    </w:p>
    <w:p w:rsidR="00CF79D2" w:rsidRDefault="00CF79D2" w:rsidP="00CF79D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F79D2" w:rsidRDefault="00CF79D2" w:rsidP="00CF79D2">
      <w:pPr>
        <w:pStyle w:val="OrderBody"/>
      </w:pPr>
    </w:p>
    <w:p w:rsidR="00CF79D2" w:rsidRDefault="00CF79D2" w:rsidP="00CF79D2">
      <w:pPr>
        <w:pStyle w:val="OrderBody"/>
      </w:pPr>
      <w:r>
        <w:tab/>
        <w:t>Mediation may be available on a case-by-case basis.  If mediation is conducted, it does not affect a substantially interested person's right to a hearing.</w:t>
      </w:r>
    </w:p>
    <w:p w:rsidR="00CF79D2" w:rsidRDefault="00CF79D2" w:rsidP="00CF79D2">
      <w:pPr>
        <w:pStyle w:val="OrderBody"/>
      </w:pPr>
    </w:p>
    <w:p w:rsidR="00613BA5" w:rsidRDefault="00CF79D2" w:rsidP="00805A6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613BA5">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9D2" w:rsidRDefault="00CF79D2" w:rsidP="00CF79D2">
      <w:r>
        <w:separator/>
      </w:r>
    </w:p>
  </w:endnote>
  <w:endnote w:type="continuationSeparator" w:id="0">
    <w:p w:rsidR="00CF79D2" w:rsidRDefault="00CF79D2" w:rsidP="00CF7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MS P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PMincho">
    <w:altName w:val="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BB35F5">
    <w:pPr>
      <w:pStyle w:val="Footer"/>
    </w:pPr>
  </w:p>
  <w:p w:rsidR="00FA6EFD" w:rsidRDefault="00BB35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9D2" w:rsidRDefault="00CF79D2" w:rsidP="00CF79D2">
      <w:r>
        <w:separator/>
      </w:r>
    </w:p>
  </w:footnote>
  <w:footnote w:type="continuationSeparator" w:id="0">
    <w:p w:rsidR="00CF79D2" w:rsidRDefault="00CF79D2" w:rsidP="00CF79D2">
      <w:r>
        <w:continuationSeparator/>
      </w:r>
    </w:p>
  </w:footnote>
  <w:footnote w:id="1">
    <w:p w:rsidR="00C645B1" w:rsidRDefault="00C645B1" w:rsidP="00C645B1">
      <w:pPr>
        <w:pStyle w:val="FootnoteText"/>
      </w:pPr>
      <w:r>
        <w:rPr>
          <w:rStyle w:val="FootnoteReference"/>
        </w:rPr>
        <w:footnoteRef/>
      </w:r>
      <w:r>
        <w:t xml:space="preserve"> CA’s Response, Page 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3B2407">
    <w:pPr>
      <w:pStyle w:val="OrderHeader"/>
    </w:pPr>
    <w:r>
      <w:t xml:space="preserve">ORDER NO. </w:t>
    </w:r>
    <w:fldSimple w:instr=" REF OrderNo0344 ">
      <w:r w:rsidR="00BB35F5">
        <w:t>PSC-15-0344-PCO-TP</w:t>
      </w:r>
    </w:fldSimple>
  </w:p>
  <w:p w:rsidR="00FA6EFD" w:rsidRDefault="003B2407">
    <w:pPr>
      <w:pStyle w:val="OrderHeader"/>
    </w:pPr>
    <w:bookmarkStart w:id="8" w:name="HeaderDocketNo"/>
    <w:bookmarkEnd w:id="8"/>
    <w:r>
      <w:t>DOCKET NO. 140156-TP</w:t>
    </w:r>
  </w:p>
  <w:p w:rsidR="00FA6EFD" w:rsidRDefault="003B240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B35F5">
      <w:rPr>
        <w:rStyle w:val="PageNumber"/>
        <w:noProof/>
      </w:rPr>
      <w:t>4</w:t>
    </w:r>
    <w:r>
      <w:rPr>
        <w:rStyle w:val="PageNumber"/>
      </w:rPr>
      <w:fldChar w:fldCharType="end"/>
    </w:r>
  </w:p>
  <w:p w:rsidR="00FA6EFD" w:rsidRDefault="00BB35F5">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333E0F57"/>
    <w:multiLevelType w:val="hybridMultilevel"/>
    <w:tmpl w:val="AFA85AD6"/>
    <w:lvl w:ilvl="0" w:tplc="44CA65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5975B90"/>
    <w:multiLevelType w:val="multilevel"/>
    <w:tmpl w:val="9E26B4E8"/>
    <w:numStyleLink w:val="ArticleSection"/>
  </w:abstractNum>
  <w:abstractNum w:abstractNumId="13">
    <w:nsid w:val="59962A63"/>
    <w:multiLevelType w:val="hybridMultilevel"/>
    <w:tmpl w:val="18A6E39A"/>
    <w:lvl w:ilvl="0" w:tplc="88C2250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7B960E42"/>
    <w:multiLevelType w:val="multilevel"/>
    <w:tmpl w:val="9E26B4E8"/>
    <w:numStyleLink w:val="ArticleSection"/>
  </w:abstractNum>
  <w:abstractNum w:abstractNumId="16">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6"/>
  </w:num>
  <w:num w:numId="2">
    <w:abstractNumId w:val="15"/>
  </w:num>
  <w:num w:numId="3">
    <w:abstractNumId w:val="14"/>
  </w:num>
  <w:num w:numId="4">
    <w:abstractNumId w:val="10"/>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9D2"/>
    <w:rsid w:val="0006179E"/>
    <w:rsid w:val="000C144B"/>
    <w:rsid w:val="00132986"/>
    <w:rsid w:val="002D4CA3"/>
    <w:rsid w:val="003B2407"/>
    <w:rsid w:val="00474CE8"/>
    <w:rsid w:val="004B5227"/>
    <w:rsid w:val="004E5B6F"/>
    <w:rsid w:val="0052625C"/>
    <w:rsid w:val="00536F0A"/>
    <w:rsid w:val="00553C64"/>
    <w:rsid w:val="00613BA5"/>
    <w:rsid w:val="00662066"/>
    <w:rsid w:val="00805A69"/>
    <w:rsid w:val="00844789"/>
    <w:rsid w:val="0091742C"/>
    <w:rsid w:val="00932709"/>
    <w:rsid w:val="0096110F"/>
    <w:rsid w:val="00967CCD"/>
    <w:rsid w:val="009A3D6D"/>
    <w:rsid w:val="00BA4DC3"/>
    <w:rsid w:val="00BB35F5"/>
    <w:rsid w:val="00BE054E"/>
    <w:rsid w:val="00C32959"/>
    <w:rsid w:val="00C645B1"/>
    <w:rsid w:val="00CF79D2"/>
    <w:rsid w:val="00D823A6"/>
    <w:rsid w:val="00DC47AD"/>
    <w:rsid w:val="00E45E17"/>
    <w:rsid w:val="00E92739"/>
    <w:rsid w:val="00EE2FE5"/>
    <w:rsid w:val="00EE76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Strong" w:uiPriority="22"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79D2"/>
    <w:rPr>
      <w:rFonts w:ascii="Times New Roman" w:eastAsia="Times New Roman" w:hAnsi="Times New Roman"/>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rFonts w:asciiTheme="minorHAnsi" w:eastAsiaTheme="minorHAnsi" w:hAnsiTheme="minorHAnsi"/>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rFonts w:asciiTheme="minorHAnsi" w:eastAsiaTheme="minorHAnsi" w:hAnsiTheme="minorHAnsi"/>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rFonts w:asciiTheme="minorHAnsi" w:eastAsiaTheme="minorHAnsi" w:hAnsiTheme="minorHAnsi"/>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662066"/>
    <w:pPr>
      <w:spacing w:before="240" w:after="60"/>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rPr>
      <w:rFonts w:asciiTheme="minorHAnsi" w:eastAsiaTheme="minorHAnsi" w:hAnsiTheme="minorHAnsi"/>
    </w:rPr>
  </w:style>
  <w:style w:type="paragraph" w:styleId="BodyText">
    <w:name w:val="Body Text"/>
    <w:basedOn w:val="Normal"/>
    <w:uiPriority w:val="99"/>
    <w:semiHidden/>
    <w:unhideWhenUsed/>
    <w:pPr>
      <w:spacing w:after="120"/>
    </w:pPr>
    <w:rPr>
      <w:rFonts w:asciiTheme="minorHAnsi" w:eastAsiaTheme="minorHAnsi" w:hAnsiTheme="minorHAnsi"/>
    </w:rPr>
  </w:style>
  <w:style w:type="paragraph" w:styleId="BodyText2">
    <w:name w:val="Body Text 2"/>
    <w:basedOn w:val="Normal"/>
    <w:uiPriority w:val="99"/>
    <w:semiHidden/>
    <w:unhideWhenUsed/>
    <w:pPr>
      <w:spacing w:after="120" w:line="480" w:lineRule="auto"/>
    </w:pPr>
    <w:rPr>
      <w:rFonts w:asciiTheme="minorHAnsi" w:eastAsiaTheme="minorHAnsi" w:hAnsiTheme="minorHAnsi"/>
    </w:rPr>
  </w:style>
  <w:style w:type="paragraph" w:styleId="BodyText3">
    <w:name w:val="Body Text 3"/>
    <w:basedOn w:val="Normal"/>
    <w:uiPriority w:val="99"/>
    <w:semiHidden/>
    <w:unhideWhenUsed/>
    <w:pPr>
      <w:spacing w:after="120"/>
    </w:pPr>
    <w:rPr>
      <w:rFonts w:asciiTheme="minorHAnsi" w:eastAsiaTheme="minorHAnsi" w:hAnsiTheme="minorHAnsi"/>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rPr>
      <w:rFonts w:asciiTheme="minorHAnsi" w:eastAsiaTheme="minorHAnsi" w:hAnsiTheme="minorHAnsi"/>
    </w:r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rPr>
      <w:rFonts w:asciiTheme="minorHAnsi" w:eastAsiaTheme="minorHAnsi" w:hAnsiTheme="minorHAnsi"/>
    </w:rPr>
  </w:style>
  <w:style w:type="paragraph" w:styleId="BodyTextIndent3">
    <w:name w:val="Body Text Indent 3"/>
    <w:basedOn w:val="Normal"/>
    <w:uiPriority w:val="99"/>
    <w:semiHidden/>
    <w:unhideWhenUsed/>
    <w:pPr>
      <w:spacing w:after="120"/>
      <w:ind w:left="360"/>
    </w:pPr>
    <w:rPr>
      <w:rFonts w:asciiTheme="minorHAnsi" w:eastAsiaTheme="minorHAnsi" w:hAnsiTheme="minorHAnsi"/>
      <w:sz w:val="16"/>
      <w:szCs w:val="16"/>
    </w:rPr>
  </w:style>
  <w:style w:type="paragraph" w:styleId="Closing">
    <w:name w:val="Closing"/>
    <w:basedOn w:val="Normal"/>
    <w:uiPriority w:val="99"/>
    <w:semiHidden/>
    <w:unhideWhenUsed/>
    <w:pPr>
      <w:ind w:left="4320"/>
    </w:pPr>
    <w:rPr>
      <w:rFonts w:asciiTheme="minorHAnsi" w:eastAsiaTheme="minorHAnsi" w:hAnsiTheme="minorHAnsi"/>
    </w:rPr>
  </w:style>
  <w:style w:type="paragraph" w:styleId="Date">
    <w:name w:val="Date"/>
    <w:basedOn w:val="Normal"/>
    <w:next w:val="Normal"/>
    <w:uiPriority w:val="99"/>
    <w:semiHidden/>
    <w:unhideWhenUsed/>
    <w:rPr>
      <w:rFonts w:asciiTheme="minorHAnsi" w:eastAsiaTheme="minorHAnsi" w:hAnsiTheme="minorHAnsi"/>
    </w:rPr>
  </w:style>
  <w:style w:type="paragraph" w:styleId="E-mailSignature">
    <w:name w:val="E-mail Signature"/>
    <w:basedOn w:val="Normal"/>
    <w:uiPriority w:val="99"/>
    <w:semiHidden/>
    <w:unhideWhenUsed/>
    <w:rPr>
      <w:rFonts w:asciiTheme="minorHAnsi" w:eastAsiaTheme="minorHAnsi" w:hAnsiTheme="minorHAnsi"/>
    </w:rPr>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eastAsiaTheme="minorHAnsi" w:hAnsi="Arial" w:cs="Arial"/>
    </w:rPr>
  </w:style>
  <w:style w:type="paragraph" w:styleId="EnvelopeReturn">
    <w:name w:val="envelope return"/>
    <w:basedOn w:val="Normal"/>
    <w:uiPriority w:val="99"/>
    <w:semiHidden/>
    <w:unhideWhenUsed/>
    <w:rPr>
      <w:rFonts w:ascii="Arial" w:eastAsiaTheme="minorHAnsi"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nhideWhenUsed/>
    <w:rsid w:val="00132986"/>
    <w:pPr>
      <w:tabs>
        <w:tab w:val="center" w:pos="4680"/>
        <w:tab w:val="right" w:pos="9360"/>
      </w:tabs>
    </w:pPr>
    <w:rPr>
      <w:rFonts w:asciiTheme="minorHAnsi" w:eastAsiaTheme="minorHAnsi" w:hAnsiTheme="minorHAnsi"/>
    </w:rPr>
  </w:style>
  <w:style w:type="paragraph" w:styleId="Header">
    <w:name w:val="header"/>
    <w:basedOn w:val="Normal"/>
    <w:unhideWhenUsed/>
    <w:rsid w:val="00132986"/>
    <w:pPr>
      <w:tabs>
        <w:tab w:val="center" w:pos="4680"/>
        <w:tab w:val="right" w:pos="9360"/>
      </w:tabs>
    </w:pPr>
    <w:rPr>
      <w:rFonts w:asciiTheme="minorHAnsi" w:eastAsiaTheme="minorHAnsi" w:hAnsiTheme="minorHAnsi"/>
    </w:r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rFonts w:asciiTheme="minorHAnsi" w:eastAsiaTheme="minorHAnsi" w:hAnsiTheme="minorHAnsi"/>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eastAsiaTheme="minorHAnsi"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rPr>
      <w:rFonts w:asciiTheme="minorHAnsi" w:eastAsiaTheme="minorHAnsi" w:hAnsiTheme="minorHAnsi"/>
    </w:rPr>
  </w:style>
  <w:style w:type="paragraph" w:styleId="List2">
    <w:name w:val="List 2"/>
    <w:basedOn w:val="Normal"/>
    <w:uiPriority w:val="99"/>
    <w:semiHidden/>
    <w:unhideWhenUsed/>
    <w:pPr>
      <w:ind w:left="720" w:hanging="360"/>
    </w:pPr>
    <w:rPr>
      <w:rFonts w:asciiTheme="minorHAnsi" w:eastAsiaTheme="minorHAnsi" w:hAnsiTheme="minorHAnsi"/>
    </w:rPr>
  </w:style>
  <w:style w:type="paragraph" w:styleId="List3">
    <w:name w:val="List 3"/>
    <w:basedOn w:val="Normal"/>
    <w:uiPriority w:val="99"/>
    <w:semiHidden/>
    <w:unhideWhenUsed/>
    <w:pPr>
      <w:ind w:left="1080" w:hanging="360"/>
    </w:pPr>
    <w:rPr>
      <w:rFonts w:asciiTheme="minorHAnsi" w:eastAsiaTheme="minorHAnsi" w:hAnsiTheme="minorHAnsi"/>
    </w:rPr>
  </w:style>
  <w:style w:type="paragraph" w:styleId="List4">
    <w:name w:val="List 4"/>
    <w:basedOn w:val="Normal"/>
    <w:uiPriority w:val="99"/>
    <w:semiHidden/>
    <w:unhideWhenUsed/>
    <w:pPr>
      <w:ind w:left="1440" w:hanging="360"/>
    </w:pPr>
    <w:rPr>
      <w:rFonts w:asciiTheme="minorHAnsi" w:eastAsiaTheme="minorHAnsi" w:hAnsiTheme="minorHAnsi"/>
    </w:rPr>
  </w:style>
  <w:style w:type="paragraph" w:styleId="List5">
    <w:name w:val="List 5"/>
    <w:basedOn w:val="Normal"/>
    <w:uiPriority w:val="99"/>
    <w:semiHidden/>
    <w:unhideWhenUsed/>
    <w:pPr>
      <w:ind w:left="1800" w:hanging="360"/>
    </w:pPr>
    <w:rPr>
      <w:rFonts w:asciiTheme="minorHAnsi" w:eastAsiaTheme="minorHAnsi" w:hAnsiTheme="minorHAnsi"/>
    </w:rPr>
  </w:style>
  <w:style w:type="paragraph" w:styleId="ListBullet">
    <w:name w:val="List Bullet"/>
    <w:basedOn w:val="Normal"/>
    <w:uiPriority w:val="99"/>
    <w:semiHidden/>
    <w:unhideWhenUsed/>
    <w:pPr>
      <w:numPr>
        <w:numId w:val="6"/>
      </w:numPr>
    </w:pPr>
    <w:rPr>
      <w:rFonts w:asciiTheme="minorHAnsi" w:eastAsiaTheme="minorHAnsi" w:hAnsiTheme="minorHAnsi"/>
    </w:rPr>
  </w:style>
  <w:style w:type="paragraph" w:styleId="ListBullet2">
    <w:name w:val="List Bullet 2"/>
    <w:basedOn w:val="Normal"/>
    <w:uiPriority w:val="99"/>
    <w:semiHidden/>
    <w:unhideWhenUsed/>
    <w:pPr>
      <w:numPr>
        <w:numId w:val="7"/>
      </w:numPr>
    </w:pPr>
    <w:rPr>
      <w:rFonts w:asciiTheme="minorHAnsi" w:eastAsiaTheme="minorHAnsi" w:hAnsiTheme="minorHAnsi"/>
    </w:rPr>
  </w:style>
  <w:style w:type="paragraph" w:styleId="ListBullet3">
    <w:name w:val="List Bullet 3"/>
    <w:basedOn w:val="Normal"/>
    <w:uiPriority w:val="99"/>
    <w:semiHidden/>
    <w:unhideWhenUsed/>
    <w:pPr>
      <w:numPr>
        <w:numId w:val="8"/>
      </w:numPr>
    </w:pPr>
    <w:rPr>
      <w:rFonts w:asciiTheme="minorHAnsi" w:eastAsiaTheme="minorHAnsi" w:hAnsiTheme="minorHAnsi"/>
    </w:rPr>
  </w:style>
  <w:style w:type="paragraph" w:styleId="ListBullet4">
    <w:name w:val="List Bullet 4"/>
    <w:basedOn w:val="Normal"/>
    <w:uiPriority w:val="99"/>
    <w:semiHidden/>
    <w:unhideWhenUsed/>
    <w:pPr>
      <w:numPr>
        <w:numId w:val="9"/>
      </w:numPr>
    </w:pPr>
    <w:rPr>
      <w:rFonts w:asciiTheme="minorHAnsi" w:eastAsiaTheme="minorHAnsi" w:hAnsiTheme="minorHAnsi"/>
    </w:rPr>
  </w:style>
  <w:style w:type="paragraph" w:styleId="ListBullet5">
    <w:name w:val="List Bullet 5"/>
    <w:basedOn w:val="Normal"/>
    <w:uiPriority w:val="99"/>
    <w:semiHidden/>
    <w:unhideWhenUsed/>
    <w:pPr>
      <w:numPr>
        <w:numId w:val="10"/>
      </w:numPr>
    </w:pPr>
    <w:rPr>
      <w:rFonts w:asciiTheme="minorHAnsi" w:eastAsiaTheme="minorHAnsi" w:hAnsiTheme="minorHAnsi"/>
    </w:rPr>
  </w:style>
  <w:style w:type="paragraph" w:styleId="ListContinue">
    <w:name w:val="List Continue"/>
    <w:basedOn w:val="Normal"/>
    <w:uiPriority w:val="99"/>
    <w:semiHidden/>
    <w:unhideWhenUsed/>
    <w:pPr>
      <w:spacing w:after="120"/>
      <w:ind w:left="360"/>
    </w:pPr>
    <w:rPr>
      <w:rFonts w:asciiTheme="minorHAnsi" w:eastAsiaTheme="minorHAnsi" w:hAnsiTheme="minorHAnsi"/>
    </w:rPr>
  </w:style>
  <w:style w:type="paragraph" w:styleId="ListContinue2">
    <w:name w:val="List Continue 2"/>
    <w:basedOn w:val="Normal"/>
    <w:uiPriority w:val="99"/>
    <w:semiHidden/>
    <w:unhideWhenUsed/>
    <w:pPr>
      <w:spacing w:after="120"/>
      <w:ind w:left="720"/>
    </w:pPr>
    <w:rPr>
      <w:rFonts w:asciiTheme="minorHAnsi" w:eastAsiaTheme="minorHAnsi" w:hAnsiTheme="minorHAnsi"/>
    </w:rPr>
  </w:style>
  <w:style w:type="paragraph" w:styleId="ListContinue3">
    <w:name w:val="List Continue 3"/>
    <w:basedOn w:val="Normal"/>
    <w:uiPriority w:val="99"/>
    <w:semiHidden/>
    <w:unhideWhenUsed/>
    <w:pPr>
      <w:spacing w:after="120"/>
      <w:ind w:left="1080"/>
    </w:pPr>
    <w:rPr>
      <w:rFonts w:asciiTheme="minorHAnsi" w:eastAsiaTheme="minorHAnsi" w:hAnsiTheme="minorHAnsi"/>
    </w:rPr>
  </w:style>
  <w:style w:type="paragraph" w:styleId="ListContinue4">
    <w:name w:val="List Continue 4"/>
    <w:basedOn w:val="Normal"/>
    <w:uiPriority w:val="99"/>
    <w:semiHidden/>
    <w:unhideWhenUsed/>
    <w:pPr>
      <w:spacing w:after="120"/>
      <w:ind w:left="1440"/>
    </w:pPr>
    <w:rPr>
      <w:rFonts w:asciiTheme="minorHAnsi" w:eastAsiaTheme="minorHAnsi" w:hAnsiTheme="minorHAnsi"/>
    </w:rPr>
  </w:style>
  <w:style w:type="paragraph" w:styleId="ListContinue5">
    <w:name w:val="List Continue 5"/>
    <w:basedOn w:val="Normal"/>
    <w:uiPriority w:val="99"/>
    <w:semiHidden/>
    <w:unhideWhenUsed/>
    <w:pPr>
      <w:spacing w:after="120"/>
      <w:ind w:left="1800"/>
    </w:pPr>
    <w:rPr>
      <w:rFonts w:asciiTheme="minorHAnsi" w:eastAsiaTheme="minorHAnsi" w:hAnsiTheme="minorHAnsi"/>
    </w:rPr>
  </w:style>
  <w:style w:type="paragraph" w:styleId="ListNumber">
    <w:name w:val="List Number"/>
    <w:basedOn w:val="Normal"/>
    <w:uiPriority w:val="99"/>
    <w:semiHidden/>
    <w:unhideWhenUsed/>
    <w:pPr>
      <w:numPr>
        <w:numId w:val="11"/>
      </w:numPr>
    </w:pPr>
    <w:rPr>
      <w:rFonts w:asciiTheme="minorHAnsi" w:eastAsiaTheme="minorHAnsi" w:hAnsiTheme="minorHAnsi"/>
    </w:rPr>
  </w:style>
  <w:style w:type="paragraph" w:styleId="ListNumber2">
    <w:name w:val="List Number 2"/>
    <w:basedOn w:val="Normal"/>
    <w:uiPriority w:val="99"/>
    <w:semiHidden/>
    <w:unhideWhenUsed/>
    <w:pPr>
      <w:numPr>
        <w:numId w:val="12"/>
      </w:numPr>
    </w:pPr>
    <w:rPr>
      <w:rFonts w:asciiTheme="minorHAnsi" w:eastAsiaTheme="minorHAnsi" w:hAnsiTheme="minorHAnsi"/>
    </w:rPr>
  </w:style>
  <w:style w:type="paragraph" w:styleId="ListNumber3">
    <w:name w:val="List Number 3"/>
    <w:basedOn w:val="Normal"/>
    <w:uiPriority w:val="99"/>
    <w:semiHidden/>
    <w:unhideWhenUsed/>
    <w:pPr>
      <w:numPr>
        <w:numId w:val="13"/>
      </w:numPr>
    </w:pPr>
    <w:rPr>
      <w:rFonts w:asciiTheme="minorHAnsi" w:eastAsiaTheme="minorHAnsi" w:hAnsiTheme="minorHAnsi"/>
    </w:rPr>
  </w:style>
  <w:style w:type="paragraph" w:styleId="ListNumber4">
    <w:name w:val="List Number 4"/>
    <w:basedOn w:val="Normal"/>
    <w:uiPriority w:val="99"/>
    <w:semiHidden/>
    <w:unhideWhenUsed/>
    <w:pPr>
      <w:numPr>
        <w:numId w:val="14"/>
      </w:numPr>
    </w:pPr>
    <w:rPr>
      <w:rFonts w:asciiTheme="minorHAnsi" w:eastAsiaTheme="minorHAnsi" w:hAnsiTheme="minorHAnsi"/>
    </w:rPr>
  </w:style>
  <w:style w:type="paragraph" w:styleId="ListNumber5">
    <w:name w:val="List Number 5"/>
    <w:basedOn w:val="Normal"/>
    <w:uiPriority w:val="99"/>
    <w:semiHidden/>
    <w:unhideWhenUsed/>
    <w:pPr>
      <w:numPr>
        <w:numId w:val="15"/>
      </w:numPr>
    </w:pPr>
    <w:rPr>
      <w:rFonts w:asciiTheme="minorHAnsi" w:eastAsiaTheme="minorHAnsi" w:hAnsiTheme="minorHAnsi"/>
    </w:r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inorHAnsi" w:hAnsi="Arial" w:cs="Arial"/>
    </w:rPr>
  </w:style>
  <w:style w:type="paragraph" w:styleId="NormalWeb">
    <w:name w:val="Normal (Web)"/>
    <w:basedOn w:val="Normal"/>
    <w:uiPriority w:val="99"/>
    <w:semiHidden/>
    <w:unhideWhenUsed/>
    <w:rPr>
      <w:rFonts w:asciiTheme="minorHAnsi" w:eastAsiaTheme="minorHAnsi" w:hAnsiTheme="minorHAnsi"/>
    </w:rPr>
  </w:style>
  <w:style w:type="paragraph" w:styleId="NormalIndent">
    <w:name w:val="Normal Indent"/>
    <w:basedOn w:val="Normal"/>
    <w:uiPriority w:val="99"/>
    <w:semiHidden/>
    <w:unhideWhenUsed/>
    <w:pPr>
      <w:ind w:left="720"/>
    </w:pPr>
    <w:rPr>
      <w:rFonts w:asciiTheme="minorHAnsi" w:eastAsiaTheme="minorHAnsi" w:hAnsiTheme="minorHAnsi"/>
    </w:rPr>
  </w:style>
  <w:style w:type="paragraph" w:styleId="NoteHeading">
    <w:name w:val="Note Heading"/>
    <w:basedOn w:val="Normal"/>
    <w:next w:val="Normal"/>
    <w:uiPriority w:val="99"/>
    <w:semiHidden/>
    <w:unhideWhenUsed/>
    <w:rPr>
      <w:rFonts w:asciiTheme="minorHAnsi" w:eastAsiaTheme="minorHAnsi" w:hAnsiTheme="minorHAnsi"/>
    </w:rPr>
  </w:style>
  <w:style w:type="character" w:styleId="PageNumber">
    <w:name w:val="page number"/>
    <w:basedOn w:val="DefaultParagraphFont"/>
    <w:unhideWhenUsed/>
  </w:style>
  <w:style w:type="paragraph" w:styleId="PlainText">
    <w:name w:val="Plain Text"/>
    <w:basedOn w:val="Normal"/>
    <w:uiPriority w:val="99"/>
    <w:semiHidden/>
    <w:unhideWhenUsed/>
    <w:rPr>
      <w:rFonts w:ascii="Courier New" w:eastAsiaTheme="minorHAnsi" w:hAnsi="Courier New" w:cs="Courier New"/>
      <w:sz w:val="20"/>
      <w:szCs w:val="20"/>
    </w:rPr>
  </w:style>
  <w:style w:type="paragraph" w:styleId="Salutation">
    <w:name w:val="Salutation"/>
    <w:basedOn w:val="Normal"/>
    <w:next w:val="Normal"/>
    <w:uiPriority w:val="99"/>
    <w:semiHidden/>
    <w:unhideWhenUsed/>
    <w:rPr>
      <w:rFonts w:asciiTheme="minorHAnsi" w:eastAsiaTheme="minorHAnsi" w:hAnsiTheme="minorHAnsi"/>
    </w:rPr>
  </w:style>
  <w:style w:type="paragraph" w:styleId="Signature">
    <w:name w:val="Signature"/>
    <w:basedOn w:val="Normal"/>
    <w:uiPriority w:val="99"/>
    <w:semiHidden/>
    <w:unhideWhenUsed/>
    <w:pPr>
      <w:ind w:left="4320"/>
    </w:pPr>
    <w:rPr>
      <w:rFonts w:asciiTheme="minorHAnsi" w:eastAsiaTheme="minorHAnsi" w:hAnsiTheme="minorHAnsi"/>
    </w:rPr>
  </w:style>
  <w:style w:type="character" w:styleId="Strong">
    <w:name w:val="Strong"/>
    <w:basedOn w:val="DefaultParagraphFont"/>
    <w:uiPriority w:val="22"/>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eastAsiaTheme="minorHAnsi" w:hAnsi="Tahoma" w:cs="Tahoma"/>
      <w:sz w:val="16"/>
      <w:szCs w:val="16"/>
    </w:rPr>
  </w:style>
  <w:style w:type="paragraph" w:styleId="Caption">
    <w:name w:val="caption"/>
    <w:basedOn w:val="Normal"/>
    <w:next w:val="Normal"/>
    <w:uiPriority w:val="35"/>
    <w:rPr>
      <w:rFonts w:asciiTheme="minorHAnsi" w:eastAsiaTheme="minorHAnsi" w:hAnsiTheme="minorHAnsi"/>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rFonts w:asciiTheme="minorHAnsi" w:eastAsiaTheme="minorHAnsi" w:hAnsiTheme="minorHAnsi"/>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eastAsiaTheme="minorHAnsi"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rFonts w:asciiTheme="minorHAnsi" w:eastAsiaTheme="minorHAnsi" w:hAnsiTheme="minorHAnsi"/>
      <w:sz w:val="20"/>
      <w:szCs w:val="20"/>
    </w:rPr>
  </w:style>
  <w:style w:type="character" w:styleId="FootnoteReference">
    <w:name w:val="footnote reference"/>
    <w:basedOn w:val="DefaultParagraphFont"/>
    <w:semiHidden/>
    <w:unhideWhenUsed/>
    <w:rPr>
      <w:vertAlign w:val="superscript"/>
    </w:rPr>
  </w:style>
  <w:style w:type="paragraph" w:styleId="FootnoteText">
    <w:name w:val="footnote text"/>
    <w:basedOn w:val="Normal"/>
    <w:unhideWhenUsed/>
    <w:rPr>
      <w:rFonts w:asciiTheme="minorHAnsi" w:eastAsiaTheme="minorHAnsi" w:hAnsiTheme="minorHAnsi"/>
      <w:sz w:val="20"/>
      <w:szCs w:val="20"/>
    </w:rPr>
  </w:style>
  <w:style w:type="paragraph" w:styleId="Index1">
    <w:name w:val="index 1"/>
    <w:basedOn w:val="Normal"/>
    <w:next w:val="Normal"/>
    <w:autoRedefine/>
    <w:uiPriority w:val="99"/>
    <w:semiHidden/>
    <w:unhideWhenUsed/>
    <w:pPr>
      <w:ind w:left="240" w:hanging="240"/>
    </w:pPr>
    <w:rPr>
      <w:rFonts w:asciiTheme="minorHAnsi" w:eastAsiaTheme="minorHAnsi" w:hAnsiTheme="minorHAnsi"/>
    </w:rPr>
  </w:style>
  <w:style w:type="paragraph" w:styleId="Index2">
    <w:name w:val="index 2"/>
    <w:basedOn w:val="Normal"/>
    <w:next w:val="Normal"/>
    <w:autoRedefine/>
    <w:uiPriority w:val="99"/>
    <w:semiHidden/>
    <w:unhideWhenUsed/>
    <w:pPr>
      <w:ind w:left="480" w:hanging="240"/>
    </w:pPr>
    <w:rPr>
      <w:rFonts w:asciiTheme="minorHAnsi" w:eastAsiaTheme="minorHAnsi" w:hAnsiTheme="minorHAnsi"/>
    </w:rPr>
  </w:style>
  <w:style w:type="paragraph" w:styleId="Index3">
    <w:name w:val="index 3"/>
    <w:basedOn w:val="Normal"/>
    <w:next w:val="Normal"/>
    <w:autoRedefine/>
    <w:uiPriority w:val="99"/>
    <w:semiHidden/>
    <w:unhideWhenUsed/>
    <w:pPr>
      <w:ind w:left="720" w:hanging="240"/>
    </w:pPr>
    <w:rPr>
      <w:rFonts w:asciiTheme="minorHAnsi" w:eastAsiaTheme="minorHAnsi" w:hAnsiTheme="minorHAnsi"/>
    </w:rPr>
  </w:style>
  <w:style w:type="paragraph" w:styleId="Index4">
    <w:name w:val="index 4"/>
    <w:basedOn w:val="Normal"/>
    <w:next w:val="Normal"/>
    <w:autoRedefine/>
    <w:uiPriority w:val="99"/>
    <w:semiHidden/>
    <w:unhideWhenUsed/>
    <w:pPr>
      <w:ind w:left="960" w:hanging="240"/>
    </w:pPr>
    <w:rPr>
      <w:rFonts w:asciiTheme="minorHAnsi" w:eastAsiaTheme="minorHAnsi" w:hAnsiTheme="minorHAnsi"/>
    </w:rPr>
  </w:style>
  <w:style w:type="paragraph" w:styleId="Index5">
    <w:name w:val="index 5"/>
    <w:basedOn w:val="Normal"/>
    <w:next w:val="Normal"/>
    <w:autoRedefine/>
    <w:uiPriority w:val="99"/>
    <w:semiHidden/>
    <w:unhideWhenUsed/>
    <w:pPr>
      <w:ind w:left="1200" w:hanging="240"/>
    </w:pPr>
    <w:rPr>
      <w:rFonts w:asciiTheme="minorHAnsi" w:eastAsiaTheme="minorHAnsi" w:hAnsiTheme="minorHAnsi"/>
    </w:rPr>
  </w:style>
  <w:style w:type="paragraph" w:styleId="Index6">
    <w:name w:val="index 6"/>
    <w:basedOn w:val="Normal"/>
    <w:next w:val="Normal"/>
    <w:autoRedefine/>
    <w:uiPriority w:val="99"/>
    <w:semiHidden/>
    <w:unhideWhenUsed/>
    <w:pPr>
      <w:ind w:left="1440" w:hanging="240"/>
    </w:pPr>
    <w:rPr>
      <w:rFonts w:asciiTheme="minorHAnsi" w:eastAsiaTheme="minorHAnsi" w:hAnsiTheme="minorHAnsi"/>
    </w:rPr>
  </w:style>
  <w:style w:type="paragraph" w:styleId="Index7">
    <w:name w:val="index 7"/>
    <w:basedOn w:val="Normal"/>
    <w:next w:val="Normal"/>
    <w:autoRedefine/>
    <w:uiPriority w:val="99"/>
    <w:semiHidden/>
    <w:unhideWhenUsed/>
    <w:pPr>
      <w:ind w:left="1680" w:hanging="240"/>
    </w:pPr>
    <w:rPr>
      <w:rFonts w:asciiTheme="minorHAnsi" w:eastAsiaTheme="minorHAnsi" w:hAnsiTheme="minorHAnsi"/>
    </w:rPr>
  </w:style>
  <w:style w:type="paragraph" w:styleId="Index8">
    <w:name w:val="index 8"/>
    <w:basedOn w:val="Normal"/>
    <w:next w:val="Normal"/>
    <w:autoRedefine/>
    <w:uiPriority w:val="99"/>
    <w:semiHidden/>
    <w:unhideWhenUsed/>
    <w:pPr>
      <w:ind w:left="1920" w:hanging="240"/>
    </w:pPr>
    <w:rPr>
      <w:rFonts w:asciiTheme="minorHAnsi" w:eastAsiaTheme="minorHAnsi" w:hAnsiTheme="minorHAnsi"/>
    </w:rPr>
  </w:style>
  <w:style w:type="paragraph" w:styleId="Index9">
    <w:name w:val="index 9"/>
    <w:basedOn w:val="Normal"/>
    <w:next w:val="Normal"/>
    <w:autoRedefine/>
    <w:uiPriority w:val="99"/>
    <w:semiHidden/>
    <w:unhideWhenUsed/>
    <w:pPr>
      <w:ind w:left="2160" w:hanging="240"/>
    </w:pPr>
    <w:rPr>
      <w:rFonts w:asciiTheme="minorHAnsi" w:eastAsiaTheme="minorHAnsi" w:hAnsiTheme="minorHAnsi"/>
    </w:rPr>
  </w:style>
  <w:style w:type="paragraph" w:styleId="IndexHeading">
    <w:name w:val="index heading"/>
    <w:basedOn w:val="Normal"/>
    <w:next w:val="Index1"/>
    <w:uiPriority w:val="99"/>
    <w:semiHidden/>
    <w:unhideWhenUsed/>
    <w:rPr>
      <w:rFonts w:ascii="Arial" w:eastAsiaTheme="minorHAnsi"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rPr>
      <w:rFonts w:asciiTheme="minorHAnsi" w:eastAsiaTheme="minorHAnsi" w:hAnsiTheme="minorHAnsi"/>
    </w:rPr>
  </w:style>
  <w:style w:type="paragraph" w:styleId="TableofFigures">
    <w:name w:val="table of figures"/>
    <w:basedOn w:val="Normal"/>
    <w:next w:val="Normal"/>
    <w:uiPriority w:val="99"/>
    <w:semiHidden/>
    <w:unhideWhenUsed/>
    <w:rPr>
      <w:rFonts w:asciiTheme="minorHAnsi" w:eastAsiaTheme="minorHAnsi" w:hAnsiTheme="minorHAnsi"/>
    </w:rPr>
  </w:style>
  <w:style w:type="paragraph" w:styleId="TOAHeading">
    <w:name w:val="toa heading"/>
    <w:basedOn w:val="Normal"/>
    <w:next w:val="Normal"/>
    <w:uiPriority w:val="99"/>
    <w:semiHidden/>
    <w:unhideWhenUsed/>
    <w:pPr>
      <w:spacing w:before="120"/>
    </w:pPr>
    <w:rPr>
      <w:rFonts w:ascii="Arial" w:eastAsiaTheme="minorHAnsi" w:hAnsi="Arial" w:cs="Arial"/>
      <w:b/>
      <w:bCs/>
    </w:rPr>
  </w:style>
  <w:style w:type="paragraph" w:styleId="TOC1">
    <w:name w:val="toc 1"/>
    <w:basedOn w:val="Normal"/>
    <w:next w:val="Normal"/>
    <w:autoRedefine/>
    <w:uiPriority w:val="99"/>
    <w:semiHidden/>
    <w:unhideWhenUsed/>
    <w:rPr>
      <w:rFonts w:asciiTheme="minorHAnsi" w:eastAsiaTheme="minorHAnsi" w:hAnsiTheme="minorHAnsi"/>
    </w:rPr>
  </w:style>
  <w:style w:type="paragraph" w:styleId="TOC2">
    <w:name w:val="toc 2"/>
    <w:basedOn w:val="Normal"/>
    <w:next w:val="Normal"/>
    <w:autoRedefine/>
    <w:uiPriority w:val="99"/>
    <w:semiHidden/>
    <w:unhideWhenUsed/>
    <w:pPr>
      <w:ind w:left="240"/>
    </w:pPr>
    <w:rPr>
      <w:rFonts w:asciiTheme="minorHAnsi" w:eastAsiaTheme="minorHAnsi" w:hAnsiTheme="minorHAnsi"/>
    </w:rPr>
  </w:style>
  <w:style w:type="paragraph" w:styleId="TOC3">
    <w:name w:val="toc 3"/>
    <w:basedOn w:val="Normal"/>
    <w:next w:val="Normal"/>
    <w:autoRedefine/>
    <w:uiPriority w:val="99"/>
    <w:semiHidden/>
    <w:unhideWhenUsed/>
    <w:pPr>
      <w:ind w:left="480"/>
    </w:pPr>
    <w:rPr>
      <w:rFonts w:asciiTheme="minorHAnsi" w:eastAsiaTheme="minorHAnsi" w:hAnsiTheme="minorHAnsi"/>
    </w:rPr>
  </w:style>
  <w:style w:type="paragraph" w:styleId="TOC4">
    <w:name w:val="toc 4"/>
    <w:basedOn w:val="Normal"/>
    <w:next w:val="Normal"/>
    <w:autoRedefine/>
    <w:uiPriority w:val="99"/>
    <w:semiHidden/>
    <w:unhideWhenUsed/>
    <w:pPr>
      <w:ind w:left="720"/>
    </w:pPr>
    <w:rPr>
      <w:rFonts w:asciiTheme="minorHAnsi" w:eastAsiaTheme="minorHAnsi" w:hAnsiTheme="minorHAnsi"/>
    </w:rPr>
  </w:style>
  <w:style w:type="paragraph" w:styleId="TOC5">
    <w:name w:val="toc 5"/>
    <w:basedOn w:val="Normal"/>
    <w:next w:val="Normal"/>
    <w:autoRedefine/>
    <w:uiPriority w:val="99"/>
    <w:semiHidden/>
    <w:unhideWhenUsed/>
    <w:pPr>
      <w:ind w:left="960"/>
    </w:pPr>
    <w:rPr>
      <w:rFonts w:asciiTheme="minorHAnsi" w:eastAsiaTheme="minorHAnsi" w:hAnsiTheme="minorHAnsi"/>
    </w:rPr>
  </w:style>
  <w:style w:type="paragraph" w:styleId="TOC6">
    <w:name w:val="toc 6"/>
    <w:basedOn w:val="Normal"/>
    <w:next w:val="Normal"/>
    <w:autoRedefine/>
    <w:uiPriority w:val="99"/>
    <w:semiHidden/>
    <w:unhideWhenUsed/>
    <w:pPr>
      <w:ind w:left="1200"/>
    </w:pPr>
    <w:rPr>
      <w:rFonts w:asciiTheme="minorHAnsi" w:eastAsiaTheme="minorHAnsi" w:hAnsiTheme="minorHAnsi"/>
    </w:rPr>
  </w:style>
  <w:style w:type="paragraph" w:styleId="TOC7">
    <w:name w:val="toc 7"/>
    <w:basedOn w:val="Normal"/>
    <w:next w:val="Normal"/>
    <w:autoRedefine/>
    <w:uiPriority w:val="99"/>
    <w:semiHidden/>
    <w:unhideWhenUsed/>
    <w:pPr>
      <w:ind w:left="1440"/>
    </w:pPr>
    <w:rPr>
      <w:rFonts w:asciiTheme="minorHAnsi" w:eastAsiaTheme="minorHAnsi" w:hAnsiTheme="minorHAnsi"/>
    </w:rPr>
  </w:style>
  <w:style w:type="paragraph" w:styleId="TOC8">
    <w:name w:val="toc 8"/>
    <w:basedOn w:val="Normal"/>
    <w:next w:val="Normal"/>
    <w:autoRedefine/>
    <w:uiPriority w:val="99"/>
    <w:semiHidden/>
    <w:unhideWhenUsed/>
    <w:pPr>
      <w:ind w:left="1680"/>
    </w:pPr>
    <w:rPr>
      <w:rFonts w:asciiTheme="minorHAnsi" w:eastAsiaTheme="minorHAnsi" w:hAnsiTheme="minorHAnsi"/>
    </w:rPr>
  </w:style>
  <w:style w:type="paragraph" w:styleId="TOC9">
    <w:name w:val="toc 9"/>
    <w:basedOn w:val="Normal"/>
    <w:next w:val="Normal"/>
    <w:autoRedefine/>
    <w:uiPriority w:val="99"/>
    <w:semiHidden/>
    <w:unhideWhenUsed/>
    <w:pPr>
      <w:ind w:left="1920"/>
    </w:pPr>
    <w:rPr>
      <w:rFonts w:asciiTheme="minorHAnsi" w:eastAsiaTheme="minorHAnsi" w:hAnsiTheme="minorHAnsi"/>
    </w:r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rFonts w:asciiTheme="minorHAnsi" w:eastAsiaTheme="minorHAnsi" w:hAnsiTheme="minorHAnsi"/>
      <w:szCs w:val="32"/>
    </w:rPr>
  </w:style>
  <w:style w:type="paragraph" w:styleId="ListParagraph">
    <w:name w:val="List Paragraph"/>
    <w:basedOn w:val="Normal"/>
    <w:uiPriority w:val="34"/>
    <w:qFormat/>
    <w:rsid w:val="00662066"/>
    <w:pPr>
      <w:ind w:left="720"/>
      <w:contextualSpacing/>
    </w:pPr>
    <w:rPr>
      <w:rFonts w:asciiTheme="minorHAnsi" w:eastAsiaTheme="minorHAnsi" w:hAnsiTheme="minorHAnsi"/>
    </w:rPr>
  </w:style>
  <w:style w:type="paragraph" w:styleId="Quote">
    <w:name w:val="Quote"/>
    <w:basedOn w:val="Normal"/>
    <w:next w:val="Normal"/>
    <w:link w:val="QuoteChar"/>
    <w:uiPriority w:val="29"/>
    <w:qFormat/>
    <w:rsid w:val="00662066"/>
    <w:rPr>
      <w:rFonts w:asciiTheme="minorHAnsi" w:eastAsiaTheme="minorHAnsi" w:hAnsiTheme="minorHAnsi"/>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 w:type="paragraph" w:customStyle="1" w:styleId="OrderBody">
    <w:name w:val="Order Body"/>
    <w:basedOn w:val="Normal"/>
    <w:link w:val="OrderBodyChar"/>
    <w:rsid w:val="00CF79D2"/>
    <w:pPr>
      <w:jc w:val="both"/>
    </w:pPr>
  </w:style>
  <w:style w:type="character" w:customStyle="1" w:styleId="OrderBodyChar">
    <w:name w:val="Order Body Char"/>
    <w:link w:val="OrderBody"/>
    <w:rsid w:val="00CF79D2"/>
    <w:rPr>
      <w:rFonts w:ascii="Times New Roman" w:eastAsia="Times New Roman" w:hAnsi="Times New Roman"/>
      <w:sz w:val="24"/>
      <w:szCs w:val="24"/>
    </w:rPr>
  </w:style>
  <w:style w:type="paragraph" w:customStyle="1" w:styleId="OrderHeader">
    <w:name w:val="Order Header"/>
    <w:basedOn w:val="Header"/>
    <w:rsid w:val="00CF79D2"/>
    <w:pPr>
      <w:tabs>
        <w:tab w:val="clear" w:pos="4680"/>
        <w:tab w:val="clear" w:pos="9360"/>
        <w:tab w:val="center" w:pos="4320"/>
        <w:tab w:val="right" w:pos="8640"/>
      </w:tabs>
      <w:jc w:val="both"/>
    </w:pPr>
    <w:rPr>
      <w:rFonts w:ascii="Times New Roman" w:eastAsia="Times New Roman" w:hAnsi="Times New Roman"/>
    </w:rPr>
  </w:style>
  <w:style w:type="paragraph" w:customStyle="1" w:styleId="CenterUnderline">
    <w:name w:val="CenterUnderline"/>
    <w:basedOn w:val="Normal"/>
    <w:rsid w:val="00CF79D2"/>
    <w:pPr>
      <w:jc w:val="center"/>
    </w:pPr>
    <w:rPr>
      <w:u w:val="single"/>
    </w:rPr>
  </w:style>
  <w:style w:type="paragraph" w:customStyle="1" w:styleId="OrderHeading">
    <w:name w:val="Order Heading"/>
    <w:basedOn w:val="Normal"/>
    <w:rsid w:val="00CF79D2"/>
    <w:pPr>
      <w:jc w:val="center"/>
    </w:pPr>
  </w:style>
  <w:style w:type="paragraph" w:customStyle="1" w:styleId="OrderSigInfo">
    <w:name w:val="Order Sig Info"/>
    <w:basedOn w:val="OrderBody"/>
    <w:next w:val="OrderBody"/>
    <w:rsid w:val="00CF79D2"/>
    <w:pPr>
      <w:ind w:left="4464"/>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Strong" w:uiPriority="22"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79D2"/>
    <w:rPr>
      <w:rFonts w:ascii="Times New Roman" w:eastAsia="Times New Roman" w:hAnsi="Times New Roman"/>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rFonts w:asciiTheme="minorHAnsi" w:eastAsiaTheme="minorHAnsi" w:hAnsiTheme="minorHAnsi"/>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rFonts w:asciiTheme="minorHAnsi" w:eastAsiaTheme="minorHAnsi" w:hAnsiTheme="minorHAnsi"/>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rFonts w:asciiTheme="minorHAnsi" w:eastAsiaTheme="minorHAnsi" w:hAnsiTheme="minorHAnsi"/>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662066"/>
    <w:pPr>
      <w:spacing w:before="240" w:after="60"/>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rPr>
      <w:rFonts w:asciiTheme="minorHAnsi" w:eastAsiaTheme="minorHAnsi" w:hAnsiTheme="minorHAnsi"/>
    </w:rPr>
  </w:style>
  <w:style w:type="paragraph" w:styleId="BodyText">
    <w:name w:val="Body Text"/>
    <w:basedOn w:val="Normal"/>
    <w:uiPriority w:val="99"/>
    <w:semiHidden/>
    <w:unhideWhenUsed/>
    <w:pPr>
      <w:spacing w:after="120"/>
    </w:pPr>
    <w:rPr>
      <w:rFonts w:asciiTheme="minorHAnsi" w:eastAsiaTheme="minorHAnsi" w:hAnsiTheme="minorHAnsi"/>
    </w:rPr>
  </w:style>
  <w:style w:type="paragraph" w:styleId="BodyText2">
    <w:name w:val="Body Text 2"/>
    <w:basedOn w:val="Normal"/>
    <w:uiPriority w:val="99"/>
    <w:semiHidden/>
    <w:unhideWhenUsed/>
    <w:pPr>
      <w:spacing w:after="120" w:line="480" w:lineRule="auto"/>
    </w:pPr>
    <w:rPr>
      <w:rFonts w:asciiTheme="minorHAnsi" w:eastAsiaTheme="minorHAnsi" w:hAnsiTheme="minorHAnsi"/>
    </w:rPr>
  </w:style>
  <w:style w:type="paragraph" w:styleId="BodyText3">
    <w:name w:val="Body Text 3"/>
    <w:basedOn w:val="Normal"/>
    <w:uiPriority w:val="99"/>
    <w:semiHidden/>
    <w:unhideWhenUsed/>
    <w:pPr>
      <w:spacing w:after="120"/>
    </w:pPr>
    <w:rPr>
      <w:rFonts w:asciiTheme="minorHAnsi" w:eastAsiaTheme="minorHAnsi" w:hAnsiTheme="minorHAnsi"/>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rPr>
      <w:rFonts w:asciiTheme="minorHAnsi" w:eastAsiaTheme="minorHAnsi" w:hAnsiTheme="minorHAnsi"/>
    </w:r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rPr>
      <w:rFonts w:asciiTheme="minorHAnsi" w:eastAsiaTheme="minorHAnsi" w:hAnsiTheme="minorHAnsi"/>
    </w:rPr>
  </w:style>
  <w:style w:type="paragraph" w:styleId="BodyTextIndent3">
    <w:name w:val="Body Text Indent 3"/>
    <w:basedOn w:val="Normal"/>
    <w:uiPriority w:val="99"/>
    <w:semiHidden/>
    <w:unhideWhenUsed/>
    <w:pPr>
      <w:spacing w:after="120"/>
      <w:ind w:left="360"/>
    </w:pPr>
    <w:rPr>
      <w:rFonts w:asciiTheme="minorHAnsi" w:eastAsiaTheme="minorHAnsi" w:hAnsiTheme="minorHAnsi"/>
      <w:sz w:val="16"/>
      <w:szCs w:val="16"/>
    </w:rPr>
  </w:style>
  <w:style w:type="paragraph" w:styleId="Closing">
    <w:name w:val="Closing"/>
    <w:basedOn w:val="Normal"/>
    <w:uiPriority w:val="99"/>
    <w:semiHidden/>
    <w:unhideWhenUsed/>
    <w:pPr>
      <w:ind w:left="4320"/>
    </w:pPr>
    <w:rPr>
      <w:rFonts w:asciiTheme="minorHAnsi" w:eastAsiaTheme="minorHAnsi" w:hAnsiTheme="minorHAnsi"/>
    </w:rPr>
  </w:style>
  <w:style w:type="paragraph" w:styleId="Date">
    <w:name w:val="Date"/>
    <w:basedOn w:val="Normal"/>
    <w:next w:val="Normal"/>
    <w:uiPriority w:val="99"/>
    <w:semiHidden/>
    <w:unhideWhenUsed/>
    <w:rPr>
      <w:rFonts w:asciiTheme="minorHAnsi" w:eastAsiaTheme="minorHAnsi" w:hAnsiTheme="minorHAnsi"/>
    </w:rPr>
  </w:style>
  <w:style w:type="paragraph" w:styleId="E-mailSignature">
    <w:name w:val="E-mail Signature"/>
    <w:basedOn w:val="Normal"/>
    <w:uiPriority w:val="99"/>
    <w:semiHidden/>
    <w:unhideWhenUsed/>
    <w:rPr>
      <w:rFonts w:asciiTheme="minorHAnsi" w:eastAsiaTheme="minorHAnsi" w:hAnsiTheme="minorHAnsi"/>
    </w:rPr>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eastAsiaTheme="minorHAnsi" w:hAnsi="Arial" w:cs="Arial"/>
    </w:rPr>
  </w:style>
  <w:style w:type="paragraph" w:styleId="EnvelopeReturn">
    <w:name w:val="envelope return"/>
    <w:basedOn w:val="Normal"/>
    <w:uiPriority w:val="99"/>
    <w:semiHidden/>
    <w:unhideWhenUsed/>
    <w:rPr>
      <w:rFonts w:ascii="Arial" w:eastAsiaTheme="minorHAnsi"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nhideWhenUsed/>
    <w:rsid w:val="00132986"/>
    <w:pPr>
      <w:tabs>
        <w:tab w:val="center" w:pos="4680"/>
        <w:tab w:val="right" w:pos="9360"/>
      </w:tabs>
    </w:pPr>
    <w:rPr>
      <w:rFonts w:asciiTheme="minorHAnsi" w:eastAsiaTheme="minorHAnsi" w:hAnsiTheme="minorHAnsi"/>
    </w:rPr>
  </w:style>
  <w:style w:type="paragraph" w:styleId="Header">
    <w:name w:val="header"/>
    <w:basedOn w:val="Normal"/>
    <w:unhideWhenUsed/>
    <w:rsid w:val="00132986"/>
    <w:pPr>
      <w:tabs>
        <w:tab w:val="center" w:pos="4680"/>
        <w:tab w:val="right" w:pos="9360"/>
      </w:tabs>
    </w:pPr>
    <w:rPr>
      <w:rFonts w:asciiTheme="minorHAnsi" w:eastAsiaTheme="minorHAnsi" w:hAnsiTheme="minorHAnsi"/>
    </w:r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rFonts w:asciiTheme="minorHAnsi" w:eastAsiaTheme="minorHAnsi" w:hAnsiTheme="minorHAnsi"/>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eastAsiaTheme="minorHAnsi"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rPr>
      <w:rFonts w:asciiTheme="minorHAnsi" w:eastAsiaTheme="minorHAnsi" w:hAnsiTheme="minorHAnsi"/>
    </w:rPr>
  </w:style>
  <w:style w:type="paragraph" w:styleId="List2">
    <w:name w:val="List 2"/>
    <w:basedOn w:val="Normal"/>
    <w:uiPriority w:val="99"/>
    <w:semiHidden/>
    <w:unhideWhenUsed/>
    <w:pPr>
      <w:ind w:left="720" w:hanging="360"/>
    </w:pPr>
    <w:rPr>
      <w:rFonts w:asciiTheme="minorHAnsi" w:eastAsiaTheme="minorHAnsi" w:hAnsiTheme="minorHAnsi"/>
    </w:rPr>
  </w:style>
  <w:style w:type="paragraph" w:styleId="List3">
    <w:name w:val="List 3"/>
    <w:basedOn w:val="Normal"/>
    <w:uiPriority w:val="99"/>
    <w:semiHidden/>
    <w:unhideWhenUsed/>
    <w:pPr>
      <w:ind w:left="1080" w:hanging="360"/>
    </w:pPr>
    <w:rPr>
      <w:rFonts w:asciiTheme="minorHAnsi" w:eastAsiaTheme="minorHAnsi" w:hAnsiTheme="minorHAnsi"/>
    </w:rPr>
  </w:style>
  <w:style w:type="paragraph" w:styleId="List4">
    <w:name w:val="List 4"/>
    <w:basedOn w:val="Normal"/>
    <w:uiPriority w:val="99"/>
    <w:semiHidden/>
    <w:unhideWhenUsed/>
    <w:pPr>
      <w:ind w:left="1440" w:hanging="360"/>
    </w:pPr>
    <w:rPr>
      <w:rFonts w:asciiTheme="minorHAnsi" w:eastAsiaTheme="minorHAnsi" w:hAnsiTheme="minorHAnsi"/>
    </w:rPr>
  </w:style>
  <w:style w:type="paragraph" w:styleId="List5">
    <w:name w:val="List 5"/>
    <w:basedOn w:val="Normal"/>
    <w:uiPriority w:val="99"/>
    <w:semiHidden/>
    <w:unhideWhenUsed/>
    <w:pPr>
      <w:ind w:left="1800" w:hanging="360"/>
    </w:pPr>
    <w:rPr>
      <w:rFonts w:asciiTheme="minorHAnsi" w:eastAsiaTheme="minorHAnsi" w:hAnsiTheme="minorHAnsi"/>
    </w:rPr>
  </w:style>
  <w:style w:type="paragraph" w:styleId="ListBullet">
    <w:name w:val="List Bullet"/>
    <w:basedOn w:val="Normal"/>
    <w:uiPriority w:val="99"/>
    <w:semiHidden/>
    <w:unhideWhenUsed/>
    <w:pPr>
      <w:numPr>
        <w:numId w:val="6"/>
      </w:numPr>
    </w:pPr>
    <w:rPr>
      <w:rFonts w:asciiTheme="minorHAnsi" w:eastAsiaTheme="minorHAnsi" w:hAnsiTheme="minorHAnsi"/>
    </w:rPr>
  </w:style>
  <w:style w:type="paragraph" w:styleId="ListBullet2">
    <w:name w:val="List Bullet 2"/>
    <w:basedOn w:val="Normal"/>
    <w:uiPriority w:val="99"/>
    <w:semiHidden/>
    <w:unhideWhenUsed/>
    <w:pPr>
      <w:numPr>
        <w:numId w:val="7"/>
      </w:numPr>
    </w:pPr>
    <w:rPr>
      <w:rFonts w:asciiTheme="minorHAnsi" w:eastAsiaTheme="minorHAnsi" w:hAnsiTheme="minorHAnsi"/>
    </w:rPr>
  </w:style>
  <w:style w:type="paragraph" w:styleId="ListBullet3">
    <w:name w:val="List Bullet 3"/>
    <w:basedOn w:val="Normal"/>
    <w:uiPriority w:val="99"/>
    <w:semiHidden/>
    <w:unhideWhenUsed/>
    <w:pPr>
      <w:numPr>
        <w:numId w:val="8"/>
      </w:numPr>
    </w:pPr>
    <w:rPr>
      <w:rFonts w:asciiTheme="minorHAnsi" w:eastAsiaTheme="minorHAnsi" w:hAnsiTheme="minorHAnsi"/>
    </w:rPr>
  </w:style>
  <w:style w:type="paragraph" w:styleId="ListBullet4">
    <w:name w:val="List Bullet 4"/>
    <w:basedOn w:val="Normal"/>
    <w:uiPriority w:val="99"/>
    <w:semiHidden/>
    <w:unhideWhenUsed/>
    <w:pPr>
      <w:numPr>
        <w:numId w:val="9"/>
      </w:numPr>
    </w:pPr>
    <w:rPr>
      <w:rFonts w:asciiTheme="minorHAnsi" w:eastAsiaTheme="minorHAnsi" w:hAnsiTheme="minorHAnsi"/>
    </w:rPr>
  </w:style>
  <w:style w:type="paragraph" w:styleId="ListBullet5">
    <w:name w:val="List Bullet 5"/>
    <w:basedOn w:val="Normal"/>
    <w:uiPriority w:val="99"/>
    <w:semiHidden/>
    <w:unhideWhenUsed/>
    <w:pPr>
      <w:numPr>
        <w:numId w:val="10"/>
      </w:numPr>
    </w:pPr>
    <w:rPr>
      <w:rFonts w:asciiTheme="minorHAnsi" w:eastAsiaTheme="minorHAnsi" w:hAnsiTheme="minorHAnsi"/>
    </w:rPr>
  </w:style>
  <w:style w:type="paragraph" w:styleId="ListContinue">
    <w:name w:val="List Continue"/>
    <w:basedOn w:val="Normal"/>
    <w:uiPriority w:val="99"/>
    <w:semiHidden/>
    <w:unhideWhenUsed/>
    <w:pPr>
      <w:spacing w:after="120"/>
      <w:ind w:left="360"/>
    </w:pPr>
    <w:rPr>
      <w:rFonts w:asciiTheme="minorHAnsi" w:eastAsiaTheme="minorHAnsi" w:hAnsiTheme="minorHAnsi"/>
    </w:rPr>
  </w:style>
  <w:style w:type="paragraph" w:styleId="ListContinue2">
    <w:name w:val="List Continue 2"/>
    <w:basedOn w:val="Normal"/>
    <w:uiPriority w:val="99"/>
    <w:semiHidden/>
    <w:unhideWhenUsed/>
    <w:pPr>
      <w:spacing w:after="120"/>
      <w:ind w:left="720"/>
    </w:pPr>
    <w:rPr>
      <w:rFonts w:asciiTheme="minorHAnsi" w:eastAsiaTheme="minorHAnsi" w:hAnsiTheme="minorHAnsi"/>
    </w:rPr>
  </w:style>
  <w:style w:type="paragraph" w:styleId="ListContinue3">
    <w:name w:val="List Continue 3"/>
    <w:basedOn w:val="Normal"/>
    <w:uiPriority w:val="99"/>
    <w:semiHidden/>
    <w:unhideWhenUsed/>
    <w:pPr>
      <w:spacing w:after="120"/>
      <w:ind w:left="1080"/>
    </w:pPr>
    <w:rPr>
      <w:rFonts w:asciiTheme="minorHAnsi" w:eastAsiaTheme="minorHAnsi" w:hAnsiTheme="minorHAnsi"/>
    </w:rPr>
  </w:style>
  <w:style w:type="paragraph" w:styleId="ListContinue4">
    <w:name w:val="List Continue 4"/>
    <w:basedOn w:val="Normal"/>
    <w:uiPriority w:val="99"/>
    <w:semiHidden/>
    <w:unhideWhenUsed/>
    <w:pPr>
      <w:spacing w:after="120"/>
      <w:ind w:left="1440"/>
    </w:pPr>
    <w:rPr>
      <w:rFonts w:asciiTheme="minorHAnsi" w:eastAsiaTheme="minorHAnsi" w:hAnsiTheme="minorHAnsi"/>
    </w:rPr>
  </w:style>
  <w:style w:type="paragraph" w:styleId="ListContinue5">
    <w:name w:val="List Continue 5"/>
    <w:basedOn w:val="Normal"/>
    <w:uiPriority w:val="99"/>
    <w:semiHidden/>
    <w:unhideWhenUsed/>
    <w:pPr>
      <w:spacing w:after="120"/>
      <w:ind w:left="1800"/>
    </w:pPr>
    <w:rPr>
      <w:rFonts w:asciiTheme="minorHAnsi" w:eastAsiaTheme="minorHAnsi" w:hAnsiTheme="minorHAnsi"/>
    </w:rPr>
  </w:style>
  <w:style w:type="paragraph" w:styleId="ListNumber">
    <w:name w:val="List Number"/>
    <w:basedOn w:val="Normal"/>
    <w:uiPriority w:val="99"/>
    <w:semiHidden/>
    <w:unhideWhenUsed/>
    <w:pPr>
      <w:numPr>
        <w:numId w:val="11"/>
      </w:numPr>
    </w:pPr>
    <w:rPr>
      <w:rFonts w:asciiTheme="minorHAnsi" w:eastAsiaTheme="minorHAnsi" w:hAnsiTheme="minorHAnsi"/>
    </w:rPr>
  </w:style>
  <w:style w:type="paragraph" w:styleId="ListNumber2">
    <w:name w:val="List Number 2"/>
    <w:basedOn w:val="Normal"/>
    <w:uiPriority w:val="99"/>
    <w:semiHidden/>
    <w:unhideWhenUsed/>
    <w:pPr>
      <w:numPr>
        <w:numId w:val="12"/>
      </w:numPr>
    </w:pPr>
    <w:rPr>
      <w:rFonts w:asciiTheme="minorHAnsi" w:eastAsiaTheme="minorHAnsi" w:hAnsiTheme="minorHAnsi"/>
    </w:rPr>
  </w:style>
  <w:style w:type="paragraph" w:styleId="ListNumber3">
    <w:name w:val="List Number 3"/>
    <w:basedOn w:val="Normal"/>
    <w:uiPriority w:val="99"/>
    <w:semiHidden/>
    <w:unhideWhenUsed/>
    <w:pPr>
      <w:numPr>
        <w:numId w:val="13"/>
      </w:numPr>
    </w:pPr>
    <w:rPr>
      <w:rFonts w:asciiTheme="minorHAnsi" w:eastAsiaTheme="minorHAnsi" w:hAnsiTheme="minorHAnsi"/>
    </w:rPr>
  </w:style>
  <w:style w:type="paragraph" w:styleId="ListNumber4">
    <w:name w:val="List Number 4"/>
    <w:basedOn w:val="Normal"/>
    <w:uiPriority w:val="99"/>
    <w:semiHidden/>
    <w:unhideWhenUsed/>
    <w:pPr>
      <w:numPr>
        <w:numId w:val="14"/>
      </w:numPr>
    </w:pPr>
    <w:rPr>
      <w:rFonts w:asciiTheme="minorHAnsi" w:eastAsiaTheme="minorHAnsi" w:hAnsiTheme="minorHAnsi"/>
    </w:rPr>
  </w:style>
  <w:style w:type="paragraph" w:styleId="ListNumber5">
    <w:name w:val="List Number 5"/>
    <w:basedOn w:val="Normal"/>
    <w:uiPriority w:val="99"/>
    <w:semiHidden/>
    <w:unhideWhenUsed/>
    <w:pPr>
      <w:numPr>
        <w:numId w:val="15"/>
      </w:numPr>
    </w:pPr>
    <w:rPr>
      <w:rFonts w:asciiTheme="minorHAnsi" w:eastAsiaTheme="minorHAnsi" w:hAnsiTheme="minorHAnsi"/>
    </w:r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inorHAnsi" w:hAnsi="Arial" w:cs="Arial"/>
    </w:rPr>
  </w:style>
  <w:style w:type="paragraph" w:styleId="NormalWeb">
    <w:name w:val="Normal (Web)"/>
    <w:basedOn w:val="Normal"/>
    <w:uiPriority w:val="99"/>
    <w:semiHidden/>
    <w:unhideWhenUsed/>
    <w:rPr>
      <w:rFonts w:asciiTheme="minorHAnsi" w:eastAsiaTheme="minorHAnsi" w:hAnsiTheme="minorHAnsi"/>
    </w:rPr>
  </w:style>
  <w:style w:type="paragraph" w:styleId="NormalIndent">
    <w:name w:val="Normal Indent"/>
    <w:basedOn w:val="Normal"/>
    <w:uiPriority w:val="99"/>
    <w:semiHidden/>
    <w:unhideWhenUsed/>
    <w:pPr>
      <w:ind w:left="720"/>
    </w:pPr>
    <w:rPr>
      <w:rFonts w:asciiTheme="minorHAnsi" w:eastAsiaTheme="minorHAnsi" w:hAnsiTheme="minorHAnsi"/>
    </w:rPr>
  </w:style>
  <w:style w:type="paragraph" w:styleId="NoteHeading">
    <w:name w:val="Note Heading"/>
    <w:basedOn w:val="Normal"/>
    <w:next w:val="Normal"/>
    <w:uiPriority w:val="99"/>
    <w:semiHidden/>
    <w:unhideWhenUsed/>
    <w:rPr>
      <w:rFonts w:asciiTheme="minorHAnsi" w:eastAsiaTheme="minorHAnsi" w:hAnsiTheme="minorHAnsi"/>
    </w:rPr>
  </w:style>
  <w:style w:type="character" w:styleId="PageNumber">
    <w:name w:val="page number"/>
    <w:basedOn w:val="DefaultParagraphFont"/>
    <w:unhideWhenUsed/>
  </w:style>
  <w:style w:type="paragraph" w:styleId="PlainText">
    <w:name w:val="Plain Text"/>
    <w:basedOn w:val="Normal"/>
    <w:uiPriority w:val="99"/>
    <w:semiHidden/>
    <w:unhideWhenUsed/>
    <w:rPr>
      <w:rFonts w:ascii="Courier New" w:eastAsiaTheme="minorHAnsi" w:hAnsi="Courier New" w:cs="Courier New"/>
      <w:sz w:val="20"/>
      <w:szCs w:val="20"/>
    </w:rPr>
  </w:style>
  <w:style w:type="paragraph" w:styleId="Salutation">
    <w:name w:val="Salutation"/>
    <w:basedOn w:val="Normal"/>
    <w:next w:val="Normal"/>
    <w:uiPriority w:val="99"/>
    <w:semiHidden/>
    <w:unhideWhenUsed/>
    <w:rPr>
      <w:rFonts w:asciiTheme="minorHAnsi" w:eastAsiaTheme="minorHAnsi" w:hAnsiTheme="minorHAnsi"/>
    </w:rPr>
  </w:style>
  <w:style w:type="paragraph" w:styleId="Signature">
    <w:name w:val="Signature"/>
    <w:basedOn w:val="Normal"/>
    <w:uiPriority w:val="99"/>
    <w:semiHidden/>
    <w:unhideWhenUsed/>
    <w:pPr>
      <w:ind w:left="4320"/>
    </w:pPr>
    <w:rPr>
      <w:rFonts w:asciiTheme="minorHAnsi" w:eastAsiaTheme="minorHAnsi" w:hAnsiTheme="minorHAnsi"/>
    </w:rPr>
  </w:style>
  <w:style w:type="character" w:styleId="Strong">
    <w:name w:val="Strong"/>
    <w:basedOn w:val="DefaultParagraphFont"/>
    <w:uiPriority w:val="22"/>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eastAsiaTheme="minorHAnsi" w:hAnsi="Tahoma" w:cs="Tahoma"/>
      <w:sz w:val="16"/>
      <w:szCs w:val="16"/>
    </w:rPr>
  </w:style>
  <w:style w:type="paragraph" w:styleId="Caption">
    <w:name w:val="caption"/>
    <w:basedOn w:val="Normal"/>
    <w:next w:val="Normal"/>
    <w:uiPriority w:val="35"/>
    <w:rPr>
      <w:rFonts w:asciiTheme="minorHAnsi" w:eastAsiaTheme="minorHAnsi" w:hAnsiTheme="minorHAnsi"/>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rFonts w:asciiTheme="minorHAnsi" w:eastAsiaTheme="minorHAnsi" w:hAnsiTheme="minorHAnsi"/>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eastAsiaTheme="minorHAnsi"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rFonts w:asciiTheme="minorHAnsi" w:eastAsiaTheme="minorHAnsi" w:hAnsiTheme="minorHAnsi"/>
      <w:sz w:val="20"/>
      <w:szCs w:val="20"/>
    </w:rPr>
  </w:style>
  <w:style w:type="character" w:styleId="FootnoteReference">
    <w:name w:val="footnote reference"/>
    <w:basedOn w:val="DefaultParagraphFont"/>
    <w:semiHidden/>
    <w:unhideWhenUsed/>
    <w:rPr>
      <w:vertAlign w:val="superscript"/>
    </w:rPr>
  </w:style>
  <w:style w:type="paragraph" w:styleId="FootnoteText">
    <w:name w:val="footnote text"/>
    <w:basedOn w:val="Normal"/>
    <w:unhideWhenUsed/>
    <w:rPr>
      <w:rFonts w:asciiTheme="minorHAnsi" w:eastAsiaTheme="minorHAnsi" w:hAnsiTheme="minorHAnsi"/>
      <w:sz w:val="20"/>
      <w:szCs w:val="20"/>
    </w:rPr>
  </w:style>
  <w:style w:type="paragraph" w:styleId="Index1">
    <w:name w:val="index 1"/>
    <w:basedOn w:val="Normal"/>
    <w:next w:val="Normal"/>
    <w:autoRedefine/>
    <w:uiPriority w:val="99"/>
    <w:semiHidden/>
    <w:unhideWhenUsed/>
    <w:pPr>
      <w:ind w:left="240" w:hanging="240"/>
    </w:pPr>
    <w:rPr>
      <w:rFonts w:asciiTheme="minorHAnsi" w:eastAsiaTheme="minorHAnsi" w:hAnsiTheme="minorHAnsi"/>
    </w:rPr>
  </w:style>
  <w:style w:type="paragraph" w:styleId="Index2">
    <w:name w:val="index 2"/>
    <w:basedOn w:val="Normal"/>
    <w:next w:val="Normal"/>
    <w:autoRedefine/>
    <w:uiPriority w:val="99"/>
    <w:semiHidden/>
    <w:unhideWhenUsed/>
    <w:pPr>
      <w:ind w:left="480" w:hanging="240"/>
    </w:pPr>
    <w:rPr>
      <w:rFonts w:asciiTheme="minorHAnsi" w:eastAsiaTheme="minorHAnsi" w:hAnsiTheme="minorHAnsi"/>
    </w:rPr>
  </w:style>
  <w:style w:type="paragraph" w:styleId="Index3">
    <w:name w:val="index 3"/>
    <w:basedOn w:val="Normal"/>
    <w:next w:val="Normal"/>
    <w:autoRedefine/>
    <w:uiPriority w:val="99"/>
    <w:semiHidden/>
    <w:unhideWhenUsed/>
    <w:pPr>
      <w:ind w:left="720" w:hanging="240"/>
    </w:pPr>
    <w:rPr>
      <w:rFonts w:asciiTheme="minorHAnsi" w:eastAsiaTheme="minorHAnsi" w:hAnsiTheme="minorHAnsi"/>
    </w:rPr>
  </w:style>
  <w:style w:type="paragraph" w:styleId="Index4">
    <w:name w:val="index 4"/>
    <w:basedOn w:val="Normal"/>
    <w:next w:val="Normal"/>
    <w:autoRedefine/>
    <w:uiPriority w:val="99"/>
    <w:semiHidden/>
    <w:unhideWhenUsed/>
    <w:pPr>
      <w:ind w:left="960" w:hanging="240"/>
    </w:pPr>
    <w:rPr>
      <w:rFonts w:asciiTheme="minorHAnsi" w:eastAsiaTheme="minorHAnsi" w:hAnsiTheme="minorHAnsi"/>
    </w:rPr>
  </w:style>
  <w:style w:type="paragraph" w:styleId="Index5">
    <w:name w:val="index 5"/>
    <w:basedOn w:val="Normal"/>
    <w:next w:val="Normal"/>
    <w:autoRedefine/>
    <w:uiPriority w:val="99"/>
    <w:semiHidden/>
    <w:unhideWhenUsed/>
    <w:pPr>
      <w:ind w:left="1200" w:hanging="240"/>
    </w:pPr>
    <w:rPr>
      <w:rFonts w:asciiTheme="minorHAnsi" w:eastAsiaTheme="minorHAnsi" w:hAnsiTheme="minorHAnsi"/>
    </w:rPr>
  </w:style>
  <w:style w:type="paragraph" w:styleId="Index6">
    <w:name w:val="index 6"/>
    <w:basedOn w:val="Normal"/>
    <w:next w:val="Normal"/>
    <w:autoRedefine/>
    <w:uiPriority w:val="99"/>
    <w:semiHidden/>
    <w:unhideWhenUsed/>
    <w:pPr>
      <w:ind w:left="1440" w:hanging="240"/>
    </w:pPr>
    <w:rPr>
      <w:rFonts w:asciiTheme="minorHAnsi" w:eastAsiaTheme="minorHAnsi" w:hAnsiTheme="minorHAnsi"/>
    </w:rPr>
  </w:style>
  <w:style w:type="paragraph" w:styleId="Index7">
    <w:name w:val="index 7"/>
    <w:basedOn w:val="Normal"/>
    <w:next w:val="Normal"/>
    <w:autoRedefine/>
    <w:uiPriority w:val="99"/>
    <w:semiHidden/>
    <w:unhideWhenUsed/>
    <w:pPr>
      <w:ind w:left="1680" w:hanging="240"/>
    </w:pPr>
    <w:rPr>
      <w:rFonts w:asciiTheme="minorHAnsi" w:eastAsiaTheme="minorHAnsi" w:hAnsiTheme="minorHAnsi"/>
    </w:rPr>
  </w:style>
  <w:style w:type="paragraph" w:styleId="Index8">
    <w:name w:val="index 8"/>
    <w:basedOn w:val="Normal"/>
    <w:next w:val="Normal"/>
    <w:autoRedefine/>
    <w:uiPriority w:val="99"/>
    <w:semiHidden/>
    <w:unhideWhenUsed/>
    <w:pPr>
      <w:ind w:left="1920" w:hanging="240"/>
    </w:pPr>
    <w:rPr>
      <w:rFonts w:asciiTheme="minorHAnsi" w:eastAsiaTheme="minorHAnsi" w:hAnsiTheme="minorHAnsi"/>
    </w:rPr>
  </w:style>
  <w:style w:type="paragraph" w:styleId="Index9">
    <w:name w:val="index 9"/>
    <w:basedOn w:val="Normal"/>
    <w:next w:val="Normal"/>
    <w:autoRedefine/>
    <w:uiPriority w:val="99"/>
    <w:semiHidden/>
    <w:unhideWhenUsed/>
    <w:pPr>
      <w:ind w:left="2160" w:hanging="240"/>
    </w:pPr>
    <w:rPr>
      <w:rFonts w:asciiTheme="minorHAnsi" w:eastAsiaTheme="minorHAnsi" w:hAnsiTheme="minorHAnsi"/>
    </w:rPr>
  </w:style>
  <w:style w:type="paragraph" w:styleId="IndexHeading">
    <w:name w:val="index heading"/>
    <w:basedOn w:val="Normal"/>
    <w:next w:val="Index1"/>
    <w:uiPriority w:val="99"/>
    <w:semiHidden/>
    <w:unhideWhenUsed/>
    <w:rPr>
      <w:rFonts w:ascii="Arial" w:eastAsiaTheme="minorHAnsi"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rPr>
      <w:rFonts w:asciiTheme="minorHAnsi" w:eastAsiaTheme="minorHAnsi" w:hAnsiTheme="minorHAnsi"/>
    </w:rPr>
  </w:style>
  <w:style w:type="paragraph" w:styleId="TableofFigures">
    <w:name w:val="table of figures"/>
    <w:basedOn w:val="Normal"/>
    <w:next w:val="Normal"/>
    <w:uiPriority w:val="99"/>
    <w:semiHidden/>
    <w:unhideWhenUsed/>
    <w:rPr>
      <w:rFonts w:asciiTheme="minorHAnsi" w:eastAsiaTheme="minorHAnsi" w:hAnsiTheme="minorHAnsi"/>
    </w:rPr>
  </w:style>
  <w:style w:type="paragraph" w:styleId="TOAHeading">
    <w:name w:val="toa heading"/>
    <w:basedOn w:val="Normal"/>
    <w:next w:val="Normal"/>
    <w:uiPriority w:val="99"/>
    <w:semiHidden/>
    <w:unhideWhenUsed/>
    <w:pPr>
      <w:spacing w:before="120"/>
    </w:pPr>
    <w:rPr>
      <w:rFonts w:ascii="Arial" w:eastAsiaTheme="minorHAnsi" w:hAnsi="Arial" w:cs="Arial"/>
      <w:b/>
      <w:bCs/>
    </w:rPr>
  </w:style>
  <w:style w:type="paragraph" w:styleId="TOC1">
    <w:name w:val="toc 1"/>
    <w:basedOn w:val="Normal"/>
    <w:next w:val="Normal"/>
    <w:autoRedefine/>
    <w:uiPriority w:val="99"/>
    <w:semiHidden/>
    <w:unhideWhenUsed/>
    <w:rPr>
      <w:rFonts w:asciiTheme="minorHAnsi" w:eastAsiaTheme="minorHAnsi" w:hAnsiTheme="minorHAnsi"/>
    </w:rPr>
  </w:style>
  <w:style w:type="paragraph" w:styleId="TOC2">
    <w:name w:val="toc 2"/>
    <w:basedOn w:val="Normal"/>
    <w:next w:val="Normal"/>
    <w:autoRedefine/>
    <w:uiPriority w:val="99"/>
    <w:semiHidden/>
    <w:unhideWhenUsed/>
    <w:pPr>
      <w:ind w:left="240"/>
    </w:pPr>
    <w:rPr>
      <w:rFonts w:asciiTheme="minorHAnsi" w:eastAsiaTheme="minorHAnsi" w:hAnsiTheme="minorHAnsi"/>
    </w:rPr>
  </w:style>
  <w:style w:type="paragraph" w:styleId="TOC3">
    <w:name w:val="toc 3"/>
    <w:basedOn w:val="Normal"/>
    <w:next w:val="Normal"/>
    <w:autoRedefine/>
    <w:uiPriority w:val="99"/>
    <w:semiHidden/>
    <w:unhideWhenUsed/>
    <w:pPr>
      <w:ind w:left="480"/>
    </w:pPr>
    <w:rPr>
      <w:rFonts w:asciiTheme="minorHAnsi" w:eastAsiaTheme="minorHAnsi" w:hAnsiTheme="minorHAnsi"/>
    </w:rPr>
  </w:style>
  <w:style w:type="paragraph" w:styleId="TOC4">
    <w:name w:val="toc 4"/>
    <w:basedOn w:val="Normal"/>
    <w:next w:val="Normal"/>
    <w:autoRedefine/>
    <w:uiPriority w:val="99"/>
    <w:semiHidden/>
    <w:unhideWhenUsed/>
    <w:pPr>
      <w:ind w:left="720"/>
    </w:pPr>
    <w:rPr>
      <w:rFonts w:asciiTheme="minorHAnsi" w:eastAsiaTheme="minorHAnsi" w:hAnsiTheme="minorHAnsi"/>
    </w:rPr>
  </w:style>
  <w:style w:type="paragraph" w:styleId="TOC5">
    <w:name w:val="toc 5"/>
    <w:basedOn w:val="Normal"/>
    <w:next w:val="Normal"/>
    <w:autoRedefine/>
    <w:uiPriority w:val="99"/>
    <w:semiHidden/>
    <w:unhideWhenUsed/>
    <w:pPr>
      <w:ind w:left="960"/>
    </w:pPr>
    <w:rPr>
      <w:rFonts w:asciiTheme="minorHAnsi" w:eastAsiaTheme="minorHAnsi" w:hAnsiTheme="minorHAnsi"/>
    </w:rPr>
  </w:style>
  <w:style w:type="paragraph" w:styleId="TOC6">
    <w:name w:val="toc 6"/>
    <w:basedOn w:val="Normal"/>
    <w:next w:val="Normal"/>
    <w:autoRedefine/>
    <w:uiPriority w:val="99"/>
    <w:semiHidden/>
    <w:unhideWhenUsed/>
    <w:pPr>
      <w:ind w:left="1200"/>
    </w:pPr>
    <w:rPr>
      <w:rFonts w:asciiTheme="minorHAnsi" w:eastAsiaTheme="minorHAnsi" w:hAnsiTheme="minorHAnsi"/>
    </w:rPr>
  </w:style>
  <w:style w:type="paragraph" w:styleId="TOC7">
    <w:name w:val="toc 7"/>
    <w:basedOn w:val="Normal"/>
    <w:next w:val="Normal"/>
    <w:autoRedefine/>
    <w:uiPriority w:val="99"/>
    <w:semiHidden/>
    <w:unhideWhenUsed/>
    <w:pPr>
      <w:ind w:left="1440"/>
    </w:pPr>
    <w:rPr>
      <w:rFonts w:asciiTheme="minorHAnsi" w:eastAsiaTheme="minorHAnsi" w:hAnsiTheme="minorHAnsi"/>
    </w:rPr>
  </w:style>
  <w:style w:type="paragraph" w:styleId="TOC8">
    <w:name w:val="toc 8"/>
    <w:basedOn w:val="Normal"/>
    <w:next w:val="Normal"/>
    <w:autoRedefine/>
    <w:uiPriority w:val="99"/>
    <w:semiHidden/>
    <w:unhideWhenUsed/>
    <w:pPr>
      <w:ind w:left="1680"/>
    </w:pPr>
    <w:rPr>
      <w:rFonts w:asciiTheme="minorHAnsi" w:eastAsiaTheme="minorHAnsi" w:hAnsiTheme="minorHAnsi"/>
    </w:rPr>
  </w:style>
  <w:style w:type="paragraph" w:styleId="TOC9">
    <w:name w:val="toc 9"/>
    <w:basedOn w:val="Normal"/>
    <w:next w:val="Normal"/>
    <w:autoRedefine/>
    <w:uiPriority w:val="99"/>
    <w:semiHidden/>
    <w:unhideWhenUsed/>
    <w:pPr>
      <w:ind w:left="1920"/>
    </w:pPr>
    <w:rPr>
      <w:rFonts w:asciiTheme="minorHAnsi" w:eastAsiaTheme="minorHAnsi" w:hAnsiTheme="minorHAnsi"/>
    </w:r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rFonts w:asciiTheme="minorHAnsi" w:eastAsiaTheme="minorHAnsi" w:hAnsiTheme="minorHAnsi"/>
      <w:szCs w:val="32"/>
    </w:rPr>
  </w:style>
  <w:style w:type="paragraph" w:styleId="ListParagraph">
    <w:name w:val="List Paragraph"/>
    <w:basedOn w:val="Normal"/>
    <w:uiPriority w:val="34"/>
    <w:qFormat/>
    <w:rsid w:val="00662066"/>
    <w:pPr>
      <w:ind w:left="720"/>
      <w:contextualSpacing/>
    </w:pPr>
    <w:rPr>
      <w:rFonts w:asciiTheme="minorHAnsi" w:eastAsiaTheme="minorHAnsi" w:hAnsiTheme="minorHAnsi"/>
    </w:rPr>
  </w:style>
  <w:style w:type="paragraph" w:styleId="Quote">
    <w:name w:val="Quote"/>
    <w:basedOn w:val="Normal"/>
    <w:next w:val="Normal"/>
    <w:link w:val="QuoteChar"/>
    <w:uiPriority w:val="29"/>
    <w:qFormat/>
    <w:rsid w:val="00662066"/>
    <w:rPr>
      <w:rFonts w:asciiTheme="minorHAnsi" w:eastAsiaTheme="minorHAnsi" w:hAnsiTheme="minorHAnsi"/>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 w:type="paragraph" w:customStyle="1" w:styleId="OrderBody">
    <w:name w:val="Order Body"/>
    <w:basedOn w:val="Normal"/>
    <w:link w:val="OrderBodyChar"/>
    <w:rsid w:val="00CF79D2"/>
    <w:pPr>
      <w:jc w:val="both"/>
    </w:pPr>
  </w:style>
  <w:style w:type="character" w:customStyle="1" w:styleId="OrderBodyChar">
    <w:name w:val="Order Body Char"/>
    <w:link w:val="OrderBody"/>
    <w:rsid w:val="00CF79D2"/>
    <w:rPr>
      <w:rFonts w:ascii="Times New Roman" w:eastAsia="Times New Roman" w:hAnsi="Times New Roman"/>
      <w:sz w:val="24"/>
      <w:szCs w:val="24"/>
    </w:rPr>
  </w:style>
  <w:style w:type="paragraph" w:customStyle="1" w:styleId="OrderHeader">
    <w:name w:val="Order Header"/>
    <w:basedOn w:val="Header"/>
    <w:rsid w:val="00CF79D2"/>
    <w:pPr>
      <w:tabs>
        <w:tab w:val="clear" w:pos="4680"/>
        <w:tab w:val="clear" w:pos="9360"/>
        <w:tab w:val="center" w:pos="4320"/>
        <w:tab w:val="right" w:pos="8640"/>
      </w:tabs>
      <w:jc w:val="both"/>
    </w:pPr>
    <w:rPr>
      <w:rFonts w:ascii="Times New Roman" w:eastAsia="Times New Roman" w:hAnsi="Times New Roman"/>
    </w:rPr>
  </w:style>
  <w:style w:type="paragraph" w:customStyle="1" w:styleId="CenterUnderline">
    <w:name w:val="CenterUnderline"/>
    <w:basedOn w:val="Normal"/>
    <w:rsid w:val="00CF79D2"/>
    <w:pPr>
      <w:jc w:val="center"/>
    </w:pPr>
    <w:rPr>
      <w:u w:val="single"/>
    </w:rPr>
  </w:style>
  <w:style w:type="paragraph" w:customStyle="1" w:styleId="OrderHeading">
    <w:name w:val="Order Heading"/>
    <w:basedOn w:val="Normal"/>
    <w:rsid w:val="00CF79D2"/>
    <w:pPr>
      <w:jc w:val="center"/>
    </w:pPr>
  </w:style>
  <w:style w:type="paragraph" w:customStyle="1" w:styleId="OrderSigInfo">
    <w:name w:val="Order Sig Info"/>
    <w:basedOn w:val="OrderBody"/>
    <w:next w:val="OrderBody"/>
    <w:rsid w:val="00CF79D2"/>
    <w:pPr>
      <w:ind w:left="4464"/>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2015-08-24T20:46:00Z</dcterms:created>
  <dcterms:modified xsi:type="dcterms:W3CDTF">2015-08-25T14:00:00Z</dcterms:modified>
</cp:coreProperties>
</file>