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13C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745122">
            <w:pPr>
              <w:pStyle w:val="MemoHeading"/>
            </w:pPr>
            <w:bookmarkStart w:id="1" w:name="FilingDate"/>
            <w:r>
              <w:t>September 3, 2015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45122" w:rsidRDefault="00745122">
            <w:pPr>
              <w:pStyle w:val="MemoHeading"/>
            </w:pPr>
            <w:bookmarkStart w:id="2" w:name="From"/>
            <w:r>
              <w:t>Division of Accounting and Finance (Cicchetti, Archer, Bulecza-Banks, Buys, Cornelius, Fletcher, Maurey, Mouring, Slemkewicz)</w:t>
            </w:r>
          </w:p>
          <w:p w:rsidR="00745122" w:rsidRDefault="00745122">
            <w:pPr>
              <w:pStyle w:val="MemoHeading"/>
            </w:pPr>
            <w:r>
              <w:t>Office of Auditing and Performance Analysis (Deamer, Hill)</w:t>
            </w:r>
          </w:p>
          <w:p w:rsidR="00745122" w:rsidRDefault="00745122">
            <w:pPr>
              <w:pStyle w:val="MemoHeading"/>
            </w:pPr>
            <w:r>
              <w:t>Division of Economics (Draper, Higgins, McNulty, Shafer)</w:t>
            </w:r>
          </w:p>
          <w:p w:rsidR="00745122" w:rsidRDefault="00745122">
            <w:pPr>
              <w:pStyle w:val="MemoHeading"/>
            </w:pPr>
            <w:r>
              <w:t>Division of Engineering (Matthews)</w:t>
            </w:r>
          </w:p>
          <w:p w:rsidR="00745122" w:rsidRDefault="00745122">
            <w:pPr>
              <w:pStyle w:val="MemoHeading"/>
            </w:pPr>
            <w:r>
              <w:t>Office of the General Counsel (Gervasi, Ames, Corbari, Tan, Young)</w:t>
            </w:r>
          </w:p>
          <w:p w:rsidR="007C0528" w:rsidRDefault="00745122">
            <w:pPr>
              <w:pStyle w:val="MemoHeading"/>
            </w:pPr>
            <w:r>
              <w:t>Office of Industry Development and Market Analysis (</w:t>
            </w:r>
            <w:proofErr w:type="spellStart"/>
            <w:r>
              <w:t>Laux</w:t>
            </w:r>
            <w:proofErr w:type="spellEnd"/>
            <w:r>
              <w:t>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45122" w:rsidRDefault="00745122">
            <w:pPr>
              <w:pStyle w:val="MemoHeadingRe"/>
            </w:pPr>
            <w:bookmarkStart w:id="3" w:name="Re"/>
            <w:r>
              <w:t>Docket No. 150148-EI – Petition for approval to include in base rates the revenue requirement for the CR3 regulatory asset, by Duke Energy Florida, Inc.</w:t>
            </w:r>
          </w:p>
          <w:p w:rsidR="00745122" w:rsidRDefault="00745122">
            <w:pPr>
              <w:pStyle w:val="MemoHeadingRe"/>
            </w:pPr>
          </w:p>
          <w:p w:rsidR="007C0528" w:rsidRDefault="00745122">
            <w:pPr>
              <w:pStyle w:val="MemoHeadingRe"/>
            </w:pPr>
            <w:r>
              <w:t>Docket No. 150171-EI – Petition for issuance of nuclear asset-recovery financing order, by Duke Energy Florida, Inc. d/b/a Duke Energy.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745122" w:rsidP="001E1517">
            <w:pPr>
              <w:pStyle w:val="MemoHeading"/>
              <w:ind w:left="1241" w:hanging="1241"/>
            </w:pPr>
            <w:bookmarkStart w:id="4" w:name="AgendaDate"/>
            <w:r>
              <w:t>09/15/15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</w:t>
            </w:r>
            <w:r w:rsidR="001E1517">
              <w:t xml:space="preserve"> </w:t>
            </w:r>
            <w:r w:rsidR="00013CA1">
              <w:t xml:space="preserve">Motion to Approve Stipulation in Docket No. 150148-EI </w:t>
            </w:r>
            <w:r w:rsidR="000A57AD">
              <w:t>prior to hearing</w:t>
            </w:r>
            <w:r w:rsidR="001E1517">
              <w:t xml:space="preserve"> -</w:t>
            </w:r>
            <w:r>
              <w:t xml:space="preserve"> P</w:t>
            </w:r>
            <w:r w:rsidR="00013CA1">
              <w:t>artie</w:t>
            </w:r>
            <w:r>
              <w:t>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45122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45122">
            <w:pPr>
              <w:pStyle w:val="MemoHeading"/>
            </w:pPr>
            <w:bookmarkStart w:id="7" w:name="PrehearingOfficer"/>
            <w:r>
              <w:t>Brisé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45122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74512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45122" w:rsidRDefault="00745122" w:rsidP="00E275D8">
      <w:pPr>
        <w:pStyle w:val="BodyText"/>
      </w:pPr>
      <w:bookmarkStart w:id="11" w:name="RecToC"/>
      <w:bookmarkEnd w:id="11"/>
    </w:p>
    <w:p w:rsidR="00745122" w:rsidRDefault="00745122" w:rsidP="00E275D8">
      <w:pPr>
        <w:pStyle w:val="BodyText"/>
      </w:pPr>
    </w:p>
    <w:p w:rsidR="00745122" w:rsidRDefault="00745122" w:rsidP="00E275D8">
      <w:pPr>
        <w:pStyle w:val="BodyText"/>
      </w:pPr>
    </w:p>
    <w:p w:rsidR="00745122" w:rsidRDefault="00745122" w:rsidP="00E275D8">
      <w:pPr>
        <w:pStyle w:val="BodyText"/>
      </w:pPr>
      <w:r>
        <w:t>THIS ITEM WILL BE PRESENTED ORALLY</w:t>
      </w:r>
    </w:p>
    <w:sectPr w:rsidR="00745122" w:rsidSect="0068481F"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22" w:rsidRDefault="00745122">
      <w:r>
        <w:separator/>
      </w:r>
    </w:p>
  </w:endnote>
  <w:endnote w:type="continuationSeparator" w:id="0">
    <w:p w:rsidR="00745122" w:rsidRDefault="0074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22" w:rsidRDefault="00745122">
      <w:r>
        <w:separator/>
      </w:r>
    </w:p>
  </w:footnote>
  <w:footnote w:type="continuationSeparator" w:id="0">
    <w:p w:rsidR="00745122" w:rsidRDefault="0074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5E939B7-A965-484E-BA19-E98EC73B167F}"/>
    <w:docVar w:name="dgnword-eventsink" w:val="255766216"/>
    <w:docVar w:name="NumberOfIssues" w:val="0"/>
    <w:docVar w:name="StaffInToC" w:val="True"/>
  </w:docVars>
  <w:rsids>
    <w:rsidRoot w:val="00745122"/>
    <w:rsid w:val="00010E37"/>
    <w:rsid w:val="00013CA1"/>
    <w:rsid w:val="000277C2"/>
    <w:rsid w:val="00035B48"/>
    <w:rsid w:val="00036CE2"/>
    <w:rsid w:val="000437FE"/>
    <w:rsid w:val="00055B2A"/>
    <w:rsid w:val="00065A06"/>
    <w:rsid w:val="000666F3"/>
    <w:rsid w:val="00070DCB"/>
    <w:rsid w:val="00073120"/>
    <w:rsid w:val="000828D3"/>
    <w:rsid w:val="000A2B57"/>
    <w:rsid w:val="000A418B"/>
    <w:rsid w:val="000A57AD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E1517"/>
    <w:rsid w:val="001F2245"/>
    <w:rsid w:val="001F6DA1"/>
    <w:rsid w:val="002044E6"/>
    <w:rsid w:val="00205C82"/>
    <w:rsid w:val="00205DC2"/>
    <w:rsid w:val="002163B6"/>
    <w:rsid w:val="00220732"/>
    <w:rsid w:val="00221D32"/>
    <w:rsid w:val="00225C3F"/>
    <w:rsid w:val="00263D44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40073"/>
    <w:rsid w:val="00372805"/>
    <w:rsid w:val="00373180"/>
    <w:rsid w:val="00375AB9"/>
    <w:rsid w:val="003821A0"/>
    <w:rsid w:val="00385B04"/>
    <w:rsid w:val="003A22A6"/>
    <w:rsid w:val="003A5494"/>
    <w:rsid w:val="003B2510"/>
    <w:rsid w:val="003C2CC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4432"/>
    <w:rsid w:val="00471860"/>
    <w:rsid w:val="004C3150"/>
    <w:rsid w:val="004C3641"/>
    <w:rsid w:val="004C4390"/>
    <w:rsid w:val="004C4AF7"/>
    <w:rsid w:val="004D2881"/>
    <w:rsid w:val="004D385F"/>
    <w:rsid w:val="004D5B39"/>
    <w:rsid w:val="004E5147"/>
    <w:rsid w:val="00506C03"/>
    <w:rsid w:val="0052572A"/>
    <w:rsid w:val="00543CB3"/>
    <w:rsid w:val="005614BD"/>
    <w:rsid w:val="0057154F"/>
    <w:rsid w:val="00581CA3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B3947"/>
    <w:rsid w:val="006B4293"/>
    <w:rsid w:val="006C31E3"/>
    <w:rsid w:val="00705B04"/>
    <w:rsid w:val="00734820"/>
    <w:rsid w:val="007349DC"/>
    <w:rsid w:val="0074365E"/>
    <w:rsid w:val="00745122"/>
    <w:rsid w:val="007515FD"/>
    <w:rsid w:val="00760D80"/>
    <w:rsid w:val="00780C09"/>
    <w:rsid w:val="00780DDF"/>
    <w:rsid w:val="007834E9"/>
    <w:rsid w:val="00787DBC"/>
    <w:rsid w:val="007A04A1"/>
    <w:rsid w:val="007A1840"/>
    <w:rsid w:val="007C0528"/>
    <w:rsid w:val="007C3D38"/>
    <w:rsid w:val="007D0F35"/>
    <w:rsid w:val="007D4FEB"/>
    <w:rsid w:val="007D6146"/>
    <w:rsid w:val="007E0CE7"/>
    <w:rsid w:val="007F417F"/>
    <w:rsid w:val="00816624"/>
    <w:rsid w:val="00822562"/>
    <w:rsid w:val="00823663"/>
    <w:rsid w:val="008267C7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3B36"/>
    <w:rsid w:val="00A019B9"/>
    <w:rsid w:val="00A12508"/>
    <w:rsid w:val="00A1282B"/>
    <w:rsid w:val="00A13A27"/>
    <w:rsid w:val="00A175B6"/>
    <w:rsid w:val="00A21835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51A7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57A6A"/>
    <w:rsid w:val="00B760F1"/>
    <w:rsid w:val="00B7669E"/>
    <w:rsid w:val="00B77DA1"/>
    <w:rsid w:val="00BA0D55"/>
    <w:rsid w:val="00BA37B3"/>
    <w:rsid w:val="00BA4CC6"/>
    <w:rsid w:val="00BB3493"/>
    <w:rsid w:val="00BC188A"/>
    <w:rsid w:val="00BF5010"/>
    <w:rsid w:val="00C13791"/>
    <w:rsid w:val="00C31BB3"/>
    <w:rsid w:val="00C36977"/>
    <w:rsid w:val="00C477D9"/>
    <w:rsid w:val="00C60BA3"/>
    <w:rsid w:val="00C623F7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2BF8"/>
    <w:rsid w:val="00CE484E"/>
    <w:rsid w:val="00CF0DA8"/>
    <w:rsid w:val="00CF2E25"/>
    <w:rsid w:val="00CF4453"/>
    <w:rsid w:val="00D034D7"/>
    <w:rsid w:val="00D04BE4"/>
    <w:rsid w:val="00D14127"/>
    <w:rsid w:val="00D60F02"/>
    <w:rsid w:val="00D66E49"/>
    <w:rsid w:val="00D72F74"/>
    <w:rsid w:val="00D81563"/>
    <w:rsid w:val="00D9073E"/>
    <w:rsid w:val="00D9221D"/>
    <w:rsid w:val="00D958DF"/>
    <w:rsid w:val="00D96DA1"/>
    <w:rsid w:val="00DA51E7"/>
    <w:rsid w:val="00DB1C78"/>
    <w:rsid w:val="00DB7D96"/>
    <w:rsid w:val="00DC23FE"/>
    <w:rsid w:val="00DC59E6"/>
    <w:rsid w:val="00DD150B"/>
    <w:rsid w:val="00DD5025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95278"/>
    <w:rsid w:val="00EA2273"/>
    <w:rsid w:val="00EB2DB3"/>
    <w:rsid w:val="00EC3FBB"/>
    <w:rsid w:val="00EC6B7A"/>
    <w:rsid w:val="00ED3A87"/>
    <w:rsid w:val="00ED5B67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519"/>
    <w:rsid w:val="00F713C0"/>
    <w:rsid w:val="00F75DDC"/>
    <w:rsid w:val="00F853E1"/>
    <w:rsid w:val="00FA17AC"/>
    <w:rsid w:val="00FA32DE"/>
    <w:rsid w:val="00FA3382"/>
    <w:rsid w:val="00FA59CD"/>
    <w:rsid w:val="00FB1740"/>
    <w:rsid w:val="00FC6D7D"/>
    <w:rsid w:val="00FD16B0"/>
    <w:rsid w:val="00FD4FED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1</Pages>
  <Words>163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Andrea Mick</dc:creator>
  <cp:lastModifiedBy>Andrea Mick</cp:lastModifiedBy>
  <cp:revision>2</cp:revision>
  <cp:lastPrinted>2015-09-03T17:43:00Z</cp:lastPrinted>
  <dcterms:created xsi:type="dcterms:W3CDTF">2015-09-03T18:02:00Z</dcterms:created>
  <dcterms:modified xsi:type="dcterms:W3CDTF">2015-09-03T18:02:00Z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150148-EI, 150171-EI</vt:lpwstr>
  </property>
  <property fmtid="{D5CDD505-2E9C-101B-9397-08002B2CF9AE}" pid="3" name="MasterDocument">
    <vt:bool>false</vt:bool>
  </property>
</Properties>
</file>