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292A46" w:rsidP="00292A46">
      <w:pPr>
        <w:pStyle w:val="OrderHeading"/>
      </w:pPr>
      <w:r>
        <w:t>BEFORE THE FLORIDA PUBLIC SERVICE COMMISSION</w:t>
      </w:r>
    </w:p>
    <w:p w:rsidR="00292A46" w:rsidRDefault="00292A46" w:rsidP="00292A4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92A46" w:rsidRPr="00C63FCF" w:rsidTr="00C63FCF">
        <w:trPr>
          <w:trHeight w:val="828"/>
        </w:trPr>
        <w:tc>
          <w:tcPr>
            <w:tcW w:w="4788" w:type="dxa"/>
            <w:tcBorders>
              <w:bottom w:val="single" w:sz="8" w:space="0" w:color="auto"/>
              <w:right w:val="double" w:sz="6" w:space="0" w:color="auto"/>
            </w:tcBorders>
            <w:shd w:val="clear" w:color="auto" w:fill="auto"/>
          </w:tcPr>
          <w:p w:rsidR="00292A46" w:rsidRDefault="00292A46" w:rsidP="00C63FCF">
            <w:pPr>
              <w:pStyle w:val="OrderBody"/>
              <w:tabs>
                <w:tab w:val="center" w:pos="4320"/>
                <w:tab w:val="right" w:pos="8640"/>
              </w:tabs>
              <w:jc w:val="left"/>
            </w:pPr>
            <w:r>
              <w:t xml:space="preserve">In re: </w:t>
            </w:r>
            <w:bookmarkStart w:id="0" w:name="SSInRe"/>
            <w:bookmarkEnd w:id="0"/>
            <w:r>
              <w:t>Petition for determination of need for Okeechobee Clean Energy Center Unit 1, by Florida Power &amp; Light Company.</w:t>
            </w:r>
          </w:p>
        </w:tc>
        <w:tc>
          <w:tcPr>
            <w:tcW w:w="4788" w:type="dxa"/>
            <w:tcBorders>
              <w:left w:val="double" w:sz="6" w:space="0" w:color="auto"/>
            </w:tcBorders>
            <w:shd w:val="clear" w:color="auto" w:fill="auto"/>
          </w:tcPr>
          <w:p w:rsidR="00292A46" w:rsidRDefault="00292A46" w:rsidP="00292A46">
            <w:pPr>
              <w:pStyle w:val="OrderBody"/>
            </w:pPr>
            <w:r>
              <w:t xml:space="preserve">DOCKET NO. </w:t>
            </w:r>
            <w:bookmarkStart w:id="1" w:name="SSDocketNo"/>
            <w:bookmarkEnd w:id="1"/>
            <w:r>
              <w:t>150196-EI</w:t>
            </w:r>
          </w:p>
          <w:p w:rsidR="00292A46" w:rsidRDefault="00292A46" w:rsidP="00C63FCF">
            <w:pPr>
              <w:pStyle w:val="OrderBody"/>
              <w:tabs>
                <w:tab w:val="center" w:pos="4320"/>
                <w:tab w:val="right" w:pos="8640"/>
              </w:tabs>
              <w:jc w:val="left"/>
            </w:pPr>
            <w:r>
              <w:t xml:space="preserve">ORDER NO. </w:t>
            </w:r>
            <w:bookmarkStart w:id="2" w:name="OrderNo0394"/>
            <w:r w:rsidR="00637F96">
              <w:t>PSC-15-0394-PCO-EI</w:t>
            </w:r>
            <w:bookmarkEnd w:id="2"/>
          </w:p>
          <w:p w:rsidR="00292A46" w:rsidRDefault="00292A46" w:rsidP="00C63FCF">
            <w:pPr>
              <w:pStyle w:val="OrderBody"/>
              <w:tabs>
                <w:tab w:val="center" w:pos="4320"/>
                <w:tab w:val="right" w:pos="8640"/>
              </w:tabs>
              <w:jc w:val="left"/>
            </w:pPr>
            <w:r>
              <w:t xml:space="preserve">ISSUED: </w:t>
            </w:r>
            <w:r w:rsidR="00637F96">
              <w:t>September 16, 2015</w:t>
            </w:r>
          </w:p>
        </w:tc>
      </w:tr>
    </w:tbl>
    <w:p w:rsidR="00292A46" w:rsidRDefault="00292A46" w:rsidP="00292A46"/>
    <w:p w:rsidR="00292A46" w:rsidRDefault="00292A46" w:rsidP="00292A46"/>
    <w:p w:rsidR="00CB5276" w:rsidRDefault="00292A46" w:rsidP="00292A46">
      <w:pPr>
        <w:pStyle w:val="CenterUnderline"/>
      </w:pPr>
      <w:bookmarkStart w:id="3" w:name="Commissioners"/>
      <w:bookmarkEnd w:id="3"/>
      <w:r>
        <w:t>ORDER</w:t>
      </w:r>
      <w:bookmarkStart w:id="4" w:name="OrderTitle"/>
      <w:r>
        <w:t xml:space="preserve"> ESTABLISHING PROCEDURE </w:t>
      </w:r>
      <w:bookmarkEnd w:id="4"/>
    </w:p>
    <w:p w:rsidR="00CB5276" w:rsidRDefault="00CB5276">
      <w:pPr>
        <w:pStyle w:val="OrderBody"/>
      </w:pPr>
      <w:bookmarkStart w:id="5" w:name="OrderText"/>
      <w:bookmarkEnd w:id="5"/>
    </w:p>
    <w:p w:rsidR="004C3762" w:rsidRDefault="004C3762">
      <w:pPr>
        <w:pStyle w:val="OrderBody"/>
      </w:pPr>
    </w:p>
    <w:p w:rsidR="00292A46" w:rsidRPr="00292A46" w:rsidRDefault="00292A46" w:rsidP="004C37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 w:rsidRPr="00292A46">
        <w:rPr>
          <w:b/>
          <w:bCs/>
          <w:u w:val="single"/>
        </w:rPr>
        <w:t>Case Background</w:t>
      </w:r>
    </w:p>
    <w:p w:rsidR="00292A46" w:rsidRPr="00292A46" w:rsidRDefault="00292A46" w:rsidP="004C37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292A46" w:rsidRPr="007230AC" w:rsidRDefault="00292A46" w:rsidP="00494F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92A46">
        <w:tab/>
      </w:r>
      <w:r w:rsidR="007230AC">
        <w:t>O</w:t>
      </w:r>
      <w:r w:rsidR="00381808">
        <w:t xml:space="preserve">n September 3, 2015, Florida Power &amp; Light (FPL) filed a Petition and supporting testimony </w:t>
      </w:r>
      <w:r w:rsidR="00196CA2">
        <w:t xml:space="preserve">to Determine Need </w:t>
      </w:r>
      <w:r w:rsidR="00381808">
        <w:t>for the construction of a combined cycle generating unit</w:t>
      </w:r>
      <w:r w:rsidR="00196CA2">
        <w:t xml:space="preserve"> </w:t>
      </w:r>
      <w:r w:rsidR="00381808">
        <w:t>in Okeechobee County,</w:t>
      </w:r>
      <w:r w:rsidR="00196CA2">
        <w:t xml:space="preserve"> together with the associated facilities, including transmission lines and substation facilities,</w:t>
      </w:r>
      <w:r w:rsidR="00381808">
        <w:t xml:space="preserve"> </w:t>
      </w:r>
      <w:r w:rsidR="00196CA2">
        <w:t>pursuant to Sections 366.04 and 403.519, Florida Statutes (F.S.), and Rules 25-22.080, 25-22.081, 25-22.082, and 28-106.201, Florida Administrative Code (F.A.C.).</w:t>
      </w:r>
      <w:r w:rsidR="00381808">
        <w:t xml:space="preserve">  On September </w:t>
      </w:r>
      <w:r w:rsidR="00133D67" w:rsidRPr="00133D67">
        <w:t>11</w:t>
      </w:r>
      <w:r w:rsidR="00381808">
        <w:t>, 2015, the Commission issued a Notice of Commencement of Proceedings pursuant to Rule 25-22.080(3), F.A.C. Th</w:t>
      </w:r>
      <w:r w:rsidR="00494F86">
        <w:t>is</w:t>
      </w:r>
      <w:r w:rsidR="00381808">
        <w:t xml:space="preserve"> matter is scheduled for a formal administrative hearing beginning on December 1, 2015.</w:t>
      </w:r>
    </w:p>
    <w:p w:rsidR="00292A46" w:rsidRPr="00292A46" w:rsidRDefault="00292A46" w:rsidP="004C37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292A46" w:rsidRPr="00292A46" w:rsidRDefault="00292A46" w:rsidP="004C37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92A46">
        <w:tab/>
        <w:t>This Order is issued pursuant to the authority granted by Rule 28-106.211, F.A.C., which provides that the presiding officer before whom a case is pending may issue any orders necessary to effectuate discovery, prevent delay, and promote the just, speedy, and inexpensive determination of all aspects of the case.</w:t>
      </w:r>
    </w:p>
    <w:p w:rsidR="00292A46" w:rsidRDefault="00292A46" w:rsidP="004C37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92A46">
        <w:tab/>
      </w:r>
    </w:p>
    <w:p w:rsidR="004C3762" w:rsidRPr="00292A46" w:rsidRDefault="004C3762" w:rsidP="004C37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rsidR="00292A46" w:rsidRPr="00292A46" w:rsidRDefault="00292A46" w:rsidP="004C37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92A46">
        <w:rPr>
          <w:b/>
          <w:bCs/>
        </w:rPr>
        <w:t>II.</w:t>
      </w:r>
      <w:r w:rsidRPr="00292A46">
        <w:rPr>
          <w:b/>
          <w:bCs/>
        </w:rPr>
        <w:tab/>
      </w:r>
      <w:r w:rsidRPr="00292A46">
        <w:rPr>
          <w:b/>
          <w:bCs/>
          <w:u w:val="single"/>
        </w:rPr>
        <w:t>General Filing Procedures</w:t>
      </w:r>
    </w:p>
    <w:p w:rsidR="00292A46" w:rsidRPr="00292A46" w:rsidRDefault="00292A46" w:rsidP="004C37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92A46">
        <w:tab/>
      </w:r>
    </w:p>
    <w:p w:rsidR="00292A46" w:rsidRPr="00292A46" w:rsidRDefault="00292A46" w:rsidP="004C37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92A46">
        <w:tab/>
        <w:t>Filings pertaining to this docket should identify the assigned docket number.  Filing may be accomplished electronically as provided in the Commission’s Electronic Filing Requirements, posted on its Web site www.floridapsc.com under the Clerk’s Office menu, or by submitting the original document and the appropriate number of copies, as provided by Rule 25-22.028, F.A.C., to the Office of Commission Clerk via mail, hand delivery, or courier service addressed to:</w:t>
      </w:r>
    </w:p>
    <w:p w:rsidR="00292A46" w:rsidRPr="00292A46" w:rsidRDefault="00292A46" w:rsidP="004C37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92A46" w:rsidRPr="00292A46" w:rsidRDefault="00292A46" w:rsidP="004C37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92A46">
        <w:tab/>
        <w:t xml:space="preserve">Office of Commission Clerk </w:t>
      </w:r>
    </w:p>
    <w:p w:rsidR="00292A46" w:rsidRPr="00292A46" w:rsidRDefault="00292A46" w:rsidP="004C37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92A46">
        <w:tab/>
        <w:t>Florida Public Service Commission</w:t>
      </w:r>
    </w:p>
    <w:p w:rsidR="00292A46" w:rsidRPr="00292A46" w:rsidRDefault="00292A46" w:rsidP="004C37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92A46">
        <w:tab/>
        <w:t>2540 Shumard Oak Boulevard</w:t>
      </w:r>
    </w:p>
    <w:p w:rsidR="00292A46" w:rsidRPr="00292A46" w:rsidRDefault="00292A46" w:rsidP="004C37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92A46">
        <w:tab/>
        <w:t>Tallahassee, Florida  32399-0850</w:t>
      </w:r>
    </w:p>
    <w:p w:rsidR="00292A46" w:rsidRPr="00292A46" w:rsidRDefault="00292A46" w:rsidP="004C37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92A46" w:rsidRPr="00292A46" w:rsidRDefault="00292A46" w:rsidP="004C37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92A46">
        <w:t xml:space="preserve">The Commission strongly encourages Web based electronic filing, which is available from FPSC’s Home Page under the Clerk’s Office menu and Web Based Electronic Filing.  This application accepts documents in Adobe PDF format only. The e-mail attachment method of e-filing remains available until further notice and is subject to certain filing restrictions listed on the Clerk’s Electronic Filing Requirements link.  The filing party is responsible for ensuring that no information protected by privacy or confidentiality laws is contained in any document that </w:t>
      </w:r>
      <w:r w:rsidRPr="00292A46">
        <w:lastRenderedPageBreak/>
        <w:t>would be posted to FPSC’s Web site in the regular course of business.   To the extent possible, an electronic copy of all filings shall be provided to parties and staff in Microsoft Word format and all schedules shall be provided in Microsoft Excel format with formulas intact and unlocked.</w:t>
      </w:r>
    </w:p>
    <w:p w:rsidR="00292A46" w:rsidRDefault="00292A46" w:rsidP="004C37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C3762" w:rsidRPr="00292A46" w:rsidRDefault="004C3762" w:rsidP="004C37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92A46" w:rsidRDefault="00A7173D" w:rsidP="004C37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u w:val="single"/>
        </w:rPr>
      </w:pPr>
      <w:r w:rsidRPr="00A7173D">
        <w:rPr>
          <w:b/>
        </w:rPr>
        <w:t>III.</w:t>
      </w:r>
      <w:r>
        <w:tab/>
      </w:r>
      <w:r>
        <w:rPr>
          <w:b/>
          <w:u w:val="single"/>
        </w:rPr>
        <w:t>Notice and Public Information</w:t>
      </w:r>
    </w:p>
    <w:p w:rsidR="00A7173D" w:rsidRDefault="00A7173D" w:rsidP="004C37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u w:val="single"/>
        </w:rPr>
      </w:pPr>
    </w:p>
    <w:p w:rsidR="00A7173D" w:rsidRPr="00A7173D" w:rsidRDefault="00A7173D" w:rsidP="004C37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In addition to the </w:t>
      </w:r>
      <w:r w:rsidR="001404C9">
        <w:t>N</w:t>
      </w:r>
      <w:r>
        <w:t xml:space="preserve">otice of </w:t>
      </w:r>
      <w:r w:rsidR="001404C9">
        <w:t>C</w:t>
      </w:r>
      <w:r>
        <w:t xml:space="preserve">ommencement of </w:t>
      </w:r>
      <w:r w:rsidR="001404C9">
        <w:t>P</w:t>
      </w:r>
      <w:r>
        <w:t>roceedings and the usual notice the Commission issues for administrative hearings, Section 403.519(2), F.S., provides that FPL shall publish a notice of the proceeding in a newspaper of general circulation in each county in which the proposed electrical power plant will be located at least 21 days prior to the scheduled date for the proceeding.</w:t>
      </w:r>
    </w:p>
    <w:p w:rsidR="009C0FEA" w:rsidRDefault="009C0FEA" w:rsidP="004C37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C3762" w:rsidRPr="00292A46" w:rsidRDefault="004C3762" w:rsidP="004C37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92A46" w:rsidRPr="00292A46" w:rsidRDefault="00292A46" w:rsidP="004C37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92A46">
        <w:rPr>
          <w:b/>
        </w:rPr>
        <w:t>I</w:t>
      </w:r>
      <w:r w:rsidR="00A7173D">
        <w:rPr>
          <w:b/>
        </w:rPr>
        <w:t>V</w:t>
      </w:r>
      <w:r w:rsidRPr="00292A46">
        <w:rPr>
          <w:b/>
        </w:rPr>
        <w:t>.</w:t>
      </w:r>
      <w:r w:rsidRPr="00292A46">
        <w:rPr>
          <w:b/>
        </w:rPr>
        <w:tab/>
      </w:r>
      <w:r w:rsidRPr="00292A46">
        <w:rPr>
          <w:b/>
          <w:u w:val="single"/>
        </w:rPr>
        <w:t>Tentative List of Issues</w:t>
      </w:r>
    </w:p>
    <w:p w:rsidR="00292A46" w:rsidRPr="00292A46" w:rsidRDefault="00292A46" w:rsidP="004C37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rsidR="00292A46" w:rsidRPr="00292A46" w:rsidRDefault="00292A46" w:rsidP="004C37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92A46">
        <w:tab/>
        <w:t>A list of the issues identified thus far in this proceeding is attached hereto as Appendix A.  The scope of this proceeding will be based upon these issues as well as other issues raised by the parties up to</w:t>
      </w:r>
      <w:r w:rsidR="001404C9">
        <w:t>,</w:t>
      </w:r>
      <w:r w:rsidRPr="00292A46">
        <w:t xml:space="preserve"> and during the Prehearing Conference, unless modified by the Commission.</w:t>
      </w:r>
    </w:p>
    <w:p w:rsidR="00292A46" w:rsidRDefault="00292A46" w:rsidP="004C37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rsidR="004C3762" w:rsidRPr="00292A46" w:rsidRDefault="004C3762" w:rsidP="004C37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rsidR="00292A46" w:rsidRPr="00292A46" w:rsidRDefault="00292A46" w:rsidP="004C37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292A46">
        <w:rPr>
          <w:b/>
        </w:rPr>
        <w:t>V.</w:t>
      </w:r>
      <w:r w:rsidRPr="00292A46">
        <w:rPr>
          <w:b/>
        </w:rPr>
        <w:tab/>
      </w:r>
      <w:r w:rsidRPr="00292A46">
        <w:rPr>
          <w:b/>
          <w:u w:val="single"/>
        </w:rPr>
        <w:t>Prefiled Testimony and Exhibits</w:t>
      </w:r>
    </w:p>
    <w:p w:rsidR="00292A46" w:rsidRPr="00292A46" w:rsidRDefault="00292A46" w:rsidP="004C37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92A46" w:rsidRPr="00292A46" w:rsidRDefault="00292A46" w:rsidP="004C37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92A46">
        <w:tab/>
        <w:t xml:space="preserve">Each party shall file all testimony and exhibits that it intends to sponsor, pursuant to the schedule set forth in Section </w:t>
      </w:r>
      <w:r w:rsidR="00CD0DDB" w:rsidRPr="00CD0DDB">
        <w:t>X</w:t>
      </w:r>
      <w:r w:rsidRPr="00292A46">
        <w:t xml:space="preserve"> of this Order.  Testimony and exhibits may be filed electronically using the Web based electronic filing method.  If filing paper copies, an original and 15 copies of all testimony and exhibits shall be filed with the Office of Commission Clerk, by </w:t>
      </w:r>
      <w:smartTag w:uri="urn:schemas-microsoft-com:office:smarttags" w:element="time">
        <w:smartTagPr>
          <w:attr w:name="Hour" w:val="17"/>
          <w:attr w:name="Minute" w:val="0"/>
        </w:smartTagPr>
        <w:r w:rsidRPr="00292A46">
          <w:t>5:00 p.m.</w:t>
        </w:r>
      </w:smartTag>
      <w:r w:rsidRPr="00292A46">
        <w:t xml:space="preserve"> on the date due.  A copy of all prefiled testimony and exhibits shall be served electronically or by regular mail, overnight mail, or hand delivery to all other parties and staff no later than the date filed with the Commission.  Failure of a party to timely prefile exhibits and testimony from any witness in accordance with the foregoing requirements may bar admission of such exhibits and testimony. </w:t>
      </w:r>
    </w:p>
    <w:p w:rsidR="00292A46" w:rsidRPr="00292A46" w:rsidRDefault="00292A46" w:rsidP="004C37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92A46" w:rsidRPr="00292A46" w:rsidRDefault="00292A46" w:rsidP="004C37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92A46">
        <w:tab/>
        <w:t>The dimensions of each page of testimony shall be 8 ½ x 11 inches.  Each page shall be consecutively numbered and double spaced, with 25 numbered lines per page and left margins of at least 1.25 inches.  If filing paper copies of the testimony, all pages shall be filed on white, unglossed, three-holed paper and shall be unbound and without tabs.</w:t>
      </w:r>
    </w:p>
    <w:p w:rsidR="00292A46" w:rsidRPr="00292A46" w:rsidRDefault="00292A46" w:rsidP="004C37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
    <w:p w:rsidR="00292A46" w:rsidRPr="00292A46" w:rsidRDefault="00292A46" w:rsidP="004C37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292A46">
        <w:tab/>
        <w:t>Each exhibit sponsored by a witness in support of his or her prefiled testimony shall be:</w:t>
      </w:r>
    </w:p>
    <w:p w:rsidR="00292A46" w:rsidRPr="00292A46" w:rsidRDefault="00292A46" w:rsidP="004C37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292A46" w:rsidRPr="00292A46" w:rsidRDefault="00292A46" w:rsidP="004C3762">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292A46">
        <w:t>Attached to that witness’ testimony when filed;</w:t>
      </w:r>
    </w:p>
    <w:p w:rsidR="00292A46" w:rsidRPr="00292A46" w:rsidRDefault="00292A46" w:rsidP="004C3762">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292A46">
        <w:t>If filing paper copies, on three-holed paper, unbound, and without tabs;</w:t>
      </w:r>
    </w:p>
    <w:p w:rsidR="004C3762" w:rsidRDefault="00292A46" w:rsidP="004C3762">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292A46">
        <w:t>Sequentially numbered beginning with 1 (any exhibits attached to subsequently filed testimony of the same witness shall continue the sequential numbering system);</w:t>
      </w:r>
    </w:p>
    <w:p w:rsidR="00292A46" w:rsidRPr="00292A46" w:rsidRDefault="00292A46" w:rsidP="004C3762"/>
    <w:p w:rsidR="00292A46" w:rsidRPr="00292A46" w:rsidRDefault="00292A46" w:rsidP="004C3762">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292A46">
        <w:t>Identified in the upper right-hand corner of each page by the docket number, a brief title, and the witness’ initials followed by the exhibit’s number; and</w:t>
      </w:r>
    </w:p>
    <w:p w:rsidR="00292A46" w:rsidRPr="00292A46" w:rsidRDefault="00292A46" w:rsidP="004C3762">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292A46">
        <w:t>Paginated by showing in the upper right-hand corner of each page the page number followed by the total number of pages in the exhibit.</w:t>
      </w:r>
    </w:p>
    <w:p w:rsidR="00292A46" w:rsidRPr="00292A46" w:rsidRDefault="00292A46" w:rsidP="004C37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292A46" w:rsidRPr="00292A46" w:rsidRDefault="00292A46" w:rsidP="004C37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292A46">
        <w:tab/>
        <w:t>An example of the information to appear in the upper right-hand corner of the exhibit is as follows:</w:t>
      </w:r>
    </w:p>
    <w:p w:rsidR="00292A46" w:rsidRPr="00292A46" w:rsidRDefault="00292A46" w:rsidP="004C37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292A46" w:rsidRPr="00292A46" w:rsidRDefault="00292A46" w:rsidP="004C37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292A46">
        <w:tab/>
      </w:r>
      <w:r w:rsidRPr="00292A46">
        <w:tab/>
        <w:t>Docket No. 012345-EI</w:t>
      </w:r>
    </w:p>
    <w:p w:rsidR="00292A46" w:rsidRPr="00292A46" w:rsidRDefault="00292A46" w:rsidP="004C37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292A46">
        <w:tab/>
      </w:r>
      <w:r w:rsidRPr="00292A46">
        <w:tab/>
        <w:t xml:space="preserve">Foreign Coal Shipments to </w:t>
      </w:r>
      <w:smartTag w:uri="urn:schemas-microsoft-com:office:smarttags" w:element="place">
        <w:smartTag w:uri="urn:schemas-microsoft-com:office:smarttags" w:element="Street">
          <w:smartTag w:uri="urn:schemas-microsoft-com:office:smarttags" w:element="PlaceType">
            <w:r w:rsidRPr="00292A46">
              <w:t>Port</w:t>
            </w:r>
          </w:smartTag>
          <w:r w:rsidRPr="00292A46">
            <w:t xml:space="preserve"> of </w:t>
          </w:r>
          <w:smartTag w:uri="urn:schemas-microsoft-com:office:smarttags" w:element="PlaceName">
            <w:r w:rsidRPr="00292A46">
              <w:t>Tampa</w:t>
            </w:r>
          </w:smartTag>
        </w:smartTag>
      </w:smartTag>
    </w:p>
    <w:p w:rsidR="00292A46" w:rsidRPr="00292A46" w:rsidRDefault="00292A46" w:rsidP="004C37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292A46">
        <w:tab/>
      </w:r>
      <w:r w:rsidRPr="00292A46">
        <w:tab/>
        <w:t>Exhibit BLW-1, Page 1 of 2</w:t>
      </w:r>
    </w:p>
    <w:p w:rsidR="00292A46" w:rsidRPr="00292A46" w:rsidRDefault="00292A46" w:rsidP="004C37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292A46" w:rsidRPr="00292A46" w:rsidRDefault="00292A46" w:rsidP="004C37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92A46">
        <w:tab/>
        <w:t>After an opportunity for opposing parties to object to introduction of the exhibits and to cross-examine the witness sponsoring them, exhibits may be offered into evidence at the hearing.</w:t>
      </w:r>
    </w:p>
    <w:p w:rsidR="00A7173D" w:rsidRDefault="00A7173D" w:rsidP="004C37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p>
    <w:p w:rsidR="004C3762" w:rsidRDefault="004C3762" w:rsidP="004C37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p>
    <w:p w:rsidR="00292A46" w:rsidRPr="00292A46" w:rsidRDefault="009C0FEA" w:rsidP="004C37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rPr>
        <w:t>V</w:t>
      </w:r>
      <w:r w:rsidR="00A7173D">
        <w:rPr>
          <w:b/>
        </w:rPr>
        <w:t>I</w:t>
      </w:r>
      <w:r>
        <w:rPr>
          <w:b/>
        </w:rPr>
        <w:t>.</w:t>
      </w:r>
      <w:r w:rsidR="00292A46" w:rsidRPr="00292A46">
        <w:rPr>
          <w:b/>
        </w:rPr>
        <w:tab/>
      </w:r>
      <w:r w:rsidR="00292A46" w:rsidRPr="00292A46">
        <w:rPr>
          <w:b/>
          <w:u w:val="single"/>
        </w:rPr>
        <w:t>Discovery Procedures</w:t>
      </w:r>
    </w:p>
    <w:p w:rsidR="00292A46" w:rsidRPr="00292A46" w:rsidRDefault="00292A46" w:rsidP="004C37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92A46" w:rsidRPr="00292A46" w:rsidRDefault="00292A46" w:rsidP="004C37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92A46">
        <w:tab/>
        <w:t>A.</w:t>
      </w:r>
      <w:r w:rsidRPr="00292A46">
        <w:tab/>
      </w:r>
      <w:r w:rsidRPr="00292A46">
        <w:rPr>
          <w:u w:val="single"/>
        </w:rPr>
        <w:t>General Requirements</w:t>
      </w:r>
    </w:p>
    <w:p w:rsidR="00292A46" w:rsidRPr="00292A46" w:rsidRDefault="00292A46" w:rsidP="004C37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92A46" w:rsidRPr="00292A46" w:rsidRDefault="00292A46" w:rsidP="004C37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92A46">
        <w:tab/>
        <w:t>Discovery shall be conducted in accordance with the provisions of Chapter 120, F.S., and the</w:t>
      </w:r>
      <w:r w:rsidR="00944557">
        <w:t xml:space="preserve"> relevant provisions of Chapter 366, F.S., </w:t>
      </w:r>
      <w:r w:rsidRPr="00292A46">
        <w:t>Rules 25-22, 25-40, and 28-106, F.A.C., and the Florida Rules of Civil Procedure (as applicable), as modified herein or as may be subsequently modified by the Prehearing Officer.</w:t>
      </w:r>
    </w:p>
    <w:p w:rsidR="00292A46" w:rsidRPr="00292A46" w:rsidRDefault="00292A46" w:rsidP="004C3762">
      <w:pPr>
        <w:jc w:val="both"/>
        <w:rPr>
          <w:rFonts w:cs="Courier New"/>
        </w:rPr>
      </w:pPr>
    </w:p>
    <w:p w:rsidR="00292A46" w:rsidRPr="00292A46" w:rsidRDefault="00292A46" w:rsidP="004C37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92A46">
        <w:tab/>
        <w:t>Unless subsequently modified by the Prehearing Officer, the following shall apply:</w:t>
      </w:r>
    </w:p>
    <w:p w:rsidR="00292A46" w:rsidRPr="00292A46" w:rsidRDefault="00292A46" w:rsidP="004C37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92A46" w:rsidRPr="00292A46" w:rsidRDefault="00292A46" w:rsidP="004C3762">
      <w:pPr>
        <w:jc w:val="both"/>
      </w:pPr>
    </w:p>
    <w:p w:rsidR="00292A46" w:rsidRPr="00292A46" w:rsidRDefault="00292A46" w:rsidP="004C3762">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292A46">
        <w:t xml:space="preserve">Discovery shall be completed by </w:t>
      </w:r>
      <w:r w:rsidR="00F72B6D" w:rsidRPr="00414C65">
        <w:t>November 16, 2015.</w:t>
      </w:r>
    </w:p>
    <w:p w:rsidR="00292A46" w:rsidRPr="00292A46" w:rsidRDefault="00292A46" w:rsidP="004C3762">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292A46">
        <w:t>Discovery requests and responses shall be served by e-mail, hand delivery, or overnight mail, and electronic service is encouraged.  Discovery served via e-mail shall be limited to 5 MB per attachment, shall indicate how many e-mails are being sent related to the discovery (such as 1 of 6 e-mails), and shall be numbered sequentially.   Documents provided in response to a document request may be provided via a CD, DVD, or flash drive if not served electronically.</w:t>
      </w:r>
    </w:p>
    <w:p w:rsidR="00292A46" w:rsidRPr="00292A46" w:rsidRDefault="00292A46" w:rsidP="004C3762">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292A46">
        <w:t>Sets of interrogatories, requests for admissions, requests for production of documents, or other forms of discovery shall be numbered sequentially in order to facilitate identification.</w:t>
      </w:r>
    </w:p>
    <w:p w:rsidR="00292A46" w:rsidRPr="00292A46" w:rsidRDefault="00292A46" w:rsidP="004C3762">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292A46">
        <w:t>Within each set, discovery requests shall be numbered sequentially, and any discovery requests in subsequent sets shall continue the sequential numbering system.</w:t>
      </w:r>
    </w:p>
    <w:p w:rsidR="004C3762" w:rsidRDefault="004C3762">
      <w:r>
        <w:br w:type="page"/>
      </w:r>
    </w:p>
    <w:p w:rsidR="00292A46" w:rsidRPr="00292A46" w:rsidRDefault="00292A46" w:rsidP="004C3762">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292A46">
        <w:lastRenderedPageBreak/>
        <w:t xml:space="preserve">For discovery responses made prior to the filing of the utility’s rebuttal testimony, discovery responses shall be served within </w:t>
      </w:r>
      <w:r w:rsidR="00F72B6D">
        <w:t>2</w:t>
      </w:r>
      <w:r w:rsidRPr="00292A46">
        <w:t>0 calendar days (inclusive of mailing) of receipt of the discovery request.  For discovery requests related to matters addressed in the utility’s rebuttal testimony, discovery responses shall be served within</w:t>
      </w:r>
      <w:r w:rsidRPr="00292A46">
        <w:rPr>
          <w:b/>
        </w:rPr>
        <w:t xml:space="preserve"> </w:t>
      </w:r>
      <w:r w:rsidR="00F72B6D" w:rsidRPr="00F72B6D">
        <w:t>14</w:t>
      </w:r>
      <w:r w:rsidRPr="00292A46">
        <w:t xml:space="preserve"> days of receipt of the discovery request.</w:t>
      </w:r>
    </w:p>
    <w:p w:rsidR="00292A46" w:rsidRPr="00292A46" w:rsidRDefault="00292A46" w:rsidP="004C3762">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292A46">
        <w:t>Each page of every document produced pursuant to requests for production of documents shall be identified individually through the use of a Bates Stamp or other equivalent method of sequential identification.  Parties should number  produced documents in an unbroken sequence through the final hearing.</w:t>
      </w:r>
    </w:p>
    <w:p w:rsidR="00292A46" w:rsidRPr="00292A46" w:rsidRDefault="00292A46" w:rsidP="004C3762">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strike/>
        </w:rPr>
      </w:pPr>
      <w:r w:rsidRPr="00292A46">
        <w:t xml:space="preserve">Copies, whether hard copies or electronic, of discovery requests and responses shall be served on all parties and staff.   In addition, copies of all responses to requests for production of documents shall be provided to the Commission staff at its </w:t>
      </w:r>
      <w:smartTag w:uri="urn:schemas-microsoft-com:office:smarttags" w:element="place">
        <w:smartTag w:uri="urn:schemas-microsoft-com:office:smarttags" w:element="City">
          <w:smartTag w:uri="urn:schemas-microsoft-com:office:smarttags" w:element="Street">
            <w:r w:rsidRPr="00292A46">
              <w:t>Tallahassee</w:t>
            </w:r>
          </w:smartTag>
        </w:smartTag>
      </w:smartTag>
      <w:r w:rsidRPr="00292A46">
        <w:t xml:space="preserve"> office unless otherwise agreed.</w:t>
      </w:r>
    </w:p>
    <w:p w:rsidR="00292A46" w:rsidRPr="00317D84" w:rsidRDefault="00292A46" w:rsidP="004C3762">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317D84">
        <w:t xml:space="preserve">Parties shall file in the Commission Clerk’s Office a </w:t>
      </w:r>
      <w:r w:rsidR="00414C65">
        <w:t>N</w:t>
      </w:r>
      <w:r w:rsidRPr="00317D84">
        <w:t xml:space="preserve">otice of </w:t>
      </w:r>
      <w:r w:rsidR="00414C65">
        <w:t>S</w:t>
      </w:r>
      <w:r w:rsidRPr="00317D84">
        <w:t xml:space="preserve">ervice of any interrogatories or request for production of documents propounded in this docket, giving the date of service and the name of the party to whom the discovery was directed.  </w:t>
      </w:r>
    </w:p>
    <w:p w:rsidR="00CD0DDB" w:rsidRDefault="00CD0DDB" w:rsidP="004C37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C3762" w:rsidRPr="00292A46" w:rsidRDefault="004C3762" w:rsidP="004C37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92A46" w:rsidRPr="00292A46" w:rsidRDefault="00292A46" w:rsidP="004C37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92A46">
        <w:tab/>
        <w:t>Unless subsequently modified by the Prehearing Officer, the following shall apply:</w:t>
      </w:r>
    </w:p>
    <w:p w:rsidR="00292A46" w:rsidRPr="007C4C50" w:rsidRDefault="00292A46" w:rsidP="004C3762">
      <w:pPr>
        <w:jc w:val="both"/>
      </w:pPr>
    </w:p>
    <w:p w:rsidR="00292A46" w:rsidRPr="007C4C50" w:rsidRDefault="00292A46" w:rsidP="004C3762">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7C4C50">
        <w:t>Interrogatories, including all subparts, shall be limited to</w:t>
      </w:r>
      <w:r w:rsidR="007C4C50" w:rsidRPr="007C4C50">
        <w:t xml:space="preserve"> 200.</w:t>
      </w:r>
    </w:p>
    <w:p w:rsidR="00292A46" w:rsidRPr="007C4C50" w:rsidRDefault="00292A46" w:rsidP="004C3762">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7C4C50">
        <w:t xml:space="preserve">Requests for production of documents, including all subparts, shall be limited to </w:t>
      </w:r>
      <w:r w:rsidR="007C4C50" w:rsidRPr="007C4C50">
        <w:t>200.</w:t>
      </w:r>
    </w:p>
    <w:p w:rsidR="00292A46" w:rsidRPr="007C4C50" w:rsidRDefault="00292A46" w:rsidP="004C3762">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7C4C50">
        <w:t>Requests for admissions, including all subparts, shall be limited to</w:t>
      </w:r>
      <w:r w:rsidR="007C4C50" w:rsidRPr="007C4C50">
        <w:t xml:space="preserve"> 100.</w:t>
      </w:r>
    </w:p>
    <w:p w:rsidR="00292A46" w:rsidRPr="00292A46" w:rsidRDefault="00292A46" w:rsidP="004C37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292A46" w:rsidRPr="00292A46" w:rsidRDefault="00292A46" w:rsidP="004C3762">
      <w:pPr>
        <w:ind w:firstLine="720"/>
        <w:jc w:val="both"/>
        <w:rPr>
          <w:rFonts w:cs="Courier New"/>
        </w:rPr>
      </w:pPr>
      <w:r w:rsidRPr="00292A46">
        <w:rPr>
          <w:rFonts w:cs="Courier New"/>
        </w:rPr>
        <w:t>When a discovery request is served</w:t>
      </w:r>
      <w:r w:rsidR="00F72B6D" w:rsidRPr="00CD0DDB">
        <w:rPr>
          <w:rFonts w:cs="Courier New"/>
        </w:rPr>
        <w:t xml:space="preserve"> prior to the filing of the utility’s rebuttal testimony</w:t>
      </w:r>
      <w:r w:rsidRPr="00CD0DDB">
        <w:rPr>
          <w:rFonts w:cs="Courier New"/>
        </w:rPr>
        <w:t xml:space="preserve"> and the respondent intends to seek clarification of any portion of the discovery request, the respondent shall request such clarification within </w:t>
      </w:r>
      <w:r w:rsidR="00F72B6D" w:rsidRPr="00414C65">
        <w:rPr>
          <w:rFonts w:cs="Courier New"/>
        </w:rPr>
        <w:t>7</w:t>
      </w:r>
      <w:r w:rsidR="00F72B6D" w:rsidRPr="00414C65">
        <w:rPr>
          <w:rFonts w:cs="Courier New"/>
          <w:i/>
        </w:rPr>
        <w:t xml:space="preserve"> </w:t>
      </w:r>
      <w:r w:rsidRPr="00414C65">
        <w:rPr>
          <w:rFonts w:cs="Courier New"/>
        </w:rPr>
        <w:t xml:space="preserve">days of service of the discovery request.  </w:t>
      </w:r>
      <w:r w:rsidR="00CD0DDB" w:rsidRPr="00414C65">
        <w:rPr>
          <w:rFonts w:cs="Courier New"/>
        </w:rPr>
        <w:t>Further, any request for clarification regarding discovery requests regarding issues addressed in the utility’s rebuttal testimony shall be made within 5 days</w:t>
      </w:r>
      <w:r w:rsidR="00CD0DDB" w:rsidRPr="00CD0DDB">
        <w:rPr>
          <w:rFonts w:cs="Courier New"/>
        </w:rPr>
        <w:t xml:space="preserve"> of service of the discovery request. </w:t>
      </w:r>
      <w:r w:rsidR="00F72B6D" w:rsidRPr="00F72B6D">
        <w:rPr>
          <w:rFonts w:cs="Courier New"/>
        </w:rPr>
        <w:t>These</w:t>
      </w:r>
      <w:r w:rsidRPr="00F72B6D">
        <w:rPr>
          <w:rFonts w:cs="Courier New"/>
        </w:rPr>
        <w:t xml:space="preserve"> procedure</w:t>
      </w:r>
      <w:r w:rsidR="00F72B6D" w:rsidRPr="00F72B6D">
        <w:rPr>
          <w:rFonts w:cs="Courier New"/>
        </w:rPr>
        <w:t>s</w:t>
      </w:r>
      <w:r w:rsidRPr="00F72B6D">
        <w:rPr>
          <w:rFonts w:cs="Courier New"/>
        </w:rPr>
        <w:t xml:space="preserve"> are</w:t>
      </w:r>
      <w:r w:rsidRPr="00292A46">
        <w:rPr>
          <w:rFonts w:cs="Courier New"/>
        </w:rPr>
        <w:t xml:space="preserve"> intended to reduce delay in resolving discovery disputes.</w:t>
      </w:r>
    </w:p>
    <w:p w:rsidR="00292A46" w:rsidRPr="00292A46" w:rsidRDefault="00292A46" w:rsidP="004C37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292A46" w:rsidRPr="00292A46" w:rsidRDefault="00292A46" w:rsidP="004C37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292A46">
        <w:tab/>
        <w:t>B.</w:t>
      </w:r>
      <w:r w:rsidRPr="00292A46">
        <w:tab/>
      </w:r>
      <w:r w:rsidRPr="00292A46">
        <w:rPr>
          <w:u w:val="single"/>
        </w:rPr>
        <w:t>Confidential Information Provided Pursuant to Discovery</w:t>
      </w:r>
      <w:r w:rsidRPr="00292A46">
        <w:tab/>
      </w:r>
    </w:p>
    <w:p w:rsidR="00292A46" w:rsidRPr="00292A46" w:rsidRDefault="00292A46" w:rsidP="004C37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292A46" w:rsidRPr="00292A46" w:rsidRDefault="00292A46" w:rsidP="004C37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92A46">
        <w:tab/>
        <w:t xml:space="preserve">Any information provided to the Commission staff pursuant to a discovery request by the staff or any other person and for which proprietary confidential business information status is requested pursuant to Section </w:t>
      </w:r>
      <w:r w:rsidR="00944557" w:rsidRPr="00944557">
        <w:t>366.093</w:t>
      </w:r>
      <w:r w:rsidRPr="00292A46">
        <w:t xml:space="preserve">, F.S., and Rule 25-22.006, F.A.C., shall be treated by the Commission as confidential.  The information shall be exempt from Section 119.07(1), </w:t>
      </w:r>
      <w:smartTag w:uri="urn:schemas:contacts" w:element="GivenName">
        <w:r w:rsidRPr="00292A46">
          <w:t>F.S.</w:t>
        </w:r>
      </w:smartTag>
      <w:r w:rsidRPr="00292A46">
        <w:t xml:space="preserve">, pending a formal ruling on such request by the Commission or pending return of the information to the person providing the information.  If no determination of confidentiality has been made and the information has not been made a part of the evidentiary record in this proceeding, it shall be returned to the person providing the information.  If a determination of confidentiality has been made and the information was not entered into the record of this proceeding, it shall be returned to the person providing the information within the time period set forth in Section </w:t>
      </w:r>
      <w:r w:rsidR="00944557" w:rsidRPr="00944557">
        <w:lastRenderedPageBreak/>
        <w:t>366.093(4)</w:t>
      </w:r>
      <w:r w:rsidRPr="00292A46">
        <w:t>, F.S.  The Commission may determine that continued possession of the information is necessary for the Commission to conduct its business.</w:t>
      </w:r>
    </w:p>
    <w:p w:rsidR="00292A46" w:rsidRPr="00292A46" w:rsidRDefault="00292A46" w:rsidP="004C37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92A46" w:rsidRPr="00292A46" w:rsidRDefault="00292A46" w:rsidP="004C37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92A46">
        <w:tab/>
        <w:t>Redacted versions of confidential filings may be served electronically, but in no instance may confidential information be electronically submitted.  If the redacted version is served electronically, the confidential information (which may be on a CD, DVD, or flash drive) shall be filed with the Commission Clerk via hand-delivery, U.S. Mail, or overnight mail on the day that the redacted version was served via e-mail.</w:t>
      </w:r>
    </w:p>
    <w:p w:rsidR="00292A46" w:rsidRPr="00292A46" w:rsidRDefault="00292A46" w:rsidP="004C37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92A46" w:rsidRPr="00292A46" w:rsidRDefault="00292A46" w:rsidP="004C37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92A46">
        <w:tab/>
        <w:t>When a person provides information that it maintains as proprietary confidential business information to the Office of Public Counsel pursuant to a discovery request by the Office of Public Counsel or any other party, that party may request a temporary protective order pursuant to Rule 25-22.006(6)(c), F.A.C., exempting the information from Section 119.07(1), F.S.</w:t>
      </w:r>
    </w:p>
    <w:p w:rsidR="00292A46" w:rsidRPr="00292A46" w:rsidRDefault="00292A46" w:rsidP="004C37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92A46" w:rsidRPr="00292A46" w:rsidRDefault="00292A46" w:rsidP="004C37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92A46">
        <w:tab/>
        <w:t>When a party other than the Commission staff or the Office of Public Counsel requests information through discovery that the respondent maintains as proprietary confidential business information, or when such a party would otherwise be entitled to copies of such information requested by other parties through discovery (e.g., interrogatory responses), that party and respondent shall endeavor in good faith to reach agreement that will allow for the exchange of such information on reasonable terms, as set forth in Rule 25-22.006(7)(b), F.A.C.</w:t>
      </w:r>
    </w:p>
    <w:p w:rsidR="004C3762" w:rsidRDefault="004C3762" w:rsidP="004C37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92A46" w:rsidRPr="00292A46" w:rsidRDefault="00292A46" w:rsidP="004C37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92A46" w:rsidRPr="00292A46" w:rsidRDefault="00292A46" w:rsidP="004C37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292A46">
        <w:rPr>
          <w:b/>
          <w:bCs/>
        </w:rPr>
        <w:t>VI</w:t>
      </w:r>
      <w:r w:rsidR="00A7173D">
        <w:rPr>
          <w:b/>
          <w:bCs/>
        </w:rPr>
        <w:t>I</w:t>
      </w:r>
      <w:r w:rsidRPr="00292A46">
        <w:rPr>
          <w:b/>
          <w:bCs/>
        </w:rPr>
        <w:t>.</w:t>
      </w:r>
      <w:r w:rsidRPr="00292A46">
        <w:tab/>
      </w:r>
      <w:r w:rsidRPr="00292A46">
        <w:rPr>
          <w:b/>
          <w:bCs/>
          <w:u w:val="single"/>
        </w:rPr>
        <w:t>Prehearing Procedures</w:t>
      </w:r>
    </w:p>
    <w:p w:rsidR="00292A46" w:rsidRPr="00292A46" w:rsidRDefault="00292A46" w:rsidP="004C37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292A46" w:rsidRPr="00292A46" w:rsidRDefault="00292A46" w:rsidP="004C37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292A46">
        <w:tab/>
        <w:t>A.</w:t>
      </w:r>
      <w:r w:rsidRPr="00292A46">
        <w:tab/>
      </w:r>
      <w:r w:rsidRPr="00292A46">
        <w:rPr>
          <w:u w:val="single"/>
        </w:rPr>
        <w:t>Prehearing Statements</w:t>
      </w:r>
    </w:p>
    <w:p w:rsidR="00292A46" w:rsidRPr="00292A46" w:rsidRDefault="00292A46" w:rsidP="004C37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292A46" w:rsidRPr="00292A46" w:rsidRDefault="00292A46" w:rsidP="004C37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292A46">
        <w:tab/>
        <w:t xml:space="preserve">All parties in this docket and the Commission staff shall file a prehearing statement pursuant to the schedule set forth in Section </w:t>
      </w:r>
      <w:r w:rsidR="00CD0DDB" w:rsidRPr="00CD0DDB">
        <w:t>X</w:t>
      </w:r>
      <w:r w:rsidRPr="00292A46">
        <w:t xml:space="preserve"> of this Order.  Each prehearing statement shall be filed with the Office of Commission Clerk by 5:00 p.m. on the date due.  A copy, whether paper or electronic, of the prehearing statement shall be served on all other parties and staff no later than the date it is filed with the Commission.</w:t>
      </w:r>
    </w:p>
    <w:p w:rsidR="00292A46" w:rsidRPr="00292A46" w:rsidRDefault="00292A46" w:rsidP="004C37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92A46" w:rsidRPr="00292A46" w:rsidRDefault="00292A46" w:rsidP="004C37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92A46">
        <w:tab/>
        <w:t>Each party’s prehearing statement shall set forth the following information in the sequence listed below:</w:t>
      </w:r>
    </w:p>
    <w:p w:rsidR="00292A46" w:rsidRPr="00292A46" w:rsidRDefault="00292A46" w:rsidP="004C37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92A46" w:rsidRPr="00292A46" w:rsidRDefault="00292A46" w:rsidP="004C37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292A46">
        <w:t>(1)</w:t>
      </w:r>
      <w:r w:rsidRPr="00292A46">
        <w:tab/>
        <w:t>The name of all known witnesses whose testimony has been prefiled or who may be called by the party, along with subject matter of each such witness’ testimony;</w:t>
      </w:r>
    </w:p>
    <w:p w:rsidR="00292A46" w:rsidRPr="00292A46" w:rsidRDefault="00292A46" w:rsidP="004C37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292A46">
        <w:t>(2)</w:t>
      </w:r>
      <w:r w:rsidRPr="00292A46">
        <w:tab/>
        <w:t>A description of all prefiled exhibits and other exhibits that may be used by the party in presenting its direct case (including individual components of a composite exhibit) and the witness sponsoring each;</w:t>
      </w:r>
    </w:p>
    <w:p w:rsidR="004C3762" w:rsidRDefault="004C3762">
      <w:r>
        <w:br w:type="page"/>
      </w:r>
    </w:p>
    <w:p w:rsidR="004C3762" w:rsidRDefault="004C3762" w:rsidP="004C37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pPr>
    </w:p>
    <w:p w:rsidR="00292A46" w:rsidRPr="00292A46" w:rsidRDefault="00292A46" w:rsidP="004C37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pPr>
      <w:r w:rsidRPr="00292A46">
        <w:t>(3)</w:t>
      </w:r>
      <w:r w:rsidRPr="00292A46">
        <w:tab/>
        <w:t>A statement of the party’s basic position in the proceeding;</w:t>
      </w:r>
    </w:p>
    <w:p w:rsidR="00292A46" w:rsidRPr="00292A46" w:rsidRDefault="00292A46" w:rsidP="004C37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292A46">
        <w:t>(4)</w:t>
      </w:r>
      <w:r w:rsidRPr="00292A46">
        <w:tab/>
        <w:t>A statement of each question of fact, question of law, and policy question that the party considers at issue, along with the party’s position on each  issue, and, where applicable, the names of the party's witness(es) who will address each issue.  Parties who wish to maintain “no position at this time” on any particular issue or issues should refer to the requirements of subsection C, below;</w:t>
      </w:r>
    </w:p>
    <w:p w:rsidR="00292A46" w:rsidRPr="00292A46" w:rsidRDefault="00292A46" w:rsidP="004C37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292A46">
        <w:t>(5)</w:t>
      </w:r>
      <w:r w:rsidRPr="00292A46">
        <w:tab/>
        <w:t>A statement of issues to which the parties have stipulated;</w:t>
      </w:r>
    </w:p>
    <w:p w:rsidR="00292A46" w:rsidRPr="00292A46" w:rsidRDefault="00292A46" w:rsidP="004C37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292A46">
        <w:t>(6)</w:t>
      </w:r>
      <w:r w:rsidRPr="00292A46">
        <w:tab/>
        <w:t>A statement of all pending motions or other matters the party seeks action upon;</w:t>
      </w:r>
    </w:p>
    <w:p w:rsidR="00292A46" w:rsidRPr="00292A46" w:rsidRDefault="00292A46" w:rsidP="004C37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292A46">
        <w:t>(7)</w:t>
      </w:r>
      <w:r w:rsidRPr="00292A46">
        <w:tab/>
        <w:t>A statement identifying the party’s pending requests or claims for confidentiality;</w:t>
      </w:r>
    </w:p>
    <w:p w:rsidR="00292A46" w:rsidRPr="00292A46" w:rsidRDefault="00292A46" w:rsidP="004C37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292A46">
        <w:t>(8)</w:t>
      </w:r>
      <w:r w:rsidRPr="00292A46">
        <w:tab/>
        <w:t>Any objections to a witness’ qualifications as an expert.  Failure to identify such objection will result in restriction of a party’s ability to conduct voir dire absent a showing of good cause at the time the witness is offered for cross-examination at hearing; and</w:t>
      </w:r>
    </w:p>
    <w:p w:rsidR="00292A46" w:rsidRPr="00292A46" w:rsidRDefault="00292A46" w:rsidP="004C3762">
      <w:pPr>
        <w:jc w:val="both"/>
      </w:pPr>
    </w:p>
    <w:p w:rsidR="00292A46" w:rsidRPr="00292A46" w:rsidRDefault="00292A46" w:rsidP="004C37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292A46">
        <w:t>(9)</w:t>
      </w:r>
      <w:r w:rsidRPr="00292A46">
        <w:tab/>
        <w:t>A statement as to any requirement set forth in this order that cannot be complied with, and the reasons therefore.</w:t>
      </w:r>
    </w:p>
    <w:p w:rsidR="00292A46" w:rsidRPr="00292A46" w:rsidRDefault="00292A46" w:rsidP="004C37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92A46" w:rsidRPr="00292A46" w:rsidRDefault="00292A46" w:rsidP="004C37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92A46">
        <w:tab/>
        <w:t xml:space="preserve">Failure of a party to timely file a prehearing statement shall be a waiver of any issue not raised by other parties or by the Commission.  In addition, such failure shall preclude the party from presenting testimony in support of its position on each such issue.  </w:t>
      </w:r>
    </w:p>
    <w:p w:rsidR="00292A46" w:rsidRPr="00292A46" w:rsidRDefault="00292A46" w:rsidP="004C37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292A46" w:rsidRPr="00292A46" w:rsidRDefault="00292A46" w:rsidP="004C37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292A46">
        <w:tab/>
        <w:t>B.</w:t>
      </w:r>
      <w:r w:rsidRPr="00292A46">
        <w:tab/>
      </w:r>
      <w:r w:rsidRPr="00292A46">
        <w:rPr>
          <w:u w:val="single"/>
        </w:rPr>
        <w:t>Attendance at Prehearing Conference</w:t>
      </w:r>
    </w:p>
    <w:p w:rsidR="00292A46" w:rsidRPr="00292A46" w:rsidRDefault="00292A46" w:rsidP="004C37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292A46" w:rsidRPr="00292A46" w:rsidRDefault="00292A46" w:rsidP="004C37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92A46">
        <w:tab/>
        <w:t xml:space="preserve">Pursuant to Rule 28-106.209, F.A.C., a Prehearing Conference will be held </w:t>
      </w:r>
      <w:r w:rsidR="00647EDB">
        <w:t>November 17, 2015</w:t>
      </w:r>
      <w:r w:rsidRPr="00292A46">
        <w:t xml:space="preserve">, at the </w:t>
      </w:r>
      <w:smartTag w:uri="urn:schemas-microsoft-com:office:smarttags" w:element="PlaceName">
        <w:r w:rsidRPr="00292A46">
          <w:t>Betty</w:t>
        </w:r>
      </w:smartTag>
      <w:r w:rsidRPr="00292A46">
        <w:t xml:space="preserve"> </w:t>
      </w:r>
      <w:smartTag w:uri="urn:schemas-microsoft-com:office:smarttags" w:element="PlaceName">
        <w:r w:rsidRPr="00292A46">
          <w:t>Easley</w:t>
        </w:r>
      </w:smartTag>
      <w:r w:rsidRPr="00292A46">
        <w:t xml:space="preserve"> </w:t>
      </w:r>
      <w:smartTag w:uri="urn:schemas-microsoft-com:office:smarttags" w:element="PlaceName">
        <w:r w:rsidRPr="00292A46">
          <w:t>Conference</w:t>
        </w:r>
      </w:smartTag>
      <w:r w:rsidRPr="00292A46">
        <w:t xml:space="preserve"> </w:t>
      </w:r>
      <w:smartTag w:uri="urn:schemas-microsoft-com:office:smarttags" w:element="PlaceType">
        <w:r w:rsidRPr="00292A46">
          <w:t>Center</w:t>
        </w:r>
      </w:smartTag>
      <w:r w:rsidRPr="00292A46">
        <w:t xml:space="preserve">, 4075 Esplanade Way, </w:t>
      </w:r>
      <w:smartTag w:uri="urn:schemas-microsoft-com:office:smarttags" w:element="City">
        <w:r w:rsidRPr="00292A46">
          <w:t>Tallahassee</w:t>
        </w:r>
      </w:smartTag>
      <w:r w:rsidRPr="00292A46">
        <w:t xml:space="preserve">, </w:t>
      </w:r>
      <w:smartTag w:uri="urn:schemas-microsoft-com:office:smarttags" w:element="State">
        <w:smartTag w:uri="urn:schemas-microsoft-com:office:smarttags" w:element="place">
          <w:r w:rsidRPr="00292A46">
            <w:t>Florida</w:t>
          </w:r>
        </w:smartTag>
      </w:smartTag>
      <w:r w:rsidRPr="00292A46">
        <w:t>.  Unless excused by the Prehearing Officer for good cause shown, each party (or designated representative) shall personally appear at the prehearing conference.  Failure of a party (or that party’s representative) to appear shall constitute waiver of that party’s issues and positions, and that party may be dismissed from the proceeding.</w:t>
      </w:r>
    </w:p>
    <w:p w:rsidR="00292A46" w:rsidRDefault="00292A46" w:rsidP="004C37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92A46" w:rsidRPr="00292A46" w:rsidRDefault="00292A46" w:rsidP="004C37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92A46">
        <w:tab/>
        <w:t>C.</w:t>
      </w:r>
      <w:r w:rsidRPr="00292A46">
        <w:tab/>
      </w:r>
      <w:r w:rsidRPr="00292A46">
        <w:rPr>
          <w:u w:val="single"/>
        </w:rPr>
        <w:t>Waiver of Issues</w:t>
      </w:r>
    </w:p>
    <w:p w:rsidR="00292A46" w:rsidRPr="00292A46" w:rsidRDefault="00292A46" w:rsidP="004C37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92A46" w:rsidRPr="00292A46" w:rsidRDefault="00292A46" w:rsidP="004C37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92A46">
        <w:tab/>
        <w:t xml:space="preserve">Any issue not raised by a party either before or during the Prehearing Conference shall be waived by that party, except for good cause shown.  A party seeking to raise a new issue after the Prehearing Conference shall address each of the following: </w:t>
      </w:r>
    </w:p>
    <w:p w:rsidR="00292A46" w:rsidRPr="00292A46" w:rsidRDefault="00292A46" w:rsidP="004C3762">
      <w:pPr>
        <w:jc w:val="both"/>
      </w:pPr>
    </w:p>
    <w:p w:rsidR="00292A46" w:rsidRPr="00292A46" w:rsidRDefault="00292A46" w:rsidP="004C3762">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292A46">
        <w:t>Whether the party was unable to identify the issue because of the complexity of the matter;</w:t>
      </w:r>
    </w:p>
    <w:p w:rsidR="00292A46" w:rsidRPr="00292A46" w:rsidRDefault="00292A46" w:rsidP="004C3762">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292A46">
        <w:t>Whether discovery or other prehearing procedures were not adequate to fully develop the issue;</w:t>
      </w:r>
    </w:p>
    <w:p w:rsidR="004C3762" w:rsidRDefault="004C3762">
      <w:r>
        <w:br w:type="page"/>
      </w:r>
    </w:p>
    <w:p w:rsidR="004C3762" w:rsidRDefault="004C3762" w:rsidP="004C37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jc w:val="both"/>
      </w:pPr>
    </w:p>
    <w:p w:rsidR="00292A46" w:rsidRPr="00292A46" w:rsidRDefault="00292A46" w:rsidP="004C3762">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292A46">
        <w:t xml:space="preserve">Whether due diligence was exercised to obtain facts touching on the issue; </w:t>
      </w:r>
    </w:p>
    <w:p w:rsidR="00292A46" w:rsidRPr="00292A46" w:rsidRDefault="00292A46" w:rsidP="004C3762">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292A46">
        <w:t>Whether information obtained subsequent to the Prehearing Conference was not previously available to enable the party to identify the issue; and</w:t>
      </w:r>
    </w:p>
    <w:p w:rsidR="00292A46" w:rsidRPr="00292A46" w:rsidRDefault="00292A46" w:rsidP="004C3762">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292A46">
        <w:t>Whether introduction of the issue would not be to the prejudice or surprise of any party.</w:t>
      </w:r>
    </w:p>
    <w:p w:rsidR="00292A46" w:rsidRPr="00292A46" w:rsidRDefault="00292A46" w:rsidP="004C37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92A46" w:rsidRPr="00292A46" w:rsidRDefault="00292A46" w:rsidP="004C37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92A46">
        <w:t>Specific reference shall be made to the information received and how it enabled the party to identify the issue.</w:t>
      </w:r>
    </w:p>
    <w:p w:rsidR="00292A46" w:rsidRPr="00292A46" w:rsidRDefault="00292A46" w:rsidP="004C37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92A46" w:rsidRPr="00292A46" w:rsidRDefault="00292A46" w:rsidP="004C37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92A46">
        <w:tab/>
        <w:t>Unless a matter is not at issue for that party, each party shall take a position on each issue by the time of the Prehearing Conference or by such later time as may be permitted by the Prehearing Officer.  If a party is unable through diligence and good faith efforts to take a position on a matter at issue for that party, it shall explicitly state in its prehearing statement why it cannot take a position.  If the Prehearing Officer finds that the party has acted diligently and in good faith to take a position, and further finds that the party's failure to take a position will not prejudice other parties or confuse the proceeding, the party may maintain “no position at this time” prior to hearing and thereafter identify its position in a post-hearing statement of issues.  In the absence of such a finding by the Prehearing Officer, the party shall have waived the entire issue, and the party’s position shall be shown as “no position” in the Prehearing Order.  When an issue and position have been properly identified, any party may adopt that issue and position in its post-hearing statement.  Commission staff may take “no position at this time” or a similar position on any issue without having to make the showing described above.</w:t>
      </w:r>
    </w:p>
    <w:p w:rsidR="00292A46" w:rsidRPr="00292A46" w:rsidRDefault="00292A46" w:rsidP="004C37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92A46" w:rsidRPr="00292A46" w:rsidRDefault="00292A46" w:rsidP="004C3762">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92A46">
        <w:rPr>
          <w:u w:val="single"/>
        </w:rPr>
        <w:t>Motions to Strike Prefiled Testimony and Exhibits</w:t>
      </w:r>
    </w:p>
    <w:p w:rsidR="00292A46" w:rsidRPr="00292A46" w:rsidRDefault="00292A46" w:rsidP="004C37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92A46" w:rsidRPr="00292A46" w:rsidRDefault="00292A46" w:rsidP="004C37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92A46">
        <w:tab/>
        <w:t>Motions to strike any portion of the prefiled testimony and related portions of exhibits of any witness shall be made in writing no later than the Prehearing Conference.  Motions to strike any portion of prefiled testimony and related portions of exhibits at hearing shall be considered untimely, absent good cause shown.</w:t>
      </w:r>
    </w:p>
    <w:p w:rsidR="00292A46" w:rsidRPr="00292A46" w:rsidRDefault="00292A46" w:rsidP="004C37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92A46" w:rsidRPr="00292A46" w:rsidRDefault="00292A46" w:rsidP="004C3762">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92A46">
        <w:rPr>
          <w:u w:val="single"/>
        </w:rPr>
        <w:t>Demonstrative Exhibits</w:t>
      </w:r>
    </w:p>
    <w:p w:rsidR="00292A46" w:rsidRPr="00292A46" w:rsidRDefault="00292A46" w:rsidP="004C37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92A46" w:rsidRPr="00292A46" w:rsidRDefault="00292A46" w:rsidP="004C37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92A46">
        <w:tab/>
        <w:t>If a party wishes to use a demonstrative exhibit or other demonstrative tools at hearing, such materials must be identified by the time of the Prehearing Conference.</w:t>
      </w:r>
    </w:p>
    <w:p w:rsidR="00292A46" w:rsidRPr="00292A46" w:rsidRDefault="00292A46" w:rsidP="004C37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92A46" w:rsidRPr="00292A46" w:rsidRDefault="00292A46" w:rsidP="004C37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292A46">
        <w:tab/>
        <w:t>F.</w:t>
      </w:r>
      <w:r w:rsidRPr="00292A46">
        <w:tab/>
      </w:r>
      <w:r w:rsidRPr="00292A46">
        <w:rPr>
          <w:u w:val="single"/>
        </w:rPr>
        <w:t>Official Recognition</w:t>
      </w:r>
    </w:p>
    <w:p w:rsidR="00292A46" w:rsidRPr="00292A46" w:rsidRDefault="00292A46" w:rsidP="004C37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92A46" w:rsidRPr="00292A46" w:rsidRDefault="00292A46" w:rsidP="004C37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92A46">
        <w:tab/>
        <w:t>Parties seeking official recognition of materials pursuant to Section 120.569(2)(i), F.S., shall notify all other parties and staff in writing no later than</w:t>
      </w:r>
      <w:r w:rsidR="00944557" w:rsidRPr="00944557">
        <w:t xml:space="preserve"> two business days</w:t>
      </w:r>
      <w:r w:rsidRPr="00944557">
        <w:t xml:space="preserve"> </w:t>
      </w:r>
      <w:r w:rsidRPr="00292A46">
        <w:t>prior to the first scheduled hearing date.  Such notification shall identify all materials for which the party seeks official recognition, and to the extent such materials may not be readily available to all parties, such materials shall be provided along with the notification.</w:t>
      </w:r>
    </w:p>
    <w:p w:rsidR="004C3762" w:rsidRDefault="004C3762">
      <w:r>
        <w:br w:type="page"/>
      </w:r>
    </w:p>
    <w:p w:rsidR="00292A46" w:rsidRPr="00292A46" w:rsidRDefault="00292A46" w:rsidP="004C3762"/>
    <w:p w:rsidR="00292A46" w:rsidRPr="00292A46" w:rsidRDefault="00292A46" w:rsidP="004C37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292A46">
        <w:tab/>
      </w:r>
      <w:r w:rsidRPr="007C4C50">
        <w:t>G.</w:t>
      </w:r>
      <w:r w:rsidRPr="007C4C50">
        <w:tab/>
      </w:r>
      <w:r w:rsidRPr="007C4C50">
        <w:rPr>
          <w:u w:val="single"/>
        </w:rPr>
        <w:t>Use of Depositions at Hearing</w:t>
      </w:r>
    </w:p>
    <w:p w:rsidR="00292A46" w:rsidRPr="00292A46" w:rsidRDefault="00292A46" w:rsidP="004C37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92A46" w:rsidRPr="00292A46" w:rsidRDefault="00292A46" w:rsidP="004C3762">
      <w:pPr>
        <w:jc w:val="both"/>
      </w:pPr>
      <w:r w:rsidRPr="00292A46">
        <w:tab/>
        <w:t xml:space="preserve">Absent agreement by all parties concerning the introduction of depositions into the record at the hearing, any party wishing to introduce all or part of a deposition at hearing for any purpose other than impeachment, must file a Notice of Intent to Use Deposition no later than the </w:t>
      </w:r>
      <w:r w:rsidRPr="007C4C50">
        <w:t>deadline for filing Intervenor Testim</w:t>
      </w:r>
      <w:r w:rsidRPr="00292A46">
        <w:t xml:space="preserve">ony in this docket as set forth in Section </w:t>
      </w:r>
      <w:r w:rsidR="00CD0DDB">
        <w:t>X</w:t>
      </w:r>
      <w:r w:rsidRPr="00292A46">
        <w:t xml:space="preserve"> of this Order.  The Notice shall include the following information for each deposition:</w:t>
      </w:r>
    </w:p>
    <w:p w:rsidR="00292A46" w:rsidRPr="00292A46" w:rsidRDefault="00292A46" w:rsidP="004C3762">
      <w:pPr>
        <w:ind w:left="1080"/>
        <w:contextualSpacing/>
        <w:jc w:val="both"/>
      </w:pPr>
    </w:p>
    <w:p w:rsidR="00292A46" w:rsidRPr="00292A46" w:rsidRDefault="00292A46" w:rsidP="004C3762">
      <w:pPr>
        <w:numPr>
          <w:ilvl w:val="0"/>
          <w:numId w:val="8"/>
        </w:numPr>
        <w:contextualSpacing/>
        <w:jc w:val="both"/>
      </w:pPr>
      <w:r w:rsidRPr="00292A46">
        <w:t>Name of witness deposed;</w:t>
      </w:r>
    </w:p>
    <w:p w:rsidR="00292A46" w:rsidRPr="00292A46" w:rsidRDefault="00292A46" w:rsidP="004C3762">
      <w:pPr>
        <w:numPr>
          <w:ilvl w:val="0"/>
          <w:numId w:val="8"/>
        </w:numPr>
        <w:contextualSpacing/>
        <w:jc w:val="both"/>
      </w:pPr>
      <w:r w:rsidRPr="00292A46">
        <w:t>Date deposition was taken; and</w:t>
      </w:r>
    </w:p>
    <w:p w:rsidR="00292A46" w:rsidRPr="00292A46" w:rsidRDefault="00292A46" w:rsidP="004C3762">
      <w:pPr>
        <w:numPr>
          <w:ilvl w:val="0"/>
          <w:numId w:val="8"/>
        </w:numPr>
        <w:contextualSpacing/>
        <w:jc w:val="both"/>
      </w:pPr>
      <w:r w:rsidRPr="00292A46">
        <w:t xml:space="preserve">Page and line numbers of each deposition the party seeks to introduce. </w:t>
      </w:r>
    </w:p>
    <w:p w:rsidR="00292A46" w:rsidRPr="00292A46" w:rsidRDefault="00292A46" w:rsidP="004C3762"/>
    <w:p w:rsidR="00292A46" w:rsidRPr="00292A46" w:rsidRDefault="00292A46" w:rsidP="004C3762">
      <w:pPr>
        <w:ind w:firstLine="720"/>
        <w:jc w:val="both"/>
      </w:pPr>
      <w:r w:rsidRPr="00292A46">
        <w:t xml:space="preserve">Objection(s) to the entry into the record of a deposition or portion thereof at hearing for purposes other than impeachment must be made in writing </w:t>
      </w:r>
      <w:r w:rsidRPr="00292A46">
        <w:rPr>
          <w:u w:val="single"/>
        </w:rPr>
        <w:t>prior to the start of the prehearing conference</w:t>
      </w:r>
      <w:r w:rsidRPr="00292A46">
        <w:t xml:space="preserve"> for determination by the Prehearing Officer.</w:t>
      </w:r>
    </w:p>
    <w:p w:rsidR="00292A46" w:rsidRPr="00292A46" w:rsidRDefault="00292A46" w:rsidP="004C3762">
      <w:pPr>
        <w:ind w:firstLine="720"/>
        <w:jc w:val="both"/>
      </w:pPr>
    </w:p>
    <w:p w:rsidR="00292A46" w:rsidRPr="00292A46" w:rsidRDefault="00292A46" w:rsidP="004C3762">
      <w:pPr>
        <w:ind w:firstLine="720"/>
        <w:jc w:val="both"/>
      </w:pPr>
      <w:r w:rsidRPr="00292A46">
        <w:t>A Notice of Intent to Use Deposition filed after the deadline for filing Intervenor Testimony has passed shall be considered untimely, absent just cause shown.  A motion to allow the late filing of a Notice of Intent to Use Deposition must be filed and served on all parties no later tha</w:t>
      </w:r>
      <w:r w:rsidRPr="005871F5">
        <w:t>n</w:t>
      </w:r>
      <w:r w:rsidR="005871F5" w:rsidRPr="005871F5">
        <w:t xml:space="preserve"> 2 days </w:t>
      </w:r>
      <w:r w:rsidRPr="005871F5">
        <w:t>pr</w:t>
      </w:r>
      <w:r w:rsidRPr="00292A46">
        <w:t xml:space="preserve">ior to the prehearing conference for determination of just cause by the Prehearing Officer.  If the motion is granted, the filing of supplemental rebuttal testimony shall be allowed by a date certain prior to hearing.  </w:t>
      </w:r>
    </w:p>
    <w:p w:rsidR="00292A46" w:rsidRDefault="00292A46" w:rsidP="004C3762"/>
    <w:p w:rsidR="004C3762" w:rsidRPr="00292A46" w:rsidRDefault="004C3762" w:rsidP="004C3762"/>
    <w:p w:rsidR="00292A46" w:rsidRPr="00292A46" w:rsidRDefault="00292A46" w:rsidP="004C37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92A46">
        <w:rPr>
          <w:b/>
          <w:bCs/>
        </w:rPr>
        <w:t>VI</w:t>
      </w:r>
      <w:r w:rsidR="00A7173D">
        <w:rPr>
          <w:b/>
          <w:bCs/>
        </w:rPr>
        <w:t>I</w:t>
      </w:r>
      <w:r w:rsidRPr="00292A46">
        <w:rPr>
          <w:b/>
          <w:bCs/>
        </w:rPr>
        <w:t>I.</w:t>
      </w:r>
      <w:r w:rsidRPr="00292A46">
        <w:rPr>
          <w:b/>
          <w:bCs/>
        </w:rPr>
        <w:tab/>
      </w:r>
      <w:r w:rsidRPr="00292A46">
        <w:rPr>
          <w:b/>
          <w:bCs/>
          <w:u w:val="single"/>
        </w:rPr>
        <w:t>Hearing Procedures</w:t>
      </w:r>
    </w:p>
    <w:p w:rsidR="00292A46" w:rsidRPr="00292A46" w:rsidRDefault="00292A46" w:rsidP="004C37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92A46" w:rsidRPr="00292A46" w:rsidRDefault="00292A46" w:rsidP="004C37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92A46">
        <w:tab/>
        <w:t>A.</w:t>
      </w:r>
      <w:r w:rsidRPr="00292A46">
        <w:tab/>
      </w:r>
      <w:r w:rsidRPr="00292A46">
        <w:rPr>
          <w:u w:val="single"/>
        </w:rPr>
        <w:t>Attendance at Hearing</w:t>
      </w:r>
    </w:p>
    <w:p w:rsidR="00292A46" w:rsidRPr="00292A46" w:rsidRDefault="00292A46" w:rsidP="004C37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92A46" w:rsidRPr="00292A46" w:rsidRDefault="00292A46" w:rsidP="004C37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92A46">
        <w:tab/>
        <w:t xml:space="preserve">Unless excused by the Presiding Officer for good cause shown, each party (or designated representative) shall personally appear at the hearing.  Failure of a party, or that party’s representative, to appear shall constitute waiver of that party’s issues, and that party may be dismissed from the proceeding. </w:t>
      </w:r>
    </w:p>
    <w:p w:rsidR="00292A46" w:rsidRPr="00292A46" w:rsidRDefault="00292A46" w:rsidP="004C37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92A46" w:rsidRPr="00292A46" w:rsidRDefault="00292A46" w:rsidP="004C37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92A46">
        <w:tab/>
        <w:t xml:space="preserve">Likewise, all witnesses are expected to be present at the hearing unless excused by the Presiding Officer upon the staff attorney’s confirmation prior to the hearing date of the following: </w:t>
      </w:r>
    </w:p>
    <w:p w:rsidR="00292A46" w:rsidRPr="00292A46" w:rsidRDefault="00292A46" w:rsidP="004C3762">
      <w:pPr>
        <w:jc w:val="both"/>
      </w:pPr>
    </w:p>
    <w:p w:rsidR="00292A46" w:rsidRPr="00292A46" w:rsidRDefault="00292A46" w:rsidP="004C3762">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292A46">
        <w:t>All parties agree that the witness will not be needed for cross examination.</w:t>
      </w:r>
    </w:p>
    <w:p w:rsidR="00292A46" w:rsidRPr="00292A46" w:rsidRDefault="00292A46" w:rsidP="004C3762">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292A46">
        <w:t>All Commissioners assigned to the panel do not have questions for the witness.</w:t>
      </w:r>
    </w:p>
    <w:p w:rsidR="00292A46" w:rsidRPr="00292A46" w:rsidRDefault="00292A46" w:rsidP="004C37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92A46" w:rsidRPr="00292A46" w:rsidRDefault="00292A46" w:rsidP="004C37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92A46">
        <w:tab/>
        <w:t>In the event a witness is excused in this manner, his or her testimony may be entered into the record as though read following the Commission’s approval of the proposed stipulation of that witness’ testimony.</w:t>
      </w:r>
    </w:p>
    <w:p w:rsidR="004C3762" w:rsidRDefault="004C3762">
      <w:r>
        <w:br w:type="page"/>
      </w:r>
    </w:p>
    <w:p w:rsidR="00292A46" w:rsidRPr="00292A46" w:rsidRDefault="00292A46" w:rsidP="004C37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92A46" w:rsidRPr="00292A46" w:rsidRDefault="00292A46" w:rsidP="004C37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92A46">
        <w:tab/>
        <w:t>B.</w:t>
      </w:r>
      <w:r w:rsidRPr="00292A46">
        <w:tab/>
      </w:r>
      <w:r w:rsidRPr="00292A46">
        <w:rPr>
          <w:u w:val="single"/>
        </w:rPr>
        <w:t>Cross-Examination</w:t>
      </w:r>
    </w:p>
    <w:p w:rsidR="00292A46" w:rsidRPr="00292A46" w:rsidRDefault="00292A46" w:rsidP="004C37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92A46" w:rsidRPr="00292A46" w:rsidRDefault="00292A46" w:rsidP="004C37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92A46">
        <w:tab/>
        <w:t>The parties shall avoid duplicative or repetitious cross-examination. Further, friendly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witness's direct testimony is adverse to its interests.</w:t>
      </w:r>
    </w:p>
    <w:p w:rsidR="00292A46" w:rsidRPr="00292A46" w:rsidRDefault="00292A46" w:rsidP="004C37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92A46" w:rsidRPr="00292A46" w:rsidRDefault="00292A46" w:rsidP="004C37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92A46">
        <w:tab/>
        <w:t>C.</w:t>
      </w:r>
      <w:r w:rsidRPr="00292A46">
        <w:tab/>
      </w:r>
      <w:r w:rsidRPr="00292A46">
        <w:rPr>
          <w:u w:val="single"/>
        </w:rPr>
        <w:t>Use of Confidential Information at Hearing</w:t>
      </w:r>
    </w:p>
    <w:p w:rsidR="00292A46" w:rsidRPr="00292A46" w:rsidRDefault="00292A46" w:rsidP="004C37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92A46" w:rsidRPr="00292A46" w:rsidRDefault="00292A46" w:rsidP="004C37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92A46">
        <w:tab/>
        <w:t xml:space="preserve">It is the policy of this Commission that all Commission hearings be open to the public at all times.  The Commission also recognizes its obligation pursuant to Section </w:t>
      </w:r>
      <w:r w:rsidR="00944557" w:rsidRPr="00944557">
        <w:t>366.093</w:t>
      </w:r>
      <w:r w:rsidRPr="00292A46">
        <w:t xml:space="preserve">, </w:t>
      </w:r>
      <w:smartTag w:uri="urn:schemas:contacts" w:element="GivenName">
        <w:r w:rsidRPr="00292A46">
          <w:t>F.S.</w:t>
        </w:r>
      </w:smartTag>
      <w:r w:rsidRPr="00292A46">
        <w:t xml:space="preserve">, to protect proprietary confidential business information from disclosure outside the proceeding.  Therefore, any party wishing to use any proprietary confidential business information, as that term is defined in Section </w:t>
      </w:r>
      <w:r w:rsidR="00944557">
        <w:t>366.093</w:t>
      </w:r>
      <w:r w:rsidRPr="00292A46">
        <w:t xml:space="preserve">, </w:t>
      </w:r>
      <w:smartTag w:uri="urn:schemas:contacts" w:element="GivenName">
        <w:r w:rsidRPr="00292A46">
          <w:t>F.S.</w:t>
        </w:r>
      </w:smartTag>
      <w:r w:rsidRPr="00292A46">
        <w:t>, at the hearing shall adhere to the following:</w:t>
      </w:r>
    </w:p>
    <w:p w:rsidR="00292A46" w:rsidRPr="00292A46" w:rsidRDefault="00292A46" w:rsidP="004C3762">
      <w:pPr>
        <w:jc w:val="both"/>
      </w:pPr>
    </w:p>
    <w:p w:rsidR="00292A46" w:rsidRPr="00292A46" w:rsidRDefault="00292A46" w:rsidP="004C3762">
      <w:pPr>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hanging="720"/>
        <w:jc w:val="both"/>
      </w:pPr>
      <w:r w:rsidRPr="00292A46">
        <w:t>When confidential information is used in the hearing, parties must have copies for the Commissioners, necessary staff, and the court reporter, in red envelopes clearly marked with the nature of the contents.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292A46" w:rsidRPr="00292A46" w:rsidRDefault="00292A46" w:rsidP="004C37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92A46" w:rsidRPr="00292A46" w:rsidRDefault="00292A46" w:rsidP="004C3762">
      <w:pPr>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hanging="720"/>
        <w:jc w:val="both"/>
      </w:pPr>
      <w:r w:rsidRPr="00292A46">
        <w:t>Counsel and witnesses are cautioned to avoid verbalizing confidential information in such a way that would compromise confidentiality.  Therefore, confidential information should be presented by written exhibit when reasonably possible.</w:t>
      </w:r>
    </w:p>
    <w:p w:rsidR="00292A46" w:rsidRPr="00292A46" w:rsidRDefault="00292A46" w:rsidP="004C37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92A46">
        <w:tab/>
      </w:r>
    </w:p>
    <w:p w:rsidR="00292A46" w:rsidRPr="00292A46" w:rsidRDefault="00292A46" w:rsidP="004C37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92A46">
        <w:tab/>
        <w:t>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Office of Commission Clerk’s confidential files.  If such information is admitted into the evidentiary record at hearing and is not otherwise subject to a request for confidentiality filed with the Commission, the source of the information must file a request for confidential classification of the information within 21 days of the conclusion of the hearing, as set forth in Rule 25-22.006(8)(b), F.A.C., if continued confidentiality of the information is to be maintained.</w:t>
      </w:r>
    </w:p>
    <w:p w:rsidR="00647EDB" w:rsidRDefault="00647EDB" w:rsidP="004C37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rsidR="004C3762" w:rsidRDefault="004C3762" w:rsidP="004C37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rsidR="004C3762" w:rsidRDefault="004C3762">
      <w:pPr>
        <w:rPr>
          <w:b/>
          <w:bCs/>
        </w:rPr>
      </w:pPr>
      <w:r>
        <w:rPr>
          <w:b/>
          <w:bCs/>
        </w:rPr>
        <w:br w:type="page"/>
      </w:r>
    </w:p>
    <w:p w:rsidR="004C3762" w:rsidRDefault="004C3762" w:rsidP="004C37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rsidR="00292A46" w:rsidRPr="00292A46" w:rsidRDefault="00A7173D" w:rsidP="004C37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IX</w:t>
      </w:r>
      <w:r w:rsidR="00292A46" w:rsidRPr="00292A46">
        <w:rPr>
          <w:b/>
          <w:bCs/>
        </w:rPr>
        <w:t>.</w:t>
      </w:r>
      <w:r w:rsidR="00292A46" w:rsidRPr="00292A46">
        <w:rPr>
          <w:b/>
          <w:bCs/>
        </w:rPr>
        <w:tab/>
      </w:r>
      <w:r w:rsidR="00292A46" w:rsidRPr="00292A46">
        <w:rPr>
          <w:b/>
          <w:bCs/>
          <w:u w:val="single"/>
        </w:rPr>
        <w:t>Post-Hearing Procedures</w:t>
      </w:r>
    </w:p>
    <w:p w:rsidR="00292A46" w:rsidRPr="00292A46" w:rsidRDefault="00292A46" w:rsidP="004C37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92A46" w:rsidRPr="00292A46" w:rsidRDefault="00292A46" w:rsidP="004C37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92A46">
        <w:tab/>
        <w:t xml:space="preserve">If the Commission (or assigned panel) does not render a bench decision at the hearing, it may allow each party to file a post-hearing statement of issues and positions pursuant to the schedule set forth in Section </w:t>
      </w:r>
      <w:r w:rsidR="00647EDB" w:rsidRPr="00647EDB">
        <w:t>X</w:t>
      </w:r>
      <w:r w:rsidRPr="00292A46">
        <w:t xml:space="preserve"> of this Order.  In such event, a summary of each position of no more than</w:t>
      </w:r>
      <w:r w:rsidRPr="00414C65">
        <w:t xml:space="preserve"> 50 words</w:t>
      </w:r>
      <w:r w:rsidRPr="00292A46">
        <w:t>, set off with asterisks, shall be included in that statement.  If a party’s position has not changed since the issuance of the prehearing order, the post-hearing statement may simply restate the prehearing position.  However, the position must be reduced to no more than 50 words.  If a post-hearing statement is required and a party fails to file in conformance with the rule, that party shall have waived all issues and may be dismissed from the proceeding.</w:t>
      </w:r>
    </w:p>
    <w:p w:rsidR="00292A46" w:rsidRPr="00292A46" w:rsidRDefault="00292A46" w:rsidP="004C37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92A46" w:rsidRPr="00292A46" w:rsidRDefault="00292A46" w:rsidP="004C37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92A46">
        <w:tab/>
        <w:t xml:space="preserve">Pursuant to Rule 28-106.215, F.A.C., a party’s proposed findings of fact and conclusions of law, if any, statement of issues and positions, and brief, shall together total no more than </w:t>
      </w:r>
      <w:r w:rsidR="007C4C50">
        <w:t xml:space="preserve">40 </w:t>
      </w:r>
      <w:r w:rsidRPr="00292A46">
        <w:t xml:space="preserve">pages and shall be filed at the same time, unless modified by the Presiding Officer. </w:t>
      </w:r>
      <w:r w:rsidR="004C3762">
        <w:tab/>
      </w:r>
    </w:p>
    <w:p w:rsidR="00A7173D" w:rsidRDefault="00A7173D" w:rsidP="004C37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rsidR="004C3762" w:rsidRDefault="004C3762" w:rsidP="004C37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rsidR="00292A46" w:rsidRPr="00292A46" w:rsidRDefault="00292A46" w:rsidP="004C37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92A46">
        <w:rPr>
          <w:b/>
          <w:bCs/>
        </w:rPr>
        <w:t>X.</w:t>
      </w:r>
      <w:r w:rsidRPr="00292A46">
        <w:rPr>
          <w:b/>
          <w:bCs/>
        </w:rPr>
        <w:tab/>
      </w:r>
      <w:r w:rsidRPr="00292A46">
        <w:rPr>
          <w:b/>
          <w:bCs/>
          <w:u w:val="single"/>
        </w:rPr>
        <w:t>Controlling Dates</w:t>
      </w:r>
    </w:p>
    <w:p w:rsidR="00292A46" w:rsidRPr="00292A46" w:rsidRDefault="00292A46" w:rsidP="004C37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92A46" w:rsidRPr="00292A46" w:rsidRDefault="00292A46" w:rsidP="004C37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92A46">
        <w:tab/>
        <w:t>The following dates have been established to govern the key activities of this case:</w:t>
      </w:r>
    </w:p>
    <w:p w:rsidR="00292A46" w:rsidRPr="00292A46" w:rsidRDefault="00292A46" w:rsidP="004C37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0" w:type="auto"/>
        <w:tblInd w:w="120" w:type="dxa"/>
        <w:tblLayout w:type="fixed"/>
        <w:tblCellMar>
          <w:left w:w="120" w:type="dxa"/>
          <w:right w:w="120" w:type="dxa"/>
        </w:tblCellMar>
        <w:tblLook w:val="0000" w:firstRow="0" w:lastRow="0" w:firstColumn="0" w:lastColumn="0" w:noHBand="0" w:noVBand="0"/>
      </w:tblPr>
      <w:tblGrid>
        <w:gridCol w:w="540"/>
        <w:gridCol w:w="5400"/>
        <w:gridCol w:w="3420"/>
      </w:tblGrid>
      <w:tr w:rsidR="00292A46" w:rsidRPr="00292A46" w:rsidTr="004F7326">
        <w:trPr>
          <w:cantSplit/>
        </w:trPr>
        <w:tc>
          <w:tcPr>
            <w:tcW w:w="540" w:type="dxa"/>
            <w:tcBorders>
              <w:top w:val="nil"/>
              <w:left w:val="nil"/>
              <w:bottom w:val="nil"/>
              <w:right w:val="nil"/>
            </w:tcBorders>
          </w:tcPr>
          <w:p w:rsidR="00292A46" w:rsidRPr="00292A46" w:rsidRDefault="00292A46" w:rsidP="004C3762">
            <w:pPr>
              <w:numPr>
                <w:ilvl w:val="12"/>
                <w:numId w:val="0"/>
              </w:numPr>
              <w:tabs>
                <w:tab w:val="left" w:pos="0"/>
              </w:tabs>
              <w:spacing w:before="120" w:after="120"/>
              <w:jc w:val="both"/>
            </w:pPr>
            <w:r w:rsidRPr="00292A46">
              <w:t>(1)</w:t>
            </w:r>
          </w:p>
        </w:tc>
        <w:tc>
          <w:tcPr>
            <w:tcW w:w="5400" w:type="dxa"/>
            <w:tcBorders>
              <w:top w:val="nil"/>
              <w:left w:val="nil"/>
              <w:bottom w:val="nil"/>
              <w:right w:val="nil"/>
            </w:tcBorders>
          </w:tcPr>
          <w:p w:rsidR="00292A46" w:rsidRPr="00292A46" w:rsidRDefault="00292A46" w:rsidP="004C3762">
            <w:pPr>
              <w:numPr>
                <w:ilvl w:val="12"/>
                <w:numId w:val="0"/>
              </w:numPr>
              <w:tabs>
                <w:tab w:val="left" w:pos="0"/>
                <w:tab w:val="left" w:pos="720"/>
                <w:tab w:val="left" w:pos="1440"/>
                <w:tab w:val="left" w:pos="2160"/>
                <w:tab w:val="left" w:pos="2880"/>
                <w:tab w:val="left" w:pos="3600"/>
                <w:tab w:val="left" w:pos="4320"/>
                <w:tab w:val="left" w:pos="5040"/>
              </w:tabs>
              <w:spacing w:before="120" w:after="120"/>
              <w:jc w:val="both"/>
            </w:pPr>
            <w:r w:rsidRPr="00292A46">
              <w:t>Utility’s</w:t>
            </w:r>
            <w:r w:rsidRPr="00292A46">
              <w:rPr>
                <w:b/>
                <w:i/>
              </w:rPr>
              <w:t xml:space="preserve"> </w:t>
            </w:r>
            <w:r w:rsidRPr="00292A46">
              <w:t>testimony and exhibits</w:t>
            </w:r>
          </w:p>
        </w:tc>
        <w:tc>
          <w:tcPr>
            <w:tcW w:w="3420" w:type="dxa"/>
            <w:tcBorders>
              <w:top w:val="nil"/>
              <w:left w:val="nil"/>
              <w:bottom w:val="nil"/>
              <w:right w:val="nil"/>
            </w:tcBorders>
          </w:tcPr>
          <w:p w:rsidR="00292A46" w:rsidRPr="00292A46" w:rsidRDefault="00647EDB" w:rsidP="004C3762">
            <w:pPr>
              <w:numPr>
                <w:ilvl w:val="12"/>
                <w:numId w:val="0"/>
              </w:numPr>
              <w:tabs>
                <w:tab w:val="left" w:pos="0"/>
                <w:tab w:val="left" w:pos="720"/>
                <w:tab w:val="left" w:pos="1440"/>
                <w:tab w:val="left" w:pos="2160"/>
                <w:tab w:val="left" w:pos="2880"/>
              </w:tabs>
              <w:spacing w:before="120" w:after="120"/>
              <w:jc w:val="right"/>
            </w:pPr>
            <w:r>
              <w:t>September 3, 2015</w:t>
            </w:r>
          </w:p>
        </w:tc>
      </w:tr>
      <w:tr w:rsidR="00292A46" w:rsidRPr="00292A46" w:rsidTr="004F7326">
        <w:trPr>
          <w:cantSplit/>
        </w:trPr>
        <w:tc>
          <w:tcPr>
            <w:tcW w:w="540" w:type="dxa"/>
            <w:tcBorders>
              <w:top w:val="nil"/>
              <w:left w:val="nil"/>
              <w:bottom w:val="nil"/>
              <w:right w:val="nil"/>
            </w:tcBorders>
          </w:tcPr>
          <w:p w:rsidR="00292A46" w:rsidRPr="00292A46" w:rsidRDefault="00292A46" w:rsidP="004C3762">
            <w:pPr>
              <w:numPr>
                <w:ilvl w:val="12"/>
                <w:numId w:val="0"/>
              </w:numPr>
              <w:tabs>
                <w:tab w:val="left" w:pos="0"/>
              </w:tabs>
              <w:spacing w:before="120" w:after="120"/>
              <w:jc w:val="both"/>
            </w:pPr>
            <w:r w:rsidRPr="00292A46">
              <w:t>(2)</w:t>
            </w:r>
          </w:p>
        </w:tc>
        <w:tc>
          <w:tcPr>
            <w:tcW w:w="5400" w:type="dxa"/>
            <w:tcBorders>
              <w:top w:val="nil"/>
              <w:left w:val="nil"/>
              <w:bottom w:val="nil"/>
              <w:right w:val="nil"/>
            </w:tcBorders>
          </w:tcPr>
          <w:p w:rsidR="00292A46" w:rsidRPr="00292A46" w:rsidRDefault="00292A46" w:rsidP="004C3762">
            <w:pPr>
              <w:numPr>
                <w:ilvl w:val="12"/>
                <w:numId w:val="0"/>
              </w:numPr>
              <w:tabs>
                <w:tab w:val="left" w:pos="0"/>
                <w:tab w:val="left" w:pos="720"/>
                <w:tab w:val="left" w:pos="1440"/>
                <w:tab w:val="left" w:pos="2160"/>
                <w:tab w:val="left" w:pos="2880"/>
                <w:tab w:val="left" w:pos="3600"/>
                <w:tab w:val="left" w:pos="4320"/>
                <w:tab w:val="left" w:pos="5040"/>
              </w:tabs>
              <w:spacing w:before="120" w:after="120"/>
              <w:jc w:val="both"/>
            </w:pPr>
            <w:r w:rsidRPr="00292A46">
              <w:t>Intervenors’ testimony and exhibits</w:t>
            </w:r>
          </w:p>
        </w:tc>
        <w:tc>
          <w:tcPr>
            <w:tcW w:w="3420" w:type="dxa"/>
            <w:tcBorders>
              <w:top w:val="nil"/>
              <w:left w:val="nil"/>
              <w:bottom w:val="nil"/>
              <w:right w:val="nil"/>
            </w:tcBorders>
          </w:tcPr>
          <w:p w:rsidR="00292A46" w:rsidRPr="00292A46" w:rsidRDefault="00647EDB" w:rsidP="004C3762">
            <w:pPr>
              <w:numPr>
                <w:ilvl w:val="12"/>
                <w:numId w:val="0"/>
              </w:numPr>
              <w:tabs>
                <w:tab w:val="left" w:pos="0"/>
                <w:tab w:val="left" w:pos="720"/>
                <w:tab w:val="left" w:pos="1440"/>
                <w:tab w:val="left" w:pos="2160"/>
                <w:tab w:val="left" w:pos="2880"/>
              </w:tabs>
              <w:spacing w:before="120" w:after="120"/>
              <w:jc w:val="right"/>
            </w:pPr>
            <w:r>
              <w:t>October 14, 2015</w:t>
            </w:r>
          </w:p>
        </w:tc>
      </w:tr>
      <w:tr w:rsidR="00292A46" w:rsidRPr="00292A46" w:rsidTr="004F7326">
        <w:trPr>
          <w:cantSplit/>
        </w:trPr>
        <w:tc>
          <w:tcPr>
            <w:tcW w:w="540" w:type="dxa"/>
            <w:tcBorders>
              <w:top w:val="nil"/>
              <w:left w:val="nil"/>
              <w:bottom w:val="nil"/>
              <w:right w:val="nil"/>
            </w:tcBorders>
          </w:tcPr>
          <w:p w:rsidR="00292A46" w:rsidRPr="00292A46" w:rsidRDefault="00292A46" w:rsidP="004C3762">
            <w:pPr>
              <w:numPr>
                <w:ilvl w:val="12"/>
                <w:numId w:val="0"/>
              </w:numPr>
              <w:tabs>
                <w:tab w:val="left" w:pos="0"/>
              </w:tabs>
              <w:spacing w:before="120" w:after="120"/>
              <w:jc w:val="both"/>
            </w:pPr>
            <w:r w:rsidRPr="00292A46">
              <w:t>(3)</w:t>
            </w:r>
          </w:p>
        </w:tc>
        <w:tc>
          <w:tcPr>
            <w:tcW w:w="5400" w:type="dxa"/>
            <w:tcBorders>
              <w:top w:val="nil"/>
              <w:left w:val="nil"/>
              <w:bottom w:val="nil"/>
              <w:right w:val="nil"/>
            </w:tcBorders>
          </w:tcPr>
          <w:p w:rsidR="00292A46" w:rsidRPr="00292A46" w:rsidRDefault="00292A46" w:rsidP="004C3762">
            <w:pPr>
              <w:numPr>
                <w:ilvl w:val="12"/>
                <w:numId w:val="0"/>
              </w:numPr>
              <w:tabs>
                <w:tab w:val="left" w:pos="0"/>
                <w:tab w:val="left" w:pos="720"/>
                <w:tab w:val="left" w:pos="1440"/>
                <w:tab w:val="left" w:pos="2160"/>
                <w:tab w:val="left" w:pos="2880"/>
                <w:tab w:val="left" w:pos="3600"/>
                <w:tab w:val="left" w:pos="4320"/>
                <w:tab w:val="left" w:pos="5040"/>
              </w:tabs>
              <w:spacing w:before="120" w:after="120"/>
              <w:jc w:val="both"/>
            </w:pPr>
            <w:r w:rsidRPr="00292A46">
              <w:t>Staff’s testimony and exhibits, if any</w:t>
            </w:r>
          </w:p>
        </w:tc>
        <w:tc>
          <w:tcPr>
            <w:tcW w:w="3420" w:type="dxa"/>
            <w:tcBorders>
              <w:top w:val="nil"/>
              <w:left w:val="nil"/>
              <w:bottom w:val="nil"/>
              <w:right w:val="nil"/>
            </w:tcBorders>
          </w:tcPr>
          <w:p w:rsidR="00292A46" w:rsidRPr="00292A46" w:rsidRDefault="00647EDB" w:rsidP="004C3762">
            <w:pPr>
              <w:numPr>
                <w:ilvl w:val="12"/>
                <w:numId w:val="0"/>
              </w:numPr>
              <w:tabs>
                <w:tab w:val="left" w:pos="0"/>
                <w:tab w:val="left" w:pos="720"/>
                <w:tab w:val="left" w:pos="1440"/>
                <w:tab w:val="left" w:pos="2160"/>
                <w:tab w:val="left" w:pos="2880"/>
              </w:tabs>
              <w:spacing w:before="120" w:after="120"/>
              <w:jc w:val="right"/>
            </w:pPr>
            <w:r>
              <w:t>October 14, 2015</w:t>
            </w:r>
          </w:p>
        </w:tc>
      </w:tr>
      <w:tr w:rsidR="00292A46" w:rsidRPr="00292A46" w:rsidTr="004F7326">
        <w:trPr>
          <w:cantSplit/>
        </w:trPr>
        <w:tc>
          <w:tcPr>
            <w:tcW w:w="540" w:type="dxa"/>
            <w:tcBorders>
              <w:top w:val="nil"/>
              <w:left w:val="nil"/>
              <w:bottom w:val="nil"/>
              <w:right w:val="nil"/>
            </w:tcBorders>
          </w:tcPr>
          <w:p w:rsidR="00292A46" w:rsidRPr="00292A46" w:rsidRDefault="00292A46" w:rsidP="004C3762">
            <w:pPr>
              <w:numPr>
                <w:ilvl w:val="12"/>
                <w:numId w:val="0"/>
              </w:numPr>
              <w:tabs>
                <w:tab w:val="left" w:pos="0"/>
              </w:tabs>
              <w:spacing w:before="120" w:after="120"/>
              <w:jc w:val="both"/>
            </w:pPr>
            <w:r w:rsidRPr="00292A46">
              <w:t>(4)</w:t>
            </w:r>
          </w:p>
        </w:tc>
        <w:tc>
          <w:tcPr>
            <w:tcW w:w="5400" w:type="dxa"/>
            <w:tcBorders>
              <w:top w:val="nil"/>
              <w:left w:val="nil"/>
              <w:bottom w:val="nil"/>
              <w:right w:val="nil"/>
            </w:tcBorders>
          </w:tcPr>
          <w:p w:rsidR="00292A46" w:rsidRPr="00292A46" w:rsidRDefault="00292A46" w:rsidP="004C3762">
            <w:pPr>
              <w:numPr>
                <w:ilvl w:val="12"/>
                <w:numId w:val="0"/>
              </w:numPr>
              <w:tabs>
                <w:tab w:val="left" w:pos="0"/>
                <w:tab w:val="left" w:pos="720"/>
                <w:tab w:val="left" w:pos="1440"/>
                <w:tab w:val="left" w:pos="2160"/>
                <w:tab w:val="left" w:pos="2880"/>
                <w:tab w:val="left" w:pos="3600"/>
                <w:tab w:val="left" w:pos="4320"/>
                <w:tab w:val="left" w:pos="5040"/>
              </w:tabs>
              <w:spacing w:before="120" w:after="120"/>
              <w:jc w:val="both"/>
            </w:pPr>
            <w:r w:rsidRPr="00292A46">
              <w:t xml:space="preserve">Rebuttal testimony and exhibits </w:t>
            </w:r>
          </w:p>
        </w:tc>
        <w:tc>
          <w:tcPr>
            <w:tcW w:w="3420" w:type="dxa"/>
            <w:tcBorders>
              <w:top w:val="nil"/>
              <w:left w:val="nil"/>
              <w:bottom w:val="nil"/>
              <w:right w:val="nil"/>
            </w:tcBorders>
          </w:tcPr>
          <w:p w:rsidR="00292A46" w:rsidRPr="00292A46" w:rsidRDefault="00647EDB" w:rsidP="004C3762">
            <w:pPr>
              <w:numPr>
                <w:ilvl w:val="12"/>
                <w:numId w:val="0"/>
              </w:numPr>
              <w:tabs>
                <w:tab w:val="left" w:pos="0"/>
                <w:tab w:val="left" w:pos="720"/>
                <w:tab w:val="left" w:pos="1440"/>
                <w:tab w:val="left" w:pos="2160"/>
                <w:tab w:val="left" w:pos="2880"/>
              </w:tabs>
              <w:spacing w:before="120" w:after="120"/>
              <w:jc w:val="right"/>
            </w:pPr>
            <w:r>
              <w:t>October 26, 2015</w:t>
            </w:r>
          </w:p>
        </w:tc>
      </w:tr>
      <w:tr w:rsidR="00292A46" w:rsidRPr="00292A46" w:rsidTr="004F7326">
        <w:trPr>
          <w:cantSplit/>
        </w:trPr>
        <w:tc>
          <w:tcPr>
            <w:tcW w:w="540" w:type="dxa"/>
            <w:tcBorders>
              <w:top w:val="nil"/>
              <w:left w:val="nil"/>
              <w:bottom w:val="nil"/>
              <w:right w:val="nil"/>
            </w:tcBorders>
          </w:tcPr>
          <w:p w:rsidR="00292A46" w:rsidRPr="00292A46" w:rsidRDefault="00292A46" w:rsidP="004C3762">
            <w:pPr>
              <w:numPr>
                <w:ilvl w:val="12"/>
                <w:numId w:val="0"/>
              </w:numPr>
              <w:tabs>
                <w:tab w:val="left" w:pos="0"/>
              </w:tabs>
              <w:spacing w:before="120" w:after="120"/>
              <w:jc w:val="both"/>
            </w:pPr>
            <w:r w:rsidRPr="00292A46">
              <w:t>(5)</w:t>
            </w:r>
          </w:p>
        </w:tc>
        <w:tc>
          <w:tcPr>
            <w:tcW w:w="5400" w:type="dxa"/>
            <w:tcBorders>
              <w:top w:val="nil"/>
              <w:left w:val="nil"/>
              <w:bottom w:val="nil"/>
              <w:right w:val="nil"/>
            </w:tcBorders>
          </w:tcPr>
          <w:p w:rsidR="00292A46" w:rsidRPr="00292A46" w:rsidRDefault="00292A46" w:rsidP="004C3762">
            <w:pPr>
              <w:numPr>
                <w:ilvl w:val="12"/>
                <w:numId w:val="0"/>
              </w:numPr>
              <w:tabs>
                <w:tab w:val="left" w:pos="0"/>
                <w:tab w:val="left" w:pos="720"/>
                <w:tab w:val="left" w:pos="1440"/>
                <w:tab w:val="left" w:pos="2160"/>
                <w:tab w:val="left" w:pos="2880"/>
                <w:tab w:val="left" w:pos="3600"/>
                <w:tab w:val="left" w:pos="4320"/>
                <w:tab w:val="left" w:pos="5040"/>
              </w:tabs>
              <w:spacing w:before="120" w:after="120"/>
              <w:jc w:val="both"/>
            </w:pPr>
            <w:r w:rsidRPr="00292A46">
              <w:t>Prehearing Statements</w:t>
            </w:r>
          </w:p>
        </w:tc>
        <w:tc>
          <w:tcPr>
            <w:tcW w:w="3420" w:type="dxa"/>
            <w:tcBorders>
              <w:top w:val="nil"/>
              <w:left w:val="nil"/>
              <w:bottom w:val="nil"/>
              <w:right w:val="nil"/>
            </w:tcBorders>
          </w:tcPr>
          <w:p w:rsidR="00292A46" w:rsidRPr="00292A46" w:rsidRDefault="00647EDB" w:rsidP="004C3762">
            <w:pPr>
              <w:numPr>
                <w:ilvl w:val="12"/>
                <w:numId w:val="0"/>
              </w:numPr>
              <w:tabs>
                <w:tab w:val="left" w:pos="0"/>
                <w:tab w:val="left" w:pos="720"/>
                <w:tab w:val="left" w:pos="1440"/>
                <w:tab w:val="left" w:pos="2160"/>
                <w:tab w:val="left" w:pos="2880"/>
              </w:tabs>
              <w:spacing w:before="120" w:after="120"/>
              <w:jc w:val="right"/>
            </w:pPr>
            <w:r>
              <w:t>November 3, 2015</w:t>
            </w:r>
          </w:p>
        </w:tc>
      </w:tr>
      <w:tr w:rsidR="00292A46" w:rsidRPr="00292A46" w:rsidTr="004F7326">
        <w:trPr>
          <w:cantSplit/>
        </w:trPr>
        <w:tc>
          <w:tcPr>
            <w:tcW w:w="540" w:type="dxa"/>
            <w:tcBorders>
              <w:top w:val="nil"/>
              <w:left w:val="nil"/>
              <w:bottom w:val="nil"/>
              <w:right w:val="nil"/>
            </w:tcBorders>
          </w:tcPr>
          <w:p w:rsidR="00292A46" w:rsidRPr="00292A46" w:rsidRDefault="00292A46" w:rsidP="004C3762">
            <w:pPr>
              <w:numPr>
                <w:ilvl w:val="12"/>
                <w:numId w:val="0"/>
              </w:numPr>
              <w:tabs>
                <w:tab w:val="left" w:pos="0"/>
              </w:tabs>
              <w:spacing w:before="120" w:after="120"/>
              <w:jc w:val="both"/>
            </w:pPr>
            <w:r w:rsidRPr="00292A46">
              <w:t>(6)</w:t>
            </w:r>
          </w:p>
        </w:tc>
        <w:tc>
          <w:tcPr>
            <w:tcW w:w="5400" w:type="dxa"/>
            <w:tcBorders>
              <w:top w:val="nil"/>
              <w:left w:val="nil"/>
              <w:bottom w:val="nil"/>
              <w:right w:val="nil"/>
            </w:tcBorders>
          </w:tcPr>
          <w:p w:rsidR="00292A46" w:rsidRPr="00292A46" w:rsidRDefault="00292A46" w:rsidP="004C3762">
            <w:pPr>
              <w:numPr>
                <w:ilvl w:val="12"/>
                <w:numId w:val="0"/>
              </w:numPr>
              <w:tabs>
                <w:tab w:val="left" w:pos="0"/>
                <w:tab w:val="left" w:pos="720"/>
                <w:tab w:val="left" w:pos="1440"/>
                <w:tab w:val="left" w:pos="2160"/>
                <w:tab w:val="left" w:pos="2880"/>
                <w:tab w:val="left" w:pos="3600"/>
                <w:tab w:val="left" w:pos="4320"/>
                <w:tab w:val="left" w:pos="5040"/>
              </w:tabs>
              <w:spacing w:before="120" w:after="120"/>
              <w:jc w:val="both"/>
            </w:pPr>
            <w:r w:rsidRPr="00292A46">
              <w:t>Prehearing Conference</w:t>
            </w:r>
          </w:p>
        </w:tc>
        <w:tc>
          <w:tcPr>
            <w:tcW w:w="3420" w:type="dxa"/>
            <w:tcBorders>
              <w:top w:val="nil"/>
              <w:left w:val="nil"/>
              <w:bottom w:val="nil"/>
              <w:right w:val="nil"/>
            </w:tcBorders>
          </w:tcPr>
          <w:p w:rsidR="00292A46" w:rsidRPr="00292A46" w:rsidRDefault="00647EDB" w:rsidP="004C3762">
            <w:pPr>
              <w:numPr>
                <w:ilvl w:val="12"/>
                <w:numId w:val="0"/>
              </w:numPr>
              <w:tabs>
                <w:tab w:val="left" w:pos="0"/>
                <w:tab w:val="left" w:pos="720"/>
                <w:tab w:val="left" w:pos="1440"/>
                <w:tab w:val="left" w:pos="2160"/>
                <w:tab w:val="left" w:pos="2880"/>
              </w:tabs>
              <w:spacing w:before="120" w:after="120"/>
              <w:jc w:val="right"/>
            </w:pPr>
            <w:r>
              <w:t>November 17, 2015</w:t>
            </w:r>
          </w:p>
        </w:tc>
      </w:tr>
      <w:tr w:rsidR="00292A46" w:rsidRPr="00292A46" w:rsidTr="004F7326">
        <w:trPr>
          <w:cantSplit/>
        </w:trPr>
        <w:tc>
          <w:tcPr>
            <w:tcW w:w="540" w:type="dxa"/>
            <w:tcBorders>
              <w:top w:val="nil"/>
              <w:left w:val="nil"/>
              <w:bottom w:val="nil"/>
              <w:right w:val="nil"/>
            </w:tcBorders>
          </w:tcPr>
          <w:p w:rsidR="00292A46" w:rsidRPr="00292A46" w:rsidRDefault="00292A46" w:rsidP="004C3762">
            <w:pPr>
              <w:numPr>
                <w:ilvl w:val="12"/>
                <w:numId w:val="0"/>
              </w:numPr>
              <w:tabs>
                <w:tab w:val="left" w:pos="0"/>
              </w:tabs>
              <w:spacing w:before="120" w:after="120"/>
              <w:jc w:val="both"/>
            </w:pPr>
            <w:r w:rsidRPr="00292A46">
              <w:t>(7)</w:t>
            </w:r>
          </w:p>
        </w:tc>
        <w:tc>
          <w:tcPr>
            <w:tcW w:w="5400" w:type="dxa"/>
            <w:tcBorders>
              <w:top w:val="nil"/>
              <w:left w:val="nil"/>
              <w:bottom w:val="nil"/>
              <w:right w:val="nil"/>
            </w:tcBorders>
          </w:tcPr>
          <w:p w:rsidR="00292A46" w:rsidRPr="00292A46" w:rsidRDefault="00292A46" w:rsidP="004C3762">
            <w:pPr>
              <w:numPr>
                <w:ilvl w:val="12"/>
                <w:numId w:val="0"/>
              </w:numPr>
              <w:tabs>
                <w:tab w:val="left" w:pos="0"/>
                <w:tab w:val="left" w:pos="720"/>
                <w:tab w:val="left" w:pos="1440"/>
                <w:tab w:val="left" w:pos="2160"/>
                <w:tab w:val="left" w:pos="2880"/>
                <w:tab w:val="left" w:pos="3600"/>
                <w:tab w:val="left" w:pos="4320"/>
                <w:tab w:val="left" w:pos="5040"/>
              </w:tabs>
              <w:spacing w:before="120" w:after="120"/>
              <w:jc w:val="both"/>
            </w:pPr>
            <w:r w:rsidRPr="00292A46">
              <w:t>Discovery deadline</w:t>
            </w:r>
          </w:p>
        </w:tc>
        <w:tc>
          <w:tcPr>
            <w:tcW w:w="3420" w:type="dxa"/>
            <w:tcBorders>
              <w:top w:val="nil"/>
              <w:left w:val="nil"/>
              <w:bottom w:val="nil"/>
              <w:right w:val="nil"/>
            </w:tcBorders>
          </w:tcPr>
          <w:p w:rsidR="00647EDB" w:rsidRPr="00292A46" w:rsidRDefault="00647EDB" w:rsidP="004C3762">
            <w:pPr>
              <w:numPr>
                <w:ilvl w:val="12"/>
                <w:numId w:val="0"/>
              </w:numPr>
              <w:tabs>
                <w:tab w:val="left" w:pos="0"/>
                <w:tab w:val="left" w:pos="720"/>
                <w:tab w:val="left" w:pos="1440"/>
                <w:tab w:val="left" w:pos="2160"/>
                <w:tab w:val="left" w:pos="2880"/>
              </w:tabs>
              <w:spacing w:before="120" w:after="120"/>
              <w:jc w:val="right"/>
            </w:pPr>
            <w:r>
              <w:t>November 16, 2015</w:t>
            </w:r>
          </w:p>
        </w:tc>
      </w:tr>
      <w:tr w:rsidR="00292A46" w:rsidRPr="00292A46" w:rsidTr="004F7326">
        <w:trPr>
          <w:cantSplit/>
          <w:trHeight w:val="454"/>
        </w:trPr>
        <w:tc>
          <w:tcPr>
            <w:tcW w:w="540" w:type="dxa"/>
            <w:tcBorders>
              <w:top w:val="nil"/>
              <w:left w:val="nil"/>
              <w:bottom w:val="nil"/>
              <w:right w:val="nil"/>
            </w:tcBorders>
          </w:tcPr>
          <w:p w:rsidR="00292A46" w:rsidRPr="00292A46" w:rsidRDefault="00292A46" w:rsidP="004C3762">
            <w:pPr>
              <w:numPr>
                <w:ilvl w:val="12"/>
                <w:numId w:val="0"/>
              </w:numPr>
              <w:tabs>
                <w:tab w:val="left" w:pos="0"/>
              </w:tabs>
              <w:spacing w:before="120" w:after="120"/>
              <w:jc w:val="both"/>
            </w:pPr>
            <w:r w:rsidRPr="00292A46">
              <w:t>(8)</w:t>
            </w:r>
          </w:p>
        </w:tc>
        <w:tc>
          <w:tcPr>
            <w:tcW w:w="5400" w:type="dxa"/>
            <w:tcBorders>
              <w:top w:val="nil"/>
              <w:left w:val="nil"/>
              <w:bottom w:val="nil"/>
              <w:right w:val="nil"/>
            </w:tcBorders>
          </w:tcPr>
          <w:p w:rsidR="00292A46" w:rsidRPr="00292A46" w:rsidRDefault="00292A46" w:rsidP="004C3762">
            <w:pPr>
              <w:numPr>
                <w:ilvl w:val="12"/>
                <w:numId w:val="0"/>
              </w:numPr>
              <w:tabs>
                <w:tab w:val="left" w:pos="0"/>
                <w:tab w:val="left" w:pos="720"/>
                <w:tab w:val="left" w:pos="1440"/>
                <w:tab w:val="left" w:pos="2160"/>
                <w:tab w:val="left" w:pos="2880"/>
                <w:tab w:val="left" w:pos="3600"/>
                <w:tab w:val="left" w:pos="4320"/>
                <w:tab w:val="left" w:pos="5040"/>
              </w:tabs>
              <w:spacing w:before="120" w:after="120"/>
              <w:jc w:val="both"/>
            </w:pPr>
            <w:r w:rsidRPr="00292A46">
              <w:t>Hearing</w:t>
            </w:r>
          </w:p>
        </w:tc>
        <w:tc>
          <w:tcPr>
            <w:tcW w:w="3420" w:type="dxa"/>
            <w:tcBorders>
              <w:top w:val="nil"/>
              <w:left w:val="nil"/>
              <w:bottom w:val="nil"/>
              <w:right w:val="nil"/>
            </w:tcBorders>
          </w:tcPr>
          <w:p w:rsidR="00292A46" w:rsidRPr="00292A46" w:rsidRDefault="00647EDB" w:rsidP="004C3762">
            <w:pPr>
              <w:numPr>
                <w:ilvl w:val="12"/>
                <w:numId w:val="0"/>
              </w:numPr>
              <w:tabs>
                <w:tab w:val="left" w:pos="0"/>
                <w:tab w:val="left" w:pos="720"/>
                <w:tab w:val="left" w:pos="1440"/>
                <w:tab w:val="left" w:pos="2160"/>
                <w:tab w:val="left" w:pos="2880"/>
              </w:tabs>
              <w:spacing w:before="120" w:after="120"/>
              <w:jc w:val="right"/>
            </w:pPr>
            <w:r>
              <w:t>December 1-2, 2015</w:t>
            </w:r>
          </w:p>
        </w:tc>
      </w:tr>
      <w:tr w:rsidR="00292A46" w:rsidRPr="00292A46" w:rsidTr="004F7326">
        <w:trPr>
          <w:cantSplit/>
        </w:trPr>
        <w:tc>
          <w:tcPr>
            <w:tcW w:w="540" w:type="dxa"/>
            <w:tcBorders>
              <w:top w:val="nil"/>
              <w:left w:val="nil"/>
              <w:bottom w:val="nil"/>
              <w:right w:val="nil"/>
            </w:tcBorders>
          </w:tcPr>
          <w:p w:rsidR="00292A46" w:rsidRPr="00292A46" w:rsidRDefault="00292A46" w:rsidP="004C3762">
            <w:pPr>
              <w:numPr>
                <w:ilvl w:val="12"/>
                <w:numId w:val="0"/>
              </w:numPr>
              <w:tabs>
                <w:tab w:val="left" w:pos="0"/>
              </w:tabs>
              <w:spacing w:before="120" w:after="120"/>
              <w:jc w:val="both"/>
            </w:pPr>
            <w:r w:rsidRPr="00292A46">
              <w:t>(9)</w:t>
            </w:r>
          </w:p>
        </w:tc>
        <w:tc>
          <w:tcPr>
            <w:tcW w:w="5400" w:type="dxa"/>
            <w:tcBorders>
              <w:top w:val="nil"/>
              <w:left w:val="nil"/>
              <w:bottom w:val="nil"/>
              <w:right w:val="nil"/>
            </w:tcBorders>
          </w:tcPr>
          <w:p w:rsidR="00292A46" w:rsidRPr="00292A46" w:rsidRDefault="00292A46" w:rsidP="004C3762">
            <w:pPr>
              <w:numPr>
                <w:ilvl w:val="12"/>
                <w:numId w:val="0"/>
              </w:numPr>
              <w:tabs>
                <w:tab w:val="left" w:pos="0"/>
                <w:tab w:val="left" w:pos="720"/>
                <w:tab w:val="left" w:pos="1440"/>
                <w:tab w:val="left" w:pos="2160"/>
                <w:tab w:val="left" w:pos="2880"/>
                <w:tab w:val="left" w:pos="3600"/>
                <w:tab w:val="left" w:pos="4320"/>
                <w:tab w:val="left" w:pos="5040"/>
              </w:tabs>
              <w:spacing w:before="120" w:after="120"/>
              <w:jc w:val="both"/>
            </w:pPr>
            <w:r w:rsidRPr="00292A46">
              <w:t>Briefs</w:t>
            </w:r>
          </w:p>
        </w:tc>
        <w:tc>
          <w:tcPr>
            <w:tcW w:w="3420" w:type="dxa"/>
            <w:tcBorders>
              <w:top w:val="nil"/>
              <w:left w:val="nil"/>
              <w:bottom w:val="nil"/>
              <w:right w:val="nil"/>
            </w:tcBorders>
          </w:tcPr>
          <w:p w:rsidR="00292A46" w:rsidRPr="00292A46" w:rsidRDefault="00647EDB" w:rsidP="004C3762">
            <w:pPr>
              <w:numPr>
                <w:ilvl w:val="12"/>
                <w:numId w:val="0"/>
              </w:numPr>
              <w:tabs>
                <w:tab w:val="left" w:pos="0"/>
                <w:tab w:val="left" w:pos="720"/>
                <w:tab w:val="left" w:pos="1440"/>
                <w:tab w:val="left" w:pos="2160"/>
                <w:tab w:val="left" w:pos="2880"/>
              </w:tabs>
              <w:spacing w:before="120" w:after="120"/>
              <w:jc w:val="right"/>
            </w:pPr>
            <w:r>
              <w:t>December 9, 2015</w:t>
            </w:r>
          </w:p>
        </w:tc>
      </w:tr>
    </w:tbl>
    <w:p w:rsidR="00292A46" w:rsidRPr="00292A46" w:rsidRDefault="00292A46" w:rsidP="004C37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92A46" w:rsidRPr="00292A46" w:rsidRDefault="00292A46" w:rsidP="004C37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92A46">
        <w:tab/>
        <w:t xml:space="preserve">In addition, all parties should be on notice that the Prehearing Officer may exercise the discretion to schedule additional prehearing conferences or meetings of the parties as deemed appropriate.  Such meetings will be properly noticed to afford the parties an opportunity to attend. </w:t>
      </w:r>
      <w:r w:rsidRPr="00292A46">
        <w:tab/>
      </w:r>
    </w:p>
    <w:p w:rsidR="00771D63" w:rsidRDefault="00771D63" w:rsidP="004C37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C3762" w:rsidRDefault="004C3762">
      <w:r>
        <w:br w:type="page"/>
      </w:r>
    </w:p>
    <w:p w:rsidR="00292A46" w:rsidRPr="00292A46" w:rsidRDefault="004C3762" w:rsidP="004C37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r>
      <w:r w:rsidR="00292A46" w:rsidRPr="00292A46">
        <w:t>Based upon the foregoing, it is</w:t>
      </w:r>
    </w:p>
    <w:p w:rsidR="00292A46" w:rsidRPr="00292A46" w:rsidRDefault="00292A46" w:rsidP="004C37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944557" w:rsidRDefault="00292A46" w:rsidP="004C37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292A46">
        <w:tab/>
        <w:t>ORDERED by Commissioner</w:t>
      </w:r>
      <w:r>
        <w:t xml:space="preserve"> Ronald A. Brisé</w:t>
      </w:r>
      <w:r w:rsidRPr="00292A46">
        <w:t>, as Prehearing Officer, that the provisions of this Order shall govern this proceeding unless modified by the Commission.</w:t>
      </w:r>
    </w:p>
    <w:p w:rsidR="00944557" w:rsidRDefault="00944557" w:rsidP="004C37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4C3762" w:rsidRDefault="00292A46" w:rsidP="004C37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t xml:space="preserve">By ORDER of Commissioner Ronald A. Brisé, as Prehearing Officer, this </w:t>
      </w:r>
      <w:bookmarkStart w:id="6" w:name="replaceDate"/>
      <w:bookmarkEnd w:id="6"/>
      <w:r w:rsidR="00637F96">
        <w:rPr>
          <w:u w:val="single"/>
        </w:rPr>
        <w:t>16th</w:t>
      </w:r>
      <w:r w:rsidR="00637F96">
        <w:t xml:space="preserve"> day of </w:t>
      </w:r>
      <w:r w:rsidR="00637F96">
        <w:rPr>
          <w:u w:val="single"/>
        </w:rPr>
        <w:t>September</w:t>
      </w:r>
      <w:r w:rsidR="00637F96">
        <w:t xml:space="preserve">, </w:t>
      </w:r>
      <w:r w:rsidR="00637F96">
        <w:rPr>
          <w:u w:val="single"/>
        </w:rPr>
        <w:t>2015</w:t>
      </w:r>
      <w:r w:rsidR="00637F96">
        <w:t>.</w:t>
      </w:r>
    </w:p>
    <w:p w:rsidR="00637F96" w:rsidRPr="00637F96" w:rsidRDefault="00637F96" w:rsidP="004C37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4C3762" w:rsidRDefault="004C3762" w:rsidP="004C37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u w:val="single"/>
        </w:rPr>
      </w:pPr>
    </w:p>
    <w:p w:rsidR="004C3762" w:rsidRDefault="004C3762" w:rsidP="004C37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u w:val="single"/>
        </w:rPr>
      </w:pPr>
    </w:p>
    <w:p w:rsidR="004C3762" w:rsidRDefault="004C3762" w:rsidP="004C37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u w:val="single"/>
        </w:rPr>
      </w:pPr>
    </w:p>
    <w:tbl>
      <w:tblPr>
        <w:tblW w:w="4720" w:type="dxa"/>
        <w:tblInd w:w="3800" w:type="dxa"/>
        <w:tblLayout w:type="fixed"/>
        <w:tblLook w:val="0000" w:firstRow="0" w:lastRow="0" w:firstColumn="0" w:lastColumn="0" w:noHBand="0" w:noVBand="0"/>
      </w:tblPr>
      <w:tblGrid>
        <w:gridCol w:w="686"/>
        <w:gridCol w:w="4034"/>
      </w:tblGrid>
      <w:tr w:rsidR="00292A46" w:rsidTr="004C3762">
        <w:tc>
          <w:tcPr>
            <w:tcW w:w="686" w:type="dxa"/>
            <w:shd w:val="clear" w:color="auto" w:fill="auto"/>
          </w:tcPr>
          <w:p w:rsidR="00292A46" w:rsidRDefault="00292A46" w:rsidP="004C3762">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bookmarkStart w:id="7" w:name="bkmrkSignature" w:colFirst="0" w:colLast="0"/>
          </w:p>
        </w:tc>
        <w:tc>
          <w:tcPr>
            <w:tcW w:w="4034" w:type="dxa"/>
            <w:tcBorders>
              <w:bottom w:val="single" w:sz="4" w:space="0" w:color="auto"/>
            </w:tcBorders>
            <w:shd w:val="clear" w:color="auto" w:fill="auto"/>
          </w:tcPr>
          <w:p w:rsidR="00292A46" w:rsidRDefault="00637F96" w:rsidP="004C3762">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/s/ Ronald A. Brisé</w:t>
            </w:r>
            <w:bookmarkStart w:id="8" w:name="_GoBack"/>
            <w:bookmarkEnd w:id="8"/>
          </w:p>
        </w:tc>
      </w:tr>
      <w:bookmarkEnd w:id="7"/>
      <w:tr w:rsidR="00292A46" w:rsidTr="004C3762">
        <w:tc>
          <w:tcPr>
            <w:tcW w:w="686" w:type="dxa"/>
            <w:shd w:val="clear" w:color="auto" w:fill="auto"/>
          </w:tcPr>
          <w:p w:rsidR="00292A46" w:rsidRDefault="00292A46" w:rsidP="004C3762">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4034" w:type="dxa"/>
            <w:tcBorders>
              <w:top w:val="single" w:sz="4" w:space="0" w:color="auto"/>
            </w:tcBorders>
            <w:shd w:val="clear" w:color="auto" w:fill="auto"/>
          </w:tcPr>
          <w:p w:rsidR="00292A46" w:rsidRDefault="00292A46" w:rsidP="004C3762">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RONALD A. BRISÉ</w:t>
            </w:r>
          </w:p>
          <w:p w:rsidR="00292A46" w:rsidRDefault="00292A46" w:rsidP="004C3762">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Commissioner and Prehearing Officer</w:t>
            </w:r>
          </w:p>
        </w:tc>
      </w:tr>
    </w:tbl>
    <w:p w:rsidR="00292A46" w:rsidRDefault="00292A46" w:rsidP="004C3762">
      <w:pPr>
        <w:pStyle w:val="OrderSigInfo"/>
        <w:keepNext/>
        <w:keepLines/>
      </w:pPr>
      <w:r>
        <w:t>Florida Public Service Commission</w:t>
      </w:r>
    </w:p>
    <w:p w:rsidR="00292A46" w:rsidRDefault="00292A46" w:rsidP="004C3762">
      <w:pPr>
        <w:pStyle w:val="OrderSigInfo"/>
        <w:keepNext/>
        <w:keepLines/>
      </w:pPr>
      <w:r>
        <w:t>2540 Shumard Oak Boulevard</w:t>
      </w:r>
    </w:p>
    <w:p w:rsidR="00292A46" w:rsidRDefault="00292A46" w:rsidP="004C3762">
      <w:pPr>
        <w:pStyle w:val="OrderSigInfo"/>
        <w:keepNext/>
        <w:keepLines/>
      </w:pPr>
      <w:r>
        <w:t>Tallahassee, Florida  32399</w:t>
      </w:r>
    </w:p>
    <w:p w:rsidR="00292A46" w:rsidRDefault="00292A46" w:rsidP="004C3762">
      <w:pPr>
        <w:pStyle w:val="OrderSigInfo"/>
        <w:keepNext/>
        <w:keepLines/>
      </w:pPr>
      <w:r>
        <w:t>(850) 413</w:t>
      </w:r>
      <w:r>
        <w:noBreakHyphen/>
        <w:t>6770</w:t>
      </w:r>
    </w:p>
    <w:p w:rsidR="00292A46" w:rsidRDefault="00292A46" w:rsidP="004C3762">
      <w:pPr>
        <w:pStyle w:val="OrderSigInfo"/>
        <w:keepNext/>
        <w:keepLines/>
      </w:pPr>
      <w:r>
        <w:t>www.floridapsc.com</w:t>
      </w:r>
    </w:p>
    <w:p w:rsidR="00292A46" w:rsidRDefault="00292A46" w:rsidP="004C3762">
      <w:pPr>
        <w:pStyle w:val="OrderSigInfo"/>
        <w:keepNext/>
        <w:keepLines/>
      </w:pPr>
    </w:p>
    <w:p w:rsidR="00292A46" w:rsidRDefault="00292A46" w:rsidP="004C3762">
      <w:pPr>
        <w:pStyle w:val="OrderSigInfo"/>
        <w:keepNext/>
        <w:keepLines/>
      </w:pPr>
      <w:r>
        <w:t>Copies furnished:  A copy of this document is provided to the parties of record at the time of issuance and, if applicable, interested persons.</w:t>
      </w:r>
    </w:p>
    <w:p w:rsidR="00292A46" w:rsidRDefault="00292A46" w:rsidP="004C3762">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292A46" w:rsidRDefault="00292A46" w:rsidP="004C3762">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KFC</w:t>
      </w:r>
    </w:p>
    <w:p w:rsidR="00292A46" w:rsidRDefault="00292A46" w:rsidP="004C37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771D63" w:rsidRDefault="00771D63" w:rsidP="004C3762">
      <w:pPr>
        <w:pStyle w:val="CenterUnderline"/>
      </w:pPr>
    </w:p>
    <w:p w:rsidR="00771D63" w:rsidRDefault="00771D63" w:rsidP="004C3762">
      <w:pPr>
        <w:pStyle w:val="CenterUnderline"/>
      </w:pPr>
    </w:p>
    <w:p w:rsidR="00771D63" w:rsidRDefault="00771D63" w:rsidP="004C3762">
      <w:pPr>
        <w:pStyle w:val="CenterUnderline"/>
      </w:pPr>
    </w:p>
    <w:p w:rsidR="00771D63" w:rsidRDefault="00771D63" w:rsidP="004C3762">
      <w:pPr>
        <w:pStyle w:val="CenterUnderline"/>
      </w:pPr>
    </w:p>
    <w:p w:rsidR="004C3762" w:rsidRDefault="004C3762">
      <w:pPr>
        <w:rPr>
          <w:u w:val="single"/>
        </w:rPr>
      </w:pPr>
      <w:r>
        <w:br w:type="page"/>
      </w:r>
    </w:p>
    <w:p w:rsidR="004C3762" w:rsidRDefault="004C3762" w:rsidP="004C3762">
      <w:pPr>
        <w:pStyle w:val="CenterUnderline"/>
      </w:pPr>
    </w:p>
    <w:p w:rsidR="00292A46" w:rsidRDefault="00292A46" w:rsidP="004C3762">
      <w:pPr>
        <w:pStyle w:val="CenterUnderline"/>
      </w:pPr>
      <w:r>
        <w:t>NOTICE OF FURTHER PROCEEDINGS OR JUDICIAL REVIEW</w:t>
      </w:r>
    </w:p>
    <w:p w:rsidR="00292A46" w:rsidRDefault="00292A46" w:rsidP="004C3762">
      <w:pPr>
        <w:pStyle w:val="CenterUnderline"/>
        <w:rPr>
          <w:u w:val="none"/>
        </w:rPr>
      </w:pPr>
    </w:p>
    <w:p w:rsidR="00292A46" w:rsidRDefault="00292A46" w:rsidP="004C3762">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292A46" w:rsidRDefault="00292A46" w:rsidP="004C3762">
      <w:pPr>
        <w:pStyle w:val="OrderBody"/>
      </w:pPr>
    </w:p>
    <w:p w:rsidR="00292A46" w:rsidRDefault="00292A46" w:rsidP="004C3762">
      <w:pPr>
        <w:pStyle w:val="OrderBody"/>
      </w:pPr>
      <w:r>
        <w:tab/>
        <w:t>Mediation may be available on a case-by-case basis.  If mediation is conducted, it does not affect a substantially interested person's right to a hearing.</w:t>
      </w:r>
    </w:p>
    <w:p w:rsidR="00292A46" w:rsidRDefault="00292A46" w:rsidP="004C3762">
      <w:pPr>
        <w:pStyle w:val="OrderBody"/>
      </w:pPr>
    </w:p>
    <w:p w:rsidR="00A95326" w:rsidRDefault="00292A46" w:rsidP="004C3762">
      <w:pPr>
        <w:pStyle w:val="OrderBody"/>
        <w:sectPr w:rsidR="00A95326">
          <w:headerReference w:type="default" r:id="rId8"/>
          <w:footerReference w:type="first" r:id="rId9"/>
          <w:pgSz w:w="12240" w:h="15840" w:code="1"/>
          <w:pgMar w:top="1440" w:right="1440" w:bottom="1440" w:left="1440" w:header="720" w:footer="720" w:gutter="0"/>
          <w:cols w:space="720"/>
          <w:titlePg/>
          <w:docGrid w:linePitch="360"/>
        </w:sectPr>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CB5276" w:rsidRDefault="00CB5276" w:rsidP="004C3762">
      <w:pPr>
        <w:pStyle w:val="OrderBody"/>
      </w:pPr>
    </w:p>
    <w:p w:rsidR="00A95326" w:rsidRPr="00A95326" w:rsidRDefault="00A95326" w:rsidP="00A95326">
      <w:pPr>
        <w:spacing w:after="240"/>
      </w:pPr>
      <w:r w:rsidRPr="00A95326">
        <w:rPr>
          <w:rFonts w:cs="Arial"/>
          <w:b/>
          <w:bCs/>
          <w:kern w:val="32"/>
          <w:szCs w:val="32"/>
          <w:u w:val="single"/>
        </w:rPr>
        <w:t xml:space="preserve">Issue </w:t>
      </w:r>
      <w:r w:rsidRPr="00A95326">
        <w:rPr>
          <w:rFonts w:cs="Arial"/>
          <w:b/>
          <w:bCs/>
          <w:kern w:val="32"/>
          <w:szCs w:val="32"/>
          <w:u w:val="single"/>
        </w:rPr>
        <w:fldChar w:fldCharType="begin"/>
      </w:r>
      <w:r w:rsidRPr="00A95326">
        <w:rPr>
          <w:rFonts w:cs="Arial"/>
          <w:b/>
          <w:bCs/>
          <w:kern w:val="32"/>
          <w:szCs w:val="32"/>
          <w:u w:val="single"/>
        </w:rPr>
        <w:instrText xml:space="preserve"> SEQ Issue \* MERGEFORMAT </w:instrText>
      </w:r>
      <w:r w:rsidRPr="00A95326">
        <w:rPr>
          <w:rFonts w:cs="Arial"/>
          <w:b/>
          <w:bCs/>
          <w:kern w:val="32"/>
          <w:szCs w:val="32"/>
          <w:u w:val="single"/>
        </w:rPr>
        <w:fldChar w:fldCharType="separate"/>
      </w:r>
      <w:r w:rsidR="00637F96">
        <w:rPr>
          <w:rFonts w:cs="Arial"/>
          <w:b/>
          <w:bCs/>
          <w:noProof/>
          <w:kern w:val="32"/>
          <w:szCs w:val="32"/>
          <w:u w:val="single"/>
        </w:rPr>
        <w:t>1</w:t>
      </w:r>
      <w:r w:rsidRPr="00A95326">
        <w:rPr>
          <w:rFonts w:cs="Arial"/>
          <w:b/>
          <w:bCs/>
          <w:kern w:val="32"/>
          <w:szCs w:val="32"/>
          <w:u w:val="single"/>
        </w:rPr>
        <w:fldChar w:fldCharType="end"/>
      </w:r>
      <w:r w:rsidRPr="00A95326">
        <w:rPr>
          <w:rFonts w:cs="Arial"/>
          <w:bCs/>
          <w:kern w:val="32"/>
          <w:szCs w:val="32"/>
        </w:rPr>
        <w:t>: </w:t>
      </w:r>
      <w:r w:rsidRPr="00A95326">
        <w:t> Is there a need for the proposed Okeechobee Clean Energy Center Unit 1, taking into account the need for electric system reliability and integrity, as this criterion is used in Section 403.519(3), Florida Statutes?</w:t>
      </w:r>
    </w:p>
    <w:p w:rsidR="00A95326" w:rsidRPr="00A95326" w:rsidRDefault="00A95326" w:rsidP="00A95326">
      <w:pPr>
        <w:spacing w:after="240"/>
      </w:pPr>
      <w:r w:rsidRPr="00A95326">
        <w:rPr>
          <w:b/>
          <w:u w:val="single"/>
        </w:rPr>
        <w:t xml:space="preserve">Issue </w:t>
      </w:r>
      <w:r w:rsidRPr="00A95326">
        <w:rPr>
          <w:b/>
          <w:u w:val="single"/>
        </w:rPr>
        <w:fldChar w:fldCharType="begin"/>
      </w:r>
      <w:r w:rsidRPr="00A95326">
        <w:rPr>
          <w:b/>
          <w:u w:val="single"/>
        </w:rPr>
        <w:instrText xml:space="preserve"> SEQ Issue \* MERGEFORMAT </w:instrText>
      </w:r>
      <w:r w:rsidRPr="00A95326">
        <w:rPr>
          <w:b/>
          <w:u w:val="single"/>
        </w:rPr>
        <w:fldChar w:fldCharType="separate"/>
      </w:r>
      <w:r w:rsidR="00637F96">
        <w:rPr>
          <w:b/>
          <w:noProof/>
          <w:u w:val="single"/>
        </w:rPr>
        <w:t>2</w:t>
      </w:r>
      <w:r w:rsidRPr="00A95326">
        <w:rPr>
          <w:b/>
          <w:u w:val="single"/>
        </w:rPr>
        <w:fldChar w:fldCharType="end"/>
      </w:r>
      <w:r w:rsidRPr="00A95326">
        <w:t>:  Are there any renewable energy sources and technologies or conservation measures taken by or reasonably available to Florida Power &amp; Light, which might mitigate the need for the proposed Okeechobee Clean Energy Center Unit 1?</w:t>
      </w:r>
    </w:p>
    <w:p w:rsidR="00A95326" w:rsidRPr="00A95326" w:rsidRDefault="00A95326" w:rsidP="00A95326">
      <w:pPr>
        <w:spacing w:after="240"/>
      </w:pPr>
      <w:r w:rsidRPr="00A95326">
        <w:rPr>
          <w:rFonts w:cs="Arial"/>
          <w:b/>
          <w:bCs/>
          <w:kern w:val="32"/>
          <w:szCs w:val="32"/>
          <w:u w:val="single"/>
        </w:rPr>
        <w:t xml:space="preserve">Issue </w:t>
      </w:r>
      <w:r w:rsidRPr="00A95326">
        <w:rPr>
          <w:rFonts w:cs="Arial"/>
          <w:b/>
          <w:bCs/>
          <w:kern w:val="32"/>
          <w:szCs w:val="32"/>
          <w:u w:val="single"/>
        </w:rPr>
        <w:fldChar w:fldCharType="begin"/>
      </w:r>
      <w:r w:rsidRPr="00A95326">
        <w:rPr>
          <w:rFonts w:cs="Arial"/>
          <w:b/>
          <w:bCs/>
          <w:kern w:val="32"/>
          <w:szCs w:val="32"/>
          <w:u w:val="single"/>
        </w:rPr>
        <w:instrText xml:space="preserve"> SEQ Issue \* MERGEFORMAT </w:instrText>
      </w:r>
      <w:r w:rsidRPr="00A95326">
        <w:rPr>
          <w:rFonts w:cs="Arial"/>
          <w:b/>
          <w:bCs/>
          <w:kern w:val="32"/>
          <w:szCs w:val="32"/>
          <w:u w:val="single"/>
        </w:rPr>
        <w:fldChar w:fldCharType="separate"/>
      </w:r>
      <w:r w:rsidR="00637F96">
        <w:rPr>
          <w:rFonts w:cs="Arial"/>
          <w:b/>
          <w:bCs/>
          <w:noProof/>
          <w:kern w:val="32"/>
          <w:szCs w:val="32"/>
          <w:u w:val="single"/>
        </w:rPr>
        <w:t>3</w:t>
      </w:r>
      <w:r w:rsidRPr="00A95326">
        <w:rPr>
          <w:rFonts w:cs="Arial"/>
          <w:b/>
          <w:bCs/>
          <w:kern w:val="32"/>
          <w:szCs w:val="32"/>
          <w:u w:val="single"/>
        </w:rPr>
        <w:fldChar w:fldCharType="end"/>
      </w:r>
      <w:r w:rsidRPr="00A95326">
        <w:rPr>
          <w:rFonts w:cs="Arial"/>
          <w:bCs/>
          <w:kern w:val="32"/>
          <w:szCs w:val="32"/>
        </w:rPr>
        <w:t>: </w:t>
      </w:r>
      <w:r w:rsidRPr="00A95326">
        <w:t> Is there a need for the proposed Okeechobee Clean Energy Center Unit 1, taking into account the need for adequate electricity at a reasonable cost, as this criterion is used in Section 403.519(3), Florida Statutes?</w:t>
      </w:r>
    </w:p>
    <w:p w:rsidR="00A95326" w:rsidRPr="00A95326" w:rsidRDefault="00A95326" w:rsidP="00A95326">
      <w:pPr>
        <w:spacing w:after="240"/>
      </w:pPr>
      <w:r w:rsidRPr="00A95326">
        <w:rPr>
          <w:rFonts w:cs="Arial"/>
          <w:b/>
          <w:bCs/>
          <w:kern w:val="32"/>
          <w:szCs w:val="32"/>
          <w:u w:val="single"/>
        </w:rPr>
        <w:t xml:space="preserve">Issue </w:t>
      </w:r>
      <w:r w:rsidRPr="00A95326">
        <w:rPr>
          <w:rFonts w:cs="Arial"/>
          <w:b/>
          <w:bCs/>
          <w:kern w:val="32"/>
          <w:szCs w:val="32"/>
          <w:u w:val="single"/>
        </w:rPr>
        <w:fldChar w:fldCharType="begin"/>
      </w:r>
      <w:r w:rsidRPr="00A95326">
        <w:rPr>
          <w:rFonts w:cs="Arial"/>
          <w:b/>
          <w:bCs/>
          <w:kern w:val="32"/>
          <w:szCs w:val="32"/>
          <w:u w:val="single"/>
        </w:rPr>
        <w:instrText xml:space="preserve"> SEQ Issue \* MERGEFORMAT </w:instrText>
      </w:r>
      <w:r w:rsidRPr="00A95326">
        <w:rPr>
          <w:rFonts w:cs="Arial"/>
          <w:b/>
          <w:bCs/>
          <w:kern w:val="32"/>
          <w:szCs w:val="32"/>
          <w:u w:val="single"/>
        </w:rPr>
        <w:fldChar w:fldCharType="separate"/>
      </w:r>
      <w:r w:rsidR="00637F96">
        <w:rPr>
          <w:rFonts w:cs="Arial"/>
          <w:b/>
          <w:bCs/>
          <w:noProof/>
          <w:kern w:val="32"/>
          <w:szCs w:val="32"/>
          <w:u w:val="single"/>
        </w:rPr>
        <w:t>4</w:t>
      </w:r>
      <w:r w:rsidRPr="00A95326">
        <w:rPr>
          <w:rFonts w:cs="Arial"/>
          <w:b/>
          <w:bCs/>
          <w:kern w:val="32"/>
          <w:szCs w:val="32"/>
          <w:u w:val="single"/>
        </w:rPr>
        <w:fldChar w:fldCharType="end"/>
      </w:r>
      <w:r w:rsidRPr="00A95326">
        <w:rPr>
          <w:rFonts w:cs="Arial"/>
          <w:bCs/>
          <w:kern w:val="32"/>
          <w:szCs w:val="32"/>
        </w:rPr>
        <w:t>: </w:t>
      </w:r>
      <w:r w:rsidRPr="00A95326">
        <w:t> Is there a need for the proposed Okeechobee Clean Energy Center Unit 1, taking into account the need for fuel diversity, as this criterion is used in Section 403.519(3), Florida Statutes?</w:t>
      </w:r>
    </w:p>
    <w:p w:rsidR="00A95326" w:rsidRPr="00A95326" w:rsidRDefault="00A95326" w:rsidP="00A95326">
      <w:pPr>
        <w:spacing w:after="240"/>
      </w:pPr>
      <w:r w:rsidRPr="00A95326">
        <w:rPr>
          <w:rFonts w:cs="Arial"/>
          <w:b/>
          <w:bCs/>
          <w:kern w:val="32"/>
          <w:szCs w:val="32"/>
          <w:u w:val="single"/>
        </w:rPr>
        <w:t xml:space="preserve">Issue </w:t>
      </w:r>
      <w:r w:rsidRPr="00A95326">
        <w:rPr>
          <w:rFonts w:cs="Arial"/>
          <w:b/>
          <w:bCs/>
          <w:kern w:val="32"/>
          <w:szCs w:val="32"/>
          <w:u w:val="single"/>
        </w:rPr>
        <w:fldChar w:fldCharType="begin"/>
      </w:r>
      <w:r w:rsidRPr="00A95326">
        <w:rPr>
          <w:rFonts w:cs="Arial"/>
          <w:b/>
          <w:bCs/>
          <w:kern w:val="32"/>
          <w:szCs w:val="32"/>
          <w:u w:val="single"/>
        </w:rPr>
        <w:instrText xml:space="preserve"> SEQ Issue \* MERGEFORMAT </w:instrText>
      </w:r>
      <w:r w:rsidRPr="00A95326">
        <w:rPr>
          <w:rFonts w:cs="Arial"/>
          <w:b/>
          <w:bCs/>
          <w:kern w:val="32"/>
          <w:szCs w:val="32"/>
          <w:u w:val="single"/>
        </w:rPr>
        <w:fldChar w:fldCharType="separate"/>
      </w:r>
      <w:r w:rsidR="00637F96">
        <w:rPr>
          <w:rFonts w:cs="Arial"/>
          <w:b/>
          <w:bCs/>
          <w:noProof/>
          <w:kern w:val="32"/>
          <w:szCs w:val="32"/>
          <w:u w:val="single"/>
        </w:rPr>
        <w:t>5</w:t>
      </w:r>
      <w:r w:rsidRPr="00A95326">
        <w:rPr>
          <w:rFonts w:cs="Arial"/>
          <w:b/>
          <w:bCs/>
          <w:kern w:val="32"/>
          <w:szCs w:val="32"/>
          <w:u w:val="single"/>
        </w:rPr>
        <w:fldChar w:fldCharType="end"/>
      </w:r>
      <w:r w:rsidRPr="00A95326">
        <w:rPr>
          <w:rFonts w:cs="Arial"/>
          <w:bCs/>
          <w:kern w:val="32"/>
          <w:szCs w:val="32"/>
        </w:rPr>
        <w:t>: </w:t>
      </w:r>
      <w:r w:rsidRPr="00A95326">
        <w:t> Will the proposed Okeechobee Clean Energy Center Unit 1 provide the most cost-effective source of power, as this criterion is used in Section 403.519(3), Florida Statutes?</w:t>
      </w:r>
    </w:p>
    <w:p w:rsidR="00A95326" w:rsidRPr="00A95326" w:rsidRDefault="00A95326" w:rsidP="00A95326">
      <w:pPr>
        <w:spacing w:after="240"/>
      </w:pPr>
      <w:r w:rsidRPr="00A95326">
        <w:rPr>
          <w:rFonts w:cs="Arial"/>
          <w:b/>
          <w:bCs/>
          <w:kern w:val="32"/>
          <w:szCs w:val="32"/>
          <w:u w:val="single"/>
        </w:rPr>
        <w:t xml:space="preserve">Issue </w:t>
      </w:r>
      <w:r w:rsidRPr="00A95326">
        <w:rPr>
          <w:rFonts w:cs="Arial"/>
          <w:b/>
          <w:bCs/>
          <w:kern w:val="32"/>
          <w:szCs w:val="32"/>
          <w:u w:val="single"/>
        </w:rPr>
        <w:fldChar w:fldCharType="begin"/>
      </w:r>
      <w:r w:rsidRPr="00A95326">
        <w:rPr>
          <w:rFonts w:cs="Arial"/>
          <w:b/>
          <w:bCs/>
          <w:kern w:val="32"/>
          <w:szCs w:val="32"/>
          <w:u w:val="single"/>
        </w:rPr>
        <w:instrText xml:space="preserve"> SEQ Issue \* MERGEFORMAT </w:instrText>
      </w:r>
      <w:r w:rsidRPr="00A95326">
        <w:rPr>
          <w:rFonts w:cs="Arial"/>
          <w:b/>
          <w:bCs/>
          <w:kern w:val="32"/>
          <w:szCs w:val="32"/>
          <w:u w:val="single"/>
        </w:rPr>
        <w:fldChar w:fldCharType="separate"/>
      </w:r>
      <w:r w:rsidR="00637F96">
        <w:rPr>
          <w:rFonts w:cs="Arial"/>
          <w:b/>
          <w:bCs/>
          <w:noProof/>
          <w:kern w:val="32"/>
          <w:szCs w:val="32"/>
          <w:u w:val="single"/>
        </w:rPr>
        <w:t>6</w:t>
      </w:r>
      <w:r w:rsidRPr="00A95326">
        <w:rPr>
          <w:rFonts w:cs="Arial"/>
          <w:b/>
          <w:bCs/>
          <w:kern w:val="32"/>
          <w:szCs w:val="32"/>
          <w:u w:val="single"/>
        </w:rPr>
        <w:fldChar w:fldCharType="end"/>
      </w:r>
      <w:r w:rsidRPr="00A95326">
        <w:rPr>
          <w:rFonts w:cs="Arial"/>
          <w:bCs/>
          <w:kern w:val="32"/>
          <w:szCs w:val="32"/>
        </w:rPr>
        <w:t>: </w:t>
      </w:r>
      <w:r w:rsidRPr="00A95326">
        <w:t> Based on the resolution of the foregoing issues, should the Commission grant Florida Power &amp; Light’s petition to determine the need for the proposed Okeechobee Clean Energy Center Unit 1?</w:t>
      </w:r>
    </w:p>
    <w:p w:rsidR="00A95326" w:rsidRPr="00A95326" w:rsidRDefault="00A95326" w:rsidP="00A95326">
      <w:pPr>
        <w:spacing w:after="240"/>
      </w:pPr>
      <w:r w:rsidRPr="00A95326">
        <w:rPr>
          <w:rFonts w:cs="Arial"/>
          <w:b/>
          <w:bCs/>
          <w:kern w:val="32"/>
          <w:szCs w:val="32"/>
          <w:u w:val="single"/>
        </w:rPr>
        <w:t xml:space="preserve">Issue </w:t>
      </w:r>
      <w:r w:rsidRPr="00A95326">
        <w:rPr>
          <w:rFonts w:cs="Arial"/>
          <w:b/>
          <w:bCs/>
          <w:kern w:val="32"/>
          <w:szCs w:val="32"/>
          <w:u w:val="single"/>
        </w:rPr>
        <w:fldChar w:fldCharType="begin"/>
      </w:r>
      <w:r w:rsidRPr="00A95326">
        <w:rPr>
          <w:rFonts w:cs="Arial"/>
          <w:b/>
          <w:bCs/>
          <w:kern w:val="32"/>
          <w:szCs w:val="32"/>
          <w:u w:val="single"/>
        </w:rPr>
        <w:instrText xml:space="preserve"> SEQ Issue \* MERGEFORMAT </w:instrText>
      </w:r>
      <w:r w:rsidRPr="00A95326">
        <w:rPr>
          <w:rFonts w:cs="Arial"/>
          <w:b/>
          <w:bCs/>
          <w:kern w:val="32"/>
          <w:szCs w:val="32"/>
          <w:u w:val="single"/>
        </w:rPr>
        <w:fldChar w:fldCharType="separate"/>
      </w:r>
      <w:r w:rsidR="00637F96">
        <w:rPr>
          <w:rFonts w:cs="Arial"/>
          <w:b/>
          <w:bCs/>
          <w:noProof/>
          <w:kern w:val="32"/>
          <w:szCs w:val="32"/>
          <w:u w:val="single"/>
        </w:rPr>
        <w:t>7</w:t>
      </w:r>
      <w:r w:rsidRPr="00A95326">
        <w:rPr>
          <w:rFonts w:cs="Arial"/>
          <w:b/>
          <w:bCs/>
          <w:kern w:val="32"/>
          <w:szCs w:val="32"/>
          <w:u w:val="single"/>
        </w:rPr>
        <w:fldChar w:fldCharType="end"/>
      </w:r>
      <w:r w:rsidRPr="00A95326">
        <w:rPr>
          <w:rFonts w:cs="Arial"/>
          <w:bCs/>
          <w:kern w:val="32"/>
          <w:szCs w:val="32"/>
        </w:rPr>
        <w:t>: </w:t>
      </w:r>
      <w:r w:rsidRPr="00A95326">
        <w:t> Should this docket be closed?</w:t>
      </w:r>
    </w:p>
    <w:p w:rsidR="00A95326" w:rsidRDefault="00A95326" w:rsidP="004C3762">
      <w:pPr>
        <w:pStyle w:val="OrderBody"/>
      </w:pPr>
    </w:p>
    <w:sectPr w:rsidR="00A95326">
      <w:head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2A46" w:rsidRDefault="00292A46">
      <w:r>
        <w:separator/>
      </w:r>
    </w:p>
  </w:endnote>
  <w:endnote w:type="continuationSeparator" w:id="0">
    <w:p w:rsidR="00292A46" w:rsidRDefault="00292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2A46" w:rsidRDefault="00292A46">
      <w:r>
        <w:separator/>
      </w:r>
    </w:p>
  </w:footnote>
  <w:footnote w:type="continuationSeparator" w:id="0">
    <w:p w:rsidR="00292A46" w:rsidRDefault="00292A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94 ">
      <w:r w:rsidR="00637F96">
        <w:t>PSC-15-0394-PCO-EI</w:t>
      </w:r>
    </w:fldSimple>
  </w:p>
  <w:p w:rsidR="00FA6EFD" w:rsidRDefault="00292A46">
    <w:pPr>
      <w:pStyle w:val="OrderHeader"/>
    </w:pPr>
    <w:bookmarkStart w:id="9" w:name="HeaderDocketNo"/>
    <w:bookmarkEnd w:id="9"/>
    <w:r>
      <w:t>DOCKET NO. 150196-EI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37F96">
      <w:rPr>
        <w:rStyle w:val="PageNumber"/>
        <w:noProof/>
      </w:rPr>
      <w:t>10</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326" w:rsidRDefault="00A95326" w:rsidP="00A95326">
    <w:pPr>
      <w:pStyle w:val="OrderHeader"/>
    </w:pPr>
    <w:r>
      <w:t xml:space="preserve">ORDER NO. </w:t>
    </w:r>
    <w:r w:rsidR="00637F96">
      <w:fldChar w:fldCharType="begin"/>
    </w:r>
    <w:r w:rsidR="00637F96">
      <w:instrText xml:space="preserve"> REF OrderNo0394 </w:instrText>
    </w:r>
    <w:r w:rsidR="00637F96">
      <w:fldChar w:fldCharType="separate"/>
    </w:r>
    <w:r w:rsidR="00637F96">
      <w:t>PSC-15-0394-PCO-EI</w:t>
    </w:r>
    <w:r w:rsidR="00637F96">
      <w:fldChar w:fldCharType="end"/>
    </w:r>
    <w:r>
      <w:tab/>
    </w:r>
    <w:r>
      <w:tab/>
      <w:t>APPENDIX A</w:t>
    </w:r>
  </w:p>
  <w:p w:rsidR="00A95326" w:rsidRDefault="00A95326" w:rsidP="00A95326">
    <w:pPr>
      <w:pStyle w:val="OrderHeader"/>
    </w:pPr>
    <w:r>
      <w:t>DOCKET NO. 150196-EI</w:t>
    </w:r>
  </w:p>
  <w:p w:rsidR="00A95326" w:rsidRDefault="00A95326" w:rsidP="00A95326">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37F96">
      <w:rPr>
        <w:rStyle w:val="PageNumber"/>
        <w:noProof/>
      </w:rPr>
      <w:t>13</w:t>
    </w:r>
    <w:r>
      <w:rPr>
        <w:rStyle w:val="PageNumber"/>
      </w:rPr>
      <w:fldChar w:fldCharType="end"/>
    </w:r>
  </w:p>
  <w:p w:rsidR="00A95326" w:rsidRDefault="00A9532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7039B"/>
    <w:multiLevelType w:val="hybridMultilevel"/>
    <w:tmpl w:val="D820C6E2"/>
    <w:lvl w:ilvl="0" w:tplc="FE7A3468">
      <w:start w:val="4"/>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23FA67FA"/>
    <w:multiLevelType w:val="hybridMultilevel"/>
    <w:tmpl w:val="469EAB60"/>
    <w:lvl w:ilvl="0" w:tplc="7180D8C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
    <w:nsid w:val="50EE0E1A"/>
    <w:multiLevelType w:val="hybridMultilevel"/>
    <w:tmpl w:val="43D0F0B0"/>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101655F"/>
    <w:multiLevelType w:val="singleLevel"/>
    <w:tmpl w:val="0FBC140E"/>
    <w:lvl w:ilvl="0">
      <w:start w:val="1"/>
      <w:numFmt w:val="decimal"/>
      <w:lvlText w:val="(%1)"/>
      <w:lvlJc w:val="left"/>
      <w:pPr>
        <w:tabs>
          <w:tab w:val="num" w:pos="0"/>
        </w:tabs>
        <w:ind w:left="1440" w:hanging="720"/>
      </w:pPr>
      <w:rPr>
        <w:rFonts w:ascii="Times New Roman" w:hAnsi="Times New Roman" w:cs="Times New Roman" w:hint="default"/>
        <w:strike w:val="0"/>
      </w:rPr>
    </w:lvl>
  </w:abstractNum>
  <w:abstractNum w:abstractNumId="5">
    <w:nsid w:val="537B4B32"/>
    <w:multiLevelType w:val="hybridMultilevel"/>
    <w:tmpl w:val="1262813C"/>
    <w:lvl w:ilvl="0" w:tplc="1194C0B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5FE23F30"/>
    <w:multiLevelType w:val="hybridMultilevel"/>
    <w:tmpl w:val="C55A9A6C"/>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1A50592"/>
    <w:multiLevelType w:val="hybridMultilevel"/>
    <w:tmpl w:val="DDB063B0"/>
    <w:lvl w:ilvl="0" w:tplc="32F8D64C">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7"/>
  </w:num>
  <w:num w:numId="4">
    <w:abstractNumId w:val="6"/>
  </w:num>
  <w:num w:numId="5">
    <w:abstractNumId w:val="3"/>
  </w:num>
  <w:num w:numId="6">
    <w:abstractNumId w:val="1"/>
  </w:num>
  <w:num w:numId="7">
    <w:abstractNumId w:val="0"/>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196-EI"/>
  </w:docVars>
  <w:rsids>
    <w:rsidRoot w:val="00292A46"/>
    <w:rsid w:val="000022B8"/>
    <w:rsid w:val="00053AB9"/>
    <w:rsid w:val="00056229"/>
    <w:rsid w:val="00065FC2"/>
    <w:rsid w:val="00090AFC"/>
    <w:rsid w:val="00097F09"/>
    <w:rsid w:val="000D06E8"/>
    <w:rsid w:val="000E344D"/>
    <w:rsid w:val="000F3B2C"/>
    <w:rsid w:val="000F76A3"/>
    <w:rsid w:val="000F7BE3"/>
    <w:rsid w:val="00116AD3"/>
    <w:rsid w:val="00121A63"/>
    <w:rsid w:val="00126593"/>
    <w:rsid w:val="00133D67"/>
    <w:rsid w:val="001404C9"/>
    <w:rsid w:val="00142A96"/>
    <w:rsid w:val="00187E32"/>
    <w:rsid w:val="00194E81"/>
    <w:rsid w:val="00196CA2"/>
    <w:rsid w:val="001A33C9"/>
    <w:rsid w:val="001D008A"/>
    <w:rsid w:val="002002ED"/>
    <w:rsid w:val="0022721A"/>
    <w:rsid w:val="00230BB9"/>
    <w:rsid w:val="00277A25"/>
    <w:rsid w:val="00292A46"/>
    <w:rsid w:val="002A11AC"/>
    <w:rsid w:val="002A6F30"/>
    <w:rsid w:val="002D7D15"/>
    <w:rsid w:val="00303FDE"/>
    <w:rsid w:val="003140E8"/>
    <w:rsid w:val="00317D84"/>
    <w:rsid w:val="003231C7"/>
    <w:rsid w:val="00331ED0"/>
    <w:rsid w:val="0035495B"/>
    <w:rsid w:val="003744F5"/>
    <w:rsid w:val="00381808"/>
    <w:rsid w:val="00390DD8"/>
    <w:rsid w:val="00394DC6"/>
    <w:rsid w:val="00397C3E"/>
    <w:rsid w:val="003D4CCA"/>
    <w:rsid w:val="003D6416"/>
    <w:rsid w:val="003E1D48"/>
    <w:rsid w:val="00414C65"/>
    <w:rsid w:val="00457DC7"/>
    <w:rsid w:val="00472BCC"/>
    <w:rsid w:val="00494F86"/>
    <w:rsid w:val="004A25CD"/>
    <w:rsid w:val="004A26CC"/>
    <w:rsid w:val="004B2108"/>
    <w:rsid w:val="004B3A2B"/>
    <w:rsid w:val="004C3762"/>
    <w:rsid w:val="004D2D1B"/>
    <w:rsid w:val="004F2DDE"/>
    <w:rsid w:val="0050097F"/>
    <w:rsid w:val="00514B1F"/>
    <w:rsid w:val="00556A10"/>
    <w:rsid w:val="005871F5"/>
    <w:rsid w:val="005963C2"/>
    <w:rsid w:val="005B45F7"/>
    <w:rsid w:val="005B63EA"/>
    <w:rsid w:val="00637F96"/>
    <w:rsid w:val="00647EDB"/>
    <w:rsid w:val="00660774"/>
    <w:rsid w:val="00665CC7"/>
    <w:rsid w:val="006A0BF3"/>
    <w:rsid w:val="006B0DA6"/>
    <w:rsid w:val="006C547E"/>
    <w:rsid w:val="00704C5D"/>
    <w:rsid w:val="007230AC"/>
    <w:rsid w:val="00733B6B"/>
    <w:rsid w:val="00736FB6"/>
    <w:rsid w:val="0076170F"/>
    <w:rsid w:val="0076669C"/>
    <w:rsid w:val="00771D63"/>
    <w:rsid w:val="007865E9"/>
    <w:rsid w:val="00792383"/>
    <w:rsid w:val="007C4C50"/>
    <w:rsid w:val="007D3D20"/>
    <w:rsid w:val="007E3AFD"/>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44557"/>
    <w:rsid w:val="00994100"/>
    <w:rsid w:val="009C0FEA"/>
    <w:rsid w:val="009D4C29"/>
    <w:rsid w:val="00A010F7"/>
    <w:rsid w:val="00A62DAB"/>
    <w:rsid w:val="00A7173D"/>
    <w:rsid w:val="00A726A6"/>
    <w:rsid w:val="00A9532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0DDB"/>
    <w:rsid w:val="00CD7132"/>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47531"/>
    <w:rsid w:val="00F54380"/>
    <w:rsid w:val="00F54B47"/>
    <w:rsid w:val="00F72B6D"/>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contacts" w:name="GivenNam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ti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637F96"/>
    <w:rPr>
      <w:rFonts w:ascii="Tahoma" w:hAnsi="Tahoma" w:cs="Tahoma"/>
      <w:sz w:val="16"/>
      <w:szCs w:val="16"/>
    </w:rPr>
  </w:style>
  <w:style w:type="character" w:customStyle="1" w:styleId="BalloonTextChar">
    <w:name w:val="Balloon Text Char"/>
    <w:basedOn w:val="DefaultParagraphFont"/>
    <w:link w:val="BalloonText"/>
    <w:rsid w:val="00637F9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637F96"/>
    <w:rPr>
      <w:rFonts w:ascii="Tahoma" w:hAnsi="Tahoma" w:cs="Tahoma"/>
      <w:sz w:val="16"/>
      <w:szCs w:val="16"/>
    </w:rPr>
  </w:style>
  <w:style w:type="character" w:customStyle="1" w:styleId="BalloonTextChar">
    <w:name w:val="Balloon Text Char"/>
    <w:basedOn w:val="DefaultParagraphFont"/>
    <w:link w:val="BalloonText"/>
    <w:rsid w:val="00637F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13</Pages>
  <Words>4374</Words>
  <Characters>23719</Characters>
  <Application>Microsoft Office Word</Application>
  <DocSecurity>0</DocSecurity>
  <Lines>197</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2015-09-16T17:49:00Z</dcterms:created>
  <dcterms:modified xsi:type="dcterms:W3CDTF">2015-09-16T18:02:00Z</dcterms:modified>
</cp:coreProperties>
</file>