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2827" w:rsidP="00722827">
      <w:pPr>
        <w:pStyle w:val="OrderHeading"/>
      </w:pPr>
      <w:r>
        <w:t>BEFORE THE FLORIDA PUBLIC SERVICE COMMISSION</w:t>
      </w:r>
    </w:p>
    <w:p w:rsidR="00722827" w:rsidRDefault="00722827" w:rsidP="00722827">
      <w:pPr>
        <w:pStyle w:val="OrderHeading"/>
      </w:pPr>
    </w:p>
    <w:p w:rsidR="00722827" w:rsidRDefault="00722827" w:rsidP="0072282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2827" w:rsidRPr="00C63FCF" w:rsidTr="00C63FCF">
        <w:trPr>
          <w:trHeight w:val="828"/>
        </w:trPr>
        <w:tc>
          <w:tcPr>
            <w:tcW w:w="4788" w:type="dxa"/>
            <w:tcBorders>
              <w:bottom w:val="single" w:sz="8" w:space="0" w:color="auto"/>
              <w:right w:val="double" w:sz="6" w:space="0" w:color="auto"/>
            </w:tcBorders>
            <w:shd w:val="clear" w:color="auto" w:fill="auto"/>
          </w:tcPr>
          <w:p w:rsidR="00722827" w:rsidRDefault="00722827" w:rsidP="00C63FCF">
            <w:pPr>
              <w:pStyle w:val="OrderBody"/>
              <w:tabs>
                <w:tab w:val="center" w:pos="4320"/>
                <w:tab w:val="right" w:pos="8640"/>
              </w:tabs>
              <w:jc w:val="left"/>
            </w:pPr>
            <w:r>
              <w:t xml:space="preserve">In re: </w:t>
            </w:r>
            <w:bookmarkStart w:id="0" w:name="SSInRe"/>
            <w:bookmarkEnd w:id="0"/>
            <w:r>
              <w:t>Application for transfer of majority organizational control of Orange Blossom Utilities, Inc., holder of Certificate Nos. 639-W and 548-S in Sumter County, from Nancy Steinmetz Roach to Jonathan S. Dean.</w:t>
            </w:r>
          </w:p>
        </w:tc>
        <w:tc>
          <w:tcPr>
            <w:tcW w:w="4788" w:type="dxa"/>
            <w:tcBorders>
              <w:left w:val="double" w:sz="6" w:space="0" w:color="auto"/>
            </w:tcBorders>
            <w:shd w:val="clear" w:color="auto" w:fill="auto"/>
          </w:tcPr>
          <w:p w:rsidR="00722827" w:rsidRDefault="00722827" w:rsidP="00722827">
            <w:pPr>
              <w:pStyle w:val="OrderBody"/>
            </w:pPr>
            <w:r>
              <w:t xml:space="preserve">DOCKET NO. </w:t>
            </w:r>
            <w:bookmarkStart w:id="1" w:name="SSDocketNo"/>
            <w:bookmarkEnd w:id="1"/>
            <w:r>
              <w:t>150113-WS</w:t>
            </w:r>
          </w:p>
          <w:p w:rsidR="00722827" w:rsidRDefault="00722827" w:rsidP="00C63FCF">
            <w:pPr>
              <w:pStyle w:val="OrderBody"/>
              <w:tabs>
                <w:tab w:val="center" w:pos="4320"/>
                <w:tab w:val="right" w:pos="8640"/>
              </w:tabs>
              <w:jc w:val="left"/>
            </w:pPr>
            <w:r>
              <w:t xml:space="preserve">ORDER NO. </w:t>
            </w:r>
            <w:bookmarkStart w:id="2" w:name="OrderNo0423"/>
            <w:r w:rsidR="00844040">
              <w:t>PSC-15-0423-TRF-WS</w:t>
            </w:r>
            <w:bookmarkEnd w:id="2"/>
          </w:p>
          <w:p w:rsidR="00722827" w:rsidRDefault="00722827" w:rsidP="00C63FCF">
            <w:pPr>
              <w:pStyle w:val="OrderBody"/>
              <w:tabs>
                <w:tab w:val="center" w:pos="4320"/>
                <w:tab w:val="right" w:pos="8640"/>
              </w:tabs>
              <w:jc w:val="left"/>
            </w:pPr>
            <w:r>
              <w:t xml:space="preserve">ISSUED: </w:t>
            </w:r>
            <w:r w:rsidR="00844040">
              <w:t>October 6, 2015</w:t>
            </w:r>
          </w:p>
        </w:tc>
      </w:tr>
    </w:tbl>
    <w:p w:rsidR="00722827" w:rsidRDefault="00722827" w:rsidP="00722827"/>
    <w:p w:rsidR="00722827" w:rsidRDefault="00722827" w:rsidP="00722827"/>
    <w:p w:rsidR="00722827" w:rsidRPr="00E46E1F" w:rsidRDefault="00722827">
      <w:pPr>
        <w:ind w:firstLine="720"/>
        <w:jc w:val="both"/>
      </w:pPr>
      <w:bookmarkStart w:id="3" w:name="Commissioners"/>
      <w:bookmarkEnd w:id="3"/>
      <w:r w:rsidRPr="00E46E1F">
        <w:t>The following Commissioners participated in the disposition of this matter:</w:t>
      </w:r>
    </w:p>
    <w:p w:rsidR="00722827" w:rsidRPr="00E46E1F" w:rsidRDefault="00722827"/>
    <w:p w:rsidR="00722827" w:rsidRDefault="00722827">
      <w:pPr>
        <w:jc w:val="center"/>
      </w:pPr>
      <w:r>
        <w:t>ART GRAHAM</w:t>
      </w:r>
      <w:r w:rsidRPr="00E46E1F">
        <w:t>, Chairman</w:t>
      </w:r>
    </w:p>
    <w:p w:rsidR="00722827" w:rsidRPr="00E46E1F" w:rsidRDefault="00722827">
      <w:pPr>
        <w:jc w:val="center"/>
      </w:pPr>
      <w:r w:rsidRPr="00E46E1F">
        <w:t>LISA POLAK EDGAR</w:t>
      </w:r>
    </w:p>
    <w:p w:rsidR="00722827" w:rsidRDefault="00722827">
      <w:pPr>
        <w:jc w:val="center"/>
      </w:pPr>
      <w:r>
        <w:t>RONALD A. BRISÉ</w:t>
      </w:r>
    </w:p>
    <w:p w:rsidR="00722827" w:rsidRDefault="00722827">
      <w:pPr>
        <w:jc w:val="center"/>
      </w:pPr>
      <w:r>
        <w:t>JULIE I. BROWN</w:t>
      </w:r>
    </w:p>
    <w:p w:rsidR="00722827" w:rsidRDefault="00722827">
      <w:pPr>
        <w:jc w:val="center"/>
      </w:pPr>
      <w:r>
        <w:t>JIMMY PATRONIS</w:t>
      </w:r>
    </w:p>
    <w:p w:rsidR="00CB5276" w:rsidRDefault="00CB5276">
      <w:pPr>
        <w:pStyle w:val="OrderBody"/>
      </w:pPr>
    </w:p>
    <w:p w:rsidR="00722827" w:rsidRDefault="00722827" w:rsidP="00722827">
      <w:pPr>
        <w:pStyle w:val="CenterUnderline"/>
      </w:pPr>
      <w:r>
        <w:t>ORDER</w:t>
      </w:r>
      <w:bookmarkStart w:id="4" w:name="OrderTitle"/>
      <w:r>
        <w:t xml:space="preserve"> </w:t>
      </w:r>
      <w:r w:rsidR="009A4EB9">
        <w:t>APPROVING TRANSFER OF MAJORITY ORGANIZATIONAL CONTROL</w:t>
      </w:r>
      <w:r w:rsidR="009A4EB9">
        <w:br/>
        <w:t>AND NON-SUFFICIENT FUNDS CHARGES</w:t>
      </w:r>
      <w:r>
        <w:t xml:space="preserve"> </w:t>
      </w:r>
      <w:bookmarkEnd w:id="4"/>
    </w:p>
    <w:p w:rsidR="00722827" w:rsidRDefault="00722827" w:rsidP="00722827">
      <w:pPr>
        <w:pStyle w:val="CenterUnderline"/>
      </w:pPr>
    </w:p>
    <w:p w:rsidR="00722827" w:rsidRDefault="00722827" w:rsidP="00722827">
      <w:pPr>
        <w:pStyle w:val="OrderBody"/>
      </w:pPr>
      <w:r>
        <w:t>BY THE COMMISSION:</w:t>
      </w:r>
    </w:p>
    <w:p w:rsidR="00722827" w:rsidRDefault="00722827" w:rsidP="00722827">
      <w:pPr>
        <w:pStyle w:val="OrderBody"/>
      </w:pPr>
    </w:p>
    <w:p w:rsidR="00CB5276" w:rsidRPr="00722827" w:rsidRDefault="00722827" w:rsidP="00722827">
      <w:pPr>
        <w:pStyle w:val="OrderBody"/>
        <w:jc w:val="center"/>
        <w:rPr>
          <w:b/>
        </w:rPr>
      </w:pPr>
      <w:bookmarkStart w:id="5" w:name="OrderText"/>
      <w:bookmarkEnd w:id="5"/>
      <w:r w:rsidRPr="00722827">
        <w:rPr>
          <w:b/>
        </w:rPr>
        <w:t>Background</w:t>
      </w:r>
    </w:p>
    <w:p w:rsidR="00CB5276" w:rsidRDefault="00CB5276"/>
    <w:p w:rsidR="00722827" w:rsidRPr="0033307D" w:rsidRDefault="00722827" w:rsidP="00722827">
      <w:pPr>
        <w:pStyle w:val="BodyText"/>
        <w:ind w:firstLine="720"/>
        <w:jc w:val="both"/>
      </w:pPr>
      <w:r w:rsidRPr="0033307D">
        <w:t>Orange Blossom Utilities, Inc. (Orange Blossom or Utility) is a water and wastewater utility serving approximately 32 customers in Sumter County.</w:t>
      </w:r>
      <w:r w:rsidR="00592956">
        <w:t xml:space="preserve">  </w:t>
      </w:r>
      <w:r w:rsidRPr="0033307D">
        <w:t xml:space="preserve">Original Certificate Nos. 639-W and 548-S were approved by Order No. PSC-07-0951-FOF-WS, issued </w:t>
      </w:r>
      <w:smartTag w:uri="urn:schemas-microsoft-com:office:smarttags" w:element="date">
        <w:smartTagPr>
          <w:attr w:name="ls" w:val="trans"/>
          <w:attr w:name="Month" w:val="11"/>
          <w:attr w:name="Day" w:val="29"/>
          <w:attr w:name="Year" w:val="2007"/>
        </w:smartTagPr>
        <w:r w:rsidRPr="0033307D">
          <w:t>November 29, 2007</w:t>
        </w:r>
      </w:smartTag>
      <w:r w:rsidRPr="0033307D">
        <w:t>.</w:t>
      </w:r>
    </w:p>
    <w:p w:rsidR="00722827" w:rsidRDefault="00722827" w:rsidP="00722827">
      <w:pPr>
        <w:spacing w:before="240" w:after="240"/>
        <w:ind w:firstLine="720"/>
        <w:jc w:val="both"/>
      </w:pPr>
      <w:r w:rsidRPr="0033307D">
        <w:t xml:space="preserve">On April 2, 2015, an application for authority for transfer of majority organizational control was filed by Orange Blossom. </w:t>
      </w:r>
      <w:r w:rsidR="00D2319A">
        <w:t xml:space="preserve"> </w:t>
      </w:r>
      <w:r w:rsidRPr="0033307D">
        <w:t>On August 27, 2015, Orange Blossom requested that</w:t>
      </w:r>
      <w:r w:rsidR="00133F65" w:rsidRPr="0033307D">
        <w:t xml:space="preserve"> non-sufficient funds</w:t>
      </w:r>
      <w:r w:rsidRPr="0033307D">
        <w:t xml:space="preserve"> (NSF) charges be added to the water and wastewater tariffs.</w:t>
      </w:r>
      <w:r w:rsidR="00592956">
        <w:t xml:space="preserve">  </w:t>
      </w:r>
      <w:r w:rsidR="00D2319A">
        <w:t>Commission s</w:t>
      </w:r>
      <w:r w:rsidRPr="0033307D">
        <w:t xml:space="preserve">taff identified several deficiencies in a letter to Orange Blossom on May 19, 2015. </w:t>
      </w:r>
      <w:r w:rsidR="00D2319A">
        <w:t xml:space="preserve"> </w:t>
      </w:r>
      <w:r w:rsidRPr="0033307D">
        <w:t>The Utility’s response on June 23, 2015, satisfied these deficiencies.</w:t>
      </w:r>
      <w:r w:rsidR="00592956">
        <w:t xml:space="preserve">  </w:t>
      </w:r>
      <w:r w:rsidR="005F7B05">
        <w:t>This</w:t>
      </w:r>
      <w:r w:rsidRPr="0033307D">
        <w:t xml:space="preserve"> Commission has jurisdiction in this case pursuant to Section 367.071, Florida Statutes (F.S.).</w:t>
      </w:r>
    </w:p>
    <w:p w:rsidR="00D2319A" w:rsidRDefault="005F7B05" w:rsidP="00D2319A">
      <w:pPr>
        <w:pStyle w:val="OrderBody"/>
        <w:jc w:val="center"/>
        <w:rPr>
          <w:b/>
        </w:rPr>
      </w:pPr>
      <w:r>
        <w:rPr>
          <w:b/>
        </w:rPr>
        <w:t>Approving Transfer of Majority Organizational Control</w:t>
      </w:r>
    </w:p>
    <w:p w:rsidR="00D2319A" w:rsidRPr="00D2319A" w:rsidRDefault="00D2319A" w:rsidP="00D2319A">
      <w:pPr>
        <w:pStyle w:val="OrderBody"/>
        <w:jc w:val="center"/>
        <w:rPr>
          <w:b/>
        </w:rPr>
      </w:pPr>
    </w:p>
    <w:p w:rsidR="00722827" w:rsidRDefault="00722827" w:rsidP="00D2319A">
      <w:pPr>
        <w:pStyle w:val="BodyText"/>
        <w:spacing w:after="0"/>
        <w:ind w:firstLine="720"/>
        <w:jc w:val="both"/>
      </w:pPr>
      <w:r w:rsidRPr="0033307D">
        <w:t>This application is for the transfer of majority organizational control of Orange Blossom Utilities, Inc., from</w:t>
      </w:r>
      <w:r w:rsidR="00D2319A">
        <w:t xml:space="preserve"> Nancy Steinmetz Roach</w:t>
      </w:r>
      <w:r w:rsidRPr="0033307D">
        <w:t xml:space="preserve"> to Jonathan S. Dean (Buyer). </w:t>
      </w:r>
      <w:r w:rsidR="00D2319A">
        <w:t xml:space="preserve"> </w:t>
      </w:r>
      <w:r w:rsidRPr="0033307D">
        <w:t xml:space="preserve">Based on </w:t>
      </w:r>
      <w:r w:rsidR="00D2319A">
        <w:t xml:space="preserve">our </w:t>
      </w:r>
      <w:r w:rsidRPr="0033307D">
        <w:t xml:space="preserve">review, the application is in compliance with the governing statue, Section 367.071, F.S., and Rule 25-30.037(3), </w:t>
      </w:r>
      <w:r w:rsidR="00D2319A">
        <w:t>Florida Administrative Code (</w:t>
      </w:r>
      <w:r w:rsidRPr="0033307D">
        <w:t>F.A.C.</w:t>
      </w:r>
      <w:r w:rsidR="00D2319A">
        <w:t>)</w:t>
      </w:r>
      <w:r w:rsidRPr="0033307D">
        <w:t xml:space="preserve">, concerning applications for transfer of majority organizational control. </w:t>
      </w:r>
    </w:p>
    <w:p w:rsidR="009A4EB9" w:rsidRDefault="009A4EB9" w:rsidP="00D2319A">
      <w:pPr>
        <w:pStyle w:val="BodyText"/>
        <w:spacing w:after="0"/>
        <w:ind w:firstLine="720"/>
        <w:jc w:val="both"/>
      </w:pPr>
    </w:p>
    <w:p w:rsidR="009A4EB9" w:rsidRDefault="009A4EB9" w:rsidP="00D2319A">
      <w:pPr>
        <w:pStyle w:val="BodyText"/>
        <w:spacing w:after="0"/>
        <w:ind w:firstLine="720"/>
        <w:jc w:val="both"/>
      </w:pPr>
    </w:p>
    <w:p w:rsidR="009A4EB9" w:rsidRDefault="009A4EB9" w:rsidP="00D2319A">
      <w:pPr>
        <w:pStyle w:val="BodyText"/>
        <w:spacing w:after="0"/>
        <w:ind w:firstLine="720"/>
        <w:jc w:val="both"/>
      </w:pPr>
    </w:p>
    <w:p w:rsidR="00722827" w:rsidRPr="0033307D" w:rsidRDefault="00722827" w:rsidP="00722827">
      <w:pPr>
        <w:pStyle w:val="BodyText"/>
        <w:spacing w:after="0"/>
        <w:jc w:val="both"/>
      </w:pPr>
    </w:p>
    <w:p w:rsidR="00722827" w:rsidRDefault="00722827" w:rsidP="00722827">
      <w:pPr>
        <w:pStyle w:val="BodyText"/>
        <w:spacing w:after="0"/>
        <w:jc w:val="both"/>
        <w:rPr>
          <w:b/>
        </w:rPr>
      </w:pPr>
      <w:r w:rsidRPr="0033307D">
        <w:rPr>
          <w:b/>
        </w:rPr>
        <w:lastRenderedPageBreak/>
        <w:t>Noticing, Territory, and Ownership</w:t>
      </w:r>
    </w:p>
    <w:p w:rsidR="00722827" w:rsidRPr="0033307D" w:rsidRDefault="00722827" w:rsidP="00722827">
      <w:pPr>
        <w:pStyle w:val="BodyText"/>
        <w:spacing w:after="0"/>
        <w:jc w:val="both"/>
        <w:rPr>
          <w:b/>
        </w:rPr>
      </w:pPr>
    </w:p>
    <w:p w:rsidR="00722827" w:rsidRPr="0033307D" w:rsidRDefault="005F7B05" w:rsidP="00722827">
      <w:pPr>
        <w:pStyle w:val="BodyText"/>
        <w:spacing w:after="240"/>
        <w:ind w:firstLine="720"/>
        <w:jc w:val="both"/>
      </w:pPr>
      <w:r>
        <w:t>The applicant</w:t>
      </w:r>
      <w:r w:rsidR="00722827" w:rsidRPr="0033307D">
        <w:t xml:space="preserve"> provided proof of compliance with the noticing provisions set forth in Section 367.071, F.S., and Rule 25-30.030, F.A.C. </w:t>
      </w:r>
      <w:r w:rsidR="00D2319A">
        <w:t xml:space="preserve"> </w:t>
      </w:r>
      <w:r w:rsidR="00722827" w:rsidRPr="0033307D">
        <w:t xml:space="preserve">No objections to the transfer were filed with </w:t>
      </w:r>
      <w:r w:rsidR="00D2319A">
        <w:t>this</w:t>
      </w:r>
      <w:r w:rsidR="00722827" w:rsidRPr="0033307D">
        <w:t xml:space="preserve"> Commission, and the time for doing so has expired. </w:t>
      </w:r>
      <w:r w:rsidR="00D2319A">
        <w:t xml:space="preserve"> </w:t>
      </w:r>
      <w:r w:rsidR="00722827" w:rsidRPr="0033307D">
        <w:t xml:space="preserve">The notice contains a description of the territory for Orange Blossom, which is appended to this </w:t>
      </w:r>
      <w:r w:rsidR="00592956">
        <w:t>order</w:t>
      </w:r>
      <w:r w:rsidR="00722827" w:rsidRPr="0033307D">
        <w:t xml:space="preserve"> as Attachment A. </w:t>
      </w:r>
      <w:r w:rsidR="00D2319A">
        <w:t xml:space="preserve"> </w:t>
      </w:r>
      <w:r w:rsidR="00722827" w:rsidRPr="0033307D">
        <w:t xml:space="preserve">The application does not involve transfer of the facilities and Orange Blossom will continue to own the land where the water and wastewater treatment plants are currently located. </w:t>
      </w:r>
      <w:r w:rsidR="00D2319A">
        <w:t xml:space="preserve"> </w:t>
      </w:r>
      <w:r w:rsidR="00722827" w:rsidRPr="0033307D">
        <w:t>The application includes evidence of this deed pursuant to Rule 25-30.037(3)(i), F.A.C.</w:t>
      </w:r>
    </w:p>
    <w:p w:rsidR="00722827" w:rsidRDefault="00722827" w:rsidP="00722827">
      <w:pPr>
        <w:pStyle w:val="BodyText"/>
        <w:spacing w:after="0"/>
        <w:jc w:val="both"/>
        <w:rPr>
          <w:b/>
        </w:rPr>
      </w:pPr>
      <w:r w:rsidRPr="0033307D">
        <w:rPr>
          <w:b/>
        </w:rPr>
        <w:t>Technical and Financial Ability</w:t>
      </w:r>
    </w:p>
    <w:p w:rsidR="00722827" w:rsidRPr="0033307D" w:rsidRDefault="00722827" w:rsidP="00722827">
      <w:pPr>
        <w:pStyle w:val="BodyText"/>
        <w:spacing w:after="0"/>
        <w:jc w:val="both"/>
        <w:rPr>
          <w:b/>
        </w:rPr>
      </w:pPr>
    </w:p>
    <w:p w:rsidR="00722827" w:rsidRPr="0033307D" w:rsidRDefault="00722827" w:rsidP="00722827">
      <w:pPr>
        <w:ind w:firstLine="720"/>
        <w:jc w:val="both"/>
        <w:rPr>
          <w:rFonts w:eastAsia="Calibri"/>
        </w:rPr>
      </w:pPr>
      <w:r w:rsidRPr="0033307D">
        <w:rPr>
          <w:color w:val="000000"/>
        </w:rPr>
        <w:t xml:space="preserve">Pursuant to Rule 25-30.037(3)(f), F.A.C., the application contains statements describing the technical and financial ability of the applicant to provide service. The transfer application states that the Buyer has sufficient financial assets to ensure the continuing operation of the Utility. </w:t>
      </w:r>
      <w:r w:rsidR="00D2319A">
        <w:rPr>
          <w:color w:val="000000"/>
        </w:rPr>
        <w:t xml:space="preserve"> We</w:t>
      </w:r>
      <w:r w:rsidRPr="0033307D">
        <w:rPr>
          <w:color w:val="000000"/>
        </w:rPr>
        <w:t xml:space="preserve"> reviewed the financial statements of the Buyer</w:t>
      </w:r>
      <w:r w:rsidRPr="0033307D">
        <w:rPr>
          <w:rStyle w:val="FootnoteReference"/>
          <w:color w:val="000000"/>
        </w:rPr>
        <w:footnoteReference w:id="1"/>
      </w:r>
      <w:r w:rsidRPr="0033307D">
        <w:rPr>
          <w:color w:val="000000"/>
        </w:rPr>
        <w:t xml:space="preserve"> and </w:t>
      </w:r>
      <w:r w:rsidR="00592956">
        <w:rPr>
          <w:color w:val="000000"/>
        </w:rPr>
        <w:t>find</w:t>
      </w:r>
      <w:r w:rsidRPr="0033307D">
        <w:rPr>
          <w:color w:val="000000"/>
        </w:rPr>
        <w:t xml:space="preserve"> he has the financial capability to provide any necessary funding. </w:t>
      </w:r>
      <w:r w:rsidR="00D2319A">
        <w:rPr>
          <w:color w:val="000000"/>
        </w:rPr>
        <w:t xml:space="preserve"> </w:t>
      </w:r>
      <w:r w:rsidRPr="0033307D">
        <w:rPr>
          <w:rFonts w:eastAsia="Calibri"/>
        </w:rPr>
        <w:t>According to the application, the public interest is served by the continuity of management in the Utility as the shares of the majority owner are purchased by the Buyer, who has been a shareholder of the corporation since its inception.</w:t>
      </w:r>
      <w:r w:rsidRPr="0033307D">
        <w:rPr>
          <w:color w:val="000000"/>
        </w:rPr>
        <w:t xml:space="preserve"> </w:t>
      </w:r>
      <w:r w:rsidR="00D2319A">
        <w:rPr>
          <w:color w:val="000000"/>
        </w:rPr>
        <w:t xml:space="preserve"> </w:t>
      </w:r>
      <w:r w:rsidRPr="0033307D">
        <w:rPr>
          <w:color w:val="000000"/>
        </w:rPr>
        <w:t xml:space="preserve">Based on the information above, </w:t>
      </w:r>
      <w:r w:rsidR="00D2319A">
        <w:rPr>
          <w:color w:val="000000"/>
        </w:rPr>
        <w:t>we find</w:t>
      </w:r>
      <w:r w:rsidRPr="0033307D">
        <w:rPr>
          <w:color w:val="000000"/>
        </w:rPr>
        <w:t xml:space="preserve"> that the Buyer has the technical and financial capability to provide service to the existing service territory.</w:t>
      </w:r>
    </w:p>
    <w:p w:rsidR="00722827" w:rsidRPr="0033307D" w:rsidRDefault="00722827" w:rsidP="00722827">
      <w:pPr>
        <w:jc w:val="both"/>
      </w:pPr>
    </w:p>
    <w:p w:rsidR="00722827" w:rsidRDefault="00722827" w:rsidP="00722827">
      <w:pPr>
        <w:pStyle w:val="SCparagraph"/>
        <w:spacing w:after="0"/>
        <w:ind w:firstLine="0"/>
        <w:rPr>
          <w:b/>
        </w:rPr>
      </w:pPr>
      <w:r w:rsidRPr="0033307D">
        <w:rPr>
          <w:b/>
        </w:rPr>
        <w:t xml:space="preserve">Rates and Charges </w:t>
      </w:r>
    </w:p>
    <w:p w:rsidR="00722827" w:rsidRPr="0033307D" w:rsidRDefault="00722827" w:rsidP="00722827">
      <w:pPr>
        <w:pStyle w:val="SCparagraph"/>
        <w:spacing w:after="0"/>
        <w:ind w:firstLine="0"/>
        <w:rPr>
          <w:b/>
        </w:rPr>
      </w:pPr>
    </w:p>
    <w:p w:rsidR="00722827" w:rsidRDefault="00722827" w:rsidP="00722827">
      <w:pPr>
        <w:pStyle w:val="SCparagraph"/>
        <w:spacing w:after="0"/>
      </w:pPr>
      <w:r w:rsidRPr="0033307D">
        <w:t>The Utility's rates and charges were last approved in an original certificate docket in 2007.</w:t>
      </w:r>
      <w:r w:rsidRPr="0033307D">
        <w:rPr>
          <w:rStyle w:val="FootnoteReference"/>
        </w:rPr>
        <w:footnoteReference w:id="2"/>
      </w:r>
      <w:r w:rsidRPr="0033307D">
        <w:t xml:space="preserve"> </w:t>
      </w:r>
      <w:r w:rsidR="00D2319A">
        <w:t xml:space="preserve"> </w:t>
      </w:r>
      <w:r w:rsidRPr="0033307D">
        <w:t xml:space="preserve">Additionally, since the original certificate, the Utility has received three index price increases. </w:t>
      </w:r>
      <w:r w:rsidR="00D2319A">
        <w:t xml:space="preserve"> </w:t>
      </w:r>
      <w:r w:rsidRPr="0033307D">
        <w:t>The Utility's existing rates and charges are shown on Schedule No. 1 for water and Schedule No. 2 for wastewater.</w:t>
      </w:r>
      <w:r w:rsidR="008E5140">
        <w:t xml:space="preserve">  </w:t>
      </w:r>
      <w:r w:rsidRPr="0033307D">
        <w:t>Rule 25-9.044(1), F.A.C., provides that, in the case of a change of ownership or control of a utility, the rates, classifications, and regulations of the former owner must continue unless authorized to change by this Commission.</w:t>
      </w:r>
      <w:r w:rsidR="00D2319A">
        <w:t xml:space="preserve">  </w:t>
      </w:r>
      <w:r w:rsidRPr="0033307D">
        <w:t xml:space="preserve">Therefore, </w:t>
      </w:r>
      <w:r w:rsidR="00D2319A">
        <w:t>we find</w:t>
      </w:r>
      <w:r w:rsidRPr="0033307D">
        <w:t xml:space="preserve"> that the Utility's existing rates and charges remain in effect until a change is authorized by this Commission in a subsequent proceeding. </w:t>
      </w:r>
      <w:r w:rsidR="00D2319A">
        <w:t xml:space="preserve"> </w:t>
      </w:r>
      <w:r w:rsidRPr="0033307D">
        <w:t xml:space="preserve">The tariffs reflecting the transfer </w:t>
      </w:r>
      <w:r w:rsidR="00D2319A">
        <w:t>shall</w:t>
      </w:r>
      <w:r w:rsidRPr="0033307D">
        <w:t xml:space="preserve"> be effective for services rendered or connections made on or after the stamped approval date on the tariffs, pursuant to Rule 25-30.475(1), F.A.C.</w:t>
      </w:r>
    </w:p>
    <w:p w:rsidR="005F7B05" w:rsidRDefault="005F7B05" w:rsidP="00722827">
      <w:pPr>
        <w:pStyle w:val="SCparagraph"/>
        <w:spacing w:after="0"/>
      </w:pPr>
    </w:p>
    <w:p w:rsidR="005F7B05" w:rsidRPr="0033307D" w:rsidRDefault="005F7B05" w:rsidP="005F7B05">
      <w:pPr>
        <w:pStyle w:val="BodyText"/>
        <w:spacing w:after="0"/>
        <w:jc w:val="both"/>
        <w:rPr>
          <w:b/>
        </w:rPr>
      </w:pPr>
      <w:r w:rsidRPr="0033307D">
        <w:rPr>
          <w:b/>
        </w:rPr>
        <w:t>Conclusion</w:t>
      </w:r>
    </w:p>
    <w:p w:rsidR="005F7B05" w:rsidRDefault="005F7B05" w:rsidP="005F7B05">
      <w:pPr>
        <w:pStyle w:val="BodyText"/>
        <w:spacing w:after="0"/>
        <w:ind w:firstLine="720"/>
        <w:jc w:val="both"/>
      </w:pPr>
    </w:p>
    <w:p w:rsidR="005F7B05" w:rsidRDefault="005F7B05" w:rsidP="005F7B05">
      <w:pPr>
        <w:pStyle w:val="BodyText"/>
        <w:spacing w:after="0"/>
        <w:ind w:firstLine="720"/>
        <w:jc w:val="both"/>
      </w:pPr>
      <w:r w:rsidRPr="0033307D">
        <w:t xml:space="preserve">Based on the above, </w:t>
      </w:r>
      <w:r>
        <w:t>we find</w:t>
      </w:r>
      <w:r w:rsidRPr="0033307D">
        <w:t xml:space="preserve"> that the transfer of majority organizational control from Nancy Steinmetz Roach to Jonathan S. Dean is in the public interest and </w:t>
      </w:r>
      <w:r>
        <w:t>shall</w:t>
      </w:r>
      <w:r w:rsidRPr="0033307D">
        <w:t xml:space="preserve"> be approved effective the date of </w:t>
      </w:r>
      <w:r>
        <w:t>this</w:t>
      </w:r>
      <w:r w:rsidRPr="0033307D">
        <w:t xml:space="preserve"> Commission</w:t>
      </w:r>
      <w:r>
        <w:t>’s</w:t>
      </w:r>
      <w:r w:rsidRPr="0033307D">
        <w:t xml:space="preserve"> vote</w:t>
      </w:r>
      <w:r>
        <w:t>, September 15, 2015</w:t>
      </w:r>
      <w:r w:rsidRPr="0033307D">
        <w:t xml:space="preserve">. </w:t>
      </w:r>
      <w:r>
        <w:t xml:space="preserve"> </w:t>
      </w:r>
      <w:r w:rsidRPr="0033307D">
        <w:t xml:space="preserve">The resultant order </w:t>
      </w:r>
      <w:r>
        <w:t>shall</w:t>
      </w:r>
      <w:r w:rsidRPr="0033307D">
        <w:t xml:space="preserve"> serve as the water and wastewater certificates, with the territory described in Attachment A. </w:t>
      </w:r>
      <w:r>
        <w:t xml:space="preserve"> </w:t>
      </w:r>
      <w:r w:rsidRPr="0033307D">
        <w:t xml:space="preserve">The existing rates and charges </w:t>
      </w:r>
      <w:r>
        <w:t>shall</w:t>
      </w:r>
      <w:r w:rsidRPr="0033307D">
        <w:t xml:space="preserve"> remain in effect until a change is authorized by th</w:t>
      </w:r>
      <w:r>
        <w:t>is</w:t>
      </w:r>
      <w:r w:rsidRPr="0033307D">
        <w:t xml:space="preserve"> Commission </w:t>
      </w:r>
      <w:r w:rsidRPr="0033307D">
        <w:lastRenderedPageBreak/>
        <w:t>in a subsequent proceeding.</w:t>
      </w:r>
      <w:r>
        <w:t xml:space="preserve">  </w:t>
      </w:r>
      <w:r w:rsidRPr="0033307D">
        <w:t xml:space="preserve">The tariffs reflecting the transfer </w:t>
      </w:r>
      <w:r>
        <w:t>shall</w:t>
      </w:r>
      <w:r w:rsidRPr="0033307D">
        <w:t xml:space="preserve"> be effective for services rendered or connections made on or after the stamped approval date on the tariffs, pursuant to Rule 25-30.475(1), F.A.C.</w:t>
      </w:r>
    </w:p>
    <w:p w:rsidR="00D2319A" w:rsidRDefault="00D2319A" w:rsidP="00D2319A">
      <w:pPr>
        <w:pStyle w:val="SCparagraph"/>
        <w:spacing w:after="0"/>
        <w:ind w:firstLine="0"/>
      </w:pPr>
    </w:p>
    <w:p w:rsidR="00D2319A" w:rsidRDefault="005F7B05" w:rsidP="005F7B05">
      <w:pPr>
        <w:pStyle w:val="SCparagraph"/>
        <w:spacing w:after="0"/>
        <w:ind w:firstLine="0"/>
        <w:jc w:val="center"/>
        <w:rPr>
          <w:b/>
        </w:rPr>
      </w:pPr>
      <w:r>
        <w:rPr>
          <w:b/>
        </w:rPr>
        <w:t xml:space="preserve">Approving </w:t>
      </w:r>
      <w:r w:rsidR="00D2319A">
        <w:rPr>
          <w:b/>
        </w:rPr>
        <w:t>Non-Sufficient Funds Charges</w:t>
      </w:r>
    </w:p>
    <w:p w:rsidR="00D2319A" w:rsidRDefault="00D2319A" w:rsidP="00D2319A">
      <w:pPr>
        <w:pStyle w:val="SCparagraph"/>
        <w:spacing w:after="0"/>
        <w:ind w:firstLine="0"/>
        <w:rPr>
          <w:b/>
        </w:rPr>
      </w:pPr>
    </w:p>
    <w:p w:rsidR="00D2319A" w:rsidRPr="0033307D" w:rsidRDefault="00D2319A" w:rsidP="00D2319A">
      <w:pPr>
        <w:pStyle w:val="SCparagraph"/>
        <w:spacing w:after="0"/>
      </w:pPr>
      <w:r w:rsidRPr="0033307D">
        <w:t>Section 367.091, F.S., requires that rates, charges, and customer service policies be approved by th</w:t>
      </w:r>
      <w:r>
        <w:t>is</w:t>
      </w:r>
      <w:r w:rsidRPr="0033307D">
        <w:t xml:space="preserve"> Commission. </w:t>
      </w:r>
      <w:r>
        <w:t xml:space="preserve"> We have</w:t>
      </w:r>
      <w:r w:rsidRPr="0033307D">
        <w:t xml:space="preserve"> authority to establish, increase, or change a rate or charge.</w:t>
      </w:r>
      <w:r>
        <w:t xml:space="preserve"> </w:t>
      </w:r>
      <w:r w:rsidR="00592956">
        <w:t xml:space="preserve"> </w:t>
      </w:r>
      <w:r>
        <w:t>We find</w:t>
      </w:r>
      <w:r w:rsidRPr="0033307D">
        <w:t xml:space="preserve"> that the Utility </w:t>
      </w:r>
      <w:r w:rsidR="00592956">
        <w:t>shall</w:t>
      </w:r>
      <w:r w:rsidRPr="0033307D">
        <w:t xml:space="preserve"> be authorized to collect NSF charges consistent with Sections 832.08(5) and 68.065(2), F.S., which allows for the assessment of charges for the collection of worthless checks, drafts, or orders of payment.</w:t>
      </w:r>
      <w:r w:rsidR="00592956">
        <w:t xml:space="preserve">  </w:t>
      </w:r>
      <w:r w:rsidRPr="0033307D">
        <w:t>As currently set forth in Sections 832.08(5) and 68.065(2), F.S., the following NSF charges may be assessed:</w:t>
      </w:r>
    </w:p>
    <w:p w:rsidR="00D2319A" w:rsidRPr="00C77A74" w:rsidRDefault="00D2319A" w:rsidP="00D2319A">
      <w:pPr>
        <w:pStyle w:val="SCparagraph"/>
        <w:spacing w:after="0"/>
        <w:ind w:firstLine="0"/>
        <w:rPr>
          <w:b/>
          <w:i/>
        </w:rPr>
      </w:pPr>
    </w:p>
    <w:p w:rsidR="00D2319A" w:rsidRPr="0033307D" w:rsidRDefault="00D2319A" w:rsidP="00D2319A">
      <w:pPr>
        <w:spacing w:after="240"/>
        <w:ind w:firstLine="720"/>
        <w:jc w:val="both"/>
      </w:pPr>
      <w:r w:rsidRPr="0033307D">
        <w:t>1.</w:t>
      </w:r>
      <w:r w:rsidRPr="0033307D">
        <w:tab/>
        <w:t xml:space="preserve">$25, if the face value does not exceed $50, </w:t>
      </w:r>
    </w:p>
    <w:p w:rsidR="00D2319A" w:rsidRPr="0033307D" w:rsidRDefault="00D2319A" w:rsidP="00D2319A">
      <w:pPr>
        <w:spacing w:after="240"/>
        <w:ind w:firstLine="720"/>
        <w:jc w:val="both"/>
      </w:pPr>
      <w:r w:rsidRPr="0033307D">
        <w:t>2.</w:t>
      </w:r>
      <w:r w:rsidRPr="0033307D">
        <w:tab/>
        <w:t>$30, if the face value exceeds $50 but does not exceed $300,</w:t>
      </w:r>
    </w:p>
    <w:p w:rsidR="00D2319A" w:rsidRPr="0033307D" w:rsidRDefault="00D2319A" w:rsidP="00D2319A">
      <w:pPr>
        <w:spacing w:after="240"/>
        <w:ind w:firstLine="720"/>
        <w:jc w:val="both"/>
      </w:pPr>
      <w:r w:rsidRPr="0033307D">
        <w:t>3.</w:t>
      </w:r>
      <w:r w:rsidRPr="0033307D">
        <w:tab/>
        <w:t>$40, if the face value exceeds $300,</w:t>
      </w:r>
    </w:p>
    <w:p w:rsidR="00D2319A" w:rsidRPr="0033307D" w:rsidRDefault="00D2319A" w:rsidP="00D2319A">
      <w:pPr>
        <w:spacing w:after="240"/>
        <w:ind w:firstLine="720"/>
        <w:jc w:val="both"/>
      </w:pPr>
      <w:r w:rsidRPr="0033307D">
        <w:t>4.</w:t>
      </w:r>
      <w:r w:rsidRPr="0033307D">
        <w:tab/>
        <w:t xml:space="preserve">or five percent of the face amount of the check, whichever is greater. </w:t>
      </w:r>
    </w:p>
    <w:p w:rsidR="00D2319A" w:rsidRPr="0033307D" w:rsidRDefault="00D2319A" w:rsidP="00D2319A">
      <w:pPr>
        <w:ind w:firstLine="720"/>
        <w:jc w:val="both"/>
      </w:pPr>
      <w:r w:rsidRPr="0033307D">
        <w:t xml:space="preserve">Approval of NSF charges is consistent with </w:t>
      </w:r>
      <w:r>
        <w:t xml:space="preserve">our </w:t>
      </w:r>
      <w:r w:rsidRPr="0033307D">
        <w:t>prior decisions.</w:t>
      </w:r>
      <w:r w:rsidRPr="0033307D">
        <w:rPr>
          <w:vertAlign w:val="superscript"/>
        </w:rPr>
        <w:footnoteReference w:id="3"/>
      </w:r>
      <w:r w:rsidRPr="0033307D">
        <w:t xml:space="preserve"> Furthermore, NSF charges place the cost on the cost-causer, rather than requiring that the costs associated with the return of the NSF checks be spread across the general body of ratepayers.</w:t>
      </w:r>
      <w:r w:rsidR="00FD7084">
        <w:t xml:space="preserve">  </w:t>
      </w:r>
      <w:r w:rsidRPr="0033307D">
        <w:t>As such</w:t>
      </w:r>
      <w:r>
        <w:t xml:space="preserve"> we find that the </w:t>
      </w:r>
      <w:r w:rsidRPr="0033307D">
        <w:t xml:space="preserve">Utility </w:t>
      </w:r>
      <w:r>
        <w:t xml:space="preserve">shall </w:t>
      </w:r>
      <w:r w:rsidRPr="0033307D">
        <w:t xml:space="preserve">revise its tariffs to reflect the NSF charges currently set forth in Sections 832.08(5) and 68.065(2), F.S. </w:t>
      </w:r>
      <w:r>
        <w:t xml:space="preserve"> </w:t>
      </w:r>
      <w:r w:rsidRPr="0033307D">
        <w:t xml:space="preserve">The NSF charges </w:t>
      </w:r>
      <w:r w:rsidR="00592956">
        <w:t>shall</w:t>
      </w:r>
      <w:r w:rsidRPr="0033307D">
        <w:t xml:space="preserve"> be effective on or after the stamped approval date on the tariff sheets, pursuant to Rule 25-30.475(1), F.A.C. </w:t>
      </w:r>
      <w:r>
        <w:t xml:space="preserve"> </w:t>
      </w:r>
      <w:r w:rsidRPr="0033307D">
        <w:t xml:space="preserve">In addition, the NSF charges </w:t>
      </w:r>
      <w:r>
        <w:t>shall</w:t>
      </w:r>
      <w:r w:rsidRPr="0033307D">
        <w:t xml:space="preserve"> not be implemented until </w:t>
      </w:r>
      <w:r>
        <w:t xml:space="preserve">Commission </w:t>
      </w:r>
      <w:r w:rsidRPr="0033307D">
        <w:t xml:space="preserve">staff has approved the proposed customer notice. </w:t>
      </w:r>
      <w:r>
        <w:t xml:space="preserve"> </w:t>
      </w:r>
      <w:r w:rsidRPr="0033307D">
        <w:t xml:space="preserve">The Utility </w:t>
      </w:r>
      <w:r>
        <w:t>shall</w:t>
      </w:r>
      <w:r w:rsidRPr="0033307D">
        <w:t xml:space="preserve"> provide proof of the date the notice was given within 10 days of the date of the notice. </w:t>
      </w:r>
    </w:p>
    <w:p w:rsidR="009A4EB9" w:rsidRDefault="009A4EB9" w:rsidP="00FD7084">
      <w:pPr>
        <w:jc w:val="both"/>
      </w:pPr>
    </w:p>
    <w:p w:rsidR="00722827" w:rsidRDefault="00722827" w:rsidP="00C77A74">
      <w:pPr>
        <w:pStyle w:val="OrderBody"/>
      </w:pPr>
      <w:r>
        <w:tab/>
        <w:t>Based on the foregoing, it is</w:t>
      </w:r>
      <w:bookmarkStart w:id="6" w:name="_GoBack"/>
      <w:bookmarkEnd w:id="6"/>
    </w:p>
    <w:p w:rsidR="00FD7084" w:rsidRDefault="00FD7084" w:rsidP="00FD7084">
      <w:pPr>
        <w:pStyle w:val="OrderBody"/>
      </w:pPr>
    </w:p>
    <w:p w:rsidR="00FD7084" w:rsidRDefault="00FD7084" w:rsidP="00DB2F76">
      <w:pPr>
        <w:pStyle w:val="OrderBody"/>
        <w:ind w:firstLine="720"/>
      </w:pPr>
      <w:r>
        <w:t xml:space="preserve">ORDERED by the Florida Public Service Commission that the application for transfer of majority organizational control of </w:t>
      </w:r>
      <w:r w:rsidRPr="0033307D">
        <w:t>Orange Blossom Utilities, Inc.</w:t>
      </w:r>
      <w:r>
        <w:t xml:space="preserve"> from </w:t>
      </w:r>
      <w:r w:rsidRPr="0033307D">
        <w:t>Nancy Steinmetz Roach to Jonathan S. Dean</w:t>
      </w:r>
      <w:r>
        <w:t xml:space="preserve"> is hereby approved effective September 15, 2015.  It is further</w:t>
      </w:r>
    </w:p>
    <w:p w:rsidR="005F7B05" w:rsidRDefault="005F7B05" w:rsidP="00DB2F76">
      <w:pPr>
        <w:pStyle w:val="OrderBody"/>
        <w:ind w:firstLine="720"/>
      </w:pPr>
    </w:p>
    <w:p w:rsidR="005F7B05" w:rsidRDefault="005F7B05" w:rsidP="005F7B05">
      <w:pPr>
        <w:pStyle w:val="OrderBody"/>
        <w:ind w:firstLine="720"/>
      </w:pPr>
      <w:r>
        <w:t xml:space="preserve">ORDERED that this </w:t>
      </w:r>
      <w:r w:rsidRPr="0033307D">
        <w:t xml:space="preserve">order </w:t>
      </w:r>
      <w:r w:rsidR="00C05BE3">
        <w:t>shall</w:t>
      </w:r>
      <w:r w:rsidRPr="0033307D">
        <w:t xml:space="preserve"> serve as the water and wastewater certificates, with the territory described in Attachment A</w:t>
      </w:r>
      <w:r>
        <w:t>.  It is further</w:t>
      </w:r>
    </w:p>
    <w:p w:rsidR="005F7B05" w:rsidRDefault="005F7B05" w:rsidP="005F7B05">
      <w:pPr>
        <w:pStyle w:val="OrderBody"/>
        <w:ind w:firstLine="720"/>
      </w:pPr>
    </w:p>
    <w:p w:rsidR="005F7B05" w:rsidRDefault="005F7B05" w:rsidP="005F7B05">
      <w:pPr>
        <w:pStyle w:val="OrderBody"/>
        <w:ind w:firstLine="720"/>
      </w:pPr>
    </w:p>
    <w:p w:rsidR="005F7B05" w:rsidRDefault="005F7B05" w:rsidP="005F7B05">
      <w:pPr>
        <w:pStyle w:val="OrderBody"/>
        <w:ind w:firstLine="720"/>
      </w:pPr>
      <w:r>
        <w:lastRenderedPageBreak/>
        <w:t xml:space="preserve">ORDERED that the existing </w:t>
      </w:r>
      <w:r w:rsidRPr="0033307D">
        <w:t xml:space="preserve">rates and charges </w:t>
      </w:r>
      <w:r w:rsidR="00C05BE3">
        <w:t>shall</w:t>
      </w:r>
      <w:r w:rsidRPr="0033307D">
        <w:t xml:space="preserve"> remain in effect until a change is authorized by the Commission in a subsequent proceeding.</w:t>
      </w:r>
      <w:r>
        <w:t xml:space="preserve">  </w:t>
      </w:r>
      <w:r w:rsidRPr="0033307D">
        <w:t xml:space="preserve">The tariffs reflecting the transfer </w:t>
      </w:r>
      <w:r w:rsidR="00C05BE3">
        <w:t>shall</w:t>
      </w:r>
      <w:r w:rsidRPr="0033307D">
        <w:t xml:space="preserve"> be effective for services rendered or connections made on or after the stamped approval date on the tariffs, pursuant to Rule 25-30.475(1), Florida Administrative Code</w:t>
      </w:r>
      <w:r>
        <w:t>.  It is further</w:t>
      </w:r>
    </w:p>
    <w:p w:rsidR="005F7B05" w:rsidRDefault="005F7B05" w:rsidP="005F7B05">
      <w:pPr>
        <w:pStyle w:val="OrderBody"/>
        <w:ind w:firstLine="720"/>
      </w:pPr>
    </w:p>
    <w:p w:rsidR="005F7B05" w:rsidRDefault="005F7B05" w:rsidP="005F7B05">
      <w:pPr>
        <w:pStyle w:val="OrderBody"/>
        <w:ind w:firstLine="720"/>
      </w:pPr>
      <w:r>
        <w:t xml:space="preserve">ORDERED </w:t>
      </w:r>
      <w:r w:rsidR="00A0275C">
        <w:t xml:space="preserve">that </w:t>
      </w:r>
      <w:r w:rsidR="00A0275C" w:rsidRPr="0033307D">
        <w:t>Orange Blossom Utilities, Inc.</w:t>
      </w:r>
      <w:r w:rsidRPr="0033307D">
        <w:t xml:space="preserve"> revise its tariffs to reflect the </w:t>
      </w:r>
      <w:r w:rsidR="00133F65" w:rsidRPr="0033307D">
        <w:t xml:space="preserve">non-sufficient funds </w:t>
      </w:r>
      <w:r w:rsidRPr="0033307D">
        <w:t>charges currently set forth in Sections 832.08(5) and 68.065(2), F.S.</w:t>
      </w:r>
      <w:r>
        <w:t xml:space="preserve">  </w:t>
      </w:r>
      <w:r w:rsidRPr="0033307D">
        <w:t xml:space="preserve">The </w:t>
      </w:r>
      <w:r w:rsidR="00133F65" w:rsidRPr="0033307D">
        <w:t xml:space="preserve">non-sufficient funds </w:t>
      </w:r>
      <w:r w:rsidRPr="0033307D">
        <w:t xml:space="preserve">charges </w:t>
      </w:r>
      <w:r w:rsidR="00C05BE3">
        <w:t>shall</w:t>
      </w:r>
      <w:r w:rsidRPr="0033307D">
        <w:t xml:space="preserve"> be effective on or after the stamped approval date on the tariff sheets pursu</w:t>
      </w:r>
      <w:r>
        <w:t>ant to Rule 25-30.475(1), Florida Administrative Code.  It is further</w:t>
      </w:r>
    </w:p>
    <w:p w:rsidR="005F7B05" w:rsidRDefault="005F7B05" w:rsidP="005F7B05">
      <w:pPr>
        <w:pStyle w:val="OrderBody"/>
        <w:ind w:firstLine="720"/>
      </w:pPr>
    </w:p>
    <w:p w:rsidR="005F7B05" w:rsidRDefault="005F7B05" w:rsidP="005F7B05">
      <w:pPr>
        <w:pStyle w:val="OrderBody"/>
        <w:ind w:firstLine="720"/>
      </w:pPr>
      <w:r>
        <w:t xml:space="preserve">ORDERED </w:t>
      </w:r>
      <w:r w:rsidRPr="0033307D">
        <w:t xml:space="preserve">the </w:t>
      </w:r>
      <w:r w:rsidR="00A0275C" w:rsidRPr="0033307D">
        <w:t xml:space="preserve">non-sufficient funds </w:t>
      </w:r>
      <w:r w:rsidRPr="0033307D">
        <w:t xml:space="preserve">charges </w:t>
      </w:r>
      <w:r w:rsidR="00C05BE3">
        <w:t>shall</w:t>
      </w:r>
      <w:r w:rsidRPr="0033307D">
        <w:t xml:space="preserve"> not be implemented until </w:t>
      </w:r>
      <w:r w:rsidR="00314509">
        <w:t xml:space="preserve">Commission </w:t>
      </w:r>
      <w:r w:rsidRPr="0033307D">
        <w:t>staff has approved the proposed customer notice</w:t>
      </w:r>
      <w:r>
        <w:t xml:space="preserve">.  </w:t>
      </w:r>
      <w:r w:rsidRPr="0033307D">
        <w:t xml:space="preserve">Orange Blossom Utilities, Inc. </w:t>
      </w:r>
      <w:r w:rsidR="00C05BE3">
        <w:t>shall</w:t>
      </w:r>
      <w:r w:rsidRPr="0033307D">
        <w:t xml:space="preserve"> provide proof of the date the notice was given within 10 days of the date of the notice.</w:t>
      </w:r>
      <w:r>
        <w:t xml:space="preserve">  It is further</w:t>
      </w:r>
    </w:p>
    <w:p w:rsidR="00DB2F76" w:rsidRDefault="00DB2F76" w:rsidP="005F7B05">
      <w:pPr>
        <w:pStyle w:val="OrderBody"/>
      </w:pPr>
    </w:p>
    <w:p w:rsidR="00FD7084" w:rsidRDefault="00FD7084" w:rsidP="00FD7084">
      <w:pPr>
        <w:pStyle w:val="OrderBody"/>
      </w:pPr>
      <w:r>
        <w:tab/>
        <w:t>ORDERED that Attachment A and Schedule Nos. 1 and 2, attached to this Order, are incorporated herein by reference.  It is further</w:t>
      </w:r>
    </w:p>
    <w:p w:rsidR="00722827" w:rsidRDefault="00722827" w:rsidP="00FD7084">
      <w:pPr>
        <w:pStyle w:val="OrderBody"/>
      </w:pPr>
    </w:p>
    <w:p w:rsidR="00722827" w:rsidRDefault="00722827" w:rsidP="00FD7084">
      <w:pPr>
        <w:jc w:val="both"/>
      </w:pPr>
      <w:r>
        <w:tab/>
        <w:t xml:space="preserve">ORDERED that </w:t>
      </w:r>
      <w:r w:rsidR="00C05BE3" w:rsidRPr="0033307D">
        <w:t>a protest is filed within 21 days of the issuance of the order, the tariffs should remain in effect, with any revenues held subject to refund, pending resolution of the protest</w:t>
      </w:r>
      <w:r w:rsidR="00C05BE3">
        <w:t xml:space="preserve">.  </w:t>
      </w:r>
      <w:r>
        <w:t>It is further</w:t>
      </w:r>
    </w:p>
    <w:p w:rsidR="00FD7084" w:rsidRDefault="00FD7084" w:rsidP="00961BC9">
      <w:pPr>
        <w:jc w:val="both"/>
      </w:pPr>
    </w:p>
    <w:p w:rsidR="00C05BE3" w:rsidRPr="0033307D" w:rsidRDefault="00722827" w:rsidP="00961BC9">
      <w:pPr>
        <w:pStyle w:val="BodyText"/>
        <w:jc w:val="both"/>
      </w:pPr>
      <w:r>
        <w:tab/>
        <w:t xml:space="preserve">ORDERED that if </w:t>
      </w:r>
      <w:r w:rsidR="00C05BE3" w:rsidRPr="0033307D">
        <w:t>no timely protest is filed, this docket should be closed upon the issuance of a consummating order.</w:t>
      </w:r>
    </w:p>
    <w:p w:rsidR="00722827" w:rsidRDefault="00722827" w:rsidP="00FD7084">
      <w:pPr>
        <w:jc w:val="both"/>
      </w:pPr>
    </w:p>
    <w:p w:rsidR="00722827" w:rsidRDefault="00722827" w:rsidP="00722827"/>
    <w:p w:rsidR="00722827" w:rsidRDefault="00722827" w:rsidP="00844040">
      <w:pPr>
        <w:keepNext/>
        <w:keepLines/>
        <w:jc w:val="both"/>
      </w:pPr>
      <w:r>
        <w:lastRenderedPageBreak/>
        <w:tab/>
        <w:t xml:space="preserve">By ORDER of the Florida Public Service Commission this </w:t>
      </w:r>
      <w:bookmarkStart w:id="7" w:name="replaceDate"/>
      <w:bookmarkEnd w:id="7"/>
      <w:r w:rsidR="00844040">
        <w:rPr>
          <w:u w:val="single"/>
        </w:rPr>
        <w:t>6th</w:t>
      </w:r>
      <w:r w:rsidR="00844040">
        <w:t xml:space="preserve"> day of </w:t>
      </w:r>
      <w:r w:rsidR="00844040">
        <w:rPr>
          <w:u w:val="single"/>
        </w:rPr>
        <w:t>October</w:t>
      </w:r>
      <w:r w:rsidR="00844040">
        <w:t xml:space="preserve">, </w:t>
      </w:r>
      <w:r w:rsidR="00844040">
        <w:rPr>
          <w:u w:val="single"/>
        </w:rPr>
        <w:t>2015</w:t>
      </w:r>
      <w:r w:rsidR="00844040">
        <w:t>.</w:t>
      </w:r>
    </w:p>
    <w:p w:rsidR="00844040" w:rsidRPr="00844040" w:rsidRDefault="00844040" w:rsidP="00844040">
      <w:pPr>
        <w:keepNext/>
        <w:keepLines/>
        <w:jc w:val="both"/>
      </w:pPr>
    </w:p>
    <w:p w:rsidR="00722827" w:rsidRDefault="00722827" w:rsidP="00722827">
      <w:pPr>
        <w:keepNext/>
        <w:keepLines/>
      </w:pPr>
    </w:p>
    <w:p w:rsidR="00722827" w:rsidRDefault="00722827" w:rsidP="00722827">
      <w:pPr>
        <w:keepNext/>
        <w:keepLines/>
      </w:pPr>
    </w:p>
    <w:p w:rsidR="00722827" w:rsidRDefault="00722827" w:rsidP="00722827">
      <w:pPr>
        <w:keepNext/>
        <w:keepLines/>
      </w:pPr>
    </w:p>
    <w:tbl>
      <w:tblPr>
        <w:tblW w:w="4720" w:type="dxa"/>
        <w:tblInd w:w="3800" w:type="dxa"/>
        <w:tblLayout w:type="fixed"/>
        <w:tblLook w:val="0000" w:firstRow="0" w:lastRow="0" w:firstColumn="0" w:lastColumn="0" w:noHBand="0" w:noVBand="0"/>
      </w:tblPr>
      <w:tblGrid>
        <w:gridCol w:w="686"/>
        <w:gridCol w:w="4034"/>
      </w:tblGrid>
      <w:tr w:rsidR="00722827" w:rsidTr="00722827">
        <w:tc>
          <w:tcPr>
            <w:tcW w:w="720" w:type="dxa"/>
            <w:shd w:val="clear" w:color="auto" w:fill="auto"/>
          </w:tcPr>
          <w:p w:rsidR="00722827" w:rsidRDefault="00722827" w:rsidP="00722827">
            <w:pPr>
              <w:keepNext/>
              <w:keepLines/>
            </w:pPr>
            <w:bookmarkStart w:id="8" w:name="bkmrkSignature" w:colFirst="0" w:colLast="0"/>
          </w:p>
        </w:tc>
        <w:tc>
          <w:tcPr>
            <w:tcW w:w="4320" w:type="dxa"/>
            <w:tcBorders>
              <w:bottom w:val="single" w:sz="4" w:space="0" w:color="auto"/>
            </w:tcBorders>
            <w:shd w:val="clear" w:color="auto" w:fill="auto"/>
          </w:tcPr>
          <w:p w:rsidR="00722827" w:rsidRDefault="00844040" w:rsidP="00722827">
            <w:pPr>
              <w:keepNext/>
              <w:keepLines/>
            </w:pPr>
            <w:r>
              <w:t>/s/ Carlotta S. Stauffer</w:t>
            </w:r>
          </w:p>
        </w:tc>
      </w:tr>
      <w:bookmarkEnd w:id="8"/>
      <w:tr w:rsidR="00722827" w:rsidTr="00722827">
        <w:tc>
          <w:tcPr>
            <w:tcW w:w="720" w:type="dxa"/>
            <w:shd w:val="clear" w:color="auto" w:fill="auto"/>
          </w:tcPr>
          <w:p w:rsidR="00722827" w:rsidRDefault="00722827" w:rsidP="00722827">
            <w:pPr>
              <w:keepNext/>
              <w:keepLines/>
            </w:pPr>
          </w:p>
        </w:tc>
        <w:tc>
          <w:tcPr>
            <w:tcW w:w="4320" w:type="dxa"/>
            <w:tcBorders>
              <w:top w:val="single" w:sz="4" w:space="0" w:color="auto"/>
            </w:tcBorders>
            <w:shd w:val="clear" w:color="auto" w:fill="auto"/>
          </w:tcPr>
          <w:p w:rsidR="00722827" w:rsidRDefault="00722827" w:rsidP="00722827">
            <w:pPr>
              <w:keepNext/>
              <w:keepLines/>
            </w:pPr>
            <w:r>
              <w:t>CARLOTTA S. STAUFFER</w:t>
            </w:r>
          </w:p>
          <w:p w:rsidR="00722827" w:rsidRDefault="00722827" w:rsidP="00722827">
            <w:pPr>
              <w:keepNext/>
              <w:keepLines/>
            </w:pPr>
            <w:r>
              <w:t>Commission Clerk</w:t>
            </w:r>
          </w:p>
        </w:tc>
      </w:tr>
    </w:tbl>
    <w:p w:rsidR="00722827" w:rsidRDefault="00722827" w:rsidP="00722827">
      <w:pPr>
        <w:pStyle w:val="OrderSigInfo"/>
        <w:keepNext/>
        <w:keepLines/>
      </w:pPr>
      <w:r>
        <w:t>Florida Public Service Commission</w:t>
      </w:r>
    </w:p>
    <w:p w:rsidR="00722827" w:rsidRDefault="00722827" w:rsidP="00722827">
      <w:pPr>
        <w:pStyle w:val="OrderSigInfo"/>
        <w:keepNext/>
        <w:keepLines/>
      </w:pPr>
      <w:r>
        <w:t>2540 Shumard Oak Boulevard</w:t>
      </w:r>
    </w:p>
    <w:p w:rsidR="00722827" w:rsidRDefault="00722827" w:rsidP="00722827">
      <w:pPr>
        <w:pStyle w:val="OrderSigInfo"/>
        <w:keepNext/>
        <w:keepLines/>
      </w:pPr>
      <w:r>
        <w:t>Tallahassee, Florida  32399</w:t>
      </w:r>
    </w:p>
    <w:p w:rsidR="00722827" w:rsidRDefault="00722827" w:rsidP="00722827">
      <w:pPr>
        <w:pStyle w:val="OrderSigInfo"/>
        <w:keepNext/>
        <w:keepLines/>
      </w:pPr>
      <w:r>
        <w:t>(850) 413</w:t>
      </w:r>
      <w:r>
        <w:noBreakHyphen/>
        <w:t>6770</w:t>
      </w:r>
    </w:p>
    <w:p w:rsidR="00722827" w:rsidRDefault="00722827" w:rsidP="00722827">
      <w:pPr>
        <w:pStyle w:val="OrderSigInfo"/>
        <w:keepNext/>
        <w:keepLines/>
      </w:pPr>
      <w:r>
        <w:t>www.floridapsc.com</w:t>
      </w:r>
    </w:p>
    <w:p w:rsidR="00722827" w:rsidRDefault="00722827" w:rsidP="00722827">
      <w:pPr>
        <w:pStyle w:val="OrderSigInfo"/>
        <w:keepNext/>
        <w:keepLines/>
      </w:pPr>
    </w:p>
    <w:p w:rsidR="00722827" w:rsidRDefault="00722827" w:rsidP="00722827">
      <w:pPr>
        <w:pStyle w:val="OrderSigInfo"/>
        <w:keepNext/>
        <w:keepLines/>
      </w:pPr>
      <w:r>
        <w:t>Copies furnished:  A copy of this document is provided to the parties of record at the time of issuance and, if applicable, interested persons.</w:t>
      </w:r>
    </w:p>
    <w:p w:rsidR="00722827" w:rsidRDefault="00722827" w:rsidP="00722827">
      <w:pPr>
        <w:pStyle w:val="OrderBody"/>
        <w:keepNext/>
        <w:keepLines/>
      </w:pPr>
    </w:p>
    <w:p w:rsidR="00722827" w:rsidRDefault="00722827" w:rsidP="00722827">
      <w:pPr>
        <w:keepNext/>
        <w:keepLines/>
      </w:pPr>
    </w:p>
    <w:p w:rsidR="00722827" w:rsidRDefault="00722827" w:rsidP="00722827">
      <w:pPr>
        <w:keepNext/>
        <w:keepLines/>
      </w:pPr>
      <w:r>
        <w:t>JEV</w:t>
      </w:r>
    </w:p>
    <w:p w:rsidR="00722827" w:rsidRDefault="00722827" w:rsidP="00722827"/>
    <w:p w:rsidR="00133F65" w:rsidRPr="00133F65" w:rsidRDefault="00133F65" w:rsidP="00133F65">
      <w:pPr>
        <w:jc w:val="center"/>
        <w:rPr>
          <w:u w:val="single"/>
        </w:rPr>
      </w:pPr>
      <w:r w:rsidRPr="00133F65">
        <w:rPr>
          <w:u w:val="single"/>
        </w:rPr>
        <w:t>NOTICE OF FURTHER PROCEEDINGS OR JUDICIAL REVIEW</w:t>
      </w:r>
    </w:p>
    <w:p w:rsidR="00133F65" w:rsidRDefault="00133F65" w:rsidP="00133F65">
      <w:pPr>
        <w:pStyle w:val="CenterUnderline"/>
      </w:pPr>
    </w:p>
    <w:p w:rsidR="00C05BE3" w:rsidRDefault="00133F65" w:rsidP="00C05BE3">
      <w:pPr>
        <w:pStyle w:val="OrderBody"/>
      </w:pPr>
      <w:r>
        <w:tab/>
      </w:r>
      <w:r w:rsidR="00C05BE3">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5BE3" w:rsidRDefault="00C05BE3" w:rsidP="00C05BE3">
      <w:pPr>
        <w:pStyle w:val="OrderBody"/>
      </w:pPr>
    </w:p>
    <w:p w:rsidR="00C05BE3" w:rsidRDefault="00C05BE3" w:rsidP="00C05BE3">
      <w:pPr>
        <w:pStyle w:val="OrderBody"/>
      </w:pPr>
      <w:r>
        <w:tab/>
        <w:t>Mediation may be available on a case-by-case basis.  If mediation is conducted, it does not affect a substantially interested person's right to a hearing.</w:t>
      </w:r>
    </w:p>
    <w:p w:rsidR="00C05BE3" w:rsidRDefault="00C05BE3" w:rsidP="00C05BE3">
      <w:pPr>
        <w:pStyle w:val="OrderBody"/>
      </w:pPr>
    </w:p>
    <w:p w:rsidR="00133F65" w:rsidRDefault="00C05BE3" w:rsidP="00C05BE3">
      <w:pPr>
        <w:pStyle w:val="OrderBody"/>
      </w:pPr>
      <w:r>
        <w:tab/>
        <w:t>The Commission's decision on the tariff portion of this order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w:t>
      </w:r>
      <w:r w:rsidR="00133F65">
        <w:t xml:space="preserve"> </w:t>
      </w:r>
      <w:r w:rsidR="00844040">
        <w:rPr>
          <w:u w:val="single"/>
        </w:rPr>
        <w:t>October 27, 2015</w:t>
      </w:r>
      <w:r w:rsidR="00133F65">
        <w:t xml:space="preserve">.  </w:t>
      </w:r>
    </w:p>
    <w:p w:rsidR="00C05BE3" w:rsidRDefault="00C05BE3" w:rsidP="00C05BE3">
      <w:pPr>
        <w:pStyle w:val="OrderBody"/>
      </w:pPr>
    </w:p>
    <w:p w:rsidR="00C05BE3" w:rsidRDefault="00C05BE3" w:rsidP="00C05BE3">
      <w:pPr>
        <w:pStyle w:val="OrderBody"/>
        <w:ind w:firstLine="720"/>
      </w:pPr>
      <w:r>
        <w:t>In the absence of such a petition, this Order shall become final and effective upon the issuance of a Consummating Order.</w:t>
      </w:r>
    </w:p>
    <w:p w:rsidR="00C05BE3" w:rsidRDefault="00C05BE3" w:rsidP="00C05BE3">
      <w:pPr>
        <w:pStyle w:val="OrderBody"/>
      </w:pPr>
    </w:p>
    <w:p w:rsidR="00C05BE3" w:rsidRDefault="00C05BE3" w:rsidP="00C05BE3">
      <w:pPr>
        <w:pStyle w:val="OrderBody"/>
      </w:pPr>
      <w:r>
        <w:tab/>
        <w:t>Any objection or protest filed in this docket before the issuance date of this order is considered abandoned unless it satisfies the foregoing conditions and is renewed within the specified protest period.</w:t>
      </w:r>
    </w:p>
    <w:p w:rsidR="00C05BE3" w:rsidRDefault="00C05BE3" w:rsidP="00C05BE3">
      <w:pPr>
        <w:pStyle w:val="OrderBody"/>
      </w:pPr>
    </w:p>
    <w:p w:rsidR="00133F65" w:rsidRDefault="00133F65" w:rsidP="00133F65">
      <w:pPr>
        <w:pStyle w:val="OrderBody"/>
        <w:ind w:firstLine="720"/>
      </w:pPr>
      <w:r>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3F65" w:rsidRDefault="00133F65" w:rsidP="00133F65">
      <w:pPr>
        <w:pStyle w:val="OrderBody"/>
      </w:pPr>
    </w:p>
    <w:p w:rsidR="00133F65" w:rsidRPr="00133F65" w:rsidRDefault="00133F65" w:rsidP="00133F65">
      <w:pPr>
        <w:pStyle w:val="OrderBody"/>
        <w:sectPr w:rsidR="00133F65" w:rsidRPr="00133F65" w:rsidSect="00222CEF">
          <w:headerReference w:type="default" r:id="rId8"/>
          <w:pgSz w:w="12240" w:h="15840" w:code="1"/>
          <w:pgMar w:top="1440" w:right="1440" w:bottom="1440" w:left="1440" w:header="720" w:footer="720" w:gutter="0"/>
          <w:cols w:space="720"/>
          <w:titlePg/>
          <w:docGrid w:linePitch="360"/>
        </w:sectPr>
      </w:pPr>
    </w:p>
    <w:p w:rsidR="00FD7084" w:rsidRDefault="00FD7084"/>
    <w:p w:rsidR="00722827" w:rsidRPr="0033307D" w:rsidRDefault="00722827" w:rsidP="00722827">
      <w:pPr>
        <w:jc w:val="center"/>
      </w:pPr>
      <w:r w:rsidRPr="0033307D">
        <w:t>Orange Blossom Utilities, Inc.</w:t>
      </w:r>
    </w:p>
    <w:p w:rsidR="00722827" w:rsidRPr="0033307D" w:rsidRDefault="00722827" w:rsidP="00722827">
      <w:pPr>
        <w:jc w:val="center"/>
      </w:pPr>
      <w:r w:rsidRPr="0033307D">
        <w:t>Water and Wastewater Service Area</w:t>
      </w:r>
    </w:p>
    <w:p w:rsidR="00722827" w:rsidRPr="0033307D" w:rsidRDefault="00722827" w:rsidP="00722827">
      <w:pPr>
        <w:jc w:val="center"/>
      </w:pPr>
      <w:smartTag w:uri="urn:schemas-microsoft-com:office:smarttags" w:element="place">
        <w:smartTag w:uri="urn:schemas-microsoft-com:office:smarttags" w:element="PlaceName">
          <w:r w:rsidRPr="0033307D">
            <w:t>Sumter</w:t>
          </w:r>
        </w:smartTag>
        <w:r w:rsidRPr="0033307D">
          <w:t xml:space="preserve"> </w:t>
        </w:r>
        <w:smartTag w:uri="urn:schemas-microsoft-com:office:smarttags" w:element="PlaceType">
          <w:r w:rsidRPr="0033307D">
            <w:t>County</w:t>
          </w:r>
        </w:smartTag>
      </w:smartTag>
    </w:p>
    <w:p w:rsidR="00722827" w:rsidRPr="0033307D" w:rsidRDefault="00722827" w:rsidP="00722827">
      <w:pPr>
        <w:jc w:val="center"/>
      </w:pPr>
    </w:p>
    <w:p w:rsidR="00722827" w:rsidRPr="0033307D" w:rsidRDefault="00722827" w:rsidP="00722827">
      <w:pPr>
        <w:jc w:val="both"/>
      </w:pPr>
      <w:r w:rsidRPr="0033307D">
        <w:t>Section 15, Township 18 South, Range 23 East</w:t>
      </w:r>
    </w:p>
    <w:p w:rsidR="00722827" w:rsidRPr="0033307D" w:rsidRDefault="00722827" w:rsidP="00722827">
      <w:pPr>
        <w:jc w:val="both"/>
      </w:pPr>
    </w:p>
    <w:p w:rsidR="00722827" w:rsidRPr="0033307D" w:rsidRDefault="00722827" w:rsidP="00722827">
      <w:pPr>
        <w:jc w:val="both"/>
      </w:pPr>
      <w:r w:rsidRPr="0033307D">
        <w:t>Begin at a point 1442.39 feet East of the Northwest corner of Section 15, Township 18 South, Range 23 East, Sumter County, Florida; thence run S. 89˚59'25" E., 1442.24 feet; thence run S. 45˚03'32" E., 49.56 feet; thence run S. 00˚07'42" E., 14.99 feet; thence run S. 89˚59'45" E., 14.99 feet; thence run S. 45˚03'32" E., 14.16 feet; thence run S. 00˚07'39" E., 1271.93 feet; thence run S. 89˚55'20" W., 661.67 feet; thence run S. 00˚05'52" E., 609.07 feet to the Northerly right-of-way line of County Road No. 466; thence run along said Northerly right-of-way the following courses: N. 45˚43'48" W., 96.20 feet to the point of curvature of a curve concave Southwesterly having a radius of 1960.08 feet and a central angle of 26˚40'29"; thence run along the arc of said curve 912.54 feet said arc having a chord bearing of N. 59˚08'15" W.; and a chord distance of 904.32 feet; thence departing said right-of-way run N. 00˚01'25" E., 1411.10 feet to the point of beginning.</w:t>
      </w:r>
    </w:p>
    <w:p w:rsidR="00722827" w:rsidRPr="0033307D" w:rsidRDefault="00722827" w:rsidP="00722827">
      <w:pPr>
        <w:pStyle w:val="BodyText"/>
        <w:spacing w:after="0"/>
        <w:jc w:val="right"/>
      </w:pPr>
      <w:r w:rsidRPr="0033307D">
        <w:br w:type="page"/>
      </w:r>
    </w:p>
    <w:p w:rsidR="00722827" w:rsidRPr="0033307D" w:rsidRDefault="00722827" w:rsidP="00722827">
      <w:pPr>
        <w:jc w:val="right"/>
      </w:pPr>
    </w:p>
    <w:p w:rsidR="00722827" w:rsidRPr="0033307D" w:rsidRDefault="00722827" w:rsidP="00722827">
      <w:pPr>
        <w:spacing w:after="120"/>
        <w:jc w:val="center"/>
        <w:rPr>
          <w:b/>
        </w:rPr>
      </w:pPr>
      <w:r w:rsidRPr="0033307D">
        <w:rPr>
          <w:b/>
        </w:rPr>
        <w:t>FLORIDA PUBLIC SERVICE COMMISSION</w:t>
      </w:r>
    </w:p>
    <w:p w:rsidR="00722827" w:rsidRPr="0033307D" w:rsidRDefault="00722827" w:rsidP="00722827">
      <w:pPr>
        <w:jc w:val="center"/>
        <w:rPr>
          <w:b/>
        </w:rPr>
      </w:pPr>
      <w:r w:rsidRPr="0033307D">
        <w:rPr>
          <w:b/>
        </w:rPr>
        <w:t>Authorizes</w:t>
      </w:r>
    </w:p>
    <w:p w:rsidR="00722827" w:rsidRPr="0033307D" w:rsidRDefault="00722827" w:rsidP="00722827">
      <w:pPr>
        <w:jc w:val="center"/>
      </w:pPr>
    </w:p>
    <w:p w:rsidR="00722827" w:rsidRPr="0033307D" w:rsidRDefault="00722827" w:rsidP="00722827">
      <w:pPr>
        <w:jc w:val="center"/>
        <w:rPr>
          <w:b/>
        </w:rPr>
      </w:pPr>
      <w:r w:rsidRPr="0033307D">
        <w:rPr>
          <w:b/>
        </w:rPr>
        <w:t>Orange Blossom Utilities, Inc.</w:t>
      </w:r>
    </w:p>
    <w:p w:rsidR="00722827" w:rsidRPr="0033307D" w:rsidRDefault="00722827" w:rsidP="00722827">
      <w:pPr>
        <w:jc w:val="center"/>
        <w:rPr>
          <w:b/>
        </w:rPr>
      </w:pPr>
      <w:r w:rsidRPr="0033307D">
        <w:rPr>
          <w:b/>
        </w:rPr>
        <w:t xml:space="preserve">Pursuant to </w:t>
      </w:r>
    </w:p>
    <w:p w:rsidR="00722827" w:rsidRPr="0033307D" w:rsidRDefault="00722827" w:rsidP="00722827">
      <w:pPr>
        <w:jc w:val="center"/>
        <w:rPr>
          <w:b/>
        </w:rPr>
      </w:pPr>
      <w:r w:rsidRPr="0033307D">
        <w:rPr>
          <w:b/>
        </w:rPr>
        <w:t>Certificate Number 639-W</w:t>
      </w:r>
    </w:p>
    <w:p w:rsidR="00722827" w:rsidRPr="0033307D" w:rsidRDefault="00722827" w:rsidP="00722827">
      <w:pPr>
        <w:jc w:val="both"/>
      </w:pPr>
    </w:p>
    <w:p w:rsidR="00722827" w:rsidRPr="0033307D" w:rsidRDefault="00722827" w:rsidP="00722827">
      <w:pPr>
        <w:jc w:val="both"/>
      </w:pPr>
      <w:r w:rsidRPr="0033307D">
        <w:t xml:space="preserve">to provide 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22827" w:rsidRPr="0033307D" w:rsidRDefault="00722827" w:rsidP="00722827"/>
    <w:p w:rsidR="00722827" w:rsidRPr="0033307D" w:rsidRDefault="00722827" w:rsidP="00722827">
      <w:r w:rsidRPr="0033307D">
        <w:rPr>
          <w:u w:val="single"/>
        </w:rPr>
        <w:t>Order Number</w:t>
      </w:r>
      <w:r w:rsidRPr="0033307D">
        <w:tab/>
      </w:r>
      <w:r w:rsidRPr="0033307D">
        <w:tab/>
      </w:r>
      <w:r w:rsidRPr="0033307D">
        <w:tab/>
      </w:r>
      <w:r w:rsidRPr="0033307D">
        <w:rPr>
          <w:u w:val="single"/>
        </w:rPr>
        <w:t>Date Issued</w:t>
      </w:r>
      <w:r w:rsidRPr="0033307D">
        <w:tab/>
      </w:r>
      <w:r w:rsidRPr="0033307D">
        <w:rPr>
          <w:u w:val="single"/>
        </w:rPr>
        <w:t>Docket Number</w:t>
      </w:r>
      <w:r w:rsidRPr="0033307D">
        <w:tab/>
      </w:r>
      <w:r w:rsidRPr="0033307D">
        <w:rPr>
          <w:u w:val="single"/>
        </w:rPr>
        <w:t>Filing Type</w:t>
      </w:r>
    </w:p>
    <w:p w:rsidR="00722827" w:rsidRPr="0033307D" w:rsidRDefault="00722827" w:rsidP="00722827"/>
    <w:p w:rsidR="00722827" w:rsidRPr="0033307D" w:rsidRDefault="00722827" w:rsidP="00722827">
      <w:r w:rsidRPr="0033307D">
        <w:t>PSC-07-0951-FOF-WS</w:t>
      </w:r>
      <w:r w:rsidRPr="0033307D">
        <w:rPr>
          <w:b/>
        </w:rPr>
        <w:tab/>
      </w:r>
      <w:r w:rsidRPr="0033307D">
        <w:t>11/29/2007</w:t>
      </w:r>
      <w:r w:rsidRPr="0033307D">
        <w:rPr>
          <w:b/>
        </w:rPr>
        <w:tab/>
      </w:r>
      <w:r w:rsidRPr="0033307D">
        <w:t>070391-WS</w:t>
      </w:r>
      <w:r w:rsidRPr="0033307D">
        <w:tab/>
      </w:r>
      <w:r w:rsidRPr="0033307D">
        <w:tab/>
        <w:t>Original Certificate</w:t>
      </w:r>
    </w:p>
    <w:p w:rsidR="00722827" w:rsidRPr="0033307D" w:rsidRDefault="00722827" w:rsidP="00722827">
      <w:r w:rsidRPr="0033307D">
        <w:t>PSC-07-0391-PAA-WS</w:t>
      </w:r>
      <w:r w:rsidRPr="0033307D">
        <w:tab/>
        <w:t>04/24/2008</w:t>
      </w:r>
      <w:r w:rsidRPr="0033307D">
        <w:tab/>
        <w:t>070391-WS</w:t>
      </w:r>
      <w:r w:rsidRPr="0033307D">
        <w:tab/>
      </w:r>
      <w:r w:rsidRPr="0033307D">
        <w:tab/>
        <w:t>Initial Rates and Charges</w:t>
      </w:r>
    </w:p>
    <w:p w:rsidR="00722827" w:rsidRPr="00AB04C0" w:rsidRDefault="00AB04C0" w:rsidP="00722827">
      <w:r w:rsidRPr="00AB04C0">
        <w:t>PSC-15-0423-TRF-WS</w:t>
      </w:r>
      <w:r w:rsidR="00722827" w:rsidRPr="00AB04C0">
        <w:tab/>
      </w:r>
      <w:r w:rsidRPr="00AB04C0">
        <w:t>10/6/2015</w:t>
      </w:r>
      <w:r w:rsidR="00722827" w:rsidRPr="00AB04C0">
        <w:tab/>
        <w:t>150113-WS</w:t>
      </w:r>
      <w:r w:rsidR="00722827" w:rsidRPr="00AB04C0">
        <w:tab/>
      </w:r>
      <w:r w:rsidR="00722827" w:rsidRPr="00AB04C0">
        <w:tab/>
        <w:t xml:space="preserve">Transfer Majority </w:t>
      </w:r>
    </w:p>
    <w:p w:rsidR="00722827" w:rsidRPr="00222CEF" w:rsidRDefault="00722827" w:rsidP="00722827">
      <w:pPr>
        <w:ind w:left="5760" w:firstLine="720"/>
        <w:rPr>
          <w:b/>
          <w:highlight w:val="yellow"/>
        </w:rPr>
      </w:pPr>
      <w:r w:rsidRPr="00AB04C0">
        <w:t>Organizational Control</w:t>
      </w:r>
    </w:p>
    <w:p w:rsidR="00722827" w:rsidRPr="00222CEF" w:rsidRDefault="00722827" w:rsidP="00722827">
      <w:pPr>
        <w:rPr>
          <w:b/>
          <w:highlight w:val="yellow"/>
        </w:rPr>
      </w:pPr>
    </w:p>
    <w:p w:rsidR="00722827" w:rsidRPr="0033307D" w:rsidRDefault="00722827" w:rsidP="00722827">
      <w:pPr>
        <w:jc w:val="right"/>
      </w:pPr>
      <w:r w:rsidRPr="0033307D">
        <w:br w:type="page"/>
      </w:r>
    </w:p>
    <w:p w:rsidR="00722827" w:rsidRPr="0033307D" w:rsidRDefault="00722827" w:rsidP="00722827">
      <w:pPr>
        <w:jc w:val="center"/>
        <w:rPr>
          <w:b/>
        </w:rPr>
      </w:pPr>
    </w:p>
    <w:p w:rsidR="00722827" w:rsidRPr="0033307D" w:rsidRDefault="00722827" w:rsidP="00722827">
      <w:pPr>
        <w:spacing w:after="120"/>
        <w:jc w:val="center"/>
        <w:rPr>
          <w:b/>
        </w:rPr>
      </w:pPr>
      <w:r w:rsidRPr="0033307D">
        <w:rPr>
          <w:b/>
        </w:rPr>
        <w:t>FLORIDA PUBLIC SERVICE COMMISSION</w:t>
      </w:r>
    </w:p>
    <w:p w:rsidR="00722827" w:rsidRPr="0033307D" w:rsidRDefault="00722827" w:rsidP="00722827">
      <w:pPr>
        <w:jc w:val="center"/>
        <w:rPr>
          <w:b/>
        </w:rPr>
      </w:pPr>
      <w:r w:rsidRPr="0033307D">
        <w:rPr>
          <w:b/>
        </w:rPr>
        <w:t>Authorizes</w:t>
      </w:r>
    </w:p>
    <w:p w:rsidR="00722827" w:rsidRPr="0033307D" w:rsidRDefault="00722827" w:rsidP="00722827">
      <w:pPr>
        <w:jc w:val="center"/>
      </w:pPr>
    </w:p>
    <w:p w:rsidR="00722827" w:rsidRPr="0033307D" w:rsidRDefault="00722827" w:rsidP="00722827">
      <w:pPr>
        <w:jc w:val="center"/>
        <w:rPr>
          <w:b/>
        </w:rPr>
      </w:pPr>
      <w:r w:rsidRPr="0033307D">
        <w:rPr>
          <w:b/>
        </w:rPr>
        <w:t>Orange Blossom Utilities, Inc.</w:t>
      </w:r>
    </w:p>
    <w:p w:rsidR="00722827" w:rsidRPr="0033307D" w:rsidRDefault="00722827" w:rsidP="00722827">
      <w:pPr>
        <w:jc w:val="center"/>
        <w:rPr>
          <w:b/>
        </w:rPr>
      </w:pPr>
      <w:r w:rsidRPr="0033307D">
        <w:rPr>
          <w:b/>
        </w:rPr>
        <w:t xml:space="preserve">Pursuant to </w:t>
      </w:r>
    </w:p>
    <w:p w:rsidR="00722827" w:rsidRPr="0033307D" w:rsidRDefault="00722827" w:rsidP="00722827">
      <w:pPr>
        <w:jc w:val="center"/>
        <w:rPr>
          <w:b/>
        </w:rPr>
      </w:pPr>
      <w:r w:rsidRPr="0033307D">
        <w:rPr>
          <w:b/>
        </w:rPr>
        <w:t>Certificate Number 548-S</w:t>
      </w:r>
    </w:p>
    <w:p w:rsidR="00722827" w:rsidRPr="0033307D" w:rsidRDefault="00722827" w:rsidP="00722827">
      <w:pPr>
        <w:jc w:val="both"/>
      </w:pPr>
    </w:p>
    <w:p w:rsidR="00722827" w:rsidRPr="0033307D" w:rsidRDefault="00722827" w:rsidP="00722827">
      <w:pPr>
        <w:jc w:val="both"/>
      </w:pPr>
      <w:r w:rsidRPr="0033307D">
        <w:t xml:space="preserve">to provide wastewater service in Sumter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722827" w:rsidRPr="0033307D" w:rsidRDefault="00722827" w:rsidP="00722827"/>
    <w:p w:rsidR="00722827" w:rsidRPr="0033307D" w:rsidRDefault="00722827" w:rsidP="00722827">
      <w:r w:rsidRPr="0033307D">
        <w:rPr>
          <w:u w:val="single"/>
        </w:rPr>
        <w:t>Order Number</w:t>
      </w:r>
      <w:r w:rsidRPr="0033307D">
        <w:tab/>
      </w:r>
      <w:r w:rsidRPr="0033307D">
        <w:tab/>
      </w:r>
      <w:r w:rsidRPr="0033307D">
        <w:tab/>
      </w:r>
      <w:r w:rsidRPr="0033307D">
        <w:rPr>
          <w:u w:val="single"/>
        </w:rPr>
        <w:t>Date Issued</w:t>
      </w:r>
      <w:r w:rsidRPr="0033307D">
        <w:tab/>
      </w:r>
      <w:r w:rsidRPr="0033307D">
        <w:rPr>
          <w:u w:val="single"/>
        </w:rPr>
        <w:t>Docket Number</w:t>
      </w:r>
      <w:r w:rsidRPr="0033307D">
        <w:tab/>
      </w:r>
      <w:r w:rsidRPr="0033307D">
        <w:rPr>
          <w:u w:val="single"/>
        </w:rPr>
        <w:t>Filing Type</w:t>
      </w:r>
    </w:p>
    <w:p w:rsidR="00722827" w:rsidRPr="0033307D" w:rsidRDefault="00722827" w:rsidP="00722827"/>
    <w:p w:rsidR="00722827" w:rsidRPr="0033307D" w:rsidRDefault="00722827" w:rsidP="00722827">
      <w:r w:rsidRPr="0033307D">
        <w:t>PSC-07-0951-FOF-WS</w:t>
      </w:r>
      <w:r w:rsidRPr="0033307D">
        <w:rPr>
          <w:b/>
        </w:rPr>
        <w:tab/>
      </w:r>
      <w:r w:rsidRPr="0033307D">
        <w:t>11/29/2007</w:t>
      </w:r>
      <w:r w:rsidRPr="0033307D">
        <w:rPr>
          <w:b/>
        </w:rPr>
        <w:tab/>
      </w:r>
      <w:r w:rsidRPr="0033307D">
        <w:t>070391-WS</w:t>
      </w:r>
      <w:r w:rsidRPr="0033307D">
        <w:tab/>
      </w:r>
      <w:r w:rsidRPr="0033307D">
        <w:tab/>
        <w:t>Original Certificate</w:t>
      </w:r>
    </w:p>
    <w:p w:rsidR="00722827" w:rsidRPr="0033307D" w:rsidRDefault="00722827" w:rsidP="00722827">
      <w:r w:rsidRPr="0033307D">
        <w:t>PSC-07-0391-PAA-WS</w:t>
      </w:r>
      <w:r w:rsidRPr="0033307D">
        <w:tab/>
        <w:t>04/24/2008</w:t>
      </w:r>
      <w:r w:rsidRPr="0033307D">
        <w:tab/>
        <w:t>070391-WS</w:t>
      </w:r>
      <w:r w:rsidRPr="0033307D">
        <w:tab/>
      </w:r>
      <w:r w:rsidRPr="0033307D">
        <w:tab/>
        <w:t>Initial Rates and Charges</w:t>
      </w:r>
    </w:p>
    <w:p w:rsidR="00AB04C0" w:rsidRPr="00AB04C0" w:rsidRDefault="00AB04C0" w:rsidP="00AB04C0">
      <w:r w:rsidRPr="00AB04C0">
        <w:t>PSC-15-0423-TRF-WS</w:t>
      </w:r>
      <w:r w:rsidRPr="00AB04C0">
        <w:tab/>
        <w:t>10/6/2015</w:t>
      </w:r>
      <w:r w:rsidRPr="00AB04C0">
        <w:tab/>
        <w:t>150113-WS</w:t>
      </w:r>
      <w:r w:rsidRPr="00AB04C0">
        <w:tab/>
      </w:r>
      <w:r w:rsidRPr="00AB04C0">
        <w:tab/>
        <w:t xml:space="preserve">Transfer Majority </w:t>
      </w:r>
    </w:p>
    <w:p w:rsidR="00722827" w:rsidRPr="0033307D" w:rsidRDefault="00722827" w:rsidP="00722827">
      <w:pPr>
        <w:ind w:left="5760" w:firstLine="720"/>
        <w:rPr>
          <w:b/>
        </w:rPr>
      </w:pPr>
      <w:r w:rsidRPr="00AB04C0">
        <w:t>Organizational Control</w:t>
      </w:r>
    </w:p>
    <w:p w:rsidR="00722827" w:rsidRPr="0033307D" w:rsidRDefault="00722827" w:rsidP="00722827"/>
    <w:p w:rsidR="00722827" w:rsidRDefault="00722827" w:rsidP="00722827">
      <w:pPr>
        <w:pStyle w:val="OrderBody"/>
        <w:sectPr w:rsidR="00722827" w:rsidSect="00722827">
          <w:headerReference w:type="default" r:id="rId9"/>
          <w:pgSz w:w="12240" w:h="15840" w:code="1"/>
          <w:pgMar w:top="1440" w:right="1440" w:bottom="1440" w:left="1440" w:header="720" w:footer="720" w:gutter="0"/>
          <w:cols w:space="720"/>
          <w:docGrid w:linePitch="360"/>
        </w:sectPr>
      </w:pPr>
    </w:p>
    <w:p w:rsidR="00722827" w:rsidRPr="0033307D" w:rsidRDefault="00722827" w:rsidP="00722827">
      <w:pPr>
        <w:tabs>
          <w:tab w:val="left" w:pos="2580"/>
        </w:tabs>
        <w:jc w:val="center"/>
        <w:rPr>
          <w:rFonts w:ascii="Arial" w:hAnsi="Arial" w:cs="Arial"/>
          <w:b/>
        </w:rPr>
      </w:pPr>
      <w:r w:rsidRPr="0033307D">
        <w:rPr>
          <w:rFonts w:ascii="Arial" w:hAnsi="Arial" w:cs="Arial"/>
          <w:b/>
        </w:rPr>
        <w:lastRenderedPageBreak/>
        <w:t>Orange Blossom Utilities, Inc.</w:t>
      </w:r>
    </w:p>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33307D">
        <w:rPr>
          <w:rFonts w:ascii="Arial" w:hAnsi="Arial" w:cs="Arial"/>
          <w:b/>
        </w:rPr>
        <w:t>Monthly Water Rates</w:t>
      </w:r>
    </w:p>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307D">
              <w:rPr>
                <w:rFonts w:ascii="Arial" w:hAnsi="Arial" w:cs="Arial"/>
                <w:b/>
              </w:rPr>
              <w:t>Residential and General Service</w:t>
            </w:r>
          </w:p>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Base Facility Charge by Meter Size</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5/8” x 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$15.48</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$23.22</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1"</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$38.71</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1 1/2"</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$77.41</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2"</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$123.86</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3"</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$270.95</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$464.47</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6"</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$967.65</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8”</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$1,393.40</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Charge Per 1,000 gallons </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62"/>
              <w:jc w:val="right"/>
            </w:pPr>
            <w:r w:rsidRPr="0033307D">
              <w:t>$1.43</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bl>
      <w:tblPr>
        <w:tblW w:w="9540" w:type="dxa"/>
        <w:tblInd w:w="-72" w:type="dxa"/>
        <w:tblLook w:val="01E0" w:firstRow="1" w:lastRow="1" w:firstColumn="1" w:lastColumn="1" w:noHBand="0" w:noVBand="0"/>
      </w:tblPr>
      <w:tblGrid>
        <w:gridCol w:w="4500"/>
        <w:gridCol w:w="810"/>
        <w:gridCol w:w="4230"/>
      </w:tblGrid>
      <w:tr w:rsidR="00722827" w:rsidRPr="0033307D" w:rsidTr="00064E35">
        <w:tc>
          <w:tcPr>
            <w:tcW w:w="9540" w:type="dxa"/>
            <w:gridSpan w:val="3"/>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Initial Customer Deposit</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5310"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rPr>
                <w:rFonts w:ascii="Arial" w:hAnsi="Arial" w:cs="Arial"/>
                <w:b/>
              </w:rPr>
              <w:t>Residential Service and General Service</w:t>
            </w: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5/8” x 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$52.00</w:t>
            </w:r>
          </w:p>
        </w:tc>
      </w:tr>
    </w:tbl>
    <w:p w:rsidR="00722827" w:rsidRPr="0033307D" w:rsidRDefault="00722827" w:rsidP="00722827">
      <w:pPr>
        <w:jc w:val="center"/>
        <w:rPr>
          <w:b/>
        </w:rPr>
      </w:pPr>
    </w:p>
    <w:p w:rsidR="00722827" w:rsidRPr="0033307D" w:rsidRDefault="00722827" w:rsidP="00722827">
      <w:pPr>
        <w:jc w:val="center"/>
        <w:rPr>
          <w:b/>
        </w:rPr>
      </w:pPr>
      <w:r w:rsidRPr="0033307D">
        <w:rPr>
          <w:b/>
        </w:rPr>
        <w:t xml:space="preserve"> </w:t>
      </w:r>
    </w:p>
    <w:tbl>
      <w:tblPr>
        <w:tblW w:w="9648" w:type="dxa"/>
        <w:tblInd w:w="-72" w:type="dxa"/>
        <w:tblLook w:val="01E0" w:firstRow="1" w:lastRow="1" w:firstColumn="1" w:lastColumn="1" w:noHBand="0" w:noVBand="0"/>
      </w:tblPr>
      <w:tblGrid>
        <w:gridCol w:w="4474"/>
        <w:gridCol w:w="1952"/>
        <w:gridCol w:w="3222"/>
      </w:tblGrid>
      <w:tr w:rsidR="00722827" w:rsidRPr="0033307D" w:rsidTr="00722827">
        <w:tc>
          <w:tcPr>
            <w:tcW w:w="9648" w:type="dxa"/>
            <w:gridSpan w:val="3"/>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Miscellaneous Service Charges</w:t>
            </w:r>
          </w:p>
        </w:tc>
      </w:tr>
      <w:tr w:rsidR="00722827" w:rsidRPr="0033307D" w:rsidTr="00722827">
        <w:tc>
          <w:tcPr>
            <w:tcW w:w="447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52"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222"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c>
          <w:tcPr>
            <w:tcW w:w="447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33307D">
              <w:rPr>
                <w:u w:val="single"/>
              </w:rPr>
              <w:t xml:space="preserve">Business Hours </w:t>
            </w:r>
          </w:p>
        </w:tc>
        <w:tc>
          <w:tcPr>
            <w:tcW w:w="322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rPr>
                <w:u w:val="single"/>
              </w:rPr>
            </w:pPr>
            <w:r w:rsidRPr="0033307D">
              <w:rPr>
                <w:u w:val="single"/>
              </w:rPr>
              <w:t>After Hours</w:t>
            </w:r>
          </w:p>
        </w:tc>
      </w:tr>
      <w:tr w:rsidR="00722827" w:rsidRPr="0033307D" w:rsidTr="00722827">
        <w:tc>
          <w:tcPr>
            <w:tcW w:w="447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52"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222" w:type="dxa"/>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pPr>
          </w:p>
        </w:tc>
      </w:tr>
      <w:tr w:rsidR="00722827" w:rsidRPr="0033307D" w:rsidTr="00722827">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Initial Connection Charge</w:t>
            </w: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22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pPr>
            <w:r w:rsidRPr="0033307D">
              <w:t>$40.00</w:t>
            </w:r>
          </w:p>
        </w:tc>
      </w:tr>
      <w:tr w:rsidR="00722827" w:rsidRPr="0033307D" w:rsidTr="00722827">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Normal Reconnection Charge</w:t>
            </w: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22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pPr>
            <w:r w:rsidRPr="0033307D">
              <w:t>$40.00</w:t>
            </w:r>
          </w:p>
        </w:tc>
      </w:tr>
      <w:tr w:rsidR="00722827" w:rsidRPr="0033307D" w:rsidTr="00722827">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Violation Reconnection Charge</w:t>
            </w: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22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pPr>
            <w:r w:rsidRPr="0033307D">
              <w:t>$40.00</w:t>
            </w:r>
          </w:p>
        </w:tc>
      </w:tr>
      <w:tr w:rsidR="00722827" w:rsidRPr="0033307D" w:rsidTr="00722827">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Premises Visit Charge (in lieu of disconnection)</w:t>
            </w: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22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90"/>
              <w:jc w:val="right"/>
            </w:pPr>
            <w:r w:rsidRPr="0033307D">
              <w:t>$40.00</w:t>
            </w:r>
          </w:p>
        </w:tc>
      </w:tr>
      <w:tr w:rsidR="00722827" w:rsidRPr="0033307D" w:rsidTr="00722827">
        <w:trPr>
          <w:trHeight w:val="225"/>
        </w:trPr>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Late Payment Charge </w:t>
            </w:r>
          </w:p>
        </w:tc>
        <w:tc>
          <w:tcPr>
            <w:tcW w:w="195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 xml:space="preserve">      </w:t>
            </w:r>
          </w:p>
        </w:tc>
        <w:tc>
          <w:tcPr>
            <w:tcW w:w="322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                $6.00</w:t>
            </w:r>
          </w:p>
        </w:tc>
      </w:tr>
      <w:tr w:rsidR="00722827" w:rsidRPr="0033307D" w:rsidTr="00722827">
        <w:trPr>
          <w:trHeight w:val="315"/>
        </w:trPr>
        <w:tc>
          <w:tcPr>
            <w:tcW w:w="447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NSF Check Charge</w:t>
            </w:r>
          </w:p>
        </w:tc>
        <w:tc>
          <w:tcPr>
            <w:tcW w:w="5174"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               Pursuant to Florida Statute 832.08(5)</w:t>
            </w:r>
          </w:p>
        </w:tc>
      </w:tr>
    </w:tbl>
    <w:p w:rsidR="00722827" w:rsidRDefault="00722827">
      <w:r>
        <w:br w:type="page"/>
      </w:r>
    </w:p>
    <w:tbl>
      <w:tblPr>
        <w:tblW w:w="9540" w:type="dxa"/>
        <w:tblInd w:w="108" w:type="dxa"/>
        <w:tblLook w:val="01E0" w:firstRow="1" w:lastRow="1" w:firstColumn="1" w:lastColumn="1" w:noHBand="0" w:noVBand="0"/>
      </w:tblPr>
      <w:tblGrid>
        <w:gridCol w:w="4444"/>
        <w:gridCol w:w="52"/>
        <w:gridCol w:w="808"/>
        <w:gridCol w:w="726"/>
        <w:gridCol w:w="3492"/>
        <w:gridCol w:w="18"/>
      </w:tblGrid>
      <w:tr w:rsidR="00722827" w:rsidRPr="0033307D" w:rsidTr="00722827">
        <w:tc>
          <w:tcPr>
            <w:tcW w:w="444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586" w:type="dxa"/>
            <w:gridSpan w:val="3"/>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510"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rPr>
          <w:gridAfter w:val="1"/>
          <w:wAfter w:w="18" w:type="dxa"/>
        </w:trPr>
        <w:tc>
          <w:tcPr>
            <w:tcW w:w="9522" w:type="dxa"/>
            <w:gridSpan w:val="5"/>
            <w:hideMark/>
          </w:tcPr>
          <w:p w:rsidR="00722827" w:rsidRPr="0033307D" w:rsidRDefault="00722827" w:rsidP="00064E35">
            <w:pPr>
              <w:tabs>
                <w:tab w:val="left" w:pos="2580"/>
              </w:tabs>
              <w:jc w:val="center"/>
              <w:rPr>
                <w:rFonts w:ascii="Arial" w:hAnsi="Arial" w:cs="Arial"/>
                <w:b/>
              </w:rPr>
            </w:pPr>
            <w:r w:rsidRPr="0033307D">
              <w:rPr>
                <w:rFonts w:ascii="Arial" w:hAnsi="Arial" w:cs="Arial"/>
                <w:b/>
              </w:rPr>
              <w:t>Orange Blossom Utilities, Inc.</w:t>
            </w:r>
          </w:p>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Water Service Availability Charge</w:t>
            </w:r>
          </w:p>
        </w:tc>
      </w:tr>
      <w:tr w:rsidR="00722827" w:rsidRPr="0033307D" w:rsidTr="00722827">
        <w:trPr>
          <w:gridAfter w:val="1"/>
          <w:wAfter w:w="18" w:type="dxa"/>
        </w:trPr>
        <w:tc>
          <w:tcPr>
            <w:tcW w:w="4496"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307D">
              <w:rPr>
                <w:rFonts w:ascii="Arial" w:hAnsi="Arial" w:cs="Arial"/>
                <w:b/>
              </w:rPr>
              <w:t>Main Extension Charge</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 xml:space="preserve">Residential – Per ERC </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$1,440.00</w:t>
            </w: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All Other per gallon</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$4.80</w:t>
            </w:r>
          </w:p>
        </w:tc>
      </w:tr>
      <w:tr w:rsidR="00722827" w:rsidRPr="0033307D" w:rsidTr="00722827">
        <w:trPr>
          <w:gridAfter w:val="1"/>
          <w:wAfter w:w="18" w:type="dxa"/>
        </w:trPr>
        <w:tc>
          <w:tcPr>
            <w:tcW w:w="4496"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307D">
              <w:rPr>
                <w:rFonts w:ascii="Arial" w:hAnsi="Arial" w:cs="Arial"/>
                <w:b/>
              </w:rPr>
              <w:t>Meter Installation Charge</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33307D">
              <w:t>5/8” x 3/4”</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$150.00</w:t>
            </w: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33307D">
              <w:t>Over 5/8” x 3/4”</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Actual Cost</w:t>
            </w:r>
          </w:p>
        </w:tc>
      </w:tr>
      <w:tr w:rsidR="00722827" w:rsidRPr="0033307D" w:rsidTr="00722827">
        <w:trPr>
          <w:gridAfter w:val="1"/>
          <w:wAfter w:w="18" w:type="dxa"/>
        </w:trPr>
        <w:tc>
          <w:tcPr>
            <w:tcW w:w="4496"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307D">
              <w:rPr>
                <w:rFonts w:ascii="Arial" w:hAnsi="Arial" w:cs="Arial"/>
                <w:b/>
              </w:rPr>
              <w:t>Plant Capacity Charge</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 xml:space="preserve">Residential – Per ERC </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$560.00</w:t>
            </w:r>
          </w:p>
        </w:tc>
      </w:tr>
      <w:tr w:rsidR="00722827" w:rsidRPr="0033307D" w:rsidTr="00722827">
        <w:trPr>
          <w:gridAfter w:val="1"/>
          <w:wAfter w:w="18" w:type="dxa"/>
        </w:trPr>
        <w:tc>
          <w:tcPr>
            <w:tcW w:w="4496"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All Other per gallon</w:t>
            </w: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$1.87</w:t>
            </w:r>
          </w:p>
        </w:tc>
      </w:tr>
    </w:tbl>
    <w:p w:rsidR="00722827" w:rsidRDefault="00722827" w:rsidP="00722827">
      <w:pPr>
        <w:pStyle w:val="OrderBody"/>
        <w:sectPr w:rsidR="00722827" w:rsidSect="00722827">
          <w:headerReference w:type="default" r:id="rId10"/>
          <w:pgSz w:w="12240" w:h="15840" w:code="1"/>
          <w:pgMar w:top="1440" w:right="1440" w:bottom="1440" w:left="1440" w:header="720" w:footer="720" w:gutter="0"/>
          <w:cols w:space="720"/>
          <w:docGrid w:linePitch="360"/>
        </w:sectPr>
      </w:pPr>
    </w:p>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33307D">
        <w:rPr>
          <w:rFonts w:ascii="Arial" w:hAnsi="Arial" w:cs="Arial"/>
          <w:b/>
        </w:rPr>
        <w:lastRenderedPageBreak/>
        <w:t>Orange Blossom Utilities, Inc.</w:t>
      </w:r>
    </w:p>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33307D">
        <w:rPr>
          <w:rFonts w:ascii="Arial" w:hAnsi="Arial" w:cs="Arial"/>
          <w:b/>
        </w:rPr>
        <w:t>Monthly Wastewater Rates</w:t>
      </w:r>
    </w:p>
    <w:tbl>
      <w:tblPr>
        <w:tblW w:w="9540" w:type="dxa"/>
        <w:tblInd w:w="-72" w:type="dxa"/>
        <w:tblLook w:val="01E0" w:firstRow="1" w:lastRow="1" w:firstColumn="1" w:lastColumn="1" w:noHBand="0" w:noVBand="0"/>
      </w:tblPr>
      <w:tblGrid>
        <w:gridCol w:w="4500"/>
        <w:gridCol w:w="810"/>
        <w:gridCol w:w="4230"/>
      </w:tblGrid>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r w:rsidRPr="0033307D">
              <w:rPr>
                <w:rFonts w:ascii="Arial" w:hAnsi="Arial" w:cs="Arial"/>
                <w:b/>
              </w:rPr>
              <w:t>Residential Service</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Base Facility Charge – All Meter Sizes</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$26.47</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Charge Per 1,000 gallons</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$3.13</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10,000 gallon cap</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rPr>
      </w:pPr>
    </w:p>
    <w:tbl>
      <w:tblPr>
        <w:tblW w:w="9540" w:type="dxa"/>
        <w:tblInd w:w="-72" w:type="dxa"/>
        <w:tblLook w:val="01E0" w:firstRow="1" w:lastRow="1" w:firstColumn="1" w:lastColumn="1" w:noHBand="0" w:noVBand="0"/>
      </w:tblPr>
      <w:tblGrid>
        <w:gridCol w:w="4500"/>
        <w:gridCol w:w="810"/>
        <w:gridCol w:w="4230"/>
      </w:tblGrid>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33307D">
              <w:rPr>
                <w:rFonts w:ascii="Arial" w:hAnsi="Arial" w:cs="Arial"/>
                <w:b/>
              </w:rPr>
              <w:t>General Service</w:t>
            </w:r>
          </w:p>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Base Facility Charge by Meter Size</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5/8” x 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$26.47</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$39.72</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1"</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$66.19</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1 1/2"</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$132.39</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2"</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$211.82</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3"</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$463.37</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$794.34</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6"</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$1,654.88</w:t>
            </w: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8”</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$2,383.03</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Charge Per 1,000 gallons</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$3.13</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2827" w:rsidRPr="0033307D" w:rsidRDefault="00722827" w:rsidP="0072282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u w:val="single"/>
        </w:rPr>
      </w:pPr>
    </w:p>
    <w:tbl>
      <w:tblPr>
        <w:tblW w:w="9540" w:type="dxa"/>
        <w:tblInd w:w="-72" w:type="dxa"/>
        <w:tblLook w:val="01E0" w:firstRow="1" w:lastRow="1" w:firstColumn="1" w:lastColumn="1" w:noHBand="0" w:noVBand="0"/>
      </w:tblPr>
      <w:tblGrid>
        <w:gridCol w:w="4500"/>
        <w:gridCol w:w="810"/>
        <w:gridCol w:w="4230"/>
      </w:tblGrid>
      <w:tr w:rsidR="00722827" w:rsidRPr="0033307D" w:rsidTr="00064E35">
        <w:tc>
          <w:tcPr>
            <w:tcW w:w="9540" w:type="dxa"/>
            <w:gridSpan w:val="3"/>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Initial Customer Deposit</w:t>
            </w:r>
          </w:p>
        </w:tc>
      </w:tr>
      <w:tr w:rsidR="00722827" w:rsidRPr="0033307D" w:rsidTr="00064E35">
        <w:tc>
          <w:tcPr>
            <w:tcW w:w="450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5310"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rPr>
                <w:rFonts w:ascii="Arial" w:hAnsi="Arial" w:cs="Arial"/>
                <w:b/>
              </w:rPr>
              <w:t>Residential Service and General Service</w:t>
            </w:r>
          </w:p>
        </w:tc>
        <w:tc>
          <w:tcPr>
            <w:tcW w:w="423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50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5/8” x 3/4”</w:t>
            </w:r>
          </w:p>
        </w:tc>
        <w:tc>
          <w:tcPr>
            <w:tcW w:w="810"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$102.00</w:t>
            </w:r>
          </w:p>
        </w:tc>
      </w:tr>
    </w:tbl>
    <w:p w:rsidR="00722827" w:rsidRPr="0033307D" w:rsidRDefault="00722827" w:rsidP="00722827">
      <w:pPr>
        <w:jc w:val="center"/>
        <w:rPr>
          <w:b/>
        </w:rPr>
      </w:pPr>
    </w:p>
    <w:tbl>
      <w:tblPr>
        <w:tblW w:w="9702" w:type="dxa"/>
        <w:tblInd w:w="-72" w:type="dxa"/>
        <w:tblLook w:val="01E0" w:firstRow="1" w:lastRow="1" w:firstColumn="1" w:lastColumn="1" w:noHBand="0" w:noVBand="0"/>
      </w:tblPr>
      <w:tblGrid>
        <w:gridCol w:w="4444"/>
        <w:gridCol w:w="1856"/>
        <w:gridCol w:w="3402"/>
      </w:tblGrid>
      <w:tr w:rsidR="00722827" w:rsidRPr="0033307D" w:rsidTr="00064E35">
        <w:tc>
          <w:tcPr>
            <w:tcW w:w="9702" w:type="dxa"/>
            <w:gridSpan w:val="3"/>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Miscellaneous Service Charges</w:t>
            </w:r>
          </w:p>
        </w:tc>
      </w:tr>
      <w:tr w:rsidR="00722827" w:rsidRPr="0033307D" w:rsidTr="00064E35">
        <w:tc>
          <w:tcPr>
            <w:tcW w:w="444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56"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402"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44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33307D">
              <w:rPr>
                <w:u w:val="single"/>
              </w:rPr>
              <w:t xml:space="preserve">Business Hours </w:t>
            </w:r>
          </w:p>
        </w:tc>
        <w:tc>
          <w:tcPr>
            <w:tcW w:w="340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rPr>
                <w:u w:val="single"/>
              </w:rPr>
            </w:pPr>
            <w:r w:rsidRPr="0033307D">
              <w:rPr>
                <w:u w:val="single"/>
              </w:rPr>
              <w:t>After Hours</w:t>
            </w:r>
          </w:p>
        </w:tc>
      </w:tr>
      <w:tr w:rsidR="00722827" w:rsidRPr="0033307D" w:rsidTr="00064E35">
        <w:tc>
          <w:tcPr>
            <w:tcW w:w="4444"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856"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402" w:type="dxa"/>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pP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Initial Connection Charge</w:t>
            </w: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40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pPr>
            <w:r w:rsidRPr="0033307D">
              <w:t>$40.00</w:t>
            </w: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Normal Reconnection Charge</w:t>
            </w: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40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pPr>
            <w:r w:rsidRPr="0033307D">
              <w:t>$40.00</w:t>
            </w: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33307D">
              <w:t>Violation Reconnection Charge</w:t>
            </w: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Actual Cost</w:t>
            </w:r>
          </w:p>
        </w:tc>
        <w:tc>
          <w:tcPr>
            <w:tcW w:w="340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pPr>
            <w:r w:rsidRPr="0033307D">
              <w:t>Actual Cost</w:t>
            </w: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Premises Visit Charge (in lieu of disconnection)</w:t>
            </w: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$30.00</w:t>
            </w:r>
          </w:p>
        </w:tc>
        <w:tc>
          <w:tcPr>
            <w:tcW w:w="3402" w:type="dxa"/>
            <w:hideMark/>
          </w:tcPr>
          <w:p w:rsidR="00722827" w:rsidRPr="0033307D" w:rsidRDefault="00722827" w:rsidP="00DB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right="144"/>
              <w:jc w:val="right"/>
            </w:pPr>
            <w:r w:rsidRPr="0033307D">
              <w:t>$40.00</w:t>
            </w: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Late Payment Charge</w:t>
            </w:r>
          </w:p>
        </w:tc>
        <w:tc>
          <w:tcPr>
            <w:tcW w:w="1856"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3307D">
              <w:t xml:space="preserve">           </w:t>
            </w:r>
          </w:p>
        </w:tc>
        <w:tc>
          <w:tcPr>
            <w:tcW w:w="3402"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                $6.00</w:t>
            </w:r>
          </w:p>
        </w:tc>
      </w:tr>
      <w:tr w:rsidR="00722827" w:rsidRPr="0033307D" w:rsidTr="00064E35">
        <w:tc>
          <w:tcPr>
            <w:tcW w:w="4444" w:type="dxa"/>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NSF Check Charge</w:t>
            </w:r>
          </w:p>
        </w:tc>
        <w:tc>
          <w:tcPr>
            <w:tcW w:w="5258" w:type="dxa"/>
            <w:gridSpan w:val="2"/>
            <w:hideMark/>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3307D">
              <w:t xml:space="preserve">             Pursuant to Florida Statute 832.08(5)</w:t>
            </w:r>
          </w:p>
        </w:tc>
      </w:tr>
      <w:tr w:rsidR="00722827" w:rsidRPr="0033307D" w:rsidTr="00064E35">
        <w:tc>
          <w:tcPr>
            <w:tcW w:w="9702" w:type="dxa"/>
            <w:gridSpan w:val="3"/>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722827" w:rsidRDefault="00722827" w:rsidP="00722827">
      <w:pPr>
        <w:pStyle w:val="OrderBody"/>
      </w:pPr>
    </w:p>
    <w:p w:rsidR="00722827" w:rsidRPr="00722827" w:rsidRDefault="00722827" w:rsidP="00722827">
      <w:pPr>
        <w:pStyle w:val="OrderBody"/>
      </w:pPr>
      <w:r>
        <w:br w:type="page"/>
      </w:r>
    </w:p>
    <w:tbl>
      <w:tblPr>
        <w:tblW w:w="9702" w:type="dxa"/>
        <w:tblLook w:val="01E0" w:firstRow="1" w:lastRow="1" w:firstColumn="1" w:lastColumn="1" w:noHBand="0" w:noVBand="0"/>
      </w:tblPr>
      <w:tblGrid>
        <w:gridCol w:w="4676"/>
        <w:gridCol w:w="808"/>
        <w:gridCol w:w="4074"/>
        <w:gridCol w:w="144"/>
      </w:tblGrid>
      <w:tr w:rsidR="00722827" w:rsidRPr="0033307D" w:rsidTr="00064E35">
        <w:tc>
          <w:tcPr>
            <w:tcW w:w="9702" w:type="dxa"/>
            <w:gridSpan w:val="4"/>
            <w:hideMark/>
          </w:tcPr>
          <w:p w:rsidR="00722827" w:rsidRPr="0033307D" w:rsidRDefault="00722827" w:rsidP="00064E35">
            <w:pPr>
              <w:tabs>
                <w:tab w:val="left" w:pos="2580"/>
              </w:tabs>
              <w:jc w:val="center"/>
              <w:rPr>
                <w:rFonts w:ascii="Arial" w:hAnsi="Arial" w:cs="Arial"/>
                <w:b/>
              </w:rPr>
            </w:pPr>
            <w:r w:rsidRPr="0033307D">
              <w:rPr>
                <w:rFonts w:ascii="Arial" w:hAnsi="Arial" w:cs="Arial"/>
                <w:b/>
              </w:rPr>
              <w:lastRenderedPageBreak/>
              <w:t>Orange Blossom Utilities, Inc.</w:t>
            </w:r>
          </w:p>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33307D">
              <w:rPr>
                <w:rFonts w:ascii="Arial" w:hAnsi="Arial" w:cs="Arial"/>
                <w:b/>
              </w:rPr>
              <w:t>Wastewater Service Availability Charges</w:t>
            </w:r>
          </w:p>
        </w:tc>
      </w:tr>
      <w:tr w:rsidR="00722827" w:rsidRPr="0033307D" w:rsidTr="00064E35">
        <w:tc>
          <w:tcPr>
            <w:tcW w:w="4676"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808" w:type="dxa"/>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gridSpan w:val="2"/>
          </w:tcPr>
          <w:p w:rsidR="00722827" w:rsidRPr="0033307D" w:rsidRDefault="00722827" w:rsidP="00064E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722827" w:rsidRPr="0033307D" w:rsidTr="00064E35">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08"/>
              <w:rPr>
                <w:rFonts w:ascii="Arial" w:hAnsi="Arial" w:cs="Arial"/>
                <w:b/>
              </w:rPr>
            </w:pPr>
            <w:r w:rsidRPr="0033307D">
              <w:rPr>
                <w:rFonts w:ascii="Arial" w:hAnsi="Arial" w:cs="Arial"/>
                <w:b/>
              </w:rPr>
              <w:t>Main Extension Charge</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218" w:type="dxa"/>
            <w:gridSpan w:val="2"/>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p>
        </w:tc>
      </w:tr>
      <w:tr w:rsidR="00722827" w:rsidRPr="0033307D" w:rsidTr="00DB2F76">
        <w:trPr>
          <w:gridAfter w:val="1"/>
          <w:wAfter w:w="144" w:type="dxa"/>
        </w:trPr>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08"/>
            </w:pPr>
            <w:r w:rsidRPr="0033307D">
              <w:t xml:space="preserve">Residential – Per ERC </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hideMark/>
          </w:tcPr>
          <w:p w:rsidR="00722827" w:rsidRPr="0033307D" w:rsidRDefault="00722827" w:rsidP="00DB2F76">
            <w:pPr>
              <w:tabs>
                <w:tab w:val="left" w:pos="-720"/>
                <w:tab w:val="left" w:pos="-198"/>
                <w:tab w:val="left" w:pos="720"/>
                <w:tab w:val="left" w:pos="1440"/>
                <w:tab w:val="left" w:pos="2160"/>
                <w:tab w:val="left" w:pos="2880"/>
                <w:tab w:val="left" w:pos="3600"/>
                <w:tab w:val="left" w:pos="3696"/>
                <w:tab w:val="left" w:pos="4320"/>
                <w:tab w:val="left" w:pos="5040"/>
                <w:tab w:val="left" w:pos="5760"/>
                <w:tab w:val="left" w:pos="6480"/>
                <w:tab w:val="left" w:pos="7200"/>
                <w:tab w:val="left" w:pos="7740"/>
                <w:tab w:val="left" w:pos="8640"/>
                <w:tab w:val="left" w:pos="9360"/>
                <w:tab w:val="left" w:pos="10080"/>
              </w:tabs>
              <w:ind w:left="-108" w:right="54"/>
              <w:jc w:val="right"/>
            </w:pPr>
            <w:r w:rsidRPr="0033307D">
              <w:t>$4,450.00</w:t>
            </w:r>
          </w:p>
        </w:tc>
      </w:tr>
      <w:tr w:rsidR="00722827" w:rsidRPr="0033307D" w:rsidTr="00DB2F76">
        <w:trPr>
          <w:gridAfter w:val="1"/>
          <w:wAfter w:w="144" w:type="dxa"/>
        </w:trPr>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pPr>
            <w:r w:rsidRPr="0033307D">
              <w:t>All Other per gallon</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r w:rsidRPr="0033307D">
              <w:t>$14.83</w:t>
            </w:r>
          </w:p>
        </w:tc>
      </w:tr>
      <w:tr w:rsidR="00722827" w:rsidRPr="0033307D" w:rsidTr="00DB2F76">
        <w:trPr>
          <w:gridAfter w:val="1"/>
          <w:wAfter w:w="144" w:type="dxa"/>
        </w:trPr>
        <w:tc>
          <w:tcPr>
            <w:tcW w:w="4676"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08"/>
              <w:rPr>
                <w:b/>
                <w:u w:val="single"/>
              </w:rPr>
            </w:pP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p>
        </w:tc>
      </w:tr>
      <w:tr w:rsidR="00722827" w:rsidRPr="0033307D" w:rsidTr="00DB2F76">
        <w:trPr>
          <w:gridAfter w:val="1"/>
          <w:wAfter w:w="144" w:type="dxa"/>
        </w:trPr>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08"/>
              <w:rPr>
                <w:rFonts w:ascii="Arial" w:hAnsi="Arial" w:cs="Arial"/>
                <w:b/>
              </w:rPr>
            </w:pPr>
            <w:r w:rsidRPr="0033307D">
              <w:rPr>
                <w:rFonts w:ascii="Arial" w:hAnsi="Arial" w:cs="Arial"/>
                <w:b/>
              </w:rPr>
              <w:t>Plant Capacity Charge</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p>
        </w:tc>
      </w:tr>
      <w:tr w:rsidR="00722827" w:rsidRPr="0033307D" w:rsidTr="00DB2F76">
        <w:trPr>
          <w:gridAfter w:val="1"/>
          <w:wAfter w:w="144" w:type="dxa"/>
        </w:trPr>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ind w:left="-108"/>
            </w:pPr>
            <w:r w:rsidRPr="0033307D">
              <w:t xml:space="preserve">Residential – Per ERC </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r w:rsidRPr="0033307D">
              <w:t>$1,050.00</w:t>
            </w:r>
          </w:p>
        </w:tc>
      </w:tr>
      <w:tr w:rsidR="00722827" w:rsidRPr="00570DD5" w:rsidTr="00DB2F76">
        <w:trPr>
          <w:gridAfter w:val="1"/>
          <w:wAfter w:w="144" w:type="dxa"/>
        </w:trPr>
        <w:tc>
          <w:tcPr>
            <w:tcW w:w="4676" w:type="dxa"/>
            <w:hideMark/>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pPr>
            <w:r w:rsidRPr="0033307D">
              <w:t>All Other per gallon</w:t>
            </w:r>
          </w:p>
        </w:tc>
        <w:tc>
          <w:tcPr>
            <w:tcW w:w="808" w:type="dxa"/>
          </w:tcPr>
          <w:p w:rsidR="00722827" w:rsidRPr="0033307D"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jc w:val="right"/>
            </w:pPr>
          </w:p>
        </w:tc>
        <w:tc>
          <w:tcPr>
            <w:tcW w:w="4074" w:type="dxa"/>
            <w:hideMark/>
          </w:tcPr>
          <w:p w:rsidR="00722827" w:rsidRPr="00570DD5" w:rsidRDefault="00722827" w:rsidP="00064E35">
            <w:pPr>
              <w:tabs>
                <w:tab w:val="left" w:pos="-720"/>
                <w:tab w:val="left" w:pos="-198"/>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ind w:left="-108" w:right="54"/>
              <w:jc w:val="right"/>
            </w:pPr>
            <w:r w:rsidRPr="0033307D">
              <w:t>$3.50</w:t>
            </w:r>
          </w:p>
        </w:tc>
      </w:tr>
    </w:tbl>
    <w:p w:rsidR="00722827" w:rsidRPr="00722827" w:rsidRDefault="00722827" w:rsidP="00722827">
      <w:pPr>
        <w:pStyle w:val="OrderBody"/>
      </w:pPr>
    </w:p>
    <w:sectPr w:rsidR="00722827" w:rsidRPr="00722827" w:rsidSect="00722827">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827" w:rsidRDefault="00722827">
      <w:r>
        <w:separator/>
      </w:r>
    </w:p>
  </w:endnote>
  <w:endnote w:type="continuationSeparator" w:id="0">
    <w:p w:rsidR="00722827" w:rsidRDefault="0072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827" w:rsidRDefault="00722827">
      <w:r>
        <w:separator/>
      </w:r>
    </w:p>
  </w:footnote>
  <w:footnote w:type="continuationSeparator" w:id="0">
    <w:p w:rsidR="00722827" w:rsidRDefault="00722827">
      <w:r>
        <w:continuationSeparator/>
      </w:r>
    </w:p>
  </w:footnote>
  <w:footnote w:id="1">
    <w:p w:rsidR="00722827" w:rsidRDefault="00722827" w:rsidP="00722827">
      <w:pPr>
        <w:pStyle w:val="FootnoteText"/>
      </w:pPr>
      <w:r>
        <w:rPr>
          <w:rStyle w:val="FootnoteReference"/>
        </w:rPr>
        <w:footnoteRef/>
      </w:r>
      <w:r>
        <w:t xml:space="preserve"> </w:t>
      </w:r>
      <w:r w:rsidR="00D6652E">
        <w:t xml:space="preserve"> </w:t>
      </w:r>
      <w:r>
        <w:t>Document No. 03862-15, p. 2.</w:t>
      </w:r>
    </w:p>
  </w:footnote>
  <w:footnote w:id="2">
    <w:p w:rsidR="00722827" w:rsidRPr="00552F17" w:rsidRDefault="00722827" w:rsidP="00722827">
      <w:pPr>
        <w:autoSpaceDE w:val="0"/>
        <w:autoSpaceDN w:val="0"/>
        <w:adjustRightInd w:val="0"/>
        <w:jc w:val="both"/>
        <w:rPr>
          <w:color w:val="212121"/>
          <w:sz w:val="23"/>
          <w:szCs w:val="23"/>
        </w:rPr>
      </w:pPr>
      <w:r>
        <w:rPr>
          <w:rStyle w:val="FootnoteReference"/>
        </w:rPr>
        <w:footnoteRef/>
      </w:r>
      <w:r>
        <w:rPr>
          <w:sz w:val="20"/>
          <w:szCs w:val="20"/>
        </w:rPr>
        <w:t xml:space="preserve"> </w:t>
      </w:r>
      <w:r w:rsidRPr="00552F17">
        <w:rPr>
          <w:sz w:val="20"/>
          <w:szCs w:val="20"/>
        </w:rPr>
        <w:t>Order</w:t>
      </w:r>
      <w:r>
        <w:rPr>
          <w:sz w:val="20"/>
          <w:szCs w:val="20"/>
        </w:rPr>
        <w:t xml:space="preserve"> No.</w:t>
      </w:r>
      <w:r w:rsidRPr="00552F17">
        <w:rPr>
          <w:sz w:val="20"/>
          <w:szCs w:val="20"/>
        </w:rPr>
        <w:t xml:space="preserve"> PSC-08-0255-PAA-WS, issued April 24, 2008, in Docket No. 070391-WS, </w:t>
      </w:r>
      <w:r w:rsidRPr="00722827">
        <w:rPr>
          <w:sz w:val="20"/>
          <w:szCs w:val="20"/>
          <w:u w:val="single"/>
        </w:rPr>
        <w:t xml:space="preserve">In re: </w:t>
      </w:r>
      <w:r w:rsidRPr="00722827">
        <w:rPr>
          <w:color w:val="212121"/>
          <w:sz w:val="20"/>
          <w:szCs w:val="20"/>
          <w:u w:val="single"/>
        </w:rPr>
        <w:t>Application for certificates to provide water and wastewater service in Sumter County by Orange Blossom Utilities, Inc.</w:t>
      </w:r>
    </w:p>
  </w:footnote>
  <w:footnote w:id="3">
    <w:p w:rsidR="00D2319A" w:rsidRPr="00B05058" w:rsidRDefault="00D2319A" w:rsidP="00D2319A">
      <w:pPr>
        <w:pStyle w:val="FootnoteText"/>
      </w:pPr>
      <w:r>
        <w:rPr>
          <w:rStyle w:val="FootnoteReference"/>
        </w:rPr>
        <w:footnoteRef/>
      </w:r>
      <w:r>
        <w:t xml:space="preserve"> </w:t>
      </w:r>
      <w:r w:rsidRPr="00CA0A5D">
        <w:t>Order No</w:t>
      </w:r>
      <w:r w:rsidR="000E574F">
        <w:t>s</w:t>
      </w:r>
      <w:r w:rsidRPr="00CA0A5D">
        <w:t>. PSC-14-0198-TRF-SU, issued May 2, 2014, in Docket No. 140030-SU,</w:t>
      </w:r>
      <w:r w:rsidRPr="00B05058">
        <w:t xml:space="preserve"> </w:t>
      </w:r>
      <w:r w:rsidRPr="00722827">
        <w:rPr>
          <w:u w:val="single"/>
        </w:rPr>
        <w:t>In re: Request for approval to amend Miscellaneous Service charges to include all NSF charges by Environmental Protection Systems of Pine Island, Inc.</w:t>
      </w:r>
      <w:r w:rsidRPr="00B05058">
        <w:t xml:space="preserve">, and PSC-13-0646-PAA-WU, issued November 1, 2013, in Docket No. 130025-WU, </w:t>
      </w:r>
      <w:r w:rsidRPr="00722827">
        <w:rPr>
          <w:u w:val="single"/>
        </w:rPr>
        <w:t>In re: Application for increase in water rates in Highlands County by Placid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76" w:rsidRDefault="00722827" w:rsidP="00DB2F76">
    <w:pPr>
      <w:pStyle w:val="OrderHeader"/>
      <w:tabs>
        <w:tab w:val="clear" w:pos="4320"/>
        <w:tab w:val="clear" w:pos="8640"/>
        <w:tab w:val="left" w:pos="6660"/>
        <w:tab w:val="right" w:pos="9360"/>
      </w:tabs>
    </w:pPr>
    <w:r>
      <w:t>ORDER NO</w:t>
    </w:r>
    <w:r w:rsidR="00F65E70">
      <w:t>.</w:t>
    </w:r>
    <w:r w:rsidR="00275E95">
      <w:fldChar w:fldCharType="begin"/>
    </w:r>
    <w:r w:rsidR="00275E95">
      <w:instrText xml:space="preserve"> REF OrderNo0423 </w:instrText>
    </w:r>
    <w:r w:rsidR="00275E95">
      <w:fldChar w:fldCharType="separate"/>
    </w:r>
    <w:r w:rsidR="00275E95">
      <w:t>PSC-15-0423-TRF-WS</w:t>
    </w:r>
    <w:r w:rsidR="00275E95">
      <w:fldChar w:fldCharType="end"/>
    </w:r>
    <w:r w:rsidR="00DB2F76">
      <w:tab/>
    </w:r>
  </w:p>
  <w:p w:rsidR="00722827" w:rsidRDefault="00722827">
    <w:pPr>
      <w:pStyle w:val="OrderHeader"/>
    </w:pPr>
    <w:r>
      <w:t>DOCKET NO. 150113-WS</w:t>
    </w:r>
  </w:p>
  <w:p w:rsidR="00722827" w:rsidRDefault="007228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E95">
      <w:rPr>
        <w:rStyle w:val="PageNumber"/>
        <w:noProof/>
      </w:rPr>
      <w:t>4</w:t>
    </w:r>
    <w:r>
      <w:rPr>
        <w:rStyle w:val="PageNumber"/>
      </w:rPr>
      <w:fldChar w:fldCharType="end"/>
    </w:r>
  </w:p>
  <w:p w:rsidR="00DB2F76" w:rsidRDefault="00DB2F76">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76" w:rsidRDefault="00DB2F76" w:rsidP="00DB2F76">
    <w:pPr>
      <w:pStyle w:val="OrderHeader"/>
      <w:tabs>
        <w:tab w:val="clear" w:pos="4320"/>
        <w:tab w:val="clear" w:pos="8640"/>
        <w:tab w:val="left" w:pos="6660"/>
        <w:tab w:val="right" w:pos="9360"/>
      </w:tabs>
    </w:pPr>
    <w:r>
      <w:t xml:space="preserve">ORDER NO. </w:t>
    </w:r>
    <w:fldSimple w:instr=" REF OrderNo0423 ">
      <w:r w:rsidR="00275E95">
        <w:t>PSC-15-0423-TRF-WS</w:t>
      </w:r>
    </w:fldSimple>
    <w:r>
      <w:tab/>
    </w:r>
    <w:r>
      <w:tab/>
      <w:t>Attachment A</w:t>
    </w:r>
  </w:p>
  <w:p w:rsidR="00DB2F76" w:rsidRDefault="00DB2F76">
    <w:pPr>
      <w:pStyle w:val="OrderHeader"/>
    </w:pPr>
    <w:r>
      <w:t>DOCKET NO. 150113-WS</w:t>
    </w:r>
  </w:p>
  <w:p w:rsidR="00DB2F76" w:rsidRDefault="00DB2F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E95">
      <w:rPr>
        <w:rStyle w:val="PageNumber"/>
        <w:noProof/>
      </w:rPr>
      <w:t>9</w:t>
    </w:r>
    <w:r>
      <w:rPr>
        <w:rStyle w:val="PageNumber"/>
      </w:rPr>
      <w:fldChar w:fldCharType="end"/>
    </w:r>
  </w:p>
  <w:p w:rsidR="00DB2F76" w:rsidRDefault="00DB2F76">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27" w:rsidRDefault="00722827" w:rsidP="00722827">
    <w:pPr>
      <w:pStyle w:val="OrderHeader"/>
      <w:tabs>
        <w:tab w:val="clear" w:pos="4320"/>
        <w:tab w:val="clear" w:pos="8640"/>
        <w:tab w:val="right" w:pos="9360"/>
      </w:tabs>
    </w:pPr>
    <w:r>
      <w:t xml:space="preserve">ORDER NO. </w:t>
    </w:r>
    <w:fldSimple w:instr=" REF OrderNo0423 ">
      <w:r w:rsidR="00275E95">
        <w:t>PSC-15-0423-TRF-WS</w:t>
      </w:r>
    </w:fldSimple>
    <w:r>
      <w:tab/>
      <w:t>Schedule No. 1</w:t>
    </w:r>
  </w:p>
  <w:p w:rsidR="00722827" w:rsidRDefault="00722827">
    <w:pPr>
      <w:pStyle w:val="OrderHeader"/>
    </w:pPr>
    <w:r>
      <w:t>DOCKET NO. 150113-WS</w:t>
    </w:r>
  </w:p>
  <w:p w:rsidR="00722827" w:rsidRDefault="007228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E95">
      <w:rPr>
        <w:rStyle w:val="PageNumber"/>
        <w:noProof/>
      </w:rPr>
      <w:t>11</w:t>
    </w:r>
    <w:r>
      <w:rPr>
        <w:rStyle w:val="PageNumber"/>
      </w:rPr>
      <w:fldChar w:fldCharType="end"/>
    </w:r>
  </w:p>
  <w:p w:rsidR="00722827" w:rsidRDefault="00722827">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827" w:rsidRDefault="00722827" w:rsidP="00722827">
    <w:pPr>
      <w:pStyle w:val="OrderHeader"/>
      <w:tabs>
        <w:tab w:val="clear" w:pos="4320"/>
        <w:tab w:val="clear" w:pos="8640"/>
        <w:tab w:val="right" w:pos="9360"/>
      </w:tabs>
    </w:pPr>
    <w:r>
      <w:t xml:space="preserve">ORDER NO. </w:t>
    </w:r>
    <w:fldSimple w:instr=" REF OrderNo0423 ">
      <w:r w:rsidR="00275E95">
        <w:t>PSC-15-0423-TRF-WS</w:t>
      </w:r>
    </w:fldSimple>
    <w:r>
      <w:tab/>
      <w:t>Schedule No. 2</w:t>
    </w:r>
  </w:p>
  <w:p w:rsidR="00722827" w:rsidRDefault="00722827">
    <w:pPr>
      <w:pStyle w:val="OrderHeader"/>
    </w:pPr>
    <w:r>
      <w:t>DOCKET NO. 150113-WS</w:t>
    </w:r>
  </w:p>
  <w:p w:rsidR="00722827" w:rsidRDefault="0072282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5E95">
      <w:rPr>
        <w:rStyle w:val="PageNumber"/>
        <w:noProof/>
      </w:rPr>
      <w:t>13</w:t>
    </w:r>
    <w:r>
      <w:rPr>
        <w:rStyle w:val="PageNumber"/>
      </w:rPr>
      <w:fldChar w:fldCharType="end"/>
    </w:r>
  </w:p>
  <w:p w:rsidR="00722827" w:rsidRDefault="0072282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3-WS"/>
  </w:docVars>
  <w:rsids>
    <w:rsidRoot w:val="00722827"/>
    <w:rsid w:val="000022B8"/>
    <w:rsid w:val="00053AB9"/>
    <w:rsid w:val="00056229"/>
    <w:rsid w:val="00065FC2"/>
    <w:rsid w:val="00090AFC"/>
    <w:rsid w:val="000D06E8"/>
    <w:rsid w:val="000E344D"/>
    <w:rsid w:val="000E574F"/>
    <w:rsid w:val="000F3B2C"/>
    <w:rsid w:val="000F7BE3"/>
    <w:rsid w:val="00116AD3"/>
    <w:rsid w:val="00126593"/>
    <w:rsid w:val="00133F65"/>
    <w:rsid w:val="00142A96"/>
    <w:rsid w:val="00187E32"/>
    <w:rsid w:val="00194E81"/>
    <w:rsid w:val="001A33C9"/>
    <w:rsid w:val="001D008A"/>
    <w:rsid w:val="002002ED"/>
    <w:rsid w:val="00207DE9"/>
    <w:rsid w:val="00222CEF"/>
    <w:rsid w:val="0022721A"/>
    <w:rsid w:val="00230BB9"/>
    <w:rsid w:val="00275E95"/>
    <w:rsid w:val="002928DE"/>
    <w:rsid w:val="002A11AC"/>
    <w:rsid w:val="002A3DBD"/>
    <w:rsid w:val="002A6F30"/>
    <w:rsid w:val="002D7D15"/>
    <w:rsid w:val="00303FDE"/>
    <w:rsid w:val="003140E8"/>
    <w:rsid w:val="00314509"/>
    <w:rsid w:val="003231C7"/>
    <w:rsid w:val="00331ED0"/>
    <w:rsid w:val="0035495B"/>
    <w:rsid w:val="00356D14"/>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2956"/>
    <w:rsid w:val="005963C2"/>
    <w:rsid w:val="005B45F7"/>
    <w:rsid w:val="005B63EA"/>
    <w:rsid w:val="005F7B05"/>
    <w:rsid w:val="00660774"/>
    <w:rsid w:val="00665CC7"/>
    <w:rsid w:val="006A0BF3"/>
    <w:rsid w:val="006B0DA6"/>
    <w:rsid w:val="006C547E"/>
    <w:rsid w:val="006F718B"/>
    <w:rsid w:val="00704C5D"/>
    <w:rsid w:val="0070533B"/>
    <w:rsid w:val="00722827"/>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4040"/>
    <w:rsid w:val="00863A66"/>
    <w:rsid w:val="00874429"/>
    <w:rsid w:val="00883D9A"/>
    <w:rsid w:val="008919EF"/>
    <w:rsid w:val="008C6A5B"/>
    <w:rsid w:val="008E26A5"/>
    <w:rsid w:val="008E42D2"/>
    <w:rsid w:val="008E5140"/>
    <w:rsid w:val="009040EE"/>
    <w:rsid w:val="009057FD"/>
    <w:rsid w:val="00922A7F"/>
    <w:rsid w:val="00923A5E"/>
    <w:rsid w:val="00961BC9"/>
    <w:rsid w:val="00994100"/>
    <w:rsid w:val="009A4EB9"/>
    <w:rsid w:val="009D4C29"/>
    <w:rsid w:val="00A0275C"/>
    <w:rsid w:val="00A62DAB"/>
    <w:rsid w:val="00A726A6"/>
    <w:rsid w:val="00A97535"/>
    <w:rsid w:val="00AA73F1"/>
    <w:rsid w:val="00AB04C0"/>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5BE3"/>
    <w:rsid w:val="00C66692"/>
    <w:rsid w:val="00C77A74"/>
    <w:rsid w:val="00C91123"/>
    <w:rsid w:val="00CA71FF"/>
    <w:rsid w:val="00CB5276"/>
    <w:rsid w:val="00CB68D7"/>
    <w:rsid w:val="00CC7E68"/>
    <w:rsid w:val="00CD64A9"/>
    <w:rsid w:val="00CD7132"/>
    <w:rsid w:val="00D2319A"/>
    <w:rsid w:val="00D30B48"/>
    <w:rsid w:val="00D46FAA"/>
    <w:rsid w:val="00D57BB2"/>
    <w:rsid w:val="00D6652E"/>
    <w:rsid w:val="00D80697"/>
    <w:rsid w:val="00D8560E"/>
    <w:rsid w:val="00D8758F"/>
    <w:rsid w:val="00DB2F76"/>
    <w:rsid w:val="00DB7C99"/>
    <w:rsid w:val="00DC1D94"/>
    <w:rsid w:val="00DE057F"/>
    <w:rsid w:val="00DE2082"/>
    <w:rsid w:val="00DE2289"/>
    <w:rsid w:val="00E04410"/>
    <w:rsid w:val="00E11351"/>
    <w:rsid w:val="00E66329"/>
    <w:rsid w:val="00EA172C"/>
    <w:rsid w:val="00EA259B"/>
    <w:rsid w:val="00EA35A3"/>
    <w:rsid w:val="00EA3E6A"/>
    <w:rsid w:val="00EB18EF"/>
    <w:rsid w:val="00EE17DF"/>
    <w:rsid w:val="00EF4621"/>
    <w:rsid w:val="00F277B6"/>
    <w:rsid w:val="00F414C8"/>
    <w:rsid w:val="00F54380"/>
    <w:rsid w:val="00F54B47"/>
    <w:rsid w:val="00F65E70"/>
    <w:rsid w:val="00FA6EFD"/>
    <w:rsid w:val="00FB74EA"/>
    <w:rsid w:val="00FD2C9E"/>
    <w:rsid w:val="00FD4786"/>
    <w:rsid w:val="00FD616C"/>
    <w:rsid w:val="00FD7084"/>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722827"/>
    <w:pPr>
      <w:keepNext w:val="0"/>
    </w:pPr>
    <w:rPr>
      <w:rFonts w:ascii="Arial" w:hAnsi="Arial"/>
      <w:b/>
      <w:i/>
    </w:rPr>
  </w:style>
  <w:style w:type="character" w:customStyle="1" w:styleId="IssueSubsectionHeadingChar">
    <w:name w:val="Issue Subsection Heading Char"/>
    <w:link w:val="IssueSubsectionHeading"/>
    <w:rsid w:val="00722827"/>
    <w:rPr>
      <w:rFonts w:ascii="Arial" w:hAnsi="Arial" w:cs="Arial"/>
      <w:b/>
      <w:bCs/>
      <w:i/>
      <w:iCs/>
      <w:sz w:val="24"/>
      <w:szCs w:val="28"/>
    </w:rPr>
  </w:style>
  <w:style w:type="character" w:customStyle="1" w:styleId="FootnoteTextChar">
    <w:name w:val="Footnote Text Char"/>
    <w:link w:val="FootnoteText"/>
    <w:rsid w:val="00722827"/>
  </w:style>
  <w:style w:type="paragraph" w:customStyle="1" w:styleId="SCparagraph">
    <w:name w:val="SCparagraph"/>
    <w:basedOn w:val="Normal"/>
    <w:rsid w:val="00722827"/>
    <w:pPr>
      <w:spacing w:after="240"/>
      <w:ind w:firstLine="720"/>
      <w:jc w:val="both"/>
    </w:pPr>
  </w:style>
  <w:style w:type="paragraph" w:styleId="BalloonText">
    <w:name w:val="Balloon Text"/>
    <w:basedOn w:val="Normal"/>
    <w:link w:val="BalloonTextChar"/>
    <w:rsid w:val="008E5140"/>
    <w:rPr>
      <w:rFonts w:ascii="Tahoma" w:hAnsi="Tahoma" w:cs="Tahoma"/>
      <w:sz w:val="16"/>
      <w:szCs w:val="16"/>
    </w:rPr>
  </w:style>
  <w:style w:type="character" w:customStyle="1" w:styleId="BalloonTextChar">
    <w:name w:val="Balloon Text Char"/>
    <w:basedOn w:val="DefaultParagraphFont"/>
    <w:link w:val="BalloonText"/>
    <w:rsid w:val="008E5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SubsectionHeading">
    <w:name w:val="Issue Subsection Heading"/>
    <w:basedOn w:val="Heading2"/>
    <w:next w:val="BodyText"/>
    <w:link w:val="IssueSubsectionHeadingChar"/>
    <w:qFormat/>
    <w:rsid w:val="00722827"/>
    <w:pPr>
      <w:keepNext w:val="0"/>
    </w:pPr>
    <w:rPr>
      <w:rFonts w:ascii="Arial" w:hAnsi="Arial"/>
      <w:b/>
      <w:i/>
    </w:rPr>
  </w:style>
  <w:style w:type="character" w:customStyle="1" w:styleId="IssueSubsectionHeadingChar">
    <w:name w:val="Issue Subsection Heading Char"/>
    <w:link w:val="IssueSubsectionHeading"/>
    <w:rsid w:val="00722827"/>
    <w:rPr>
      <w:rFonts w:ascii="Arial" w:hAnsi="Arial" w:cs="Arial"/>
      <w:b/>
      <w:bCs/>
      <w:i/>
      <w:iCs/>
      <w:sz w:val="24"/>
      <w:szCs w:val="28"/>
    </w:rPr>
  </w:style>
  <w:style w:type="character" w:customStyle="1" w:styleId="FootnoteTextChar">
    <w:name w:val="Footnote Text Char"/>
    <w:link w:val="FootnoteText"/>
    <w:rsid w:val="00722827"/>
  </w:style>
  <w:style w:type="paragraph" w:customStyle="1" w:styleId="SCparagraph">
    <w:name w:val="SCparagraph"/>
    <w:basedOn w:val="Normal"/>
    <w:rsid w:val="00722827"/>
    <w:pPr>
      <w:spacing w:after="240"/>
      <w:ind w:firstLine="720"/>
      <w:jc w:val="both"/>
    </w:pPr>
  </w:style>
  <w:style w:type="paragraph" w:styleId="BalloonText">
    <w:name w:val="Balloon Text"/>
    <w:basedOn w:val="Normal"/>
    <w:link w:val="BalloonTextChar"/>
    <w:rsid w:val="008E5140"/>
    <w:rPr>
      <w:rFonts w:ascii="Tahoma" w:hAnsi="Tahoma" w:cs="Tahoma"/>
      <w:sz w:val="16"/>
      <w:szCs w:val="16"/>
    </w:rPr>
  </w:style>
  <w:style w:type="character" w:customStyle="1" w:styleId="BalloonTextChar">
    <w:name w:val="Balloon Text Char"/>
    <w:basedOn w:val="DefaultParagraphFont"/>
    <w:link w:val="BalloonText"/>
    <w:rsid w:val="008E5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1102-211A-4D64-A68F-EE91A791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13</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2015-10-06T15:19:00Z</dcterms:created>
  <dcterms:modified xsi:type="dcterms:W3CDTF">2015-10-06T18:40:00Z</dcterms:modified>
</cp:coreProperties>
</file>