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056FC" w:rsidP="005056FC">
      <w:pPr>
        <w:pStyle w:val="OrderHeading"/>
      </w:pPr>
      <w:r>
        <w:t>BEFORE THE FLORIDA PUBLIC SERVICE COMMISSION</w:t>
      </w:r>
    </w:p>
    <w:p w:rsidR="005056FC" w:rsidRDefault="005056FC" w:rsidP="005056FC">
      <w:pPr>
        <w:pStyle w:val="OrderHeading"/>
      </w:pPr>
    </w:p>
    <w:p w:rsidR="005056FC" w:rsidRDefault="005056FC" w:rsidP="005056F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056FC" w:rsidRPr="00C63FCF" w:rsidTr="00C63FCF">
        <w:trPr>
          <w:trHeight w:val="828"/>
        </w:trPr>
        <w:tc>
          <w:tcPr>
            <w:tcW w:w="4788" w:type="dxa"/>
            <w:tcBorders>
              <w:bottom w:val="single" w:sz="8" w:space="0" w:color="auto"/>
              <w:right w:val="double" w:sz="6" w:space="0" w:color="auto"/>
            </w:tcBorders>
            <w:shd w:val="clear" w:color="auto" w:fill="auto"/>
          </w:tcPr>
          <w:p w:rsidR="005056FC" w:rsidRDefault="005056F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056FC" w:rsidRDefault="005056FC" w:rsidP="005056FC">
            <w:pPr>
              <w:pStyle w:val="OrderBody"/>
            </w:pPr>
            <w:r>
              <w:t xml:space="preserve">DOCKET NO. </w:t>
            </w:r>
            <w:bookmarkStart w:id="1" w:name="SSDocketNo"/>
            <w:bookmarkEnd w:id="1"/>
            <w:r>
              <w:t>150001-EI</w:t>
            </w:r>
          </w:p>
          <w:p w:rsidR="005056FC" w:rsidRDefault="005056FC" w:rsidP="00C63FCF">
            <w:pPr>
              <w:pStyle w:val="OrderBody"/>
              <w:tabs>
                <w:tab w:val="center" w:pos="4320"/>
                <w:tab w:val="right" w:pos="8640"/>
              </w:tabs>
              <w:jc w:val="left"/>
            </w:pPr>
            <w:r>
              <w:t xml:space="preserve">ORDER NO. </w:t>
            </w:r>
            <w:bookmarkStart w:id="2" w:name="OrderNo0471"/>
            <w:r w:rsidR="00A90327">
              <w:t>PSC-15-0471-CFO-EI</w:t>
            </w:r>
            <w:bookmarkEnd w:id="2"/>
          </w:p>
          <w:p w:rsidR="005056FC" w:rsidRDefault="005056FC" w:rsidP="00C63FCF">
            <w:pPr>
              <w:pStyle w:val="OrderBody"/>
              <w:tabs>
                <w:tab w:val="center" w:pos="4320"/>
                <w:tab w:val="right" w:pos="8640"/>
              </w:tabs>
              <w:jc w:val="left"/>
            </w:pPr>
            <w:r>
              <w:t xml:space="preserve">ISSUED: </w:t>
            </w:r>
            <w:r w:rsidR="00A90327">
              <w:t>October 15, 2015</w:t>
            </w:r>
          </w:p>
        </w:tc>
      </w:tr>
    </w:tbl>
    <w:p w:rsidR="005056FC" w:rsidRDefault="005056FC" w:rsidP="005056FC"/>
    <w:p w:rsidR="005056FC" w:rsidRDefault="005056FC" w:rsidP="005056FC"/>
    <w:p w:rsidR="007C1EB8" w:rsidRDefault="005056FC" w:rsidP="007C1EB8">
      <w:pPr>
        <w:pStyle w:val="CenterUnderline"/>
      </w:pPr>
      <w:bookmarkStart w:id="3" w:name="Commissioners"/>
      <w:bookmarkEnd w:id="3"/>
      <w:r>
        <w:t>ORDER</w:t>
      </w:r>
      <w:bookmarkStart w:id="4" w:name="OrderTitle"/>
      <w:r w:rsidR="007C1EB8">
        <w:t xml:space="preserve"> GRANTING TAMPA ELECTRIC COMPANY’S REQUEST FOR CONFIDENTIAL CLASSIFICATION AND MOTION FOR TEMPORARY PROTECTIVE ORDER</w:t>
      </w:r>
    </w:p>
    <w:p w:rsidR="00CB5276" w:rsidRDefault="007C1EB8" w:rsidP="007C1EB8">
      <w:pPr>
        <w:pStyle w:val="CenterUnderline"/>
      </w:pPr>
      <w:r>
        <w:t xml:space="preserve">(DOCUMENT NO. 04834-15) </w:t>
      </w:r>
      <w:bookmarkEnd w:id="4"/>
    </w:p>
    <w:p w:rsidR="005056FC" w:rsidRDefault="005056FC" w:rsidP="005056FC">
      <w:pPr>
        <w:pStyle w:val="OrderBody"/>
      </w:pPr>
    </w:p>
    <w:p w:rsidR="007C1EB8" w:rsidRDefault="007C1EB8" w:rsidP="007C1EB8">
      <w:pPr>
        <w:autoSpaceDE w:val="0"/>
        <w:autoSpaceDN w:val="0"/>
        <w:adjustRightInd w:val="0"/>
        <w:ind w:firstLine="720"/>
        <w:jc w:val="both"/>
      </w:pPr>
      <w:bookmarkStart w:id="5" w:name="OrderText"/>
      <w:bookmarkEnd w:id="5"/>
      <w:r>
        <w:t xml:space="preserve">On July 31, 2015, pursuant to Section 366.093, Florida Statutes (F.S.), and Rule 25-22.006, Florida Administrative Code (F.A.C.), Tampa Electric Company (TECO) filed a Request for Specified Confidential Treatment and Motion for Temporary Protective Order (Request) of portions of </w:t>
      </w:r>
      <w:r w:rsidRPr="00785411">
        <w:t>its Form 423</w:t>
      </w:r>
      <w:r>
        <w:t xml:space="preserve"> </w:t>
      </w:r>
      <w:r w:rsidRPr="00785411">
        <w:t>Fuel Report for</w:t>
      </w:r>
      <w:r>
        <w:t xml:space="preserve"> the months of March, April and May 2015 (Report) (Document No. 04834-15). This request was filed in Docket 150001-EI. </w:t>
      </w:r>
    </w:p>
    <w:p w:rsidR="007C1EB8" w:rsidRDefault="007C1EB8" w:rsidP="007C1EB8">
      <w:pPr>
        <w:autoSpaceDE w:val="0"/>
        <w:autoSpaceDN w:val="0"/>
        <w:adjustRightInd w:val="0"/>
        <w:ind w:firstLine="720"/>
      </w:pPr>
    </w:p>
    <w:p w:rsidR="007C1EB8" w:rsidRPr="00387027" w:rsidRDefault="007C1EB8" w:rsidP="007C1EB8">
      <w:pPr>
        <w:autoSpaceDE w:val="0"/>
        <w:autoSpaceDN w:val="0"/>
        <w:adjustRightInd w:val="0"/>
        <w:rPr>
          <w:u w:val="single"/>
        </w:rPr>
      </w:pPr>
      <w:r w:rsidRPr="00387027">
        <w:rPr>
          <w:u w:val="single"/>
        </w:rPr>
        <w:t xml:space="preserve">Request for Confidential Classification </w:t>
      </w:r>
    </w:p>
    <w:p w:rsidR="007C1EB8" w:rsidRDefault="007C1EB8" w:rsidP="007C1EB8">
      <w:pPr>
        <w:autoSpaceDE w:val="0"/>
        <w:autoSpaceDN w:val="0"/>
        <w:adjustRightInd w:val="0"/>
      </w:pPr>
    </w:p>
    <w:p w:rsidR="007C1EB8" w:rsidRPr="00C7491B" w:rsidRDefault="007C1EB8" w:rsidP="007C1EB8">
      <w:pPr>
        <w:ind w:firstLine="720"/>
        <w:jc w:val="both"/>
      </w:pPr>
      <w:r>
        <w:t xml:space="preserve">TECO contends that designated portions of the information contained in its 423 Report for the months of March, April and May 2015, </w:t>
      </w:r>
      <w:r w:rsidRPr="0034255F">
        <w:t>as more specific</w:t>
      </w:r>
      <w:r>
        <w:t>ally described in Exhibit</w:t>
      </w:r>
      <w:r w:rsidRPr="0034255F">
        <w:t xml:space="preserve"> </w:t>
      </w:r>
      <w:r>
        <w:t xml:space="preserve">A attached to its Request constitutes proprietary confidential </w:t>
      </w:r>
      <w:r w:rsidRPr="00C7491B">
        <w:t>business information entitled to protection under Section 366.093, F.S., and Rule 25-22.006, F.A.C.  Exhibit A</w:t>
      </w:r>
      <w:r>
        <w:t>,</w:t>
      </w:r>
      <w:r w:rsidRPr="00C7491B">
        <w:t xml:space="preserve"> attached to TECO’s Request</w:t>
      </w:r>
      <w:r>
        <w:t>,</w:t>
      </w:r>
      <w:r w:rsidRPr="00C7491B">
        <w:t xml:space="preserve"> contains a detailed matrix providing justification and support for confidential classification of the information in each section of the 423 Reports (Forms 423-1A, 2, 2A, and 2B) on a line-by-line, column-by-column basis.   TECO asserts that this information is intended to be and is treated by TECO as private and has not been publicly disclosed.</w:t>
      </w:r>
    </w:p>
    <w:p w:rsidR="007C1EB8" w:rsidRPr="00C7491B" w:rsidRDefault="007C1EB8" w:rsidP="007C1EB8">
      <w:pPr>
        <w:ind w:firstLine="720"/>
        <w:jc w:val="both"/>
      </w:pPr>
    </w:p>
    <w:p w:rsidR="007C1EB8" w:rsidRPr="00C7491B" w:rsidRDefault="007C1EB8" w:rsidP="007C1EB8">
      <w:pPr>
        <w:autoSpaceDE w:val="0"/>
        <w:autoSpaceDN w:val="0"/>
        <w:adjustRightInd w:val="0"/>
        <w:ind w:firstLine="720"/>
        <w:jc w:val="both"/>
      </w:pPr>
      <w:r w:rsidRPr="00C7491B">
        <w:t>TECO seeks protection of the fuel oil contract data and the coal and coal transportation contract information specified in Exhibit A</w:t>
      </w:r>
      <w:r>
        <w:t>,</w:t>
      </w:r>
      <w:r w:rsidRPr="00C7491B">
        <w:t xml:space="preserve"> attached to its Request</w:t>
      </w:r>
      <w:r>
        <w:t>,</w:t>
      </w:r>
      <w:r w:rsidRPr="00C7491B">
        <w:t xml:space="preserve"> for a minimum period of </w:t>
      </w:r>
      <w:r w:rsidRPr="00C7491B">
        <w:rPr>
          <w:iCs/>
        </w:rPr>
        <w:t xml:space="preserve">two </w:t>
      </w:r>
      <w:r w:rsidRPr="00C7491B">
        <w:t>years.  TECO contends that the need for two or more years of confidentiality is vital not only to TECO and its ratepayers, but to the vendors of coal and coal transportation services as well.</w:t>
      </w:r>
    </w:p>
    <w:p w:rsidR="007C1EB8" w:rsidRPr="00C7491B" w:rsidRDefault="007C1EB8" w:rsidP="007C1EB8">
      <w:pPr>
        <w:autoSpaceDE w:val="0"/>
        <w:autoSpaceDN w:val="0"/>
        <w:adjustRightInd w:val="0"/>
        <w:ind w:firstLine="720"/>
        <w:jc w:val="both"/>
      </w:pPr>
      <w:r w:rsidRPr="00C7491B">
        <w:t xml:space="preserve">  </w:t>
      </w:r>
    </w:p>
    <w:p w:rsidR="007C1EB8" w:rsidRPr="00C7491B" w:rsidRDefault="007C1EB8" w:rsidP="007C1EB8">
      <w:pPr>
        <w:autoSpaceDE w:val="0"/>
        <w:autoSpaceDN w:val="0"/>
        <w:adjustRightInd w:val="0"/>
        <w:jc w:val="both"/>
      </w:pPr>
      <w:r>
        <w:tab/>
        <w:t xml:space="preserve">As specified in Exhibit B, </w:t>
      </w:r>
      <w:r w:rsidRPr="00C7491B">
        <w:t xml:space="preserve">attached to its Request, TECO first argues that its ability to negotiate future contracts for No. 2 and No. </w:t>
      </w:r>
      <w:r w:rsidRPr="00C7491B">
        <w:rPr>
          <w:bCs/>
          <w:iCs/>
        </w:rPr>
        <w:t xml:space="preserve">6 fuel </w:t>
      </w:r>
      <w:r w:rsidRPr="00C7491B">
        <w:t>oil would reasonably likely be impaired if the pricing information in the documents identified in Exhibit A</w:t>
      </w:r>
      <w:r>
        <w:t>,</w:t>
      </w:r>
      <w:r w:rsidRPr="00C7491B">
        <w:t xml:space="preserve"> attached to its Request</w:t>
      </w:r>
      <w:r>
        <w:t>,</w:t>
      </w:r>
      <w:r w:rsidRPr="00C7491B">
        <w:t xml:space="preserve"> were disclosed during the contract period or prior to the negotiation of a new contract.  TECO explains that it typically renegotiates its No. 2 and No. 6 fuel oil contracts and fuel related services contracts prior to the end of such contracts.  On occasion, TECO asserts, some contracts are renegotiated after the end of the current contract period.  In this situation, renegotiations are normally completed within six months.  TECO contends that it is necessary to maintain the confidentiality of the information identified as confidential on Form 423-l(a) for six months after the end of the individual contract period the information relates to.  TECO states that its No. 2 contract was renegotiated effective October 1, 1990, and its No. 6 contract was renegotiated effective September 1, 1990.  </w:t>
      </w:r>
    </w:p>
    <w:p w:rsidR="007C1EB8" w:rsidRPr="00C7491B" w:rsidRDefault="007C1EB8" w:rsidP="007C1EB8">
      <w:pPr>
        <w:autoSpaceDE w:val="0"/>
        <w:autoSpaceDN w:val="0"/>
        <w:adjustRightInd w:val="0"/>
        <w:ind w:firstLine="720"/>
        <w:jc w:val="both"/>
      </w:pPr>
      <w:r w:rsidRPr="00C7491B">
        <w:lastRenderedPageBreak/>
        <w:t>TECO explains that bidders for the sale of coal will always seek to optimize their profit margin, thus, f</w:t>
      </w:r>
      <w:r w:rsidRPr="00C7491B">
        <w:rPr>
          <w:bCs/>
        </w:rPr>
        <w:t xml:space="preserve">ull </w:t>
      </w:r>
      <w:r w:rsidRPr="00C7491B">
        <w:t xml:space="preserve">knowledge of the prices paid by the utility for coal enables the bidder to increase the price bid and thereby optimize the bid from the viewpoint of the seller and to the detriment of the ratepayer.  TECO asserts that the disclosure of information on prices paid within </w:t>
      </w:r>
      <w:r w:rsidRPr="00C7491B">
        <w:rPr>
          <w:bCs/>
        </w:rPr>
        <w:t xml:space="preserve">the </w:t>
      </w:r>
      <w:r w:rsidRPr="00C7491B">
        <w:t xml:space="preserve">last </w:t>
      </w:r>
      <w:r w:rsidRPr="00C7491B">
        <w:rPr>
          <w:iCs/>
        </w:rPr>
        <w:t xml:space="preserve">two </w:t>
      </w:r>
      <w:r w:rsidRPr="00C7491B">
        <w:t xml:space="preserve">years will increase the price TECO will be required to pay for coal and will be detrimental to ratepayers.    </w:t>
      </w:r>
    </w:p>
    <w:p w:rsidR="007C1EB8" w:rsidRPr="00C7491B" w:rsidRDefault="007C1EB8" w:rsidP="007C1EB8">
      <w:pPr>
        <w:autoSpaceDE w:val="0"/>
        <w:autoSpaceDN w:val="0"/>
        <w:adjustRightInd w:val="0"/>
      </w:pPr>
    </w:p>
    <w:p w:rsidR="007C1EB8" w:rsidRPr="00C7491B" w:rsidRDefault="007C1EB8" w:rsidP="007C1EB8">
      <w:pPr>
        <w:autoSpaceDE w:val="0"/>
        <w:autoSpaceDN w:val="0"/>
        <w:adjustRightInd w:val="0"/>
        <w:ind w:firstLine="720"/>
        <w:jc w:val="both"/>
      </w:pPr>
      <w:r w:rsidRPr="00C7491B">
        <w:t xml:space="preserve">TECO also explains that recent bids it received contained a $4.17 per ton spread between the bids and the low bid, undoubtedly, would have been higher with full knowledge of prices paid by TECO.  TECO asserts that bidders will always seek to optimize their profits by submitting bids that are as high </w:t>
      </w:r>
      <w:r w:rsidRPr="00C7491B">
        <w:rPr>
          <w:bCs/>
        </w:rPr>
        <w:t xml:space="preserve">as </w:t>
      </w:r>
      <w:r w:rsidRPr="00C7491B">
        <w:t>the market will bear.  TECO argues that, if market data is disclosed, which discourages suppliers from bidding competitively, the suppliers will increase their bids to the level of past payments to other suppliers by the buyer.</w:t>
      </w:r>
    </w:p>
    <w:p w:rsidR="007C1EB8" w:rsidRPr="00C7491B" w:rsidRDefault="007C1EB8" w:rsidP="007C1EB8">
      <w:pPr>
        <w:autoSpaceDE w:val="0"/>
        <w:autoSpaceDN w:val="0"/>
        <w:adjustRightInd w:val="0"/>
        <w:ind w:firstLine="720"/>
        <w:jc w:val="both"/>
      </w:pPr>
    </w:p>
    <w:p w:rsidR="007C1EB8" w:rsidRPr="00C7491B" w:rsidRDefault="007C1EB8" w:rsidP="007C1EB8">
      <w:pPr>
        <w:autoSpaceDE w:val="0"/>
        <w:autoSpaceDN w:val="0"/>
        <w:adjustRightInd w:val="0"/>
        <w:ind w:firstLine="720"/>
        <w:jc w:val="both"/>
      </w:pPr>
      <w:r w:rsidRPr="00C7491B">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7C1EB8" w:rsidRPr="00C7491B" w:rsidRDefault="007C1EB8" w:rsidP="007C1EB8">
      <w:pPr>
        <w:autoSpaceDE w:val="0"/>
        <w:autoSpaceDN w:val="0"/>
        <w:adjustRightInd w:val="0"/>
        <w:ind w:firstLine="720"/>
      </w:pPr>
    </w:p>
    <w:p w:rsidR="007C1EB8" w:rsidRPr="00C7491B" w:rsidRDefault="007C1EB8" w:rsidP="007C1EB8">
      <w:pPr>
        <w:autoSpaceDE w:val="0"/>
        <w:autoSpaceDN w:val="0"/>
        <w:adjustRightInd w:val="0"/>
        <w:ind w:firstLine="720"/>
        <w:jc w:val="both"/>
      </w:pPr>
      <w:r w:rsidRPr="00C7491B">
        <w:t>TECO maintains that Gatliff Coal and TECO Transport &amp; Trade sell coal and bulk commodity transportation services in the open non-regulated marketplace.  It asserts that the prices at which their goods and services are sold are not publicly disclosed anywhere by publication or voluntary dissemination because it would materially lessen their competitive posture with customers other than TECO.  TECO also maintains that outside customers who negotiate for coal or coal transportation services are placed at a competitive advantage for these goods or services if they know the cost of the goods or services.</w:t>
      </w:r>
    </w:p>
    <w:p w:rsidR="007C1EB8" w:rsidRPr="00C7491B" w:rsidRDefault="007C1EB8" w:rsidP="007C1EB8">
      <w:pPr>
        <w:autoSpaceDE w:val="0"/>
        <w:autoSpaceDN w:val="0"/>
        <w:adjustRightInd w:val="0"/>
        <w:ind w:firstLine="720"/>
      </w:pPr>
    </w:p>
    <w:p w:rsidR="007C1EB8" w:rsidRPr="00C7491B" w:rsidRDefault="007C1EB8" w:rsidP="007C1EB8">
      <w:pPr>
        <w:autoSpaceDE w:val="0"/>
        <w:autoSpaceDN w:val="0"/>
        <w:adjustRightInd w:val="0"/>
        <w:ind w:firstLine="720"/>
        <w:jc w:val="both"/>
      </w:pPr>
      <w:r w:rsidRPr="00C7491B">
        <w:t>TECO contends that, if the information is not deemed confidential, a</w:t>
      </w:r>
      <w:r w:rsidRPr="00C7491B">
        <w:rPr>
          <w:bCs/>
          <w:iCs/>
        </w:rPr>
        <w:t>n</w:t>
      </w:r>
      <w:r w:rsidRPr="00C7491B">
        <w:rPr>
          <w:b/>
          <w:bCs/>
          <w:i/>
          <w:iCs/>
        </w:rPr>
        <w:t xml:space="preserve"> </w:t>
      </w:r>
      <w:r w:rsidRPr="00C7491B">
        <w:t>analyst for an outside customer of Gatliff or TECO Transport who reads the written transcripts of public fuel hearings or reads the written orders of the Florida Public Service Commission (Commission) can easily discover the payments that TECO makes to Gatliff for coal and to TECO Transport for transportation.  TECO asserts that as</w:t>
      </w:r>
      <w:r w:rsidRPr="00C7491B">
        <w:rPr>
          <w:b/>
          <w:bCs/>
        </w:rPr>
        <w:t xml:space="preserve"> </w:t>
      </w:r>
      <w:r w:rsidRPr="00C7491B">
        <w:t xml:space="preserve">long as an outside customer does not know how an escalation clause in TECO’s agreements with its suppliers change price, the cost cannot be calculated.  TECO argues that publicizing the price of coal or coal transportation services will tell an outside customer how much the escalation has been and make it easy for him to calculate cost and that, due to seasonality of costs in both businesses, a full year's cost data is necessary for an accurate cost measurement.  TECO further argues that a second year must pass before one full year can be compared with a second year to measure the escalation accurately, thus, a perceptive vendor seeks two years of data to make </w:t>
      </w:r>
      <w:r>
        <w:t>its</w:t>
      </w:r>
      <w:r w:rsidRPr="00C7491B">
        <w:t xml:space="preserve"> cost estimates.  However, TECO asserts, the competitive industries recognize that data beyond two years is not helpful to them, as enough factors may change in that time frame for costs to be much different from what was incurred.  Any date less than two full years old is extremely valuable to outside customers in contracting </w:t>
      </w:r>
      <w:r w:rsidRPr="00C7491B">
        <w:lastRenderedPageBreak/>
        <w:t>for services with Gatliff or TECO Transport.  The difference of small amounts per ton can mean millions of dollars' difference in cost.</w:t>
      </w:r>
    </w:p>
    <w:p w:rsidR="007C1EB8" w:rsidRPr="00C7491B" w:rsidRDefault="007C1EB8" w:rsidP="007C1EB8">
      <w:pPr>
        <w:autoSpaceDE w:val="0"/>
        <w:autoSpaceDN w:val="0"/>
        <w:adjustRightInd w:val="0"/>
        <w:ind w:firstLine="720"/>
        <w:jc w:val="both"/>
      </w:pPr>
    </w:p>
    <w:p w:rsidR="007C1EB8" w:rsidRPr="00C7491B" w:rsidRDefault="007C1EB8" w:rsidP="007C1EB8">
      <w:pPr>
        <w:autoSpaceDE w:val="0"/>
        <w:autoSpaceDN w:val="0"/>
        <w:adjustRightInd w:val="0"/>
        <w:ind w:firstLine="720"/>
        <w:jc w:val="both"/>
      </w:pPr>
      <w:r w:rsidRPr="00C7491B">
        <w:t>Finally, TECO argues, a loss of outside business by Gatliff or TECO Transport will affect not only Gatliff or TECO Transport, but if large enough, it could affect the credibility of the companies.  TECO avers that the prices negotiated with TECO by these vendors took into consideration their costs and revenues at the time of negotiation, including the revenues from outside customers, thus, a</w:t>
      </w:r>
      <w:r w:rsidRPr="00C7491B">
        <w:rPr>
          <w:b/>
          <w:bCs/>
        </w:rPr>
        <w:t xml:space="preserve"> </w:t>
      </w:r>
      <w:r w:rsidRPr="00C7491B">
        <w:t xml:space="preserve">significant loss of outside business could cause Gatliff or TECO Transport to fail, since under market pricing regulation TECO will not make up the difference to them in cost.  TECO asserts that a failure of these vendors would leave TECO and its customers with only higher cost alternatives for </w:t>
      </w:r>
      <w:r w:rsidRPr="00C7491B">
        <w:rPr>
          <w:bCs/>
        </w:rPr>
        <w:t xml:space="preserve">Blue </w:t>
      </w:r>
      <w:r w:rsidRPr="00C7491B">
        <w:t>Gem coal and for coal transportation to Tampa, a higher cost that would be paid by TECO’s ratepayers and that the continued credibility of Gatliff and TECO Transport is important to protect TECO’s ratepayers from higher cost alternatives.</w:t>
      </w:r>
    </w:p>
    <w:p w:rsidR="007C1EB8" w:rsidRPr="00C7491B" w:rsidRDefault="007C1EB8" w:rsidP="007C1EB8">
      <w:pPr>
        <w:pStyle w:val="OrderBody"/>
      </w:pPr>
    </w:p>
    <w:p w:rsidR="007C1EB8" w:rsidRPr="00C7491B" w:rsidRDefault="007C1EB8" w:rsidP="007C1EB8">
      <w:pPr>
        <w:jc w:val="both"/>
        <w:rPr>
          <w:u w:val="single"/>
        </w:rPr>
      </w:pPr>
      <w:r w:rsidRPr="00C7491B">
        <w:rPr>
          <w:u w:val="single"/>
        </w:rPr>
        <w:t>Ruling</w:t>
      </w:r>
    </w:p>
    <w:p w:rsidR="007C1EB8" w:rsidRPr="00C7491B" w:rsidRDefault="007C1EB8" w:rsidP="007C1EB8">
      <w:pPr>
        <w:jc w:val="both"/>
        <w:rPr>
          <w:u w:val="single"/>
        </w:rPr>
      </w:pPr>
    </w:p>
    <w:p w:rsidR="007C1EB8" w:rsidRPr="00C7491B" w:rsidRDefault="007C1EB8" w:rsidP="007C1EB8">
      <w:pPr>
        <w:ind w:firstLine="720"/>
        <w:jc w:val="both"/>
      </w:pPr>
      <w:r w:rsidRPr="00C7491B">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366.093(3)(d), F.S., provides that proprietary confidential business information includes, but is not limited to:</w:t>
      </w:r>
    </w:p>
    <w:p w:rsidR="007C1EB8" w:rsidRPr="00C7491B" w:rsidRDefault="007C1EB8" w:rsidP="007C1EB8">
      <w:pPr>
        <w:ind w:firstLine="720"/>
        <w:jc w:val="both"/>
      </w:pPr>
    </w:p>
    <w:p w:rsidR="007C1EB8" w:rsidRPr="00C7491B" w:rsidRDefault="007C1EB8" w:rsidP="007C1EB8">
      <w:pPr>
        <w:ind w:left="720" w:right="720"/>
        <w:jc w:val="both"/>
      </w:pPr>
      <w:r w:rsidRPr="00C7491B">
        <w:t xml:space="preserve">(d) Information concerning bids or other contractual data, the disclosure of which would impair the efforts of the public utility or its affiliates to contract for goods or services on favorable terms. </w:t>
      </w:r>
    </w:p>
    <w:p w:rsidR="007C1EB8" w:rsidRPr="00C7491B" w:rsidRDefault="007C1EB8" w:rsidP="007C1EB8">
      <w:pPr>
        <w:ind w:left="720" w:right="720"/>
        <w:jc w:val="both"/>
      </w:pPr>
    </w:p>
    <w:p w:rsidR="007C1EB8" w:rsidRPr="00C7491B" w:rsidRDefault="007C1EB8" w:rsidP="007C1EB8">
      <w:pPr>
        <w:jc w:val="both"/>
      </w:pPr>
      <w:r w:rsidRPr="00C7491B">
        <w:tab/>
        <w:t xml:space="preserve">Upon review, it appears the above-referenced information satisfies the criteria set forth in Section 366.093(3)(d), F.S., for classification as proprietary confidential business information.    The information described above and in Exhibit A, attached to TECO’s Request, appears to be information concerning bids or other contractual data, the disclosure of which would impair the efforts of the public utility or its affiliates to contract for goods or services on favorable terms.  This information reveals invoice prices, transportation charges, and coal prices.  The public disclosure of any of this information could reduce TECO’s competitiveness in the marketplace.  This, in turn, could result in higher prices for transportation and coal.  Therefore, the information contained in Document No. </w:t>
      </w:r>
      <w:r>
        <w:t>04834-15</w:t>
      </w:r>
      <w:r w:rsidRPr="00C7491B">
        <w:t>, as more specifically described in TECO’s Form 423 Fuel Reports for</w:t>
      </w:r>
      <w:r>
        <w:t xml:space="preserve"> the months of March, April and May 2015</w:t>
      </w:r>
      <w:r w:rsidRPr="00C7491B">
        <w:t>, shall be granted confidential classification.</w:t>
      </w:r>
    </w:p>
    <w:p w:rsidR="007C1EB8" w:rsidRPr="00C7491B" w:rsidRDefault="007C1EB8" w:rsidP="007C1EB8">
      <w:pPr>
        <w:jc w:val="both"/>
      </w:pPr>
    </w:p>
    <w:p w:rsidR="007C1EB8" w:rsidRPr="00C7491B" w:rsidRDefault="007C1EB8" w:rsidP="007C1EB8">
      <w:pPr>
        <w:ind w:firstLine="720"/>
        <w:jc w:val="both"/>
      </w:pPr>
      <w:r w:rsidRPr="00C7491B">
        <w:t xml:space="preserve">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w:t>
      </w:r>
      <w:r w:rsidRPr="00C7491B">
        <w:lastRenderedPageBreak/>
        <w:t xml:space="preserve">Accordingly, the information identified in Document No. </w:t>
      </w:r>
      <w:r>
        <w:t>04834-15</w:t>
      </w:r>
      <w:r w:rsidRPr="00C7491B">
        <w:t xml:space="preserve">, shall be granted confidential classification for a period of </w:t>
      </w:r>
      <w:r>
        <w:t>two year</w:t>
      </w:r>
      <w:r w:rsidR="002C2C01">
        <w:t>s</w:t>
      </w:r>
      <w:r w:rsidRPr="00C7491B">
        <w:t xml:space="preserve"> from the issuance of this Order.</w:t>
      </w:r>
    </w:p>
    <w:p w:rsidR="007C1EB8" w:rsidRPr="00C7491B" w:rsidRDefault="007C1EB8" w:rsidP="007C1EB8">
      <w:pPr>
        <w:autoSpaceDE w:val="0"/>
        <w:autoSpaceDN w:val="0"/>
        <w:adjustRightInd w:val="0"/>
        <w:ind w:firstLine="720"/>
        <w:jc w:val="both"/>
      </w:pPr>
    </w:p>
    <w:p w:rsidR="007C1EB8" w:rsidRPr="00C7491B" w:rsidRDefault="007C1EB8" w:rsidP="007C1EB8">
      <w:pPr>
        <w:jc w:val="both"/>
        <w:rPr>
          <w:u w:val="single"/>
        </w:rPr>
      </w:pPr>
      <w:r w:rsidRPr="00C7491B">
        <w:rPr>
          <w:u w:val="single"/>
        </w:rPr>
        <w:t>Motion for Temporary Protective Order</w:t>
      </w:r>
    </w:p>
    <w:p w:rsidR="007C1EB8" w:rsidRPr="00C7491B" w:rsidRDefault="007C1EB8" w:rsidP="007C1EB8">
      <w:pPr>
        <w:jc w:val="both"/>
      </w:pPr>
    </w:p>
    <w:p w:rsidR="007C1EB8" w:rsidRPr="00C7491B" w:rsidRDefault="007C1EB8" w:rsidP="007C1EB8">
      <w:pPr>
        <w:pStyle w:val="CenterUnderline"/>
        <w:ind w:firstLine="720"/>
        <w:jc w:val="both"/>
        <w:rPr>
          <w:u w:val="none"/>
        </w:rPr>
      </w:pPr>
      <w:r w:rsidRPr="00C7491B">
        <w:rPr>
          <w:u w:val="none"/>
          <w:lang w:val="en-CA"/>
        </w:rPr>
        <w:t>TECO</w:t>
      </w:r>
      <w:r w:rsidRPr="00C7491B">
        <w:rPr>
          <w:u w:val="none"/>
          <w:lang w:val="en-CA"/>
        </w:rPr>
        <w:fldChar w:fldCharType="begin"/>
      </w:r>
      <w:r w:rsidRPr="00C7491B">
        <w:rPr>
          <w:u w:val="none"/>
          <w:lang w:val="en-CA"/>
        </w:rPr>
        <w:instrText xml:space="preserve"> SEQ CHAPTER \h \r 1</w:instrText>
      </w:r>
      <w:r w:rsidRPr="00C7491B">
        <w:rPr>
          <w:u w:val="none"/>
        </w:rPr>
        <w:fldChar w:fldCharType="end"/>
      </w:r>
      <w:r w:rsidRPr="00C7491B">
        <w:rPr>
          <w:u w:val="none"/>
          <w:lang w:val="en-CA"/>
        </w:rPr>
        <w:fldChar w:fldCharType="begin"/>
      </w:r>
      <w:r w:rsidRPr="00C7491B">
        <w:rPr>
          <w:u w:val="none"/>
          <w:lang w:val="en-CA"/>
        </w:rPr>
        <w:instrText xml:space="preserve"> SEQ CHAPTER \h \r 1</w:instrText>
      </w:r>
      <w:r w:rsidRPr="00C7491B">
        <w:rPr>
          <w:u w:val="none"/>
        </w:rPr>
        <w:fldChar w:fldCharType="end"/>
      </w:r>
      <w:r w:rsidRPr="00C7491B">
        <w:rPr>
          <w:u w:val="none"/>
        </w:rPr>
        <w:t xml:space="preserve"> also seeks protection of the documents as provided in Section 366.093(2), F.S., and Rule 25-22.006(6), F.A.C., while the material is in the possession of the Office of Public Counsel (OPC).  </w:t>
      </w:r>
      <w:r w:rsidRPr="00C7491B">
        <w:rPr>
          <w:u w:val="none"/>
          <w:lang w:val="en-CA"/>
        </w:rPr>
        <w:fldChar w:fldCharType="begin"/>
      </w:r>
      <w:r w:rsidRPr="00C7491B">
        <w:rPr>
          <w:u w:val="none"/>
          <w:lang w:val="en-CA"/>
        </w:rPr>
        <w:instrText xml:space="preserve"> SEQ CHAPTER \h \r 1</w:instrText>
      </w:r>
      <w:r w:rsidRPr="00C7491B">
        <w:rPr>
          <w:u w:val="none"/>
        </w:rPr>
        <w:fldChar w:fldCharType="end"/>
      </w:r>
      <w:r w:rsidRPr="00C7491B">
        <w:rPr>
          <w:u w:val="none"/>
        </w:rPr>
        <w:t>Section 366.093(2), F.S., directs that all records produced pursuant to a discovery request for which proprietary confidential status is requested shall be treated by any party subject to the public records law as confidential and exempt from the</w:t>
      </w:r>
      <w:r w:rsidRPr="00C7491B">
        <w:rPr>
          <w:u w:val="none"/>
          <w:lang w:val="en-CA"/>
        </w:rPr>
        <w:t xml:space="preserve"> </w:t>
      </w:r>
      <w:r w:rsidRPr="00C7491B">
        <w:rPr>
          <w:u w:val="none"/>
          <w:lang w:val="en-CA"/>
        </w:rPr>
        <w:fldChar w:fldCharType="begin"/>
      </w:r>
      <w:r w:rsidRPr="00C7491B">
        <w:rPr>
          <w:u w:val="none"/>
          <w:lang w:val="en-CA"/>
        </w:rPr>
        <w:instrText xml:space="preserve"> SEQ CHAPTER \h \r 1</w:instrText>
      </w:r>
      <w:r w:rsidRPr="00C7491B">
        <w:rPr>
          <w:u w:val="none"/>
        </w:rPr>
        <w:fldChar w:fldCharType="end"/>
      </w:r>
      <w:r w:rsidRPr="00C7491B">
        <w:rPr>
          <w:u w:val="none"/>
        </w:rPr>
        <w:t>public records law</w:t>
      </w:r>
      <w:r>
        <w:rPr>
          <w:u w:val="none"/>
        </w:rPr>
        <w:t>,</w:t>
      </w:r>
      <w:r w:rsidRPr="00C7491B">
        <w:rPr>
          <w:u w:val="none"/>
        </w:rPr>
        <w:t xml:space="preserve">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7C1EB8" w:rsidRPr="00C7491B" w:rsidRDefault="007C1EB8" w:rsidP="007C1EB8">
      <w:pPr>
        <w:pStyle w:val="Title"/>
        <w:ind w:left="720" w:right="720"/>
        <w:jc w:val="both"/>
        <w:rPr>
          <w:rFonts w:ascii="Times New Roman" w:hAnsi="Times New Roman" w:cs="Times New Roman"/>
          <w:b w:val="0"/>
          <w:sz w:val="24"/>
          <w:szCs w:val="24"/>
        </w:rPr>
      </w:pPr>
      <w:r w:rsidRPr="00C7491B">
        <w:rPr>
          <w:rFonts w:ascii="Times New Roman" w:hAnsi="Times New Roman" w:cs="Times New Roman"/>
          <w:b w:val="0"/>
          <w:sz w:val="24"/>
          <w:szCs w:val="24"/>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7C1EB8" w:rsidRPr="00C7491B" w:rsidRDefault="007C1EB8" w:rsidP="007C1EB8">
      <w:pPr>
        <w:pStyle w:val="Title"/>
        <w:ind w:firstLine="720"/>
        <w:jc w:val="both"/>
        <w:rPr>
          <w:rFonts w:ascii="Times New Roman" w:hAnsi="Times New Roman" w:cs="Times New Roman"/>
          <w:b w:val="0"/>
          <w:sz w:val="24"/>
          <w:szCs w:val="24"/>
        </w:rPr>
      </w:pPr>
      <w:r w:rsidRPr="00C7491B">
        <w:rPr>
          <w:rFonts w:ascii="Times New Roman" w:hAnsi="Times New Roman" w:cs="Times New Roman"/>
          <w:b w:val="0"/>
          <w:sz w:val="24"/>
          <w:szCs w:val="24"/>
          <w:lang w:val="en-CA"/>
        </w:rPr>
        <w:t>In addition</w:t>
      </w:r>
      <w:r w:rsidRPr="00C7491B">
        <w:rPr>
          <w:rFonts w:ascii="Times New Roman" w:hAnsi="Times New Roman" w:cs="Times New Roman"/>
          <w:b w:val="0"/>
          <w:sz w:val="24"/>
          <w:szCs w:val="24"/>
          <w:lang w:val="en-CA"/>
        </w:rPr>
        <w:fldChar w:fldCharType="begin"/>
      </w:r>
      <w:r w:rsidRPr="00C7491B">
        <w:rPr>
          <w:rFonts w:ascii="Times New Roman" w:hAnsi="Times New Roman" w:cs="Times New Roman"/>
          <w:b w:val="0"/>
          <w:sz w:val="24"/>
          <w:szCs w:val="24"/>
          <w:lang w:val="en-CA"/>
        </w:rPr>
        <w:instrText xml:space="preserve"> SEQ CHAPTER \h \r 1</w:instrText>
      </w:r>
      <w:r w:rsidRPr="00C7491B">
        <w:rPr>
          <w:rFonts w:ascii="Times New Roman" w:hAnsi="Times New Roman" w:cs="Times New Roman"/>
          <w:b w:val="0"/>
          <w:sz w:val="24"/>
          <w:szCs w:val="24"/>
        </w:rPr>
        <w:fldChar w:fldCharType="end"/>
      </w:r>
      <w:r w:rsidRPr="00C7491B">
        <w:rPr>
          <w:rFonts w:ascii="Times New Roman" w:hAnsi="Times New Roman" w:cs="Times New Roman"/>
          <w:b w:val="0"/>
          <w:sz w:val="24"/>
          <w:szCs w:val="24"/>
        </w:rPr>
        <w:t>, Rule 25-22.006(6)(c), F.A.C., states that if a party allows OPC to inspect or take possession of utility information, then that “utility may request a temporary protective order exempting the information from section 119.07(1), F.S.”</w:t>
      </w:r>
    </w:p>
    <w:p w:rsidR="007C1EB8" w:rsidRPr="00C7491B" w:rsidRDefault="007C1EB8" w:rsidP="007C1EB8">
      <w:pPr>
        <w:jc w:val="both"/>
        <w:rPr>
          <w:lang w:val="en-CA"/>
        </w:rPr>
      </w:pPr>
    </w:p>
    <w:p w:rsidR="007C1EB8" w:rsidRPr="00C7491B" w:rsidRDefault="007C1EB8" w:rsidP="007C1EB8">
      <w:pPr>
        <w:jc w:val="both"/>
      </w:pPr>
      <w:r w:rsidRPr="00C7491B">
        <w:rPr>
          <w:lang w:val="en-CA"/>
        </w:rPr>
        <w:tab/>
      </w:r>
      <w:r w:rsidRPr="00C7491B">
        <w:rPr>
          <w:lang w:val="en-CA"/>
        </w:rPr>
        <w:fldChar w:fldCharType="begin"/>
      </w:r>
      <w:r w:rsidRPr="00C7491B">
        <w:rPr>
          <w:lang w:val="en-CA"/>
        </w:rPr>
        <w:instrText xml:space="preserve"> SEQ CHAPTER \h \r 1</w:instrText>
      </w:r>
      <w:r w:rsidRPr="00C7491B">
        <w:fldChar w:fldCharType="end"/>
      </w:r>
      <w:r w:rsidRPr="00C7491B">
        <w:t xml:space="preserve">Upon consideration of TECO’s assertions of the confidential nature of the information contained in portions of its Form 423 Fuel Report for </w:t>
      </w:r>
      <w:r>
        <w:t xml:space="preserve">the months of March, April and May 2015, </w:t>
      </w:r>
      <w:r w:rsidRPr="00C7491B">
        <w:t xml:space="preserve">Document No. </w:t>
      </w:r>
      <w:r>
        <w:t>04834-15</w:t>
      </w:r>
      <w:r w:rsidRPr="00C7491B">
        <w:t>, TECO’s Motion for Temporary Protective Order is hereby granted.  As a result, this information shall be protected from disclosure pursuant to Rule 25-22.006(6), F.A.C.</w:t>
      </w:r>
    </w:p>
    <w:p w:rsidR="007C1EB8" w:rsidRPr="00C7491B" w:rsidRDefault="007C1EB8" w:rsidP="007C1EB8">
      <w:pPr>
        <w:jc w:val="both"/>
      </w:pPr>
    </w:p>
    <w:p w:rsidR="007C1EB8" w:rsidRDefault="007C1EB8" w:rsidP="007C1EB8">
      <w:pPr>
        <w:jc w:val="both"/>
      </w:pPr>
      <w:r w:rsidRPr="00C7491B">
        <w:tab/>
        <w:t>Based on the foregoing, it is</w:t>
      </w:r>
      <w:r>
        <w:t xml:space="preserve"> hereby</w:t>
      </w:r>
    </w:p>
    <w:p w:rsidR="007C1EB8" w:rsidRDefault="007C1EB8" w:rsidP="007C1EB8">
      <w:pPr>
        <w:jc w:val="both"/>
      </w:pPr>
    </w:p>
    <w:p w:rsidR="007C1EB8" w:rsidRDefault="007C1EB8" w:rsidP="007C1EB8">
      <w:pPr>
        <w:jc w:val="both"/>
      </w:pPr>
      <w:r>
        <w:tab/>
        <w:t>ORDERED by Chairman Art Graham, as Prehearing Officer, that Tampa Electric Company’s Request for Confidential Classification of Document No. 04834-15 is granted.   It is further</w:t>
      </w:r>
    </w:p>
    <w:p w:rsidR="007C1EB8" w:rsidRDefault="007C1EB8" w:rsidP="007C1EB8">
      <w:pPr>
        <w:jc w:val="both"/>
      </w:pPr>
    </w:p>
    <w:p w:rsidR="007C1EB8" w:rsidRDefault="007C1EB8" w:rsidP="007C1EB8">
      <w:pPr>
        <w:jc w:val="both"/>
      </w:pPr>
      <w:r>
        <w:tab/>
        <w:t>ORDERED that the coal and coal transportation data referenced in Document No. 04834-15 shall be granted confidential classification for a period of two years from the date of the issuance of this Order.  It is further</w:t>
      </w:r>
    </w:p>
    <w:p w:rsidR="007C1EB8" w:rsidRDefault="007C1EB8" w:rsidP="007C1EB8">
      <w:pPr>
        <w:jc w:val="both"/>
      </w:pPr>
    </w:p>
    <w:p w:rsidR="007C1EB8" w:rsidRDefault="007C1EB8" w:rsidP="007C1EB8">
      <w:pPr>
        <w:jc w:val="both"/>
      </w:pPr>
      <w:r>
        <w:tab/>
        <w:t>ORDERED that the fuel oil contract data referenced in Document No.</w:t>
      </w:r>
      <w:r w:rsidRPr="00D850D5">
        <w:t xml:space="preserve"> </w:t>
      </w:r>
      <w:r>
        <w:t>04834-15 shall be granted confidential classification for a period of two years from the date of the issuance of this Order.  It is further</w:t>
      </w:r>
    </w:p>
    <w:p w:rsidR="007C1EB8" w:rsidRDefault="007C1EB8" w:rsidP="007C1EB8">
      <w:pPr>
        <w:jc w:val="both"/>
      </w:pPr>
    </w:p>
    <w:p w:rsidR="007C1EB8" w:rsidRDefault="007C1EB8" w:rsidP="007C1EB8">
      <w:pPr>
        <w:pStyle w:val="OrderBody"/>
      </w:pPr>
      <w:r>
        <w:tab/>
        <w:t>ORDERED that this Order will be the only notification by the Commission to the parties concerning the expiration of the confidentiality time period.  It is further</w:t>
      </w:r>
    </w:p>
    <w:p w:rsidR="007C1EB8" w:rsidRDefault="007C1EB8" w:rsidP="007C1EB8">
      <w:pPr>
        <w:pStyle w:val="OrderBody"/>
      </w:pPr>
    </w:p>
    <w:p w:rsidR="007C1EB8" w:rsidRDefault="007C1EB8" w:rsidP="007C1EB8">
      <w:pPr>
        <w:pStyle w:val="OrderBody"/>
      </w:pPr>
      <w:r>
        <w:tab/>
        <w:t>ORDERED that the Motion for Temporary Protective Order filed by Tampa Electric Company is granted.</w:t>
      </w:r>
    </w:p>
    <w:p w:rsidR="007C1EB8" w:rsidRDefault="007C1EB8" w:rsidP="007C1EB8">
      <w:pPr>
        <w:pStyle w:val="OrderBody"/>
      </w:pPr>
    </w:p>
    <w:p w:rsidR="007C1EB8" w:rsidRDefault="007C1EB8" w:rsidP="007C1EB8">
      <w:pPr>
        <w:pStyle w:val="OrderBody"/>
        <w:keepNext/>
        <w:keepLines/>
      </w:pPr>
      <w:r>
        <w:tab/>
        <w:t xml:space="preserve">By ORDER of Chairman Art Graham, as Prehearing Officer, this </w:t>
      </w:r>
      <w:bookmarkStart w:id="6" w:name="replaceDate"/>
      <w:bookmarkEnd w:id="6"/>
      <w:r w:rsidR="00A90327">
        <w:rPr>
          <w:u w:val="single"/>
        </w:rPr>
        <w:t>15th</w:t>
      </w:r>
      <w:r w:rsidR="00A90327">
        <w:t xml:space="preserve"> day of </w:t>
      </w:r>
      <w:r w:rsidR="00A90327">
        <w:rPr>
          <w:u w:val="single"/>
        </w:rPr>
        <w:t>October</w:t>
      </w:r>
      <w:r w:rsidR="00A90327">
        <w:t xml:space="preserve">, </w:t>
      </w:r>
      <w:r w:rsidR="00A90327">
        <w:rPr>
          <w:u w:val="single"/>
        </w:rPr>
        <w:t>2015</w:t>
      </w:r>
      <w:r w:rsidR="00A90327">
        <w:t>.</w:t>
      </w:r>
    </w:p>
    <w:p w:rsidR="00A90327" w:rsidRPr="00A90327" w:rsidRDefault="00A90327" w:rsidP="007C1EB8">
      <w:pPr>
        <w:pStyle w:val="OrderBody"/>
        <w:keepNext/>
        <w:keepLines/>
      </w:pPr>
    </w:p>
    <w:p w:rsidR="007C1EB8" w:rsidRDefault="007C1EB8" w:rsidP="007C1EB8">
      <w:pPr>
        <w:pStyle w:val="OrderBody"/>
        <w:keepNext/>
        <w:keepLines/>
      </w:pPr>
    </w:p>
    <w:p w:rsidR="007C1EB8" w:rsidRDefault="007C1EB8" w:rsidP="007C1EB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C1EB8" w:rsidTr="007C1EB8">
        <w:tc>
          <w:tcPr>
            <w:tcW w:w="720" w:type="dxa"/>
            <w:shd w:val="clear" w:color="auto" w:fill="auto"/>
          </w:tcPr>
          <w:p w:rsidR="007C1EB8" w:rsidRDefault="007C1EB8" w:rsidP="007C1EB8">
            <w:pPr>
              <w:pStyle w:val="OrderBody"/>
              <w:keepNext/>
              <w:keepLines/>
            </w:pPr>
            <w:bookmarkStart w:id="7" w:name="bkmrkSignature" w:colFirst="0" w:colLast="0"/>
          </w:p>
        </w:tc>
        <w:tc>
          <w:tcPr>
            <w:tcW w:w="4320" w:type="dxa"/>
            <w:tcBorders>
              <w:bottom w:val="single" w:sz="4" w:space="0" w:color="auto"/>
            </w:tcBorders>
            <w:shd w:val="clear" w:color="auto" w:fill="auto"/>
          </w:tcPr>
          <w:p w:rsidR="007C1EB8" w:rsidRDefault="00A90327" w:rsidP="007C1EB8">
            <w:pPr>
              <w:pStyle w:val="OrderBody"/>
              <w:keepNext/>
              <w:keepLines/>
            </w:pPr>
            <w:r>
              <w:t>/s/ Art Graham</w:t>
            </w:r>
            <w:bookmarkStart w:id="8" w:name="_GoBack"/>
            <w:bookmarkEnd w:id="8"/>
          </w:p>
        </w:tc>
      </w:tr>
      <w:bookmarkEnd w:id="7"/>
      <w:tr w:rsidR="007C1EB8" w:rsidTr="007C1EB8">
        <w:tc>
          <w:tcPr>
            <w:tcW w:w="720" w:type="dxa"/>
            <w:shd w:val="clear" w:color="auto" w:fill="auto"/>
          </w:tcPr>
          <w:p w:rsidR="007C1EB8" w:rsidRDefault="007C1EB8" w:rsidP="007C1EB8">
            <w:pPr>
              <w:pStyle w:val="OrderBody"/>
              <w:keepNext/>
              <w:keepLines/>
            </w:pPr>
          </w:p>
        </w:tc>
        <w:tc>
          <w:tcPr>
            <w:tcW w:w="4320" w:type="dxa"/>
            <w:tcBorders>
              <w:top w:val="single" w:sz="4" w:space="0" w:color="auto"/>
            </w:tcBorders>
            <w:shd w:val="clear" w:color="auto" w:fill="auto"/>
          </w:tcPr>
          <w:p w:rsidR="007C1EB8" w:rsidRDefault="007C1EB8" w:rsidP="007C1EB8">
            <w:pPr>
              <w:pStyle w:val="OrderBody"/>
              <w:keepNext/>
              <w:keepLines/>
            </w:pPr>
            <w:r>
              <w:t>ART GRAHAM</w:t>
            </w:r>
          </w:p>
          <w:p w:rsidR="007C1EB8" w:rsidRDefault="007C1EB8" w:rsidP="007C1EB8">
            <w:pPr>
              <w:pStyle w:val="OrderBody"/>
              <w:keepNext/>
              <w:keepLines/>
            </w:pPr>
            <w:r>
              <w:t>Chairman and Prehearing Officer</w:t>
            </w:r>
          </w:p>
        </w:tc>
      </w:tr>
    </w:tbl>
    <w:p w:rsidR="007C1EB8" w:rsidRDefault="007C1EB8" w:rsidP="007C1EB8">
      <w:pPr>
        <w:pStyle w:val="OrderSigInfo"/>
        <w:keepNext/>
        <w:keepLines/>
      </w:pPr>
      <w:r>
        <w:t>Florida Public Service Commission</w:t>
      </w:r>
    </w:p>
    <w:p w:rsidR="007C1EB8" w:rsidRDefault="007C1EB8" w:rsidP="007C1EB8">
      <w:pPr>
        <w:pStyle w:val="OrderSigInfo"/>
        <w:keepNext/>
        <w:keepLines/>
      </w:pPr>
      <w:r>
        <w:t>2540 Shumard Oak Boulevard</w:t>
      </w:r>
    </w:p>
    <w:p w:rsidR="007C1EB8" w:rsidRDefault="007C1EB8" w:rsidP="007C1EB8">
      <w:pPr>
        <w:pStyle w:val="OrderSigInfo"/>
        <w:keepNext/>
        <w:keepLines/>
      </w:pPr>
      <w:r>
        <w:t>Tallahassee, Florida  32399</w:t>
      </w:r>
    </w:p>
    <w:p w:rsidR="007C1EB8" w:rsidRDefault="007C1EB8" w:rsidP="007C1EB8">
      <w:pPr>
        <w:pStyle w:val="OrderSigInfo"/>
        <w:keepNext/>
        <w:keepLines/>
      </w:pPr>
      <w:r>
        <w:t>(850) 413</w:t>
      </w:r>
      <w:r>
        <w:noBreakHyphen/>
        <w:t>6770</w:t>
      </w:r>
    </w:p>
    <w:p w:rsidR="007C1EB8" w:rsidRDefault="007C1EB8" w:rsidP="007C1EB8">
      <w:pPr>
        <w:pStyle w:val="OrderSigInfo"/>
        <w:keepNext/>
        <w:keepLines/>
      </w:pPr>
      <w:r>
        <w:t>www.floridapsc.com</w:t>
      </w:r>
    </w:p>
    <w:p w:rsidR="007C1EB8" w:rsidRDefault="007C1EB8" w:rsidP="007C1EB8">
      <w:pPr>
        <w:pStyle w:val="OrderSigInfo"/>
        <w:keepNext/>
        <w:keepLines/>
      </w:pPr>
    </w:p>
    <w:p w:rsidR="007C1EB8" w:rsidRDefault="007C1EB8" w:rsidP="007C1EB8">
      <w:pPr>
        <w:pStyle w:val="OrderSigInfo"/>
        <w:keepNext/>
        <w:keepLines/>
      </w:pPr>
      <w:r>
        <w:t>Copies furnished:  A copy of this document is provided to the parties of record at the time of issuance and, if applicable, interested persons.</w:t>
      </w:r>
    </w:p>
    <w:p w:rsidR="007C1EB8" w:rsidRDefault="007C1EB8" w:rsidP="007C1EB8">
      <w:pPr>
        <w:pStyle w:val="OrderBody"/>
        <w:keepNext/>
        <w:keepLines/>
      </w:pPr>
    </w:p>
    <w:p w:rsidR="007C1EB8" w:rsidRDefault="007C1EB8" w:rsidP="007C1EB8">
      <w:pPr>
        <w:pStyle w:val="OrderBody"/>
        <w:keepNext/>
        <w:keepLines/>
      </w:pPr>
    </w:p>
    <w:p w:rsidR="007C1EB8" w:rsidRDefault="007C1EB8" w:rsidP="007C1EB8">
      <w:pPr>
        <w:pStyle w:val="OrderBody"/>
        <w:keepNext/>
        <w:keepLines/>
      </w:pPr>
      <w:r>
        <w:t>DJ</w:t>
      </w:r>
    </w:p>
    <w:p w:rsidR="007C1EB8" w:rsidRDefault="007C1EB8" w:rsidP="007C1EB8">
      <w:pPr>
        <w:pStyle w:val="OrderBody"/>
        <w:keepNext/>
        <w:keepLines/>
      </w:pPr>
    </w:p>
    <w:p w:rsidR="007C1EB8" w:rsidRDefault="007C1EB8" w:rsidP="007C1EB8">
      <w:pPr>
        <w:pStyle w:val="OrderBody"/>
        <w:keepNext/>
        <w:keepLines/>
      </w:pPr>
    </w:p>
    <w:p w:rsidR="007C1EB8" w:rsidRDefault="007C1EB8" w:rsidP="007C1EB8">
      <w:pPr>
        <w:pStyle w:val="OrderBody"/>
        <w:keepNext/>
        <w:keepLines/>
      </w:pPr>
    </w:p>
    <w:p w:rsidR="007C1EB8" w:rsidRDefault="007C1EB8" w:rsidP="007C1EB8">
      <w:pPr>
        <w:pStyle w:val="OrderBody"/>
        <w:keepNext/>
        <w:keepLines/>
      </w:pPr>
    </w:p>
    <w:p w:rsidR="007C1EB8" w:rsidRDefault="007C1EB8" w:rsidP="007C1EB8">
      <w:pPr>
        <w:pStyle w:val="OrderBody"/>
        <w:keepNext/>
        <w:keepLines/>
      </w:pPr>
    </w:p>
    <w:p w:rsidR="007C1EB8" w:rsidRDefault="007C1EB8" w:rsidP="007C1EB8">
      <w:pPr>
        <w:pStyle w:val="OrderBody"/>
        <w:keepNext/>
        <w:keepLines/>
      </w:pPr>
    </w:p>
    <w:p w:rsidR="007C1EB8" w:rsidRDefault="007C1EB8" w:rsidP="007C1EB8">
      <w:pPr>
        <w:pStyle w:val="OrderBody"/>
        <w:keepNext/>
        <w:keepLines/>
      </w:pPr>
    </w:p>
    <w:p w:rsidR="007C1EB8" w:rsidRDefault="007C1EB8" w:rsidP="007C1EB8">
      <w:pPr>
        <w:pStyle w:val="OrderBody"/>
        <w:keepNext/>
        <w:keepLines/>
      </w:pPr>
    </w:p>
    <w:p w:rsidR="007C1EB8" w:rsidRDefault="007C1EB8" w:rsidP="007C1EB8">
      <w:pPr>
        <w:pStyle w:val="OrderBody"/>
        <w:keepNext/>
        <w:keepLines/>
      </w:pPr>
    </w:p>
    <w:p w:rsidR="007C1EB8" w:rsidRDefault="007C1EB8" w:rsidP="007C1EB8">
      <w:pPr>
        <w:pStyle w:val="OrderBody"/>
        <w:keepNext/>
        <w:keepLines/>
      </w:pPr>
    </w:p>
    <w:p w:rsidR="007C1EB8" w:rsidRDefault="007C1EB8" w:rsidP="007C1EB8">
      <w:pPr>
        <w:pStyle w:val="OrderBody"/>
        <w:keepNext/>
        <w:keepLines/>
      </w:pPr>
    </w:p>
    <w:p w:rsidR="007C1EB8" w:rsidRDefault="007C1EB8" w:rsidP="007C1EB8">
      <w:pPr>
        <w:pStyle w:val="OrderBody"/>
        <w:keepNext/>
        <w:keepLines/>
      </w:pPr>
    </w:p>
    <w:p w:rsidR="007C1EB8" w:rsidRDefault="007C1EB8" w:rsidP="007C1EB8">
      <w:pPr>
        <w:pStyle w:val="OrderBody"/>
        <w:keepNext/>
        <w:keepLines/>
      </w:pPr>
    </w:p>
    <w:p w:rsidR="007C1EB8" w:rsidRDefault="007C1EB8" w:rsidP="007C1EB8">
      <w:pPr>
        <w:pStyle w:val="OrderBody"/>
        <w:keepNext/>
        <w:keepLines/>
      </w:pPr>
    </w:p>
    <w:p w:rsidR="007C1EB8" w:rsidRDefault="007C1EB8" w:rsidP="007C1EB8">
      <w:pPr>
        <w:pStyle w:val="OrderBody"/>
        <w:keepNext/>
        <w:keepLines/>
      </w:pPr>
    </w:p>
    <w:p w:rsidR="007C1EB8" w:rsidRDefault="007C1EB8" w:rsidP="007C1EB8">
      <w:pPr>
        <w:pStyle w:val="OrderBody"/>
        <w:keepNext/>
        <w:keepLines/>
      </w:pPr>
    </w:p>
    <w:p w:rsidR="007C1EB8" w:rsidRDefault="007C1EB8">
      <w:pPr>
        <w:pStyle w:val="OrderBody"/>
      </w:pPr>
    </w:p>
    <w:p w:rsidR="00A90327" w:rsidRDefault="00A90327" w:rsidP="007C1EB8">
      <w:pPr>
        <w:pStyle w:val="CenterUnderline"/>
      </w:pPr>
    </w:p>
    <w:p w:rsidR="007C1EB8" w:rsidRDefault="007C1EB8" w:rsidP="007C1EB8">
      <w:pPr>
        <w:pStyle w:val="CenterUnderline"/>
      </w:pPr>
      <w:r>
        <w:lastRenderedPageBreak/>
        <w:t>NOTICE OF FURTHER PROCEEDINGS OR JUDICIAL REVIEW</w:t>
      </w:r>
    </w:p>
    <w:p w:rsidR="00CB5276" w:rsidRDefault="00CB5276" w:rsidP="007C1EB8">
      <w:pPr>
        <w:pStyle w:val="CenterUnderline"/>
      </w:pPr>
    </w:p>
    <w:p w:rsidR="007C1EB8" w:rsidRDefault="007C1EB8" w:rsidP="007C1EB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C1EB8" w:rsidRDefault="007C1EB8" w:rsidP="007C1EB8">
      <w:pPr>
        <w:pStyle w:val="OrderBody"/>
      </w:pPr>
    </w:p>
    <w:p w:rsidR="007C1EB8" w:rsidRDefault="007C1EB8" w:rsidP="007C1EB8">
      <w:pPr>
        <w:pStyle w:val="OrderBody"/>
      </w:pPr>
      <w:r>
        <w:tab/>
        <w:t>Mediation may be available on a case-by-case basis.  If mediation is conducted, it does not affect a substantially interested person's right to a hearing.</w:t>
      </w:r>
    </w:p>
    <w:p w:rsidR="007C1EB8" w:rsidRDefault="007C1EB8" w:rsidP="007C1EB8">
      <w:pPr>
        <w:pStyle w:val="OrderBody"/>
      </w:pPr>
    </w:p>
    <w:p w:rsidR="007C1EB8" w:rsidRDefault="007C1EB8" w:rsidP="007C1EB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C1EB8" w:rsidRDefault="007C1EB8" w:rsidP="007C1EB8">
      <w:pPr>
        <w:pStyle w:val="OrderBody"/>
      </w:pPr>
    </w:p>
    <w:p w:rsidR="007C1EB8" w:rsidRDefault="007C1EB8" w:rsidP="007C1EB8">
      <w:pPr>
        <w:pStyle w:val="OrderBody"/>
      </w:pPr>
    </w:p>
    <w:p w:rsidR="007C1EB8" w:rsidRPr="007C1EB8" w:rsidRDefault="007C1EB8" w:rsidP="007C1EB8">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6FC" w:rsidRDefault="005056FC">
      <w:r>
        <w:separator/>
      </w:r>
    </w:p>
  </w:endnote>
  <w:endnote w:type="continuationSeparator" w:id="0">
    <w:p w:rsidR="005056FC" w:rsidRDefault="0050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6FC" w:rsidRDefault="005056FC">
      <w:r>
        <w:separator/>
      </w:r>
    </w:p>
  </w:footnote>
  <w:footnote w:type="continuationSeparator" w:id="0">
    <w:p w:rsidR="005056FC" w:rsidRDefault="00505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71 ">
      <w:r w:rsidR="00A90327">
        <w:t>PSC-15-0471-CFO-EI</w:t>
      </w:r>
    </w:fldSimple>
  </w:p>
  <w:p w:rsidR="00FA6EFD" w:rsidRDefault="005056FC">
    <w:pPr>
      <w:pStyle w:val="OrderHeader"/>
    </w:pPr>
    <w:bookmarkStart w:id="9" w:name="HeaderDocketNo"/>
    <w:bookmarkEnd w:id="9"/>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90327">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1-EI"/>
  </w:docVars>
  <w:rsids>
    <w:rsidRoot w:val="005056FC"/>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C2C01"/>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056FC"/>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C1EB8"/>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0327"/>
    <w:rsid w:val="00A97535"/>
    <w:rsid w:val="00AA73F1"/>
    <w:rsid w:val="00AB0E1A"/>
    <w:rsid w:val="00AB1A30"/>
    <w:rsid w:val="00AD1ED3"/>
    <w:rsid w:val="00B0777D"/>
    <w:rsid w:val="00B4057A"/>
    <w:rsid w:val="00B40894"/>
    <w:rsid w:val="00B45E75"/>
    <w:rsid w:val="00B50876"/>
    <w:rsid w:val="00B55EE5"/>
    <w:rsid w:val="00B73DE6"/>
    <w:rsid w:val="00B82E59"/>
    <w:rsid w:val="00B86EF0"/>
    <w:rsid w:val="00B97900"/>
    <w:rsid w:val="00BA44A8"/>
    <w:rsid w:val="00BF6691"/>
    <w:rsid w:val="00C028FC"/>
    <w:rsid w:val="00C66692"/>
    <w:rsid w:val="00C91123"/>
    <w:rsid w:val="00C9118D"/>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next w:val="Normal"/>
    <w:link w:val="TitleChar"/>
    <w:qFormat/>
    <w:rsid w:val="007C1EB8"/>
    <w:pPr>
      <w:spacing w:before="240" w:after="60"/>
      <w:jc w:val="center"/>
      <w:outlineLvl w:val="0"/>
    </w:pPr>
    <w:rPr>
      <w:rFonts w:ascii="Arial" w:eastAsia="MS PGothic" w:hAnsi="Arial" w:cs="Arial"/>
      <w:b/>
      <w:bCs/>
      <w:kern w:val="28"/>
      <w:sz w:val="32"/>
      <w:szCs w:val="32"/>
    </w:rPr>
  </w:style>
  <w:style w:type="character" w:customStyle="1" w:styleId="TitleChar">
    <w:name w:val="Title Char"/>
    <w:basedOn w:val="DefaultParagraphFont"/>
    <w:link w:val="Title"/>
    <w:rsid w:val="007C1EB8"/>
    <w:rPr>
      <w:rFonts w:ascii="Arial" w:eastAsia="MS PGothic" w:hAnsi="Arial"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next w:val="Normal"/>
    <w:link w:val="TitleChar"/>
    <w:qFormat/>
    <w:rsid w:val="007C1EB8"/>
    <w:pPr>
      <w:spacing w:before="240" w:after="60"/>
      <w:jc w:val="center"/>
      <w:outlineLvl w:val="0"/>
    </w:pPr>
    <w:rPr>
      <w:rFonts w:ascii="Arial" w:eastAsia="MS PGothic" w:hAnsi="Arial" w:cs="Arial"/>
      <w:b/>
      <w:bCs/>
      <w:kern w:val="28"/>
      <w:sz w:val="32"/>
      <w:szCs w:val="32"/>
    </w:rPr>
  </w:style>
  <w:style w:type="character" w:customStyle="1" w:styleId="TitleChar">
    <w:name w:val="Title Char"/>
    <w:basedOn w:val="DefaultParagraphFont"/>
    <w:link w:val="Title"/>
    <w:rsid w:val="007C1EB8"/>
    <w:rPr>
      <w:rFonts w:ascii="Arial" w:eastAsia="MS PGothic"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6</Pages>
  <Words>2300</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2015-10-14T20:53:00Z</dcterms:created>
  <dcterms:modified xsi:type="dcterms:W3CDTF">2015-10-15T14:01:00Z</dcterms:modified>
</cp:coreProperties>
</file>