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AE305E">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4462A1">
            <w:pPr>
              <w:jc w:val="center"/>
            </w:pPr>
            <w:r>
              <w:rPr>
                <w:noProof/>
              </w:rPr>
              <w:drawing>
                <wp:inline distT="0" distB="0" distL="0" distR="0" wp14:anchorId="549C0316" wp14:editId="002F554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380150" w:rsidRDefault="007C0528">
            <w:pPr>
              <w:pStyle w:val="MastHeadMemorandum"/>
              <w:rPr>
                <w:lang w:val="es-MX"/>
              </w:rPr>
            </w:pPr>
            <w:r w:rsidRPr="00380150">
              <w:rPr>
                <w:lang w:val="es-MX"/>
              </w:rPr>
              <w:t>-M-E-M-O-R-A-N-D-U-M-</w:t>
            </w:r>
          </w:p>
          <w:p w:rsidR="007C0528" w:rsidRPr="00380150"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F650D">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F650D" w:rsidRDefault="000F650D">
            <w:pPr>
              <w:pStyle w:val="MemoHeading"/>
            </w:pPr>
            <w:bookmarkStart w:id="2" w:name="From"/>
            <w:r>
              <w:t>Division of Economics (Rome, Draper)</w:t>
            </w:r>
          </w:p>
          <w:p w:rsidR="007C0528" w:rsidRDefault="000F650D">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F650D">
            <w:pPr>
              <w:pStyle w:val="MemoHeadingRe"/>
            </w:pPr>
            <w:bookmarkStart w:id="3" w:name="Re"/>
            <w:r>
              <w:t>Docket No. 150220-GU – Petition for approval of tariff modifications related to the swing service charge,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F650D">
            <w:pPr>
              <w:pStyle w:val="MemoHeading"/>
            </w:pPr>
            <w:bookmarkStart w:id="4" w:name="AgendaDate"/>
            <w:r>
              <w:t>12/03/15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F650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F650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43AB3" w:rsidP="004E061B">
            <w:pPr>
              <w:pStyle w:val="MemoHeading"/>
            </w:pPr>
            <w:r>
              <w:t>8-Month Effective Date: 6/9/201</w:t>
            </w:r>
            <w:r w:rsidR="004E061B">
              <w:t>6</w:t>
            </w:r>
            <w:r w:rsidR="00514C08">
              <w:t xml:space="preserve"> (60-day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F650D">
            <w:pPr>
              <w:pStyle w:val="MemoHeading"/>
            </w:pPr>
            <w:bookmarkStart w:id="9" w:name="SpecialInstructions"/>
            <w:r>
              <w:t>Please place this item immediately following the item for Docket No. 150221-GU on the Agenda</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C812E1" w:rsidRDefault="00FA7496" w:rsidP="003D0170">
      <w:pPr>
        <w:pStyle w:val="BodyText"/>
      </w:pPr>
      <w:r>
        <w:t xml:space="preserve">On October 9, 2015, Peoples Gas System (Peoples) filed a petition for approval of </w:t>
      </w:r>
      <w:r w:rsidR="00DF5CC4">
        <w:t xml:space="preserve">tariff </w:t>
      </w:r>
      <w:r>
        <w:t>modifications relat</w:t>
      </w:r>
      <w:r w:rsidR="00DF5CC4">
        <w:t>ed</w:t>
      </w:r>
      <w:r>
        <w:t xml:space="preserve"> to its swing service charge</w:t>
      </w:r>
      <w:r w:rsidR="00087D02">
        <w:t>.</w:t>
      </w:r>
      <w:r>
        <w:t xml:space="preserve"> </w:t>
      </w:r>
      <w:r w:rsidR="00DF5CC4">
        <w:t>The</w:t>
      </w:r>
      <w:r w:rsidR="00D07B0A">
        <w:t xml:space="preserve"> swing service charge is </w:t>
      </w:r>
      <w:r w:rsidR="000D7160">
        <w:t>assessed</w:t>
      </w:r>
      <w:r w:rsidR="00D07B0A">
        <w:t xml:space="preserve"> to</w:t>
      </w:r>
      <w:r w:rsidR="000D7160">
        <w:t xml:space="preserve"> all</w:t>
      </w:r>
      <w:r w:rsidR="00D07B0A">
        <w:t xml:space="preserve"> </w:t>
      </w:r>
      <w:r w:rsidR="003D0170">
        <w:t xml:space="preserve">customers who take service under </w:t>
      </w:r>
      <w:r w:rsidR="00C649D1">
        <w:t xml:space="preserve">Peoples’ Natural Choice Transportation Service program called </w:t>
      </w:r>
      <w:r w:rsidR="00D07B0A">
        <w:t>Rider NCTS.</w:t>
      </w:r>
      <w:r w:rsidR="003177E2">
        <w:t xml:space="preserve"> </w:t>
      </w:r>
      <w:r w:rsidR="00D07B0A">
        <w:t xml:space="preserve"> </w:t>
      </w:r>
    </w:p>
    <w:p w:rsidR="003D0170" w:rsidRDefault="00D07B0A" w:rsidP="003D0170">
      <w:pPr>
        <w:pStyle w:val="BodyText"/>
      </w:pPr>
      <w:r>
        <w:t>The swing ser</w:t>
      </w:r>
      <w:r w:rsidR="00C649D1">
        <w:t>vice charge was first approved in 2000</w:t>
      </w:r>
      <w:r>
        <w:t xml:space="preserve"> when Peoples filed numerous tariff changes to make transportation service available to all non-residential customers pursuant to Rule 25-7.0335, Florida Administrative Code (F.A.C.).</w:t>
      </w:r>
      <w:r>
        <w:rPr>
          <w:rStyle w:val="FootnoteReference"/>
        </w:rPr>
        <w:footnoteReference w:id="1"/>
      </w:r>
      <w:r>
        <w:t xml:space="preserve"> The proposed tariff changes </w:t>
      </w:r>
      <w:r w:rsidR="000D7160">
        <w:t>are</w:t>
      </w:r>
      <w:r>
        <w:t xml:space="preserve"> shown in </w:t>
      </w:r>
      <w:r>
        <w:lastRenderedPageBreak/>
        <w:t xml:space="preserve">Attachment </w:t>
      </w:r>
      <w:r w:rsidR="00AE305E">
        <w:t>A</w:t>
      </w:r>
      <w:r w:rsidR="000D7160">
        <w:t xml:space="preserve"> to the recommendation</w:t>
      </w:r>
      <w:r>
        <w:t>. The tariff page is in legislative format to display the proposed changes.</w:t>
      </w:r>
      <w:r w:rsidR="003D0170">
        <w:t xml:space="preserve"> In its petition, Peoples waived the 60-day file and suspend provisions of Section 366.0</w:t>
      </w:r>
      <w:r w:rsidR="00237BFF">
        <w:t>6</w:t>
      </w:r>
      <w:r w:rsidR="003D0170">
        <w:t xml:space="preserve">(3), </w:t>
      </w:r>
      <w:r w:rsidR="00514C08">
        <w:t>Florida Statutes, (</w:t>
      </w:r>
      <w:r w:rsidR="003D0170">
        <w:t>F.S.</w:t>
      </w:r>
      <w:r w:rsidR="00514C08">
        <w:t>).</w:t>
      </w:r>
    </w:p>
    <w:p w:rsidR="00E40503" w:rsidRDefault="00643AB3" w:rsidP="00E40503">
      <w:pPr>
        <w:pStyle w:val="BodyText"/>
      </w:pPr>
      <w:r>
        <w:t xml:space="preserve">On October 12, 2015, the Office of Public Counsel (OPC) filed a notice of intervention in the docket and on October 21, 2015, Peoples, OPC and staff met in a noticed meeting. </w:t>
      </w:r>
      <w:r w:rsidR="001C63F1">
        <w:t>During its evaluation of the petition, staff issued a data request to Peoples for which a response was received on October 26, 2015. The Commission has jurisdiction over this matter pursuant to Sections 366.03, 366.05, and 366.06, F.S.</w:t>
      </w:r>
    </w:p>
    <w:p w:rsidR="00E40503" w:rsidRDefault="00E40503" w:rsidP="00E40503">
      <w:pPr>
        <w:pStyle w:val="BodyText"/>
      </w:pPr>
    </w:p>
    <w:p w:rsidR="00E40503" w:rsidRDefault="00E40503" w:rsidP="00E40503">
      <w:pPr>
        <w:pStyle w:val="BodyText"/>
        <w:sectPr w:rsidR="00E40503" w:rsidSect="00D07B0A">
          <w:headerReference w:type="default" r:id="rId10"/>
          <w:footerReference w:type="default" r:id="rId11"/>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bookmarkEnd w:id="11"/>
      <w:r>
        <w:lastRenderedPageBreak/>
        <w:t>Discussion of Issues</w:t>
      </w:r>
    </w:p>
    <w:bookmarkEnd w:id="15"/>
    <w:p w:rsidR="003D1A6A" w:rsidRDefault="003D1A6A">
      <w:pPr>
        <w:pStyle w:val="IssueHeading"/>
        <w:rPr>
          <w:vanish/>
          <w:specVanish/>
        </w:rPr>
      </w:pPr>
      <w:r w:rsidRPr="004C3641">
        <w:t xml:space="preserve">Issue </w:t>
      </w:r>
      <w:fldSimple w:instr=" SEQ Issue \* MERGEFORMAT ">
        <w:r w:rsidR="00FC50B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C50B9">
        <w:rPr>
          <w:noProof/>
        </w:rPr>
        <w:instrText>1</w:instrText>
      </w:r>
      <w:r>
        <w:fldChar w:fldCharType="end"/>
      </w:r>
      <w:r>
        <w:tab/>
        <w:instrText xml:space="preserve">(Rome, Draper)" \l 1 </w:instrText>
      </w:r>
      <w:r>
        <w:fldChar w:fldCharType="end"/>
      </w:r>
      <w:r>
        <w:t> </w:t>
      </w:r>
    </w:p>
    <w:p w:rsidR="003D1A6A" w:rsidRDefault="003D1A6A">
      <w:pPr>
        <w:pStyle w:val="BodyText"/>
      </w:pPr>
      <w:r>
        <w:t> Should the Commission approve Peoples' tariff modifications related to the swing service charge?</w:t>
      </w:r>
    </w:p>
    <w:p w:rsidR="003D1A6A" w:rsidRPr="004C3641" w:rsidRDefault="003D1A6A">
      <w:pPr>
        <w:pStyle w:val="IssueSubsectionHeading"/>
        <w:rPr>
          <w:vanish/>
          <w:specVanish/>
        </w:rPr>
      </w:pPr>
      <w:r w:rsidRPr="004C3641">
        <w:t>Recommendation: </w:t>
      </w:r>
    </w:p>
    <w:p w:rsidR="003D1A6A" w:rsidRDefault="003D1A6A">
      <w:pPr>
        <w:pStyle w:val="BodyText"/>
      </w:pPr>
      <w:r>
        <w:t xml:space="preserve"> Yes. </w:t>
      </w:r>
      <w:r w:rsidR="00A87C15">
        <w:t xml:space="preserve">The Commission should approve the tariff modifications </w:t>
      </w:r>
      <w:r w:rsidR="00DF5CC4">
        <w:t xml:space="preserve">related </w:t>
      </w:r>
      <w:r w:rsidR="00A87C15">
        <w:t>to the swing service charge to become effective as of the date of the Commission’s vote.</w:t>
      </w:r>
      <w:r>
        <w:t xml:space="preserve"> (Rome, Draper)</w:t>
      </w:r>
    </w:p>
    <w:p w:rsidR="003D1A6A" w:rsidRPr="004C3641" w:rsidRDefault="003D1A6A">
      <w:pPr>
        <w:pStyle w:val="IssueSubsectionHeading"/>
        <w:rPr>
          <w:vanish/>
          <w:specVanish/>
        </w:rPr>
      </w:pPr>
      <w:r w:rsidRPr="004C3641">
        <w:t>Staff Analysis: </w:t>
      </w:r>
    </w:p>
    <w:p w:rsidR="00C812E1" w:rsidRDefault="003D1A6A">
      <w:pPr>
        <w:pStyle w:val="BodyText"/>
      </w:pPr>
      <w:r>
        <w:t> </w:t>
      </w:r>
      <w:r w:rsidR="00653D14">
        <w:t xml:space="preserve">The swing service charge is assessed to all customers </w:t>
      </w:r>
      <w:r w:rsidR="00C812E1">
        <w:t xml:space="preserve">who choose to take </w:t>
      </w:r>
      <w:r w:rsidR="000D7160">
        <w:t xml:space="preserve">transportation </w:t>
      </w:r>
      <w:r w:rsidR="00C812E1">
        <w:t xml:space="preserve">service under </w:t>
      </w:r>
      <w:r w:rsidR="00653D14">
        <w:t xml:space="preserve">Rider NCTS. </w:t>
      </w:r>
      <w:r w:rsidR="00C812E1">
        <w:t xml:space="preserve">The Rider allows residential </w:t>
      </w:r>
      <w:r w:rsidR="00C812E1" w:rsidRPr="00C812E1">
        <w:t>customer</w:t>
      </w:r>
      <w:r w:rsidR="00C812E1">
        <w:t>s</w:t>
      </w:r>
      <w:r w:rsidR="00C812E1" w:rsidRPr="00C812E1">
        <w:t xml:space="preserve"> with an annual consumption of 2,000 or more therms </w:t>
      </w:r>
      <w:r w:rsidR="00DF5CC4">
        <w:t>and</w:t>
      </w:r>
      <w:r w:rsidR="00C812E1" w:rsidRPr="00C812E1">
        <w:t xml:space="preserve"> non-residential firm customer</w:t>
      </w:r>
      <w:r w:rsidR="004E061B">
        <w:t>s</w:t>
      </w:r>
      <w:r w:rsidR="00C812E1" w:rsidRPr="00C812E1">
        <w:t xml:space="preserve"> to use a third party supplier</w:t>
      </w:r>
      <w:r w:rsidR="00C812E1">
        <w:t xml:space="preserve"> or pool manager</w:t>
      </w:r>
      <w:r w:rsidR="00C812E1" w:rsidRPr="00C812E1">
        <w:t xml:space="preserve"> to meet their natural gas requirements.</w:t>
      </w:r>
      <w:r w:rsidR="003177E2">
        <w:t xml:space="preserve"> The</w:t>
      </w:r>
      <w:r w:rsidR="004E061B">
        <w:t xml:space="preserve"> NCTS</w:t>
      </w:r>
      <w:r w:rsidR="003177E2">
        <w:t xml:space="preserve"> customer is part of a group of customers called a customer pool.</w:t>
      </w:r>
      <w:r w:rsidR="00C812E1">
        <w:t xml:space="preserve"> </w:t>
      </w:r>
      <w:r w:rsidR="00C812E1" w:rsidRPr="00C812E1">
        <w:t>Th</w:t>
      </w:r>
      <w:r w:rsidR="00C812E1">
        <w:t>e</w:t>
      </w:r>
      <w:r w:rsidR="00C812E1" w:rsidRPr="00C812E1">
        <w:t xml:space="preserve"> </w:t>
      </w:r>
      <w:r w:rsidR="00C812E1">
        <w:t>p</w:t>
      </w:r>
      <w:r w:rsidR="00C812E1" w:rsidRPr="00C812E1">
        <w:t xml:space="preserve">ool </w:t>
      </w:r>
      <w:r w:rsidR="00C812E1">
        <w:t>m</w:t>
      </w:r>
      <w:r w:rsidR="00C812E1" w:rsidRPr="00C812E1">
        <w:t>anager assumes the responsibility for supplying and managing the natural gas supply for a customer</w:t>
      </w:r>
      <w:r w:rsidR="003177E2">
        <w:t xml:space="preserve"> pool</w:t>
      </w:r>
      <w:r w:rsidR="00C812E1" w:rsidRPr="00C812E1">
        <w:t xml:space="preserve">. </w:t>
      </w:r>
      <w:r w:rsidR="00953BCC">
        <w:t xml:space="preserve">Currently, NCTS customers can choose from 15 pool managers. </w:t>
      </w:r>
      <w:r w:rsidR="00C812E1" w:rsidRPr="00C812E1">
        <w:t xml:space="preserve">Peoples receives gas delivered by the </w:t>
      </w:r>
      <w:r w:rsidR="00C812E1">
        <w:t>p</w:t>
      </w:r>
      <w:r w:rsidR="00C812E1" w:rsidRPr="00C812E1">
        <w:t xml:space="preserve">ool </w:t>
      </w:r>
      <w:r w:rsidR="00C812E1">
        <w:t>m</w:t>
      </w:r>
      <w:r w:rsidR="00C812E1" w:rsidRPr="00C812E1">
        <w:t>anager and redelivers</w:t>
      </w:r>
      <w:r w:rsidR="00AD3A34">
        <w:t xml:space="preserve"> the gas</w:t>
      </w:r>
      <w:r w:rsidR="00C812E1" w:rsidRPr="00C812E1">
        <w:t xml:space="preserve"> to the customer's site.</w:t>
      </w:r>
      <w:r w:rsidR="00C812E1">
        <w:t xml:space="preserve"> </w:t>
      </w:r>
      <w:r w:rsidR="00653D14">
        <w:t>Peoples introduced the NCTS program in 2000 and it has grown</w:t>
      </w:r>
      <w:r w:rsidR="00376BF8">
        <w:t xml:space="preserve"> from 3,398 customers in October 2000</w:t>
      </w:r>
      <w:r w:rsidR="00653D14">
        <w:t xml:space="preserve"> to 22,123 customers as of December 2014. </w:t>
      </w:r>
      <w:r w:rsidR="00292E0E">
        <w:t>Customers who buy their gas from Peoples are referred to as sales customers and are subject to Peoples’ purchased gas adjustment (PGA) charges.</w:t>
      </w:r>
    </w:p>
    <w:p w:rsidR="003D1A6A" w:rsidRDefault="00C812E1">
      <w:pPr>
        <w:pStyle w:val="BodyText"/>
      </w:pPr>
      <w:r>
        <w:t>T</w:t>
      </w:r>
      <w:r w:rsidR="00653D14">
        <w:t>he pool manager</w:t>
      </w:r>
      <w:r w:rsidR="000D7160">
        <w:t>s</w:t>
      </w:r>
      <w:r w:rsidR="00653D14">
        <w:t xml:space="preserve"> deliver the monthly gas supply for the</w:t>
      </w:r>
      <w:r w:rsidR="000D7160">
        <w:t>ir</w:t>
      </w:r>
      <w:r w:rsidR="00653D14">
        <w:t xml:space="preserve"> customer pool at a constant level every day even though customer usage varies. Therefore, the level of gas delivered daily differs from the quantity actually consumed by the customer pool. To offset this daily difference, Peoples varies (“swings”) the level of gas and upstream pipeline capacity nominated for delivery to </w:t>
      </w:r>
      <w:r w:rsidR="00953BCC">
        <w:t xml:space="preserve">the </w:t>
      </w:r>
      <w:r w:rsidR="00653D14">
        <w:t xml:space="preserve">Peoples system. Peoples is required to manage the customer swing </w:t>
      </w:r>
      <w:r w:rsidR="00010F7B">
        <w:t xml:space="preserve">for </w:t>
      </w:r>
      <w:r w:rsidR="00292E0E">
        <w:t>sales</w:t>
      </w:r>
      <w:r w:rsidR="00010F7B">
        <w:t xml:space="preserve"> and NCTS customers </w:t>
      </w:r>
      <w:r w:rsidR="007129BB">
        <w:t xml:space="preserve">with operational purchases or sales. </w:t>
      </w:r>
      <w:r w:rsidR="004E061B">
        <w:t>The cost to manage the customer swing is included in the calculation of the PGA</w:t>
      </w:r>
      <w:r w:rsidR="007129BB">
        <w:t>. A portion of th</w:t>
      </w:r>
      <w:r w:rsidR="004E061B">
        <w:t xml:space="preserve">e </w:t>
      </w:r>
      <w:r w:rsidR="007129BB">
        <w:t xml:space="preserve">cost is </w:t>
      </w:r>
      <w:r w:rsidR="0097180B">
        <w:t>paid by</w:t>
      </w:r>
      <w:r w:rsidR="007129BB">
        <w:t xml:space="preserve"> the NCTS customers via the swing service charge mechanism. The revenues </w:t>
      </w:r>
      <w:r w:rsidR="000D7160">
        <w:t>derived from the swing service charge</w:t>
      </w:r>
      <w:r w:rsidR="007129BB">
        <w:t xml:space="preserve"> are credited to the PGA.</w:t>
      </w:r>
      <w:r w:rsidR="00F9745D">
        <w:t xml:space="preserve"> The </w:t>
      </w:r>
      <w:r w:rsidR="00292E0E">
        <w:t>sales</w:t>
      </w:r>
      <w:r w:rsidR="00F9745D">
        <w:t xml:space="preserve"> customers’ share of the swing </w:t>
      </w:r>
      <w:r w:rsidR="00E9185C">
        <w:t xml:space="preserve">service </w:t>
      </w:r>
      <w:r w:rsidR="00F9745D">
        <w:t>costs remain embedded in the PGA.</w:t>
      </w:r>
    </w:p>
    <w:p w:rsidR="0080011C" w:rsidRDefault="00F17151" w:rsidP="00F17151">
      <w:pPr>
        <w:pStyle w:val="First-LevelSubheading"/>
      </w:pPr>
      <w:r>
        <w:t>Swing Service Charge Methodology</w:t>
      </w:r>
    </w:p>
    <w:p w:rsidR="00F17151" w:rsidRDefault="00F17151">
      <w:pPr>
        <w:pStyle w:val="BodyText"/>
      </w:pPr>
      <w:r>
        <w:t xml:space="preserve">Peoples’ </w:t>
      </w:r>
      <w:r w:rsidR="004F09BF">
        <w:t>methodology for determining the level of the swing service charge is consistent with the methodology approved in Commission Order No. PSC-00-1814-TRF-GU.</w:t>
      </w:r>
      <w:r w:rsidR="00DB0C47">
        <w:rPr>
          <w:rStyle w:val="FootnoteReference"/>
        </w:rPr>
        <w:footnoteReference w:id="2"/>
      </w:r>
      <w:r w:rsidR="00DB0C47">
        <w:t xml:space="preserve"> First, the </w:t>
      </w:r>
      <w:r w:rsidR="00E9185C">
        <w:t xml:space="preserve">swing service </w:t>
      </w:r>
      <w:r w:rsidR="00DB0C47">
        <w:t>cost is estimated on a system-wide basis.</w:t>
      </w:r>
      <w:r w:rsidR="004C0CF6">
        <w:t xml:space="preserve"> Costs are estimated based on six primary tools used by Peoples to balance its system:</w:t>
      </w:r>
    </w:p>
    <w:p w:rsidR="00216561" w:rsidRDefault="00216561" w:rsidP="00216561">
      <w:pPr>
        <w:pStyle w:val="BodyText"/>
        <w:numPr>
          <w:ilvl w:val="0"/>
          <w:numId w:val="11"/>
        </w:numPr>
      </w:pPr>
      <w:r>
        <w:t>Reserve capacity – interstate and intrastate pipeline capacity contracted to be available when customer usage increases.</w:t>
      </w:r>
    </w:p>
    <w:p w:rsidR="00216561" w:rsidRDefault="00216561" w:rsidP="00216561">
      <w:pPr>
        <w:pStyle w:val="BodyText"/>
        <w:numPr>
          <w:ilvl w:val="0"/>
          <w:numId w:val="11"/>
        </w:numPr>
      </w:pPr>
      <w:r>
        <w:t xml:space="preserve">Swing gas supply </w:t>
      </w:r>
      <w:r w:rsidR="00D32F49">
        <w:t>–</w:t>
      </w:r>
      <w:r>
        <w:t xml:space="preserve"> </w:t>
      </w:r>
      <w:r w:rsidR="00D32F49">
        <w:t>typically purchased on the spot market at varying levels of quantity and price.</w:t>
      </w:r>
    </w:p>
    <w:p w:rsidR="00D32F49" w:rsidRDefault="00242747" w:rsidP="00216561">
      <w:pPr>
        <w:pStyle w:val="BodyText"/>
        <w:numPr>
          <w:ilvl w:val="0"/>
          <w:numId w:val="11"/>
        </w:numPr>
      </w:pPr>
      <w:r>
        <w:lastRenderedPageBreak/>
        <w:t>No-notice transportation service – purchased from interstate pipelines at tariff</w:t>
      </w:r>
      <w:r w:rsidR="003B5FBA">
        <w:t>ed</w:t>
      </w:r>
      <w:r>
        <w:t xml:space="preserve"> rates and allows system imbalances to be absorbed by the interstate pipeline.</w:t>
      </w:r>
    </w:p>
    <w:p w:rsidR="00242747" w:rsidRDefault="00242747" w:rsidP="00216561">
      <w:pPr>
        <w:pStyle w:val="BodyText"/>
        <w:numPr>
          <w:ilvl w:val="0"/>
          <w:numId w:val="11"/>
        </w:numPr>
      </w:pPr>
      <w:r>
        <w:t>Storage contracts – scheduling of gas in or out of a storage facility (typically subterranean salt dome</w:t>
      </w:r>
      <w:r w:rsidR="0040206B">
        <w:t>s outside of Florida</w:t>
      </w:r>
      <w:r>
        <w:t>) to efficiently manage supply constraints, demand reductions, and price volatility.</w:t>
      </w:r>
    </w:p>
    <w:p w:rsidR="00242747" w:rsidRDefault="00242747" w:rsidP="00216561">
      <w:pPr>
        <w:pStyle w:val="BodyText"/>
        <w:numPr>
          <w:ilvl w:val="0"/>
          <w:numId w:val="11"/>
        </w:numPr>
      </w:pPr>
      <w:r>
        <w:t xml:space="preserve">Swing sale agreements – agreements with large interruptible customers that have the ability to use alternative fuel </w:t>
      </w:r>
      <w:r w:rsidR="00561ABE">
        <w:t>to sell their gas supply to Peoples and switch to the customer’s alternative fuel source.</w:t>
      </w:r>
    </w:p>
    <w:p w:rsidR="00561ABE" w:rsidRDefault="00561ABE" w:rsidP="00216561">
      <w:pPr>
        <w:pStyle w:val="BodyText"/>
        <w:numPr>
          <w:ilvl w:val="0"/>
          <w:numId w:val="11"/>
        </w:numPr>
      </w:pPr>
      <w:r>
        <w:t>Park and loan services – an interruptible service which gives Peoples the flexibility of putting gas in an upstream pipeline’s system for later use or borrowing gas from an upstream pipeline’s system and paying back the volume at a later date.</w:t>
      </w:r>
    </w:p>
    <w:p w:rsidR="00F52F29" w:rsidRDefault="00F52F29" w:rsidP="00F52F29">
      <w:pPr>
        <w:pStyle w:val="BodyText"/>
      </w:pPr>
      <w:r>
        <w:t xml:space="preserve">Once the system-wide </w:t>
      </w:r>
      <w:r w:rsidR="00E9185C">
        <w:t>swing service</w:t>
      </w:r>
      <w:r>
        <w:t xml:space="preserve"> cost has been determined, it is allocated among the rate classes according to the relative variation in monthly consumption for each rate class. </w:t>
      </w:r>
      <w:r w:rsidR="00AE305E">
        <w:t xml:space="preserve">Allocation among rate classes is based on the magnitude of the difference between each rate class’s maximum monthly consumption and its minimum monthly consumption. </w:t>
      </w:r>
      <w:r>
        <w:t xml:space="preserve">Once allocated, the balancing cost assigned to each rate class is divided by the annual consumption of that class to yield the appropriate </w:t>
      </w:r>
      <w:r w:rsidR="0029374F">
        <w:t>swing charge</w:t>
      </w:r>
      <w:r>
        <w:t>.</w:t>
      </w:r>
    </w:p>
    <w:p w:rsidR="00044CD0" w:rsidRDefault="00044CD0" w:rsidP="00044CD0">
      <w:pPr>
        <w:pStyle w:val="First-LevelSubheading"/>
      </w:pPr>
      <w:r>
        <w:t>Proposed Swing Service Charge Modifications</w:t>
      </w:r>
    </w:p>
    <w:p w:rsidR="002F6C8C" w:rsidRDefault="00044CD0" w:rsidP="00F52F29">
      <w:pPr>
        <w:pStyle w:val="BodyText"/>
      </w:pPr>
      <w:r>
        <w:t xml:space="preserve">Peoples </w:t>
      </w:r>
      <w:r w:rsidR="000D7160">
        <w:t>proposed to update the swing service charges to reflect Peoples’ current cost of providing swing service.</w:t>
      </w:r>
      <w:r w:rsidR="00D94174">
        <w:t xml:space="preserve"> </w:t>
      </w:r>
      <w:r w:rsidR="000D7160">
        <w:t>Specifically, t</w:t>
      </w:r>
      <w:r w:rsidR="00D94174">
        <w:t xml:space="preserve">he proposed swing service charge revisions incorporate the following: (a) updated </w:t>
      </w:r>
      <w:r w:rsidR="0070109A">
        <w:t>n</w:t>
      </w:r>
      <w:r w:rsidR="00D94174">
        <w:t>o-</w:t>
      </w:r>
      <w:r w:rsidR="0070109A">
        <w:t>n</w:t>
      </w:r>
      <w:r w:rsidR="00D94174">
        <w:t xml:space="preserve">otice </w:t>
      </w:r>
      <w:r w:rsidR="0070109A">
        <w:t>t</w:t>
      </w:r>
      <w:r w:rsidR="00D94174">
        <w:t xml:space="preserve">ransportation </w:t>
      </w:r>
      <w:r w:rsidR="0070109A">
        <w:t>s</w:t>
      </w:r>
      <w:r w:rsidR="00957B8D">
        <w:t xml:space="preserve">ervice charges from Florida Gas Transmission Company, (b) updated costs associated with reserved upstream pipeline capacity that Peoples holds to ensure enough upstream capacity to meet customer demand during peak months, and (c) updated calculations of the swing service charge to include additional storage contracts, </w:t>
      </w:r>
      <w:r w:rsidR="00D87FBD">
        <w:t xml:space="preserve">swing sale agreements from interruptible customers, and park and loan services provided by upstream pipelines. </w:t>
      </w:r>
    </w:p>
    <w:p w:rsidR="000403E0" w:rsidRDefault="0070109A" w:rsidP="00F52F29">
      <w:pPr>
        <w:pStyle w:val="BodyText"/>
      </w:pPr>
      <w:r>
        <w:t>As shown in Exhibit A to the petition, the</w:t>
      </w:r>
      <w:r w:rsidR="002F6C8C">
        <w:t xml:space="preserve"> current</w:t>
      </w:r>
      <w:r>
        <w:t xml:space="preserve"> </w:t>
      </w:r>
      <w:r w:rsidR="003B5FBA">
        <w:t xml:space="preserve">total </w:t>
      </w:r>
      <w:r>
        <w:t>annual expenses associated with providin</w:t>
      </w:r>
      <w:r w:rsidR="002F6C8C">
        <w:t xml:space="preserve">g swing service </w:t>
      </w:r>
      <w:r w:rsidR="003B5FBA">
        <w:t>are</w:t>
      </w:r>
      <w:r w:rsidR="002F6C8C">
        <w:t xml:space="preserve"> $12,622,934 compared to $6,342,232 when the swing service charge was approved in 2000. </w:t>
      </w:r>
      <w:r w:rsidR="00177C01">
        <w:t xml:space="preserve">However, </w:t>
      </w:r>
      <w:r w:rsidR="00770740">
        <w:t xml:space="preserve">the number of NCTS customers </w:t>
      </w:r>
      <w:r w:rsidR="00177C01">
        <w:t xml:space="preserve">and associated therm usage has also increased in recent years, allowing Peoples to spread the </w:t>
      </w:r>
      <w:r w:rsidR="003B5FBA">
        <w:t xml:space="preserve">increased </w:t>
      </w:r>
      <w:r w:rsidR="00177C01">
        <w:t>swing service costs over more therms</w:t>
      </w:r>
      <w:r w:rsidR="005F7A4C">
        <w:t>.</w:t>
      </w:r>
      <w:r w:rsidR="00CA5CBD">
        <w:t xml:space="preserve"> Exhibit A to the petition also shows customer bill impact</w:t>
      </w:r>
      <w:r w:rsidR="00A61033">
        <w:t>s of the revised swing charges for the various commercial rate schedules.</w:t>
      </w:r>
      <w:r w:rsidR="00E9185C">
        <w:t xml:space="preserve"> </w:t>
      </w:r>
      <w:r w:rsidR="00054280">
        <w:t>R</w:t>
      </w:r>
      <w:r w:rsidR="00E9185C">
        <w:t>esidential customers take sales service only and therefore do not pay a swing service charge.</w:t>
      </w:r>
      <w:r w:rsidR="00054280">
        <w:rPr>
          <w:rStyle w:val="FootnoteReference"/>
        </w:rPr>
        <w:footnoteReference w:id="3"/>
      </w:r>
    </w:p>
    <w:p w:rsidR="00D87FBD" w:rsidRDefault="00D87FBD" w:rsidP="00F52F29">
      <w:pPr>
        <w:pStyle w:val="BodyText"/>
      </w:pPr>
      <w:r>
        <w:t xml:space="preserve">The swing service charge modifications proposed by Peoples include NCTS customers’ portion of </w:t>
      </w:r>
      <w:r w:rsidR="009F72F2">
        <w:t xml:space="preserve">the </w:t>
      </w:r>
      <w:r>
        <w:t>reservation charges that Peoples would pay to SeaCoast Gas Transmission Company, L.L.C.</w:t>
      </w:r>
      <w:r w:rsidR="009F72F2">
        <w:t xml:space="preserve"> (SeaCoast)</w:t>
      </w:r>
      <w:r>
        <w:t xml:space="preserve"> </w:t>
      </w:r>
      <w:r w:rsidR="009F72F2">
        <w:t xml:space="preserve">pursuant to a </w:t>
      </w:r>
      <w:r w:rsidR="00B75F97">
        <w:t>firm transportation service a</w:t>
      </w:r>
      <w:r w:rsidR="009F72F2">
        <w:t xml:space="preserve">greement for which SeaCoast is requesting approval in Docket No. 150221-GU. </w:t>
      </w:r>
      <w:r w:rsidR="00B75F97">
        <w:t xml:space="preserve">In response to staff’s data request, Peoples </w:t>
      </w:r>
      <w:r w:rsidR="00B75F97">
        <w:lastRenderedPageBreak/>
        <w:t>provided information (confidential) regarding the amount of reservation charges that Peoples would pay SeaCoast under th</w:t>
      </w:r>
      <w:r w:rsidR="00031DCE">
        <w:t>at</w:t>
      </w:r>
      <w:r w:rsidR="00B75F97">
        <w:t xml:space="preserve"> transportation service agreement and the relative impact of th</w:t>
      </w:r>
      <w:r w:rsidR="00031DCE">
        <w:t>ose</w:t>
      </w:r>
      <w:r w:rsidR="00B75F97">
        <w:t xml:space="preserve"> charges on </w:t>
      </w:r>
      <w:r w:rsidR="00031DCE">
        <w:t xml:space="preserve">Peoples’ </w:t>
      </w:r>
      <w:r w:rsidR="00B75F97">
        <w:t xml:space="preserve">proposed </w:t>
      </w:r>
      <w:r w:rsidR="00031DCE">
        <w:t xml:space="preserve">swing </w:t>
      </w:r>
      <w:r w:rsidR="007A3487">
        <w:t xml:space="preserve">service </w:t>
      </w:r>
      <w:r w:rsidR="00031DCE">
        <w:t xml:space="preserve">charge modifications in this docket. Based on a review of the information provided by Peoples, the reservation charges associated with the SeaCoast-Peoples transportation agreement would have a de minimis effect </w:t>
      </w:r>
      <w:r w:rsidR="00075FF6">
        <w:t>on Peoples’ proposed swing service charge factors in this docket.</w:t>
      </w:r>
    </w:p>
    <w:p w:rsidR="000D2F1B" w:rsidRDefault="000D2F1B" w:rsidP="000D2F1B">
      <w:pPr>
        <w:pStyle w:val="First-LevelSubheading"/>
      </w:pPr>
      <w:r>
        <w:t>Conclusion</w:t>
      </w:r>
    </w:p>
    <w:p w:rsidR="000D2F1B" w:rsidRDefault="007715BD" w:rsidP="00F52F29">
      <w:pPr>
        <w:pStyle w:val="BodyText"/>
      </w:pPr>
      <w:r>
        <w:t xml:space="preserve">The swing service charge has not been updated during its 15-year existence and the number of NCTS customers has increased significantly during that time frame. </w:t>
      </w:r>
      <w:r w:rsidR="00A61033">
        <w:t xml:space="preserve">Peoples stated in </w:t>
      </w:r>
      <w:r w:rsidR="00DB7E4A">
        <w:t>the instant</w:t>
      </w:r>
      <w:r w:rsidR="00A61033">
        <w:t xml:space="preserve"> petition that it contemplates periodic filings to update the swing service charge. </w:t>
      </w:r>
      <w:r>
        <w:t xml:space="preserve">Updating the costs associated with providing the system balancing service that the swing service charge is designed to recover ensures an appropriate allocation of costs between </w:t>
      </w:r>
      <w:r w:rsidR="00C55313">
        <w:t>NCTS</w:t>
      </w:r>
      <w:r>
        <w:t xml:space="preserve"> and sales customers. </w:t>
      </w:r>
      <w:r w:rsidR="004529E4">
        <w:t>Based on a review of the petition and information provided by Peoples in response to staff’s data request, staff believes that Peoples’ proposed swing service charge tariff modifications are reasonable. Staff recommends that the Commission approve the tariff modifications to the swing service charge to become effective as of the date of the Commission’s vote.</w:t>
      </w:r>
    </w:p>
    <w:p w:rsidR="003D1A6A" w:rsidRDefault="003D1A6A">
      <w:pPr>
        <w:pStyle w:val="IssueHeading"/>
        <w:rPr>
          <w:vanish/>
          <w:specVanish/>
        </w:rPr>
      </w:pPr>
      <w:r w:rsidRPr="004C3641">
        <w:rPr>
          <w:b w:val="0"/>
          <w:i w:val="0"/>
        </w:rPr>
        <w:br w:type="page"/>
      </w:r>
      <w:r w:rsidRPr="004C3641">
        <w:lastRenderedPageBreak/>
        <w:t xml:space="preserve">Issue </w:t>
      </w:r>
      <w:fldSimple w:instr=" SEQ Issue \* MERGEFORMAT ">
        <w:r w:rsidR="00FC50B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C50B9">
        <w:rPr>
          <w:noProof/>
        </w:rPr>
        <w:instrText>2</w:instrText>
      </w:r>
      <w:r>
        <w:fldChar w:fldCharType="end"/>
      </w:r>
      <w:r>
        <w:tab/>
        <w:instrText xml:space="preserve">(Villafrate)" \l 1 </w:instrText>
      </w:r>
      <w:r>
        <w:fldChar w:fldCharType="end"/>
      </w:r>
      <w:r>
        <w:t> </w:t>
      </w:r>
    </w:p>
    <w:p w:rsidR="003D1A6A" w:rsidRDefault="003D1A6A">
      <w:pPr>
        <w:pStyle w:val="BodyText"/>
      </w:pPr>
      <w:r>
        <w:t> Should this docket be closed?</w:t>
      </w:r>
    </w:p>
    <w:p w:rsidR="003D1A6A" w:rsidRPr="004C3641" w:rsidRDefault="003D1A6A">
      <w:pPr>
        <w:pStyle w:val="IssueSubsectionHeading"/>
        <w:rPr>
          <w:vanish/>
          <w:specVanish/>
        </w:rPr>
      </w:pPr>
      <w:r w:rsidRPr="004C3641">
        <w:t>Recommendation: </w:t>
      </w:r>
    </w:p>
    <w:p w:rsidR="003D1A6A" w:rsidRDefault="003D1A6A">
      <w:pPr>
        <w:pStyle w:val="BodyText"/>
      </w:pPr>
      <w:r>
        <w:t> </w:t>
      </w:r>
      <w:r w:rsidR="000679AF">
        <w:t xml:space="preserve">If </w:t>
      </w:r>
      <w:r w:rsidR="004462A1">
        <w:t>Issue 1 is approved</w:t>
      </w:r>
      <w:r w:rsidR="00514C08">
        <w:t xml:space="preserve"> and</w:t>
      </w:r>
      <w:r w:rsidR="00380150">
        <w:t xml:space="preserve">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xml:space="preserve"> (Villafrate)</w:t>
      </w:r>
    </w:p>
    <w:p w:rsidR="003D1A6A" w:rsidRPr="004C3641" w:rsidRDefault="003D1A6A">
      <w:pPr>
        <w:pStyle w:val="IssueSubsectionHeading"/>
        <w:rPr>
          <w:vanish/>
          <w:specVanish/>
        </w:rPr>
      </w:pPr>
      <w:r w:rsidRPr="004C3641">
        <w:t>Staff Analysis: </w:t>
      </w:r>
    </w:p>
    <w:p w:rsidR="0029423D" w:rsidRDefault="003D1A6A">
      <w:pPr>
        <w:pStyle w:val="BodyText"/>
        <w:sectPr w:rsidR="0029423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0679AF">
        <w:t>If Issue 1</w:t>
      </w:r>
      <w:r w:rsidR="00610A5B">
        <w:t xml:space="preserve"> is approved</w:t>
      </w:r>
      <w:r w:rsidR="00514C08">
        <w:t xml:space="preserve"> and </w:t>
      </w:r>
      <w:r w:rsidR="00610A5B">
        <w:t>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390C20" w:rsidRDefault="00390C20" w:rsidP="0001045A">
      <w:pPr>
        <w:jc w:val="center"/>
        <w:rPr>
          <w:rFonts w:ascii="Arial" w:hAnsi="Arial"/>
          <w:b/>
          <w:sz w:val="26"/>
        </w:rPr>
      </w:pPr>
    </w:p>
    <w:p w:rsidR="00390C20" w:rsidRDefault="00390C20" w:rsidP="0001045A">
      <w:pPr>
        <w:jc w:val="center"/>
        <w:rPr>
          <w:rFonts w:ascii="Arial" w:hAnsi="Arial"/>
          <w:sz w:val="26"/>
        </w:rPr>
      </w:pPr>
      <w:r>
        <w:rPr>
          <w:rFonts w:ascii="Arial" w:hAnsi="Arial"/>
          <w:b/>
          <w:sz w:val="26"/>
        </w:rPr>
        <w:t xml:space="preserve">GENERAL APPLICABILITY PROVISIONS </w:t>
      </w:r>
      <w:r>
        <w:rPr>
          <w:rFonts w:ascii="Arial" w:hAnsi="Arial"/>
          <w:sz w:val="26"/>
        </w:rPr>
        <w:t>(Continued)</w:t>
      </w:r>
    </w:p>
    <w:p w:rsidR="00390C20" w:rsidRDefault="00390C20">
      <w:pPr>
        <w:jc w:val="center"/>
        <w:rPr>
          <w:rFonts w:ascii="Arial" w:hAnsi="Arial"/>
          <w:sz w:val="26"/>
        </w:rPr>
      </w:pPr>
    </w:p>
    <w:p w:rsidR="00390C20" w:rsidRDefault="00390C20">
      <w:pPr>
        <w:jc w:val="center"/>
        <w:rPr>
          <w:rFonts w:ascii="Arial" w:hAnsi="Arial"/>
          <w:sz w:val="26"/>
        </w:rPr>
      </w:pPr>
    </w:p>
    <w:p w:rsidR="00390C20" w:rsidRDefault="00390C20">
      <w:pPr>
        <w:ind w:right="89"/>
        <w:jc w:val="both"/>
        <w:rPr>
          <w:rFonts w:ascii="Arial" w:hAnsi="Arial"/>
          <w:b/>
          <w:sz w:val="22"/>
        </w:rPr>
      </w:pPr>
      <w:r>
        <w:rPr>
          <w:rFonts w:ascii="Arial" w:hAnsi="Arial"/>
          <w:b/>
          <w:sz w:val="22"/>
        </w:rPr>
        <w:t xml:space="preserve">D. </w:t>
      </w:r>
      <w:r>
        <w:rPr>
          <w:rFonts w:ascii="Arial" w:hAnsi="Arial"/>
          <w:b/>
          <w:sz w:val="22"/>
        </w:rPr>
        <w:tab/>
        <w:t>SWING SERVICE CHARGE</w:t>
      </w:r>
    </w:p>
    <w:p w:rsidR="00390C20" w:rsidRDefault="00390C20">
      <w:pPr>
        <w:ind w:right="89"/>
        <w:jc w:val="both"/>
        <w:rPr>
          <w:rFonts w:ascii="Arial" w:hAnsi="Arial"/>
          <w:b/>
          <w:sz w:val="22"/>
        </w:rPr>
      </w:pPr>
    </w:p>
    <w:p w:rsidR="00390C20" w:rsidRDefault="00390C20">
      <w:pPr>
        <w:ind w:right="89"/>
        <w:jc w:val="both"/>
        <w:rPr>
          <w:rFonts w:ascii="Arial" w:hAnsi="Arial"/>
          <w:b/>
          <w:sz w:val="22"/>
        </w:rPr>
      </w:pPr>
    </w:p>
    <w:p w:rsidR="00390C20" w:rsidRDefault="00390C20">
      <w:pPr>
        <w:ind w:left="720"/>
        <w:jc w:val="both"/>
        <w:rPr>
          <w:rFonts w:ascii="Arial" w:hAnsi="Arial"/>
          <w:sz w:val="22"/>
        </w:rPr>
      </w:pPr>
      <w:r>
        <w:rPr>
          <w:rFonts w:ascii="Arial" w:hAnsi="Arial"/>
          <w:sz w:val="22"/>
        </w:rPr>
        <w:t>The Pool Manager of a Customer receiving aggregated transportation service from Company under the Natural Choice Transportation Service Rider (Rider NCTS) provides a fixed daily quantity of Gas supply and interstate pipeline transportation capacity throughout each month.  The Company must increase or reduce the system’s Gas supply and use of interstate pipeline capacity in an effort to balance the actual daily consumption of a Rider NCTS Customer as it differs from the fixed daily quantity of Gas being delivered by the Customer’s Pool Manager during the month.  The Swing Service Charge is assessed to firm Rider NCTS Customers to cover the costs incurred by the Company to maintain the above-described balance and distribution system integrity.</w:t>
      </w:r>
    </w:p>
    <w:p w:rsidR="00390C20" w:rsidRDefault="00390C20">
      <w:pPr>
        <w:ind w:right="89"/>
        <w:jc w:val="both"/>
        <w:rPr>
          <w:rFonts w:ascii="Arial" w:hAnsi="Arial"/>
          <w:sz w:val="22"/>
        </w:rPr>
      </w:pPr>
    </w:p>
    <w:p w:rsidR="00390C20" w:rsidRDefault="00390C20">
      <w:pPr>
        <w:ind w:left="720" w:right="89"/>
        <w:jc w:val="both"/>
        <w:rPr>
          <w:rFonts w:ascii="Arial" w:hAnsi="Arial"/>
          <w:sz w:val="22"/>
        </w:rPr>
      </w:pPr>
      <w:r>
        <w:rPr>
          <w:rFonts w:ascii="Arial" w:hAnsi="Arial"/>
          <w:sz w:val="22"/>
        </w:rPr>
        <w:t>The bill for aggregated transportation service provided by Company to a firm Customer pursuant to Rider NCTS in any Billing Period shall be adjusted as follows:</w:t>
      </w:r>
      <w:r>
        <w:rPr>
          <w:rFonts w:ascii="Arial" w:hAnsi="Arial"/>
          <w:sz w:val="22"/>
        </w:rPr>
        <w:tab/>
      </w:r>
    </w:p>
    <w:p w:rsidR="00390C20" w:rsidRDefault="00390C20">
      <w:pPr>
        <w:ind w:right="89"/>
        <w:jc w:val="both"/>
        <w:rPr>
          <w:rFonts w:ascii="Arial" w:hAnsi="Arial"/>
          <w:sz w:val="22"/>
        </w:rPr>
      </w:pPr>
    </w:p>
    <w:p w:rsidR="00390C20" w:rsidRDefault="00390C20">
      <w:pPr>
        <w:ind w:right="89" w:firstLine="720"/>
        <w:jc w:val="both"/>
        <w:rPr>
          <w:sz w:val="22"/>
        </w:rPr>
      </w:pPr>
      <w:r>
        <w:rPr>
          <w:rFonts w:ascii="Arial" w:hAnsi="Arial"/>
          <w:sz w:val="22"/>
        </w:rPr>
        <w:t xml:space="preserve">The monthly consumption of each Rider NCTS Customer shall be multiplied by the Swing </w:t>
      </w:r>
    </w:p>
    <w:p w:rsidR="00390C20" w:rsidRDefault="00390C20">
      <w:pPr>
        <w:jc w:val="both"/>
        <w:rPr>
          <w:rFonts w:ascii="Arial" w:hAnsi="Arial"/>
          <w:sz w:val="22"/>
        </w:rPr>
      </w:pPr>
    </w:p>
    <w:p w:rsidR="00390C20" w:rsidRDefault="00390C20">
      <w:pPr>
        <w:ind w:left="720"/>
        <w:jc w:val="both"/>
        <w:rPr>
          <w:rFonts w:ascii="Arial" w:hAnsi="Arial"/>
          <w:sz w:val="22"/>
        </w:rPr>
      </w:pPr>
      <w:r>
        <w:rPr>
          <w:rFonts w:ascii="Arial" w:hAnsi="Arial"/>
          <w:sz w:val="22"/>
        </w:rPr>
        <w:t>Service Charge factors listed below, each factor being increased or decreased to the nearest $0.0001 per therm and include the regulatory assessment tax factor of 1.00503:</w:t>
      </w:r>
    </w:p>
    <w:p w:rsidR="00390C20" w:rsidRDefault="00390C20">
      <w:pPr>
        <w:jc w:val="both"/>
        <w:rPr>
          <w:rFonts w:ascii="Arial" w:hAnsi="Arial"/>
          <w:sz w:val="22"/>
        </w:rPr>
      </w:pPr>
    </w:p>
    <w:p w:rsidR="00390C20" w:rsidRDefault="00390C20">
      <w:pPr>
        <w:jc w:val="both"/>
        <w:rPr>
          <w:rFonts w:ascii="Arial" w:hAnsi="Arial"/>
          <w:sz w:val="22"/>
        </w:rPr>
      </w:pPr>
    </w:p>
    <w:p w:rsidR="00390C20" w:rsidRDefault="00390C20">
      <w:pPr>
        <w:tabs>
          <w:tab w:val="left" w:pos="-1440"/>
        </w:tabs>
        <w:ind w:left="6480" w:hanging="5040"/>
        <w:jc w:val="both"/>
        <w:rPr>
          <w:rFonts w:ascii="Arial" w:hAnsi="Arial"/>
          <w:sz w:val="22"/>
        </w:rPr>
      </w:pPr>
      <w:r>
        <w:rPr>
          <w:rFonts w:ascii="Arial" w:hAnsi="Arial"/>
          <w:b/>
          <w:sz w:val="22"/>
          <w:u w:val="single"/>
        </w:rPr>
        <w:t>Rate Class</w:t>
      </w:r>
      <w:r>
        <w:rPr>
          <w:rFonts w:ascii="Arial" w:hAnsi="Arial"/>
          <w:sz w:val="22"/>
        </w:rPr>
        <w:tab/>
      </w:r>
      <w:r>
        <w:rPr>
          <w:rFonts w:ascii="Arial" w:hAnsi="Arial"/>
          <w:b/>
          <w:sz w:val="22"/>
          <w:u w:val="single"/>
        </w:rPr>
        <w:t>Recovery Factor</w:t>
      </w:r>
    </w:p>
    <w:p w:rsidR="00390C20" w:rsidRDefault="00390C20">
      <w:pPr>
        <w:tabs>
          <w:tab w:val="left" w:pos="-1440"/>
        </w:tabs>
        <w:ind w:left="6480" w:hanging="5040"/>
        <w:jc w:val="both"/>
        <w:rPr>
          <w:rFonts w:ascii="Arial" w:hAnsi="Arial"/>
          <w:sz w:val="22"/>
        </w:rPr>
      </w:pPr>
      <w:r>
        <w:rPr>
          <w:rFonts w:ascii="Arial" w:hAnsi="Arial"/>
          <w:sz w:val="22"/>
        </w:rPr>
        <w:t>Small General Service</w:t>
      </w:r>
      <w:r>
        <w:rPr>
          <w:rFonts w:ascii="Arial" w:hAnsi="Arial"/>
          <w:sz w:val="22"/>
        </w:rPr>
        <w:tab/>
        <w:t>$0.0388 per Therm</w:t>
      </w:r>
    </w:p>
    <w:p w:rsidR="00390C20" w:rsidRDefault="00390C20">
      <w:pPr>
        <w:tabs>
          <w:tab w:val="left" w:pos="-1440"/>
        </w:tabs>
        <w:ind w:left="6480" w:hanging="5040"/>
        <w:jc w:val="both"/>
        <w:rPr>
          <w:rFonts w:ascii="Arial" w:hAnsi="Arial"/>
          <w:sz w:val="22"/>
        </w:rPr>
      </w:pPr>
      <w:r>
        <w:rPr>
          <w:rFonts w:ascii="Arial" w:hAnsi="Arial"/>
          <w:sz w:val="22"/>
        </w:rPr>
        <w:t>Commercial Street Lighting</w:t>
      </w:r>
      <w:r>
        <w:rPr>
          <w:rFonts w:ascii="Arial" w:hAnsi="Arial"/>
          <w:sz w:val="22"/>
        </w:rPr>
        <w:tab/>
        <w:t>$0.0071 per Therm</w:t>
      </w:r>
    </w:p>
    <w:p w:rsidR="00390C20" w:rsidRDefault="00390C20">
      <w:pPr>
        <w:tabs>
          <w:tab w:val="left" w:pos="-1440"/>
        </w:tabs>
        <w:ind w:left="6480" w:hanging="5040"/>
        <w:jc w:val="both"/>
        <w:rPr>
          <w:rFonts w:ascii="Arial" w:hAnsi="Arial"/>
          <w:sz w:val="22"/>
        </w:rPr>
      </w:pPr>
      <w:r>
        <w:rPr>
          <w:rFonts w:ascii="Arial" w:hAnsi="Arial"/>
          <w:sz w:val="22"/>
        </w:rPr>
        <w:t>Natural Gas Vehicle Service</w:t>
      </w:r>
      <w:r>
        <w:rPr>
          <w:rFonts w:ascii="Arial" w:hAnsi="Arial"/>
          <w:sz w:val="22"/>
        </w:rPr>
        <w:tab/>
        <w:t>$0.0435 per Therm</w:t>
      </w:r>
    </w:p>
    <w:p w:rsidR="00390C20" w:rsidRDefault="00390C20">
      <w:pPr>
        <w:tabs>
          <w:tab w:val="left" w:pos="-1440"/>
        </w:tabs>
        <w:ind w:left="6480" w:hanging="5040"/>
        <w:jc w:val="both"/>
        <w:rPr>
          <w:rFonts w:ascii="Arial" w:hAnsi="Arial"/>
          <w:sz w:val="22"/>
        </w:rPr>
      </w:pPr>
      <w:r>
        <w:rPr>
          <w:rFonts w:ascii="Arial" w:hAnsi="Arial"/>
          <w:sz w:val="22"/>
        </w:rPr>
        <w:t>General Service 1</w:t>
      </w:r>
      <w:r>
        <w:rPr>
          <w:rFonts w:ascii="Arial" w:hAnsi="Arial"/>
          <w:sz w:val="22"/>
        </w:rPr>
        <w:tab/>
        <w:t>$0.0208 per Therm</w:t>
      </w:r>
    </w:p>
    <w:p w:rsidR="00390C20" w:rsidRDefault="00390C20">
      <w:pPr>
        <w:tabs>
          <w:tab w:val="left" w:pos="-1440"/>
        </w:tabs>
        <w:ind w:left="6480" w:hanging="5040"/>
        <w:jc w:val="both"/>
        <w:rPr>
          <w:rFonts w:ascii="Arial" w:hAnsi="Arial"/>
          <w:sz w:val="22"/>
        </w:rPr>
      </w:pPr>
      <w:r>
        <w:rPr>
          <w:rFonts w:ascii="Arial" w:hAnsi="Arial"/>
          <w:sz w:val="22"/>
        </w:rPr>
        <w:t>General Service 2</w:t>
      </w:r>
      <w:r>
        <w:rPr>
          <w:rFonts w:ascii="Arial" w:hAnsi="Arial"/>
          <w:sz w:val="22"/>
        </w:rPr>
        <w:tab/>
        <w:t>$0.0217 per Therm</w:t>
      </w:r>
    </w:p>
    <w:p w:rsidR="00390C20" w:rsidRDefault="00390C20">
      <w:pPr>
        <w:tabs>
          <w:tab w:val="left" w:pos="-1440"/>
        </w:tabs>
        <w:ind w:left="6480" w:hanging="5040"/>
        <w:jc w:val="both"/>
        <w:rPr>
          <w:rFonts w:ascii="Arial" w:hAnsi="Arial"/>
          <w:sz w:val="22"/>
        </w:rPr>
      </w:pPr>
      <w:r>
        <w:rPr>
          <w:rFonts w:ascii="Arial" w:hAnsi="Arial"/>
          <w:sz w:val="22"/>
        </w:rPr>
        <w:t>General Service 3</w:t>
      </w:r>
      <w:r>
        <w:rPr>
          <w:rFonts w:ascii="Arial" w:hAnsi="Arial"/>
          <w:sz w:val="22"/>
        </w:rPr>
        <w:tab/>
        <w:t>$0.0234 per Therm</w:t>
      </w:r>
    </w:p>
    <w:p w:rsidR="00390C20" w:rsidRDefault="00390C20">
      <w:pPr>
        <w:tabs>
          <w:tab w:val="left" w:pos="-1440"/>
        </w:tabs>
        <w:ind w:left="6480" w:hanging="5040"/>
        <w:jc w:val="both"/>
        <w:rPr>
          <w:rFonts w:ascii="Arial" w:hAnsi="Arial"/>
          <w:sz w:val="22"/>
        </w:rPr>
      </w:pPr>
      <w:r>
        <w:rPr>
          <w:rFonts w:ascii="Arial" w:hAnsi="Arial"/>
          <w:sz w:val="22"/>
        </w:rPr>
        <w:t xml:space="preserve">General Service 4 </w:t>
      </w:r>
      <w:r>
        <w:rPr>
          <w:rFonts w:ascii="Arial" w:hAnsi="Arial"/>
          <w:sz w:val="22"/>
        </w:rPr>
        <w:tab/>
        <w:t>$0.0079 per Therm</w:t>
      </w:r>
    </w:p>
    <w:p w:rsidR="00390C20" w:rsidRDefault="00390C20">
      <w:pPr>
        <w:tabs>
          <w:tab w:val="left" w:pos="-1440"/>
        </w:tabs>
        <w:ind w:left="6480" w:hanging="5040"/>
        <w:jc w:val="both"/>
        <w:rPr>
          <w:rFonts w:ascii="Arial" w:hAnsi="Arial"/>
          <w:sz w:val="22"/>
        </w:rPr>
      </w:pPr>
      <w:r>
        <w:rPr>
          <w:rFonts w:ascii="Arial" w:hAnsi="Arial"/>
          <w:sz w:val="22"/>
        </w:rPr>
        <w:t>General Service 5</w:t>
      </w:r>
      <w:r>
        <w:rPr>
          <w:rFonts w:ascii="Arial" w:hAnsi="Arial"/>
          <w:sz w:val="22"/>
        </w:rPr>
        <w:tab/>
        <w:t>$0.0058 per Therm</w:t>
      </w:r>
    </w:p>
    <w:p w:rsidR="00390C20" w:rsidRDefault="00390C20">
      <w:pPr>
        <w:jc w:val="both"/>
        <w:rPr>
          <w:rFonts w:ascii="Arial" w:hAnsi="Arial"/>
          <w:sz w:val="22"/>
        </w:rPr>
      </w:pPr>
    </w:p>
    <w:p w:rsidR="00390C20" w:rsidRDefault="00390C20">
      <w:pPr>
        <w:jc w:val="both"/>
        <w:rPr>
          <w:rFonts w:ascii="Arial" w:hAnsi="Arial"/>
          <w:sz w:val="22"/>
        </w:rPr>
      </w:pPr>
    </w:p>
    <w:p w:rsidR="00390C20" w:rsidRDefault="00390C20">
      <w:pPr>
        <w:ind w:left="720"/>
        <w:jc w:val="both"/>
        <w:rPr>
          <w:rFonts w:ascii="Arial" w:hAnsi="Arial"/>
          <w:sz w:val="22"/>
        </w:rPr>
      </w:pPr>
      <w:r>
        <w:rPr>
          <w:rFonts w:ascii="Arial" w:hAnsi="Arial"/>
          <w:sz w:val="22"/>
        </w:rPr>
        <w:t>Revenues derived from the Swing Service Charge are credited to the Purchased Gas Adjustment Clause to the extent applicable.</w:t>
      </w:r>
    </w:p>
    <w:p w:rsidR="00390C20" w:rsidRDefault="00390C20">
      <w:pPr>
        <w:jc w:val="both"/>
        <w:rPr>
          <w:rFonts w:ascii="Arial" w:hAnsi="Arial"/>
          <w:sz w:val="22"/>
        </w:rPr>
      </w:pPr>
    </w:p>
    <w:p w:rsidR="00733F6B" w:rsidRDefault="00733F6B" w:rsidP="00733F6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rPr>
          <w:rFonts w:ascii="Arial" w:hAnsi="Arial"/>
          <w:b/>
          <w:sz w:val="22"/>
        </w:rPr>
      </w:pPr>
    </w:p>
    <w:p w:rsidR="00733F6B" w:rsidRDefault="00733F6B" w:rsidP="00733F6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spacing w:line="19" w:lineRule="exact"/>
        <w:rPr>
          <w:rFonts w:ascii="Arial" w:hAnsi="Arial"/>
          <w:b/>
          <w:sz w:val="22"/>
          <w:u w:val="single"/>
        </w:rPr>
      </w:pPr>
      <w:r>
        <w:rPr>
          <w:noProof/>
        </w:rPr>
        <mc:AlternateContent>
          <mc:Choice Requires="wps">
            <w:drawing>
              <wp:anchor distT="0" distB="0" distL="114300" distR="114300" simplePos="0" relativeHeight="251659264" behindDoc="1" locked="1" layoutInCell="0" allowOverlap="1" wp14:anchorId="7EEAAE44" wp14:editId="0C2C71EC">
                <wp:simplePos x="0" y="0"/>
                <wp:positionH relativeFrom="page">
                  <wp:posOffset>908050</wp:posOffset>
                </wp:positionH>
                <wp:positionV relativeFrom="paragraph">
                  <wp:posOffset>12065</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5pt;margin-top:.9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" o:allowincell="f" fillcolor="black" stroked="f" strokeweight="0">
                <w10:wrap anchorx="page"/>
                <w10:anchorlock/>
              </v:rect>
            </w:pict>
          </mc:Fallback>
        </mc:AlternateContent>
      </w:r>
    </w:p>
    <w:p w:rsidR="00733F6B" w:rsidRPr="00733F6B" w:rsidRDefault="00733F6B" w:rsidP="00733F6B">
      <w:pPr>
        <w:tabs>
          <w:tab w:val="right" w:pos="9360"/>
        </w:tabs>
        <w:rPr>
          <w:rFonts w:ascii="Arial" w:hAnsi="Arial"/>
          <w:sz w:val="20"/>
        </w:rPr>
      </w:pPr>
      <w:r w:rsidRPr="00733F6B">
        <w:rPr>
          <w:rFonts w:ascii="Arial" w:hAnsi="Arial"/>
          <w:b/>
          <w:sz w:val="20"/>
        </w:rPr>
        <w:t xml:space="preserve">Issued By:   </w:t>
      </w:r>
      <w:r w:rsidRPr="00733F6B">
        <w:rPr>
          <w:rFonts w:ascii="Arial" w:hAnsi="Arial"/>
          <w:sz w:val="20"/>
        </w:rPr>
        <w:t>Gordon L. Gillette, President</w:t>
      </w:r>
      <w:r w:rsidRPr="00733F6B">
        <w:rPr>
          <w:rFonts w:ascii="Arial" w:hAnsi="Arial"/>
          <w:b/>
          <w:sz w:val="20"/>
        </w:rPr>
        <w:tab/>
        <w:t xml:space="preserve">Effective: </w:t>
      </w:r>
      <w:r w:rsidRPr="00733F6B">
        <w:rPr>
          <w:rFonts w:ascii="Arial" w:hAnsi="Arial"/>
          <w:sz w:val="20"/>
        </w:rPr>
        <w:t xml:space="preserve"> </w:t>
      </w:r>
    </w:p>
    <w:p w:rsidR="00733F6B" w:rsidRPr="00733F6B" w:rsidRDefault="00733F6B" w:rsidP="00733F6B">
      <w:pPr>
        <w:tabs>
          <w:tab w:val="left" w:pos="-1440"/>
          <w:tab w:val="left" w:pos="-720"/>
          <w:tab w:val="left" w:pos="0"/>
          <w:tab w:val="left" w:pos="720"/>
          <w:tab w:val="left" w:pos="1080"/>
          <w:tab w:val="left" w:pos="1440"/>
          <w:tab w:val="left" w:pos="2160"/>
          <w:tab w:val="left" w:pos="2880"/>
          <w:tab w:val="left" w:pos="3600"/>
          <w:tab w:val="left" w:pos="4320"/>
          <w:tab w:val="left" w:pos="5040"/>
          <w:tab w:val="left" w:pos="5400"/>
          <w:tab w:val="left" w:pos="5760"/>
          <w:tab w:val="left" w:pos="6840"/>
          <w:tab w:val="left" w:pos="7200"/>
          <w:tab w:val="left" w:pos="7560"/>
          <w:tab w:val="left" w:pos="7920"/>
          <w:tab w:val="left" w:pos="8280"/>
          <w:tab w:val="left" w:pos="9360"/>
        </w:tabs>
        <w:rPr>
          <w:rFonts w:ascii="Arial" w:hAnsi="Arial"/>
          <w:sz w:val="20"/>
        </w:rPr>
      </w:pPr>
      <w:r w:rsidRPr="00733F6B">
        <w:rPr>
          <w:rFonts w:ascii="Arial" w:hAnsi="Arial"/>
          <w:b/>
          <w:sz w:val="20"/>
        </w:rPr>
        <w:t>Issued On:</w:t>
      </w:r>
      <w:r w:rsidRPr="00733F6B">
        <w:rPr>
          <w:rFonts w:ascii="Arial" w:hAnsi="Arial"/>
          <w:sz w:val="20"/>
        </w:rPr>
        <w:t xml:space="preserve">  </w:t>
      </w:r>
    </w:p>
    <w:p w:rsidR="00733F6B" w:rsidRDefault="00733F6B">
      <w:pPr>
        <w:jc w:val="both"/>
        <w:rPr>
          <w:rFonts w:ascii="Arial" w:hAnsi="Arial"/>
          <w:sz w:val="22"/>
        </w:rPr>
      </w:pPr>
    </w:p>
    <w:sectPr w:rsidR="00733F6B"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0D" w:rsidRDefault="000F650D">
      <w:r>
        <w:separator/>
      </w:r>
    </w:p>
  </w:endnote>
  <w:endnote w:type="continuationSeparator" w:id="0">
    <w:p w:rsidR="000F650D" w:rsidRDefault="000F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6B" w:rsidRDefault="00733F6B">
    <w:pPr>
      <w:pStyle w:val="Footer"/>
      <w:tabs>
        <w:tab w:val="clear" w:pos="4320"/>
        <w:tab w:val="clear" w:pos="8640"/>
        <w:tab w:val="center" w:pos="4674"/>
        <w:tab w:val="right" w:pos="9360"/>
      </w:tabs>
    </w:pPr>
  </w:p>
  <w:p w:rsidR="00D07B0A" w:rsidRDefault="00D07B0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202C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0D" w:rsidRDefault="000F650D">
      <w:r>
        <w:separator/>
      </w:r>
    </w:p>
  </w:footnote>
  <w:footnote w:type="continuationSeparator" w:id="0">
    <w:p w:rsidR="000F650D" w:rsidRDefault="000F650D">
      <w:r>
        <w:continuationSeparator/>
      </w:r>
    </w:p>
  </w:footnote>
  <w:footnote w:id="1">
    <w:p w:rsidR="00D07B0A" w:rsidRDefault="00D07B0A" w:rsidP="00D07B0A">
      <w:pPr>
        <w:pStyle w:val="FootnoteText"/>
      </w:pPr>
      <w:r>
        <w:rPr>
          <w:rStyle w:val="FootnoteReference"/>
        </w:rPr>
        <w:footnoteRef/>
      </w:r>
      <w:r>
        <w:t xml:space="preserve"> Order No. PSC-00-1814-TRF-GU, issued October 4, 2000, in Docket No. 000810-GU, </w:t>
      </w:r>
      <w:r w:rsidRPr="00EB1499">
        <w:rPr>
          <w:i/>
        </w:rPr>
        <w:t>In re: Petition for approval of modifications to tariff provisions governing transportation of customer-owned gas and tariff provisions to implement Rule 25-7.0335, F.A.C., by Tampa Electric Company d/b/a Peoples Gas System.</w:t>
      </w:r>
    </w:p>
  </w:footnote>
  <w:footnote w:id="2">
    <w:p w:rsidR="00DB0C47" w:rsidRDefault="00DB0C47">
      <w:pPr>
        <w:pStyle w:val="FootnoteText"/>
      </w:pPr>
      <w:r>
        <w:rPr>
          <w:rStyle w:val="FootnoteReference"/>
        </w:rPr>
        <w:footnoteRef/>
      </w:r>
      <w:r>
        <w:t xml:space="preserve"> Id.</w:t>
      </w:r>
    </w:p>
  </w:footnote>
  <w:footnote w:id="3">
    <w:p w:rsidR="00054280" w:rsidRDefault="00054280" w:rsidP="00054280">
      <w:pPr>
        <w:pStyle w:val="FootnoteText"/>
      </w:pPr>
      <w:r>
        <w:rPr>
          <w:rStyle w:val="FootnoteReference"/>
        </w:rPr>
        <w:footnoteRef/>
      </w:r>
      <w:r>
        <w:t xml:space="preserve"> Very large residential customers using 2,000 therms or more annually must take service under Peoples’ Small General Service tariff, and qualify for Rider NCTS.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B0A" w:rsidRDefault="00D07B0A"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150220-GU</w:t>
    </w:r>
    <w:bookmarkEnd w:id="14"/>
  </w:p>
  <w:p w:rsidR="00D07B0A" w:rsidRDefault="00D07B0A">
    <w:pPr>
      <w:pStyle w:val="Header"/>
    </w:pPr>
    <w:r>
      <w:t xml:space="preserve">Date: </w:t>
    </w:r>
    <w:r w:rsidR="00536999">
      <w:fldChar w:fldCharType="begin"/>
    </w:r>
    <w:r w:rsidR="00536999">
      <w:instrText xml:space="preserve"> REF FilingDate </w:instrText>
    </w:r>
    <w:r w:rsidR="00536999">
      <w:fldChar w:fldCharType="separate"/>
    </w:r>
    <w:r w:rsidR="00FC50B9">
      <w:t>November 18, 2015</w:t>
    </w:r>
    <w:r w:rsidR="0053699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FC50B9">
      <w:t>Docket No.</w:t>
    </w:r>
    <w:r>
      <w:fldChar w:fldCharType="end"/>
    </w:r>
    <w:r>
      <w:t xml:space="preserve"> </w:t>
    </w:r>
    <w:r>
      <w:fldChar w:fldCharType="begin"/>
    </w:r>
    <w:r>
      <w:instrText xml:space="preserve"> REF DocketList</w:instrText>
    </w:r>
    <w:r>
      <w:fldChar w:fldCharType="separate"/>
    </w:r>
    <w:r w:rsidR="00FC50B9">
      <w:t>150220-GU</w:t>
    </w:r>
    <w:r>
      <w:fldChar w:fldCharType="end"/>
    </w:r>
    <w:r>
      <w:tab/>
      <w:t xml:space="preserve">Issue </w:t>
    </w:r>
    <w:r w:rsidR="00536999">
      <w:fldChar w:fldCharType="begin"/>
    </w:r>
    <w:r w:rsidR="00536999">
      <w:instrText xml:space="preserve"> Seq Issue \c \* Arabic </w:instrText>
    </w:r>
    <w:r w:rsidR="00536999">
      <w:fldChar w:fldCharType="separate"/>
    </w:r>
    <w:r w:rsidR="009202CF">
      <w:rPr>
        <w:noProof/>
      </w:rPr>
      <w:t>2</w:t>
    </w:r>
    <w:r w:rsidR="00536999">
      <w:rPr>
        <w:noProof/>
      </w:rPr>
      <w:fldChar w:fldCharType="end"/>
    </w:r>
  </w:p>
  <w:p w:rsidR="00BB3493" w:rsidRDefault="00BB3493">
    <w:pPr>
      <w:pStyle w:val="Header"/>
    </w:pPr>
    <w:r>
      <w:t xml:space="preserve">Date: </w:t>
    </w:r>
    <w:r w:rsidR="00536999">
      <w:fldChar w:fldCharType="begin"/>
    </w:r>
    <w:r w:rsidR="00536999">
      <w:instrText xml:space="preserve"> REF FilingDate </w:instrText>
    </w:r>
    <w:r w:rsidR="00536999">
      <w:fldChar w:fldCharType="separate"/>
    </w:r>
    <w:r w:rsidR="00FC50B9">
      <w:t>November 18, 2015</w:t>
    </w:r>
    <w:r w:rsidR="0053699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3D" w:rsidRDefault="0029423D" w:rsidP="00220732">
    <w:pPr>
      <w:pStyle w:val="Header"/>
      <w:tabs>
        <w:tab w:val="clear" w:pos="4320"/>
        <w:tab w:val="clear" w:pos="8640"/>
        <w:tab w:val="right" w:pos="9360"/>
      </w:tabs>
    </w:pPr>
    <w:r>
      <w:fldChar w:fldCharType="begin"/>
    </w:r>
    <w:r>
      <w:instrText xml:space="preserve"> REF DocketLabel</w:instrText>
    </w:r>
    <w:r>
      <w:fldChar w:fldCharType="separate"/>
    </w:r>
    <w:r w:rsidR="00FC50B9">
      <w:t>Docket No.</w:t>
    </w:r>
    <w:r>
      <w:fldChar w:fldCharType="end"/>
    </w:r>
    <w:r>
      <w:t xml:space="preserve"> </w:t>
    </w:r>
    <w:r>
      <w:fldChar w:fldCharType="begin"/>
    </w:r>
    <w:r>
      <w:instrText xml:space="preserve"> REF DocketList</w:instrText>
    </w:r>
    <w:r>
      <w:fldChar w:fldCharType="separate"/>
    </w:r>
    <w:r w:rsidR="00FC50B9">
      <w:t>150220-GU</w:t>
    </w:r>
    <w:r>
      <w:fldChar w:fldCharType="end"/>
    </w:r>
    <w:r>
      <w:tab/>
      <w:t>Attachment A</w:t>
    </w:r>
  </w:p>
  <w:p w:rsidR="0029423D" w:rsidRDefault="0029423D">
    <w:pPr>
      <w:pStyle w:val="Header"/>
    </w:pPr>
    <w:r>
      <w:t xml:space="preserve">Date: </w:t>
    </w:r>
    <w:r w:rsidR="00536999">
      <w:fldChar w:fldCharType="begin"/>
    </w:r>
    <w:r w:rsidR="00536999">
      <w:instrText xml:space="preserve"> REF FilingDate </w:instrText>
    </w:r>
    <w:r w:rsidR="00536999">
      <w:fldChar w:fldCharType="separate"/>
    </w:r>
    <w:r w:rsidR="00FC50B9">
      <w:t>November 18, 2015</w:t>
    </w:r>
    <w:r w:rsidR="00536999">
      <w:fldChar w:fldCharType="end"/>
    </w:r>
  </w:p>
  <w:p w:rsidR="00733F6B" w:rsidRDefault="00733F6B">
    <w:pPr>
      <w:pStyle w:val="Header"/>
    </w:pPr>
  </w:p>
  <w:p w:rsidR="00733F6B" w:rsidRPr="00733F6B" w:rsidRDefault="00733F6B" w:rsidP="00733F6B">
    <w:pPr>
      <w:tabs>
        <w:tab w:val="right" w:pos="9360"/>
      </w:tabs>
      <w:rPr>
        <w:rFonts w:ascii="Arial" w:hAnsi="Arial"/>
        <w:b/>
        <w:sz w:val="20"/>
      </w:rPr>
    </w:pPr>
    <w:r w:rsidRPr="00733F6B">
      <w:rPr>
        <w:rFonts w:ascii="Arial" w:hAnsi="Arial"/>
        <w:b/>
        <w:sz w:val="20"/>
      </w:rPr>
      <w:t xml:space="preserve">Peoples Gas System </w:t>
    </w:r>
    <w:r w:rsidRPr="00733F6B">
      <w:rPr>
        <w:rFonts w:ascii="Arial" w:hAnsi="Arial"/>
        <w:b/>
        <w:sz w:val="20"/>
      </w:rPr>
      <w:tab/>
      <w:t>Fourth Revised Sheet No. 7.101-3</w:t>
    </w:r>
  </w:p>
  <w:p w:rsidR="00733F6B" w:rsidRPr="00733F6B" w:rsidRDefault="00733F6B" w:rsidP="00733F6B">
    <w:pPr>
      <w:tabs>
        <w:tab w:val="right" w:pos="9360"/>
      </w:tabs>
      <w:rPr>
        <w:rFonts w:ascii="Arial" w:hAnsi="Arial"/>
        <w:b/>
        <w:sz w:val="20"/>
      </w:rPr>
    </w:pPr>
    <w:r w:rsidRPr="00733F6B">
      <w:rPr>
        <w:rFonts w:ascii="Arial" w:hAnsi="Arial"/>
        <w:b/>
        <w:sz w:val="20"/>
      </w:rPr>
      <w:t xml:space="preserve">a Division of Tampa Electric Company </w:t>
    </w:r>
    <w:r w:rsidRPr="00733F6B">
      <w:rPr>
        <w:rFonts w:ascii="Arial" w:hAnsi="Arial"/>
        <w:b/>
        <w:sz w:val="20"/>
      </w:rPr>
      <w:tab/>
      <w:t>Cancels Third  Revised Sheet No. 7.101-3</w:t>
    </w:r>
  </w:p>
  <w:p w:rsidR="00733F6B" w:rsidRDefault="00733F6B" w:rsidP="00733F6B">
    <w:pPr>
      <w:pStyle w:val="Header"/>
    </w:pPr>
    <w:r w:rsidRPr="00733F6B">
      <w:rPr>
        <w:rFonts w:ascii="Arial" w:hAnsi="Arial"/>
        <w:b/>
        <w:sz w:val="20"/>
      </w:rPr>
      <w:t>Original Volume No. 3</w:t>
    </w:r>
    <w:r w:rsidRPr="00733F6B">
      <w:rPr>
        <w:rFonts w:ascii="Arial" w:hAnsi="Arial"/>
        <w:b/>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65885625"/>
    <w:multiLevelType w:val="multilevel"/>
    <w:tmpl w:val="0C1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6A116F"/>
    <w:multiLevelType w:val="hybridMultilevel"/>
    <w:tmpl w:val="FA5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0F650D"/>
    <w:rsid w:val="00010E37"/>
    <w:rsid w:val="00010F7B"/>
    <w:rsid w:val="000277C2"/>
    <w:rsid w:val="00031DCE"/>
    <w:rsid w:val="00035B48"/>
    <w:rsid w:val="00036CE2"/>
    <w:rsid w:val="000403E0"/>
    <w:rsid w:val="000437FE"/>
    <w:rsid w:val="00044CD0"/>
    <w:rsid w:val="00054280"/>
    <w:rsid w:val="00065A06"/>
    <w:rsid w:val="000666F3"/>
    <w:rsid w:val="000679AF"/>
    <w:rsid w:val="00070DCB"/>
    <w:rsid w:val="00073120"/>
    <w:rsid w:val="00075FF6"/>
    <w:rsid w:val="000828D3"/>
    <w:rsid w:val="00087D02"/>
    <w:rsid w:val="000A2B57"/>
    <w:rsid w:val="000A418B"/>
    <w:rsid w:val="000C4431"/>
    <w:rsid w:val="000D2F1B"/>
    <w:rsid w:val="000D4319"/>
    <w:rsid w:val="000D7160"/>
    <w:rsid w:val="000F374A"/>
    <w:rsid w:val="000F650D"/>
    <w:rsid w:val="00115167"/>
    <w:rsid w:val="00117C8C"/>
    <w:rsid w:val="00124E2E"/>
    <w:rsid w:val="00125ED4"/>
    <w:rsid w:val="001305E9"/>
    <w:rsid w:val="001307AF"/>
    <w:rsid w:val="00135687"/>
    <w:rsid w:val="00135C48"/>
    <w:rsid w:val="00177C01"/>
    <w:rsid w:val="00180254"/>
    <w:rsid w:val="001905E2"/>
    <w:rsid w:val="00191E1F"/>
    <w:rsid w:val="00192943"/>
    <w:rsid w:val="001A7406"/>
    <w:rsid w:val="001B4FEE"/>
    <w:rsid w:val="001B51C5"/>
    <w:rsid w:val="001B6F3F"/>
    <w:rsid w:val="001C52B5"/>
    <w:rsid w:val="001C63F1"/>
    <w:rsid w:val="001D0D3E"/>
    <w:rsid w:val="001F2245"/>
    <w:rsid w:val="001F6DA1"/>
    <w:rsid w:val="002044E6"/>
    <w:rsid w:val="00205C82"/>
    <w:rsid w:val="00205DC2"/>
    <w:rsid w:val="002163B6"/>
    <w:rsid w:val="00216561"/>
    <w:rsid w:val="00220732"/>
    <w:rsid w:val="00221D32"/>
    <w:rsid w:val="00225C3F"/>
    <w:rsid w:val="00237BFF"/>
    <w:rsid w:val="00242747"/>
    <w:rsid w:val="00263D44"/>
    <w:rsid w:val="00292D82"/>
    <w:rsid w:val="00292E0E"/>
    <w:rsid w:val="0029374F"/>
    <w:rsid w:val="0029423D"/>
    <w:rsid w:val="002963CB"/>
    <w:rsid w:val="002D226D"/>
    <w:rsid w:val="002F5CD3"/>
    <w:rsid w:val="002F6030"/>
    <w:rsid w:val="002F6C8C"/>
    <w:rsid w:val="003037E1"/>
    <w:rsid w:val="00307E51"/>
    <w:rsid w:val="003103EC"/>
    <w:rsid w:val="003144EF"/>
    <w:rsid w:val="003177E2"/>
    <w:rsid w:val="00322F74"/>
    <w:rsid w:val="00340073"/>
    <w:rsid w:val="00372805"/>
    <w:rsid w:val="00373180"/>
    <w:rsid w:val="00375AB9"/>
    <w:rsid w:val="00376BF8"/>
    <w:rsid w:val="00380150"/>
    <w:rsid w:val="003821A0"/>
    <w:rsid w:val="00385B04"/>
    <w:rsid w:val="00390C20"/>
    <w:rsid w:val="00393112"/>
    <w:rsid w:val="003A22A6"/>
    <w:rsid w:val="003A5494"/>
    <w:rsid w:val="003B2510"/>
    <w:rsid w:val="003B5FBA"/>
    <w:rsid w:val="003C2CC4"/>
    <w:rsid w:val="003D0170"/>
    <w:rsid w:val="003D129A"/>
    <w:rsid w:val="003D1A6A"/>
    <w:rsid w:val="003E0EFC"/>
    <w:rsid w:val="003E4A2B"/>
    <w:rsid w:val="003E76C2"/>
    <w:rsid w:val="003F1679"/>
    <w:rsid w:val="003F4A35"/>
    <w:rsid w:val="003F7FDD"/>
    <w:rsid w:val="0040206B"/>
    <w:rsid w:val="00402481"/>
    <w:rsid w:val="004042B4"/>
    <w:rsid w:val="00412DAE"/>
    <w:rsid w:val="00431598"/>
    <w:rsid w:val="00434EA9"/>
    <w:rsid w:val="00440B6F"/>
    <w:rsid w:val="00444432"/>
    <w:rsid w:val="004462A1"/>
    <w:rsid w:val="004529E4"/>
    <w:rsid w:val="00471860"/>
    <w:rsid w:val="004C0CF6"/>
    <w:rsid w:val="004C3150"/>
    <w:rsid w:val="004C3641"/>
    <w:rsid w:val="004C4390"/>
    <w:rsid w:val="004C4AF7"/>
    <w:rsid w:val="004D2881"/>
    <w:rsid w:val="004D385F"/>
    <w:rsid w:val="004D5B39"/>
    <w:rsid w:val="004E061B"/>
    <w:rsid w:val="004E5147"/>
    <w:rsid w:val="004F09BF"/>
    <w:rsid w:val="00506C03"/>
    <w:rsid w:val="00514C08"/>
    <w:rsid w:val="0052572A"/>
    <w:rsid w:val="00543CB3"/>
    <w:rsid w:val="005614BD"/>
    <w:rsid w:val="00561ABE"/>
    <w:rsid w:val="0057154F"/>
    <w:rsid w:val="00581CA3"/>
    <w:rsid w:val="00597730"/>
    <w:rsid w:val="00597DE7"/>
    <w:rsid w:val="005A4AA2"/>
    <w:rsid w:val="005B34B6"/>
    <w:rsid w:val="005B5EE1"/>
    <w:rsid w:val="005B6C8F"/>
    <w:rsid w:val="005D0F74"/>
    <w:rsid w:val="005D2E7D"/>
    <w:rsid w:val="005D4A8F"/>
    <w:rsid w:val="005D561B"/>
    <w:rsid w:val="005E29C2"/>
    <w:rsid w:val="005F468D"/>
    <w:rsid w:val="005F69A3"/>
    <w:rsid w:val="005F7A4C"/>
    <w:rsid w:val="00610A5B"/>
    <w:rsid w:val="00615423"/>
    <w:rsid w:val="006165B2"/>
    <w:rsid w:val="00617276"/>
    <w:rsid w:val="00625D97"/>
    <w:rsid w:val="00625F1C"/>
    <w:rsid w:val="00630CEB"/>
    <w:rsid w:val="00632264"/>
    <w:rsid w:val="00643AB3"/>
    <w:rsid w:val="006470BC"/>
    <w:rsid w:val="00653D14"/>
    <w:rsid w:val="00667036"/>
    <w:rsid w:val="00673BDB"/>
    <w:rsid w:val="006771B8"/>
    <w:rsid w:val="0068481F"/>
    <w:rsid w:val="00696F5D"/>
    <w:rsid w:val="00697249"/>
    <w:rsid w:val="006A2979"/>
    <w:rsid w:val="006B3947"/>
    <w:rsid w:val="006B4293"/>
    <w:rsid w:val="006C31E3"/>
    <w:rsid w:val="006E5A88"/>
    <w:rsid w:val="0070109A"/>
    <w:rsid w:val="00705B04"/>
    <w:rsid w:val="007129BB"/>
    <w:rsid w:val="00733F6B"/>
    <w:rsid w:val="00734820"/>
    <w:rsid w:val="007349DC"/>
    <w:rsid w:val="0074204C"/>
    <w:rsid w:val="0074365E"/>
    <w:rsid w:val="007515FD"/>
    <w:rsid w:val="007543B3"/>
    <w:rsid w:val="00760D80"/>
    <w:rsid w:val="00770740"/>
    <w:rsid w:val="007715BD"/>
    <w:rsid w:val="00775119"/>
    <w:rsid w:val="00780C09"/>
    <w:rsid w:val="00780DDF"/>
    <w:rsid w:val="007834E9"/>
    <w:rsid w:val="00787450"/>
    <w:rsid w:val="00787DBC"/>
    <w:rsid w:val="007A04A1"/>
    <w:rsid w:val="007A1840"/>
    <w:rsid w:val="007A3487"/>
    <w:rsid w:val="007C0528"/>
    <w:rsid w:val="007C3D38"/>
    <w:rsid w:val="007D0F35"/>
    <w:rsid w:val="007D4FEB"/>
    <w:rsid w:val="007D6146"/>
    <w:rsid w:val="007E0CE7"/>
    <w:rsid w:val="007F417F"/>
    <w:rsid w:val="0080011C"/>
    <w:rsid w:val="00816624"/>
    <w:rsid w:val="00816FAF"/>
    <w:rsid w:val="00822562"/>
    <w:rsid w:val="00823663"/>
    <w:rsid w:val="00832DDC"/>
    <w:rsid w:val="00850BAC"/>
    <w:rsid w:val="00854A3E"/>
    <w:rsid w:val="00855D08"/>
    <w:rsid w:val="008640F5"/>
    <w:rsid w:val="00874344"/>
    <w:rsid w:val="00882155"/>
    <w:rsid w:val="0088233B"/>
    <w:rsid w:val="0088599E"/>
    <w:rsid w:val="00886C37"/>
    <w:rsid w:val="008B62AE"/>
    <w:rsid w:val="008C04B5"/>
    <w:rsid w:val="008C14FA"/>
    <w:rsid w:val="008C6563"/>
    <w:rsid w:val="008D4057"/>
    <w:rsid w:val="008F2262"/>
    <w:rsid w:val="008F7736"/>
    <w:rsid w:val="0090019E"/>
    <w:rsid w:val="00901086"/>
    <w:rsid w:val="00901C8A"/>
    <w:rsid w:val="00905886"/>
    <w:rsid w:val="009070D6"/>
    <w:rsid w:val="009076C6"/>
    <w:rsid w:val="0091019E"/>
    <w:rsid w:val="009106F1"/>
    <w:rsid w:val="009145D6"/>
    <w:rsid w:val="009202CF"/>
    <w:rsid w:val="00920E64"/>
    <w:rsid w:val="00922002"/>
    <w:rsid w:val="00924020"/>
    <w:rsid w:val="009271A7"/>
    <w:rsid w:val="0093658B"/>
    <w:rsid w:val="009429FF"/>
    <w:rsid w:val="00945BD6"/>
    <w:rsid w:val="009479FB"/>
    <w:rsid w:val="00951C45"/>
    <w:rsid w:val="00953BCC"/>
    <w:rsid w:val="00957B8D"/>
    <w:rsid w:val="009655A4"/>
    <w:rsid w:val="00966A08"/>
    <w:rsid w:val="00971207"/>
    <w:rsid w:val="0097180B"/>
    <w:rsid w:val="00975CB4"/>
    <w:rsid w:val="009863B0"/>
    <w:rsid w:val="00987DE1"/>
    <w:rsid w:val="00990571"/>
    <w:rsid w:val="0099673A"/>
    <w:rsid w:val="009A3330"/>
    <w:rsid w:val="009A7C96"/>
    <w:rsid w:val="009C3DB9"/>
    <w:rsid w:val="009D46E5"/>
    <w:rsid w:val="009D568A"/>
    <w:rsid w:val="009F04EC"/>
    <w:rsid w:val="009F3B36"/>
    <w:rsid w:val="009F72F2"/>
    <w:rsid w:val="00A019B9"/>
    <w:rsid w:val="00A1039A"/>
    <w:rsid w:val="00A12508"/>
    <w:rsid w:val="00A1282B"/>
    <w:rsid w:val="00A13A27"/>
    <w:rsid w:val="00A175B6"/>
    <w:rsid w:val="00A21835"/>
    <w:rsid w:val="00A328EC"/>
    <w:rsid w:val="00A33A51"/>
    <w:rsid w:val="00A41CA6"/>
    <w:rsid w:val="00A47927"/>
    <w:rsid w:val="00A47FFC"/>
    <w:rsid w:val="00A5442F"/>
    <w:rsid w:val="00A54FF9"/>
    <w:rsid w:val="00A56765"/>
    <w:rsid w:val="00A61033"/>
    <w:rsid w:val="00A675AC"/>
    <w:rsid w:val="00A7581F"/>
    <w:rsid w:val="00A87C15"/>
    <w:rsid w:val="00A92FB1"/>
    <w:rsid w:val="00A95A0C"/>
    <w:rsid w:val="00AA2765"/>
    <w:rsid w:val="00AA77B5"/>
    <w:rsid w:val="00AB6C5D"/>
    <w:rsid w:val="00AC407F"/>
    <w:rsid w:val="00AC51A7"/>
    <w:rsid w:val="00AD3A34"/>
    <w:rsid w:val="00AE305E"/>
    <w:rsid w:val="00AF5F89"/>
    <w:rsid w:val="00AF73CB"/>
    <w:rsid w:val="00B002D6"/>
    <w:rsid w:val="00B05B51"/>
    <w:rsid w:val="00B15370"/>
    <w:rsid w:val="00B17BEB"/>
    <w:rsid w:val="00B21A3C"/>
    <w:rsid w:val="00B223C0"/>
    <w:rsid w:val="00B234ED"/>
    <w:rsid w:val="00B25CA3"/>
    <w:rsid w:val="00B57A6A"/>
    <w:rsid w:val="00B75F97"/>
    <w:rsid w:val="00B760F1"/>
    <w:rsid w:val="00B7669E"/>
    <w:rsid w:val="00B77DA1"/>
    <w:rsid w:val="00B86E92"/>
    <w:rsid w:val="00BA0D55"/>
    <w:rsid w:val="00BA37B3"/>
    <w:rsid w:val="00BA4CC6"/>
    <w:rsid w:val="00BB3493"/>
    <w:rsid w:val="00BC188A"/>
    <w:rsid w:val="00BF5010"/>
    <w:rsid w:val="00C13791"/>
    <w:rsid w:val="00C31BB3"/>
    <w:rsid w:val="00C36977"/>
    <w:rsid w:val="00C477D9"/>
    <w:rsid w:val="00C55313"/>
    <w:rsid w:val="00C60BA3"/>
    <w:rsid w:val="00C623F7"/>
    <w:rsid w:val="00C649D1"/>
    <w:rsid w:val="00C812E1"/>
    <w:rsid w:val="00C81773"/>
    <w:rsid w:val="00C8617F"/>
    <w:rsid w:val="00C86896"/>
    <w:rsid w:val="00C907A8"/>
    <w:rsid w:val="00C93211"/>
    <w:rsid w:val="00C942EC"/>
    <w:rsid w:val="00C96047"/>
    <w:rsid w:val="00C979D0"/>
    <w:rsid w:val="00CA0818"/>
    <w:rsid w:val="00CA2C8F"/>
    <w:rsid w:val="00CA30DA"/>
    <w:rsid w:val="00CA3A24"/>
    <w:rsid w:val="00CA5CBD"/>
    <w:rsid w:val="00CB1777"/>
    <w:rsid w:val="00CB33E9"/>
    <w:rsid w:val="00CC10A9"/>
    <w:rsid w:val="00CE2BF8"/>
    <w:rsid w:val="00CE484E"/>
    <w:rsid w:val="00CF0DA8"/>
    <w:rsid w:val="00CF1174"/>
    <w:rsid w:val="00CF2E25"/>
    <w:rsid w:val="00CF4453"/>
    <w:rsid w:val="00D034D7"/>
    <w:rsid w:val="00D04BE4"/>
    <w:rsid w:val="00D07B0A"/>
    <w:rsid w:val="00D14127"/>
    <w:rsid w:val="00D252EF"/>
    <w:rsid w:val="00D32F49"/>
    <w:rsid w:val="00D60F02"/>
    <w:rsid w:val="00D66E49"/>
    <w:rsid w:val="00D72F74"/>
    <w:rsid w:val="00D73042"/>
    <w:rsid w:val="00D81563"/>
    <w:rsid w:val="00D87FBD"/>
    <w:rsid w:val="00D902B0"/>
    <w:rsid w:val="00D9073E"/>
    <w:rsid w:val="00D9221D"/>
    <w:rsid w:val="00D94174"/>
    <w:rsid w:val="00D958DF"/>
    <w:rsid w:val="00D96DA1"/>
    <w:rsid w:val="00DA51E7"/>
    <w:rsid w:val="00DB0C47"/>
    <w:rsid w:val="00DB1C78"/>
    <w:rsid w:val="00DB7D96"/>
    <w:rsid w:val="00DB7E4A"/>
    <w:rsid w:val="00DC23FE"/>
    <w:rsid w:val="00DC59E6"/>
    <w:rsid w:val="00DD150B"/>
    <w:rsid w:val="00DD5025"/>
    <w:rsid w:val="00DF5CC4"/>
    <w:rsid w:val="00E06484"/>
    <w:rsid w:val="00E13845"/>
    <w:rsid w:val="00E20A7D"/>
    <w:rsid w:val="00E275D8"/>
    <w:rsid w:val="00E375CA"/>
    <w:rsid w:val="00E40503"/>
    <w:rsid w:val="00E567E8"/>
    <w:rsid w:val="00E64679"/>
    <w:rsid w:val="00E65EBC"/>
    <w:rsid w:val="00E73432"/>
    <w:rsid w:val="00E77B0C"/>
    <w:rsid w:val="00E77FB8"/>
    <w:rsid w:val="00E838B0"/>
    <w:rsid w:val="00E86A7C"/>
    <w:rsid w:val="00E878E1"/>
    <w:rsid w:val="00E9185C"/>
    <w:rsid w:val="00E95278"/>
    <w:rsid w:val="00EA2273"/>
    <w:rsid w:val="00EB1499"/>
    <w:rsid w:val="00EB2DB3"/>
    <w:rsid w:val="00EC3FBB"/>
    <w:rsid w:val="00EC6B7A"/>
    <w:rsid w:val="00ED3A87"/>
    <w:rsid w:val="00ED5B67"/>
    <w:rsid w:val="00EF3FEE"/>
    <w:rsid w:val="00F04B59"/>
    <w:rsid w:val="00F11741"/>
    <w:rsid w:val="00F12B1C"/>
    <w:rsid w:val="00F13CF8"/>
    <w:rsid w:val="00F15855"/>
    <w:rsid w:val="00F17151"/>
    <w:rsid w:val="00F32978"/>
    <w:rsid w:val="00F45499"/>
    <w:rsid w:val="00F45CB2"/>
    <w:rsid w:val="00F52F29"/>
    <w:rsid w:val="00F544C0"/>
    <w:rsid w:val="00F55332"/>
    <w:rsid w:val="00F57974"/>
    <w:rsid w:val="00F65519"/>
    <w:rsid w:val="00F713C0"/>
    <w:rsid w:val="00F75DDC"/>
    <w:rsid w:val="00F853E1"/>
    <w:rsid w:val="00F9745D"/>
    <w:rsid w:val="00FA17AC"/>
    <w:rsid w:val="00FA32DE"/>
    <w:rsid w:val="00FA3382"/>
    <w:rsid w:val="00FA59CD"/>
    <w:rsid w:val="00FA7496"/>
    <w:rsid w:val="00FB1740"/>
    <w:rsid w:val="00FC50B9"/>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103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10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2768">
      <w:bodyDiv w:val="1"/>
      <w:marLeft w:val="0"/>
      <w:marRight w:val="0"/>
      <w:marTop w:val="0"/>
      <w:marBottom w:val="0"/>
      <w:divBdr>
        <w:top w:val="none" w:sz="0" w:space="0" w:color="auto"/>
        <w:left w:val="none" w:sz="0" w:space="0" w:color="auto"/>
        <w:bottom w:val="none" w:sz="0" w:space="0" w:color="auto"/>
        <w:right w:val="none" w:sz="0" w:space="0" w:color="auto"/>
      </w:divBdr>
      <w:divsChild>
        <w:div w:id="2039961338">
          <w:marLeft w:val="0"/>
          <w:marRight w:val="0"/>
          <w:marTop w:val="0"/>
          <w:marBottom w:val="0"/>
          <w:divBdr>
            <w:top w:val="none" w:sz="0" w:space="0" w:color="auto"/>
            <w:left w:val="none" w:sz="0" w:space="0" w:color="auto"/>
            <w:bottom w:val="none" w:sz="0" w:space="0" w:color="auto"/>
            <w:right w:val="none" w:sz="0" w:space="0" w:color="auto"/>
          </w:divBdr>
          <w:divsChild>
            <w:div w:id="1557470183">
              <w:marLeft w:val="0"/>
              <w:marRight w:val="0"/>
              <w:marTop w:val="0"/>
              <w:marBottom w:val="0"/>
              <w:divBdr>
                <w:top w:val="none" w:sz="0" w:space="0" w:color="auto"/>
                <w:left w:val="none" w:sz="0" w:space="0" w:color="auto"/>
                <w:bottom w:val="none" w:sz="0" w:space="0" w:color="auto"/>
                <w:right w:val="none" w:sz="0" w:space="0" w:color="auto"/>
              </w:divBdr>
              <w:divsChild>
                <w:div w:id="1886795128">
                  <w:marLeft w:val="-225"/>
                  <w:marRight w:val="-225"/>
                  <w:marTop w:val="0"/>
                  <w:marBottom w:val="225"/>
                  <w:divBdr>
                    <w:top w:val="none" w:sz="0" w:space="0" w:color="auto"/>
                    <w:left w:val="none" w:sz="0" w:space="0" w:color="auto"/>
                    <w:bottom w:val="none" w:sz="0" w:space="0" w:color="auto"/>
                    <w:right w:val="none" w:sz="0" w:space="0" w:color="auto"/>
                  </w:divBdr>
                  <w:divsChild>
                    <w:div w:id="2400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8DA3-7704-4524-9C75-41A72F7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1754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2015-11-06T14:51:00Z</cp:lastPrinted>
  <dcterms:created xsi:type="dcterms:W3CDTF">2015-11-18T15:05:00Z</dcterms:created>
  <dcterms:modified xsi:type="dcterms:W3CDTF">2015-11-18T15:05:00Z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150220-GU</vt:lpwstr>
  </property>
  <property fmtid="{D5CDD505-2E9C-101B-9397-08002B2CF9AE}" pid="3" name="MasterDocument">
    <vt:bool>false</vt:bool>
  </property>
</Properties>
</file>