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A438A0">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Pr="00A438A0" w:rsidRDefault="007C0528">
            <w:pPr>
              <w:pStyle w:val="MastHeadState"/>
            </w:pPr>
            <w:r w:rsidRPr="00A438A0">
              <w:t>State of Florida</w:t>
            </w:r>
          </w:p>
          <w:p w:rsidR="007C0528" w:rsidRPr="00A438A0" w:rsidRDefault="00F1477D">
            <w:pPr>
              <w:jc w:val="center"/>
            </w:pPr>
            <w:r w:rsidRPr="00A438A0">
              <w:rPr>
                <w:noProof/>
              </w:rPr>
              <w:drawing>
                <wp:inline distT="0" distB="0" distL="0" distR="0" wp14:anchorId="5499118D" wp14:editId="0F432B36">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Pr="00A438A0" w:rsidRDefault="007C0528"/>
        </w:tc>
        <w:tc>
          <w:tcPr>
            <w:tcW w:w="7273" w:type="dxa"/>
            <w:gridSpan w:val="2"/>
            <w:tcBorders>
              <w:top w:val="nil"/>
              <w:left w:val="nil"/>
              <w:bottom w:val="single" w:sz="24" w:space="0" w:color="auto"/>
              <w:right w:val="nil"/>
            </w:tcBorders>
            <w:shd w:val="clear" w:color="auto" w:fill="auto"/>
            <w:vAlign w:val="bottom"/>
          </w:tcPr>
          <w:p w:rsidR="007C0528" w:rsidRPr="00A438A0" w:rsidRDefault="007C0528">
            <w:pPr>
              <w:pStyle w:val="MastHeadPSC"/>
            </w:pPr>
            <w:r w:rsidRPr="00A438A0">
              <w:t>Public Service Commission</w:t>
            </w:r>
          </w:p>
          <w:p w:rsidR="007C0528" w:rsidRPr="00A438A0" w:rsidRDefault="007C0528">
            <w:pPr>
              <w:pStyle w:val="MastHeadAddress"/>
            </w:pPr>
            <w:r w:rsidRPr="00A438A0">
              <w:t>Capital Circle Office Center ● 2540 Shumard Oak Boulevard</w:t>
            </w:r>
            <w:r w:rsidRPr="00A438A0">
              <w:br/>
              <w:t>Tallahassee, Florida 32399-0850</w:t>
            </w:r>
          </w:p>
          <w:p w:rsidR="007C0528" w:rsidRPr="00A438A0" w:rsidRDefault="007C0528">
            <w:pPr>
              <w:pStyle w:val="MastHeadMemorandum"/>
            </w:pPr>
            <w:r w:rsidRPr="00A438A0">
              <w:t>-M-E-M-O-R-A-N-D-U-M-</w:t>
            </w:r>
          </w:p>
          <w:p w:rsidR="007C0528" w:rsidRPr="00A438A0" w:rsidRDefault="007C0528">
            <w:pPr>
              <w:pStyle w:val="MemoHeading"/>
            </w:pPr>
          </w:p>
        </w:tc>
      </w:tr>
      <w:tr w:rsidR="007C0528" w:rsidRPr="00A438A0">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Pr="00A438A0" w:rsidRDefault="007C0528" w:rsidP="00506C03">
            <w:pPr>
              <w:pStyle w:val="MemoHeadingLabel"/>
            </w:pPr>
            <w:r w:rsidRPr="00A438A0">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A438A0" w:rsidRDefault="00F1477D">
            <w:pPr>
              <w:pStyle w:val="MemoHeading"/>
            </w:pPr>
            <w:bookmarkStart w:id="0" w:name="FilingDate"/>
            <w:r w:rsidRPr="00A438A0">
              <w:t>November 18, 2015</w:t>
            </w:r>
            <w:bookmarkEnd w:id="0"/>
          </w:p>
        </w:tc>
      </w:tr>
      <w:tr w:rsidR="007C0528" w:rsidRPr="00A438A0">
        <w:tc>
          <w:tcPr>
            <w:tcW w:w="1254" w:type="dxa"/>
            <w:tcBorders>
              <w:top w:val="nil"/>
              <w:left w:val="nil"/>
              <w:bottom w:val="nil"/>
              <w:right w:val="nil"/>
            </w:tcBorders>
            <w:shd w:val="clear" w:color="auto" w:fill="auto"/>
            <w:tcMar>
              <w:top w:w="288" w:type="dxa"/>
              <w:bottom w:w="0" w:type="dxa"/>
              <w:right w:w="0" w:type="dxa"/>
            </w:tcMar>
          </w:tcPr>
          <w:p w:rsidR="007C0528" w:rsidRPr="00A438A0" w:rsidRDefault="007C0528" w:rsidP="00506C03">
            <w:pPr>
              <w:pStyle w:val="MemoHeadingLabel"/>
            </w:pPr>
            <w:r w:rsidRPr="00A438A0">
              <w:t>TO:</w:t>
            </w:r>
          </w:p>
        </w:tc>
        <w:tc>
          <w:tcPr>
            <w:tcW w:w="8221" w:type="dxa"/>
            <w:gridSpan w:val="3"/>
            <w:tcBorders>
              <w:top w:val="nil"/>
              <w:left w:val="nil"/>
              <w:bottom w:val="nil"/>
              <w:right w:val="nil"/>
            </w:tcBorders>
            <w:shd w:val="clear" w:color="auto" w:fill="auto"/>
            <w:tcMar>
              <w:top w:w="288" w:type="dxa"/>
              <w:bottom w:w="0" w:type="dxa"/>
            </w:tcMar>
          </w:tcPr>
          <w:p w:rsidR="007C0528" w:rsidRPr="00A438A0" w:rsidRDefault="007C0528" w:rsidP="0093658B">
            <w:pPr>
              <w:pStyle w:val="MemoHeading"/>
            </w:pPr>
            <w:r w:rsidRPr="00A438A0">
              <w:t>Office of Commission Clerk (</w:t>
            </w:r>
            <w:r w:rsidR="0093658B" w:rsidRPr="00A438A0">
              <w:t>Stauffer</w:t>
            </w:r>
            <w:r w:rsidRPr="00A438A0">
              <w:t>)</w:t>
            </w:r>
          </w:p>
        </w:tc>
      </w:tr>
      <w:tr w:rsidR="007C0528" w:rsidRPr="00A438A0">
        <w:tc>
          <w:tcPr>
            <w:tcW w:w="1254" w:type="dxa"/>
            <w:tcBorders>
              <w:top w:val="nil"/>
              <w:left w:val="nil"/>
              <w:bottom w:val="nil"/>
              <w:right w:val="nil"/>
            </w:tcBorders>
            <w:shd w:val="clear" w:color="auto" w:fill="auto"/>
            <w:tcMar>
              <w:top w:w="288" w:type="dxa"/>
              <w:right w:w="0" w:type="dxa"/>
            </w:tcMar>
          </w:tcPr>
          <w:p w:rsidR="007C0528" w:rsidRPr="00A438A0" w:rsidRDefault="007C0528" w:rsidP="00506C03">
            <w:pPr>
              <w:pStyle w:val="MemoHeadingLabel"/>
            </w:pPr>
            <w:r w:rsidRPr="00A438A0">
              <w:t>FROM:</w:t>
            </w:r>
          </w:p>
        </w:tc>
        <w:tc>
          <w:tcPr>
            <w:tcW w:w="8221" w:type="dxa"/>
            <w:gridSpan w:val="3"/>
            <w:tcBorders>
              <w:top w:val="nil"/>
              <w:left w:val="nil"/>
              <w:bottom w:val="nil"/>
              <w:right w:val="nil"/>
            </w:tcBorders>
            <w:shd w:val="clear" w:color="auto" w:fill="auto"/>
            <w:tcMar>
              <w:top w:w="288" w:type="dxa"/>
              <w:bottom w:w="0" w:type="dxa"/>
            </w:tcMar>
          </w:tcPr>
          <w:p w:rsidR="00F1477D" w:rsidRPr="00A438A0" w:rsidRDefault="00F1477D">
            <w:pPr>
              <w:pStyle w:val="MemoHeading"/>
            </w:pPr>
            <w:bookmarkStart w:id="1" w:name="From"/>
            <w:r w:rsidRPr="00A438A0">
              <w:t>Division of Economics (Bruce, Hudson)</w:t>
            </w:r>
          </w:p>
          <w:p w:rsidR="00F1477D" w:rsidRPr="00A438A0" w:rsidRDefault="00F1477D">
            <w:pPr>
              <w:pStyle w:val="MemoHeading"/>
            </w:pPr>
            <w:r w:rsidRPr="00A438A0">
              <w:t>Division of Accounting and Finance (Archer, Buys, Cicchetti, Yeazel)</w:t>
            </w:r>
          </w:p>
          <w:p w:rsidR="00F1477D" w:rsidRPr="00A438A0" w:rsidRDefault="00F1477D">
            <w:pPr>
              <w:pStyle w:val="MemoHeading"/>
            </w:pPr>
            <w:r w:rsidRPr="00A438A0">
              <w:t>Division of Engineering (King,</w:t>
            </w:r>
            <w:r w:rsidR="00FC616A">
              <w:t xml:space="preserve"> </w:t>
            </w:r>
            <w:r w:rsidRPr="00A438A0">
              <w:t>Watts)</w:t>
            </w:r>
          </w:p>
          <w:p w:rsidR="007C0528" w:rsidRPr="00A438A0" w:rsidRDefault="00F1477D">
            <w:pPr>
              <w:pStyle w:val="MemoHeading"/>
            </w:pPr>
            <w:r w:rsidRPr="00A438A0">
              <w:t>Office of the General Counsel (Brownless)</w:t>
            </w:r>
            <w:bookmarkEnd w:id="1"/>
          </w:p>
        </w:tc>
      </w:tr>
      <w:tr w:rsidR="007C0528" w:rsidRPr="00A438A0">
        <w:tc>
          <w:tcPr>
            <w:tcW w:w="1254" w:type="dxa"/>
            <w:tcBorders>
              <w:top w:val="nil"/>
              <w:left w:val="nil"/>
              <w:bottom w:val="nil"/>
              <w:right w:val="nil"/>
            </w:tcBorders>
            <w:shd w:val="clear" w:color="auto" w:fill="auto"/>
            <w:tcMar>
              <w:top w:w="288" w:type="dxa"/>
              <w:right w:w="0" w:type="dxa"/>
            </w:tcMar>
          </w:tcPr>
          <w:p w:rsidR="007C0528" w:rsidRPr="00A438A0" w:rsidRDefault="007C0528" w:rsidP="00506C03">
            <w:pPr>
              <w:pStyle w:val="MemoHeadingLabel"/>
            </w:pPr>
            <w:r w:rsidRPr="00A438A0">
              <w:t>RE:</w:t>
            </w:r>
          </w:p>
        </w:tc>
        <w:tc>
          <w:tcPr>
            <w:tcW w:w="8221" w:type="dxa"/>
            <w:gridSpan w:val="3"/>
            <w:tcBorders>
              <w:top w:val="nil"/>
              <w:left w:val="nil"/>
              <w:bottom w:val="nil"/>
              <w:right w:val="nil"/>
            </w:tcBorders>
            <w:shd w:val="clear" w:color="auto" w:fill="auto"/>
            <w:tcMar>
              <w:top w:w="288" w:type="dxa"/>
            </w:tcMar>
          </w:tcPr>
          <w:p w:rsidR="007C0528" w:rsidRPr="00A438A0" w:rsidRDefault="00F1477D">
            <w:pPr>
              <w:pStyle w:val="MemoHeadingRe"/>
            </w:pPr>
            <w:bookmarkStart w:id="2" w:name="Re"/>
            <w:r w:rsidRPr="00A438A0">
              <w:t>Docket No. 150102-SU – Application for increase in wastewater rates in Charlotte County by Utilities, Inc. of Sandalhaven.</w:t>
            </w:r>
            <w:bookmarkEnd w:id="2"/>
          </w:p>
        </w:tc>
      </w:tr>
      <w:tr w:rsidR="007C0528" w:rsidRPr="00A438A0">
        <w:tc>
          <w:tcPr>
            <w:tcW w:w="1254" w:type="dxa"/>
            <w:tcBorders>
              <w:top w:val="nil"/>
              <w:left w:val="nil"/>
              <w:bottom w:val="nil"/>
              <w:right w:val="nil"/>
            </w:tcBorders>
            <w:shd w:val="clear" w:color="auto" w:fill="auto"/>
            <w:tcMar>
              <w:top w:w="288" w:type="dxa"/>
              <w:bottom w:w="0" w:type="dxa"/>
              <w:right w:w="0" w:type="dxa"/>
            </w:tcMar>
          </w:tcPr>
          <w:p w:rsidR="007C0528" w:rsidRPr="00A438A0" w:rsidRDefault="007C0528" w:rsidP="00506C03">
            <w:pPr>
              <w:pStyle w:val="MemoHeadingLabel"/>
            </w:pPr>
            <w:r w:rsidRPr="00A438A0">
              <w:t>AGENDA:</w:t>
            </w:r>
          </w:p>
        </w:tc>
        <w:tc>
          <w:tcPr>
            <w:tcW w:w="8221" w:type="dxa"/>
            <w:gridSpan w:val="3"/>
            <w:tcBorders>
              <w:top w:val="nil"/>
              <w:left w:val="nil"/>
              <w:bottom w:val="nil"/>
              <w:right w:val="nil"/>
            </w:tcBorders>
            <w:shd w:val="clear" w:color="auto" w:fill="auto"/>
            <w:tcMar>
              <w:top w:w="288" w:type="dxa"/>
            </w:tcMar>
          </w:tcPr>
          <w:p w:rsidR="007C0528" w:rsidRPr="00A438A0" w:rsidRDefault="00F1477D" w:rsidP="003F7163">
            <w:pPr>
              <w:pStyle w:val="MemoHeading"/>
            </w:pPr>
            <w:bookmarkStart w:id="3" w:name="AgendaDate"/>
            <w:r w:rsidRPr="00A438A0">
              <w:t>12/03/15</w:t>
            </w:r>
            <w:bookmarkEnd w:id="3"/>
            <w:r w:rsidR="007C0528" w:rsidRPr="00A438A0">
              <w:t xml:space="preserve"> – </w:t>
            </w:r>
            <w:bookmarkStart w:id="4" w:name="PermittedStatus"/>
            <w:r w:rsidRPr="00A438A0">
              <w:t xml:space="preserve">Regular Agenda – </w:t>
            </w:r>
            <w:r w:rsidR="00B83066" w:rsidRPr="00A438A0">
              <w:t xml:space="preserve">Proposed Agency Action </w:t>
            </w:r>
            <w:r w:rsidR="003F7163">
              <w:t>e</w:t>
            </w:r>
            <w:r w:rsidR="00B83066" w:rsidRPr="00A438A0">
              <w:t xml:space="preserve">xcept Issue Nos. </w:t>
            </w:r>
            <w:r w:rsidR="009C096A" w:rsidRPr="00A438A0">
              <w:t>19</w:t>
            </w:r>
            <w:r w:rsidR="00B83066" w:rsidRPr="00A438A0">
              <w:t xml:space="preserve"> and </w:t>
            </w:r>
            <w:r w:rsidR="009C096A" w:rsidRPr="00A438A0">
              <w:t>24</w:t>
            </w:r>
            <w:r w:rsidR="00B83066" w:rsidRPr="00A438A0">
              <w:t xml:space="preserve"> – </w:t>
            </w:r>
            <w:r w:rsidRPr="00A438A0">
              <w:t>Interested Persons May Participate</w:t>
            </w:r>
            <w:bookmarkEnd w:id="4"/>
          </w:p>
        </w:tc>
      </w:tr>
      <w:tr w:rsidR="007C0528" w:rsidRPr="00A438A0">
        <w:tc>
          <w:tcPr>
            <w:tcW w:w="3690" w:type="dxa"/>
            <w:gridSpan w:val="3"/>
            <w:tcBorders>
              <w:top w:val="nil"/>
              <w:left w:val="nil"/>
              <w:bottom w:val="nil"/>
              <w:right w:val="nil"/>
            </w:tcBorders>
            <w:shd w:val="clear" w:color="auto" w:fill="auto"/>
            <w:tcMar>
              <w:top w:w="288" w:type="dxa"/>
              <w:bottom w:w="0" w:type="dxa"/>
              <w:right w:w="0" w:type="dxa"/>
            </w:tcMar>
          </w:tcPr>
          <w:p w:rsidR="007C0528" w:rsidRPr="00A438A0" w:rsidRDefault="007C0528" w:rsidP="00506C03">
            <w:pPr>
              <w:pStyle w:val="MemoHeadingLabel"/>
            </w:pPr>
            <w:r w:rsidRPr="00A438A0">
              <w:t>COMMISSIONERS ASSIGNED:</w:t>
            </w:r>
          </w:p>
        </w:tc>
        <w:tc>
          <w:tcPr>
            <w:tcW w:w="5785" w:type="dxa"/>
            <w:tcBorders>
              <w:top w:val="nil"/>
              <w:left w:val="nil"/>
              <w:bottom w:val="nil"/>
              <w:right w:val="nil"/>
            </w:tcBorders>
            <w:shd w:val="clear" w:color="auto" w:fill="auto"/>
          </w:tcPr>
          <w:p w:rsidR="007C0528" w:rsidRPr="00A438A0" w:rsidRDefault="00F1477D">
            <w:pPr>
              <w:pStyle w:val="MemoHeading"/>
            </w:pPr>
            <w:bookmarkStart w:id="5" w:name="CommissionersAssigned"/>
            <w:r w:rsidRPr="00A438A0">
              <w:t>All Commissioners</w:t>
            </w:r>
            <w:bookmarkEnd w:id="5"/>
          </w:p>
        </w:tc>
      </w:tr>
      <w:tr w:rsidR="007C0528" w:rsidRPr="00A438A0">
        <w:tc>
          <w:tcPr>
            <w:tcW w:w="3690" w:type="dxa"/>
            <w:gridSpan w:val="3"/>
            <w:tcBorders>
              <w:top w:val="nil"/>
              <w:left w:val="nil"/>
              <w:bottom w:val="nil"/>
              <w:right w:val="nil"/>
            </w:tcBorders>
            <w:shd w:val="clear" w:color="auto" w:fill="auto"/>
            <w:tcMar>
              <w:top w:w="288" w:type="dxa"/>
              <w:bottom w:w="0" w:type="dxa"/>
              <w:right w:w="0" w:type="dxa"/>
            </w:tcMar>
          </w:tcPr>
          <w:p w:rsidR="007C0528" w:rsidRPr="00A438A0" w:rsidRDefault="007C0528" w:rsidP="00506C03">
            <w:pPr>
              <w:pStyle w:val="MemoHeadingLabel"/>
            </w:pPr>
            <w:r w:rsidRPr="00A438A0">
              <w:t>PREHEARING OFFICER:</w:t>
            </w:r>
          </w:p>
        </w:tc>
        <w:tc>
          <w:tcPr>
            <w:tcW w:w="5785" w:type="dxa"/>
            <w:tcBorders>
              <w:top w:val="nil"/>
              <w:left w:val="nil"/>
              <w:bottom w:val="nil"/>
              <w:right w:val="nil"/>
            </w:tcBorders>
            <w:shd w:val="clear" w:color="auto" w:fill="auto"/>
          </w:tcPr>
          <w:p w:rsidR="007C0528" w:rsidRPr="00A438A0" w:rsidRDefault="00F1477D">
            <w:pPr>
              <w:pStyle w:val="MemoHeading"/>
            </w:pPr>
            <w:bookmarkStart w:id="6" w:name="PrehearingOfficer"/>
            <w:r w:rsidRPr="00A438A0">
              <w:t>Edgar</w:t>
            </w:r>
            <w:bookmarkEnd w:id="6"/>
          </w:p>
        </w:tc>
      </w:tr>
      <w:tr w:rsidR="007C0528" w:rsidRPr="00A438A0"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Pr="00A438A0" w:rsidRDefault="007C0528" w:rsidP="00506C03">
            <w:pPr>
              <w:pStyle w:val="MemoHeadingLabel"/>
            </w:pPr>
            <w:bookmarkStart w:id="7" w:name="CriticalDatesLabel"/>
            <w:r w:rsidRPr="00A438A0">
              <w:t>CRITICAL DATES:</w:t>
            </w:r>
            <w:bookmarkEnd w:id="7"/>
          </w:p>
        </w:tc>
        <w:tc>
          <w:tcPr>
            <w:tcW w:w="5785" w:type="dxa"/>
            <w:tcBorders>
              <w:top w:val="nil"/>
              <w:left w:val="nil"/>
              <w:bottom w:val="nil"/>
              <w:right w:val="nil"/>
            </w:tcBorders>
            <w:shd w:val="clear" w:color="auto" w:fill="auto"/>
          </w:tcPr>
          <w:p w:rsidR="007C0528" w:rsidRPr="00A438A0" w:rsidRDefault="00F1477D">
            <w:pPr>
              <w:pStyle w:val="MemoHeading"/>
            </w:pPr>
            <w:bookmarkStart w:id="8" w:name="CriticalDates"/>
            <w:r w:rsidRPr="00A438A0">
              <w:t>12/05/15 (5-Month Effective Date (PAA Rate Case))</w:t>
            </w:r>
            <w:bookmarkEnd w:id="8"/>
          </w:p>
        </w:tc>
      </w:tr>
      <w:tr w:rsidR="007C0528" w:rsidRPr="00A438A0"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Pr="00A438A0" w:rsidRDefault="007C0528" w:rsidP="00506C03">
            <w:pPr>
              <w:pStyle w:val="MemoHeadingLabel"/>
            </w:pPr>
            <w:r w:rsidRPr="00A438A0">
              <w:t>SPECIAL INSTRUCTIONS:</w:t>
            </w:r>
          </w:p>
        </w:tc>
        <w:tc>
          <w:tcPr>
            <w:tcW w:w="5785" w:type="dxa"/>
            <w:tcBorders>
              <w:top w:val="nil"/>
              <w:left w:val="nil"/>
              <w:bottom w:val="single" w:sz="24" w:space="0" w:color="auto"/>
              <w:right w:val="nil"/>
            </w:tcBorders>
            <w:shd w:val="clear" w:color="auto" w:fill="auto"/>
            <w:tcMar>
              <w:bottom w:w="216" w:type="dxa"/>
            </w:tcMar>
          </w:tcPr>
          <w:p w:rsidR="007C0528" w:rsidRPr="00A438A0" w:rsidRDefault="00F1477D">
            <w:pPr>
              <w:pStyle w:val="MemoHeading"/>
            </w:pPr>
            <w:bookmarkStart w:id="9" w:name="SpecialInstructions"/>
            <w:r w:rsidRPr="00A438A0">
              <w:t>None</w:t>
            </w:r>
            <w:bookmarkEnd w:id="9"/>
          </w:p>
        </w:tc>
      </w:tr>
    </w:tbl>
    <w:p w:rsidR="007C0528" w:rsidRPr="00A438A0" w:rsidRDefault="007C0528">
      <w:pPr>
        <w:pStyle w:val="BodyText"/>
      </w:pPr>
    </w:p>
    <w:p w:rsidR="00FA4CE3" w:rsidRPr="00A438A0" w:rsidRDefault="00FA4CE3">
      <w:pPr>
        <w:pStyle w:val="RecommendationHeading"/>
      </w:pPr>
      <w:bookmarkStart w:id="10" w:name="RecToC"/>
      <w:bookmarkEnd w:id="10"/>
      <w:r w:rsidRPr="00A438A0">
        <w:br w:type="page"/>
      </w:r>
      <w:r w:rsidRPr="00A438A0">
        <w:lastRenderedPageBreak/>
        <w:t>Table of Contents</w:t>
      </w:r>
    </w:p>
    <w:p w:rsidR="00FA4CE3" w:rsidRPr="00A438A0" w:rsidRDefault="00FA4CE3">
      <w:pPr>
        <w:pStyle w:val="TOCColumnHeadings"/>
      </w:pPr>
      <w:r w:rsidRPr="00A438A0">
        <w:t>Issue</w:t>
      </w:r>
      <w:r w:rsidRPr="00A438A0">
        <w:tab/>
        <w:t>Description</w:t>
      </w:r>
      <w:r w:rsidRPr="00A438A0">
        <w:tab/>
        <w:t>Page</w:t>
      </w:r>
    </w:p>
    <w:p w:rsidR="00F76168" w:rsidRDefault="00FA4CE3">
      <w:pPr>
        <w:pStyle w:val="TOC1"/>
        <w:rPr>
          <w:rFonts w:asciiTheme="minorHAnsi" w:eastAsiaTheme="minorEastAsia" w:hAnsiTheme="minorHAnsi" w:cstheme="minorBidi"/>
          <w:noProof/>
          <w:sz w:val="22"/>
          <w:szCs w:val="22"/>
        </w:rPr>
      </w:pPr>
      <w:r w:rsidRPr="00A438A0">
        <w:fldChar w:fldCharType="begin"/>
      </w:r>
      <w:r w:rsidRPr="00A438A0">
        <w:instrText xml:space="preserve"> TOC \f \h \w \z </w:instrText>
      </w:r>
      <w:r w:rsidRPr="00A438A0">
        <w:fldChar w:fldCharType="separate"/>
      </w:r>
      <w:hyperlink w:anchor="_Toc435607934" w:history="1">
        <w:r w:rsidR="00F76168" w:rsidRPr="002073AC">
          <w:rPr>
            <w:rStyle w:val="Hyperlink"/>
            <w:noProof/>
          </w:rPr>
          <w:tab/>
          <w:t>Case Background</w:t>
        </w:r>
        <w:r w:rsidR="00F76168">
          <w:rPr>
            <w:noProof/>
            <w:webHidden/>
          </w:rPr>
          <w:tab/>
        </w:r>
        <w:r w:rsidR="00F76168">
          <w:rPr>
            <w:noProof/>
            <w:webHidden/>
          </w:rPr>
          <w:fldChar w:fldCharType="begin"/>
        </w:r>
        <w:r w:rsidR="00F76168">
          <w:rPr>
            <w:noProof/>
            <w:webHidden/>
          </w:rPr>
          <w:instrText xml:space="preserve"> PAGEREF _Toc435607934 \h </w:instrText>
        </w:r>
        <w:r w:rsidR="00F76168">
          <w:rPr>
            <w:noProof/>
            <w:webHidden/>
          </w:rPr>
        </w:r>
        <w:r w:rsidR="00F76168">
          <w:rPr>
            <w:noProof/>
            <w:webHidden/>
          </w:rPr>
          <w:fldChar w:fldCharType="separate"/>
        </w:r>
        <w:r w:rsidR="00A05B79">
          <w:rPr>
            <w:noProof/>
            <w:webHidden/>
          </w:rPr>
          <w:t>3</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35" w:history="1">
        <w:r w:rsidR="00F76168" w:rsidRPr="002073AC">
          <w:rPr>
            <w:rStyle w:val="Hyperlink"/>
            <w:noProof/>
          </w:rPr>
          <w:t>1</w:t>
        </w:r>
        <w:r w:rsidR="00F76168" w:rsidRPr="002073AC">
          <w:rPr>
            <w:rStyle w:val="Hyperlink"/>
            <w:noProof/>
          </w:rPr>
          <w:tab/>
          <w:t>Quality of Service (Watts)</w:t>
        </w:r>
        <w:r w:rsidR="00F76168">
          <w:rPr>
            <w:noProof/>
            <w:webHidden/>
          </w:rPr>
          <w:tab/>
        </w:r>
        <w:r w:rsidR="00F76168">
          <w:rPr>
            <w:noProof/>
            <w:webHidden/>
          </w:rPr>
          <w:fldChar w:fldCharType="begin"/>
        </w:r>
        <w:r w:rsidR="00F76168">
          <w:rPr>
            <w:noProof/>
            <w:webHidden/>
          </w:rPr>
          <w:instrText xml:space="preserve"> PAGEREF _Toc435607935 \h </w:instrText>
        </w:r>
        <w:r w:rsidR="00F76168">
          <w:rPr>
            <w:noProof/>
            <w:webHidden/>
          </w:rPr>
        </w:r>
        <w:r w:rsidR="00F76168">
          <w:rPr>
            <w:noProof/>
            <w:webHidden/>
          </w:rPr>
          <w:fldChar w:fldCharType="separate"/>
        </w:r>
        <w:r w:rsidR="00A05B79">
          <w:rPr>
            <w:noProof/>
            <w:webHidden/>
          </w:rPr>
          <w:t>5</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36" w:history="1">
        <w:r w:rsidR="00F76168" w:rsidRPr="002073AC">
          <w:rPr>
            <w:rStyle w:val="Hyperlink"/>
            <w:noProof/>
          </w:rPr>
          <w:t>2</w:t>
        </w:r>
        <w:r w:rsidR="00F76168" w:rsidRPr="002073AC">
          <w:rPr>
            <w:rStyle w:val="Hyperlink"/>
            <w:noProof/>
          </w:rPr>
          <w:tab/>
          <w:t>Audit Adjustments to Rate Base (D. Buys)</w:t>
        </w:r>
        <w:r w:rsidR="00F76168">
          <w:rPr>
            <w:noProof/>
            <w:webHidden/>
          </w:rPr>
          <w:tab/>
        </w:r>
        <w:r w:rsidR="00F76168">
          <w:rPr>
            <w:noProof/>
            <w:webHidden/>
          </w:rPr>
          <w:fldChar w:fldCharType="begin"/>
        </w:r>
        <w:r w:rsidR="00F76168">
          <w:rPr>
            <w:noProof/>
            <w:webHidden/>
          </w:rPr>
          <w:instrText xml:space="preserve"> PAGEREF _Toc435607936 \h </w:instrText>
        </w:r>
        <w:r w:rsidR="00F76168">
          <w:rPr>
            <w:noProof/>
            <w:webHidden/>
          </w:rPr>
        </w:r>
        <w:r w:rsidR="00F76168">
          <w:rPr>
            <w:noProof/>
            <w:webHidden/>
          </w:rPr>
          <w:fldChar w:fldCharType="separate"/>
        </w:r>
        <w:r w:rsidR="00A05B79">
          <w:rPr>
            <w:noProof/>
            <w:webHidden/>
          </w:rPr>
          <w:t>10</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37" w:history="1">
        <w:r w:rsidR="00F76168" w:rsidRPr="002073AC">
          <w:rPr>
            <w:rStyle w:val="Hyperlink"/>
            <w:noProof/>
          </w:rPr>
          <w:t>3</w:t>
        </w:r>
        <w:r w:rsidR="00F76168" w:rsidRPr="002073AC">
          <w:rPr>
            <w:rStyle w:val="Hyperlink"/>
            <w:noProof/>
          </w:rPr>
          <w:tab/>
          <w:t>Test Year Rate Base Adjustments (D. Buys)</w:t>
        </w:r>
        <w:r w:rsidR="00F76168">
          <w:rPr>
            <w:noProof/>
            <w:webHidden/>
          </w:rPr>
          <w:tab/>
        </w:r>
        <w:r w:rsidR="00F76168">
          <w:rPr>
            <w:noProof/>
            <w:webHidden/>
          </w:rPr>
          <w:fldChar w:fldCharType="begin"/>
        </w:r>
        <w:r w:rsidR="00F76168">
          <w:rPr>
            <w:noProof/>
            <w:webHidden/>
          </w:rPr>
          <w:instrText xml:space="preserve"> PAGEREF _Toc435607937 \h </w:instrText>
        </w:r>
        <w:r w:rsidR="00F76168">
          <w:rPr>
            <w:noProof/>
            <w:webHidden/>
          </w:rPr>
        </w:r>
        <w:r w:rsidR="00F76168">
          <w:rPr>
            <w:noProof/>
            <w:webHidden/>
          </w:rPr>
          <w:fldChar w:fldCharType="separate"/>
        </w:r>
        <w:r w:rsidR="00A05B79">
          <w:rPr>
            <w:noProof/>
            <w:webHidden/>
          </w:rPr>
          <w:t>12</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38" w:history="1">
        <w:r w:rsidR="00F76168" w:rsidRPr="002073AC">
          <w:rPr>
            <w:rStyle w:val="Hyperlink"/>
            <w:noProof/>
          </w:rPr>
          <w:t>4</w:t>
        </w:r>
        <w:r w:rsidR="00F76168" w:rsidRPr="002073AC">
          <w:rPr>
            <w:rStyle w:val="Hyperlink"/>
            <w:noProof/>
          </w:rPr>
          <w:tab/>
          <w:t>Pro Forma Plant Adjustments (Watts, D. Buys)</w:t>
        </w:r>
        <w:r w:rsidR="00F76168">
          <w:rPr>
            <w:noProof/>
            <w:webHidden/>
          </w:rPr>
          <w:tab/>
        </w:r>
        <w:r w:rsidR="00F76168">
          <w:rPr>
            <w:noProof/>
            <w:webHidden/>
          </w:rPr>
          <w:fldChar w:fldCharType="begin"/>
        </w:r>
        <w:r w:rsidR="00F76168">
          <w:rPr>
            <w:noProof/>
            <w:webHidden/>
          </w:rPr>
          <w:instrText xml:space="preserve"> PAGEREF _Toc435607938 \h </w:instrText>
        </w:r>
        <w:r w:rsidR="00F76168">
          <w:rPr>
            <w:noProof/>
            <w:webHidden/>
          </w:rPr>
        </w:r>
        <w:r w:rsidR="00F76168">
          <w:rPr>
            <w:noProof/>
            <w:webHidden/>
          </w:rPr>
          <w:fldChar w:fldCharType="separate"/>
        </w:r>
        <w:r w:rsidR="00A05B79">
          <w:rPr>
            <w:noProof/>
            <w:webHidden/>
          </w:rPr>
          <w:t>16</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39" w:history="1">
        <w:r w:rsidR="00F76168" w:rsidRPr="002073AC">
          <w:rPr>
            <w:rStyle w:val="Hyperlink"/>
            <w:noProof/>
          </w:rPr>
          <w:t>5</w:t>
        </w:r>
        <w:r w:rsidR="00F76168" w:rsidRPr="002073AC">
          <w:rPr>
            <w:rStyle w:val="Hyperlink"/>
            <w:noProof/>
          </w:rPr>
          <w:tab/>
          <w:t>Used and Useful (Watts)</w:t>
        </w:r>
        <w:r w:rsidR="00F76168">
          <w:rPr>
            <w:noProof/>
            <w:webHidden/>
          </w:rPr>
          <w:tab/>
        </w:r>
        <w:r w:rsidR="00F76168">
          <w:rPr>
            <w:noProof/>
            <w:webHidden/>
          </w:rPr>
          <w:fldChar w:fldCharType="begin"/>
        </w:r>
        <w:r w:rsidR="00F76168">
          <w:rPr>
            <w:noProof/>
            <w:webHidden/>
          </w:rPr>
          <w:instrText xml:space="preserve"> PAGEREF _Toc435607939 \h </w:instrText>
        </w:r>
        <w:r w:rsidR="00F76168">
          <w:rPr>
            <w:noProof/>
            <w:webHidden/>
          </w:rPr>
        </w:r>
        <w:r w:rsidR="00F76168">
          <w:rPr>
            <w:noProof/>
            <w:webHidden/>
          </w:rPr>
          <w:fldChar w:fldCharType="separate"/>
        </w:r>
        <w:r w:rsidR="00A05B79">
          <w:rPr>
            <w:noProof/>
            <w:webHidden/>
          </w:rPr>
          <w:t>18</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40" w:history="1">
        <w:r w:rsidR="00F76168" w:rsidRPr="002073AC">
          <w:rPr>
            <w:rStyle w:val="Hyperlink"/>
            <w:noProof/>
          </w:rPr>
          <w:t>6</w:t>
        </w:r>
        <w:r w:rsidR="00F76168" w:rsidRPr="002073AC">
          <w:rPr>
            <w:rStyle w:val="Hyperlink"/>
            <w:noProof/>
          </w:rPr>
          <w:tab/>
          <w:t>Working Capital Allowance (Yeazel, D. Buys)</w:t>
        </w:r>
        <w:r w:rsidR="00F76168">
          <w:rPr>
            <w:noProof/>
            <w:webHidden/>
          </w:rPr>
          <w:tab/>
        </w:r>
        <w:r w:rsidR="00F76168">
          <w:rPr>
            <w:noProof/>
            <w:webHidden/>
          </w:rPr>
          <w:fldChar w:fldCharType="begin"/>
        </w:r>
        <w:r w:rsidR="00F76168">
          <w:rPr>
            <w:noProof/>
            <w:webHidden/>
          </w:rPr>
          <w:instrText xml:space="preserve"> PAGEREF _Toc435607940 \h </w:instrText>
        </w:r>
        <w:r w:rsidR="00F76168">
          <w:rPr>
            <w:noProof/>
            <w:webHidden/>
          </w:rPr>
        </w:r>
        <w:r w:rsidR="00F76168">
          <w:rPr>
            <w:noProof/>
            <w:webHidden/>
          </w:rPr>
          <w:fldChar w:fldCharType="separate"/>
        </w:r>
        <w:r w:rsidR="00A05B79">
          <w:rPr>
            <w:noProof/>
            <w:webHidden/>
          </w:rPr>
          <w:t>22</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41" w:history="1">
        <w:r w:rsidR="00F76168" w:rsidRPr="002073AC">
          <w:rPr>
            <w:rStyle w:val="Hyperlink"/>
            <w:noProof/>
          </w:rPr>
          <w:t>7</w:t>
        </w:r>
        <w:r w:rsidR="00F76168" w:rsidRPr="002073AC">
          <w:rPr>
            <w:rStyle w:val="Hyperlink"/>
            <w:noProof/>
          </w:rPr>
          <w:tab/>
          <w:t>Rate Base (D. Buys)</w:t>
        </w:r>
        <w:r w:rsidR="00F76168">
          <w:rPr>
            <w:noProof/>
            <w:webHidden/>
          </w:rPr>
          <w:tab/>
        </w:r>
        <w:r w:rsidR="00F76168">
          <w:rPr>
            <w:noProof/>
            <w:webHidden/>
          </w:rPr>
          <w:fldChar w:fldCharType="begin"/>
        </w:r>
        <w:r w:rsidR="00F76168">
          <w:rPr>
            <w:noProof/>
            <w:webHidden/>
          </w:rPr>
          <w:instrText xml:space="preserve"> PAGEREF _Toc435607941 \h </w:instrText>
        </w:r>
        <w:r w:rsidR="00F76168">
          <w:rPr>
            <w:noProof/>
            <w:webHidden/>
          </w:rPr>
        </w:r>
        <w:r w:rsidR="00F76168">
          <w:rPr>
            <w:noProof/>
            <w:webHidden/>
          </w:rPr>
          <w:fldChar w:fldCharType="separate"/>
        </w:r>
        <w:r w:rsidR="00A05B79">
          <w:rPr>
            <w:noProof/>
            <w:webHidden/>
          </w:rPr>
          <w:t>23</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42" w:history="1">
        <w:r w:rsidR="00F76168" w:rsidRPr="002073AC">
          <w:rPr>
            <w:rStyle w:val="Hyperlink"/>
            <w:noProof/>
          </w:rPr>
          <w:t>8</w:t>
        </w:r>
        <w:r w:rsidR="00F76168" w:rsidRPr="002073AC">
          <w:rPr>
            <w:rStyle w:val="Hyperlink"/>
            <w:noProof/>
          </w:rPr>
          <w:tab/>
          <w:t>Return of Equity (Archer)</w:t>
        </w:r>
        <w:r w:rsidR="00F76168">
          <w:rPr>
            <w:noProof/>
            <w:webHidden/>
          </w:rPr>
          <w:tab/>
        </w:r>
        <w:r w:rsidR="00F76168">
          <w:rPr>
            <w:noProof/>
            <w:webHidden/>
          </w:rPr>
          <w:fldChar w:fldCharType="begin"/>
        </w:r>
        <w:r w:rsidR="00F76168">
          <w:rPr>
            <w:noProof/>
            <w:webHidden/>
          </w:rPr>
          <w:instrText xml:space="preserve"> PAGEREF _Toc435607942 \h </w:instrText>
        </w:r>
        <w:r w:rsidR="00F76168">
          <w:rPr>
            <w:noProof/>
            <w:webHidden/>
          </w:rPr>
        </w:r>
        <w:r w:rsidR="00F76168">
          <w:rPr>
            <w:noProof/>
            <w:webHidden/>
          </w:rPr>
          <w:fldChar w:fldCharType="separate"/>
        </w:r>
        <w:r w:rsidR="00A05B79">
          <w:rPr>
            <w:noProof/>
            <w:webHidden/>
          </w:rPr>
          <w:t>24</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43" w:history="1">
        <w:r w:rsidR="00F76168" w:rsidRPr="002073AC">
          <w:rPr>
            <w:rStyle w:val="Hyperlink"/>
            <w:noProof/>
          </w:rPr>
          <w:t>9</w:t>
        </w:r>
        <w:r w:rsidR="00F76168" w:rsidRPr="002073AC">
          <w:rPr>
            <w:rStyle w:val="Hyperlink"/>
            <w:noProof/>
          </w:rPr>
          <w:tab/>
          <w:t>Accumulated Deferred Income Taxes (D. Buys)</w:t>
        </w:r>
        <w:r w:rsidR="00F76168">
          <w:rPr>
            <w:noProof/>
            <w:webHidden/>
          </w:rPr>
          <w:tab/>
        </w:r>
        <w:r w:rsidR="00F76168">
          <w:rPr>
            <w:noProof/>
            <w:webHidden/>
          </w:rPr>
          <w:fldChar w:fldCharType="begin"/>
        </w:r>
        <w:r w:rsidR="00F76168">
          <w:rPr>
            <w:noProof/>
            <w:webHidden/>
          </w:rPr>
          <w:instrText xml:space="preserve"> PAGEREF _Toc435607943 \h </w:instrText>
        </w:r>
        <w:r w:rsidR="00F76168">
          <w:rPr>
            <w:noProof/>
            <w:webHidden/>
          </w:rPr>
        </w:r>
        <w:r w:rsidR="00F76168">
          <w:rPr>
            <w:noProof/>
            <w:webHidden/>
          </w:rPr>
          <w:fldChar w:fldCharType="separate"/>
        </w:r>
        <w:r w:rsidR="00A05B79">
          <w:rPr>
            <w:noProof/>
            <w:webHidden/>
          </w:rPr>
          <w:t>25</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44" w:history="1">
        <w:r w:rsidR="00F76168" w:rsidRPr="002073AC">
          <w:rPr>
            <w:rStyle w:val="Hyperlink"/>
            <w:noProof/>
          </w:rPr>
          <w:t>10</w:t>
        </w:r>
        <w:r w:rsidR="00F76168" w:rsidRPr="002073AC">
          <w:rPr>
            <w:rStyle w:val="Hyperlink"/>
            <w:noProof/>
          </w:rPr>
          <w:tab/>
          <w:t>Weighted Average Cost of Capital (D. Buys)</w:t>
        </w:r>
        <w:r w:rsidR="00F76168">
          <w:rPr>
            <w:noProof/>
            <w:webHidden/>
          </w:rPr>
          <w:tab/>
        </w:r>
        <w:r w:rsidR="00F76168">
          <w:rPr>
            <w:noProof/>
            <w:webHidden/>
          </w:rPr>
          <w:fldChar w:fldCharType="begin"/>
        </w:r>
        <w:r w:rsidR="00F76168">
          <w:rPr>
            <w:noProof/>
            <w:webHidden/>
          </w:rPr>
          <w:instrText xml:space="preserve"> PAGEREF _Toc435607944 \h </w:instrText>
        </w:r>
        <w:r w:rsidR="00F76168">
          <w:rPr>
            <w:noProof/>
            <w:webHidden/>
          </w:rPr>
        </w:r>
        <w:r w:rsidR="00F76168">
          <w:rPr>
            <w:noProof/>
            <w:webHidden/>
          </w:rPr>
          <w:fldChar w:fldCharType="separate"/>
        </w:r>
        <w:r w:rsidR="00A05B79">
          <w:rPr>
            <w:noProof/>
            <w:webHidden/>
          </w:rPr>
          <w:t>28</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45" w:history="1">
        <w:r w:rsidR="00F76168" w:rsidRPr="002073AC">
          <w:rPr>
            <w:rStyle w:val="Hyperlink"/>
            <w:noProof/>
          </w:rPr>
          <w:t>11</w:t>
        </w:r>
        <w:r w:rsidR="00F76168" w:rsidRPr="002073AC">
          <w:rPr>
            <w:rStyle w:val="Hyperlink"/>
            <w:noProof/>
          </w:rPr>
          <w:tab/>
          <w:t>Test Year Revenues (Bruce)</w:t>
        </w:r>
        <w:r w:rsidR="00F76168">
          <w:rPr>
            <w:noProof/>
            <w:webHidden/>
          </w:rPr>
          <w:tab/>
        </w:r>
        <w:r w:rsidR="00F76168">
          <w:rPr>
            <w:noProof/>
            <w:webHidden/>
          </w:rPr>
          <w:fldChar w:fldCharType="begin"/>
        </w:r>
        <w:r w:rsidR="00F76168">
          <w:rPr>
            <w:noProof/>
            <w:webHidden/>
          </w:rPr>
          <w:instrText xml:space="preserve"> PAGEREF _Toc435607945 \h </w:instrText>
        </w:r>
        <w:r w:rsidR="00F76168">
          <w:rPr>
            <w:noProof/>
            <w:webHidden/>
          </w:rPr>
        </w:r>
        <w:r w:rsidR="00F76168">
          <w:rPr>
            <w:noProof/>
            <w:webHidden/>
          </w:rPr>
          <w:fldChar w:fldCharType="separate"/>
        </w:r>
        <w:r w:rsidR="00A05B79">
          <w:rPr>
            <w:noProof/>
            <w:webHidden/>
          </w:rPr>
          <w:t>30</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46" w:history="1">
        <w:r w:rsidR="00F76168" w:rsidRPr="002073AC">
          <w:rPr>
            <w:rStyle w:val="Hyperlink"/>
            <w:noProof/>
          </w:rPr>
          <w:t>12</w:t>
        </w:r>
        <w:r w:rsidR="00F76168" w:rsidRPr="002073AC">
          <w:rPr>
            <w:rStyle w:val="Hyperlink"/>
            <w:noProof/>
          </w:rPr>
          <w:tab/>
          <w:t>Salaries and Wages Expense Adjustment (Archer, D. Buys)</w:t>
        </w:r>
        <w:r w:rsidR="00F76168">
          <w:rPr>
            <w:noProof/>
            <w:webHidden/>
          </w:rPr>
          <w:tab/>
        </w:r>
        <w:r w:rsidR="00F76168">
          <w:rPr>
            <w:noProof/>
            <w:webHidden/>
          </w:rPr>
          <w:fldChar w:fldCharType="begin"/>
        </w:r>
        <w:r w:rsidR="00F76168">
          <w:rPr>
            <w:noProof/>
            <w:webHidden/>
          </w:rPr>
          <w:instrText xml:space="preserve"> PAGEREF _Toc435607946 \h </w:instrText>
        </w:r>
        <w:r w:rsidR="00F76168">
          <w:rPr>
            <w:noProof/>
            <w:webHidden/>
          </w:rPr>
        </w:r>
        <w:r w:rsidR="00F76168">
          <w:rPr>
            <w:noProof/>
            <w:webHidden/>
          </w:rPr>
          <w:fldChar w:fldCharType="separate"/>
        </w:r>
        <w:r w:rsidR="00A05B79">
          <w:rPr>
            <w:noProof/>
            <w:webHidden/>
          </w:rPr>
          <w:t>31</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47" w:history="1">
        <w:r w:rsidR="00F76168" w:rsidRPr="002073AC">
          <w:rPr>
            <w:rStyle w:val="Hyperlink"/>
            <w:noProof/>
          </w:rPr>
          <w:t>13</w:t>
        </w:r>
        <w:r w:rsidR="00F76168" w:rsidRPr="002073AC">
          <w:rPr>
            <w:rStyle w:val="Hyperlink"/>
            <w:noProof/>
          </w:rPr>
          <w:tab/>
          <w:t>O&amp;M Expense Adjustments (Archer, D. Buys)</w:t>
        </w:r>
        <w:r w:rsidR="00F76168">
          <w:rPr>
            <w:noProof/>
            <w:webHidden/>
          </w:rPr>
          <w:tab/>
        </w:r>
        <w:r w:rsidR="00F76168">
          <w:rPr>
            <w:noProof/>
            <w:webHidden/>
          </w:rPr>
          <w:fldChar w:fldCharType="begin"/>
        </w:r>
        <w:r w:rsidR="00F76168">
          <w:rPr>
            <w:noProof/>
            <w:webHidden/>
          </w:rPr>
          <w:instrText xml:space="preserve"> PAGEREF _Toc435607947 \h </w:instrText>
        </w:r>
        <w:r w:rsidR="00F76168">
          <w:rPr>
            <w:noProof/>
            <w:webHidden/>
          </w:rPr>
        </w:r>
        <w:r w:rsidR="00F76168">
          <w:rPr>
            <w:noProof/>
            <w:webHidden/>
          </w:rPr>
          <w:fldChar w:fldCharType="separate"/>
        </w:r>
        <w:r w:rsidR="00A05B79">
          <w:rPr>
            <w:noProof/>
            <w:webHidden/>
          </w:rPr>
          <w:t>33</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48" w:history="1">
        <w:r w:rsidR="00F76168" w:rsidRPr="002073AC">
          <w:rPr>
            <w:rStyle w:val="Hyperlink"/>
            <w:noProof/>
          </w:rPr>
          <w:t>14</w:t>
        </w:r>
        <w:r w:rsidR="00F76168" w:rsidRPr="002073AC">
          <w:rPr>
            <w:rStyle w:val="Hyperlink"/>
            <w:noProof/>
          </w:rPr>
          <w:tab/>
          <w:t>Rate Case Expense (Yeazel, D. Buys)</w:t>
        </w:r>
        <w:r w:rsidR="00F76168">
          <w:rPr>
            <w:noProof/>
            <w:webHidden/>
          </w:rPr>
          <w:tab/>
        </w:r>
        <w:r w:rsidR="00F76168">
          <w:rPr>
            <w:noProof/>
            <w:webHidden/>
          </w:rPr>
          <w:fldChar w:fldCharType="begin"/>
        </w:r>
        <w:r w:rsidR="00F76168">
          <w:rPr>
            <w:noProof/>
            <w:webHidden/>
          </w:rPr>
          <w:instrText xml:space="preserve"> PAGEREF _Toc435607948 \h </w:instrText>
        </w:r>
        <w:r w:rsidR="00F76168">
          <w:rPr>
            <w:noProof/>
            <w:webHidden/>
          </w:rPr>
        </w:r>
        <w:r w:rsidR="00F76168">
          <w:rPr>
            <w:noProof/>
            <w:webHidden/>
          </w:rPr>
          <w:fldChar w:fldCharType="separate"/>
        </w:r>
        <w:r w:rsidR="00A05B79">
          <w:rPr>
            <w:noProof/>
            <w:webHidden/>
          </w:rPr>
          <w:t>35</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49" w:history="1">
        <w:r w:rsidR="00F76168" w:rsidRPr="002073AC">
          <w:rPr>
            <w:rStyle w:val="Hyperlink"/>
            <w:noProof/>
          </w:rPr>
          <w:t>15</w:t>
        </w:r>
        <w:r w:rsidR="00F76168" w:rsidRPr="002073AC">
          <w:rPr>
            <w:rStyle w:val="Hyperlink"/>
            <w:noProof/>
          </w:rPr>
          <w:tab/>
          <w:t>Taxes Other Than Income (D. Buys)</w:t>
        </w:r>
        <w:r w:rsidR="00F76168">
          <w:rPr>
            <w:noProof/>
            <w:webHidden/>
          </w:rPr>
          <w:tab/>
        </w:r>
        <w:r w:rsidR="00F76168">
          <w:rPr>
            <w:noProof/>
            <w:webHidden/>
          </w:rPr>
          <w:fldChar w:fldCharType="begin"/>
        </w:r>
        <w:r w:rsidR="00F76168">
          <w:rPr>
            <w:noProof/>
            <w:webHidden/>
          </w:rPr>
          <w:instrText xml:space="preserve"> PAGEREF _Toc435607949 \h </w:instrText>
        </w:r>
        <w:r w:rsidR="00F76168">
          <w:rPr>
            <w:noProof/>
            <w:webHidden/>
          </w:rPr>
        </w:r>
        <w:r w:rsidR="00F76168">
          <w:rPr>
            <w:noProof/>
            <w:webHidden/>
          </w:rPr>
          <w:fldChar w:fldCharType="separate"/>
        </w:r>
        <w:r w:rsidR="00A05B79">
          <w:rPr>
            <w:noProof/>
            <w:webHidden/>
          </w:rPr>
          <w:t>40</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50" w:history="1">
        <w:r w:rsidR="00F76168" w:rsidRPr="002073AC">
          <w:rPr>
            <w:rStyle w:val="Hyperlink"/>
            <w:noProof/>
          </w:rPr>
          <w:t>16</w:t>
        </w:r>
        <w:r w:rsidR="00F76168" w:rsidRPr="002073AC">
          <w:rPr>
            <w:rStyle w:val="Hyperlink"/>
            <w:noProof/>
          </w:rPr>
          <w:tab/>
          <w:t>Revenue Requirement (D. Buys)</w:t>
        </w:r>
        <w:r w:rsidR="00F76168">
          <w:rPr>
            <w:noProof/>
            <w:webHidden/>
          </w:rPr>
          <w:tab/>
        </w:r>
        <w:r w:rsidR="00F76168">
          <w:rPr>
            <w:noProof/>
            <w:webHidden/>
          </w:rPr>
          <w:fldChar w:fldCharType="begin"/>
        </w:r>
        <w:r w:rsidR="00F76168">
          <w:rPr>
            <w:noProof/>
            <w:webHidden/>
          </w:rPr>
          <w:instrText xml:space="preserve"> PAGEREF _Toc435607950 \h </w:instrText>
        </w:r>
        <w:r w:rsidR="00F76168">
          <w:rPr>
            <w:noProof/>
            <w:webHidden/>
          </w:rPr>
        </w:r>
        <w:r w:rsidR="00F76168">
          <w:rPr>
            <w:noProof/>
            <w:webHidden/>
          </w:rPr>
          <w:fldChar w:fldCharType="separate"/>
        </w:r>
        <w:r w:rsidR="00A05B79">
          <w:rPr>
            <w:noProof/>
            <w:webHidden/>
          </w:rPr>
          <w:t>41</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51" w:history="1">
        <w:r w:rsidR="00F76168" w:rsidRPr="002073AC">
          <w:rPr>
            <w:rStyle w:val="Hyperlink"/>
            <w:noProof/>
          </w:rPr>
          <w:t>17</w:t>
        </w:r>
        <w:r w:rsidR="00F76168" w:rsidRPr="002073AC">
          <w:rPr>
            <w:rStyle w:val="Hyperlink"/>
            <w:noProof/>
          </w:rPr>
          <w:tab/>
          <w:t>Appropriate Rate Structures and Rates (Bruce)</w:t>
        </w:r>
        <w:r w:rsidR="00F76168">
          <w:rPr>
            <w:noProof/>
            <w:webHidden/>
          </w:rPr>
          <w:tab/>
        </w:r>
        <w:r w:rsidR="00F76168">
          <w:rPr>
            <w:noProof/>
            <w:webHidden/>
          </w:rPr>
          <w:fldChar w:fldCharType="begin"/>
        </w:r>
        <w:r w:rsidR="00F76168">
          <w:rPr>
            <w:noProof/>
            <w:webHidden/>
          </w:rPr>
          <w:instrText xml:space="preserve"> PAGEREF _Toc435607951 \h </w:instrText>
        </w:r>
        <w:r w:rsidR="00F76168">
          <w:rPr>
            <w:noProof/>
            <w:webHidden/>
          </w:rPr>
        </w:r>
        <w:r w:rsidR="00F76168">
          <w:rPr>
            <w:noProof/>
            <w:webHidden/>
          </w:rPr>
          <w:fldChar w:fldCharType="separate"/>
        </w:r>
        <w:r w:rsidR="00A05B79">
          <w:rPr>
            <w:noProof/>
            <w:webHidden/>
          </w:rPr>
          <w:t>42</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52" w:history="1">
        <w:r w:rsidR="00F76168" w:rsidRPr="002073AC">
          <w:rPr>
            <w:rStyle w:val="Hyperlink"/>
            <w:noProof/>
          </w:rPr>
          <w:t>18</w:t>
        </w:r>
        <w:r w:rsidR="00F76168" w:rsidRPr="002073AC">
          <w:rPr>
            <w:rStyle w:val="Hyperlink"/>
            <w:noProof/>
          </w:rPr>
          <w:tab/>
          <w:t>Interim Refund (D. Buys)</w:t>
        </w:r>
        <w:r w:rsidR="00F76168">
          <w:rPr>
            <w:noProof/>
            <w:webHidden/>
          </w:rPr>
          <w:tab/>
        </w:r>
        <w:r w:rsidR="00F76168">
          <w:rPr>
            <w:noProof/>
            <w:webHidden/>
          </w:rPr>
          <w:fldChar w:fldCharType="begin"/>
        </w:r>
        <w:r w:rsidR="00F76168">
          <w:rPr>
            <w:noProof/>
            <w:webHidden/>
          </w:rPr>
          <w:instrText xml:space="preserve"> PAGEREF _Toc435607952 \h </w:instrText>
        </w:r>
        <w:r w:rsidR="00F76168">
          <w:rPr>
            <w:noProof/>
            <w:webHidden/>
          </w:rPr>
        </w:r>
        <w:r w:rsidR="00F76168">
          <w:rPr>
            <w:noProof/>
            <w:webHidden/>
          </w:rPr>
          <w:fldChar w:fldCharType="separate"/>
        </w:r>
        <w:r w:rsidR="00A05B79">
          <w:rPr>
            <w:noProof/>
            <w:webHidden/>
          </w:rPr>
          <w:t>44</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53" w:history="1">
        <w:r w:rsidR="00F76168" w:rsidRPr="002073AC">
          <w:rPr>
            <w:rStyle w:val="Hyperlink"/>
            <w:noProof/>
          </w:rPr>
          <w:t>19</w:t>
        </w:r>
        <w:r w:rsidR="00F76168" w:rsidRPr="002073AC">
          <w:rPr>
            <w:rStyle w:val="Hyperlink"/>
            <w:noProof/>
          </w:rPr>
          <w:tab/>
          <w:t>Four Year Rate Reduction (Bruce, D. Buys)</w:t>
        </w:r>
        <w:r w:rsidR="00F76168">
          <w:rPr>
            <w:noProof/>
            <w:webHidden/>
          </w:rPr>
          <w:tab/>
        </w:r>
        <w:r w:rsidR="00F76168">
          <w:rPr>
            <w:noProof/>
            <w:webHidden/>
          </w:rPr>
          <w:fldChar w:fldCharType="begin"/>
        </w:r>
        <w:r w:rsidR="00F76168">
          <w:rPr>
            <w:noProof/>
            <w:webHidden/>
          </w:rPr>
          <w:instrText xml:space="preserve"> PAGEREF _Toc435607953 \h </w:instrText>
        </w:r>
        <w:r w:rsidR="00F76168">
          <w:rPr>
            <w:noProof/>
            <w:webHidden/>
          </w:rPr>
        </w:r>
        <w:r w:rsidR="00F76168">
          <w:rPr>
            <w:noProof/>
            <w:webHidden/>
          </w:rPr>
          <w:fldChar w:fldCharType="separate"/>
        </w:r>
        <w:r w:rsidR="00A05B79">
          <w:rPr>
            <w:noProof/>
            <w:webHidden/>
          </w:rPr>
          <w:t>45</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54" w:history="1">
        <w:r w:rsidR="00F76168" w:rsidRPr="002073AC">
          <w:rPr>
            <w:rStyle w:val="Hyperlink"/>
            <w:noProof/>
          </w:rPr>
          <w:t>20</w:t>
        </w:r>
        <w:r w:rsidR="00F76168" w:rsidRPr="002073AC">
          <w:rPr>
            <w:rStyle w:val="Hyperlink"/>
            <w:noProof/>
          </w:rPr>
          <w:tab/>
          <w:t>Customer Deposits (Bruce)</w:t>
        </w:r>
        <w:r w:rsidR="00F76168">
          <w:rPr>
            <w:noProof/>
            <w:webHidden/>
          </w:rPr>
          <w:tab/>
        </w:r>
        <w:r w:rsidR="00F76168">
          <w:rPr>
            <w:noProof/>
            <w:webHidden/>
          </w:rPr>
          <w:fldChar w:fldCharType="begin"/>
        </w:r>
        <w:r w:rsidR="00F76168">
          <w:rPr>
            <w:noProof/>
            <w:webHidden/>
          </w:rPr>
          <w:instrText xml:space="preserve"> PAGEREF _Toc435607954 \h </w:instrText>
        </w:r>
        <w:r w:rsidR="00F76168">
          <w:rPr>
            <w:noProof/>
            <w:webHidden/>
          </w:rPr>
        </w:r>
        <w:r w:rsidR="00F76168">
          <w:rPr>
            <w:noProof/>
            <w:webHidden/>
          </w:rPr>
          <w:fldChar w:fldCharType="separate"/>
        </w:r>
        <w:r w:rsidR="00A05B79">
          <w:rPr>
            <w:noProof/>
            <w:webHidden/>
          </w:rPr>
          <w:t>47</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55" w:history="1">
        <w:r w:rsidR="00F76168" w:rsidRPr="002073AC">
          <w:rPr>
            <w:rStyle w:val="Hyperlink"/>
            <w:noProof/>
          </w:rPr>
          <w:t>21</w:t>
        </w:r>
        <w:r w:rsidR="00F76168" w:rsidRPr="002073AC">
          <w:rPr>
            <w:rStyle w:val="Hyperlink"/>
            <w:noProof/>
          </w:rPr>
          <w:tab/>
          <w:t>Guaranteed Revenue Charge (Bruce, Hudson)</w:t>
        </w:r>
        <w:r w:rsidR="00F76168">
          <w:rPr>
            <w:noProof/>
            <w:webHidden/>
          </w:rPr>
          <w:tab/>
        </w:r>
        <w:r w:rsidR="00F76168">
          <w:rPr>
            <w:noProof/>
            <w:webHidden/>
          </w:rPr>
          <w:fldChar w:fldCharType="begin"/>
        </w:r>
        <w:r w:rsidR="00F76168">
          <w:rPr>
            <w:noProof/>
            <w:webHidden/>
          </w:rPr>
          <w:instrText xml:space="preserve"> PAGEREF _Toc435607955 \h </w:instrText>
        </w:r>
        <w:r w:rsidR="00F76168">
          <w:rPr>
            <w:noProof/>
            <w:webHidden/>
          </w:rPr>
        </w:r>
        <w:r w:rsidR="00F76168">
          <w:rPr>
            <w:noProof/>
            <w:webHidden/>
          </w:rPr>
          <w:fldChar w:fldCharType="separate"/>
        </w:r>
        <w:r w:rsidR="00A05B79">
          <w:rPr>
            <w:noProof/>
            <w:webHidden/>
          </w:rPr>
          <w:t>48</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56" w:history="1">
        <w:r w:rsidR="00F76168" w:rsidRPr="002073AC">
          <w:rPr>
            <w:rStyle w:val="Hyperlink"/>
            <w:noProof/>
          </w:rPr>
          <w:t>22</w:t>
        </w:r>
        <w:r w:rsidR="00F76168" w:rsidRPr="002073AC">
          <w:rPr>
            <w:rStyle w:val="Hyperlink"/>
            <w:noProof/>
          </w:rPr>
          <w:tab/>
          <w:t>Service Availability Charges (Bruce, Hudson)</w:t>
        </w:r>
        <w:r w:rsidR="00F76168">
          <w:rPr>
            <w:noProof/>
            <w:webHidden/>
          </w:rPr>
          <w:tab/>
        </w:r>
        <w:r w:rsidR="00F76168">
          <w:rPr>
            <w:noProof/>
            <w:webHidden/>
          </w:rPr>
          <w:fldChar w:fldCharType="begin"/>
        </w:r>
        <w:r w:rsidR="00F76168">
          <w:rPr>
            <w:noProof/>
            <w:webHidden/>
          </w:rPr>
          <w:instrText xml:space="preserve"> PAGEREF _Toc435607956 \h </w:instrText>
        </w:r>
        <w:r w:rsidR="00F76168">
          <w:rPr>
            <w:noProof/>
            <w:webHidden/>
          </w:rPr>
        </w:r>
        <w:r w:rsidR="00F76168">
          <w:rPr>
            <w:noProof/>
            <w:webHidden/>
          </w:rPr>
          <w:fldChar w:fldCharType="separate"/>
        </w:r>
        <w:r w:rsidR="00A05B79">
          <w:rPr>
            <w:noProof/>
            <w:webHidden/>
          </w:rPr>
          <w:t>50</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57" w:history="1">
        <w:r w:rsidR="00F76168" w:rsidRPr="002073AC">
          <w:rPr>
            <w:rStyle w:val="Hyperlink"/>
            <w:noProof/>
          </w:rPr>
          <w:t>23</w:t>
        </w:r>
        <w:r w:rsidR="00F76168" w:rsidRPr="002073AC">
          <w:rPr>
            <w:rStyle w:val="Hyperlink"/>
            <w:noProof/>
          </w:rPr>
          <w:tab/>
          <w:t>Allowance for Funds Prudently Invested (Bruce, Hudson)</w:t>
        </w:r>
        <w:r w:rsidR="00F76168">
          <w:rPr>
            <w:noProof/>
            <w:webHidden/>
          </w:rPr>
          <w:tab/>
        </w:r>
        <w:r w:rsidR="00F76168">
          <w:rPr>
            <w:noProof/>
            <w:webHidden/>
          </w:rPr>
          <w:fldChar w:fldCharType="begin"/>
        </w:r>
        <w:r w:rsidR="00F76168">
          <w:rPr>
            <w:noProof/>
            <w:webHidden/>
          </w:rPr>
          <w:instrText xml:space="preserve"> PAGEREF _Toc435607957 \h </w:instrText>
        </w:r>
        <w:r w:rsidR="00F76168">
          <w:rPr>
            <w:noProof/>
            <w:webHidden/>
          </w:rPr>
        </w:r>
        <w:r w:rsidR="00F76168">
          <w:rPr>
            <w:noProof/>
            <w:webHidden/>
          </w:rPr>
          <w:fldChar w:fldCharType="separate"/>
        </w:r>
        <w:r w:rsidR="00A05B79">
          <w:rPr>
            <w:noProof/>
            <w:webHidden/>
          </w:rPr>
          <w:t>52</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58" w:history="1">
        <w:r w:rsidR="00F76168" w:rsidRPr="002073AC">
          <w:rPr>
            <w:rStyle w:val="Hyperlink"/>
            <w:noProof/>
          </w:rPr>
          <w:t>24</w:t>
        </w:r>
        <w:r w:rsidR="00F76168" w:rsidRPr="002073AC">
          <w:rPr>
            <w:rStyle w:val="Hyperlink"/>
            <w:noProof/>
          </w:rPr>
          <w:tab/>
          <w:t>Proof of Adjustments (D. Buys)</w:t>
        </w:r>
        <w:r w:rsidR="00F76168">
          <w:rPr>
            <w:noProof/>
            <w:webHidden/>
          </w:rPr>
          <w:tab/>
        </w:r>
        <w:r w:rsidR="00F76168">
          <w:rPr>
            <w:noProof/>
            <w:webHidden/>
          </w:rPr>
          <w:fldChar w:fldCharType="begin"/>
        </w:r>
        <w:r w:rsidR="00F76168">
          <w:rPr>
            <w:noProof/>
            <w:webHidden/>
          </w:rPr>
          <w:instrText xml:space="preserve"> PAGEREF _Toc435607958 \h </w:instrText>
        </w:r>
        <w:r w:rsidR="00F76168">
          <w:rPr>
            <w:noProof/>
            <w:webHidden/>
          </w:rPr>
        </w:r>
        <w:r w:rsidR="00F76168">
          <w:rPr>
            <w:noProof/>
            <w:webHidden/>
          </w:rPr>
          <w:fldChar w:fldCharType="separate"/>
        </w:r>
        <w:r w:rsidR="00A05B79">
          <w:rPr>
            <w:noProof/>
            <w:webHidden/>
          </w:rPr>
          <w:t>54</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59" w:history="1">
        <w:r w:rsidR="00F76168" w:rsidRPr="002073AC">
          <w:rPr>
            <w:rStyle w:val="Hyperlink"/>
            <w:noProof/>
          </w:rPr>
          <w:t>25</w:t>
        </w:r>
        <w:r w:rsidR="00F76168" w:rsidRPr="002073AC">
          <w:rPr>
            <w:rStyle w:val="Hyperlink"/>
            <w:noProof/>
          </w:rPr>
          <w:tab/>
          <w:t>Close Docket(Brownless)</w:t>
        </w:r>
        <w:r w:rsidR="00F76168">
          <w:rPr>
            <w:noProof/>
            <w:webHidden/>
          </w:rPr>
          <w:tab/>
        </w:r>
        <w:r w:rsidR="00F76168">
          <w:rPr>
            <w:noProof/>
            <w:webHidden/>
          </w:rPr>
          <w:fldChar w:fldCharType="begin"/>
        </w:r>
        <w:r w:rsidR="00F76168">
          <w:rPr>
            <w:noProof/>
            <w:webHidden/>
          </w:rPr>
          <w:instrText xml:space="preserve"> PAGEREF _Toc435607959 \h </w:instrText>
        </w:r>
        <w:r w:rsidR="00F76168">
          <w:rPr>
            <w:noProof/>
            <w:webHidden/>
          </w:rPr>
        </w:r>
        <w:r w:rsidR="00F76168">
          <w:rPr>
            <w:noProof/>
            <w:webHidden/>
          </w:rPr>
          <w:fldChar w:fldCharType="separate"/>
        </w:r>
        <w:r w:rsidR="00A05B79">
          <w:rPr>
            <w:noProof/>
            <w:webHidden/>
          </w:rPr>
          <w:t>55</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60" w:history="1">
        <w:r w:rsidR="00F76168" w:rsidRPr="002073AC">
          <w:rPr>
            <w:rStyle w:val="Hyperlink"/>
            <w:noProof/>
          </w:rPr>
          <w:tab/>
          <w:t>Schedule No. 1 Wastewater Rate Base</w:t>
        </w:r>
        <w:r w:rsidR="00F76168">
          <w:rPr>
            <w:noProof/>
            <w:webHidden/>
          </w:rPr>
          <w:tab/>
        </w:r>
        <w:r w:rsidR="00F76168">
          <w:rPr>
            <w:noProof/>
            <w:webHidden/>
          </w:rPr>
          <w:fldChar w:fldCharType="begin"/>
        </w:r>
        <w:r w:rsidR="00F76168">
          <w:rPr>
            <w:noProof/>
            <w:webHidden/>
          </w:rPr>
          <w:instrText xml:space="preserve"> PAGEREF _Toc435607960 \h </w:instrText>
        </w:r>
        <w:r w:rsidR="00F76168">
          <w:rPr>
            <w:noProof/>
            <w:webHidden/>
          </w:rPr>
        </w:r>
        <w:r w:rsidR="00F76168">
          <w:rPr>
            <w:noProof/>
            <w:webHidden/>
          </w:rPr>
          <w:fldChar w:fldCharType="separate"/>
        </w:r>
        <w:r w:rsidR="00A05B79">
          <w:rPr>
            <w:noProof/>
            <w:webHidden/>
          </w:rPr>
          <w:t>56</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61" w:history="1">
        <w:r w:rsidR="00F76168" w:rsidRPr="002073AC">
          <w:rPr>
            <w:rStyle w:val="Hyperlink"/>
            <w:noProof/>
          </w:rPr>
          <w:tab/>
          <w:t>Schedule No. 1-A Adjustments to Rate Base</w:t>
        </w:r>
        <w:r w:rsidR="00F76168">
          <w:rPr>
            <w:noProof/>
            <w:webHidden/>
          </w:rPr>
          <w:tab/>
        </w:r>
        <w:r w:rsidR="00F76168">
          <w:rPr>
            <w:noProof/>
            <w:webHidden/>
          </w:rPr>
          <w:fldChar w:fldCharType="begin"/>
        </w:r>
        <w:r w:rsidR="00F76168">
          <w:rPr>
            <w:noProof/>
            <w:webHidden/>
          </w:rPr>
          <w:instrText xml:space="preserve"> PAGEREF _Toc435607961 \h </w:instrText>
        </w:r>
        <w:r w:rsidR="00F76168">
          <w:rPr>
            <w:noProof/>
            <w:webHidden/>
          </w:rPr>
        </w:r>
        <w:r w:rsidR="00F76168">
          <w:rPr>
            <w:noProof/>
            <w:webHidden/>
          </w:rPr>
          <w:fldChar w:fldCharType="separate"/>
        </w:r>
        <w:r w:rsidR="00A05B79">
          <w:rPr>
            <w:noProof/>
            <w:webHidden/>
          </w:rPr>
          <w:t>57</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62" w:history="1">
        <w:r w:rsidR="00F76168" w:rsidRPr="002073AC">
          <w:rPr>
            <w:rStyle w:val="Hyperlink"/>
            <w:noProof/>
          </w:rPr>
          <w:tab/>
          <w:t>Schedule No. 2 Capital Structure</w:t>
        </w:r>
        <w:r w:rsidR="00F76168">
          <w:rPr>
            <w:noProof/>
            <w:webHidden/>
          </w:rPr>
          <w:tab/>
        </w:r>
        <w:r w:rsidR="00F76168">
          <w:rPr>
            <w:noProof/>
            <w:webHidden/>
          </w:rPr>
          <w:fldChar w:fldCharType="begin"/>
        </w:r>
        <w:r w:rsidR="00F76168">
          <w:rPr>
            <w:noProof/>
            <w:webHidden/>
          </w:rPr>
          <w:instrText xml:space="preserve"> PAGEREF _Toc435607962 \h </w:instrText>
        </w:r>
        <w:r w:rsidR="00F76168">
          <w:rPr>
            <w:noProof/>
            <w:webHidden/>
          </w:rPr>
        </w:r>
        <w:r w:rsidR="00F76168">
          <w:rPr>
            <w:noProof/>
            <w:webHidden/>
          </w:rPr>
          <w:fldChar w:fldCharType="separate"/>
        </w:r>
        <w:r w:rsidR="00A05B79">
          <w:rPr>
            <w:noProof/>
            <w:webHidden/>
          </w:rPr>
          <w:t>58</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63" w:history="1">
        <w:r w:rsidR="00F76168" w:rsidRPr="002073AC">
          <w:rPr>
            <w:rStyle w:val="Hyperlink"/>
            <w:noProof/>
          </w:rPr>
          <w:tab/>
          <w:t>Schedule No. 3 Wastewater NOI</w:t>
        </w:r>
        <w:r w:rsidR="00F76168">
          <w:rPr>
            <w:noProof/>
            <w:webHidden/>
          </w:rPr>
          <w:tab/>
        </w:r>
        <w:r w:rsidR="00F76168">
          <w:rPr>
            <w:noProof/>
            <w:webHidden/>
          </w:rPr>
          <w:fldChar w:fldCharType="begin"/>
        </w:r>
        <w:r w:rsidR="00F76168">
          <w:rPr>
            <w:noProof/>
            <w:webHidden/>
          </w:rPr>
          <w:instrText xml:space="preserve"> PAGEREF _Toc435607963 \h </w:instrText>
        </w:r>
        <w:r w:rsidR="00F76168">
          <w:rPr>
            <w:noProof/>
            <w:webHidden/>
          </w:rPr>
        </w:r>
        <w:r w:rsidR="00F76168">
          <w:rPr>
            <w:noProof/>
            <w:webHidden/>
          </w:rPr>
          <w:fldChar w:fldCharType="separate"/>
        </w:r>
        <w:r w:rsidR="00A05B79">
          <w:rPr>
            <w:noProof/>
            <w:webHidden/>
          </w:rPr>
          <w:t>59</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64" w:history="1">
        <w:r w:rsidR="00F76168" w:rsidRPr="002073AC">
          <w:rPr>
            <w:rStyle w:val="Hyperlink"/>
            <w:noProof/>
          </w:rPr>
          <w:tab/>
          <w:t>Schedule No. 3-A Adjustments to NOI</w:t>
        </w:r>
        <w:r w:rsidR="00F76168">
          <w:rPr>
            <w:noProof/>
            <w:webHidden/>
          </w:rPr>
          <w:tab/>
        </w:r>
        <w:r w:rsidR="00F76168">
          <w:rPr>
            <w:noProof/>
            <w:webHidden/>
          </w:rPr>
          <w:fldChar w:fldCharType="begin"/>
        </w:r>
        <w:r w:rsidR="00F76168">
          <w:rPr>
            <w:noProof/>
            <w:webHidden/>
          </w:rPr>
          <w:instrText xml:space="preserve"> PAGEREF _Toc435607964 \h </w:instrText>
        </w:r>
        <w:r w:rsidR="00F76168">
          <w:rPr>
            <w:noProof/>
            <w:webHidden/>
          </w:rPr>
        </w:r>
        <w:r w:rsidR="00F76168">
          <w:rPr>
            <w:noProof/>
            <w:webHidden/>
          </w:rPr>
          <w:fldChar w:fldCharType="separate"/>
        </w:r>
        <w:r w:rsidR="00A05B79">
          <w:rPr>
            <w:noProof/>
            <w:webHidden/>
          </w:rPr>
          <w:t>60</w:t>
        </w:r>
        <w:r w:rsidR="00F76168">
          <w:rPr>
            <w:noProof/>
            <w:webHidden/>
          </w:rPr>
          <w:fldChar w:fldCharType="end"/>
        </w:r>
      </w:hyperlink>
    </w:p>
    <w:p w:rsidR="00F76168" w:rsidRDefault="006D42F5">
      <w:pPr>
        <w:pStyle w:val="TOC1"/>
        <w:rPr>
          <w:rFonts w:asciiTheme="minorHAnsi" w:eastAsiaTheme="minorEastAsia" w:hAnsiTheme="minorHAnsi" w:cstheme="minorBidi"/>
          <w:noProof/>
          <w:sz w:val="22"/>
          <w:szCs w:val="22"/>
        </w:rPr>
      </w:pPr>
      <w:hyperlink w:anchor="_Toc435607965" w:history="1">
        <w:r w:rsidR="00F76168" w:rsidRPr="002073AC">
          <w:rPr>
            <w:rStyle w:val="Hyperlink"/>
            <w:noProof/>
          </w:rPr>
          <w:tab/>
          <w:t>Schedule No. 4 Monthly Wastewater Rates</w:t>
        </w:r>
        <w:r w:rsidR="00F76168">
          <w:rPr>
            <w:noProof/>
            <w:webHidden/>
          </w:rPr>
          <w:tab/>
        </w:r>
        <w:r w:rsidR="00F76168">
          <w:rPr>
            <w:noProof/>
            <w:webHidden/>
          </w:rPr>
          <w:fldChar w:fldCharType="begin"/>
        </w:r>
        <w:r w:rsidR="00F76168">
          <w:rPr>
            <w:noProof/>
            <w:webHidden/>
          </w:rPr>
          <w:instrText xml:space="preserve"> PAGEREF _Toc435607965 \h </w:instrText>
        </w:r>
        <w:r w:rsidR="00F76168">
          <w:rPr>
            <w:noProof/>
            <w:webHidden/>
          </w:rPr>
        </w:r>
        <w:r w:rsidR="00F76168">
          <w:rPr>
            <w:noProof/>
            <w:webHidden/>
          </w:rPr>
          <w:fldChar w:fldCharType="separate"/>
        </w:r>
        <w:r w:rsidR="00A05B79">
          <w:rPr>
            <w:noProof/>
            <w:webHidden/>
          </w:rPr>
          <w:t>61</w:t>
        </w:r>
        <w:r w:rsidR="00F76168">
          <w:rPr>
            <w:noProof/>
            <w:webHidden/>
          </w:rPr>
          <w:fldChar w:fldCharType="end"/>
        </w:r>
      </w:hyperlink>
    </w:p>
    <w:p w:rsidR="00FA4CE3" w:rsidRPr="00A438A0" w:rsidRDefault="00FA4CE3">
      <w:pPr>
        <w:pStyle w:val="TOCColumnHeadings"/>
      </w:pPr>
      <w:r w:rsidRPr="00A438A0">
        <w:fldChar w:fldCharType="end"/>
      </w:r>
    </w:p>
    <w:p w:rsidR="007C0528" w:rsidRPr="00A438A0" w:rsidRDefault="00FA4CE3">
      <w:pPr>
        <w:pStyle w:val="RecommendationMajorSectionHeading"/>
      </w:pPr>
      <w:r w:rsidRPr="00A438A0">
        <w:br w:type="page"/>
      </w:r>
      <w:r w:rsidR="007C0528" w:rsidRPr="00A438A0">
        <w:lastRenderedPageBreak/>
        <w:t xml:space="preserve"> </w:t>
      </w:r>
      <w:bookmarkStart w:id="11" w:name="CaseBackground"/>
      <w:r w:rsidR="007C0528" w:rsidRPr="00A438A0">
        <w:t>Case Background</w:t>
      </w:r>
      <w:r w:rsidR="007C0528" w:rsidRPr="00A438A0">
        <w:fldChar w:fldCharType="begin"/>
      </w:r>
      <w:r w:rsidR="007C0528" w:rsidRPr="00A438A0">
        <w:instrText xml:space="preserve"> TC  "</w:instrText>
      </w:r>
      <w:bookmarkStart w:id="12" w:name="_Toc435607934"/>
      <w:r w:rsidR="007C0528" w:rsidRPr="00A438A0">
        <w:tab/>
        <w:instrText>Case Background</w:instrText>
      </w:r>
      <w:bookmarkEnd w:id="12"/>
      <w:r w:rsidR="007C0528" w:rsidRPr="00A438A0">
        <w:instrText xml:space="preserve">" \l 1 </w:instrText>
      </w:r>
      <w:r w:rsidR="007C0528" w:rsidRPr="00A438A0">
        <w:fldChar w:fldCharType="end"/>
      </w:r>
    </w:p>
    <w:p w:rsidR="00331D4D" w:rsidRPr="00A438A0" w:rsidRDefault="00331D4D" w:rsidP="00331D4D">
      <w:pPr>
        <w:jc w:val="both"/>
      </w:pPr>
      <w:r w:rsidRPr="00A438A0">
        <w:t>Utilities, Inc. of Sandalhaven (Sandalhaven or utility) is a Class B wastewater utility serving 835 wastewater customers in Charlotte County. Water service to the area is supplied by Charlotte County. According to the utility’s 2014 annual report, the utility had operating revenues of $668,757 and operating expenses of $841,708.</w:t>
      </w:r>
    </w:p>
    <w:p w:rsidR="00331D4D" w:rsidRPr="00A438A0" w:rsidRDefault="00331D4D" w:rsidP="00331D4D">
      <w:pPr>
        <w:ind w:firstLine="720"/>
        <w:jc w:val="both"/>
      </w:pPr>
    </w:p>
    <w:p w:rsidR="00331D4D" w:rsidRPr="00A438A0" w:rsidRDefault="00331D4D" w:rsidP="00331D4D">
      <w:pPr>
        <w:pStyle w:val="BodyText"/>
      </w:pPr>
      <w:r w:rsidRPr="00A438A0">
        <w:t>Sandalhaven has been in existence since 1983 and was granted an original certificate in 1995 following Charlotte County</w:t>
      </w:r>
      <w:r w:rsidR="00CC7A3E" w:rsidRPr="00A438A0">
        <w:t>’s</w:t>
      </w:r>
      <w:r w:rsidRPr="00A438A0">
        <w:t xml:space="preserve"> </w:t>
      </w:r>
      <w:r w:rsidR="00CC7A3E" w:rsidRPr="00A438A0">
        <w:t>adoption of a</w:t>
      </w:r>
      <w:r w:rsidRPr="00A438A0">
        <w:t xml:space="preserve"> resolution giving the Florida Public Service Commission (Commission) jurisdiction over privately owned water and wastewater utilities.</w:t>
      </w:r>
      <w:r w:rsidRPr="00A438A0">
        <w:rPr>
          <w:rStyle w:val="FootnoteReference"/>
        </w:rPr>
        <w:footnoteReference w:id="1"/>
      </w:r>
      <w:r w:rsidRPr="00A438A0">
        <w:t xml:space="preserve">  Effective September 25, 2007, the Commission’s jurisdiction was rescinded by Charlotte County and the certificate was cancelled.</w:t>
      </w:r>
      <w:r w:rsidRPr="00A438A0">
        <w:rPr>
          <w:rStyle w:val="FootnoteReference"/>
        </w:rPr>
        <w:footnoteReference w:id="2"/>
      </w:r>
      <w:r w:rsidRPr="00A438A0">
        <w:t xml:space="preserve"> Subsequently, in 2013, Charlotte County transferred jurisdiction back to the Commission. Effective February 12, 2013, Sandalhaven was granted Certificate No. 567-S.</w:t>
      </w:r>
      <w:r w:rsidRPr="00A438A0">
        <w:rPr>
          <w:rStyle w:val="FootnoteReference"/>
        </w:rPr>
        <w:footnoteReference w:id="3"/>
      </w:r>
      <w:r w:rsidRPr="00A438A0">
        <w:t xml:space="preserve"> The Commission set rate base for the utility in 2007.</w:t>
      </w:r>
      <w:r w:rsidRPr="00A438A0">
        <w:rPr>
          <w:rStyle w:val="FootnoteReference"/>
        </w:rPr>
        <w:footnoteReference w:id="4"/>
      </w:r>
      <w:r w:rsidRPr="00A438A0">
        <w:t xml:space="preserve"> However, the utility’s current rates were established by Charlotte County, in Resolution 2012-209, adopted November 13, 2012, based upon a December 31, 2010 test year.</w:t>
      </w:r>
    </w:p>
    <w:p w:rsidR="00331D4D" w:rsidRPr="00A438A0" w:rsidRDefault="00331D4D" w:rsidP="00331D4D">
      <w:pPr>
        <w:spacing w:after="240"/>
        <w:jc w:val="both"/>
      </w:pPr>
      <w:r w:rsidRPr="00A438A0">
        <w:t>On June 4, 2015, Sandalhaven filed its application for the rate increase at issue in the instant docket. A deficiency letter was sent to the utility on July 1, 2015, and corrections to the minimum filing requirements (MFRs) were filed on July 6, 2015, which was established as the official date of filing pursuant to Section 367.083, Florida Statutes (F.S.). The utility requested that the application be processed using the Proposed Agency Action (PAA) procedure and requested interim rates. The test year established for interim and final rates is the period ended December 31, 2014. The utility is requesting an increase to recover reasonable and prudent costs for providing service and a reasonable rate of return on investment, including pro forma plant improvements. Sandalhaven requested an interim revenue increase of $724,062 (106.2 percent) and a final revenue increase of $939,540 (137.9 percent).</w:t>
      </w:r>
    </w:p>
    <w:p w:rsidR="00F24D62" w:rsidRPr="00A438A0" w:rsidRDefault="00F24D62" w:rsidP="00F24D62">
      <w:pPr>
        <w:jc w:val="both"/>
      </w:pPr>
      <w:r w:rsidRPr="00A438A0">
        <w:t>The system was originally designed to serve the communities in the north</w:t>
      </w:r>
      <w:r w:rsidR="008F41CC">
        <w:t>eas</w:t>
      </w:r>
      <w:r w:rsidRPr="00A438A0">
        <w:t>tern part of the territory. The wastewater treatment plant (WWTP) was initially permitted for 150,000 gallons per day (gpd), and the treated effluent was disposed of as reclaimed water for irrigation at the Wil</w:t>
      </w:r>
      <w:r w:rsidR="00732F49" w:rsidRPr="00A438A0">
        <w:t>dflower Golf Course (WGC). The u</w:t>
      </w:r>
      <w:r w:rsidRPr="00A438A0">
        <w:t>tility was aware that WGC had been slated for residential development and would</w:t>
      </w:r>
      <w:r w:rsidR="00CC7A3E" w:rsidRPr="00A438A0">
        <w:t xml:space="preserve"> at that time</w:t>
      </w:r>
      <w:r w:rsidRPr="00A438A0">
        <w:t>, thus, be unavailable for effluent disposal</w:t>
      </w:r>
      <w:r w:rsidR="00A27641" w:rsidRPr="00A438A0">
        <w:t xml:space="preserve">. </w:t>
      </w:r>
      <w:r w:rsidRPr="00A438A0">
        <w:t>Due to the expected development of WGC</w:t>
      </w:r>
      <w:r w:rsidR="00CB6B6C" w:rsidRPr="00A438A0">
        <w:t>, and</w:t>
      </w:r>
      <w:r w:rsidRPr="00A438A0">
        <w:t xml:space="preserve"> having been approached by developers regarding growth, Sandalhaven began exploring options for handling the anticipated wastewater treatment demands. After studies that included interconnection with nearby utilities and expansion of the WWTP with the associated drilling of a deep-injection well for disposal, Sandalhaven opted for interconnection with Englewood Water District (EWD) as the least</w:t>
      </w:r>
      <w:r w:rsidR="00CC7A3E" w:rsidRPr="00A438A0">
        <w:t>-</w:t>
      </w:r>
      <w:r w:rsidRPr="00A438A0">
        <w:t xml:space="preserve">cost solution, as was </w:t>
      </w:r>
      <w:r w:rsidRPr="00A438A0">
        <w:lastRenderedPageBreak/>
        <w:t>acknowledged in the Commission’s Order in the last rate case</w:t>
      </w:r>
      <w:r w:rsidR="00A27641" w:rsidRPr="00A438A0">
        <w:t xml:space="preserve">. </w:t>
      </w:r>
      <w:r w:rsidRPr="00A438A0">
        <w:t>The interconnection was completed in April 2007, and initially only served new customers fr</w:t>
      </w:r>
      <w:r w:rsidR="00732F49" w:rsidRPr="00A438A0">
        <w:t>om the southern portion of the u</w:t>
      </w:r>
      <w:r w:rsidRPr="00A438A0">
        <w:t xml:space="preserve">tility’s wastewater service territory. These customers had no connection to the WWTP, so interconnection with EWD was their only treatment option. With the installation of isolation valves at strategic locations, a few developments could be served by either EWD or the WWTP, but the oldest subdivisions could only be served by the WWTP until a project to redirect the flows from those customers was completed. Sandalhaven anticipated that, with the completion of this flow redirection project, it would seek to decommission its WWTP. </w:t>
      </w:r>
    </w:p>
    <w:p w:rsidR="00F24D62" w:rsidRPr="00A438A0" w:rsidRDefault="00F24D62" w:rsidP="00F24D62">
      <w:pPr>
        <w:jc w:val="both"/>
      </w:pPr>
    </w:p>
    <w:p w:rsidR="00F24D62" w:rsidRPr="00A438A0" w:rsidRDefault="00F24D62" w:rsidP="00F24D62">
      <w:pPr>
        <w:jc w:val="both"/>
      </w:pPr>
      <w:r w:rsidRPr="00A438A0">
        <w:t>The flow redirection project (also referred to as a diversion project) was planned to be implemented with the applic</w:t>
      </w:r>
      <w:r w:rsidR="00732F49" w:rsidRPr="00A438A0">
        <w:t>ation of Phase II rates in the u</w:t>
      </w:r>
      <w:r w:rsidRPr="00A438A0">
        <w:t xml:space="preserve">tility’s last Commission rate case. However, the Board of County Commissioners of Charlotte County (County) rescinded the Commission’s jurisdiction of privately-owned water and wastewater systems during the pendency of the rate case. The Commission’s Phase I rates were implemented, but the Phase II rates with the associated pro forma projects were not. During the period that Sandalhaven was regulated by </w:t>
      </w:r>
      <w:r w:rsidR="00732F49" w:rsidRPr="00A438A0">
        <w:t>the County (2007 to 2013), the u</w:t>
      </w:r>
      <w:r w:rsidRPr="00A438A0">
        <w:t>tility petitioned for and received a rate increase from the County and the WWTP was rerated to 99,000 gpd in response to recommendations from a Capacity Analysis Report submitted to the Florida Department of Environmental Protection (DEP). When the County transferred jurisdiction back to the Commission in 2013, the rates and charges established by the County</w:t>
      </w:r>
      <w:r w:rsidR="00996A1E" w:rsidRPr="00A438A0">
        <w:t xml:space="preserve"> were approved</w:t>
      </w:r>
      <w:r w:rsidR="00A27641" w:rsidRPr="00A438A0">
        <w:t xml:space="preserve">. </w:t>
      </w:r>
      <w:r w:rsidRPr="00A438A0">
        <w:t>Sandalhaven did not proceed with the diversion project while under the County’s jurisdiction.</w:t>
      </w:r>
    </w:p>
    <w:p w:rsidR="00F24D62" w:rsidRPr="00A438A0" w:rsidRDefault="00F24D62" w:rsidP="00F24D62">
      <w:pPr>
        <w:jc w:val="both"/>
      </w:pPr>
    </w:p>
    <w:p w:rsidR="00CF2E67" w:rsidRPr="00A438A0" w:rsidRDefault="00F24D62" w:rsidP="00CF2E67">
      <w:pPr>
        <w:jc w:val="both"/>
      </w:pPr>
      <w:r w:rsidRPr="00A438A0">
        <w:t>In 2014, DEP received a complaint from representatives of the Fiddlers Green homeowners association regarding leaching of wastewater into surrounding areas. After investigation, DEP revised Sandalhaven’s permitted capacity to 45,000 gpd. Sandalhaven directed all possible flows to the EWD interconnection, but were unable to divert the flows from the oldest developments. Du</w:t>
      </w:r>
      <w:r w:rsidR="00913AC2" w:rsidRPr="00A438A0">
        <w:t>ring peak occupancy times, the u</w:t>
      </w:r>
      <w:r w:rsidRPr="00A438A0">
        <w:t>tility had no option but to exceed its permitted capacity due to the demand from these customers</w:t>
      </w:r>
      <w:r w:rsidR="00A27641" w:rsidRPr="00A438A0">
        <w:t xml:space="preserve">. </w:t>
      </w:r>
      <w:r w:rsidRPr="00A438A0">
        <w:t>Thus, in October 2014, DEP issued a C</w:t>
      </w:r>
      <w:r w:rsidR="00913AC2" w:rsidRPr="00A438A0">
        <w:t>onsent Order that required the u</w:t>
      </w:r>
      <w:r w:rsidRPr="00A438A0">
        <w:t xml:space="preserve">tility to divert all flows from the WWTP to EWD and decommission the WWTP. The Consent Order directed the diversion project to be completed by October 1, 2015, with the decommissioning of the WWTP to be completed within 60 days </w:t>
      </w:r>
      <w:r w:rsidR="00996A1E" w:rsidRPr="00A438A0">
        <w:t>of the diversion</w:t>
      </w:r>
      <w:r w:rsidRPr="00A438A0">
        <w:t xml:space="preserve">. The Consent Order contained penalties for failure to timely comply with </w:t>
      </w:r>
      <w:r w:rsidR="00913AC2" w:rsidRPr="00A438A0">
        <w:t>these requirements unless the u</w:t>
      </w:r>
      <w:r w:rsidRPr="00A438A0">
        <w:t>tility could show that any delay was due to circumstances beyond its control. Sandalhaven was unable to meet this deadline due to delays the power company experienced in ge</w:t>
      </w:r>
      <w:r w:rsidR="00913AC2" w:rsidRPr="00A438A0">
        <w:t>tting necessary easements. The u</w:t>
      </w:r>
      <w:r w:rsidRPr="00A438A0">
        <w:t>tility requested and received an extension from DEP. The di</w:t>
      </w:r>
      <w:r w:rsidR="00913AC2" w:rsidRPr="00A438A0">
        <w:t>version was completed November 2</w:t>
      </w:r>
      <w:r w:rsidRPr="00A438A0">
        <w:t>, 2015.</w:t>
      </w:r>
    </w:p>
    <w:p w:rsidR="00F24D62" w:rsidRPr="00A438A0" w:rsidRDefault="00CF2E67" w:rsidP="00CF2E67">
      <w:pPr>
        <w:jc w:val="both"/>
      </w:pPr>
      <w:r w:rsidRPr="00A438A0">
        <w:t xml:space="preserve"> </w:t>
      </w:r>
    </w:p>
    <w:p w:rsidR="00B80365" w:rsidRPr="00A438A0" w:rsidRDefault="00B80365" w:rsidP="00B80365">
      <w:pPr>
        <w:pStyle w:val="BodyText"/>
      </w:pPr>
      <w:r w:rsidRPr="00A438A0">
        <w:t>The Commission has jurisdiction in this case pursuant to Sections 367.011, 367.0814, 367.101, and 361.121, Florida Statutes (F.S.).</w:t>
      </w:r>
    </w:p>
    <w:p w:rsidR="00331D4D" w:rsidRPr="00A438A0" w:rsidRDefault="00331D4D" w:rsidP="00331D4D">
      <w:pPr>
        <w:spacing w:after="240"/>
        <w:jc w:val="both"/>
      </w:pPr>
    </w:p>
    <w:p w:rsidR="0068481F" w:rsidRPr="00A438A0" w:rsidRDefault="0068481F">
      <w:pPr>
        <w:pStyle w:val="BodyText"/>
      </w:pPr>
    </w:p>
    <w:p w:rsidR="007C0528" w:rsidRPr="00A438A0" w:rsidRDefault="007C0528" w:rsidP="0068481F"/>
    <w:bookmarkEnd w:id="11"/>
    <w:p w:rsidR="00EA2273" w:rsidRPr="00A438A0" w:rsidRDefault="00EA2273">
      <w:pPr>
        <w:pStyle w:val="RecommendationMajorSectionHeading"/>
        <w:sectPr w:rsidR="00EA2273" w:rsidRPr="00A438A0" w:rsidSect="00D96C94">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Pr="00A438A0" w:rsidRDefault="007C0528">
      <w:pPr>
        <w:pStyle w:val="RecommendationMajorSectionHeading"/>
      </w:pPr>
      <w:bookmarkStart w:id="15" w:name="DiscussionOfIssues"/>
      <w:r w:rsidRPr="00A438A0">
        <w:lastRenderedPageBreak/>
        <w:t>Discussion of Issues</w:t>
      </w:r>
    </w:p>
    <w:bookmarkEnd w:id="15"/>
    <w:p w:rsidR="00331D4D" w:rsidRPr="00A438A0" w:rsidRDefault="00331D4D">
      <w:pPr>
        <w:pStyle w:val="IssueHeading"/>
        <w:rPr>
          <w:vanish/>
          <w:specVanish/>
        </w:rPr>
      </w:pPr>
      <w:r w:rsidRPr="00A438A0">
        <w:t xml:space="preserve">Issue </w:t>
      </w:r>
      <w:r w:rsidR="006D42F5">
        <w:fldChar w:fldCharType="begin"/>
      </w:r>
      <w:r w:rsidR="006D42F5">
        <w:instrText xml:space="preserve"> SEQ Issue \* MERGEFORMAT </w:instrText>
      </w:r>
      <w:r w:rsidR="006D42F5">
        <w:fldChar w:fldCharType="separate"/>
      </w:r>
      <w:r w:rsidR="00A05B79">
        <w:rPr>
          <w:noProof/>
        </w:rPr>
        <w:t>1</w:t>
      </w:r>
      <w:r w:rsidR="006D42F5">
        <w:rPr>
          <w:noProof/>
        </w:rPr>
        <w:fldChar w:fldCharType="end"/>
      </w:r>
      <w:r w:rsidRPr="00A438A0">
        <w:t>:</w:t>
      </w:r>
      <w:r w:rsidRPr="00A438A0">
        <w:fldChar w:fldCharType="begin"/>
      </w:r>
      <w:r w:rsidRPr="00A438A0">
        <w:instrText xml:space="preserve"> TC "</w:instrText>
      </w:r>
      <w:r w:rsidRPr="00A438A0">
        <w:fldChar w:fldCharType="begin"/>
      </w:r>
      <w:r w:rsidRPr="00A438A0">
        <w:instrText xml:space="preserve"> SEQ issue \c </w:instrText>
      </w:r>
      <w:r w:rsidRPr="00A438A0">
        <w:fldChar w:fldCharType="separate"/>
      </w:r>
      <w:bookmarkStart w:id="16" w:name="_Toc435607935"/>
      <w:r w:rsidR="00A05B79">
        <w:rPr>
          <w:noProof/>
        </w:rPr>
        <w:instrText>1</w:instrText>
      </w:r>
      <w:r w:rsidRPr="00A438A0">
        <w:fldChar w:fldCharType="end"/>
      </w:r>
      <w:r w:rsidRPr="00A438A0">
        <w:tab/>
      </w:r>
      <w:r w:rsidR="00400BA4" w:rsidRPr="00A438A0">
        <w:instrText>Quality of Service (Watts)</w:instrText>
      </w:r>
      <w:bookmarkEnd w:id="16"/>
      <w:r w:rsidRPr="00A438A0">
        <w:instrText xml:space="preserve">" \l 1 </w:instrText>
      </w:r>
      <w:r w:rsidRPr="00A438A0">
        <w:fldChar w:fldCharType="end"/>
      </w:r>
      <w:r w:rsidRPr="00A438A0">
        <w:t> </w:t>
      </w:r>
    </w:p>
    <w:p w:rsidR="00331D4D" w:rsidRPr="00A438A0" w:rsidRDefault="00331D4D">
      <w:pPr>
        <w:pStyle w:val="BodyText"/>
      </w:pPr>
      <w:r w:rsidRPr="00A438A0">
        <w:t> Is the quality of service provided by Sandalhaven satisfactory?</w:t>
      </w:r>
    </w:p>
    <w:p w:rsidR="00331D4D" w:rsidRPr="00A438A0" w:rsidRDefault="00331D4D">
      <w:pPr>
        <w:pStyle w:val="IssueSubsectionHeading"/>
        <w:rPr>
          <w:vanish/>
          <w:specVanish/>
        </w:rPr>
      </w:pPr>
      <w:r w:rsidRPr="00A438A0">
        <w:t>Recommendation: </w:t>
      </w:r>
    </w:p>
    <w:p w:rsidR="00331D4D" w:rsidRPr="00A438A0" w:rsidRDefault="00331D4D">
      <w:pPr>
        <w:pStyle w:val="BodyText"/>
      </w:pPr>
      <w:r w:rsidRPr="00A438A0">
        <w:t> </w:t>
      </w:r>
      <w:r w:rsidR="00583542" w:rsidRPr="00A438A0">
        <w:t>Yes.</w:t>
      </w:r>
      <w:r w:rsidR="00913AC2" w:rsidRPr="00A438A0">
        <w:t xml:space="preserve"> The u</w:t>
      </w:r>
      <w:r w:rsidR="00583542" w:rsidRPr="00A438A0">
        <w:t>tility has taken reasonable actions to comply with DEP’s consent order and to address customer concerns. All quality of service issues have been resolved. Staff recommends that the qual</w:t>
      </w:r>
      <w:r w:rsidR="00913AC2" w:rsidRPr="00A438A0">
        <w:t>ity of service provided by the u</w:t>
      </w:r>
      <w:r w:rsidR="00583542" w:rsidRPr="00A438A0">
        <w:t>tility be considered satisfactory.</w:t>
      </w:r>
      <w:r w:rsidRPr="00A438A0">
        <w:t xml:space="preserve"> (Watts)</w:t>
      </w:r>
    </w:p>
    <w:p w:rsidR="00331D4D" w:rsidRPr="00A438A0" w:rsidRDefault="00331D4D">
      <w:pPr>
        <w:pStyle w:val="IssueSubsectionHeading"/>
        <w:rPr>
          <w:vanish/>
          <w:specVanish/>
        </w:rPr>
      </w:pPr>
      <w:r w:rsidRPr="00A438A0">
        <w:t>Staff Analysis: </w:t>
      </w:r>
    </w:p>
    <w:p w:rsidR="00583542" w:rsidRPr="00A438A0" w:rsidRDefault="00331D4D" w:rsidP="00583542">
      <w:pPr>
        <w:pStyle w:val="BodyText"/>
      </w:pPr>
      <w:r w:rsidRPr="00A438A0">
        <w:t> </w:t>
      </w:r>
      <w:r w:rsidR="00583542" w:rsidRPr="00A438A0">
        <w:t> Pursuant to Rule 25-30.433(1), Florida Administrative Code (F.A.C.), in water and wastewater rate cases, the Commission shall determine the overall quality o</w:t>
      </w:r>
      <w:r w:rsidR="00996A1E" w:rsidRPr="00A438A0">
        <w:t>f service provided by a utility,</w:t>
      </w:r>
      <w:r w:rsidR="00583542" w:rsidRPr="00A438A0">
        <w:t xml:space="preserve"> derived from an evaluation of three separate components of </w:t>
      </w:r>
      <w:r w:rsidR="00996A1E" w:rsidRPr="00A438A0">
        <w:t>u</w:t>
      </w:r>
      <w:r w:rsidR="00583542" w:rsidRPr="00A438A0">
        <w:t>tility operations. These components are the quality of the utility’s product, the operating conditions of the utility’s plant and facilities, and the utility’s attempt to address customer satisfaction. The rule further states that sanitary surveys, outstanding citations, violations, and consent orders on file with the DEP and the county health department over the preceding three-year period shall be considered in addition to customer comments or complaints.</w:t>
      </w:r>
    </w:p>
    <w:p w:rsidR="00583542" w:rsidRPr="00A438A0" w:rsidRDefault="00583542" w:rsidP="00BA291C">
      <w:pPr>
        <w:pStyle w:val="BodyText"/>
        <w:spacing w:after="0"/>
        <w:rPr>
          <w:rFonts w:ascii="Arial" w:hAnsi="Arial" w:cs="Arial"/>
          <w:b/>
        </w:rPr>
      </w:pPr>
      <w:r w:rsidRPr="00A438A0">
        <w:rPr>
          <w:rFonts w:ascii="Arial" w:hAnsi="Arial" w:cs="Arial"/>
          <w:b/>
        </w:rPr>
        <w:t>Quality of Utility’s Product and Operating Conditi</w:t>
      </w:r>
      <w:r w:rsidR="00A438A0">
        <w:rPr>
          <w:rFonts w:ascii="Arial" w:hAnsi="Arial" w:cs="Arial"/>
          <w:b/>
        </w:rPr>
        <w:t>ons of the Utility’s Facilities</w:t>
      </w:r>
    </w:p>
    <w:p w:rsidR="00583542" w:rsidRPr="00A438A0" w:rsidRDefault="00583542" w:rsidP="00A82E18">
      <w:pPr>
        <w:pStyle w:val="BodyText"/>
      </w:pPr>
      <w:r w:rsidRPr="00A438A0">
        <w:t>Sandalhaven provides wastewa</w:t>
      </w:r>
      <w:r w:rsidR="00913AC2" w:rsidRPr="00A438A0">
        <w:t>ter service only. Although the u</w:t>
      </w:r>
      <w:r w:rsidRPr="00A438A0">
        <w:t>tility no longer operates a WWTP, during the test year its operation of the wastewater treatment system was subject to various environmental requirements such as permitting, testing, and discharge monitoring under the jurisdiction of DEP. During the last two Compliance Inspections in 2011 and 2013, DEP found some minor out-of-compliance conditions at the WWTP, which were ad</w:t>
      </w:r>
      <w:r w:rsidR="00913AC2" w:rsidRPr="00A438A0">
        <w:t>dressed by the u</w:t>
      </w:r>
      <w:r w:rsidRPr="00A438A0">
        <w:t>tility. The overall operation of the plant was found to be satisfactory.</w:t>
      </w:r>
    </w:p>
    <w:p w:rsidR="00583542" w:rsidRPr="00A438A0" w:rsidRDefault="00583542" w:rsidP="00A82E18">
      <w:pPr>
        <w:autoSpaceDE w:val="0"/>
        <w:autoSpaceDN w:val="0"/>
        <w:adjustRightInd w:val="0"/>
        <w:jc w:val="both"/>
      </w:pPr>
      <w:r w:rsidRPr="00A438A0">
        <w:t xml:space="preserve">As noted in the case background, in 2014 DEP received a complaint from a customer regarding apparent leaching of wastewater from the percolation ponds to the surrounding area. After investigation and </w:t>
      </w:r>
      <w:r w:rsidR="00913AC2" w:rsidRPr="00A438A0">
        <w:t>supplemental monitoring by the u</w:t>
      </w:r>
      <w:r w:rsidRPr="00A438A0">
        <w:t xml:space="preserve">tility revealed that the percolation ponds </w:t>
      </w:r>
      <w:r w:rsidR="00996A1E" w:rsidRPr="00A438A0">
        <w:t>were</w:t>
      </w:r>
      <w:r w:rsidRPr="00A438A0">
        <w:t xml:space="preserve"> no longer able to handle the demand, </w:t>
      </w:r>
      <w:r w:rsidR="00996A1E" w:rsidRPr="00A438A0">
        <w:t>the utility</w:t>
      </w:r>
      <w:r w:rsidRPr="00A438A0">
        <w:t xml:space="preserve"> entered into a Consent Order with DEP</w:t>
      </w:r>
      <w:r w:rsidR="00A27641" w:rsidRPr="00A438A0">
        <w:t xml:space="preserve">. </w:t>
      </w:r>
      <w:r w:rsidR="00913AC2" w:rsidRPr="00A438A0">
        <w:t>The Consent Order required the u</w:t>
      </w:r>
      <w:r w:rsidRPr="00A438A0">
        <w:t>tility to</w:t>
      </w:r>
      <w:r w:rsidR="00996A1E" w:rsidRPr="00A438A0">
        <w:t xml:space="preserve">: </w:t>
      </w:r>
      <w:r w:rsidRPr="00A438A0">
        <w:t xml:space="preserve"> 1) prevent potential impacts on neighboring properties by following the protocol described in the monitoring plan approved by DEP; 2) construct a wastewater collection/transmission system to divert flow from the WWTP to the EWD interconnection force main; and 3) inactivate or abandon the WWTP within 60 days of diverting the flow to EWD</w:t>
      </w:r>
      <w:r w:rsidR="00A27641" w:rsidRPr="00A438A0">
        <w:t xml:space="preserve">. </w:t>
      </w:r>
    </w:p>
    <w:p w:rsidR="00583542" w:rsidRPr="00A438A0" w:rsidRDefault="00583542" w:rsidP="00A82E18">
      <w:pPr>
        <w:autoSpaceDE w:val="0"/>
        <w:autoSpaceDN w:val="0"/>
        <w:adjustRightInd w:val="0"/>
        <w:jc w:val="both"/>
      </w:pPr>
    </w:p>
    <w:p w:rsidR="00583542" w:rsidRPr="00A438A0" w:rsidRDefault="00583542" w:rsidP="00A82E18">
      <w:pPr>
        <w:autoSpaceDE w:val="0"/>
        <w:autoSpaceDN w:val="0"/>
        <w:adjustRightInd w:val="0"/>
        <w:jc w:val="both"/>
      </w:pPr>
      <w:r w:rsidRPr="00A438A0">
        <w:t>The diversion was to be completed by October 1, 2015; however, due to circums</w:t>
      </w:r>
      <w:r w:rsidR="00913AC2" w:rsidRPr="00A438A0">
        <w:t>tances beyond its control, the u</w:t>
      </w:r>
      <w:r w:rsidRPr="00A438A0">
        <w:t>tility was unable to meet this deadline. It requested and received an extension. The diversion was complet</w:t>
      </w:r>
      <w:r w:rsidR="00913AC2" w:rsidRPr="00A438A0">
        <w:t xml:space="preserve">e on November </w:t>
      </w:r>
      <w:r w:rsidR="009C096A" w:rsidRPr="00A438A0">
        <w:t>2</w:t>
      </w:r>
      <w:r w:rsidR="00913AC2" w:rsidRPr="00A438A0">
        <w:t>, 2015, and the u</w:t>
      </w:r>
      <w:r w:rsidRPr="00A438A0">
        <w:t>tility began the WWTP decommissioning process immediately afterward.</w:t>
      </w:r>
    </w:p>
    <w:p w:rsidR="00583542" w:rsidRPr="00A438A0" w:rsidRDefault="00583542" w:rsidP="00A82E18">
      <w:pPr>
        <w:autoSpaceDE w:val="0"/>
        <w:autoSpaceDN w:val="0"/>
        <w:adjustRightInd w:val="0"/>
        <w:jc w:val="both"/>
      </w:pPr>
    </w:p>
    <w:p w:rsidR="00583542" w:rsidRPr="00A438A0" w:rsidRDefault="00913AC2" w:rsidP="00A82E18">
      <w:pPr>
        <w:autoSpaceDE w:val="0"/>
        <w:autoSpaceDN w:val="0"/>
        <w:adjustRightInd w:val="0"/>
        <w:jc w:val="both"/>
      </w:pPr>
      <w:r w:rsidRPr="00A438A0">
        <w:t>The u</w:t>
      </w:r>
      <w:r w:rsidR="00583542" w:rsidRPr="00A438A0">
        <w:t>tility had long contemplated decommissioning the WWTP and diverting all flows to EWD for economic reasons, and would have done so with the implementation of the Phase II rates set in its last rate case. However, with the subsequent jurisdictional changes, these projects were put on hold until the failure of the percolation ponds in 2014. It then became clear that the diversion and decommissioning projects must be implemented for the safety of the nearby residents and the environment.</w:t>
      </w:r>
    </w:p>
    <w:p w:rsidR="00583542" w:rsidRPr="00A438A0" w:rsidRDefault="00583542" w:rsidP="00A82E18">
      <w:pPr>
        <w:autoSpaceDE w:val="0"/>
        <w:autoSpaceDN w:val="0"/>
        <w:adjustRightInd w:val="0"/>
        <w:jc w:val="both"/>
      </w:pPr>
    </w:p>
    <w:p w:rsidR="00583542" w:rsidRPr="00A438A0" w:rsidRDefault="00583542" w:rsidP="00A82E18">
      <w:pPr>
        <w:autoSpaceDE w:val="0"/>
        <w:autoSpaceDN w:val="0"/>
        <w:adjustRightInd w:val="0"/>
        <w:jc w:val="both"/>
      </w:pPr>
      <w:r w:rsidRPr="00A438A0">
        <w:t>Prior to the complaint to DEP, Sandalhaven had operated and maintained its plant in a satisfactory manner as indicated by DEP’s August 4, 2011 and August 5, 2013 Compliance Inspection reports. Although leaching of wastewater from percolation ponds to the surrounding area is a serious problem with a l</w:t>
      </w:r>
      <w:r w:rsidR="00913AC2" w:rsidRPr="00A438A0">
        <w:t>engthy resolution process, the u</w:t>
      </w:r>
      <w:r w:rsidRPr="00A438A0">
        <w:t>tility acted responsibly by complying with all DEP requirements as expeditiously and economically as possible. When Sandalhaven was notified of the problem by DEP, it hired an engineering firm to determine the source. When the percolation ponds were determined to be the probl</w:t>
      </w:r>
      <w:r w:rsidR="00913AC2" w:rsidRPr="00A438A0">
        <w:t>em, the u</w:t>
      </w:r>
      <w:r w:rsidRPr="00A438A0">
        <w:t>tility met with DEP and formulated a corrective action</w:t>
      </w:r>
      <w:r w:rsidR="00913AC2" w:rsidRPr="00A438A0">
        <w:t xml:space="preserve"> plan, which DEP approved. The u</w:t>
      </w:r>
      <w:r w:rsidRPr="00A438A0">
        <w:t>tility then proceeded to implement its corrective action plan to resolv</w:t>
      </w:r>
      <w:r w:rsidR="00913AC2" w:rsidRPr="00A438A0">
        <w:t xml:space="preserve">e the problem. Staff believes </w:t>
      </w:r>
      <w:r w:rsidRPr="00A438A0">
        <w:t>Sandalhaven exercised caution by acting only under DEP supervision within DEP’s consent order process</w:t>
      </w:r>
      <w:r w:rsidR="00225F77" w:rsidRPr="00A438A0">
        <w:t xml:space="preserve">. It appears Sandalhaven </w:t>
      </w:r>
      <w:r w:rsidR="008F41CC">
        <w:t>is complying</w:t>
      </w:r>
      <w:r w:rsidR="00225F77" w:rsidRPr="00A438A0">
        <w:t xml:space="preserve"> with the terms of </w:t>
      </w:r>
      <w:r w:rsidRPr="00A438A0">
        <w:t>DEP</w:t>
      </w:r>
      <w:r w:rsidR="00225F77" w:rsidRPr="00A438A0">
        <w:t>’s consent order</w:t>
      </w:r>
      <w:r w:rsidRPr="00A438A0">
        <w:t xml:space="preserve">. </w:t>
      </w:r>
    </w:p>
    <w:p w:rsidR="00583542" w:rsidRPr="00A438A0" w:rsidRDefault="00583542" w:rsidP="00A82E18">
      <w:pPr>
        <w:autoSpaceDE w:val="0"/>
        <w:autoSpaceDN w:val="0"/>
        <w:adjustRightInd w:val="0"/>
        <w:jc w:val="both"/>
      </w:pPr>
    </w:p>
    <w:p w:rsidR="00583542" w:rsidRPr="00A438A0" w:rsidRDefault="00583542" w:rsidP="00A82E18">
      <w:pPr>
        <w:autoSpaceDE w:val="0"/>
        <w:autoSpaceDN w:val="0"/>
        <w:adjustRightInd w:val="0"/>
        <w:jc w:val="both"/>
      </w:pPr>
      <w:r w:rsidRPr="00A438A0">
        <w:t>On September</w:t>
      </w:r>
      <w:r w:rsidR="00913AC2" w:rsidRPr="00A438A0">
        <w:t xml:space="preserve"> 15, 2015, staff inspected the u</w:t>
      </w:r>
      <w:r w:rsidRPr="00A438A0">
        <w:t>tility’s plant. Although the WWTP is being decommissioned, staff inspected the 13 lift stations and observed that they were operational and in good repair. Based on Sandalhaven’s status with DEP and staff’s on-site observations, staff recommends that the operational condition of Sandalhaven’s wastewater system is satisfactory.</w:t>
      </w:r>
    </w:p>
    <w:p w:rsidR="00583542" w:rsidRPr="00A438A0" w:rsidRDefault="00583542" w:rsidP="00A82E18">
      <w:pPr>
        <w:autoSpaceDE w:val="0"/>
        <w:autoSpaceDN w:val="0"/>
        <w:adjustRightInd w:val="0"/>
        <w:jc w:val="both"/>
      </w:pPr>
    </w:p>
    <w:p w:rsidR="00583542" w:rsidRPr="00A438A0" w:rsidRDefault="00583542" w:rsidP="00BA291C">
      <w:pPr>
        <w:pStyle w:val="BodyText"/>
        <w:spacing w:after="0"/>
        <w:rPr>
          <w:rFonts w:ascii="Arial" w:hAnsi="Arial" w:cs="Arial"/>
          <w:b/>
        </w:rPr>
      </w:pPr>
      <w:r w:rsidRPr="00A438A0">
        <w:rPr>
          <w:rFonts w:ascii="Arial" w:hAnsi="Arial" w:cs="Arial"/>
          <w:b/>
        </w:rPr>
        <w:t>The Utility’s Attempt to Address Customer Satisfaction</w:t>
      </w:r>
    </w:p>
    <w:p w:rsidR="00583542" w:rsidRPr="00A438A0" w:rsidRDefault="00583542" w:rsidP="00A82E18">
      <w:pPr>
        <w:spacing w:after="240"/>
        <w:jc w:val="both"/>
      </w:pPr>
      <w:r w:rsidRPr="00A438A0">
        <w:t xml:space="preserve">A customer meeting was held on September 24, 2015, at the Tringali Community Center in Englewood, Florida. Of the 73 customers who were present at the meeting, 13 customers signed up to speak. As of November </w:t>
      </w:r>
      <w:r w:rsidR="00655B4A" w:rsidRPr="00A438A0">
        <w:t>17</w:t>
      </w:r>
      <w:r w:rsidRPr="00A438A0">
        <w:t xml:space="preserve">, 2015, </w:t>
      </w:r>
      <w:r w:rsidR="00655B4A" w:rsidRPr="00A438A0">
        <w:t>94</w:t>
      </w:r>
      <w:r w:rsidRPr="00A438A0">
        <w:t xml:space="preserve"> customers have sent written comments to the Commission. Four of the customers who sent written comments also spoke at the customer meeting. The majority of customers’ comments, both written and spoken at the customer meeting, expressed objections to various aspects of the rate increase. </w:t>
      </w:r>
    </w:p>
    <w:p w:rsidR="00583542" w:rsidRPr="00A438A0" w:rsidRDefault="00583542" w:rsidP="00A82E18">
      <w:pPr>
        <w:spacing w:after="240"/>
        <w:jc w:val="both"/>
        <w:rPr>
          <w:sz w:val="20"/>
          <w:szCs w:val="20"/>
        </w:rPr>
      </w:pPr>
      <w:r w:rsidRPr="00A438A0">
        <w:t>The rate increase objections ranged from general disagreement with raising the rates to statements regarding specific ratemaking elements such as return on equity, depreciation, and items</w:t>
      </w:r>
      <w:r w:rsidR="00996A1E" w:rsidRPr="00A438A0">
        <w:t xml:space="preserve"> that</w:t>
      </w:r>
      <w:r w:rsidRPr="00A438A0">
        <w:t xml:space="preserve"> should or should not be considered in setting the rates. Since receiving Sandalhaven’s request for a rate increase, sta</w:t>
      </w:r>
      <w:r w:rsidR="00913AC2" w:rsidRPr="00A438A0">
        <w:t>ff has diligently analyzed the u</w:t>
      </w:r>
      <w:r w:rsidRPr="00A438A0">
        <w:t>tility’s books and records, and made its recommendation in accordance with the Commission’s rules, statutes, and practices. As such, staff will address its treatment of these ratemaking elements in its customary manner in the appropriate issues.</w:t>
      </w:r>
    </w:p>
    <w:p w:rsidR="00583542" w:rsidRPr="00A438A0" w:rsidRDefault="00583542" w:rsidP="00A82E18">
      <w:pPr>
        <w:pStyle w:val="BodyText"/>
      </w:pPr>
      <w:r w:rsidRPr="00A438A0">
        <w:t>In addition to the rate increase, the customers had concerns or questions about: (1) leakage from the WWTP; (2) paying for unrealized growth or future customers; (3) suggestions for alternative methods of determining the rate increase; and (4) the billing error related to interim rates. These concerns are discussed below.</w:t>
      </w:r>
    </w:p>
    <w:p w:rsidR="00945F06" w:rsidRPr="00A438A0" w:rsidRDefault="00945F06" w:rsidP="00BA291C">
      <w:pPr>
        <w:pStyle w:val="BodyText"/>
        <w:spacing w:after="0"/>
        <w:rPr>
          <w:rFonts w:ascii="Arial" w:hAnsi="Arial" w:cs="Arial"/>
          <w:b/>
          <w:i/>
        </w:rPr>
      </w:pPr>
      <w:r w:rsidRPr="00A438A0">
        <w:tab/>
      </w:r>
      <w:r w:rsidRPr="00A438A0">
        <w:rPr>
          <w:rFonts w:ascii="Arial" w:hAnsi="Arial" w:cs="Arial"/>
          <w:b/>
          <w:i/>
        </w:rPr>
        <w:t>Leakage</w:t>
      </w:r>
    </w:p>
    <w:p w:rsidR="00583542" w:rsidRPr="00A438A0" w:rsidRDefault="00583542" w:rsidP="00A82E18">
      <w:pPr>
        <w:pStyle w:val="BodyText"/>
      </w:pPr>
      <w:r w:rsidRPr="00A438A0">
        <w:t xml:space="preserve">Several customers from the Fiddlers Green neighborhood, which is adjacent to the WWTP, expressed concern about wastewater from the percolation ponds leaching into the </w:t>
      </w:r>
      <w:r w:rsidR="00913AC2" w:rsidRPr="00A438A0">
        <w:t>surrounding area, and the u</w:t>
      </w:r>
      <w:r w:rsidRPr="00A438A0">
        <w:t>tility’s slow response. However, the percolation ponds did not, at that point, have</w:t>
      </w:r>
      <w:r w:rsidR="00913AC2" w:rsidRPr="00A438A0">
        <w:t xml:space="preserve"> a history of failure, and the u</w:t>
      </w:r>
      <w:r w:rsidRPr="00A438A0">
        <w:t>tility had no way of determining if they were the source of the standing water without pursu</w:t>
      </w:r>
      <w:r w:rsidR="00913AC2" w:rsidRPr="00A438A0">
        <w:t>ing a lengthy study. Given the u</w:t>
      </w:r>
      <w:r w:rsidRPr="00A438A0">
        <w:t xml:space="preserve">tility’s DEP obligations regarding the issue, its most responsible avenue was to address the issue with DEP through the complaint </w:t>
      </w:r>
      <w:r w:rsidRPr="00A438A0">
        <w:lastRenderedPageBreak/>
        <w:t>investigation and Consent Order process as stated earlier. Sandalhaven was given the results of DEP’s complaint inspection on May 5, 2014. Within two months it had performed the study needed to determine that the percolation ponds were the source of the problem and met with DEP to discuss its proposed corrective a</w:t>
      </w:r>
      <w:r w:rsidR="00913AC2" w:rsidRPr="00A438A0">
        <w:t>ction plan. Staff believes the u</w:t>
      </w:r>
      <w:r w:rsidRPr="00A438A0">
        <w:t>tility did not delay taking action, but rather responded with appropriate caution.</w:t>
      </w:r>
    </w:p>
    <w:p w:rsidR="00945F06" w:rsidRPr="00A438A0" w:rsidRDefault="00583542" w:rsidP="00A82E18">
      <w:pPr>
        <w:pStyle w:val="BodyText"/>
      </w:pPr>
      <w:r w:rsidRPr="00A438A0">
        <w:t xml:space="preserve">As described in the case background, Sandalhaven has diverted </w:t>
      </w:r>
      <w:r w:rsidR="00913AC2" w:rsidRPr="00A438A0">
        <w:t xml:space="preserve">all flows from the WWTP to EWD </w:t>
      </w:r>
      <w:r w:rsidRPr="00A438A0">
        <w:t xml:space="preserve">and is in the process of decommissioning the WWTP. Once this process is completed, </w:t>
      </w:r>
      <w:r w:rsidR="00BB0359" w:rsidRPr="00A438A0">
        <w:t xml:space="preserve">staff believes </w:t>
      </w:r>
      <w:r w:rsidRPr="00A438A0">
        <w:t>the problems associated with living in close proximity to a WWTP, from odor to leakage to large sludge-hauling trucks, should be alleviated.</w:t>
      </w:r>
    </w:p>
    <w:p w:rsidR="00945F06" w:rsidRPr="00A438A0" w:rsidRDefault="00945F06" w:rsidP="00BA291C">
      <w:pPr>
        <w:pStyle w:val="BodyText"/>
        <w:spacing w:after="0"/>
        <w:rPr>
          <w:rFonts w:ascii="Arial" w:hAnsi="Arial" w:cs="Arial"/>
          <w:b/>
          <w:i/>
          <w:u w:val="single"/>
        </w:rPr>
      </w:pPr>
      <w:r w:rsidRPr="00A438A0">
        <w:rPr>
          <w:rFonts w:ascii="Arial" w:hAnsi="Arial" w:cs="Arial"/>
          <w:b/>
          <w:i/>
        </w:rPr>
        <w:tab/>
        <w:t>Growth</w:t>
      </w:r>
    </w:p>
    <w:p w:rsidR="00583542" w:rsidRPr="00A438A0" w:rsidRDefault="00583542" w:rsidP="00A82E18">
      <w:pPr>
        <w:pStyle w:val="BodyText"/>
      </w:pPr>
      <w:r w:rsidRPr="00A438A0">
        <w:t>Several customers expressed a belief that the rate increase was either to pay for infrastructure built to support growth that did not materialize, or to fund future growth. Neither of these viewpoints is corre</w:t>
      </w:r>
      <w:r w:rsidR="00913AC2" w:rsidRPr="00A438A0">
        <w:t>ct. In the last rate case, the u</w:t>
      </w:r>
      <w:r w:rsidRPr="00A438A0">
        <w:t xml:space="preserve">tility did anticipate future growth based on developers that approached it for service to planned developments. With respect to the physical aspects of the system, at the beginning of the last rate case, the interconnection with EWD was not yet completed and all current customers were served by the WWTP. Prior to the Order being issued in that case, the interconnection was completed and available to serve new customers. </w:t>
      </w:r>
      <w:r w:rsidR="00996A1E" w:rsidRPr="00A438A0">
        <w:t>S</w:t>
      </w:r>
      <w:r w:rsidRPr="00A438A0">
        <w:t xml:space="preserve">everal of the customers who wrote to the Commission </w:t>
      </w:r>
      <w:r w:rsidR="002D08BD" w:rsidRPr="00A438A0">
        <w:t xml:space="preserve">may not be aware that they are </w:t>
      </w:r>
      <w:r w:rsidRPr="00A438A0">
        <w:t>from some of the developments that can only be served by the interconnection to EWD.</w:t>
      </w:r>
    </w:p>
    <w:p w:rsidR="00583542" w:rsidRPr="00A438A0" w:rsidRDefault="00583542" w:rsidP="00A82E18">
      <w:pPr>
        <w:pStyle w:val="BodyText"/>
      </w:pPr>
      <w:r w:rsidRPr="00A438A0">
        <w:t>With respect to the regulatory aspects of the last rate case, the Commission, on recognizing that many customers could still be served by the WWTP prior to the plant being decommissioned, ordered that the interconnection components-the force main, primary master lift station, and the purchased treatment capacity-be assigned a non-used and useful adjustment for the Phase I rates. This shielded the current customers from paying for future growth.</w:t>
      </w:r>
      <w:r w:rsidR="008F41CC">
        <w:t xml:space="preserve"> </w:t>
      </w:r>
      <w:r w:rsidR="008F41CC" w:rsidRPr="00A438A0">
        <w:t>The interconnection was completed in April 2007, and initially only served new customers from the southern portion of the utility’s wastewater service territory. These customers had no connection to the WWTP, so interconnection with EWD was their only treatment option.</w:t>
      </w:r>
    </w:p>
    <w:p w:rsidR="00583542" w:rsidRPr="00A438A0" w:rsidRDefault="00996A1E" w:rsidP="00A82E18">
      <w:pPr>
        <w:pStyle w:val="BodyText"/>
      </w:pPr>
      <w:r w:rsidRPr="00A438A0">
        <w:t>T</w:t>
      </w:r>
      <w:r w:rsidR="00583542" w:rsidRPr="00A438A0">
        <w:t xml:space="preserve">he capacity payments made in 2006 and 2007, included capacity needed for current, active customers and for the </w:t>
      </w:r>
      <w:r w:rsidR="00514D60" w:rsidRPr="00A438A0">
        <w:t>equivalent residential connections (</w:t>
      </w:r>
      <w:r w:rsidR="00583542" w:rsidRPr="00A438A0">
        <w:t>ERCs</w:t>
      </w:r>
      <w:r w:rsidR="00514D60" w:rsidRPr="00A438A0">
        <w:t>)</w:t>
      </w:r>
      <w:r w:rsidR="00583542" w:rsidRPr="00A438A0">
        <w:t xml:space="preserve"> prepaid for by developers. Thus, the customers who were active at that time only paid their pro rata share for the capacity. As for the interconnection force main and the primary master lift station, the incremental costs of installing differently-sized pipes and fittings is incidental. This is because the major cost drivers of installing any size pipeline are the surveys, route selection, permitting, easements, excavation, etc., which would have to be paid each time new lines are installed. For this reason alone any responsible utility should size a force main to handle maximum expected flow. However, a force main only two inches smaller in diameter would have required pumping capacity more than three times higher than for the 12-inch force main that was installed, making the ongoing operational costs much higher over time. With the purchased treatment capacity being necessary to provide service to customers in the southern</w:t>
      </w:r>
      <w:r w:rsidR="00913AC2" w:rsidRPr="00A438A0">
        <w:t xml:space="preserve"> portion of its territory, the u</w:t>
      </w:r>
      <w:r w:rsidR="00583542" w:rsidRPr="00A438A0">
        <w:t>tility took advantage of economies of scale by avoiding the virtual doubling of labor costs (that would now have to be borne by current customers in the instant rate case), as wel</w:t>
      </w:r>
      <w:r w:rsidR="00913AC2" w:rsidRPr="00A438A0">
        <w:t xml:space="preserve">l as </w:t>
      </w:r>
      <w:r w:rsidR="00583542" w:rsidRPr="00A438A0">
        <w:t xml:space="preserve">greatly improving the operational efficiency of the system (saving on operation and maintenance costs since inception). </w:t>
      </w:r>
    </w:p>
    <w:p w:rsidR="00583542" w:rsidRPr="00A438A0" w:rsidRDefault="00583542" w:rsidP="00A82E18">
      <w:pPr>
        <w:pStyle w:val="BodyText"/>
      </w:pPr>
      <w:r w:rsidRPr="00A438A0">
        <w:lastRenderedPageBreak/>
        <w:t xml:space="preserve">Likewise, </w:t>
      </w:r>
      <w:r w:rsidR="002D08BD" w:rsidRPr="00A438A0">
        <w:t xml:space="preserve">according to the utility, </w:t>
      </w:r>
      <w:r w:rsidRPr="00A438A0">
        <w:t xml:space="preserve">the primary master lift station’s receiving well was sized for maximum future usage, for the same reasons as the force main (the incremental materials cost is incidental compared to paying for labor multiple times to change it out as demand increases), but the pumps installed were sized to handle current demand to keep operating costs lower. </w:t>
      </w:r>
      <w:r w:rsidR="002D08BD" w:rsidRPr="00A438A0">
        <w:t>Staff believes t</w:t>
      </w:r>
      <w:r w:rsidRPr="00A438A0">
        <w:t>his was prudent since the cost to upgrade the pumps when needed is much less than the other master lift station components.</w:t>
      </w:r>
    </w:p>
    <w:p w:rsidR="00583542" w:rsidRPr="00A438A0" w:rsidRDefault="00583542" w:rsidP="00583542">
      <w:pPr>
        <w:pStyle w:val="BodyText"/>
      </w:pPr>
      <w:r w:rsidRPr="00A438A0">
        <w:t xml:space="preserve">Now that the WWTP can no longer be used to provide wastewater treatment to any customers, all of Sandalhaven’s customers are being served by the interconnection to EWD. The WWTP, prior to decommissioning, </w:t>
      </w:r>
      <w:r w:rsidR="008F41CC">
        <w:t>was</w:t>
      </w:r>
      <w:r w:rsidR="00CB65D8">
        <w:t xml:space="preserve"> </w:t>
      </w:r>
      <w:r w:rsidR="00996A1E" w:rsidRPr="00A438A0">
        <w:t xml:space="preserve">incapable of handling the demand </w:t>
      </w:r>
      <w:r w:rsidRPr="00A438A0">
        <w:t>for</w:t>
      </w:r>
      <w:r w:rsidR="00913AC2" w:rsidRPr="00A438A0">
        <w:t xml:space="preserve"> </w:t>
      </w:r>
      <w:r w:rsidR="00996A1E" w:rsidRPr="00A438A0">
        <w:t xml:space="preserve">even </w:t>
      </w:r>
      <w:r w:rsidR="009C096A" w:rsidRPr="00A438A0">
        <w:t xml:space="preserve">a fraction of </w:t>
      </w:r>
      <w:r w:rsidRPr="00A438A0">
        <w:t>Sandalhaven’s customers connected to it, much less all of</w:t>
      </w:r>
      <w:r w:rsidR="00913AC2" w:rsidRPr="00A438A0">
        <w:t xml:space="preserve"> its current customers, so the u</w:t>
      </w:r>
      <w:r w:rsidRPr="00A438A0">
        <w:t>tility had to have additional c</w:t>
      </w:r>
      <w:r w:rsidR="00913AC2" w:rsidRPr="00A438A0">
        <w:t>apacity. Because of the u</w:t>
      </w:r>
      <w:r w:rsidRPr="00A438A0">
        <w:t>tility’s actions in selecting the most cost-effective long term solution, together with the regulatory treatment from the last rate case and that proposed in</w:t>
      </w:r>
      <w:r w:rsidR="00913AC2" w:rsidRPr="00A438A0">
        <w:t xml:space="preserve"> the instant case, Sandalhaven’</w:t>
      </w:r>
      <w:r w:rsidRPr="00A438A0">
        <w:t>s customers have been adequately shielded from the cost impacts of investment for future customers.</w:t>
      </w:r>
    </w:p>
    <w:p w:rsidR="00945F06" w:rsidRPr="00A438A0" w:rsidRDefault="00945F06" w:rsidP="00BA291C">
      <w:pPr>
        <w:pStyle w:val="BodyText"/>
        <w:spacing w:after="0"/>
        <w:ind w:firstLine="720"/>
        <w:rPr>
          <w:rFonts w:ascii="Arial" w:hAnsi="Arial" w:cs="Arial"/>
          <w:b/>
          <w:i/>
        </w:rPr>
      </w:pPr>
      <w:r w:rsidRPr="00A438A0">
        <w:rPr>
          <w:rFonts w:ascii="Arial" w:hAnsi="Arial" w:cs="Arial"/>
          <w:b/>
          <w:i/>
        </w:rPr>
        <w:t>Customers’ Suggested Alternatives for Determining a Rate I</w:t>
      </w:r>
      <w:r w:rsidR="00A438A0">
        <w:rPr>
          <w:rFonts w:ascii="Arial" w:hAnsi="Arial" w:cs="Arial"/>
          <w:b/>
          <w:i/>
        </w:rPr>
        <w:t>ncrease</w:t>
      </w:r>
    </w:p>
    <w:p w:rsidR="00583542" w:rsidRPr="00A438A0" w:rsidRDefault="00583542" w:rsidP="00583542">
      <w:pPr>
        <w:pStyle w:val="BodyText"/>
      </w:pPr>
      <w:r w:rsidRPr="00A438A0">
        <w:t>Some of the alternative rate increase treatments suggested by customers included tying the percentage increase to inflation or to cost-of-living increases, keeping the interim rates, or making them equivalent to the rates of nearby city or county utilities. Staff cannot make its recommendation based on these principles, but must abide by the requirements of the Commission’s rules and statutes.</w:t>
      </w:r>
    </w:p>
    <w:p w:rsidR="00945F06" w:rsidRPr="00A438A0" w:rsidRDefault="00945F06" w:rsidP="00BA291C">
      <w:pPr>
        <w:pStyle w:val="BodyText"/>
        <w:spacing w:after="0"/>
        <w:rPr>
          <w:rFonts w:ascii="Arial" w:hAnsi="Arial" w:cs="Arial"/>
          <w:b/>
          <w:i/>
        </w:rPr>
      </w:pPr>
      <w:r w:rsidRPr="00A438A0">
        <w:tab/>
      </w:r>
      <w:r w:rsidRPr="00A438A0">
        <w:rPr>
          <w:rFonts w:ascii="Arial" w:hAnsi="Arial" w:cs="Arial"/>
          <w:b/>
          <w:i/>
        </w:rPr>
        <w:t>Billing Error</w:t>
      </w:r>
    </w:p>
    <w:p w:rsidR="00583542" w:rsidRPr="00A438A0" w:rsidRDefault="00694ECB" w:rsidP="00583542">
      <w:pPr>
        <w:pStyle w:val="BodyText"/>
      </w:pPr>
      <w:r w:rsidRPr="00A438A0">
        <w:t>The Commission granted the utility an interim rate increase</w:t>
      </w:r>
      <w:r w:rsidR="00C026F4" w:rsidRPr="00A438A0">
        <w:t xml:space="preserve">. </w:t>
      </w:r>
      <w:r w:rsidR="00585270" w:rsidRPr="00A438A0">
        <w:t>The customers were noticed of the correct interim rates</w:t>
      </w:r>
      <w:r w:rsidR="00C026F4" w:rsidRPr="00A438A0">
        <w:t xml:space="preserve">. </w:t>
      </w:r>
      <w:r w:rsidR="00585270" w:rsidRPr="00A438A0">
        <w:t>However, d</w:t>
      </w:r>
      <w:r w:rsidR="000B7F66" w:rsidRPr="00A438A0">
        <w:rPr>
          <w:color w:val="000000" w:themeColor="text1"/>
        </w:rPr>
        <w:t>ue to an administrative error, the customers’</w:t>
      </w:r>
      <w:r w:rsidR="007808C8" w:rsidRPr="00A438A0">
        <w:rPr>
          <w:color w:val="000000" w:themeColor="text1"/>
        </w:rPr>
        <w:t xml:space="preserve"> </w:t>
      </w:r>
      <w:r w:rsidR="000B7F66" w:rsidRPr="00A438A0">
        <w:rPr>
          <w:color w:val="000000" w:themeColor="text1"/>
        </w:rPr>
        <w:t>August bill did not reflect the correct interim rates approved by the Commission effective July 29, 2015</w:t>
      </w:r>
      <w:r w:rsidR="00A27641" w:rsidRPr="00A438A0">
        <w:rPr>
          <w:color w:val="000000" w:themeColor="text1"/>
        </w:rPr>
        <w:t xml:space="preserve">. </w:t>
      </w:r>
      <w:r w:rsidR="00585270" w:rsidRPr="00A438A0">
        <w:rPr>
          <w:color w:val="000000" w:themeColor="text1"/>
        </w:rPr>
        <w:t>When the error was discovered, the utility worked with staff to resolve the issue</w:t>
      </w:r>
      <w:r w:rsidR="00C026F4" w:rsidRPr="00A438A0">
        <w:rPr>
          <w:color w:val="000000" w:themeColor="text1"/>
        </w:rPr>
        <w:t xml:space="preserve">. </w:t>
      </w:r>
      <w:r w:rsidR="00585270" w:rsidRPr="00A438A0">
        <w:rPr>
          <w:color w:val="000000" w:themeColor="text1"/>
        </w:rPr>
        <w:t xml:space="preserve">The utility indicated that when customers called they would advise them of the course of action being taken to resolve the issue. Also, the utility worked with staff to draft language to include </w:t>
      </w:r>
      <w:r w:rsidR="003F7163">
        <w:rPr>
          <w:color w:val="000000" w:themeColor="text1"/>
        </w:rPr>
        <w:t>in</w:t>
      </w:r>
      <w:r w:rsidR="00585270" w:rsidRPr="00A438A0">
        <w:rPr>
          <w:color w:val="000000" w:themeColor="text1"/>
        </w:rPr>
        <w:t xml:space="preserve"> its next billing</w:t>
      </w:r>
      <w:r w:rsidR="00C026F4" w:rsidRPr="00A438A0">
        <w:rPr>
          <w:color w:val="000000" w:themeColor="text1"/>
        </w:rPr>
        <w:t xml:space="preserve"> cycle</w:t>
      </w:r>
      <w:r w:rsidR="00585270" w:rsidRPr="00A438A0">
        <w:rPr>
          <w:color w:val="000000" w:themeColor="text1"/>
        </w:rPr>
        <w:t xml:space="preserve">, which indicated that </w:t>
      </w:r>
      <w:r w:rsidR="00C026F4" w:rsidRPr="00A438A0">
        <w:rPr>
          <w:color w:val="000000" w:themeColor="text1"/>
        </w:rPr>
        <w:t>the bill reflects</w:t>
      </w:r>
      <w:r w:rsidR="000B7F66" w:rsidRPr="00A438A0">
        <w:rPr>
          <w:color w:val="000000" w:themeColor="text1"/>
        </w:rPr>
        <w:t xml:space="preserve"> the accurate</w:t>
      </w:r>
      <w:r w:rsidR="00585270" w:rsidRPr="00A438A0">
        <w:rPr>
          <w:color w:val="000000" w:themeColor="text1"/>
        </w:rPr>
        <w:t xml:space="preserve"> lower interim rates and include</w:t>
      </w:r>
      <w:r w:rsidR="00C026F4" w:rsidRPr="00A438A0">
        <w:rPr>
          <w:color w:val="000000" w:themeColor="text1"/>
        </w:rPr>
        <w:t>s</w:t>
      </w:r>
      <w:r w:rsidR="000B7F66" w:rsidRPr="00A438A0">
        <w:rPr>
          <w:color w:val="000000" w:themeColor="text1"/>
        </w:rPr>
        <w:t xml:space="preserve"> a credit to correct the prior billing error</w:t>
      </w:r>
      <w:r w:rsidR="00C026F4" w:rsidRPr="00A438A0">
        <w:rPr>
          <w:color w:val="000000" w:themeColor="text1"/>
        </w:rPr>
        <w:t xml:space="preserve">. </w:t>
      </w:r>
      <w:r w:rsidR="00585270" w:rsidRPr="00A438A0">
        <w:rPr>
          <w:color w:val="000000" w:themeColor="text1"/>
        </w:rPr>
        <w:t>Further, staff</w:t>
      </w:r>
      <w:r w:rsidR="00C026F4" w:rsidRPr="00A438A0">
        <w:rPr>
          <w:color w:val="000000" w:themeColor="text1"/>
        </w:rPr>
        <w:t>’s</w:t>
      </w:r>
      <w:r w:rsidR="00585270" w:rsidRPr="00A438A0">
        <w:rPr>
          <w:color w:val="000000" w:themeColor="text1"/>
        </w:rPr>
        <w:t xml:space="preserve"> customer meeting </w:t>
      </w:r>
      <w:r w:rsidR="00C026F4" w:rsidRPr="00A438A0">
        <w:rPr>
          <w:color w:val="000000" w:themeColor="text1"/>
        </w:rPr>
        <w:t xml:space="preserve">was held prior to the utility being able to get the bill issued and at that time, staff advised the customers the course of action being taken to correct the error. </w:t>
      </w:r>
    </w:p>
    <w:p w:rsidR="00583542" w:rsidRPr="00A438A0" w:rsidRDefault="00583542" w:rsidP="00583542">
      <w:pPr>
        <w:jc w:val="both"/>
        <w:rPr>
          <w:color w:val="000000" w:themeColor="text1"/>
        </w:rPr>
      </w:pPr>
      <w:r w:rsidRPr="00A438A0">
        <w:rPr>
          <w:color w:val="000000" w:themeColor="text1"/>
        </w:rPr>
        <w:t>Staff reviewed the complaints in the Commission’s Complaint Tracking System for Sandalhaven from January 1, 2009, through November 5, 2015. Staff found 12 complaints for this system filed with the Commission. All of these were billing complaints</w:t>
      </w:r>
      <w:r w:rsidR="00913AC2" w:rsidRPr="00A438A0">
        <w:rPr>
          <w:color w:val="000000" w:themeColor="text1"/>
        </w:rPr>
        <w:t xml:space="preserve"> regarding the u</w:t>
      </w:r>
      <w:r w:rsidRPr="00A438A0">
        <w:rPr>
          <w:color w:val="000000" w:themeColor="text1"/>
        </w:rPr>
        <w:t xml:space="preserve">tility’s erroneous application of its requested </w:t>
      </w:r>
      <w:r w:rsidR="00996A1E" w:rsidRPr="00A438A0">
        <w:rPr>
          <w:color w:val="000000" w:themeColor="text1"/>
        </w:rPr>
        <w:t xml:space="preserve">interim </w:t>
      </w:r>
      <w:r w:rsidRPr="00A438A0">
        <w:rPr>
          <w:color w:val="000000" w:themeColor="text1"/>
        </w:rPr>
        <w:t xml:space="preserve">rates instead of its </w:t>
      </w:r>
      <w:r w:rsidR="00996A1E" w:rsidRPr="00A438A0">
        <w:rPr>
          <w:color w:val="000000" w:themeColor="text1"/>
        </w:rPr>
        <w:t xml:space="preserve">Commission-approved </w:t>
      </w:r>
      <w:r w:rsidRPr="00A438A0">
        <w:rPr>
          <w:color w:val="000000" w:themeColor="text1"/>
        </w:rPr>
        <w:t>interim rates</w:t>
      </w:r>
      <w:r w:rsidR="00913AC2" w:rsidRPr="00A438A0">
        <w:rPr>
          <w:color w:val="000000" w:themeColor="text1"/>
        </w:rPr>
        <w:t>. The u</w:t>
      </w:r>
      <w:r w:rsidRPr="00A438A0">
        <w:rPr>
          <w:color w:val="000000" w:themeColor="text1"/>
        </w:rPr>
        <w:t>tility resolved these complaints. No quality of service problems were reported to the Commission.</w:t>
      </w:r>
    </w:p>
    <w:p w:rsidR="00583542" w:rsidRPr="00A438A0" w:rsidRDefault="00583542" w:rsidP="00583542">
      <w:pPr>
        <w:tabs>
          <w:tab w:val="left" w:pos="3030"/>
        </w:tabs>
        <w:jc w:val="both"/>
        <w:rPr>
          <w:color w:val="000000" w:themeColor="text1"/>
        </w:rPr>
      </w:pPr>
    </w:p>
    <w:p w:rsidR="00583542" w:rsidRPr="00A438A0" w:rsidRDefault="00583542" w:rsidP="00583542">
      <w:pPr>
        <w:spacing w:after="240"/>
        <w:jc w:val="both"/>
        <w:rPr>
          <w:color w:val="000000" w:themeColor="text1"/>
        </w:rPr>
      </w:pPr>
      <w:r w:rsidRPr="00A438A0">
        <w:rPr>
          <w:color w:val="000000" w:themeColor="text1"/>
        </w:rPr>
        <w:t>A summary of all complaints and comments received is shown in Table 1</w:t>
      </w:r>
      <w:r w:rsidR="00504DDC">
        <w:rPr>
          <w:color w:val="000000" w:themeColor="text1"/>
        </w:rPr>
        <w:t>-1</w:t>
      </w:r>
      <w:r w:rsidRPr="00A438A0">
        <w:rPr>
          <w:color w:val="000000" w:themeColor="text1"/>
        </w:rPr>
        <w:t>.</w:t>
      </w:r>
    </w:p>
    <w:p w:rsidR="003213E3" w:rsidRPr="00A438A0" w:rsidRDefault="003213E3">
      <w:pPr>
        <w:rPr>
          <w:rFonts w:ascii="Arial" w:hAnsi="Arial" w:cs="Arial"/>
          <w:b/>
          <w:color w:val="000000" w:themeColor="text1"/>
        </w:rPr>
      </w:pPr>
      <w:r w:rsidRPr="00A438A0">
        <w:rPr>
          <w:rFonts w:ascii="Arial" w:hAnsi="Arial" w:cs="Arial"/>
          <w:b/>
          <w:color w:val="000000" w:themeColor="text1"/>
        </w:rPr>
        <w:br w:type="page"/>
      </w:r>
    </w:p>
    <w:p w:rsidR="00583542" w:rsidRPr="00A438A0" w:rsidRDefault="00583542" w:rsidP="00583542">
      <w:pPr>
        <w:ind w:firstLine="720"/>
        <w:jc w:val="center"/>
        <w:rPr>
          <w:rFonts w:ascii="Arial" w:hAnsi="Arial" w:cs="Arial"/>
          <w:b/>
          <w:color w:val="000000" w:themeColor="text1"/>
        </w:rPr>
      </w:pPr>
      <w:r w:rsidRPr="00A438A0">
        <w:rPr>
          <w:rFonts w:ascii="Arial" w:hAnsi="Arial" w:cs="Arial"/>
          <w:b/>
          <w:color w:val="000000" w:themeColor="text1"/>
        </w:rPr>
        <w:lastRenderedPageBreak/>
        <w:t>Table 1</w:t>
      </w:r>
      <w:r w:rsidR="00504DDC">
        <w:rPr>
          <w:rFonts w:ascii="Arial" w:hAnsi="Arial" w:cs="Arial"/>
          <w:b/>
          <w:color w:val="000000" w:themeColor="text1"/>
        </w:rPr>
        <w:t>-1</w:t>
      </w:r>
    </w:p>
    <w:p w:rsidR="00583542" w:rsidRPr="00A438A0" w:rsidRDefault="00583542" w:rsidP="00583542">
      <w:pPr>
        <w:ind w:firstLine="720"/>
        <w:jc w:val="center"/>
        <w:rPr>
          <w:rFonts w:ascii="Arial" w:hAnsi="Arial" w:cs="Arial"/>
          <w:b/>
          <w:color w:val="000000" w:themeColor="text1"/>
        </w:rPr>
      </w:pPr>
      <w:r w:rsidRPr="00A438A0">
        <w:rPr>
          <w:rFonts w:ascii="Arial" w:hAnsi="Arial" w:cs="Arial"/>
          <w:b/>
          <w:color w:val="000000" w:themeColor="text1"/>
        </w:rPr>
        <w:t>Number of Complaints by Source</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9"/>
        <w:gridCol w:w="1468"/>
        <w:gridCol w:w="1223"/>
        <w:gridCol w:w="1142"/>
        <w:gridCol w:w="1794"/>
        <w:gridCol w:w="1263"/>
      </w:tblGrid>
      <w:tr w:rsidR="00583542" w:rsidRPr="00A438A0" w:rsidTr="00583542">
        <w:trPr>
          <w:trHeight w:val="566"/>
          <w:jc w:val="center"/>
        </w:trPr>
        <w:tc>
          <w:tcPr>
            <w:tcW w:w="2529" w:type="dxa"/>
            <w:shd w:val="clear" w:color="auto" w:fill="auto"/>
            <w:vAlign w:val="center"/>
          </w:tcPr>
          <w:p w:rsidR="00583542" w:rsidRPr="00A438A0" w:rsidRDefault="00583542" w:rsidP="00583542">
            <w:pPr>
              <w:jc w:val="center"/>
              <w:rPr>
                <w:color w:val="000000" w:themeColor="text1"/>
              </w:rPr>
            </w:pPr>
            <w:r w:rsidRPr="00A438A0">
              <w:rPr>
                <w:color w:val="000000" w:themeColor="text1"/>
              </w:rPr>
              <w:t>Subject of Complaint</w:t>
            </w:r>
          </w:p>
        </w:tc>
        <w:tc>
          <w:tcPr>
            <w:tcW w:w="1468" w:type="dxa"/>
            <w:shd w:val="clear" w:color="auto" w:fill="auto"/>
            <w:vAlign w:val="center"/>
          </w:tcPr>
          <w:p w:rsidR="00583542" w:rsidRPr="00A438A0" w:rsidRDefault="00583542" w:rsidP="00583542">
            <w:pPr>
              <w:jc w:val="center"/>
              <w:rPr>
                <w:color w:val="000000" w:themeColor="text1"/>
              </w:rPr>
            </w:pPr>
            <w:r w:rsidRPr="00A438A0">
              <w:rPr>
                <w:color w:val="000000" w:themeColor="text1"/>
              </w:rPr>
              <w:t xml:space="preserve">PSC’s Records (CATS)          </w:t>
            </w:r>
          </w:p>
        </w:tc>
        <w:tc>
          <w:tcPr>
            <w:tcW w:w="1223" w:type="dxa"/>
            <w:shd w:val="clear" w:color="auto" w:fill="auto"/>
            <w:vAlign w:val="center"/>
          </w:tcPr>
          <w:p w:rsidR="00583542" w:rsidRPr="00A438A0" w:rsidRDefault="00583542" w:rsidP="00583542">
            <w:pPr>
              <w:jc w:val="center"/>
              <w:rPr>
                <w:color w:val="000000" w:themeColor="text1"/>
              </w:rPr>
            </w:pPr>
            <w:r w:rsidRPr="00A438A0">
              <w:rPr>
                <w:color w:val="000000" w:themeColor="text1"/>
              </w:rPr>
              <w:t xml:space="preserve">Utility’s Records        </w:t>
            </w:r>
          </w:p>
        </w:tc>
        <w:tc>
          <w:tcPr>
            <w:tcW w:w="1142" w:type="dxa"/>
            <w:shd w:val="clear" w:color="auto" w:fill="auto"/>
            <w:vAlign w:val="center"/>
          </w:tcPr>
          <w:p w:rsidR="00583542" w:rsidRPr="00A438A0" w:rsidRDefault="00583542" w:rsidP="00583542">
            <w:pPr>
              <w:jc w:val="center"/>
              <w:rPr>
                <w:color w:val="000000" w:themeColor="text1"/>
              </w:rPr>
            </w:pPr>
            <w:r w:rsidRPr="00A438A0">
              <w:rPr>
                <w:color w:val="000000" w:themeColor="text1"/>
              </w:rPr>
              <w:t>DEP</w:t>
            </w:r>
          </w:p>
          <w:p w:rsidR="00583542" w:rsidRPr="00A438A0" w:rsidRDefault="00583542" w:rsidP="00583542">
            <w:pPr>
              <w:jc w:val="center"/>
              <w:rPr>
                <w:color w:val="000000" w:themeColor="text1"/>
              </w:rPr>
            </w:pPr>
            <w:r w:rsidRPr="00A438A0">
              <w:rPr>
                <w:color w:val="000000" w:themeColor="text1"/>
              </w:rPr>
              <w:t xml:space="preserve">Records          </w:t>
            </w:r>
          </w:p>
        </w:tc>
        <w:tc>
          <w:tcPr>
            <w:tcW w:w="1794" w:type="dxa"/>
            <w:shd w:val="clear" w:color="auto" w:fill="auto"/>
            <w:vAlign w:val="center"/>
          </w:tcPr>
          <w:p w:rsidR="00583542" w:rsidRPr="00A438A0" w:rsidRDefault="00583542" w:rsidP="00583542">
            <w:pPr>
              <w:jc w:val="center"/>
              <w:rPr>
                <w:color w:val="000000" w:themeColor="text1"/>
              </w:rPr>
            </w:pPr>
            <w:r w:rsidRPr="00A438A0">
              <w:rPr>
                <w:color w:val="000000" w:themeColor="text1"/>
              </w:rPr>
              <w:t>Docket Correspondence</w:t>
            </w:r>
          </w:p>
        </w:tc>
        <w:tc>
          <w:tcPr>
            <w:tcW w:w="1263" w:type="dxa"/>
            <w:shd w:val="clear" w:color="auto" w:fill="auto"/>
            <w:vAlign w:val="center"/>
          </w:tcPr>
          <w:p w:rsidR="00583542" w:rsidRPr="00A438A0" w:rsidRDefault="00583542" w:rsidP="00583542">
            <w:pPr>
              <w:jc w:val="center"/>
              <w:rPr>
                <w:color w:val="000000" w:themeColor="text1"/>
              </w:rPr>
            </w:pPr>
            <w:r w:rsidRPr="00A438A0">
              <w:rPr>
                <w:color w:val="000000" w:themeColor="text1"/>
              </w:rPr>
              <w:t>Customer Meeting</w:t>
            </w:r>
          </w:p>
        </w:tc>
      </w:tr>
      <w:tr w:rsidR="00583542" w:rsidRPr="00A438A0" w:rsidTr="00583542">
        <w:trPr>
          <w:trHeight w:val="230"/>
          <w:jc w:val="center"/>
        </w:trPr>
        <w:tc>
          <w:tcPr>
            <w:tcW w:w="2529" w:type="dxa"/>
            <w:shd w:val="clear" w:color="auto" w:fill="auto"/>
            <w:vAlign w:val="center"/>
          </w:tcPr>
          <w:p w:rsidR="00583542" w:rsidRPr="00A438A0" w:rsidRDefault="00583542" w:rsidP="00583542">
            <w:pPr>
              <w:rPr>
                <w:color w:val="000000" w:themeColor="text1"/>
              </w:rPr>
            </w:pPr>
            <w:r w:rsidRPr="00A438A0">
              <w:rPr>
                <w:color w:val="000000" w:themeColor="text1"/>
              </w:rPr>
              <w:t>Billing Related</w:t>
            </w:r>
          </w:p>
        </w:tc>
        <w:tc>
          <w:tcPr>
            <w:tcW w:w="1468" w:type="dxa"/>
            <w:shd w:val="clear" w:color="auto" w:fill="auto"/>
            <w:vAlign w:val="center"/>
          </w:tcPr>
          <w:p w:rsidR="00583542" w:rsidRPr="00A438A0" w:rsidRDefault="00583542" w:rsidP="00583542">
            <w:pPr>
              <w:jc w:val="center"/>
              <w:rPr>
                <w:color w:val="000000" w:themeColor="text1"/>
              </w:rPr>
            </w:pPr>
            <w:r w:rsidRPr="00A438A0">
              <w:rPr>
                <w:color w:val="000000" w:themeColor="text1"/>
              </w:rPr>
              <w:t>12</w:t>
            </w:r>
          </w:p>
        </w:tc>
        <w:tc>
          <w:tcPr>
            <w:tcW w:w="1223" w:type="dxa"/>
            <w:shd w:val="clear" w:color="auto" w:fill="auto"/>
            <w:vAlign w:val="center"/>
          </w:tcPr>
          <w:p w:rsidR="00583542" w:rsidRPr="00A438A0" w:rsidRDefault="00583542" w:rsidP="00583542">
            <w:pPr>
              <w:jc w:val="center"/>
              <w:rPr>
                <w:color w:val="000000" w:themeColor="text1"/>
              </w:rPr>
            </w:pPr>
            <w:r w:rsidRPr="00A438A0">
              <w:rPr>
                <w:color w:val="000000" w:themeColor="text1"/>
              </w:rPr>
              <w:t>2</w:t>
            </w:r>
          </w:p>
        </w:tc>
        <w:tc>
          <w:tcPr>
            <w:tcW w:w="1142" w:type="dxa"/>
            <w:shd w:val="clear" w:color="auto" w:fill="auto"/>
            <w:vAlign w:val="center"/>
          </w:tcPr>
          <w:p w:rsidR="00583542" w:rsidRPr="00A438A0" w:rsidRDefault="00583542" w:rsidP="00583542">
            <w:pPr>
              <w:jc w:val="center"/>
              <w:rPr>
                <w:color w:val="000000" w:themeColor="text1"/>
              </w:rPr>
            </w:pPr>
          </w:p>
        </w:tc>
        <w:tc>
          <w:tcPr>
            <w:tcW w:w="1794" w:type="dxa"/>
            <w:shd w:val="clear" w:color="auto" w:fill="auto"/>
            <w:vAlign w:val="center"/>
          </w:tcPr>
          <w:p w:rsidR="00583542" w:rsidRPr="00A438A0" w:rsidRDefault="00583542" w:rsidP="00583542">
            <w:pPr>
              <w:jc w:val="center"/>
              <w:rPr>
                <w:color w:val="000000" w:themeColor="text1"/>
              </w:rPr>
            </w:pPr>
            <w:r w:rsidRPr="00A438A0">
              <w:rPr>
                <w:color w:val="000000" w:themeColor="text1"/>
              </w:rPr>
              <w:t>4</w:t>
            </w:r>
          </w:p>
        </w:tc>
        <w:tc>
          <w:tcPr>
            <w:tcW w:w="1263" w:type="dxa"/>
            <w:shd w:val="clear" w:color="auto" w:fill="auto"/>
            <w:vAlign w:val="center"/>
          </w:tcPr>
          <w:p w:rsidR="00583542" w:rsidRPr="00A438A0" w:rsidRDefault="00583542" w:rsidP="00583542">
            <w:pPr>
              <w:jc w:val="center"/>
              <w:rPr>
                <w:color w:val="000000" w:themeColor="text1"/>
              </w:rPr>
            </w:pPr>
            <w:r w:rsidRPr="00A438A0">
              <w:rPr>
                <w:color w:val="000000" w:themeColor="text1"/>
              </w:rPr>
              <w:t xml:space="preserve"> 6</w:t>
            </w:r>
          </w:p>
        </w:tc>
      </w:tr>
      <w:tr w:rsidR="00583542" w:rsidRPr="00A438A0" w:rsidTr="00583542">
        <w:trPr>
          <w:trHeight w:val="230"/>
          <w:jc w:val="center"/>
        </w:trPr>
        <w:tc>
          <w:tcPr>
            <w:tcW w:w="2529" w:type="dxa"/>
            <w:shd w:val="clear" w:color="auto" w:fill="auto"/>
            <w:vAlign w:val="center"/>
          </w:tcPr>
          <w:p w:rsidR="00583542" w:rsidRPr="00A438A0" w:rsidRDefault="00583542" w:rsidP="00583542">
            <w:pPr>
              <w:rPr>
                <w:color w:val="000000" w:themeColor="text1"/>
              </w:rPr>
            </w:pPr>
            <w:r w:rsidRPr="00A438A0">
              <w:rPr>
                <w:color w:val="000000" w:themeColor="text1"/>
              </w:rPr>
              <w:t>Opposing Rate Increase</w:t>
            </w:r>
          </w:p>
        </w:tc>
        <w:tc>
          <w:tcPr>
            <w:tcW w:w="1468" w:type="dxa"/>
            <w:shd w:val="clear" w:color="auto" w:fill="auto"/>
            <w:vAlign w:val="center"/>
          </w:tcPr>
          <w:p w:rsidR="00583542" w:rsidRPr="00A438A0" w:rsidRDefault="00583542" w:rsidP="00583542">
            <w:pPr>
              <w:jc w:val="center"/>
              <w:rPr>
                <w:color w:val="000000" w:themeColor="text1"/>
              </w:rPr>
            </w:pPr>
          </w:p>
        </w:tc>
        <w:tc>
          <w:tcPr>
            <w:tcW w:w="1223" w:type="dxa"/>
            <w:shd w:val="clear" w:color="auto" w:fill="auto"/>
            <w:vAlign w:val="center"/>
          </w:tcPr>
          <w:p w:rsidR="00583542" w:rsidRPr="00A438A0" w:rsidRDefault="00583542" w:rsidP="00583542">
            <w:pPr>
              <w:jc w:val="center"/>
              <w:rPr>
                <w:color w:val="000000" w:themeColor="text1"/>
              </w:rPr>
            </w:pPr>
          </w:p>
        </w:tc>
        <w:tc>
          <w:tcPr>
            <w:tcW w:w="1142" w:type="dxa"/>
            <w:shd w:val="clear" w:color="auto" w:fill="auto"/>
            <w:vAlign w:val="center"/>
          </w:tcPr>
          <w:p w:rsidR="00583542" w:rsidRPr="00A438A0" w:rsidRDefault="00583542" w:rsidP="00583542">
            <w:pPr>
              <w:jc w:val="center"/>
              <w:rPr>
                <w:color w:val="000000" w:themeColor="text1"/>
              </w:rPr>
            </w:pPr>
          </w:p>
        </w:tc>
        <w:tc>
          <w:tcPr>
            <w:tcW w:w="1794" w:type="dxa"/>
            <w:shd w:val="clear" w:color="auto" w:fill="auto"/>
            <w:vAlign w:val="center"/>
          </w:tcPr>
          <w:p w:rsidR="00583542" w:rsidRPr="00A438A0" w:rsidRDefault="00655B4A" w:rsidP="00583542">
            <w:pPr>
              <w:jc w:val="center"/>
              <w:rPr>
                <w:color w:val="000000" w:themeColor="text1"/>
              </w:rPr>
            </w:pPr>
            <w:r w:rsidRPr="00A438A0">
              <w:rPr>
                <w:color w:val="000000" w:themeColor="text1"/>
              </w:rPr>
              <w:t>83</w:t>
            </w:r>
          </w:p>
        </w:tc>
        <w:tc>
          <w:tcPr>
            <w:tcW w:w="1263" w:type="dxa"/>
            <w:shd w:val="clear" w:color="auto" w:fill="auto"/>
            <w:vAlign w:val="center"/>
          </w:tcPr>
          <w:p w:rsidR="00583542" w:rsidRPr="00A438A0" w:rsidRDefault="00583542" w:rsidP="00583542">
            <w:pPr>
              <w:jc w:val="center"/>
              <w:rPr>
                <w:color w:val="000000" w:themeColor="text1"/>
              </w:rPr>
            </w:pPr>
            <w:r w:rsidRPr="00A438A0">
              <w:rPr>
                <w:color w:val="000000" w:themeColor="text1"/>
              </w:rPr>
              <w:t>13</w:t>
            </w:r>
          </w:p>
        </w:tc>
      </w:tr>
      <w:tr w:rsidR="00583542" w:rsidRPr="00A438A0" w:rsidTr="00583542">
        <w:trPr>
          <w:trHeight w:val="230"/>
          <w:jc w:val="center"/>
        </w:trPr>
        <w:tc>
          <w:tcPr>
            <w:tcW w:w="2529" w:type="dxa"/>
            <w:shd w:val="clear" w:color="auto" w:fill="auto"/>
            <w:vAlign w:val="center"/>
          </w:tcPr>
          <w:p w:rsidR="00583542" w:rsidRPr="00A438A0" w:rsidRDefault="00583542" w:rsidP="00583542">
            <w:pPr>
              <w:rPr>
                <w:color w:val="000000" w:themeColor="text1"/>
              </w:rPr>
            </w:pPr>
            <w:r w:rsidRPr="00A438A0">
              <w:rPr>
                <w:color w:val="000000" w:themeColor="text1"/>
              </w:rPr>
              <w:t>Other</w:t>
            </w:r>
            <w:r w:rsidRPr="00A438A0">
              <w:rPr>
                <w:rStyle w:val="FootnoteReference"/>
                <w:color w:val="000000" w:themeColor="text1"/>
              </w:rPr>
              <w:footnoteReference w:id="5"/>
            </w:r>
          </w:p>
        </w:tc>
        <w:tc>
          <w:tcPr>
            <w:tcW w:w="1468" w:type="dxa"/>
            <w:shd w:val="clear" w:color="auto" w:fill="auto"/>
            <w:vAlign w:val="center"/>
          </w:tcPr>
          <w:p w:rsidR="00583542" w:rsidRPr="00A438A0" w:rsidRDefault="00583542" w:rsidP="00583542">
            <w:pPr>
              <w:jc w:val="center"/>
              <w:rPr>
                <w:color w:val="000000" w:themeColor="text1"/>
              </w:rPr>
            </w:pPr>
          </w:p>
        </w:tc>
        <w:tc>
          <w:tcPr>
            <w:tcW w:w="1223" w:type="dxa"/>
            <w:shd w:val="clear" w:color="auto" w:fill="auto"/>
            <w:vAlign w:val="center"/>
          </w:tcPr>
          <w:p w:rsidR="00583542" w:rsidRPr="00A438A0" w:rsidRDefault="00583542" w:rsidP="00583542">
            <w:pPr>
              <w:jc w:val="center"/>
              <w:rPr>
                <w:color w:val="000000" w:themeColor="text1"/>
              </w:rPr>
            </w:pPr>
            <w:r w:rsidRPr="00A438A0">
              <w:rPr>
                <w:color w:val="000000" w:themeColor="text1"/>
              </w:rPr>
              <w:t>3</w:t>
            </w:r>
          </w:p>
        </w:tc>
        <w:tc>
          <w:tcPr>
            <w:tcW w:w="1142" w:type="dxa"/>
            <w:shd w:val="clear" w:color="auto" w:fill="auto"/>
            <w:vAlign w:val="center"/>
          </w:tcPr>
          <w:p w:rsidR="00583542" w:rsidRPr="00A438A0" w:rsidRDefault="00583542" w:rsidP="00583542">
            <w:pPr>
              <w:jc w:val="center"/>
              <w:rPr>
                <w:color w:val="000000" w:themeColor="text1"/>
              </w:rPr>
            </w:pPr>
          </w:p>
        </w:tc>
        <w:tc>
          <w:tcPr>
            <w:tcW w:w="1794" w:type="dxa"/>
            <w:shd w:val="clear" w:color="auto" w:fill="auto"/>
            <w:vAlign w:val="center"/>
          </w:tcPr>
          <w:p w:rsidR="00583542" w:rsidRPr="00A438A0" w:rsidRDefault="00583542" w:rsidP="00583542">
            <w:pPr>
              <w:jc w:val="center"/>
              <w:rPr>
                <w:color w:val="000000" w:themeColor="text1"/>
              </w:rPr>
            </w:pPr>
          </w:p>
        </w:tc>
        <w:tc>
          <w:tcPr>
            <w:tcW w:w="1263" w:type="dxa"/>
            <w:shd w:val="clear" w:color="auto" w:fill="auto"/>
            <w:vAlign w:val="center"/>
          </w:tcPr>
          <w:p w:rsidR="00583542" w:rsidRPr="00A438A0" w:rsidRDefault="00583542" w:rsidP="00583542">
            <w:pPr>
              <w:jc w:val="center"/>
              <w:rPr>
                <w:color w:val="000000" w:themeColor="text1"/>
              </w:rPr>
            </w:pPr>
          </w:p>
        </w:tc>
      </w:tr>
      <w:tr w:rsidR="00583542" w:rsidRPr="00A438A0" w:rsidTr="00583542">
        <w:trPr>
          <w:trHeight w:val="230"/>
          <w:jc w:val="center"/>
        </w:trPr>
        <w:tc>
          <w:tcPr>
            <w:tcW w:w="2529" w:type="dxa"/>
            <w:shd w:val="clear" w:color="auto" w:fill="auto"/>
            <w:vAlign w:val="center"/>
          </w:tcPr>
          <w:p w:rsidR="00583542" w:rsidRPr="00A438A0" w:rsidRDefault="00583542" w:rsidP="00583542">
            <w:pPr>
              <w:rPr>
                <w:color w:val="000000" w:themeColor="text1"/>
              </w:rPr>
            </w:pPr>
            <w:r w:rsidRPr="00A438A0">
              <w:rPr>
                <w:color w:val="000000" w:themeColor="text1"/>
              </w:rPr>
              <w:t>Quality of Service</w:t>
            </w:r>
          </w:p>
        </w:tc>
        <w:tc>
          <w:tcPr>
            <w:tcW w:w="1468" w:type="dxa"/>
            <w:shd w:val="clear" w:color="auto" w:fill="auto"/>
            <w:vAlign w:val="center"/>
          </w:tcPr>
          <w:p w:rsidR="00583542" w:rsidRPr="00A438A0" w:rsidRDefault="00583542" w:rsidP="00583542">
            <w:pPr>
              <w:jc w:val="center"/>
              <w:rPr>
                <w:color w:val="000000" w:themeColor="text1"/>
              </w:rPr>
            </w:pPr>
          </w:p>
        </w:tc>
        <w:tc>
          <w:tcPr>
            <w:tcW w:w="1223" w:type="dxa"/>
            <w:shd w:val="clear" w:color="auto" w:fill="auto"/>
            <w:vAlign w:val="center"/>
          </w:tcPr>
          <w:p w:rsidR="00583542" w:rsidRPr="00A438A0" w:rsidRDefault="00583542" w:rsidP="00583542">
            <w:pPr>
              <w:jc w:val="center"/>
              <w:rPr>
                <w:color w:val="000000" w:themeColor="text1"/>
              </w:rPr>
            </w:pPr>
            <w:r w:rsidRPr="00A438A0">
              <w:rPr>
                <w:color w:val="000000" w:themeColor="text1"/>
              </w:rPr>
              <w:t>4</w:t>
            </w:r>
          </w:p>
        </w:tc>
        <w:tc>
          <w:tcPr>
            <w:tcW w:w="1142" w:type="dxa"/>
            <w:shd w:val="clear" w:color="auto" w:fill="auto"/>
            <w:vAlign w:val="center"/>
          </w:tcPr>
          <w:p w:rsidR="00583542" w:rsidRPr="00A438A0" w:rsidRDefault="00913AC2" w:rsidP="00583542">
            <w:pPr>
              <w:jc w:val="center"/>
              <w:rPr>
                <w:color w:val="000000" w:themeColor="text1"/>
              </w:rPr>
            </w:pPr>
            <w:r w:rsidRPr="00A438A0">
              <w:rPr>
                <w:color w:val="000000" w:themeColor="text1"/>
              </w:rPr>
              <w:t>3</w:t>
            </w:r>
          </w:p>
        </w:tc>
        <w:tc>
          <w:tcPr>
            <w:tcW w:w="1794" w:type="dxa"/>
            <w:shd w:val="clear" w:color="auto" w:fill="auto"/>
            <w:vAlign w:val="center"/>
          </w:tcPr>
          <w:p w:rsidR="00583542" w:rsidRPr="00A438A0" w:rsidRDefault="00583542" w:rsidP="00583542">
            <w:pPr>
              <w:jc w:val="center"/>
              <w:rPr>
                <w:color w:val="000000" w:themeColor="text1"/>
              </w:rPr>
            </w:pPr>
            <w:r w:rsidRPr="00A438A0">
              <w:rPr>
                <w:color w:val="000000" w:themeColor="text1"/>
              </w:rPr>
              <w:t>4</w:t>
            </w:r>
          </w:p>
        </w:tc>
        <w:tc>
          <w:tcPr>
            <w:tcW w:w="1263" w:type="dxa"/>
            <w:shd w:val="clear" w:color="auto" w:fill="auto"/>
            <w:vAlign w:val="center"/>
          </w:tcPr>
          <w:p w:rsidR="00583542" w:rsidRPr="00A438A0" w:rsidRDefault="00583542" w:rsidP="00583542">
            <w:pPr>
              <w:jc w:val="center"/>
              <w:rPr>
                <w:color w:val="000000" w:themeColor="text1"/>
              </w:rPr>
            </w:pPr>
            <w:r w:rsidRPr="00A438A0">
              <w:rPr>
                <w:color w:val="000000" w:themeColor="text1"/>
              </w:rPr>
              <w:t xml:space="preserve"> 3</w:t>
            </w:r>
          </w:p>
        </w:tc>
      </w:tr>
      <w:tr w:rsidR="00583542" w:rsidRPr="00A438A0" w:rsidTr="00583542">
        <w:trPr>
          <w:trHeight w:val="243"/>
          <w:jc w:val="center"/>
        </w:trPr>
        <w:tc>
          <w:tcPr>
            <w:tcW w:w="2529" w:type="dxa"/>
            <w:shd w:val="clear" w:color="auto" w:fill="auto"/>
            <w:vAlign w:val="center"/>
          </w:tcPr>
          <w:p w:rsidR="00583542" w:rsidRPr="00A438A0" w:rsidRDefault="00583542" w:rsidP="00583542">
            <w:pPr>
              <w:rPr>
                <w:color w:val="000000" w:themeColor="text1"/>
              </w:rPr>
            </w:pPr>
            <w:r w:rsidRPr="00A438A0">
              <w:rPr>
                <w:b/>
                <w:color w:val="000000" w:themeColor="text1"/>
              </w:rPr>
              <w:t>Total</w:t>
            </w:r>
            <w:r w:rsidRPr="00A438A0">
              <w:rPr>
                <w:color w:val="000000" w:themeColor="text1"/>
              </w:rPr>
              <w:t>*</w:t>
            </w:r>
          </w:p>
        </w:tc>
        <w:tc>
          <w:tcPr>
            <w:tcW w:w="1468" w:type="dxa"/>
            <w:shd w:val="clear" w:color="auto" w:fill="auto"/>
            <w:vAlign w:val="center"/>
          </w:tcPr>
          <w:p w:rsidR="00583542" w:rsidRPr="00A438A0" w:rsidRDefault="00583542" w:rsidP="00583542">
            <w:pPr>
              <w:jc w:val="center"/>
              <w:rPr>
                <w:color w:val="000000" w:themeColor="text1"/>
              </w:rPr>
            </w:pPr>
            <w:r w:rsidRPr="00A438A0">
              <w:rPr>
                <w:color w:val="000000" w:themeColor="text1"/>
              </w:rPr>
              <w:t xml:space="preserve">12 </w:t>
            </w:r>
          </w:p>
        </w:tc>
        <w:tc>
          <w:tcPr>
            <w:tcW w:w="1223" w:type="dxa"/>
            <w:shd w:val="clear" w:color="auto" w:fill="auto"/>
            <w:vAlign w:val="center"/>
          </w:tcPr>
          <w:p w:rsidR="00583542" w:rsidRPr="00A438A0" w:rsidRDefault="00583542" w:rsidP="00583542">
            <w:pPr>
              <w:jc w:val="center"/>
              <w:rPr>
                <w:color w:val="000000" w:themeColor="text1"/>
              </w:rPr>
            </w:pPr>
            <w:r w:rsidRPr="00A438A0">
              <w:rPr>
                <w:color w:val="000000" w:themeColor="text1"/>
              </w:rPr>
              <w:t>9</w:t>
            </w:r>
          </w:p>
        </w:tc>
        <w:tc>
          <w:tcPr>
            <w:tcW w:w="1142" w:type="dxa"/>
            <w:shd w:val="clear" w:color="auto" w:fill="auto"/>
            <w:vAlign w:val="center"/>
          </w:tcPr>
          <w:p w:rsidR="00583542" w:rsidRPr="00A438A0" w:rsidRDefault="00913AC2" w:rsidP="00583542">
            <w:pPr>
              <w:jc w:val="center"/>
              <w:rPr>
                <w:color w:val="000000" w:themeColor="text1"/>
              </w:rPr>
            </w:pPr>
            <w:r w:rsidRPr="00A438A0">
              <w:rPr>
                <w:color w:val="000000" w:themeColor="text1"/>
              </w:rPr>
              <w:t>3</w:t>
            </w:r>
            <w:r w:rsidR="00583542" w:rsidRPr="00A438A0">
              <w:rPr>
                <w:color w:val="000000" w:themeColor="text1"/>
              </w:rPr>
              <w:t xml:space="preserve"> </w:t>
            </w:r>
          </w:p>
        </w:tc>
        <w:tc>
          <w:tcPr>
            <w:tcW w:w="1794" w:type="dxa"/>
            <w:shd w:val="clear" w:color="auto" w:fill="auto"/>
            <w:vAlign w:val="center"/>
          </w:tcPr>
          <w:p w:rsidR="00583542" w:rsidRPr="00A438A0" w:rsidRDefault="00655B4A" w:rsidP="00583542">
            <w:pPr>
              <w:jc w:val="center"/>
              <w:rPr>
                <w:color w:val="000000" w:themeColor="text1"/>
              </w:rPr>
            </w:pPr>
            <w:r w:rsidRPr="00A438A0">
              <w:rPr>
                <w:color w:val="000000" w:themeColor="text1"/>
              </w:rPr>
              <w:t>91</w:t>
            </w:r>
          </w:p>
        </w:tc>
        <w:tc>
          <w:tcPr>
            <w:tcW w:w="1263" w:type="dxa"/>
            <w:shd w:val="clear" w:color="auto" w:fill="auto"/>
            <w:vAlign w:val="center"/>
          </w:tcPr>
          <w:p w:rsidR="00583542" w:rsidRPr="00A438A0" w:rsidRDefault="00583542" w:rsidP="00583542">
            <w:pPr>
              <w:jc w:val="center"/>
              <w:rPr>
                <w:color w:val="000000" w:themeColor="text1"/>
              </w:rPr>
            </w:pPr>
            <w:r w:rsidRPr="00A438A0">
              <w:rPr>
                <w:color w:val="000000" w:themeColor="text1"/>
              </w:rPr>
              <w:t xml:space="preserve"> 22</w:t>
            </w:r>
          </w:p>
        </w:tc>
      </w:tr>
    </w:tbl>
    <w:p w:rsidR="00583542" w:rsidRPr="00A438A0" w:rsidRDefault="00945F06" w:rsidP="00583542">
      <w:pPr>
        <w:spacing w:before="120" w:after="240"/>
        <w:ind w:left="-720"/>
        <w:jc w:val="both"/>
        <w:rPr>
          <w:color w:val="000000" w:themeColor="text1"/>
          <w:sz w:val="20"/>
          <w:szCs w:val="20"/>
        </w:rPr>
      </w:pPr>
      <w:r w:rsidRPr="00A438A0">
        <w:rPr>
          <w:color w:val="000000" w:themeColor="text1"/>
          <w:sz w:val="20"/>
          <w:szCs w:val="20"/>
        </w:rPr>
        <w:t xml:space="preserve">              </w:t>
      </w:r>
      <w:r w:rsidR="00583542" w:rsidRPr="00A438A0">
        <w:rPr>
          <w:color w:val="000000" w:themeColor="text1"/>
          <w:sz w:val="20"/>
          <w:szCs w:val="20"/>
        </w:rPr>
        <w:t>* A complaint may appear twice in this table if it meets multiple categories.</w:t>
      </w:r>
    </w:p>
    <w:p w:rsidR="00583542" w:rsidRPr="00A438A0" w:rsidRDefault="00583542" w:rsidP="00583542">
      <w:pPr>
        <w:pStyle w:val="BodyText"/>
        <w:rPr>
          <w:b/>
          <w:color w:val="000000" w:themeColor="text1"/>
        </w:rPr>
      </w:pPr>
      <w:r w:rsidRPr="00A438A0">
        <w:rPr>
          <w:b/>
          <w:color w:val="000000" w:themeColor="text1"/>
        </w:rPr>
        <w:t>Summary</w:t>
      </w:r>
    </w:p>
    <w:p w:rsidR="00331D4D" w:rsidRPr="00A438A0" w:rsidRDefault="00583542" w:rsidP="00583542">
      <w:pPr>
        <w:pStyle w:val="BodyText"/>
      </w:pPr>
      <w:r w:rsidRPr="00A438A0">
        <w:rPr>
          <w:color w:val="000000" w:themeColor="text1"/>
        </w:rPr>
        <w:t xml:space="preserve">The </w:t>
      </w:r>
      <w:r w:rsidR="00913AC2" w:rsidRPr="00A438A0">
        <w:rPr>
          <w:color w:val="000000" w:themeColor="text1"/>
        </w:rPr>
        <w:t>u</w:t>
      </w:r>
      <w:r w:rsidRPr="00A438A0">
        <w:rPr>
          <w:color w:val="000000" w:themeColor="text1"/>
        </w:rPr>
        <w:t>tility has taken reasonable actions to comply with DEP’s consent order and to address customer concerns. All quality of service issues have been resolved. Staff recommends that the qual</w:t>
      </w:r>
      <w:r w:rsidR="00913AC2" w:rsidRPr="00A438A0">
        <w:rPr>
          <w:color w:val="000000" w:themeColor="text1"/>
        </w:rPr>
        <w:t>ity of service provided by the u</w:t>
      </w:r>
      <w:r w:rsidRPr="00A438A0">
        <w:rPr>
          <w:color w:val="000000" w:themeColor="text1"/>
        </w:rPr>
        <w:t>tility be considered satisfactory.</w:t>
      </w:r>
    </w:p>
    <w:p w:rsidR="00FA4CE3" w:rsidRPr="00A438A0" w:rsidRDefault="00FA4CE3" w:rsidP="00FA4CE3">
      <w:pPr>
        <w:pStyle w:val="RecommendationIssueGroupingSection"/>
      </w:pPr>
      <w:r w:rsidRPr="00A438A0">
        <w:br w:type="page"/>
      </w:r>
    </w:p>
    <w:p w:rsidR="00FA4CE3" w:rsidRPr="00A438A0" w:rsidRDefault="00FA4CE3">
      <w:pPr>
        <w:pStyle w:val="IssueHeading"/>
        <w:rPr>
          <w:vanish/>
          <w:specVanish/>
        </w:rPr>
      </w:pPr>
      <w:r w:rsidRPr="00A438A0">
        <w:lastRenderedPageBreak/>
        <w:t xml:space="preserve">Issue </w:t>
      </w:r>
      <w:r w:rsidR="006D42F5">
        <w:fldChar w:fldCharType="begin"/>
      </w:r>
      <w:r w:rsidR="006D42F5">
        <w:instrText xml:space="preserve"> SEQ Issue \* MERGEFORMAT </w:instrText>
      </w:r>
      <w:r w:rsidR="006D42F5">
        <w:fldChar w:fldCharType="separate"/>
      </w:r>
      <w:r w:rsidR="00A05B79">
        <w:rPr>
          <w:noProof/>
        </w:rPr>
        <w:t>2</w:t>
      </w:r>
      <w:r w:rsidR="006D42F5">
        <w:rPr>
          <w:noProof/>
        </w:rPr>
        <w:fldChar w:fldCharType="end"/>
      </w:r>
      <w:r w:rsidRPr="00A438A0">
        <w:t>:</w:t>
      </w:r>
      <w:r w:rsidRPr="00A438A0">
        <w:fldChar w:fldCharType="begin"/>
      </w:r>
      <w:r w:rsidRPr="00A438A0">
        <w:instrText xml:space="preserve"> TC "</w:instrText>
      </w:r>
      <w:r w:rsidRPr="00A438A0">
        <w:fldChar w:fldCharType="begin"/>
      </w:r>
      <w:r w:rsidRPr="00A438A0">
        <w:instrText xml:space="preserve"> SEQ issue \c </w:instrText>
      </w:r>
      <w:r w:rsidRPr="00A438A0">
        <w:fldChar w:fldCharType="separate"/>
      </w:r>
      <w:bookmarkStart w:id="17" w:name="_Toc435607936"/>
      <w:r w:rsidR="00A05B79">
        <w:rPr>
          <w:noProof/>
        </w:rPr>
        <w:instrText>2</w:instrText>
      </w:r>
      <w:r w:rsidRPr="00A438A0">
        <w:fldChar w:fldCharType="end"/>
      </w:r>
      <w:r w:rsidRPr="00A438A0">
        <w:tab/>
      </w:r>
      <w:r w:rsidR="00400BA4" w:rsidRPr="00A438A0">
        <w:instrText>Audit Adjustments to Rate Base (D. Buys)</w:instrText>
      </w:r>
      <w:bookmarkEnd w:id="17"/>
      <w:r w:rsidRPr="00A438A0">
        <w:instrText xml:space="preserve">" \l 1 </w:instrText>
      </w:r>
      <w:r w:rsidRPr="00A438A0">
        <w:fldChar w:fldCharType="end"/>
      </w:r>
      <w:r w:rsidRPr="00A438A0">
        <w:t> </w:t>
      </w:r>
    </w:p>
    <w:p w:rsidR="00FA4CE3" w:rsidRPr="00A438A0" w:rsidRDefault="00FA4CE3">
      <w:pPr>
        <w:pStyle w:val="BodyText"/>
      </w:pPr>
      <w:r w:rsidRPr="00A438A0">
        <w:t> </w:t>
      </w:r>
      <w:r w:rsidR="004A428F" w:rsidRPr="00A438A0">
        <w:t>Should the audit adjustments to rate base and operating expense to which the utility and staff agree be made?</w:t>
      </w:r>
    </w:p>
    <w:p w:rsidR="00FA4CE3" w:rsidRPr="00A438A0" w:rsidRDefault="00FA4CE3">
      <w:pPr>
        <w:pStyle w:val="IssueSubsectionHeading"/>
        <w:rPr>
          <w:vanish/>
          <w:specVanish/>
        </w:rPr>
      </w:pPr>
      <w:r w:rsidRPr="00A438A0">
        <w:t>Recommendation: </w:t>
      </w:r>
    </w:p>
    <w:p w:rsidR="00FA4CE3" w:rsidRPr="00A438A0" w:rsidRDefault="00FA4CE3">
      <w:pPr>
        <w:pStyle w:val="BodyText"/>
      </w:pPr>
      <w:r w:rsidRPr="00A438A0">
        <w:t> </w:t>
      </w:r>
      <w:r w:rsidR="00AF0535" w:rsidRPr="00A438A0">
        <w:t>Yes. Based on the audit adjustments agreed to by the utility and staff, the following adjustments should be made to rate base and net operating income as set forth in staff’s analysis below</w:t>
      </w:r>
      <w:r w:rsidR="00A27641" w:rsidRPr="00A438A0">
        <w:t xml:space="preserve">. </w:t>
      </w:r>
      <w:r w:rsidRPr="00A438A0">
        <w:t>(D. Buys)</w:t>
      </w:r>
    </w:p>
    <w:p w:rsidR="00FA4CE3" w:rsidRPr="00A438A0" w:rsidRDefault="00FA4CE3">
      <w:pPr>
        <w:pStyle w:val="IssueSubsectionHeading"/>
        <w:rPr>
          <w:vanish/>
          <w:specVanish/>
        </w:rPr>
      </w:pPr>
      <w:r w:rsidRPr="00A438A0">
        <w:t>Staff Analysis: </w:t>
      </w:r>
    </w:p>
    <w:p w:rsidR="00AF0535" w:rsidRPr="00A438A0" w:rsidRDefault="00AF0535" w:rsidP="00AF0535">
      <w:pPr>
        <w:pStyle w:val="BodyText"/>
      </w:pPr>
      <w:r w:rsidRPr="00A438A0">
        <w:t>In its response to the staff audit reports of the utility and affiliate transactions, Sandalhaven agreed to the audit adjustments as set forth in the tables below.</w:t>
      </w:r>
    </w:p>
    <w:p w:rsidR="00AF0535" w:rsidRPr="00A438A0" w:rsidRDefault="00AF0535" w:rsidP="00AF0535">
      <w:pPr>
        <w:pStyle w:val="BodyText"/>
        <w:spacing w:after="0"/>
        <w:jc w:val="center"/>
        <w:rPr>
          <w:rFonts w:ascii="Arial" w:hAnsi="Arial" w:cs="Arial"/>
          <w:b/>
        </w:rPr>
      </w:pPr>
      <w:r w:rsidRPr="00A438A0">
        <w:rPr>
          <w:rFonts w:ascii="Arial" w:hAnsi="Arial" w:cs="Arial"/>
          <w:b/>
        </w:rPr>
        <w:t>Table 2-1</w:t>
      </w:r>
    </w:p>
    <w:p w:rsidR="00AF0535" w:rsidRPr="00A438A0" w:rsidRDefault="00AF0535" w:rsidP="00AF0535">
      <w:pPr>
        <w:pStyle w:val="BodyText"/>
        <w:spacing w:after="0"/>
        <w:jc w:val="center"/>
        <w:rPr>
          <w:rFonts w:ascii="Arial" w:hAnsi="Arial" w:cs="Arial"/>
          <w:b/>
        </w:rPr>
      </w:pPr>
      <w:r w:rsidRPr="00A438A0">
        <w:rPr>
          <w:rFonts w:ascii="Arial" w:hAnsi="Arial" w:cs="Arial"/>
          <w:b/>
        </w:rPr>
        <w:t>Description of Audit Adjustments</w:t>
      </w:r>
    </w:p>
    <w:tbl>
      <w:tblPr>
        <w:tblStyle w:val="TableGrid"/>
        <w:tblW w:w="4961" w:type="pct"/>
        <w:jc w:val="center"/>
        <w:tblLook w:val="04A0" w:firstRow="1" w:lastRow="0" w:firstColumn="1" w:lastColumn="0" w:noHBand="0" w:noVBand="1"/>
      </w:tblPr>
      <w:tblGrid>
        <w:gridCol w:w="4215"/>
        <w:gridCol w:w="5286"/>
      </w:tblGrid>
      <w:tr w:rsidR="00AF0535" w:rsidRPr="00A438A0" w:rsidTr="00A438A0">
        <w:trPr>
          <w:trHeight w:val="513"/>
          <w:jc w:val="center"/>
        </w:trPr>
        <w:tc>
          <w:tcPr>
            <w:tcW w:w="2218" w:type="pct"/>
            <w:vAlign w:val="center"/>
          </w:tcPr>
          <w:p w:rsidR="00AF0535" w:rsidRPr="00A438A0" w:rsidRDefault="00131423" w:rsidP="00F45D1F">
            <w:pPr>
              <w:pStyle w:val="BodyText"/>
              <w:jc w:val="center"/>
              <w:rPr>
                <w:b/>
              </w:rPr>
            </w:pPr>
            <w:r w:rsidRPr="00A438A0">
              <w:rPr>
                <w:b/>
              </w:rPr>
              <w:t>Audit Finding</w:t>
            </w:r>
          </w:p>
        </w:tc>
        <w:tc>
          <w:tcPr>
            <w:tcW w:w="2782" w:type="pct"/>
            <w:vAlign w:val="center"/>
          </w:tcPr>
          <w:p w:rsidR="00AF0535" w:rsidRPr="00A438A0" w:rsidRDefault="00AF0535" w:rsidP="00F45D1F">
            <w:pPr>
              <w:pStyle w:val="BodyText"/>
              <w:jc w:val="center"/>
              <w:rPr>
                <w:b/>
              </w:rPr>
            </w:pPr>
            <w:r w:rsidRPr="00A438A0">
              <w:rPr>
                <w:b/>
              </w:rPr>
              <w:t>Description of Adjustment</w:t>
            </w:r>
          </w:p>
        </w:tc>
      </w:tr>
      <w:tr w:rsidR="00AF0535" w:rsidRPr="00A438A0" w:rsidTr="00A438A0">
        <w:trPr>
          <w:trHeight w:val="513"/>
          <w:jc w:val="center"/>
        </w:trPr>
        <w:tc>
          <w:tcPr>
            <w:tcW w:w="2218" w:type="pct"/>
          </w:tcPr>
          <w:p w:rsidR="00AF0535" w:rsidRPr="00A438A0" w:rsidRDefault="00AF0535" w:rsidP="00F45D1F">
            <w:pPr>
              <w:pStyle w:val="BodyText"/>
            </w:pPr>
            <w:r w:rsidRPr="00A438A0">
              <w:t>Audit Finding No. 1</w:t>
            </w:r>
            <w:r w:rsidR="00131423" w:rsidRPr="00A438A0">
              <w:t xml:space="preserve"> – Sandalhaven</w:t>
            </w:r>
          </w:p>
        </w:tc>
        <w:tc>
          <w:tcPr>
            <w:tcW w:w="2782" w:type="pct"/>
          </w:tcPr>
          <w:p w:rsidR="00AF0535" w:rsidRPr="00A438A0" w:rsidRDefault="00AF0535" w:rsidP="003F7163">
            <w:pPr>
              <w:pStyle w:val="BodyText"/>
            </w:pPr>
            <w:r w:rsidRPr="00A438A0">
              <w:t>Reflect the appropriate</w:t>
            </w:r>
            <w:r w:rsidR="003F7163">
              <w:t xml:space="preserve"> UPIS</w:t>
            </w:r>
            <w:r w:rsidRPr="00A438A0">
              <w:t xml:space="preserve"> balances.</w:t>
            </w:r>
          </w:p>
        </w:tc>
      </w:tr>
      <w:tr w:rsidR="00AF0535" w:rsidRPr="00A438A0" w:rsidTr="00A438A0">
        <w:trPr>
          <w:trHeight w:val="513"/>
          <w:jc w:val="center"/>
        </w:trPr>
        <w:tc>
          <w:tcPr>
            <w:tcW w:w="2218" w:type="pct"/>
          </w:tcPr>
          <w:p w:rsidR="00AF0535" w:rsidRPr="00A438A0" w:rsidRDefault="00AF0535" w:rsidP="00F45D1F">
            <w:pPr>
              <w:pStyle w:val="BodyText"/>
            </w:pPr>
            <w:r w:rsidRPr="00A438A0">
              <w:t>Audit Finding No. 4</w:t>
            </w:r>
            <w:r w:rsidR="00131423" w:rsidRPr="00A438A0">
              <w:t xml:space="preserve"> – Sandalhaven</w:t>
            </w:r>
          </w:p>
        </w:tc>
        <w:tc>
          <w:tcPr>
            <w:tcW w:w="2782" w:type="pct"/>
          </w:tcPr>
          <w:p w:rsidR="00AF0535" w:rsidRPr="00A438A0" w:rsidRDefault="00AF0535" w:rsidP="00F45D1F">
            <w:pPr>
              <w:pStyle w:val="BodyText"/>
            </w:pPr>
            <w:r w:rsidRPr="00A438A0">
              <w:t>Reflect the appropriate Land balance.</w:t>
            </w:r>
          </w:p>
        </w:tc>
      </w:tr>
      <w:tr w:rsidR="00AF0535" w:rsidRPr="00A438A0" w:rsidTr="00A438A0">
        <w:trPr>
          <w:trHeight w:val="785"/>
          <w:jc w:val="center"/>
        </w:trPr>
        <w:tc>
          <w:tcPr>
            <w:tcW w:w="2218" w:type="pct"/>
          </w:tcPr>
          <w:p w:rsidR="00AF0535" w:rsidRPr="00A438A0" w:rsidRDefault="00AF0535" w:rsidP="00F45D1F">
            <w:pPr>
              <w:pStyle w:val="BodyText"/>
            </w:pPr>
            <w:r w:rsidRPr="00A438A0">
              <w:t>Audit Finding No. 6</w:t>
            </w:r>
            <w:r w:rsidR="00131423" w:rsidRPr="00A438A0">
              <w:t xml:space="preserve"> – Sandalhaven</w:t>
            </w:r>
          </w:p>
        </w:tc>
        <w:tc>
          <w:tcPr>
            <w:tcW w:w="2782" w:type="pct"/>
          </w:tcPr>
          <w:p w:rsidR="00AF0535" w:rsidRPr="00A438A0" w:rsidRDefault="00AF0535" w:rsidP="00F45D1F">
            <w:pPr>
              <w:pStyle w:val="BodyText"/>
            </w:pPr>
            <w:r w:rsidRPr="00A438A0">
              <w:t>Reflect the appropriate amount of operating revenue and RAFs</w:t>
            </w:r>
            <w:r w:rsidR="003F7163">
              <w:t>.</w:t>
            </w:r>
          </w:p>
        </w:tc>
      </w:tr>
      <w:tr w:rsidR="00AF0535" w:rsidRPr="00A438A0" w:rsidTr="00A438A0">
        <w:trPr>
          <w:trHeight w:val="529"/>
          <w:jc w:val="center"/>
        </w:trPr>
        <w:tc>
          <w:tcPr>
            <w:tcW w:w="2218" w:type="pct"/>
            <w:tcBorders>
              <w:bottom w:val="single" w:sz="4" w:space="0" w:color="auto"/>
            </w:tcBorders>
          </w:tcPr>
          <w:p w:rsidR="00AF0535" w:rsidRPr="00A438A0" w:rsidRDefault="00AF0535" w:rsidP="00F45D1F">
            <w:pPr>
              <w:pStyle w:val="BodyText"/>
            </w:pPr>
            <w:r w:rsidRPr="00A438A0">
              <w:t>Audit Finding No. 8</w:t>
            </w:r>
            <w:r w:rsidR="00131423" w:rsidRPr="00A438A0">
              <w:t xml:space="preserve"> – Sandalhaven</w:t>
            </w:r>
          </w:p>
        </w:tc>
        <w:tc>
          <w:tcPr>
            <w:tcW w:w="2782" w:type="pct"/>
            <w:tcBorders>
              <w:bottom w:val="single" w:sz="4" w:space="0" w:color="auto"/>
            </w:tcBorders>
          </w:tcPr>
          <w:p w:rsidR="00AF0535" w:rsidRPr="00A438A0" w:rsidRDefault="00AF0535" w:rsidP="00F45D1F">
            <w:pPr>
              <w:pStyle w:val="BodyText"/>
            </w:pPr>
            <w:r w:rsidRPr="00A438A0">
              <w:t>Reflect the appropriate amount of O&amp;M Expense</w:t>
            </w:r>
            <w:r w:rsidR="003F7163">
              <w:t>.</w:t>
            </w:r>
          </w:p>
        </w:tc>
      </w:tr>
      <w:tr w:rsidR="00AF0535" w:rsidRPr="00A438A0" w:rsidTr="00A438A0">
        <w:trPr>
          <w:trHeight w:val="697"/>
          <w:jc w:val="center"/>
        </w:trPr>
        <w:tc>
          <w:tcPr>
            <w:tcW w:w="2218" w:type="pct"/>
          </w:tcPr>
          <w:p w:rsidR="00AF0535" w:rsidRPr="00A438A0" w:rsidRDefault="00AF0535" w:rsidP="00F45D1F">
            <w:pPr>
              <w:pStyle w:val="BodyText"/>
            </w:pPr>
            <w:r w:rsidRPr="00A438A0">
              <w:t>Audit Finding No. 1</w:t>
            </w:r>
            <w:r w:rsidR="00131423" w:rsidRPr="00A438A0">
              <w:t xml:space="preserve"> – Affiliate (UI)</w:t>
            </w:r>
          </w:p>
        </w:tc>
        <w:tc>
          <w:tcPr>
            <w:tcW w:w="2782" w:type="pct"/>
          </w:tcPr>
          <w:p w:rsidR="00AF0535" w:rsidRPr="00A438A0" w:rsidRDefault="00AF0535" w:rsidP="00F45D1F">
            <w:pPr>
              <w:pStyle w:val="BodyText"/>
            </w:pPr>
            <w:r w:rsidRPr="00A438A0">
              <w:t>Reflect the correct allocated plant and accumulated depreciation for Transportation</w:t>
            </w:r>
            <w:r w:rsidR="003F7163">
              <w:t>.</w:t>
            </w:r>
          </w:p>
        </w:tc>
      </w:tr>
      <w:tr w:rsidR="00AF0535" w:rsidRPr="00A438A0" w:rsidTr="00A438A0">
        <w:trPr>
          <w:trHeight w:val="800"/>
          <w:jc w:val="center"/>
        </w:trPr>
        <w:tc>
          <w:tcPr>
            <w:tcW w:w="2218" w:type="pct"/>
          </w:tcPr>
          <w:p w:rsidR="00AF0535" w:rsidRPr="00A438A0" w:rsidRDefault="00AF0535" w:rsidP="00F45D1F">
            <w:pPr>
              <w:pStyle w:val="BodyText"/>
            </w:pPr>
            <w:r w:rsidRPr="00A438A0">
              <w:t>Audit Finding No. 2</w:t>
            </w:r>
            <w:r w:rsidR="00131423" w:rsidRPr="00A438A0">
              <w:t xml:space="preserve"> – Affiliate (UI)</w:t>
            </w:r>
          </w:p>
        </w:tc>
        <w:tc>
          <w:tcPr>
            <w:tcW w:w="2782" w:type="pct"/>
          </w:tcPr>
          <w:p w:rsidR="00AF0535" w:rsidRPr="00A438A0" w:rsidRDefault="00AF0535" w:rsidP="003F7163">
            <w:pPr>
              <w:pStyle w:val="BodyText"/>
            </w:pPr>
            <w:r w:rsidRPr="00A438A0">
              <w:t xml:space="preserve">Reflect the correct allocated </w:t>
            </w:r>
            <w:r w:rsidR="003F7163">
              <w:t>UPIS</w:t>
            </w:r>
            <w:r w:rsidRPr="00A438A0">
              <w:t>, accumulated depreciation and depreciation expense.</w:t>
            </w:r>
          </w:p>
        </w:tc>
      </w:tr>
    </w:tbl>
    <w:p w:rsidR="00AF0535" w:rsidRPr="00A438A0" w:rsidRDefault="00AF0535" w:rsidP="00AF0535">
      <w:pPr>
        <w:pStyle w:val="BodyText"/>
      </w:pPr>
      <w:r w:rsidRPr="00A438A0">
        <w:t>Source: Staff audit and utility responses to staff data request</w:t>
      </w:r>
    </w:p>
    <w:p w:rsidR="00AF0535" w:rsidRPr="00A438A0" w:rsidRDefault="00AF0535" w:rsidP="00AF0535">
      <w:r w:rsidRPr="00A438A0">
        <w:t>Based on the audit adjustments agreed to by the utility, staff recommends that the adjustments set forth in Tables 2-2 and  2-3 be made to rate base and net operating income.</w:t>
      </w:r>
    </w:p>
    <w:p w:rsidR="00AF0535" w:rsidRPr="00A438A0" w:rsidRDefault="00AF0535" w:rsidP="00AF0535">
      <w:r w:rsidRPr="00A438A0">
        <w:br w:type="page"/>
      </w:r>
    </w:p>
    <w:p w:rsidR="00AF0535" w:rsidRPr="00A438A0" w:rsidRDefault="00AF0535" w:rsidP="00AF0535"/>
    <w:p w:rsidR="00AF0535" w:rsidRPr="00A438A0" w:rsidRDefault="00AF0535" w:rsidP="00AF0535">
      <w:pPr>
        <w:pStyle w:val="BodyText"/>
        <w:spacing w:after="0"/>
        <w:jc w:val="center"/>
        <w:rPr>
          <w:rFonts w:ascii="Arial" w:hAnsi="Arial" w:cs="Arial"/>
          <w:b/>
        </w:rPr>
      </w:pPr>
      <w:r w:rsidRPr="00A438A0">
        <w:rPr>
          <w:rFonts w:ascii="Arial" w:hAnsi="Arial" w:cs="Arial"/>
          <w:b/>
        </w:rPr>
        <w:t>Table 2-2</w:t>
      </w:r>
    </w:p>
    <w:p w:rsidR="00AF0535" w:rsidRPr="00A438A0" w:rsidRDefault="00AF0535" w:rsidP="00AF0535">
      <w:pPr>
        <w:pStyle w:val="BodyText"/>
        <w:spacing w:after="0"/>
        <w:jc w:val="center"/>
        <w:rPr>
          <w:rFonts w:ascii="Arial" w:hAnsi="Arial" w:cs="Arial"/>
          <w:b/>
        </w:rPr>
      </w:pPr>
      <w:r w:rsidRPr="00A438A0">
        <w:rPr>
          <w:rFonts w:ascii="Arial" w:hAnsi="Arial" w:cs="Arial"/>
          <w:b/>
        </w:rPr>
        <w:t>Adjustments to Rate Base</w:t>
      </w:r>
    </w:p>
    <w:tbl>
      <w:tblPr>
        <w:tblStyle w:val="TableGrid"/>
        <w:tblW w:w="0" w:type="auto"/>
        <w:jc w:val="center"/>
        <w:tblLook w:val="04A0" w:firstRow="1" w:lastRow="0" w:firstColumn="1" w:lastColumn="0" w:noHBand="0" w:noVBand="1"/>
      </w:tblPr>
      <w:tblGrid>
        <w:gridCol w:w="3689"/>
        <w:gridCol w:w="1156"/>
        <w:gridCol w:w="996"/>
        <w:gridCol w:w="1576"/>
      </w:tblGrid>
      <w:tr w:rsidR="00AF0535" w:rsidRPr="00A438A0" w:rsidTr="00F45D1F">
        <w:trPr>
          <w:jc w:val="center"/>
        </w:trPr>
        <w:tc>
          <w:tcPr>
            <w:tcW w:w="0" w:type="auto"/>
            <w:vAlign w:val="center"/>
          </w:tcPr>
          <w:p w:rsidR="00AF0535" w:rsidRPr="00A438A0" w:rsidRDefault="00131423" w:rsidP="00F45D1F">
            <w:pPr>
              <w:pStyle w:val="BodyText"/>
              <w:jc w:val="center"/>
              <w:rPr>
                <w:b/>
              </w:rPr>
            </w:pPr>
            <w:r w:rsidRPr="00A438A0">
              <w:rPr>
                <w:b/>
              </w:rPr>
              <w:t>Audit Finding</w:t>
            </w:r>
          </w:p>
        </w:tc>
        <w:tc>
          <w:tcPr>
            <w:tcW w:w="0" w:type="auto"/>
            <w:vAlign w:val="center"/>
          </w:tcPr>
          <w:p w:rsidR="00AF0535" w:rsidRPr="00A438A0" w:rsidRDefault="00AF0535" w:rsidP="00F45D1F">
            <w:pPr>
              <w:pStyle w:val="BodyText"/>
              <w:jc w:val="center"/>
              <w:rPr>
                <w:b/>
              </w:rPr>
            </w:pPr>
            <w:r w:rsidRPr="00A438A0">
              <w:rPr>
                <w:b/>
              </w:rPr>
              <w:t>Plant</w:t>
            </w:r>
          </w:p>
        </w:tc>
        <w:tc>
          <w:tcPr>
            <w:tcW w:w="0" w:type="auto"/>
            <w:vAlign w:val="center"/>
          </w:tcPr>
          <w:p w:rsidR="00AF0535" w:rsidRPr="00A438A0" w:rsidRDefault="00AF0535" w:rsidP="00F45D1F">
            <w:pPr>
              <w:pStyle w:val="BodyText"/>
              <w:jc w:val="center"/>
              <w:rPr>
                <w:b/>
              </w:rPr>
            </w:pPr>
            <w:r w:rsidRPr="00A438A0">
              <w:rPr>
                <w:b/>
              </w:rPr>
              <w:t>Land</w:t>
            </w:r>
          </w:p>
        </w:tc>
        <w:tc>
          <w:tcPr>
            <w:tcW w:w="1576" w:type="dxa"/>
            <w:vAlign w:val="center"/>
          </w:tcPr>
          <w:p w:rsidR="00AF0535" w:rsidRPr="00A438A0" w:rsidRDefault="00AF0535" w:rsidP="00F45D1F">
            <w:pPr>
              <w:pStyle w:val="BodyText"/>
              <w:jc w:val="center"/>
              <w:rPr>
                <w:b/>
              </w:rPr>
            </w:pPr>
            <w:r w:rsidRPr="00A438A0">
              <w:rPr>
                <w:b/>
              </w:rPr>
              <w:t>Accumulated Depreciation</w:t>
            </w:r>
          </w:p>
        </w:tc>
      </w:tr>
      <w:tr w:rsidR="00AF0535" w:rsidRPr="00A438A0" w:rsidTr="00F45D1F">
        <w:trPr>
          <w:jc w:val="center"/>
        </w:trPr>
        <w:tc>
          <w:tcPr>
            <w:tcW w:w="0" w:type="auto"/>
          </w:tcPr>
          <w:p w:rsidR="00AF0535" w:rsidRPr="00A438A0" w:rsidRDefault="00AF0535" w:rsidP="00F45D1F">
            <w:pPr>
              <w:pStyle w:val="BodyText"/>
            </w:pPr>
            <w:r w:rsidRPr="00A438A0">
              <w:t>Audit Finding No. 1</w:t>
            </w:r>
            <w:r w:rsidR="00131423" w:rsidRPr="00A438A0">
              <w:t xml:space="preserve"> – Sandalhaven</w:t>
            </w:r>
          </w:p>
        </w:tc>
        <w:tc>
          <w:tcPr>
            <w:tcW w:w="0" w:type="auto"/>
          </w:tcPr>
          <w:p w:rsidR="00AF0535" w:rsidRPr="00A438A0" w:rsidRDefault="00AF0535" w:rsidP="00F45D1F">
            <w:pPr>
              <w:pStyle w:val="BodyText"/>
              <w:jc w:val="right"/>
            </w:pPr>
            <w:r w:rsidRPr="00A438A0">
              <w:t>($14,954)</w:t>
            </w:r>
          </w:p>
        </w:tc>
        <w:tc>
          <w:tcPr>
            <w:tcW w:w="0" w:type="auto"/>
          </w:tcPr>
          <w:p w:rsidR="00AF0535" w:rsidRPr="00A438A0" w:rsidRDefault="00AF0535" w:rsidP="00F45D1F">
            <w:pPr>
              <w:pStyle w:val="BodyText"/>
              <w:jc w:val="right"/>
            </w:pPr>
          </w:p>
        </w:tc>
        <w:tc>
          <w:tcPr>
            <w:tcW w:w="1576" w:type="dxa"/>
          </w:tcPr>
          <w:p w:rsidR="00AF0535" w:rsidRPr="00A438A0" w:rsidRDefault="00AF0535" w:rsidP="00F45D1F">
            <w:pPr>
              <w:pStyle w:val="BodyText"/>
              <w:jc w:val="right"/>
            </w:pPr>
            <w:r w:rsidRPr="00A438A0">
              <w:t>$3,707</w:t>
            </w:r>
          </w:p>
        </w:tc>
      </w:tr>
      <w:tr w:rsidR="00AF0535" w:rsidRPr="00A438A0" w:rsidTr="00F45D1F">
        <w:trPr>
          <w:jc w:val="center"/>
        </w:trPr>
        <w:tc>
          <w:tcPr>
            <w:tcW w:w="0" w:type="auto"/>
            <w:tcBorders>
              <w:bottom w:val="single" w:sz="4" w:space="0" w:color="auto"/>
            </w:tcBorders>
          </w:tcPr>
          <w:p w:rsidR="00AF0535" w:rsidRPr="00A438A0" w:rsidRDefault="00AF0535" w:rsidP="00F45D1F">
            <w:pPr>
              <w:pStyle w:val="BodyText"/>
            </w:pPr>
            <w:r w:rsidRPr="00A438A0">
              <w:t>Audit Finding No. 4</w:t>
            </w:r>
            <w:r w:rsidR="00131423" w:rsidRPr="00A438A0">
              <w:t xml:space="preserve"> – Sandalhaven</w:t>
            </w:r>
          </w:p>
        </w:tc>
        <w:tc>
          <w:tcPr>
            <w:tcW w:w="0" w:type="auto"/>
            <w:tcBorders>
              <w:bottom w:val="single" w:sz="4" w:space="0" w:color="auto"/>
            </w:tcBorders>
          </w:tcPr>
          <w:p w:rsidR="00AF0535" w:rsidRPr="00A438A0" w:rsidRDefault="00AF0535" w:rsidP="00F45D1F">
            <w:pPr>
              <w:pStyle w:val="BodyText"/>
              <w:jc w:val="right"/>
            </w:pPr>
          </w:p>
        </w:tc>
        <w:tc>
          <w:tcPr>
            <w:tcW w:w="0" w:type="auto"/>
            <w:tcBorders>
              <w:bottom w:val="single" w:sz="4" w:space="0" w:color="auto"/>
            </w:tcBorders>
          </w:tcPr>
          <w:p w:rsidR="00AF0535" w:rsidRPr="00A438A0" w:rsidRDefault="00AF0535" w:rsidP="00F45D1F">
            <w:pPr>
              <w:pStyle w:val="BodyText"/>
              <w:jc w:val="right"/>
            </w:pPr>
            <w:r w:rsidRPr="00A438A0">
              <w:t>$10,000</w:t>
            </w:r>
          </w:p>
        </w:tc>
        <w:tc>
          <w:tcPr>
            <w:tcW w:w="1576" w:type="dxa"/>
            <w:tcBorders>
              <w:bottom w:val="single" w:sz="4" w:space="0" w:color="auto"/>
            </w:tcBorders>
          </w:tcPr>
          <w:p w:rsidR="00AF0535" w:rsidRPr="00A438A0" w:rsidRDefault="00AF0535" w:rsidP="00F45D1F">
            <w:pPr>
              <w:pStyle w:val="BodyText"/>
              <w:jc w:val="right"/>
            </w:pPr>
          </w:p>
        </w:tc>
      </w:tr>
      <w:tr w:rsidR="00AF0535" w:rsidRPr="00A438A0" w:rsidTr="00F45D1F">
        <w:trPr>
          <w:jc w:val="center"/>
        </w:trPr>
        <w:tc>
          <w:tcPr>
            <w:tcW w:w="0" w:type="auto"/>
          </w:tcPr>
          <w:p w:rsidR="00AF0535" w:rsidRPr="00A438A0" w:rsidRDefault="00AF0535" w:rsidP="00F45D1F">
            <w:pPr>
              <w:pStyle w:val="BodyText"/>
            </w:pPr>
            <w:r w:rsidRPr="00A438A0">
              <w:t>Audit Finding No. 1</w:t>
            </w:r>
            <w:r w:rsidR="00540649" w:rsidRPr="00A438A0">
              <w:t xml:space="preserve"> – Affiliate (UI)</w:t>
            </w:r>
          </w:p>
        </w:tc>
        <w:tc>
          <w:tcPr>
            <w:tcW w:w="0" w:type="auto"/>
          </w:tcPr>
          <w:p w:rsidR="00AF0535" w:rsidRPr="00A438A0" w:rsidRDefault="00AF0535" w:rsidP="00F45D1F">
            <w:pPr>
              <w:pStyle w:val="BodyText"/>
              <w:jc w:val="right"/>
            </w:pPr>
            <w:r w:rsidRPr="00A438A0">
              <w:t>($7,289)</w:t>
            </w:r>
          </w:p>
        </w:tc>
        <w:tc>
          <w:tcPr>
            <w:tcW w:w="0" w:type="auto"/>
          </w:tcPr>
          <w:p w:rsidR="00AF0535" w:rsidRPr="00A438A0" w:rsidRDefault="00AF0535" w:rsidP="00F45D1F">
            <w:pPr>
              <w:pStyle w:val="BodyText"/>
              <w:jc w:val="right"/>
            </w:pPr>
          </w:p>
        </w:tc>
        <w:tc>
          <w:tcPr>
            <w:tcW w:w="1576" w:type="dxa"/>
          </w:tcPr>
          <w:p w:rsidR="00AF0535" w:rsidRPr="00A438A0" w:rsidRDefault="00AF0535" w:rsidP="00F45D1F">
            <w:pPr>
              <w:pStyle w:val="BodyText"/>
              <w:jc w:val="right"/>
            </w:pPr>
            <w:r w:rsidRPr="00A438A0">
              <w:t>$22,689</w:t>
            </w:r>
          </w:p>
        </w:tc>
      </w:tr>
      <w:tr w:rsidR="00AF0535" w:rsidRPr="00A438A0" w:rsidTr="00F45D1F">
        <w:trPr>
          <w:jc w:val="center"/>
        </w:trPr>
        <w:tc>
          <w:tcPr>
            <w:tcW w:w="0" w:type="auto"/>
          </w:tcPr>
          <w:p w:rsidR="00AF0535" w:rsidRPr="00A438A0" w:rsidRDefault="00AF0535" w:rsidP="00F45D1F">
            <w:pPr>
              <w:pStyle w:val="BodyText"/>
            </w:pPr>
            <w:r w:rsidRPr="00A438A0">
              <w:t>Audit Finding No. 2</w:t>
            </w:r>
            <w:r w:rsidR="00540649" w:rsidRPr="00A438A0">
              <w:t xml:space="preserve"> – Affiliate (UI)</w:t>
            </w:r>
          </w:p>
        </w:tc>
        <w:tc>
          <w:tcPr>
            <w:tcW w:w="0" w:type="auto"/>
          </w:tcPr>
          <w:p w:rsidR="00AF0535" w:rsidRPr="00A438A0" w:rsidRDefault="00AF0535" w:rsidP="00F45D1F">
            <w:pPr>
              <w:pStyle w:val="BodyText"/>
              <w:jc w:val="right"/>
            </w:pPr>
            <w:r w:rsidRPr="00A438A0">
              <w:t>($10,968)</w:t>
            </w:r>
          </w:p>
        </w:tc>
        <w:tc>
          <w:tcPr>
            <w:tcW w:w="0" w:type="auto"/>
          </w:tcPr>
          <w:p w:rsidR="00AF0535" w:rsidRPr="00A438A0" w:rsidRDefault="00AF0535" w:rsidP="00F45D1F">
            <w:pPr>
              <w:pStyle w:val="BodyText"/>
              <w:jc w:val="right"/>
            </w:pPr>
          </w:p>
        </w:tc>
        <w:tc>
          <w:tcPr>
            <w:tcW w:w="1576" w:type="dxa"/>
          </w:tcPr>
          <w:p w:rsidR="00AF0535" w:rsidRPr="00A438A0" w:rsidRDefault="00AF0535" w:rsidP="00F45D1F">
            <w:pPr>
              <w:pStyle w:val="BodyText"/>
              <w:jc w:val="right"/>
            </w:pPr>
            <w:r w:rsidRPr="00A438A0">
              <w:t>$3,578</w:t>
            </w:r>
          </w:p>
        </w:tc>
      </w:tr>
      <w:tr w:rsidR="00AF0535" w:rsidRPr="00A438A0" w:rsidTr="00F45D1F">
        <w:trPr>
          <w:jc w:val="center"/>
        </w:trPr>
        <w:tc>
          <w:tcPr>
            <w:tcW w:w="0" w:type="auto"/>
          </w:tcPr>
          <w:p w:rsidR="00AF0535" w:rsidRPr="00A438A0" w:rsidRDefault="00AF0535" w:rsidP="00F45D1F">
            <w:pPr>
              <w:pStyle w:val="BodyText"/>
              <w:rPr>
                <w:b/>
              </w:rPr>
            </w:pPr>
            <w:r w:rsidRPr="00A438A0">
              <w:rPr>
                <w:b/>
              </w:rPr>
              <w:t>Total</w:t>
            </w:r>
          </w:p>
        </w:tc>
        <w:tc>
          <w:tcPr>
            <w:tcW w:w="0" w:type="auto"/>
          </w:tcPr>
          <w:p w:rsidR="00AF0535" w:rsidRPr="00A438A0" w:rsidRDefault="00AF0535" w:rsidP="00F45D1F">
            <w:pPr>
              <w:pStyle w:val="BodyText"/>
              <w:jc w:val="right"/>
            </w:pPr>
            <w:r w:rsidRPr="00A438A0">
              <w:t>($33,211)</w:t>
            </w:r>
          </w:p>
        </w:tc>
        <w:tc>
          <w:tcPr>
            <w:tcW w:w="0" w:type="auto"/>
          </w:tcPr>
          <w:p w:rsidR="00AF0535" w:rsidRPr="00A438A0" w:rsidRDefault="00AF0535" w:rsidP="00F45D1F">
            <w:pPr>
              <w:pStyle w:val="BodyText"/>
              <w:jc w:val="right"/>
            </w:pPr>
            <w:r w:rsidRPr="00A438A0">
              <w:t>$10,000</w:t>
            </w:r>
          </w:p>
        </w:tc>
        <w:tc>
          <w:tcPr>
            <w:tcW w:w="1576" w:type="dxa"/>
          </w:tcPr>
          <w:p w:rsidR="00AF0535" w:rsidRPr="00A438A0" w:rsidRDefault="00AF0535" w:rsidP="00F45D1F">
            <w:pPr>
              <w:pStyle w:val="BodyText"/>
              <w:jc w:val="right"/>
            </w:pPr>
            <w:r w:rsidRPr="00A438A0">
              <w:t>$29,974</w:t>
            </w:r>
          </w:p>
        </w:tc>
      </w:tr>
    </w:tbl>
    <w:p w:rsidR="00AF0535" w:rsidRPr="00A438A0" w:rsidRDefault="00727494" w:rsidP="00AF0535">
      <w:pPr>
        <w:pStyle w:val="BodyText"/>
      </w:pPr>
      <w:r w:rsidRPr="00A438A0">
        <w:tab/>
        <w:t xml:space="preserve">    </w:t>
      </w:r>
      <w:r w:rsidR="00AF0535" w:rsidRPr="00A438A0">
        <w:t>Source: Staff audit and utility responses to staff data request</w:t>
      </w:r>
    </w:p>
    <w:p w:rsidR="00AF0535" w:rsidRPr="00A438A0" w:rsidRDefault="00AF0535" w:rsidP="00AF0535">
      <w:pPr>
        <w:pStyle w:val="BodyText"/>
        <w:spacing w:after="0"/>
        <w:jc w:val="center"/>
        <w:rPr>
          <w:rFonts w:ascii="Arial" w:hAnsi="Arial" w:cs="Arial"/>
          <w:b/>
        </w:rPr>
      </w:pPr>
      <w:r w:rsidRPr="00A438A0">
        <w:rPr>
          <w:rFonts w:ascii="Arial" w:hAnsi="Arial" w:cs="Arial"/>
          <w:b/>
        </w:rPr>
        <w:t>Table 2-3</w:t>
      </w:r>
    </w:p>
    <w:p w:rsidR="00AF0535" w:rsidRPr="00A438A0" w:rsidRDefault="00AF0535" w:rsidP="00AF0535">
      <w:pPr>
        <w:pStyle w:val="BodyText"/>
        <w:spacing w:after="0"/>
        <w:jc w:val="center"/>
        <w:rPr>
          <w:rFonts w:ascii="Arial" w:hAnsi="Arial" w:cs="Arial"/>
          <w:b/>
        </w:rPr>
      </w:pPr>
      <w:r w:rsidRPr="00A438A0">
        <w:rPr>
          <w:rFonts w:ascii="Arial" w:hAnsi="Arial" w:cs="Arial"/>
          <w:b/>
        </w:rPr>
        <w:t>Adjustments to Net Operating Income</w:t>
      </w:r>
    </w:p>
    <w:tbl>
      <w:tblPr>
        <w:tblStyle w:val="TableGrid"/>
        <w:tblW w:w="0" w:type="auto"/>
        <w:jc w:val="center"/>
        <w:tblLook w:val="04A0" w:firstRow="1" w:lastRow="0" w:firstColumn="1" w:lastColumn="0" w:noHBand="0" w:noVBand="1"/>
      </w:tblPr>
      <w:tblGrid>
        <w:gridCol w:w="3689"/>
        <w:gridCol w:w="1548"/>
        <w:gridCol w:w="1070"/>
        <w:gridCol w:w="1156"/>
        <w:gridCol w:w="856"/>
      </w:tblGrid>
      <w:tr w:rsidR="00AF0535" w:rsidRPr="00A438A0" w:rsidTr="00F45D1F">
        <w:trPr>
          <w:jc w:val="center"/>
        </w:trPr>
        <w:tc>
          <w:tcPr>
            <w:tcW w:w="0" w:type="auto"/>
            <w:vAlign w:val="center"/>
          </w:tcPr>
          <w:p w:rsidR="00AF0535" w:rsidRPr="00A438A0" w:rsidRDefault="00540649" w:rsidP="00F45D1F">
            <w:pPr>
              <w:pStyle w:val="BodyText"/>
              <w:jc w:val="center"/>
              <w:rPr>
                <w:b/>
              </w:rPr>
            </w:pPr>
            <w:r w:rsidRPr="00A438A0">
              <w:rPr>
                <w:b/>
              </w:rPr>
              <w:t>Audit Finding</w:t>
            </w:r>
          </w:p>
        </w:tc>
        <w:tc>
          <w:tcPr>
            <w:tcW w:w="1548" w:type="dxa"/>
            <w:vAlign w:val="center"/>
          </w:tcPr>
          <w:p w:rsidR="00AF0535" w:rsidRPr="00A438A0" w:rsidRDefault="00AF0535" w:rsidP="00F45D1F">
            <w:pPr>
              <w:pStyle w:val="BodyText"/>
              <w:jc w:val="center"/>
              <w:rPr>
                <w:b/>
              </w:rPr>
            </w:pPr>
            <w:r w:rsidRPr="00A438A0">
              <w:rPr>
                <w:b/>
              </w:rPr>
              <w:t>Depreciation Expense</w:t>
            </w:r>
          </w:p>
        </w:tc>
        <w:tc>
          <w:tcPr>
            <w:tcW w:w="1070" w:type="dxa"/>
            <w:vAlign w:val="center"/>
          </w:tcPr>
          <w:p w:rsidR="00AF0535" w:rsidRPr="00A438A0" w:rsidRDefault="00AF0535" w:rsidP="00F45D1F">
            <w:pPr>
              <w:pStyle w:val="BodyText"/>
              <w:jc w:val="center"/>
              <w:rPr>
                <w:b/>
              </w:rPr>
            </w:pPr>
            <w:r w:rsidRPr="00A438A0">
              <w:rPr>
                <w:b/>
              </w:rPr>
              <w:t>O&amp;M Expense</w:t>
            </w:r>
          </w:p>
        </w:tc>
        <w:tc>
          <w:tcPr>
            <w:tcW w:w="0" w:type="auto"/>
            <w:vAlign w:val="center"/>
          </w:tcPr>
          <w:p w:rsidR="00AF0535" w:rsidRPr="00A438A0" w:rsidRDefault="00AF0535" w:rsidP="00F45D1F">
            <w:pPr>
              <w:pStyle w:val="BodyText"/>
              <w:jc w:val="center"/>
              <w:rPr>
                <w:b/>
              </w:rPr>
            </w:pPr>
            <w:r w:rsidRPr="00A438A0">
              <w:rPr>
                <w:b/>
              </w:rPr>
              <w:t>Revenue</w:t>
            </w:r>
          </w:p>
        </w:tc>
        <w:tc>
          <w:tcPr>
            <w:tcW w:w="0" w:type="auto"/>
            <w:vAlign w:val="center"/>
          </w:tcPr>
          <w:p w:rsidR="00AF0535" w:rsidRPr="00A438A0" w:rsidRDefault="00AF0535" w:rsidP="00F45D1F">
            <w:pPr>
              <w:pStyle w:val="BodyText"/>
              <w:jc w:val="center"/>
              <w:rPr>
                <w:b/>
              </w:rPr>
            </w:pPr>
            <w:r w:rsidRPr="00A438A0">
              <w:rPr>
                <w:b/>
              </w:rPr>
              <w:t>TOTI</w:t>
            </w:r>
          </w:p>
        </w:tc>
      </w:tr>
      <w:tr w:rsidR="00AF0535" w:rsidRPr="00A438A0" w:rsidTr="00F45D1F">
        <w:trPr>
          <w:jc w:val="center"/>
        </w:trPr>
        <w:tc>
          <w:tcPr>
            <w:tcW w:w="0" w:type="auto"/>
          </w:tcPr>
          <w:p w:rsidR="00540649" w:rsidRPr="00A438A0" w:rsidRDefault="00AF0535" w:rsidP="00540649">
            <w:pPr>
              <w:pStyle w:val="BodyText"/>
            </w:pPr>
            <w:r w:rsidRPr="00A438A0">
              <w:t>Audit Finding No. 1</w:t>
            </w:r>
            <w:r w:rsidR="00540649" w:rsidRPr="00A438A0">
              <w:t xml:space="preserve"> – Sandalhaven</w:t>
            </w:r>
          </w:p>
        </w:tc>
        <w:tc>
          <w:tcPr>
            <w:tcW w:w="1548" w:type="dxa"/>
          </w:tcPr>
          <w:p w:rsidR="00AF0535" w:rsidRPr="00A438A0" w:rsidRDefault="00AF0535" w:rsidP="00F45D1F">
            <w:pPr>
              <w:pStyle w:val="BodyText"/>
              <w:jc w:val="right"/>
            </w:pPr>
            <w:r w:rsidRPr="00A438A0">
              <w:t>($778)</w:t>
            </w:r>
          </w:p>
        </w:tc>
        <w:tc>
          <w:tcPr>
            <w:tcW w:w="1070" w:type="dxa"/>
          </w:tcPr>
          <w:p w:rsidR="00AF0535" w:rsidRPr="00A438A0" w:rsidRDefault="00AF0535" w:rsidP="00F45D1F">
            <w:pPr>
              <w:pStyle w:val="BodyText"/>
              <w:jc w:val="right"/>
            </w:pPr>
          </w:p>
        </w:tc>
        <w:tc>
          <w:tcPr>
            <w:tcW w:w="0" w:type="auto"/>
          </w:tcPr>
          <w:p w:rsidR="00AF0535" w:rsidRPr="00A438A0" w:rsidRDefault="00AF0535" w:rsidP="00F45D1F">
            <w:pPr>
              <w:pStyle w:val="BodyText"/>
              <w:jc w:val="right"/>
            </w:pPr>
          </w:p>
        </w:tc>
        <w:tc>
          <w:tcPr>
            <w:tcW w:w="0" w:type="auto"/>
          </w:tcPr>
          <w:p w:rsidR="00AF0535" w:rsidRPr="00A438A0" w:rsidRDefault="00AF0535" w:rsidP="00F45D1F">
            <w:pPr>
              <w:pStyle w:val="BodyText"/>
              <w:jc w:val="right"/>
            </w:pPr>
          </w:p>
        </w:tc>
      </w:tr>
      <w:tr w:rsidR="00AF0535" w:rsidRPr="00A438A0" w:rsidTr="00F45D1F">
        <w:trPr>
          <w:jc w:val="center"/>
        </w:trPr>
        <w:tc>
          <w:tcPr>
            <w:tcW w:w="0" w:type="auto"/>
          </w:tcPr>
          <w:p w:rsidR="00AF0535" w:rsidRPr="00A438A0" w:rsidRDefault="00AF0535" w:rsidP="00F45D1F">
            <w:pPr>
              <w:pStyle w:val="BodyText"/>
            </w:pPr>
            <w:r w:rsidRPr="00A438A0">
              <w:t>Audit Finding No. 6</w:t>
            </w:r>
            <w:r w:rsidR="00540649" w:rsidRPr="00A438A0">
              <w:t xml:space="preserve"> – Sandalhaven</w:t>
            </w:r>
          </w:p>
        </w:tc>
        <w:tc>
          <w:tcPr>
            <w:tcW w:w="1548" w:type="dxa"/>
          </w:tcPr>
          <w:p w:rsidR="00AF0535" w:rsidRPr="00A438A0" w:rsidRDefault="00AF0535" w:rsidP="00F45D1F">
            <w:pPr>
              <w:pStyle w:val="BodyText"/>
              <w:jc w:val="right"/>
            </w:pPr>
          </w:p>
        </w:tc>
        <w:tc>
          <w:tcPr>
            <w:tcW w:w="1070" w:type="dxa"/>
          </w:tcPr>
          <w:p w:rsidR="00AF0535" w:rsidRPr="00A438A0" w:rsidRDefault="00AF0535" w:rsidP="00F45D1F">
            <w:pPr>
              <w:pStyle w:val="BodyText"/>
              <w:jc w:val="right"/>
            </w:pPr>
          </w:p>
        </w:tc>
        <w:tc>
          <w:tcPr>
            <w:tcW w:w="0" w:type="auto"/>
          </w:tcPr>
          <w:p w:rsidR="00AF0535" w:rsidRPr="00A438A0" w:rsidRDefault="00AF0535" w:rsidP="00F45D1F">
            <w:pPr>
              <w:pStyle w:val="BodyText"/>
              <w:jc w:val="right"/>
            </w:pPr>
            <w:r w:rsidRPr="00A438A0">
              <w:t>($17,939)</w:t>
            </w:r>
          </w:p>
        </w:tc>
        <w:tc>
          <w:tcPr>
            <w:tcW w:w="0" w:type="auto"/>
          </w:tcPr>
          <w:p w:rsidR="00AF0535" w:rsidRPr="00A438A0" w:rsidRDefault="00AF0535" w:rsidP="00F45D1F">
            <w:pPr>
              <w:pStyle w:val="BodyText"/>
              <w:jc w:val="right"/>
            </w:pPr>
            <w:r w:rsidRPr="00A438A0">
              <w:t>($807)</w:t>
            </w:r>
          </w:p>
        </w:tc>
      </w:tr>
      <w:tr w:rsidR="00AF0535" w:rsidRPr="00A438A0" w:rsidTr="00F45D1F">
        <w:trPr>
          <w:jc w:val="center"/>
        </w:trPr>
        <w:tc>
          <w:tcPr>
            <w:tcW w:w="0" w:type="auto"/>
            <w:tcBorders>
              <w:bottom w:val="single" w:sz="4" w:space="0" w:color="auto"/>
            </w:tcBorders>
          </w:tcPr>
          <w:p w:rsidR="00540649" w:rsidRPr="00A438A0" w:rsidRDefault="00AF0535" w:rsidP="00540649">
            <w:pPr>
              <w:pStyle w:val="BodyText"/>
            </w:pPr>
            <w:r w:rsidRPr="00A438A0">
              <w:t>Audit Finding No. 8</w:t>
            </w:r>
            <w:r w:rsidR="00540649" w:rsidRPr="00A438A0">
              <w:t xml:space="preserve"> – Sandalhaven</w:t>
            </w:r>
          </w:p>
        </w:tc>
        <w:tc>
          <w:tcPr>
            <w:tcW w:w="1548" w:type="dxa"/>
            <w:tcBorders>
              <w:bottom w:val="single" w:sz="4" w:space="0" w:color="auto"/>
            </w:tcBorders>
          </w:tcPr>
          <w:p w:rsidR="00AF0535" w:rsidRPr="00A438A0" w:rsidRDefault="00AF0535" w:rsidP="00F45D1F">
            <w:pPr>
              <w:pStyle w:val="BodyText"/>
              <w:jc w:val="right"/>
            </w:pPr>
          </w:p>
        </w:tc>
        <w:tc>
          <w:tcPr>
            <w:tcW w:w="1070" w:type="dxa"/>
            <w:tcBorders>
              <w:bottom w:val="single" w:sz="4" w:space="0" w:color="auto"/>
            </w:tcBorders>
          </w:tcPr>
          <w:p w:rsidR="00AF0535" w:rsidRPr="00A438A0" w:rsidRDefault="00AF0535" w:rsidP="00F45D1F">
            <w:pPr>
              <w:pStyle w:val="BodyText"/>
              <w:jc w:val="right"/>
            </w:pPr>
            <w:r w:rsidRPr="00A438A0">
              <w:t>$21,499</w:t>
            </w:r>
          </w:p>
        </w:tc>
        <w:tc>
          <w:tcPr>
            <w:tcW w:w="0" w:type="auto"/>
            <w:tcBorders>
              <w:bottom w:val="single" w:sz="4" w:space="0" w:color="auto"/>
            </w:tcBorders>
          </w:tcPr>
          <w:p w:rsidR="00AF0535" w:rsidRPr="00A438A0" w:rsidRDefault="00AF0535" w:rsidP="00F45D1F">
            <w:pPr>
              <w:pStyle w:val="BodyText"/>
              <w:jc w:val="right"/>
            </w:pPr>
          </w:p>
        </w:tc>
        <w:tc>
          <w:tcPr>
            <w:tcW w:w="0" w:type="auto"/>
            <w:tcBorders>
              <w:bottom w:val="single" w:sz="4" w:space="0" w:color="auto"/>
            </w:tcBorders>
          </w:tcPr>
          <w:p w:rsidR="00AF0535" w:rsidRPr="00A438A0" w:rsidRDefault="00AF0535" w:rsidP="00F45D1F">
            <w:pPr>
              <w:pStyle w:val="BodyText"/>
              <w:jc w:val="right"/>
            </w:pPr>
          </w:p>
        </w:tc>
      </w:tr>
      <w:tr w:rsidR="00AF0535" w:rsidRPr="00A438A0" w:rsidTr="00F45D1F">
        <w:trPr>
          <w:jc w:val="center"/>
        </w:trPr>
        <w:tc>
          <w:tcPr>
            <w:tcW w:w="0" w:type="auto"/>
          </w:tcPr>
          <w:p w:rsidR="00AF0535" w:rsidRPr="00A438A0" w:rsidRDefault="00AF0535" w:rsidP="00F45D1F">
            <w:pPr>
              <w:pStyle w:val="BodyText"/>
            </w:pPr>
            <w:r w:rsidRPr="00A438A0">
              <w:t>Audit Finding No. 1</w:t>
            </w:r>
            <w:r w:rsidR="00540649" w:rsidRPr="00A438A0">
              <w:t xml:space="preserve"> – Affiliate (UI)</w:t>
            </w:r>
          </w:p>
        </w:tc>
        <w:tc>
          <w:tcPr>
            <w:tcW w:w="1548" w:type="dxa"/>
          </w:tcPr>
          <w:p w:rsidR="00AF0535" w:rsidRPr="00A438A0" w:rsidRDefault="00AF0535" w:rsidP="00F45D1F">
            <w:pPr>
              <w:pStyle w:val="BodyText"/>
              <w:jc w:val="right"/>
            </w:pPr>
            <w:r w:rsidRPr="00A438A0">
              <w:t>$19,381</w:t>
            </w:r>
          </w:p>
        </w:tc>
        <w:tc>
          <w:tcPr>
            <w:tcW w:w="1070" w:type="dxa"/>
          </w:tcPr>
          <w:p w:rsidR="00AF0535" w:rsidRPr="00A438A0" w:rsidRDefault="00AF0535" w:rsidP="00F45D1F">
            <w:pPr>
              <w:pStyle w:val="BodyText"/>
              <w:jc w:val="right"/>
            </w:pPr>
          </w:p>
        </w:tc>
        <w:tc>
          <w:tcPr>
            <w:tcW w:w="0" w:type="auto"/>
          </w:tcPr>
          <w:p w:rsidR="00AF0535" w:rsidRPr="00A438A0" w:rsidRDefault="00AF0535" w:rsidP="00F45D1F">
            <w:pPr>
              <w:pStyle w:val="BodyText"/>
              <w:jc w:val="right"/>
            </w:pPr>
          </w:p>
        </w:tc>
        <w:tc>
          <w:tcPr>
            <w:tcW w:w="0" w:type="auto"/>
          </w:tcPr>
          <w:p w:rsidR="00AF0535" w:rsidRPr="00A438A0" w:rsidRDefault="00AF0535" w:rsidP="00F45D1F">
            <w:pPr>
              <w:pStyle w:val="BodyText"/>
              <w:jc w:val="right"/>
            </w:pPr>
          </w:p>
        </w:tc>
      </w:tr>
      <w:tr w:rsidR="00AF0535" w:rsidRPr="00A438A0" w:rsidTr="00F45D1F">
        <w:trPr>
          <w:jc w:val="center"/>
        </w:trPr>
        <w:tc>
          <w:tcPr>
            <w:tcW w:w="0" w:type="auto"/>
          </w:tcPr>
          <w:p w:rsidR="00AF0535" w:rsidRPr="00A438A0" w:rsidRDefault="00AF0535" w:rsidP="00F45D1F">
            <w:pPr>
              <w:pStyle w:val="BodyText"/>
              <w:rPr>
                <w:b/>
              </w:rPr>
            </w:pPr>
            <w:r w:rsidRPr="00A438A0">
              <w:rPr>
                <w:b/>
              </w:rPr>
              <w:t>Total</w:t>
            </w:r>
          </w:p>
        </w:tc>
        <w:tc>
          <w:tcPr>
            <w:tcW w:w="1548" w:type="dxa"/>
          </w:tcPr>
          <w:p w:rsidR="00AF0535" w:rsidRPr="00A438A0" w:rsidRDefault="00AF0535" w:rsidP="00F45D1F">
            <w:pPr>
              <w:pStyle w:val="BodyText"/>
              <w:jc w:val="right"/>
            </w:pPr>
            <w:r w:rsidRPr="00A438A0">
              <w:t>$18,603</w:t>
            </w:r>
          </w:p>
        </w:tc>
        <w:tc>
          <w:tcPr>
            <w:tcW w:w="1070" w:type="dxa"/>
          </w:tcPr>
          <w:p w:rsidR="00AF0535" w:rsidRPr="00A438A0" w:rsidRDefault="00AF0535" w:rsidP="00F45D1F">
            <w:pPr>
              <w:pStyle w:val="BodyText"/>
              <w:jc w:val="right"/>
            </w:pPr>
            <w:r w:rsidRPr="00A438A0">
              <w:t>$21,499</w:t>
            </w:r>
          </w:p>
        </w:tc>
        <w:tc>
          <w:tcPr>
            <w:tcW w:w="0" w:type="auto"/>
          </w:tcPr>
          <w:p w:rsidR="00AF0535" w:rsidRPr="00A438A0" w:rsidRDefault="00AF0535" w:rsidP="00F45D1F">
            <w:pPr>
              <w:pStyle w:val="BodyText"/>
              <w:jc w:val="right"/>
            </w:pPr>
            <w:r w:rsidRPr="00A438A0">
              <w:t>($17,939)</w:t>
            </w:r>
          </w:p>
        </w:tc>
        <w:tc>
          <w:tcPr>
            <w:tcW w:w="0" w:type="auto"/>
          </w:tcPr>
          <w:p w:rsidR="00AF0535" w:rsidRPr="00A438A0" w:rsidRDefault="00AF0535" w:rsidP="00F45D1F">
            <w:pPr>
              <w:pStyle w:val="BodyText"/>
              <w:jc w:val="right"/>
            </w:pPr>
            <w:r w:rsidRPr="00A438A0">
              <w:t>($807)</w:t>
            </w:r>
          </w:p>
        </w:tc>
      </w:tr>
    </w:tbl>
    <w:p w:rsidR="00FA4CE3" w:rsidRPr="00A438A0" w:rsidRDefault="00727494" w:rsidP="00727494">
      <w:pPr>
        <w:pStyle w:val="IssueSubsectionHeading"/>
        <w:rPr>
          <w:rFonts w:ascii="Times New Roman" w:hAnsi="Times New Roman" w:cs="Times New Roman"/>
          <w:b w:val="0"/>
          <w:i w:val="0"/>
        </w:rPr>
      </w:pPr>
      <w:r w:rsidRPr="00A438A0">
        <w:rPr>
          <w:rFonts w:ascii="Times New Roman" w:hAnsi="Times New Roman" w:cs="Times New Roman"/>
          <w:b w:val="0"/>
          <w:i w:val="0"/>
        </w:rPr>
        <w:t xml:space="preserve">        </w:t>
      </w:r>
      <w:r w:rsidR="00AF0535" w:rsidRPr="00A438A0">
        <w:rPr>
          <w:rFonts w:ascii="Times New Roman" w:hAnsi="Times New Roman" w:cs="Times New Roman"/>
          <w:b w:val="0"/>
          <w:i w:val="0"/>
        </w:rPr>
        <w:t xml:space="preserve">Source: Staff audit and utility responses to staff data request </w:t>
      </w:r>
    </w:p>
    <w:p w:rsidR="00FA4CE3" w:rsidRPr="00A438A0" w:rsidRDefault="00FA4CE3">
      <w:pPr>
        <w:pStyle w:val="IssueHeading"/>
        <w:rPr>
          <w:vanish/>
          <w:specVanish/>
        </w:rPr>
      </w:pPr>
      <w:r w:rsidRPr="00A438A0">
        <w:rPr>
          <w:b w:val="0"/>
          <w:i w:val="0"/>
        </w:rPr>
        <w:br w:type="page"/>
      </w:r>
      <w:r w:rsidRPr="00A438A0">
        <w:lastRenderedPageBreak/>
        <w:t xml:space="preserve">Issue </w:t>
      </w:r>
      <w:r w:rsidR="006D42F5">
        <w:fldChar w:fldCharType="begin"/>
      </w:r>
      <w:r w:rsidR="006D42F5">
        <w:instrText xml:space="preserve"> SEQ Issue \* MERGEFORMAT </w:instrText>
      </w:r>
      <w:r w:rsidR="006D42F5">
        <w:fldChar w:fldCharType="separate"/>
      </w:r>
      <w:r w:rsidR="00A05B79">
        <w:rPr>
          <w:noProof/>
        </w:rPr>
        <w:t>3</w:t>
      </w:r>
      <w:r w:rsidR="006D42F5">
        <w:rPr>
          <w:noProof/>
        </w:rPr>
        <w:fldChar w:fldCharType="end"/>
      </w:r>
      <w:r w:rsidRPr="00A438A0">
        <w:t>:</w:t>
      </w:r>
      <w:r w:rsidRPr="00A438A0">
        <w:fldChar w:fldCharType="begin"/>
      </w:r>
      <w:r w:rsidRPr="00A438A0">
        <w:instrText xml:space="preserve"> TC "</w:instrText>
      </w:r>
      <w:r w:rsidRPr="00A438A0">
        <w:fldChar w:fldCharType="begin"/>
      </w:r>
      <w:r w:rsidRPr="00A438A0">
        <w:instrText xml:space="preserve"> SEQ issue \c </w:instrText>
      </w:r>
      <w:r w:rsidRPr="00A438A0">
        <w:fldChar w:fldCharType="separate"/>
      </w:r>
      <w:bookmarkStart w:id="18" w:name="_Toc435607937"/>
      <w:r w:rsidR="00A05B79">
        <w:rPr>
          <w:noProof/>
        </w:rPr>
        <w:instrText>3</w:instrText>
      </w:r>
      <w:r w:rsidRPr="00A438A0">
        <w:fldChar w:fldCharType="end"/>
      </w:r>
      <w:r w:rsidRPr="00A438A0">
        <w:tab/>
      </w:r>
      <w:r w:rsidR="00400BA4" w:rsidRPr="00A438A0">
        <w:instrText>Test Year Rate Base Adjustments (D. Buys)</w:instrText>
      </w:r>
      <w:bookmarkEnd w:id="18"/>
      <w:r w:rsidRPr="00A438A0">
        <w:instrText xml:space="preserve">" \l 1 </w:instrText>
      </w:r>
      <w:r w:rsidRPr="00A438A0">
        <w:fldChar w:fldCharType="end"/>
      </w:r>
      <w:r w:rsidRPr="00A438A0">
        <w:t> </w:t>
      </w:r>
    </w:p>
    <w:p w:rsidR="00FA4CE3" w:rsidRPr="00A438A0" w:rsidRDefault="00FA4CE3">
      <w:pPr>
        <w:pStyle w:val="BodyText"/>
      </w:pPr>
      <w:r w:rsidRPr="00A438A0">
        <w:t> </w:t>
      </w:r>
      <w:r w:rsidR="004A428F" w:rsidRPr="00A438A0">
        <w:t>Should any further adjustments be made to test year rate base?</w:t>
      </w:r>
    </w:p>
    <w:p w:rsidR="00FA4CE3" w:rsidRPr="00A438A0" w:rsidRDefault="00FA4CE3">
      <w:pPr>
        <w:pStyle w:val="IssueSubsectionHeading"/>
        <w:rPr>
          <w:vanish/>
          <w:specVanish/>
        </w:rPr>
      </w:pPr>
      <w:r w:rsidRPr="00A438A0">
        <w:t>Recommendation: </w:t>
      </w:r>
    </w:p>
    <w:p w:rsidR="00FA4CE3" w:rsidRPr="00A438A0" w:rsidRDefault="00FA4CE3">
      <w:pPr>
        <w:pStyle w:val="BodyText"/>
      </w:pPr>
      <w:r w:rsidRPr="00A438A0">
        <w:t> </w:t>
      </w:r>
      <w:r w:rsidR="00AF0535" w:rsidRPr="00A438A0">
        <w:t xml:space="preserve">Yes. Plant should be decreased by $23,335, accumulated depreciation should be decreased by $297,173, CIAC should be increased by $258,674, and accumulated amortization of CIAC should be increased by $19,536. Corresponding adjustments should also be made to increase net depreciation expense by $6,160. </w:t>
      </w:r>
      <w:r w:rsidR="002D642C" w:rsidRPr="00A438A0">
        <w:t xml:space="preserve">Staff recommends that Sandalhaven reflect any change in property taxes in its next pass through filing with the Commission. </w:t>
      </w:r>
      <w:r w:rsidR="00AF0535" w:rsidRPr="00A438A0">
        <w:t>The amortization expense related to the cost of removal of the WWTP should be decreased by $642 to $9,770 and amortized over a period of 10 years.</w:t>
      </w:r>
      <w:r w:rsidRPr="00A438A0">
        <w:t xml:space="preserve"> </w:t>
      </w:r>
      <w:r w:rsidR="00FC616A">
        <w:t>After the expiration of the amortization period, t</w:t>
      </w:r>
      <w:r w:rsidR="006F190A" w:rsidRPr="00A438A0">
        <w:rPr>
          <w:rFonts w:cs="Arial"/>
          <w:bCs/>
          <w:iCs/>
          <w:szCs w:val="28"/>
        </w:rPr>
        <w:t>he wastewater rates should be reduced by $</w:t>
      </w:r>
      <w:r w:rsidR="00FC616A">
        <w:rPr>
          <w:rFonts w:cs="Arial"/>
          <w:bCs/>
          <w:iCs/>
          <w:szCs w:val="28"/>
        </w:rPr>
        <w:t>9,770</w:t>
      </w:r>
      <w:r w:rsidR="006F190A" w:rsidRPr="00A438A0">
        <w:rPr>
          <w:rFonts w:cs="Arial"/>
          <w:bCs/>
          <w:iCs/>
          <w:szCs w:val="28"/>
        </w:rPr>
        <w:t>, as shown on Schedule No. 4, to remove removal costs grossed-up for regulatory assessment fees (RAFs) and amortized over a 10-year period. The decrease in rates should become effective immediately following the expiration of the 10-year recovery period of removal costs associated with the decommissioning of the utility’s WWTP. Sandalhaven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expense.</w:t>
      </w:r>
      <w:r w:rsidR="006F190A" w:rsidRPr="00A438A0">
        <w:t xml:space="preserve"> </w:t>
      </w:r>
      <w:r w:rsidRPr="00A438A0">
        <w:t>(D. Buys)</w:t>
      </w:r>
    </w:p>
    <w:p w:rsidR="00AF0535" w:rsidRPr="00A438A0" w:rsidRDefault="00FA4CE3">
      <w:pPr>
        <w:pStyle w:val="IssueSubsectionHeading"/>
      </w:pPr>
      <w:r w:rsidRPr="00A438A0">
        <w:t>Staff Analysis:</w:t>
      </w:r>
    </w:p>
    <w:p w:rsidR="00FA4CE3" w:rsidRPr="00A438A0" w:rsidRDefault="00FA4CE3">
      <w:pPr>
        <w:pStyle w:val="IssueSubsectionHeading"/>
        <w:rPr>
          <w:vanish/>
          <w:specVanish/>
        </w:rPr>
      </w:pPr>
    </w:p>
    <w:p w:rsidR="00AF0535" w:rsidRPr="00A438A0" w:rsidRDefault="00AF0535" w:rsidP="00AF0535">
      <w:pPr>
        <w:pStyle w:val="BodyText"/>
        <w:spacing w:after="0"/>
        <w:jc w:val="left"/>
        <w:rPr>
          <w:rFonts w:ascii="Arial" w:hAnsi="Arial" w:cs="Arial"/>
          <w:b/>
        </w:rPr>
      </w:pPr>
      <w:r w:rsidRPr="00A438A0">
        <w:rPr>
          <w:rFonts w:ascii="Arial" w:hAnsi="Arial" w:cs="Arial"/>
          <w:b/>
        </w:rPr>
        <w:t>Retirement of Wastewater Treatment Plant</w:t>
      </w:r>
    </w:p>
    <w:p w:rsidR="00AF0535" w:rsidRPr="00A438A0" w:rsidRDefault="00AF0535" w:rsidP="005125E7">
      <w:pPr>
        <w:pStyle w:val="BodyText"/>
      </w:pPr>
      <w:r w:rsidRPr="00A438A0">
        <w:t>In its filings, Sandalhaven made adjustments to reflect the retirement of its</w:t>
      </w:r>
      <w:r w:rsidR="00F75C5B">
        <w:t xml:space="preserve"> </w:t>
      </w:r>
      <w:r w:rsidRPr="00A438A0">
        <w:t>WWTP. Plant was decreased by $1,061,091, accumulated depreciation was decreased by $787,253, CIAC was decreased by $1,310,499, and accumulated amortization of CIAC was decreased by $1,071,361. Staff had concerns regarding the utility’s retirement calculations and after several inquiries, the utility provi</w:t>
      </w:r>
      <w:r w:rsidR="005125E7" w:rsidRPr="00A438A0">
        <w:t>ded revised calculations in it</w:t>
      </w:r>
      <w:r w:rsidRPr="00A438A0">
        <w:t>s response to staff’s fifth data request filed on October 26, 2015. Sandalhaven’s revised adjustments included retirements to plant of $1,084,426, accumulated depreciation of $1,084,426, CIAC of $1,051,825, and accumulated amortization of CIAC of $1,051,825. Upon review of the staff audit and the utility’s responses to several data requests, staff believes the revised adjustments to retire the wastewater treatment plant are appropriate.</w:t>
      </w:r>
    </w:p>
    <w:p w:rsidR="00AF0535" w:rsidRPr="00A438A0" w:rsidRDefault="00AF0535" w:rsidP="00AF0535">
      <w:pPr>
        <w:pStyle w:val="BodyText"/>
      </w:pPr>
      <w:r w:rsidRPr="00A438A0">
        <w:t>The utility is proposing to retire CIAC of $1,051,825 due to the retirement of the wastewater treatment plant. Sandalhaven identified $628,734 of CIAC associated with Account 354.4 Structures &amp; Improvements, $62,927 associated with Account 380.4 Treatment &amp; Disposal, $185 associated with Lagoons, and $359,979 associated with plant capacity fees received from developments served prior to 2004. The total CIAC balance for the test year ended December 31, 2014, was $3,276,640. The utility is proposing to retire 32.1 percent of the total CIAC ($1,501,825 ÷ $3,276,640). The WWTP served approximately 855 ERCs. The total ERCs that could be served by the wastewater system (the WWTP plus the prepaid capacity at EWD) is approximately 2,175 ERCs. The ERC percentage served by the WWTP is 39.3 percent of the system capacity. Based on a comparison of the percentage of ERCs served by the WWTP (32 percent) to the percentage of CIAC associated with the WWTP (39 percent), staff believes the utility’s proposal to retire CIAC of $1,051,825 is appropriate and reasonable.</w:t>
      </w:r>
    </w:p>
    <w:p w:rsidR="00AF0535" w:rsidRPr="00A438A0" w:rsidRDefault="00AF0535" w:rsidP="00AF0535">
      <w:pPr>
        <w:pStyle w:val="BodyText"/>
      </w:pPr>
      <w:r w:rsidRPr="00A438A0">
        <w:lastRenderedPageBreak/>
        <w:t>The utility’s proposed plant balance retirement of $1,084,426 is based on the simple average balances of the plant accounts associated with the retirement of the WWTP. All additions and reclassifications to the treatment plant account balances since the prior rate case in Docket No. 060285-SU have been audited by staff and are fully supported by the utility. The WWTP was permanently taken offline on November 2, 2015, and the decommissioning process subsequently commenced. In its current filing, the utility did not record any salvage value of the plant components associated with the decommissioning of the WWTP. However, should the utility recover salvage value upon the completion of the decommissioning of the WWTP, staff recommends it be addressed in Sandalhaven’s next rate case once the value is known.</w:t>
      </w:r>
    </w:p>
    <w:p w:rsidR="00AF0535" w:rsidRPr="00A438A0" w:rsidRDefault="00AF0535" w:rsidP="00AF0535">
      <w:pPr>
        <w:pStyle w:val="BodyText"/>
      </w:pPr>
      <w:r w:rsidRPr="00A438A0">
        <w:t>Rule 25-30.140(9)(a), F.A.C., states:</w:t>
      </w:r>
    </w:p>
    <w:p w:rsidR="00AF0535" w:rsidRPr="00A438A0" w:rsidRDefault="00AF0535" w:rsidP="00AF0535">
      <w:pPr>
        <w:pStyle w:val="BodyText"/>
        <w:ind w:left="720" w:right="720"/>
      </w:pPr>
      <w:r w:rsidRPr="00A438A0">
        <w:t>(a) Beginning with the year ending December 31, 2003, all Class A and B utilities shall maintain separate sub-accounts for: (1) each type of Contributions-in-Aid-of-Construction (CIAC) charge collected including, but not limited to, plant capacity, meter installation, main extension or system capacity; (2) contributed plant; (3) contributed lines; and (4) other contributed plant not mentioned previously. Establishing balances for each new sub-account may require an allocation based upon historical balances. Each CIAC sub-account shall be amortized in the same manner that the related contributed plant is depreciated. Separate sub-accounts for accumulated amortization of CIAC shall be maintained to correspond to each sub-account for CIAC.</w:t>
      </w:r>
    </w:p>
    <w:p w:rsidR="00AF0535" w:rsidRPr="00A438A0" w:rsidRDefault="00AF0535" w:rsidP="00AF0535">
      <w:pPr>
        <w:pStyle w:val="BodyText"/>
      </w:pPr>
      <w:r w:rsidRPr="00A438A0">
        <w:t>In its filing, the utility reflected total CIAC amortization expense of $25,074, which included an amount of $1,869 classified as “tap fees.” In its revised WWTP retirement calculations, Sandalhaven included a CIAC balance $359,979 for tap fees, but did not provide revised calculations for CIAC amortization expense. The appropriate amortization rate for tap fees is 0.025. Staff believes the CIAC amortization expense of $1,869 is understated and should be $8,999 ($359,979 x 0.025). The total CIAC amortization expense retired should be $32,154. As a result, CIAC amortization expense should be increased by $7,080.</w:t>
      </w:r>
    </w:p>
    <w:p w:rsidR="00AF0535" w:rsidRPr="00A438A0" w:rsidRDefault="00AF0535" w:rsidP="00AF0535">
      <w:pPr>
        <w:pStyle w:val="BodyText"/>
      </w:pPr>
      <w:r w:rsidRPr="00A438A0">
        <w:t>In its MFRs, the utility reflected an adjustment to decrease depreciation expense by $43,176, or a net decrease to depreciation expense of $18,102 ($43,176 - $25,074). The depreciation expense associated with the utility’s revised plant retirement calculation is $44,096, or a decrease of $920 from the amount included in the utility’s MFRs. The increase to net depreciation expense is $6,160 ($7,080 - $920). Accordingly, staff recommends net depreciation expense should be increased by $6,160.</w:t>
      </w:r>
    </w:p>
    <w:p w:rsidR="00AF0535" w:rsidRPr="00A438A0" w:rsidRDefault="00AF0535" w:rsidP="00AF0535">
      <w:pPr>
        <w:pStyle w:val="BodyText"/>
      </w:pPr>
      <w:r w:rsidRPr="00A438A0">
        <w:t>Staff believes that property taxes should be reduced to reflect the retirement and decommissioning of the WWTP. Staff recommends that the utility be required to contact the Charlotte County Tax Appraiser about revising the appraised tangible property value. Staff recommends that Sandalhaven reflect any change in property taxes in its next pass through filing with the Commission.</w:t>
      </w:r>
    </w:p>
    <w:p w:rsidR="00AF0535" w:rsidRPr="00A438A0" w:rsidRDefault="00AF0535" w:rsidP="00AF0535">
      <w:pPr>
        <w:pStyle w:val="BodyText"/>
      </w:pPr>
      <w:r w:rsidRPr="00A438A0">
        <w:t xml:space="preserve">Based on the aforementioned, staff recommends that plant be decreased by $23,335, accumulated depreciation be decreased by $297,173, CIAC be increased by $258,674, and accumulated amortization of CIAC be increased by $19,536. Corresponding adjustments should </w:t>
      </w:r>
      <w:r w:rsidRPr="00A438A0">
        <w:lastRenderedPageBreak/>
        <w:t>also be made to decrease depreciation expense by $920 and increase CIAC</w:t>
      </w:r>
      <w:r w:rsidR="00323E4B">
        <w:t xml:space="preserve"> amortization expense by $7,080, or a net increase to depreciation expense of $6,610.</w:t>
      </w:r>
    </w:p>
    <w:p w:rsidR="00AF0535" w:rsidRPr="00A438A0" w:rsidRDefault="00AF0535" w:rsidP="00AF0535">
      <w:pPr>
        <w:pStyle w:val="BodyText"/>
        <w:spacing w:after="0"/>
        <w:jc w:val="left"/>
        <w:rPr>
          <w:rFonts w:ascii="Arial" w:hAnsi="Arial" w:cs="Arial"/>
          <w:b/>
        </w:rPr>
      </w:pPr>
      <w:r w:rsidRPr="00A438A0">
        <w:rPr>
          <w:rFonts w:ascii="Arial" w:hAnsi="Arial" w:cs="Arial"/>
          <w:b/>
        </w:rPr>
        <w:t>Net Loss on Forced Abandonment</w:t>
      </w:r>
    </w:p>
    <w:p w:rsidR="00AF0535" w:rsidRPr="00A438A0" w:rsidRDefault="00AF0535" w:rsidP="00AF0535">
      <w:pPr>
        <w:pStyle w:val="BodyText"/>
      </w:pPr>
      <w:r w:rsidRPr="00A438A0">
        <w:t>In its filing, Sandalhaven reflected an amortization expense of $10,412 amortized over 14.43 years to recover a net loss on abandonment of $150,237. In its filing, the utility estimated a cost of $156,000 to decommission the WWTP. In response to a staff data request, Sandalhaven provided an invoice for a cost of $97,696 to decommission the WWTP. Based on the retirement adjustments discussed above, the utility will incur a net loss on forced abandonment of $97,696 based solely on the cost of removal and decommissioning of the WWTP.</w:t>
      </w:r>
    </w:p>
    <w:p w:rsidR="00AF0535" w:rsidRPr="00A438A0" w:rsidRDefault="00AF0535" w:rsidP="00AF0535">
      <w:pPr>
        <w:pStyle w:val="BodyText"/>
        <w:spacing w:after="0"/>
        <w:jc w:val="center"/>
        <w:rPr>
          <w:rFonts w:ascii="Arial" w:hAnsi="Arial" w:cs="Arial"/>
          <w:b/>
        </w:rPr>
      </w:pPr>
      <w:r w:rsidRPr="00A438A0">
        <w:rPr>
          <w:rFonts w:ascii="Arial" w:hAnsi="Arial" w:cs="Arial"/>
          <w:b/>
        </w:rPr>
        <w:t>Table 3-1</w:t>
      </w:r>
    </w:p>
    <w:p w:rsidR="00AF0535" w:rsidRPr="00A438A0" w:rsidRDefault="00AF0535" w:rsidP="00AF0535">
      <w:pPr>
        <w:pStyle w:val="BodyText"/>
        <w:spacing w:after="0"/>
        <w:jc w:val="center"/>
        <w:rPr>
          <w:rFonts w:ascii="Arial" w:hAnsi="Arial" w:cs="Arial"/>
          <w:b/>
        </w:rPr>
      </w:pPr>
      <w:r w:rsidRPr="00A438A0">
        <w:rPr>
          <w:rFonts w:ascii="Arial" w:hAnsi="Arial" w:cs="Arial"/>
          <w:b/>
        </w:rPr>
        <w:t>Net Loss on Forced Abandonment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863"/>
        <w:gridCol w:w="2007"/>
      </w:tblGrid>
      <w:tr w:rsidR="00AF0535" w:rsidRPr="00A438A0" w:rsidTr="00F45D1F">
        <w:trPr>
          <w:jc w:val="center"/>
        </w:trPr>
        <w:tc>
          <w:tcPr>
            <w:tcW w:w="0" w:type="auto"/>
            <w:tcBorders>
              <w:top w:val="single" w:sz="4" w:space="0" w:color="auto"/>
            </w:tcBorders>
          </w:tcPr>
          <w:p w:rsidR="00AF0535" w:rsidRPr="00A438A0" w:rsidRDefault="00AF0535" w:rsidP="00F45D1F">
            <w:pPr>
              <w:pStyle w:val="BodyText"/>
            </w:pPr>
            <w:r w:rsidRPr="00A438A0">
              <w:t>Plant Balance</w:t>
            </w:r>
          </w:p>
        </w:tc>
        <w:tc>
          <w:tcPr>
            <w:tcW w:w="2007" w:type="dxa"/>
            <w:tcBorders>
              <w:top w:val="single" w:sz="4" w:space="0" w:color="auto"/>
            </w:tcBorders>
          </w:tcPr>
          <w:p w:rsidR="00AF0535" w:rsidRPr="00A438A0" w:rsidRDefault="00AF0535" w:rsidP="00F45D1F">
            <w:pPr>
              <w:pStyle w:val="BodyText"/>
              <w:tabs>
                <w:tab w:val="left" w:pos="979"/>
                <w:tab w:val="left" w:pos="1369"/>
              </w:tabs>
              <w:jc w:val="right"/>
            </w:pPr>
            <w:r w:rsidRPr="00A438A0">
              <w:t>$1,084,426</w:t>
            </w:r>
          </w:p>
        </w:tc>
      </w:tr>
      <w:tr w:rsidR="00AF0535" w:rsidRPr="00A438A0" w:rsidTr="00F45D1F">
        <w:trPr>
          <w:jc w:val="center"/>
        </w:trPr>
        <w:tc>
          <w:tcPr>
            <w:tcW w:w="0" w:type="auto"/>
          </w:tcPr>
          <w:p w:rsidR="00AF0535" w:rsidRPr="00A438A0" w:rsidRDefault="00AF0535" w:rsidP="00F45D1F">
            <w:pPr>
              <w:pStyle w:val="BodyText"/>
            </w:pPr>
            <w:r w:rsidRPr="00A438A0">
              <w:t>Less Depreciation</w:t>
            </w:r>
          </w:p>
        </w:tc>
        <w:tc>
          <w:tcPr>
            <w:tcW w:w="2007" w:type="dxa"/>
          </w:tcPr>
          <w:p w:rsidR="00AF0535" w:rsidRPr="00A438A0" w:rsidRDefault="00AF0535" w:rsidP="00F45D1F">
            <w:pPr>
              <w:pStyle w:val="BodyText"/>
              <w:jc w:val="right"/>
            </w:pPr>
            <w:r w:rsidRPr="00A438A0">
              <w:t>$1,084,426</w:t>
            </w:r>
          </w:p>
        </w:tc>
      </w:tr>
      <w:tr w:rsidR="00AF0535" w:rsidRPr="00A438A0" w:rsidTr="00F45D1F">
        <w:trPr>
          <w:jc w:val="center"/>
        </w:trPr>
        <w:tc>
          <w:tcPr>
            <w:tcW w:w="0" w:type="auto"/>
          </w:tcPr>
          <w:p w:rsidR="00AF0535" w:rsidRPr="00A438A0" w:rsidRDefault="00AF0535" w:rsidP="00F45D1F">
            <w:pPr>
              <w:pStyle w:val="BodyText"/>
            </w:pPr>
            <w:r w:rsidRPr="00A438A0">
              <w:t>Less CIAC</w:t>
            </w:r>
          </w:p>
        </w:tc>
        <w:tc>
          <w:tcPr>
            <w:tcW w:w="2007" w:type="dxa"/>
          </w:tcPr>
          <w:p w:rsidR="00AF0535" w:rsidRPr="00A438A0" w:rsidRDefault="00AF0535" w:rsidP="00F45D1F">
            <w:pPr>
              <w:pStyle w:val="BodyText"/>
              <w:jc w:val="right"/>
            </w:pPr>
            <w:r w:rsidRPr="00A438A0">
              <w:t>$1,051,825</w:t>
            </w:r>
          </w:p>
        </w:tc>
      </w:tr>
      <w:tr w:rsidR="00AF0535" w:rsidRPr="00A438A0" w:rsidTr="00F45D1F">
        <w:trPr>
          <w:jc w:val="center"/>
        </w:trPr>
        <w:tc>
          <w:tcPr>
            <w:tcW w:w="0" w:type="auto"/>
          </w:tcPr>
          <w:p w:rsidR="00AF0535" w:rsidRPr="00A438A0" w:rsidRDefault="00AF0535" w:rsidP="00F45D1F">
            <w:pPr>
              <w:pStyle w:val="BodyText"/>
              <w:rPr>
                <w:u w:val="single"/>
              </w:rPr>
            </w:pPr>
            <w:r w:rsidRPr="00A438A0">
              <w:rPr>
                <w:u w:val="single"/>
              </w:rPr>
              <w:t>Plus Amortization of CIAC</w:t>
            </w:r>
          </w:p>
        </w:tc>
        <w:tc>
          <w:tcPr>
            <w:tcW w:w="2007" w:type="dxa"/>
          </w:tcPr>
          <w:p w:rsidR="00AF0535" w:rsidRPr="00A438A0" w:rsidRDefault="00AF0535" w:rsidP="00F45D1F">
            <w:pPr>
              <w:pStyle w:val="BodyText"/>
              <w:jc w:val="right"/>
              <w:rPr>
                <w:u w:val="single"/>
              </w:rPr>
            </w:pPr>
            <w:r w:rsidRPr="00A438A0">
              <w:rPr>
                <w:u w:val="single"/>
              </w:rPr>
              <w:t>$1,051,825</w:t>
            </w:r>
          </w:p>
        </w:tc>
      </w:tr>
      <w:tr w:rsidR="00AF0535" w:rsidRPr="00A438A0" w:rsidTr="00F45D1F">
        <w:trPr>
          <w:jc w:val="center"/>
        </w:trPr>
        <w:tc>
          <w:tcPr>
            <w:tcW w:w="0" w:type="auto"/>
          </w:tcPr>
          <w:p w:rsidR="00AF0535" w:rsidRPr="00A438A0" w:rsidRDefault="00AF0535" w:rsidP="00F45D1F">
            <w:pPr>
              <w:pStyle w:val="BodyText"/>
            </w:pPr>
            <w:r w:rsidRPr="00A438A0">
              <w:t>Net Loss on Rate Base</w:t>
            </w:r>
          </w:p>
        </w:tc>
        <w:tc>
          <w:tcPr>
            <w:tcW w:w="2007" w:type="dxa"/>
          </w:tcPr>
          <w:p w:rsidR="00AF0535" w:rsidRPr="00A438A0" w:rsidRDefault="00AF0535" w:rsidP="00F45D1F">
            <w:pPr>
              <w:pStyle w:val="BodyText"/>
              <w:jc w:val="right"/>
            </w:pPr>
            <w:r w:rsidRPr="00A438A0">
              <w:t>$0</w:t>
            </w:r>
          </w:p>
        </w:tc>
      </w:tr>
      <w:tr w:rsidR="00AF0535" w:rsidRPr="00A438A0" w:rsidTr="00F45D1F">
        <w:trPr>
          <w:jc w:val="center"/>
        </w:trPr>
        <w:tc>
          <w:tcPr>
            <w:tcW w:w="0" w:type="auto"/>
          </w:tcPr>
          <w:p w:rsidR="00AF0535" w:rsidRPr="00A438A0" w:rsidRDefault="00AF0535" w:rsidP="00F45D1F">
            <w:pPr>
              <w:pStyle w:val="BodyText"/>
              <w:rPr>
                <w:u w:val="single"/>
              </w:rPr>
            </w:pPr>
            <w:r w:rsidRPr="00A438A0">
              <w:rPr>
                <w:u w:val="single"/>
              </w:rPr>
              <w:t>Plus Cost to Remove</w:t>
            </w:r>
          </w:p>
        </w:tc>
        <w:tc>
          <w:tcPr>
            <w:tcW w:w="2007" w:type="dxa"/>
          </w:tcPr>
          <w:p w:rsidR="00AF0535" w:rsidRPr="00A438A0" w:rsidRDefault="00AF0535" w:rsidP="00F45D1F">
            <w:pPr>
              <w:pStyle w:val="BodyText"/>
              <w:jc w:val="right"/>
              <w:rPr>
                <w:u w:val="single"/>
              </w:rPr>
            </w:pPr>
            <w:r w:rsidRPr="00A438A0">
              <w:rPr>
                <w:u w:val="single"/>
              </w:rPr>
              <w:t>$97,696</w:t>
            </w:r>
          </w:p>
        </w:tc>
      </w:tr>
      <w:tr w:rsidR="00AF0535" w:rsidRPr="00A438A0" w:rsidTr="00F45D1F">
        <w:trPr>
          <w:jc w:val="center"/>
        </w:trPr>
        <w:tc>
          <w:tcPr>
            <w:tcW w:w="0" w:type="auto"/>
          </w:tcPr>
          <w:p w:rsidR="00AF0535" w:rsidRPr="00A438A0" w:rsidRDefault="00AF0535" w:rsidP="00F45D1F">
            <w:pPr>
              <w:pStyle w:val="BodyText"/>
              <w:rPr>
                <w:u w:val="double"/>
              </w:rPr>
            </w:pPr>
            <w:r w:rsidRPr="00A438A0">
              <w:rPr>
                <w:u w:val="double"/>
              </w:rPr>
              <w:t>Net Loss</w:t>
            </w:r>
          </w:p>
        </w:tc>
        <w:tc>
          <w:tcPr>
            <w:tcW w:w="2007" w:type="dxa"/>
          </w:tcPr>
          <w:p w:rsidR="00AF0535" w:rsidRPr="00A438A0" w:rsidRDefault="00AF0535" w:rsidP="00F45D1F">
            <w:pPr>
              <w:pStyle w:val="BodyText"/>
              <w:jc w:val="right"/>
              <w:rPr>
                <w:u w:val="double"/>
              </w:rPr>
            </w:pPr>
            <w:r w:rsidRPr="00A438A0">
              <w:rPr>
                <w:u w:val="double"/>
              </w:rPr>
              <w:t>$97,696</w:t>
            </w:r>
          </w:p>
        </w:tc>
      </w:tr>
    </w:tbl>
    <w:p w:rsidR="00AF0535" w:rsidRPr="00A438A0" w:rsidRDefault="00AF0535" w:rsidP="00AF0535">
      <w:pPr>
        <w:pStyle w:val="BodyText"/>
      </w:pPr>
      <w:r w:rsidRPr="00A438A0">
        <w:tab/>
      </w:r>
      <w:r w:rsidRPr="00A438A0">
        <w:tab/>
      </w:r>
      <w:r w:rsidRPr="00A438A0">
        <w:tab/>
        <w:t xml:space="preserve">   Source: Utility’s response to staff data requests</w:t>
      </w:r>
    </w:p>
    <w:p w:rsidR="00AF0535" w:rsidRPr="00A438A0" w:rsidRDefault="00AF0535" w:rsidP="00AF0535">
      <w:pPr>
        <w:pStyle w:val="BodyText"/>
      </w:pPr>
      <w:r w:rsidRPr="00A438A0">
        <w:t>Rule 25-30.433(9), F.A.C., Rate Case Proceedings, states:</w:t>
      </w:r>
    </w:p>
    <w:p w:rsidR="00AF0535" w:rsidRPr="00A438A0" w:rsidRDefault="00AF0535" w:rsidP="00AF0535">
      <w:pPr>
        <w:pStyle w:val="BodyText"/>
        <w:ind w:left="720" w:right="720"/>
      </w:pPr>
      <w:r w:rsidRPr="00A438A0">
        <w:t>The amortization period for forced abandonment or the prudent retirement, in accordance with the National Association of Regulatory Utility Commissioners Uniform System of Accounts, of plant assets prior to the end of their depreciable life shall be calculated by taking the ratio of the net loss (original cost less accumulated depreciation and contributions-in-aid-of-construction (CIAC) plus accumulated amortization of CIAC plus any costs incurred to remove the asset less any salvage value) to the sum of the annual depreciation expense, net of amortization of CIAC, plus an amount equal to the rate of return that would have been allowed on the net invested plant that would have been included in rate base before the abandonment or retirement. This formula shall be used unless the specific circumstances surrounding the abandonment or retirement demonstrate a more appropriate amortization period.</w:t>
      </w:r>
    </w:p>
    <w:p w:rsidR="00AF0535" w:rsidRPr="00A438A0" w:rsidRDefault="00AF0535" w:rsidP="00AF0535">
      <w:pPr>
        <w:pStyle w:val="BodyText"/>
      </w:pPr>
      <w:r w:rsidRPr="00A438A0">
        <w:t xml:space="preserve">For the purpose of calculating the amortization period pursuant to Rule 25-30.433(9), F.A.C., the net loss is $97,696 divided by zero, which results in zero years. Hence, Rule 25-30.433(9), F.A.C., is not applicable in this case since the retired asset is fully depreciated. Pursuant to Rule </w:t>
      </w:r>
      <w:r w:rsidRPr="00A438A0">
        <w:lastRenderedPageBreak/>
        <w:t xml:space="preserve">25-30.433(8), F.A.C., non-recurring expenses shall be amortized over a 5-year period unless a shorter or longer time can be justified. In this case, staff believes a recovery period of 10 years is appropriate and recommends the net loss of $97,696 be amortized over a 10-year period. Staff’s recommendation is consistent with the Commission’s </w:t>
      </w:r>
      <w:r w:rsidR="003F4C6F">
        <w:t xml:space="preserve">recent </w:t>
      </w:r>
      <w:r w:rsidRPr="00A438A0">
        <w:t>decision</w:t>
      </w:r>
      <w:r w:rsidR="00D74AEA" w:rsidRPr="00A438A0">
        <w:t xml:space="preserve"> </w:t>
      </w:r>
      <w:r w:rsidR="003F4C6F">
        <w:t>regarding</w:t>
      </w:r>
      <w:r w:rsidR="00D74AEA" w:rsidRPr="00A438A0">
        <w:t xml:space="preserve"> the Orchid Springs </w:t>
      </w:r>
      <w:r w:rsidR="003F4C6F">
        <w:t xml:space="preserve">Development </w:t>
      </w:r>
      <w:r w:rsidR="00D74AEA" w:rsidRPr="00A438A0">
        <w:t>staff assisted rate c</w:t>
      </w:r>
      <w:r w:rsidRPr="00A438A0">
        <w:t>ase in Docket No. 140239-WS at the November 5, 2012 Agenda Conference.</w:t>
      </w:r>
      <w:r w:rsidRPr="00A438A0">
        <w:rPr>
          <w:rStyle w:val="FootnoteReference"/>
        </w:rPr>
        <w:footnoteReference w:id="6"/>
      </w:r>
      <w:r w:rsidRPr="00A438A0">
        <w:t xml:space="preserve"> The amortization amount equates to the net loss of $97,696 divided by 10 years, or $9,770. The resulting adjustment is a decrease to amortization expense of $642 from the utility’s proposed amortization expense of $10,412. Accordingly, staff recommends that amortization expense be decreased by $642 to $9,770 and amortized over a period of 10 years.</w:t>
      </w:r>
    </w:p>
    <w:p w:rsidR="00E34944" w:rsidRPr="00A438A0" w:rsidRDefault="00AF0535" w:rsidP="00AF0535">
      <w:pPr>
        <w:pStyle w:val="IssueSubsectionHeading"/>
        <w:rPr>
          <w:vanish/>
          <w:specVanish/>
        </w:rPr>
      </w:pPr>
      <w:r w:rsidRPr="00A438A0">
        <w:rPr>
          <w:rFonts w:ascii="Times New Roman" w:hAnsi="Times New Roman" w:cs="Times New Roman"/>
          <w:b w:val="0"/>
          <w:i w:val="0"/>
        </w:rPr>
        <w:t xml:space="preserve">Based on the above analysis, staff recommends that </w:t>
      </w:r>
      <w:r w:rsidR="00323E4B">
        <w:rPr>
          <w:rFonts w:ascii="Times New Roman" w:hAnsi="Times New Roman" w:cs="Times New Roman"/>
          <w:b w:val="0"/>
          <w:i w:val="0"/>
        </w:rPr>
        <w:t>p</w:t>
      </w:r>
      <w:r w:rsidR="00FC616A" w:rsidRPr="00FC616A">
        <w:rPr>
          <w:rFonts w:ascii="Times New Roman" w:hAnsi="Times New Roman" w:cs="Times New Roman"/>
          <w:b w:val="0"/>
          <w:i w:val="0"/>
        </w:rPr>
        <w:t>lant</w:t>
      </w:r>
      <w:r w:rsidR="00323E4B">
        <w:rPr>
          <w:rFonts w:ascii="Times New Roman" w:hAnsi="Times New Roman" w:cs="Times New Roman"/>
          <w:b w:val="0"/>
          <w:i w:val="0"/>
        </w:rPr>
        <w:t xml:space="preserve"> be d</w:t>
      </w:r>
      <w:r w:rsidR="00FC616A" w:rsidRPr="00FC616A">
        <w:rPr>
          <w:rFonts w:ascii="Times New Roman" w:hAnsi="Times New Roman" w:cs="Times New Roman"/>
          <w:b w:val="0"/>
          <w:i w:val="0"/>
        </w:rPr>
        <w:t>ecreased by $23,335, accumulated depreciation</w:t>
      </w:r>
      <w:r w:rsidR="00323E4B">
        <w:rPr>
          <w:rFonts w:ascii="Times New Roman" w:hAnsi="Times New Roman" w:cs="Times New Roman"/>
          <w:b w:val="0"/>
          <w:i w:val="0"/>
        </w:rPr>
        <w:t xml:space="preserve"> </w:t>
      </w:r>
      <w:r w:rsidR="00FC616A" w:rsidRPr="00FC616A">
        <w:rPr>
          <w:rFonts w:ascii="Times New Roman" w:hAnsi="Times New Roman" w:cs="Times New Roman"/>
          <w:b w:val="0"/>
          <w:i w:val="0"/>
        </w:rPr>
        <w:t>be decreased by $297,173, CIAC be increased by $258,674, and accumulated amortization of CIAC be increased by $19,536. Corresponding adjustments should also be made to increase net depreciation expense by $6,160. Staff recommends that Sandalhaven reflect any change in property taxes in its next pass through filing with the Commission. The amortization expense related to the cost of removal of the WWTP should be decreased by $642 to $9,770 and amortized over a period of 10 years. After the expiration of the amortization period, the wastewater rates should be reduced by $</w:t>
      </w:r>
      <w:r w:rsidR="00FC616A" w:rsidRPr="00FC616A">
        <w:rPr>
          <w:rFonts w:ascii="Times New Roman" w:hAnsi="Times New Roman" w:cs="Times New Roman"/>
          <w:b w:val="0"/>
          <w:bCs w:val="0"/>
          <w:i w:val="0"/>
          <w:iCs w:val="0"/>
        </w:rPr>
        <w:t>9,770</w:t>
      </w:r>
      <w:r w:rsidR="00FC616A" w:rsidRPr="00FC616A">
        <w:rPr>
          <w:rFonts w:ascii="Times New Roman" w:hAnsi="Times New Roman" w:cs="Times New Roman"/>
          <w:b w:val="0"/>
          <w:i w:val="0"/>
        </w:rPr>
        <w:t>, as shown on Schedule No. 4, to remove removal costs grossed-up for regulatory assessment fees (RAFs) and amortized over a 10-year period. The decrease in rates should become effective immediately following the expiration of the 10-year recovery period of removal costs associated with the decommissioning of the utility’s WWTP. Sandalhaven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expense.</w:t>
      </w:r>
      <w:r w:rsidR="00E34944" w:rsidRPr="00A438A0">
        <w:rPr>
          <w:b w:val="0"/>
          <w:i w:val="0"/>
        </w:rPr>
        <w:br w:type="page"/>
      </w:r>
      <w:r w:rsidR="00E34944" w:rsidRPr="00A438A0">
        <w:lastRenderedPageBreak/>
        <w:t xml:space="preserve">Issue </w:t>
      </w:r>
      <w:r w:rsidR="006D42F5">
        <w:fldChar w:fldCharType="begin"/>
      </w:r>
      <w:r w:rsidR="006D42F5">
        <w:instrText xml:space="preserve"> SEQ Issue \* MERGEFORMAT </w:instrText>
      </w:r>
      <w:r w:rsidR="006D42F5">
        <w:fldChar w:fldCharType="separate"/>
      </w:r>
      <w:r w:rsidR="00A05B79">
        <w:rPr>
          <w:noProof/>
        </w:rPr>
        <w:t>4</w:t>
      </w:r>
      <w:r w:rsidR="006D42F5">
        <w:rPr>
          <w:noProof/>
        </w:rPr>
        <w:fldChar w:fldCharType="end"/>
      </w:r>
      <w:r w:rsidR="00E34944" w:rsidRPr="00A438A0">
        <w:t>:</w:t>
      </w:r>
      <w:r w:rsidR="00E34944" w:rsidRPr="00A438A0">
        <w:fldChar w:fldCharType="begin"/>
      </w:r>
      <w:r w:rsidR="00E34944" w:rsidRPr="00A438A0">
        <w:instrText xml:space="preserve"> TC "</w:instrText>
      </w:r>
      <w:r w:rsidR="00E34944" w:rsidRPr="00A438A0">
        <w:fldChar w:fldCharType="begin"/>
      </w:r>
      <w:r w:rsidR="00E34944" w:rsidRPr="00A438A0">
        <w:instrText xml:space="preserve"> SEQ issue \c </w:instrText>
      </w:r>
      <w:r w:rsidR="00E34944" w:rsidRPr="00A438A0">
        <w:fldChar w:fldCharType="separate"/>
      </w:r>
      <w:bookmarkStart w:id="19" w:name="_Toc435607938"/>
      <w:r w:rsidR="00A05B79">
        <w:rPr>
          <w:noProof/>
        </w:rPr>
        <w:instrText>4</w:instrText>
      </w:r>
      <w:r w:rsidR="00E34944" w:rsidRPr="00A438A0">
        <w:fldChar w:fldCharType="end"/>
      </w:r>
      <w:r w:rsidR="00E34944" w:rsidRPr="00A438A0">
        <w:tab/>
      </w:r>
      <w:r w:rsidR="00400BA4" w:rsidRPr="00A438A0">
        <w:instrText>Pro Forma Plant Adjustments (Watts, D. Buys)</w:instrText>
      </w:r>
      <w:bookmarkEnd w:id="19"/>
      <w:r w:rsidR="00E34944" w:rsidRPr="00A438A0">
        <w:instrText xml:space="preserve">" \l 1 </w:instrText>
      </w:r>
      <w:r w:rsidR="00E34944" w:rsidRPr="00A438A0">
        <w:fldChar w:fldCharType="end"/>
      </w:r>
      <w:r w:rsidR="00E34944" w:rsidRPr="00A438A0">
        <w:t> </w:t>
      </w:r>
    </w:p>
    <w:p w:rsidR="00E34944" w:rsidRPr="00A438A0" w:rsidRDefault="00E34944">
      <w:pPr>
        <w:pStyle w:val="BodyText"/>
      </w:pPr>
      <w:r w:rsidRPr="00A438A0">
        <w:t xml:space="preserve"> Should </w:t>
      </w:r>
      <w:r w:rsidR="00913AC2" w:rsidRPr="00A438A0">
        <w:t>any adjustments be made to the u</w:t>
      </w:r>
      <w:r w:rsidRPr="00A438A0">
        <w:t>tility's pro forma plant?</w:t>
      </w:r>
    </w:p>
    <w:p w:rsidR="00E34944" w:rsidRPr="00A438A0" w:rsidRDefault="00E34944">
      <w:pPr>
        <w:pStyle w:val="IssueSubsectionHeading"/>
        <w:rPr>
          <w:vanish/>
          <w:specVanish/>
        </w:rPr>
      </w:pPr>
      <w:r w:rsidRPr="00A438A0">
        <w:t>Recommendation: </w:t>
      </w:r>
    </w:p>
    <w:p w:rsidR="00E34944" w:rsidRPr="00A438A0" w:rsidRDefault="00E34944">
      <w:pPr>
        <w:pStyle w:val="BodyText"/>
      </w:pPr>
      <w:r w:rsidRPr="00A438A0">
        <w:t> </w:t>
      </w:r>
      <w:r w:rsidR="00F45D1F" w:rsidRPr="00A438A0">
        <w:t>Yes. Pro forma plant should be decreased by $153,873. Corresponding adjustments should be made to decrease accumulated depreciation and depreciation expense by $4,870. An additional corresponding adjustment should be made to decrease credit ADITs by $481.</w:t>
      </w:r>
      <w:r w:rsidRPr="00A438A0">
        <w:t xml:space="preserve"> (Watts, D. Buys)</w:t>
      </w:r>
    </w:p>
    <w:p w:rsidR="00E34944" w:rsidRPr="00A438A0" w:rsidRDefault="00E34944">
      <w:pPr>
        <w:pStyle w:val="IssueSubsectionHeading"/>
        <w:rPr>
          <w:vanish/>
          <w:specVanish/>
        </w:rPr>
      </w:pPr>
      <w:r w:rsidRPr="00A438A0">
        <w:t>Staff Analysis: </w:t>
      </w:r>
    </w:p>
    <w:p w:rsidR="005C38E7" w:rsidRPr="00A438A0" w:rsidRDefault="00E34944" w:rsidP="005C38E7">
      <w:pPr>
        <w:pStyle w:val="BodyText"/>
      </w:pPr>
      <w:r w:rsidRPr="00A438A0">
        <w:t> </w:t>
      </w:r>
      <w:r w:rsidR="005C38E7" w:rsidRPr="00A438A0">
        <w:t>Section 367.081, F.S., provides that the Commission, in fixing rates, shall consider facilities to be constructed within a reasonable time in the future, to be Used and Useful (U&amp;U) if such property is needed to serve current customers. Costs associated with each of the pro forma plant items discussed below have been or are projected to be incurred within two years of the test year. Section 367.081, F.S., additionally provides that the Commission shall approve rates for service which allow a utility to recover the full amount of environmental compliance costs.</w:t>
      </w:r>
    </w:p>
    <w:p w:rsidR="005C38E7" w:rsidRPr="00A438A0" w:rsidRDefault="005C38E7" w:rsidP="005C38E7">
      <w:pPr>
        <w:pStyle w:val="BodyText"/>
      </w:pPr>
      <w:r w:rsidRPr="00A438A0">
        <w:t>Sandalhaven’s initial filing contained two pro forma plant additions. Staff reviewed the utility’s filings and responses to data requests and recommends that several adjustments to the</w:t>
      </w:r>
      <w:r w:rsidR="00323E4B">
        <w:t xml:space="preserve"> utility’s</w:t>
      </w:r>
      <w:r w:rsidRPr="00A438A0">
        <w:t xml:space="preserve"> requested pro forma plant additions are necessary. Table 4-1 provides a summary of staff’s recommended pro forma plant additions.    </w:t>
      </w:r>
    </w:p>
    <w:p w:rsidR="005C38E7" w:rsidRPr="00A438A0" w:rsidRDefault="005C38E7" w:rsidP="005C38E7">
      <w:pPr>
        <w:pStyle w:val="BodyText"/>
        <w:spacing w:after="0"/>
        <w:jc w:val="center"/>
        <w:rPr>
          <w:rFonts w:ascii="Arial" w:hAnsi="Arial" w:cs="Arial"/>
          <w:b/>
        </w:rPr>
      </w:pPr>
      <w:r w:rsidRPr="00A438A0">
        <w:rPr>
          <w:rFonts w:ascii="Arial" w:hAnsi="Arial" w:cs="Arial"/>
          <w:b/>
        </w:rPr>
        <w:t>Table 4-1</w:t>
      </w:r>
    </w:p>
    <w:p w:rsidR="005C38E7" w:rsidRPr="00A438A0" w:rsidRDefault="005C38E7" w:rsidP="005C38E7">
      <w:pPr>
        <w:pStyle w:val="BodyText"/>
        <w:spacing w:after="0"/>
        <w:jc w:val="center"/>
        <w:rPr>
          <w:rFonts w:ascii="Arial" w:hAnsi="Arial" w:cs="Arial"/>
          <w:b/>
        </w:rPr>
      </w:pPr>
      <w:r w:rsidRPr="00A438A0">
        <w:rPr>
          <w:rFonts w:ascii="Arial" w:hAnsi="Arial" w:cs="Arial"/>
          <w:b/>
        </w:rPr>
        <w:t>Staff Recommended Pro Forma Plant Adjustments</w:t>
      </w:r>
    </w:p>
    <w:tbl>
      <w:tblPr>
        <w:tblStyle w:val="TableGrid"/>
        <w:tblW w:w="0" w:type="auto"/>
        <w:tblLook w:val="04A0" w:firstRow="1" w:lastRow="0" w:firstColumn="1" w:lastColumn="0" w:noHBand="0" w:noVBand="1"/>
      </w:tblPr>
      <w:tblGrid>
        <w:gridCol w:w="2224"/>
        <w:gridCol w:w="1174"/>
        <w:gridCol w:w="1646"/>
        <w:gridCol w:w="1893"/>
        <w:gridCol w:w="2639"/>
      </w:tblGrid>
      <w:tr w:rsidR="005C38E7" w:rsidRPr="00A438A0" w:rsidTr="006F1BCD">
        <w:tc>
          <w:tcPr>
            <w:tcW w:w="0" w:type="auto"/>
            <w:vAlign w:val="center"/>
          </w:tcPr>
          <w:p w:rsidR="005C38E7" w:rsidRPr="00A438A0" w:rsidRDefault="005C38E7" w:rsidP="006F1BCD">
            <w:pPr>
              <w:jc w:val="center"/>
              <w:rPr>
                <w:b/>
              </w:rPr>
            </w:pPr>
            <w:r w:rsidRPr="00A438A0">
              <w:rPr>
                <w:b/>
              </w:rPr>
              <w:t>Pro Forma Plant Items</w:t>
            </w:r>
          </w:p>
        </w:tc>
        <w:tc>
          <w:tcPr>
            <w:tcW w:w="0" w:type="auto"/>
            <w:vAlign w:val="center"/>
          </w:tcPr>
          <w:p w:rsidR="005C38E7" w:rsidRPr="00A438A0" w:rsidRDefault="005C38E7" w:rsidP="006F1BCD">
            <w:pPr>
              <w:jc w:val="center"/>
              <w:rPr>
                <w:b/>
              </w:rPr>
            </w:pPr>
            <w:r w:rsidRPr="00A438A0">
              <w:rPr>
                <w:b/>
              </w:rPr>
              <w:t>Initial MFR</w:t>
            </w:r>
          </w:p>
        </w:tc>
        <w:tc>
          <w:tcPr>
            <w:tcW w:w="0" w:type="auto"/>
            <w:vAlign w:val="center"/>
          </w:tcPr>
          <w:p w:rsidR="005C38E7" w:rsidRPr="00A438A0" w:rsidRDefault="005C38E7" w:rsidP="006F1BCD">
            <w:pPr>
              <w:jc w:val="center"/>
              <w:rPr>
                <w:b/>
              </w:rPr>
            </w:pPr>
            <w:r w:rsidRPr="00A438A0">
              <w:rPr>
                <w:b/>
              </w:rPr>
              <w:t>Response from data request / Filing</w:t>
            </w:r>
          </w:p>
        </w:tc>
        <w:tc>
          <w:tcPr>
            <w:tcW w:w="0" w:type="auto"/>
            <w:vAlign w:val="center"/>
          </w:tcPr>
          <w:p w:rsidR="005C38E7" w:rsidRPr="00A438A0" w:rsidRDefault="005C38E7" w:rsidP="006F1BCD">
            <w:pPr>
              <w:jc w:val="center"/>
              <w:rPr>
                <w:b/>
              </w:rPr>
            </w:pPr>
            <w:r w:rsidRPr="00A438A0">
              <w:rPr>
                <w:b/>
              </w:rPr>
              <w:t>Recommended Amount</w:t>
            </w:r>
          </w:p>
        </w:tc>
        <w:tc>
          <w:tcPr>
            <w:tcW w:w="0" w:type="auto"/>
            <w:vAlign w:val="center"/>
          </w:tcPr>
          <w:p w:rsidR="005C38E7" w:rsidRPr="00A438A0" w:rsidRDefault="005C38E7" w:rsidP="006F1BCD">
            <w:pPr>
              <w:jc w:val="center"/>
              <w:rPr>
                <w:b/>
              </w:rPr>
            </w:pPr>
            <w:r w:rsidRPr="00A438A0">
              <w:rPr>
                <w:b/>
              </w:rPr>
              <w:t>Documentation</w:t>
            </w:r>
          </w:p>
        </w:tc>
      </w:tr>
      <w:tr w:rsidR="005C38E7" w:rsidRPr="00A438A0" w:rsidTr="006F1BCD">
        <w:tc>
          <w:tcPr>
            <w:tcW w:w="0" w:type="auto"/>
          </w:tcPr>
          <w:p w:rsidR="005C38E7" w:rsidRPr="00A438A0" w:rsidRDefault="005C38E7" w:rsidP="006F1BCD">
            <w:pPr>
              <w:pStyle w:val="BodyText"/>
            </w:pPr>
            <w:r w:rsidRPr="00A438A0">
              <w:t xml:space="preserve">Diversion from WWTP to EWD </w:t>
            </w:r>
          </w:p>
        </w:tc>
        <w:tc>
          <w:tcPr>
            <w:tcW w:w="0" w:type="auto"/>
          </w:tcPr>
          <w:p w:rsidR="005C38E7" w:rsidRPr="00A438A0" w:rsidRDefault="005C38E7" w:rsidP="00FC616A">
            <w:pPr>
              <w:pStyle w:val="BodyText"/>
              <w:jc w:val="right"/>
            </w:pPr>
            <w:r w:rsidRPr="00A438A0">
              <w:t>$696,129</w:t>
            </w:r>
          </w:p>
        </w:tc>
        <w:tc>
          <w:tcPr>
            <w:tcW w:w="0" w:type="auto"/>
          </w:tcPr>
          <w:p w:rsidR="005C38E7" w:rsidRPr="00A438A0" w:rsidRDefault="005C38E7" w:rsidP="00FC616A">
            <w:pPr>
              <w:pStyle w:val="BodyText"/>
              <w:jc w:val="right"/>
            </w:pPr>
            <w:r w:rsidRPr="00A438A0">
              <w:t>$743,672</w:t>
            </w:r>
          </w:p>
        </w:tc>
        <w:tc>
          <w:tcPr>
            <w:tcW w:w="0" w:type="auto"/>
          </w:tcPr>
          <w:p w:rsidR="005C38E7" w:rsidRPr="00A438A0" w:rsidRDefault="005C38E7" w:rsidP="00FC616A">
            <w:pPr>
              <w:pStyle w:val="BodyText"/>
              <w:jc w:val="right"/>
            </w:pPr>
            <w:r w:rsidRPr="00A438A0">
              <w:t>$742,256</w:t>
            </w:r>
          </w:p>
        </w:tc>
        <w:tc>
          <w:tcPr>
            <w:tcW w:w="0" w:type="auto"/>
          </w:tcPr>
          <w:p w:rsidR="005C38E7" w:rsidRPr="00A438A0" w:rsidRDefault="005C38E7" w:rsidP="006F1BCD">
            <w:pPr>
              <w:pStyle w:val="BodyText"/>
            </w:pPr>
            <w:r w:rsidRPr="00A438A0">
              <w:t>Invoice / Work Order</w:t>
            </w:r>
          </w:p>
        </w:tc>
      </w:tr>
      <w:tr w:rsidR="005C38E7" w:rsidRPr="00A438A0" w:rsidTr="006F1BCD">
        <w:tc>
          <w:tcPr>
            <w:tcW w:w="0" w:type="auto"/>
          </w:tcPr>
          <w:p w:rsidR="005C38E7" w:rsidRPr="00A438A0" w:rsidRDefault="005C38E7" w:rsidP="006F1BCD">
            <w:pPr>
              <w:pStyle w:val="BodyText"/>
            </w:pPr>
            <w:r w:rsidRPr="00A438A0">
              <w:t>Relocation of sewer pipe due to County road construction.</w:t>
            </w:r>
          </w:p>
        </w:tc>
        <w:tc>
          <w:tcPr>
            <w:tcW w:w="0" w:type="auto"/>
          </w:tcPr>
          <w:p w:rsidR="005C38E7" w:rsidRPr="00A438A0" w:rsidRDefault="005C38E7" w:rsidP="00FC616A">
            <w:pPr>
              <w:pStyle w:val="BodyText"/>
              <w:jc w:val="right"/>
            </w:pPr>
            <w:r w:rsidRPr="00A438A0">
              <w:t>$200,000</w:t>
            </w:r>
          </w:p>
        </w:tc>
        <w:tc>
          <w:tcPr>
            <w:tcW w:w="0" w:type="auto"/>
          </w:tcPr>
          <w:p w:rsidR="005C38E7" w:rsidRPr="00A438A0" w:rsidRDefault="005C38E7" w:rsidP="00FC616A">
            <w:pPr>
              <w:pStyle w:val="BodyText"/>
              <w:jc w:val="right"/>
            </w:pPr>
            <w:r w:rsidRPr="00A438A0">
              <w:t>$174,088</w:t>
            </w:r>
          </w:p>
        </w:tc>
        <w:tc>
          <w:tcPr>
            <w:tcW w:w="0" w:type="auto"/>
          </w:tcPr>
          <w:p w:rsidR="005C38E7" w:rsidRPr="00A438A0" w:rsidRDefault="005C38E7" w:rsidP="00FC616A">
            <w:pPr>
              <w:pStyle w:val="BodyText"/>
              <w:jc w:val="right"/>
            </w:pPr>
            <w:r w:rsidRPr="00A438A0">
              <w:t>$0</w:t>
            </w:r>
          </w:p>
        </w:tc>
        <w:tc>
          <w:tcPr>
            <w:tcW w:w="0" w:type="auto"/>
          </w:tcPr>
          <w:p w:rsidR="005C38E7" w:rsidRPr="00A438A0" w:rsidRDefault="005C38E7" w:rsidP="006F1BCD">
            <w:pPr>
              <w:pStyle w:val="BodyText"/>
            </w:pPr>
            <w:r w:rsidRPr="00A438A0">
              <w:t>Engineering estimate / utility opinion of probable construction cost</w:t>
            </w:r>
          </w:p>
        </w:tc>
      </w:tr>
      <w:tr w:rsidR="005C38E7" w:rsidRPr="00A438A0" w:rsidTr="006F1BCD">
        <w:tc>
          <w:tcPr>
            <w:tcW w:w="0" w:type="auto"/>
          </w:tcPr>
          <w:p w:rsidR="005C38E7" w:rsidRPr="00A438A0" w:rsidRDefault="005C38E7" w:rsidP="006F1BCD">
            <w:pPr>
              <w:pStyle w:val="BodyText"/>
              <w:rPr>
                <w:b/>
              </w:rPr>
            </w:pPr>
            <w:r w:rsidRPr="00A438A0">
              <w:rPr>
                <w:b/>
              </w:rPr>
              <w:t>Total</w:t>
            </w:r>
          </w:p>
        </w:tc>
        <w:tc>
          <w:tcPr>
            <w:tcW w:w="0" w:type="auto"/>
          </w:tcPr>
          <w:p w:rsidR="005C38E7" w:rsidRPr="00A438A0" w:rsidRDefault="005C38E7" w:rsidP="00FC616A">
            <w:pPr>
              <w:pStyle w:val="BodyText"/>
              <w:jc w:val="right"/>
            </w:pPr>
            <w:r w:rsidRPr="00A438A0">
              <w:t>$896,129</w:t>
            </w:r>
          </w:p>
        </w:tc>
        <w:tc>
          <w:tcPr>
            <w:tcW w:w="0" w:type="auto"/>
          </w:tcPr>
          <w:p w:rsidR="005C38E7" w:rsidRPr="00A438A0" w:rsidRDefault="005C38E7" w:rsidP="00FC616A">
            <w:pPr>
              <w:pStyle w:val="BodyText"/>
              <w:jc w:val="right"/>
            </w:pPr>
            <w:r w:rsidRPr="00A438A0">
              <w:t>$917,760</w:t>
            </w:r>
          </w:p>
        </w:tc>
        <w:tc>
          <w:tcPr>
            <w:tcW w:w="0" w:type="auto"/>
          </w:tcPr>
          <w:p w:rsidR="005C38E7" w:rsidRPr="00A438A0" w:rsidRDefault="005C38E7" w:rsidP="00FC616A">
            <w:pPr>
              <w:pStyle w:val="BodyText"/>
              <w:jc w:val="right"/>
            </w:pPr>
            <w:r w:rsidRPr="00A438A0">
              <w:t>$742,256</w:t>
            </w:r>
          </w:p>
        </w:tc>
        <w:tc>
          <w:tcPr>
            <w:tcW w:w="0" w:type="auto"/>
          </w:tcPr>
          <w:p w:rsidR="005C38E7" w:rsidRPr="00A438A0" w:rsidRDefault="005C38E7" w:rsidP="006F1BCD">
            <w:pPr>
              <w:pStyle w:val="BodyText"/>
            </w:pPr>
          </w:p>
        </w:tc>
      </w:tr>
    </w:tbl>
    <w:p w:rsidR="005C38E7" w:rsidRPr="00A438A0" w:rsidRDefault="005C38E7" w:rsidP="005C38E7">
      <w:pPr>
        <w:pStyle w:val="BodyText"/>
      </w:pPr>
      <w:r w:rsidRPr="00A438A0">
        <w:t>Source: MFRs and utility’s response to staff data requests</w:t>
      </w:r>
    </w:p>
    <w:p w:rsidR="005C38E7" w:rsidRPr="00A438A0" w:rsidRDefault="005C38E7" w:rsidP="005C38E7">
      <w:pPr>
        <w:pStyle w:val="BodyText"/>
      </w:pPr>
      <w:r w:rsidRPr="00A438A0">
        <w:t xml:space="preserve">The work for the pro forma project to divert the flow from the WWTP to the EWD wastewater treatment plant was completed on November </w:t>
      </w:r>
      <w:r w:rsidR="008E3212" w:rsidRPr="00A438A0">
        <w:t>2</w:t>
      </w:r>
      <w:r w:rsidRPr="00A438A0">
        <w:t xml:space="preserve">, 2015, and the flows have been diverted. The utility provided invoices for the work performed, and also provided schedules reflecting the capitalized time for Sandalhaven employees and interest expense during construction as support for the cost of the project. There was a retirement of $1,417 included in the upgrade of one of the lift stations. As such, staff’s recommended amount of $742,256 reflects the removal of the retirement from the utility’s requested amount of $743,672. </w:t>
      </w:r>
    </w:p>
    <w:p w:rsidR="005C38E7" w:rsidRPr="00A438A0" w:rsidRDefault="005C38E7" w:rsidP="005C38E7">
      <w:pPr>
        <w:pStyle w:val="BodyText"/>
      </w:pPr>
      <w:r w:rsidRPr="00A438A0">
        <w:lastRenderedPageBreak/>
        <w:t xml:space="preserve">The utility requested a pro forma plant increase of $200,000 to recover the cost to relocate existing sewer lines due to road improvements by Charlotte County. Staff believes the utility has not supported the requested amount. </w:t>
      </w:r>
      <w:r w:rsidR="00D74AEA" w:rsidRPr="00A438A0">
        <w:t xml:space="preserve">The utility plans to complete its project in coordination with Charlotte County’s </w:t>
      </w:r>
      <w:r w:rsidR="00323E4B">
        <w:t>construction</w:t>
      </w:r>
      <w:r w:rsidR="00D74AEA" w:rsidRPr="00A438A0">
        <w:t xml:space="preserve"> schedule and assumes that the project will commence on July 1, 2016, and be completed on December 31, 2016. However, the actual completion date of the project is dependent upon Charlotte County’s work schedule which is unknown at this time.</w:t>
      </w:r>
      <w:r w:rsidR="00323E4B">
        <w:t xml:space="preserve"> Charlotte County’s website indicates that as of November 17, 2015, permitting for this project is 85 percent complete and the construction schedule is yet to be determined.</w:t>
      </w:r>
      <w:r w:rsidR="00D74AEA" w:rsidRPr="00A438A0">
        <w:t xml:space="preserve"> Further, the utility has not obtained any construction bids for the project. The utility submitted a self-prepared document entitled “Placida Road Force Main Relocations Opinion of Probable Construction Cost” which is not a signed bid for the construction cost of the project.</w:t>
      </w:r>
    </w:p>
    <w:p w:rsidR="005C38E7" w:rsidRPr="00A438A0" w:rsidRDefault="005C38E7" w:rsidP="005C38E7">
      <w:pPr>
        <w:pStyle w:val="BodyText"/>
      </w:pPr>
      <w:r w:rsidRPr="00A438A0">
        <w:t xml:space="preserve">In its MFRs, Sandalhaven included a credit adjustment of $852 to the ADITs balance to account for the deferred taxes associated with the addition of pro forma plant. Staff’s recommended adjustments to decrease pro forma plant result in a corresponding decrease to the deferred taxes associated with the pro forma plant additions. Based on the utility’s calculation of ADITs associated with the pro forma plant additions included in the </w:t>
      </w:r>
      <w:r w:rsidR="00323E4B">
        <w:t xml:space="preserve">staff </w:t>
      </w:r>
      <w:r w:rsidRPr="00A438A0">
        <w:t xml:space="preserve">audit work papers, staff believes the appropriate amount of credit ADITs associated with the pro forma projects is $371. Accordingly, staff recommends that credit ADITs of $852 </w:t>
      </w:r>
      <w:r w:rsidR="00323E4B">
        <w:t>be</w:t>
      </w:r>
      <w:r w:rsidRPr="00A438A0">
        <w:t xml:space="preserve"> decreased by $481 to $371.</w:t>
      </w:r>
    </w:p>
    <w:p w:rsidR="00F45D1F" w:rsidRPr="00A438A0" w:rsidRDefault="005C38E7" w:rsidP="005C38E7">
      <w:pPr>
        <w:pStyle w:val="BodyText"/>
      </w:pPr>
      <w:r w:rsidRPr="00A438A0">
        <w:t xml:space="preserve"> Based on the aforementioned, staff believes the pro forma amounts in Table 4-1 are appropriate. Accordingly, staff recommends that plant be decreased by $153,873. Corresponding adjustments should be made to decrease accumulated depreciation and depreciation expense by $4,870. An additional corresponding adjustment should be made to decrease credit ADITs by $481.</w:t>
      </w:r>
    </w:p>
    <w:p w:rsidR="00E34944" w:rsidRPr="00A438A0" w:rsidRDefault="00E34944" w:rsidP="004A428F">
      <w:pPr>
        <w:pStyle w:val="BodyText"/>
      </w:pPr>
    </w:p>
    <w:p w:rsidR="00260E0A" w:rsidRPr="00A438A0" w:rsidRDefault="00260E0A">
      <w:pPr>
        <w:pStyle w:val="IssueHeading"/>
        <w:rPr>
          <w:vanish/>
          <w:specVanish/>
        </w:rPr>
      </w:pPr>
      <w:r w:rsidRPr="00A438A0">
        <w:rPr>
          <w:b w:val="0"/>
          <w:i w:val="0"/>
        </w:rPr>
        <w:br w:type="page"/>
      </w:r>
      <w:r w:rsidRPr="00A438A0">
        <w:lastRenderedPageBreak/>
        <w:t xml:space="preserve">Issue </w:t>
      </w:r>
      <w:r w:rsidR="006D42F5">
        <w:fldChar w:fldCharType="begin"/>
      </w:r>
      <w:r w:rsidR="006D42F5">
        <w:instrText xml:space="preserve"> SEQ Issue \* MERGEFORMAT </w:instrText>
      </w:r>
      <w:r w:rsidR="006D42F5">
        <w:fldChar w:fldCharType="separate"/>
      </w:r>
      <w:r w:rsidR="00A05B79">
        <w:rPr>
          <w:noProof/>
        </w:rPr>
        <w:t>5</w:t>
      </w:r>
      <w:r w:rsidR="006D42F5">
        <w:rPr>
          <w:noProof/>
        </w:rPr>
        <w:fldChar w:fldCharType="end"/>
      </w:r>
      <w:r w:rsidRPr="00A438A0">
        <w:t>:</w:t>
      </w:r>
      <w:r w:rsidRPr="00A438A0">
        <w:fldChar w:fldCharType="begin"/>
      </w:r>
      <w:r w:rsidRPr="00A438A0">
        <w:instrText xml:space="preserve"> TC "</w:instrText>
      </w:r>
      <w:r w:rsidRPr="00A438A0">
        <w:fldChar w:fldCharType="begin"/>
      </w:r>
      <w:r w:rsidRPr="00A438A0">
        <w:instrText xml:space="preserve"> SEQ issue \c </w:instrText>
      </w:r>
      <w:r w:rsidRPr="00A438A0">
        <w:fldChar w:fldCharType="separate"/>
      </w:r>
      <w:bookmarkStart w:id="20" w:name="_Toc435607939"/>
      <w:r w:rsidR="00A05B79">
        <w:rPr>
          <w:noProof/>
        </w:rPr>
        <w:instrText>5</w:instrText>
      </w:r>
      <w:r w:rsidRPr="00A438A0">
        <w:fldChar w:fldCharType="end"/>
      </w:r>
      <w:r w:rsidRPr="00A438A0">
        <w:tab/>
      </w:r>
      <w:r w:rsidR="00400BA4" w:rsidRPr="00A438A0">
        <w:instrText>Used and Useful (Watts)</w:instrText>
      </w:r>
      <w:bookmarkEnd w:id="20"/>
      <w:r w:rsidRPr="00A438A0">
        <w:instrText xml:space="preserve">" \l 1 </w:instrText>
      </w:r>
      <w:r w:rsidRPr="00A438A0">
        <w:fldChar w:fldCharType="end"/>
      </w:r>
      <w:r w:rsidRPr="00A438A0">
        <w:t> </w:t>
      </w:r>
    </w:p>
    <w:p w:rsidR="00260E0A" w:rsidRPr="00A438A0" w:rsidRDefault="00260E0A">
      <w:pPr>
        <w:pStyle w:val="BodyText"/>
      </w:pPr>
      <w:r w:rsidRPr="00A438A0">
        <w:t xml:space="preserve"> What are the used </w:t>
      </w:r>
      <w:r w:rsidR="00913AC2" w:rsidRPr="00A438A0">
        <w:t>and useful percentages for the u</w:t>
      </w:r>
      <w:r w:rsidRPr="00A438A0">
        <w:t>tility's wastewater collection and interconnection systems?</w:t>
      </w:r>
    </w:p>
    <w:p w:rsidR="00260E0A" w:rsidRPr="00A438A0" w:rsidRDefault="00260E0A">
      <w:pPr>
        <w:pStyle w:val="IssueSubsectionHeading"/>
        <w:rPr>
          <w:vanish/>
          <w:specVanish/>
        </w:rPr>
      </w:pPr>
      <w:r w:rsidRPr="00A438A0">
        <w:t>Recommendation: </w:t>
      </w:r>
    </w:p>
    <w:p w:rsidR="00260E0A" w:rsidRPr="00A438A0" w:rsidRDefault="00260E0A">
      <w:pPr>
        <w:pStyle w:val="BodyText"/>
      </w:pPr>
      <w:r w:rsidRPr="00A438A0">
        <w:t> </w:t>
      </w:r>
      <w:r w:rsidR="00E96D8F" w:rsidRPr="00A438A0">
        <w:t xml:space="preserve">Sandalhaven’s wastewater collection system, purchased wastewater treatment capacity, and primary master lift station should be considered 100 percent used and useful (U&amp;U); and its interconnection force main should be considered 74.9 percent U&amp;U. </w:t>
      </w:r>
      <w:r w:rsidR="003E59F9" w:rsidRPr="00A438A0">
        <w:rPr>
          <w:bCs/>
        </w:rPr>
        <w:t>To reflect the appropriate U&amp;U percentages, staff recommends that plant be decreased by $755,064, accumulated depreciation be decreased by $252,979, CIAC be decreased by $19,144, and accumulated amortization of CIAC be decreased by $7,337. In addition, Land should be decreased by $4,662. Corresponding adjustments should be made to decrease depreciation expense and amortization expense by $26,089 and $637, respectively. As such, rate base should be decreased by $490,278 and net depreciation expense should be decreased by $25,451.</w:t>
      </w:r>
      <w:r w:rsidR="00535AF4" w:rsidRPr="00A438A0">
        <w:t xml:space="preserve"> </w:t>
      </w:r>
      <w:r w:rsidR="00E96D8F" w:rsidRPr="00A438A0">
        <w:t>Staff recommends that wastewater purchased power, chemical expenses, and purchased wastewater treatment should be reduced by 26.07 percent for excessive infiltration and inflow (I&amp;I).</w:t>
      </w:r>
      <w:r w:rsidRPr="00A438A0">
        <w:t xml:space="preserve"> (Watts</w:t>
      </w:r>
      <w:r w:rsidR="00535AF4" w:rsidRPr="00A438A0">
        <w:t>, D. Buys</w:t>
      </w:r>
      <w:r w:rsidRPr="00A438A0">
        <w:t>)</w:t>
      </w:r>
    </w:p>
    <w:p w:rsidR="00260E0A" w:rsidRPr="00A438A0" w:rsidRDefault="00260E0A">
      <w:pPr>
        <w:pStyle w:val="IssueSubsectionHeading"/>
        <w:rPr>
          <w:vanish/>
          <w:specVanish/>
        </w:rPr>
      </w:pPr>
      <w:r w:rsidRPr="00A438A0">
        <w:t>Staff Analysis: </w:t>
      </w:r>
    </w:p>
    <w:p w:rsidR="00E96D8F" w:rsidRPr="00A438A0" w:rsidRDefault="00260E0A" w:rsidP="00E96D8F">
      <w:pPr>
        <w:jc w:val="both"/>
      </w:pPr>
      <w:r w:rsidRPr="00A438A0">
        <w:t> </w:t>
      </w:r>
      <w:r w:rsidR="00E96D8F" w:rsidRPr="00A438A0">
        <w:t xml:space="preserve">The Sandalhaven wastewater system is composed of purchased wastewater treatment capacity through an interconnection with EWD, an interconnection force main, a primary interconnection master lift station, and a collection system. During the test year, a portion of the </w:t>
      </w:r>
      <w:r w:rsidR="00913AC2" w:rsidRPr="00A438A0">
        <w:t>flows were treated by the u</w:t>
      </w:r>
      <w:r w:rsidR="00E96D8F" w:rsidRPr="00A438A0">
        <w:t>tility’s WWTP. Staff recommended the WWTP be considered 100 percent U&amp;U for interim purposes. However, all flows are now directed to EWD for treatment, so no U&amp;U percentage is needed for the WWTP.</w:t>
      </w:r>
    </w:p>
    <w:p w:rsidR="00E96D8F" w:rsidRPr="00A438A0" w:rsidRDefault="00E96D8F" w:rsidP="00E96D8F">
      <w:pPr>
        <w:jc w:val="both"/>
        <w:rPr>
          <w:i/>
          <w:color w:val="000000"/>
        </w:rPr>
      </w:pPr>
    </w:p>
    <w:p w:rsidR="00E96D8F" w:rsidRPr="00A438A0" w:rsidRDefault="00E96D8F" w:rsidP="00E96D8F">
      <w:pPr>
        <w:pStyle w:val="BodyText"/>
      </w:pPr>
      <w:r w:rsidRPr="00A438A0">
        <w:t>Although the Commission’s rules regarding U&amp;U plant for wastewater treatment systems do not address purchased treatment capacity or interconnection plant, staff believes that a U&amp;U analysis is appropriate for these items. Each of these items has unique characteristics that need to be taken into account. The purchased treatment capacity is most analogous to a conventional WWTP, and staff’s analysis of the purchased capacity will closely parallel that of a WWTP. Staff believes the functional nature of the interconnection components warrants a slightly different treatment, using peak flows instead of average flows.</w:t>
      </w:r>
    </w:p>
    <w:p w:rsidR="00E96D8F" w:rsidRPr="00A438A0" w:rsidRDefault="00E96D8F" w:rsidP="00BA291C">
      <w:pPr>
        <w:pStyle w:val="BodyText"/>
        <w:spacing w:after="0"/>
        <w:rPr>
          <w:rFonts w:ascii="Arial" w:hAnsi="Arial" w:cs="Arial"/>
          <w:b/>
        </w:rPr>
      </w:pPr>
      <w:r w:rsidRPr="00A438A0">
        <w:rPr>
          <w:rFonts w:ascii="Arial" w:hAnsi="Arial" w:cs="Arial"/>
          <w:b/>
        </w:rPr>
        <w:t>Infiltration and Inflow</w:t>
      </w:r>
    </w:p>
    <w:p w:rsidR="00E96D8F" w:rsidRPr="00A438A0" w:rsidRDefault="00E96D8F" w:rsidP="00E96D8F">
      <w:pPr>
        <w:pStyle w:val="BodyText"/>
      </w:pPr>
      <w:r w:rsidRPr="00A438A0">
        <w:t>Typically, infiltration results from groundwater entering a wastewater collection system through broken or defective pipes and joints; whereas, inflow results from water entering a wastewater collection system through manholes or lift stations. By convention, the allowance for infiltration is 500 gpd per inch diameter pipe per mile, and an additional 10 percent of residential water billed is allowed for inflow. Rule 25-30.432, F.A.C., provides that in determining the amount of U&amp;U plant, the Commission will consider I&amp;I. Additionally, adjustments to operating expenses such as chemical and electrical costs are also considered necessary.</w:t>
      </w:r>
    </w:p>
    <w:p w:rsidR="00E96D8F" w:rsidRPr="00A438A0" w:rsidRDefault="00E96D8F" w:rsidP="00E96D8F">
      <w:pPr>
        <w:pStyle w:val="BodyText"/>
      </w:pPr>
      <w:r w:rsidRPr="00A438A0">
        <w:t>All wastewater collection systems experience I&amp;I. The conventions noted above provide guidance for determining whether the I&amp;I experienced at a WWTP is excessive. While Sandalhaven no longer operates a WWTP, the effects of excessive I&amp;I affect the flows billed to Sandalhaven.</w:t>
      </w:r>
      <w:r w:rsidRPr="00A438A0">
        <w:rPr>
          <w:color w:val="00B0F0"/>
        </w:rPr>
        <w:t xml:space="preserve"> </w:t>
      </w:r>
      <w:r w:rsidRPr="00A438A0">
        <w:t xml:space="preserve">Staff calculates the allowable infiltration based on system parameters and allowable inflow based on water sold to customers. The sum of these amounts is the allowable I&amp;I. Staff next calculates the estimated amount of wastewater returned to the EWD from </w:t>
      </w:r>
      <w:r w:rsidRPr="00A438A0">
        <w:lastRenderedPageBreak/>
        <w:t>customers. The estimated return is determined by summing 80 percent of the water sold to residential customers with 90 percent of the water sold to non-residential customers. Adding the estimated return to the allowable I&amp;I yields the maximum amount of wastewater that should be treated by EWD without incurring adjustments to operating expenses. If this amount exceeds the actual amount treated, no adjustment is made. If it is less than the gallons treated, then the difference is the excessive amount of I&amp;I.</w:t>
      </w:r>
    </w:p>
    <w:p w:rsidR="00E96D8F" w:rsidRPr="00A438A0" w:rsidRDefault="00913AC2" w:rsidP="00E96D8F">
      <w:pPr>
        <w:pStyle w:val="BodyText"/>
        <w:rPr>
          <w:i/>
        </w:rPr>
      </w:pPr>
      <w:r w:rsidRPr="00A438A0">
        <w:t>The u</w:t>
      </w:r>
      <w:r w:rsidR="00E96D8F" w:rsidRPr="00A438A0">
        <w:t xml:space="preserve">tility has 2,325 feet of 6-inch and 11,670 feet of 8-inch collecting mains. Given these parameters and performing the necessary conversions to express the result in gallons per year (gpy), the allowance for infiltration is 3,709,105 gpy. </w:t>
      </w:r>
    </w:p>
    <w:p w:rsidR="00E96D8F" w:rsidRPr="00A438A0" w:rsidRDefault="00913AC2" w:rsidP="00E96D8F">
      <w:pPr>
        <w:pStyle w:val="BodyText"/>
      </w:pPr>
      <w:r w:rsidRPr="00A438A0">
        <w:t>The u</w:t>
      </w:r>
      <w:r w:rsidR="00E96D8F" w:rsidRPr="00A438A0">
        <w:t>tility’s records indicated that it billed for wastewater based on 19,343,000 gallons of water demand for its residential customers and 17,303,000 gallons of water demand for its non-residential customers during the test year. Thus, the allowance for inflow is 10 percent of the residential flow, or 1,934,300 gpy. Therefore, the total allowance for inflow and infiltration is 5,643,405 gpy.</w:t>
      </w:r>
    </w:p>
    <w:p w:rsidR="00E96D8F" w:rsidRPr="00A438A0" w:rsidRDefault="00913AC2" w:rsidP="00E96D8F">
      <w:pPr>
        <w:pStyle w:val="BodyText"/>
      </w:pPr>
      <w:r w:rsidRPr="00A438A0">
        <w:t>The u</w:t>
      </w:r>
      <w:r w:rsidR="00E96D8F" w:rsidRPr="00A438A0">
        <w:t>tility reported the total number of water gallons billed to all wastewater customers during the test year was 36,646,000 gallons (19,343,000 residential, 17,303,000 non-residential)</w:t>
      </w:r>
      <w:r w:rsidR="00A27641" w:rsidRPr="00A438A0">
        <w:t xml:space="preserve">. </w:t>
      </w:r>
      <w:r w:rsidR="00E96D8F" w:rsidRPr="00A438A0">
        <w:t>Estimating the residential return at 80 percent and the non-residential return at 90 percent, the total estimated return to the EWD is 31,047,100 gallons</w:t>
      </w:r>
      <w:r w:rsidR="00A27641" w:rsidRPr="00A438A0">
        <w:t xml:space="preserve">. </w:t>
      </w:r>
      <w:r w:rsidR="00E96D8F" w:rsidRPr="00A438A0">
        <w:t>Thus, the estimated maximum amount of wastewater that the EWD should treat, the estimated return plus the allowable I&amp;I, is 36,690,505 gpy</w:t>
      </w:r>
      <w:r w:rsidR="00A27641" w:rsidRPr="00A438A0">
        <w:t xml:space="preserve">. </w:t>
      </w:r>
      <w:r w:rsidR="00E96D8F" w:rsidRPr="00A438A0">
        <w:t>Any amount treated in excess of this amount is considered excessive I&amp;I.</w:t>
      </w:r>
    </w:p>
    <w:p w:rsidR="00E96D8F" w:rsidRPr="00A438A0" w:rsidRDefault="00913AC2" w:rsidP="00E96D8F">
      <w:pPr>
        <w:pStyle w:val="BodyText"/>
      </w:pPr>
      <w:r w:rsidRPr="00A438A0">
        <w:t>According to the utility’s MFR Schedule F-2, the u</w:t>
      </w:r>
      <w:r w:rsidR="00E96D8F" w:rsidRPr="00A438A0">
        <w:t xml:space="preserve">tility treated 49,632,000 gallons of wastewater (including flows to EWD) during the test year. This is greater than the estimated maximum amount allowable. Therefore, the excessive I&amp;I is 12,941,495 gpy, or 35,456 gpd. Expressed as a percentage of wastewater treated, </w:t>
      </w:r>
      <w:r w:rsidR="002D08BD" w:rsidRPr="00A438A0">
        <w:t xml:space="preserve">excessive I&amp;I </w:t>
      </w:r>
      <w:r w:rsidR="00E96D8F" w:rsidRPr="00A438A0">
        <w:t>is 26.07 percent.</w:t>
      </w:r>
    </w:p>
    <w:p w:rsidR="00E96D8F" w:rsidRPr="00A438A0" w:rsidRDefault="00E96D8F" w:rsidP="00E96D8F">
      <w:pPr>
        <w:pStyle w:val="BodyText"/>
      </w:pPr>
      <w:r w:rsidRPr="00A438A0">
        <w:t xml:space="preserve">Thus, a 26.07 percent adjustment to wastewater purchased power, chemical expenses, and purchased wastewater treatment should be made for excessive I&amp;I as discussed in Issue </w:t>
      </w:r>
      <w:r w:rsidR="00535AF4" w:rsidRPr="00A438A0">
        <w:t>13</w:t>
      </w:r>
      <w:r w:rsidRPr="00A438A0">
        <w:t>.</w:t>
      </w:r>
    </w:p>
    <w:p w:rsidR="00E96D8F" w:rsidRPr="00A438A0" w:rsidRDefault="00E96D8F" w:rsidP="00BA291C">
      <w:pPr>
        <w:pStyle w:val="BodyText"/>
        <w:spacing w:after="0"/>
        <w:rPr>
          <w:rFonts w:ascii="Arial" w:hAnsi="Arial" w:cs="Arial"/>
          <w:b/>
        </w:rPr>
      </w:pPr>
      <w:r w:rsidRPr="00A438A0">
        <w:rPr>
          <w:rFonts w:ascii="Arial" w:hAnsi="Arial" w:cs="Arial"/>
          <w:b/>
        </w:rPr>
        <w:t>Purchased Wastewater Treatment Capacity</w:t>
      </w:r>
    </w:p>
    <w:p w:rsidR="00E96D8F" w:rsidRPr="00A438A0" w:rsidRDefault="00E96D8F" w:rsidP="00E96D8F">
      <w:pPr>
        <w:pStyle w:val="BodyText"/>
      </w:pPr>
      <w:r w:rsidRPr="00A438A0">
        <w:t>The treatment capacity from EWD was purchased in two increments in 2006 and 2007 on an annual average daily flow (AADF) basis for a total of 300,000 gpd. The amount of capac</w:t>
      </w:r>
      <w:r w:rsidR="00913AC2" w:rsidRPr="00A438A0">
        <w:t>ity purchased was based on the u</w:t>
      </w:r>
      <w:r w:rsidRPr="00A438A0">
        <w:t>tility’s current demand, plus guaranteed revenue agreements for the Eagles Preserve Drive landowners, plus prepaid commitments from the developers noted in the case background. While not all of the growth materialized as expected, some of it did, and recently work has begun again on some of the previously planned developments. Staff recommends that  the estimated flows for the unbuilt guaranteed revenue and prepaid customers should be included in the U&amp;U calculations because, having already b</w:t>
      </w:r>
      <w:r w:rsidR="00913AC2" w:rsidRPr="00A438A0">
        <w:t>een paid for the capacity, the u</w:t>
      </w:r>
      <w:r w:rsidRPr="00A438A0">
        <w:t>tility is obligated to be capable of providing service to these customers on demand.</w:t>
      </w:r>
    </w:p>
    <w:p w:rsidR="00E96D8F" w:rsidRPr="00A438A0" w:rsidRDefault="00E96D8F" w:rsidP="00E96D8F">
      <w:pPr>
        <w:pStyle w:val="BodyText"/>
      </w:pPr>
      <w:r w:rsidRPr="00A438A0">
        <w:t xml:space="preserve">According to Rule 25-30.432, F.A.C., the U&amp;U analysis of a utility’s WWTP is based on customer demand compared with the permitted plant capacity, with customer demand measured on the same basis as permitted capacity. As stated earlier, purchased capacity is similar to, but not the same as, a WWTP. Sandalhaven’s contract with EWD is for 300,000 gpd on an AADF </w:t>
      </w:r>
      <w:r w:rsidRPr="00A438A0">
        <w:lastRenderedPageBreak/>
        <w:t>basis. Consideration is given for growth and I&amp;I. Pursuant to Rule 25-30.431, F.A.C., a lin</w:t>
      </w:r>
      <w:r w:rsidR="00913AC2" w:rsidRPr="00A438A0">
        <w:t>ear regression analysis of the u</w:t>
      </w:r>
      <w:r w:rsidRPr="00A438A0">
        <w:t>tility’s historical growth pattern results in 87 ERCs per year for the five-yea</w:t>
      </w:r>
      <w:r w:rsidR="00913AC2" w:rsidRPr="00A438A0">
        <w:t>r statutory growth period. The u</w:t>
      </w:r>
      <w:r w:rsidRPr="00A438A0">
        <w:t>tility had an average of 873 ERCs for the test year, resulting in 155.8 gpd/ERC (135,978 gpd/873 ERCs). Thus, a growth allowance of 67,755 gpd is also considered. Based on the sum of the AADF for the WWTP during the test year of 72,501 gpd, the 63,477 AADF treated by EWD during the test year, the estimated guaranteed revenue flows of 12,920 gpd, and the estimated prepaid commitment flows of 152,570 gpd, with the purchased capacity of 300,000 gpd, the growth allowance of 67,755 gpd, and the excessive I&amp;I of 35,456 gpd, staff recommends that the purchased wastewater treatment capacity be considered 100 percent U&amp;U</w:t>
      </w:r>
      <w:r w:rsidR="00A27641" w:rsidRPr="00A438A0">
        <w:t xml:space="preserve">. </w:t>
      </w:r>
      <w:r w:rsidRPr="00A438A0">
        <w:t>[(72,501 gpd + 63,477 gpd + 12,920 gpd +  152,570 gpd - 35,456 gpd + 67,755 gpd)/300,000 gpd]</w:t>
      </w:r>
    </w:p>
    <w:p w:rsidR="00E96D8F" w:rsidRPr="00A438A0" w:rsidRDefault="00E96D8F" w:rsidP="00BA291C">
      <w:pPr>
        <w:pStyle w:val="BodyText"/>
        <w:spacing w:after="0"/>
        <w:rPr>
          <w:rFonts w:ascii="Arial" w:hAnsi="Arial" w:cs="Arial"/>
          <w:b/>
        </w:rPr>
      </w:pPr>
      <w:r w:rsidRPr="00A438A0">
        <w:rPr>
          <w:rFonts w:ascii="Arial" w:hAnsi="Arial" w:cs="Arial"/>
          <w:b/>
        </w:rPr>
        <w:t>Interconnection Force Main</w:t>
      </w:r>
    </w:p>
    <w:p w:rsidR="00E96D8F" w:rsidRPr="00A438A0" w:rsidRDefault="00E96D8F" w:rsidP="00E96D8F">
      <w:pPr>
        <w:pStyle w:val="BodyText"/>
      </w:pPr>
      <w:r w:rsidRPr="00A438A0">
        <w:t>As alluded to earlier, the physical properties of the interconnection force main necessitates sizing it for expected peak flow rather than for an average flow. This is because the pipe size limits the maximum flow. If demand exceeds this limit, it could cause line rupture, pump failure, equipment damage, and/or loss of service</w:t>
      </w:r>
      <w:r w:rsidR="00A27641" w:rsidRPr="00A438A0">
        <w:t xml:space="preserve">. </w:t>
      </w:r>
      <w:r w:rsidRPr="00A438A0">
        <w:t>The only peak flow data available for the test year was for the WWTP, as contained in the Discharge Monitoring Reports submitted to DEP. For the test year, the peak flow treated at the WWTP was 147,000 gpd, or 2.03 times the AADF. Thus, staff used this factor in estimating test year peak flows for EWD, guaranteed revenue and prepaid commitments. These same values will be used for the primary master lift station calculation below.</w:t>
      </w:r>
    </w:p>
    <w:p w:rsidR="003E59F9" w:rsidRPr="00A438A0" w:rsidRDefault="00E96D8F" w:rsidP="003E59F9">
      <w:pPr>
        <w:pStyle w:val="BodyText"/>
      </w:pPr>
      <w:r w:rsidRPr="00A438A0">
        <w:t>The U&amp;U calculations for the interconnection force main and primary master lift station are as follows. Using peak flow data to determine a growth allowance yields 137,526 gpd at 316.2 gpd/ERC. Excessive I&amp;I is not considered separately, being included in the peak flow data. Thus, based on test year peak WWTP flows of 147,000 gpd, EWD peak flows of 129,000, peak guaranteed revenue flows of 26,228 gpd, peak prepaid commitment flows of 309,717, a growth allowance of 137,526 gpd, and the interconnection force main capacity of 1,000,000 gpd, staff recommends the interconnection force main be considered 74.9 percent U&amp;U. [(147,000 gpd + 129,000 gpd + 26,228 gpd +  309,717 gpd + 137,526 gpd)/1,000,000 gpd]</w:t>
      </w:r>
      <w:r w:rsidR="003E59F9" w:rsidRPr="00A438A0">
        <w:t xml:space="preserve">  The U&amp;U adjustment of 74.9 percent for the force main should be applied to NARUC Account Nos. 355.2, Power Generation Equipment, and 360.2, Collection Sewers – Force.</w:t>
      </w:r>
    </w:p>
    <w:p w:rsidR="00E96D8F" w:rsidRPr="00A438A0" w:rsidRDefault="00E96D8F" w:rsidP="00BA291C">
      <w:pPr>
        <w:pStyle w:val="BodyText"/>
        <w:spacing w:after="0"/>
        <w:rPr>
          <w:rFonts w:ascii="Arial" w:hAnsi="Arial" w:cs="Arial"/>
          <w:b/>
        </w:rPr>
      </w:pPr>
      <w:r w:rsidRPr="00A438A0">
        <w:rPr>
          <w:rFonts w:ascii="Arial" w:hAnsi="Arial" w:cs="Arial"/>
          <w:b/>
        </w:rPr>
        <w:t>Primary Master Lift Station</w:t>
      </w:r>
    </w:p>
    <w:p w:rsidR="00E96D8F" w:rsidRPr="00A438A0" w:rsidRDefault="00E96D8F" w:rsidP="00E96D8F">
      <w:pPr>
        <w:pStyle w:val="BodyText"/>
      </w:pPr>
      <w:r w:rsidRPr="00A438A0">
        <w:t xml:space="preserve">The U&amp;U calculation for the primary master lift station is similar to the interconnection force main, with one difference. While the interconnection force main must deliver all flows from the Sandalhaven wastewater service territory to EWD, the primary master lift station will process all flows except that from the area previously only capable of being served by the WWTP. The flows from this area will be delivered directly to the interconnection force main by the secondary master lift station that is part of the diversion project that is among the pro forma items in the instant docket. Thus, the WWTP flows have been omitted from this calculation. </w:t>
      </w:r>
    </w:p>
    <w:p w:rsidR="00E96D8F" w:rsidRPr="00A438A0" w:rsidRDefault="00E96D8F" w:rsidP="00E96D8F">
      <w:pPr>
        <w:pStyle w:val="BodyText"/>
      </w:pPr>
      <w:r w:rsidRPr="00A438A0">
        <w:t xml:space="preserve">Based on test year peak EWD peak flows of 129,000, peak guaranteed revenue flows of 26,228 gpd, peak prepaid commitment flows of 309,717, a growth allowance of 137,526 gpd, and the primary master lift station capacity of 500,000 gpd, staff recommends the interconnection force </w:t>
      </w:r>
      <w:r w:rsidRPr="00A438A0">
        <w:lastRenderedPageBreak/>
        <w:t>main be considered 100 percent U&amp;U. [(129,000 gpd + 26,228 gpd +  309,717 gpd + 137,526 gpd)/500,000 gpd]</w:t>
      </w:r>
    </w:p>
    <w:p w:rsidR="00E96D8F" w:rsidRPr="00A438A0" w:rsidRDefault="00E96D8F" w:rsidP="00BA291C">
      <w:pPr>
        <w:pStyle w:val="BodyText"/>
        <w:spacing w:after="0"/>
        <w:rPr>
          <w:rFonts w:ascii="Arial" w:hAnsi="Arial" w:cs="Arial"/>
          <w:b/>
        </w:rPr>
      </w:pPr>
      <w:r w:rsidRPr="00A438A0">
        <w:rPr>
          <w:rFonts w:ascii="Arial" w:hAnsi="Arial" w:cs="Arial"/>
          <w:b/>
        </w:rPr>
        <w:t>Collection System</w:t>
      </w:r>
    </w:p>
    <w:p w:rsidR="00E96D8F" w:rsidRPr="00A438A0" w:rsidRDefault="00E96D8F" w:rsidP="00E96D8F">
      <w:pPr>
        <w:pStyle w:val="BodyText"/>
      </w:pPr>
      <w:r w:rsidRPr="00A438A0">
        <w:t xml:space="preserve">In </w:t>
      </w:r>
      <w:r w:rsidR="00913AC2" w:rsidRPr="00A438A0">
        <w:t>the u</w:t>
      </w:r>
      <w:r w:rsidRPr="00A438A0">
        <w:t>tility’s last rate case the Commission found the wastewater collection system should be 100% U&amp;U because virtually all of the wastewater mains and lift stations were contributed by the developers</w:t>
      </w:r>
      <w:r w:rsidR="00A27641" w:rsidRPr="00A438A0">
        <w:t xml:space="preserve">. </w:t>
      </w:r>
      <w:r w:rsidRPr="00A438A0">
        <w:t>Since that time there have been no changes to the collection system; therefore,   staff recommends that the wastewater collection system should be considered 100% U&amp;U</w:t>
      </w:r>
    </w:p>
    <w:p w:rsidR="003E59F9" w:rsidRPr="00A438A0" w:rsidRDefault="003E59F9" w:rsidP="00BA291C">
      <w:pPr>
        <w:tabs>
          <w:tab w:val="left" w:pos="2775"/>
        </w:tabs>
        <w:jc w:val="both"/>
        <w:rPr>
          <w:rFonts w:ascii="Arial" w:hAnsi="Arial" w:cs="Arial"/>
          <w:b/>
        </w:rPr>
      </w:pPr>
      <w:r w:rsidRPr="00A438A0">
        <w:rPr>
          <w:rFonts w:ascii="Arial" w:hAnsi="Arial" w:cs="Arial"/>
          <w:b/>
        </w:rPr>
        <w:t>Land</w:t>
      </w:r>
    </w:p>
    <w:p w:rsidR="003E59F9" w:rsidRPr="00A438A0" w:rsidRDefault="003E59F9" w:rsidP="003E59F9">
      <w:pPr>
        <w:pStyle w:val="BodyText"/>
      </w:pPr>
      <w:r w:rsidRPr="00A438A0">
        <w:t xml:space="preserve">As indicated in the utility’s MFRs, a used and useful adjustment of 46.54 percent was applied to the </w:t>
      </w:r>
      <w:r w:rsidR="00323E4B">
        <w:t>L</w:t>
      </w:r>
      <w:r w:rsidRPr="00A438A0">
        <w:t xml:space="preserve">and balance of $157,062 to reflect the portion of land not used to provide service to customers. This same adjustment should be applied to the agreed upon audit adjustment in Issue 2 to increase land by $10,000. Accordingly, Land should be decreased by $4,662 to reflect the appropriate used and useful amount. </w:t>
      </w:r>
    </w:p>
    <w:p w:rsidR="00E96D8F" w:rsidRPr="00A438A0" w:rsidRDefault="00E96D8F" w:rsidP="00BA291C">
      <w:pPr>
        <w:tabs>
          <w:tab w:val="left" w:pos="2775"/>
        </w:tabs>
        <w:jc w:val="both"/>
        <w:rPr>
          <w:rFonts w:ascii="Arial" w:hAnsi="Arial" w:cs="Arial"/>
          <w:b/>
          <w:color w:val="000000" w:themeColor="text1"/>
        </w:rPr>
      </w:pPr>
      <w:r w:rsidRPr="00A438A0">
        <w:rPr>
          <w:rFonts w:ascii="Arial" w:hAnsi="Arial" w:cs="Arial"/>
          <w:b/>
        </w:rPr>
        <w:t>Summary</w:t>
      </w:r>
    </w:p>
    <w:p w:rsidR="00E96D8F" w:rsidRPr="00A438A0" w:rsidRDefault="00E96D8F" w:rsidP="00E96D8F">
      <w:pPr>
        <w:pStyle w:val="BodyText"/>
      </w:pPr>
      <w:r w:rsidRPr="00A438A0">
        <w:t xml:space="preserve">Based on the analysis above, staff recommends </w:t>
      </w:r>
      <w:r w:rsidR="003E59F9" w:rsidRPr="00A438A0">
        <w:t xml:space="preserve">Sandalhaven’s wastewater collection system, purchased wastewater treatment capacity, and primary master lift station should be considered 100 percent U&amp;U; and its interconnection force main should be considered 74.9 percent U&amp;U. </w:t>
      </w:r>
      <w:r w:rsidR="003E59F9" w:rsidRPr="00A438A0">
        <w:rPr>
          <w:bCs/>
        </w:rPr>
        <w:t>To reflect the appropriate U&amp;U percentages, staff recommends that plant be decreased by $755,064, accumulated depreciation be decreased by $252,979, CIAC be decreased by $19,144, and accumulated amortization of CIAC be decreased by $7,337. In addition, Land should be decreased by $4,662. Corresponding adjustments should be made to decrease depreciation expense and amortization expense by $26,089 and $637, respectively. As such, rate base should be decreased by $490,278 and net depreciation expense should be decreased by $25,451.</w:t>
      </w:r>
      <w:r w:rsidR="003E59F9" w:rsidRPr="00A438A0">
        <w:t xml:space="preserve"> Staff recommends that wastewater purchased power, chemical expenses, and purchased wastewater treatment should be reduced by 26.07 percent for I&amp;I.</w:t>
      </w:r>
      <w:r w:rsidRPr="00A438A0">
        <w:t xml:space="preserve"> </w:t>
      </w:r>
    </w:p>
    <w:p w:rsidR="00260E0A" w:rsidRPr="00A438A0" w:rsidRDefault="00260E0A">
      <w:pPr>
        <w:pStyle w:val="BodyText"/>
      </w:pPr>
    </w:p>
    <w:p w:rsidR="00DA751B" w:rsidRPr="00A438A0" w:rsidRDefault="00DA751B" w:rsidP="00882861">
      <w:pPr>
        <w:pStyle w:val="IssueHeading"/>
        <w:rPr>
          <w:vanish/>
          <w:specVanish/>
        </w:rPr>
      </w:pPr>
      <w:r w:rsidRPr="00A438A0">
        <w:rPr>
          <w:b w:val="0"/>
          <w:i w:val="0"/>
        </w:rPr>
        <w:br w:type="page"/>
      </w:r>
      <w:r w:rsidRPr="00A438A0">
        <w:lastRenderedPageBreak/>
        <w:t xml:space="preserve">Issue </w:t>
      </w:r>
      <w:r w:rsidR="006D42F5">
        <w:fldChar w:fldCharType="begin"/>
      </w:r>
      <w:r w:rsidR="006D42F5">
        <w:instrText xml:space="preserve"> SEQ Issue \* MERGEFORMAT </w:instrText>
      </w:r>
      <w:r w:rsidR="006D42F5">
        <w:fldChar w:fldCharType="separate"/>
      </w:r>
      <w:r w:rsidR="00A05B79">
        <w:rPr>
          <w:noProof/>
        </w:rPr>
        <w:t>6</w:t>
      </w:r>
      <w:r w:rsidR="006D42F5">
        <w:rPr>
          <w:noProof/>
        </w:rPr>
        <w:fldChar w:fldCharType="end"/>
      </w:r>
      <w:r w:rsidRPr="00A438A0">
        <w:t>:</w:t>
      </w:r>
      <w:r w:rsidRPr="00A438A0">
        <w:fldChar w:fldCharType="begin"/>
      </w:r>
      <w:r w:rsidRPr="00A438A0">
        <w:instrText xml:space="preserve"> TC "</w:instrText>
      </w:r>
      <w:r w:rsidRPr="00A438A0">
        <w:fldChar w:fldCharType="begin"/>
      </w:r>
      <w:r w:rsidRPr="00A438A0">
        <w:instrText xml:space="preserve"> SEQ issue \c </w:instrText>
      </w:r>
      <w:r w:rsidRPr="00A438A0">
        <w:fldChar w:fldCharType="separate"/>
      </w:r>
      <w:bookmarkStart w:id="21" w:name="_Toc435607940"/>
      <w:r w:rsidR="00A05B79">
        <w:rPr>
          <w:noProof/>
        </w:rPr>
        <w:instrText>6</w:instrText>
      </w:r>
      <w:r w:rsidRPr="00A438A0">
        <w:fldChar w:fldCharType="end"/>
      </w:r>
      <w:r w:rsidRPr="00A438A0">
        <w:tab/>
        <w:instrText>Working Capital Allowance (</w:instrText>
      </w:r>
      <w:r w:rsidR="00D11C73" w:rsidRPr="00A438A0">
        <w:instrText xml:space="preserve">Yeazel, </w:instrText>
      </w:r>
      <w:r w:rsidRPr="00A438A0">
        <w:instrText>D. Buys)</w:instrText>
      </w:r>
      <w:bookmarkEnd w:id="21"/>
      <w:r w:rsidRPr="00A438A0">
        <w:instrText xml:space="preserve">" \l 1 </w:instrText>
      </w:r>
      <w:r w:rsidRPr="00A438A0">
        <w:fldChar w:fldCharType="end"/>
      </w:r>
      <w:r w:rsidRPr="00A438A0">
        <w:t> </w:t>
      </w:r>
    </w:p>
    <w:p w:rsidR="00DA751B" w:rsidRPr="00A438A0" w:rsidRDefault="00DA751B">
      <w:pPr>
        <w:pStyle w:val="BodyText"/>
      </w:pPr>
      <w:r w:rsidRPr="00A438A0">
        <w:t> What is the appropriate working capital allowance?</w:t>
      </w:r>
    </w:p>
    <w:p w:rsidR="00DA751B" w:rsidRPr="00A438A0" w:rsidRDefault="00DA751B">
      <w:pPr>
        <w:pStyle w:val="IssueSubsectionHeading"/>
        <w:rPr>
          <w:vanish/>
          <w:specVanish/>
        </w:rPr>
      </w:pPr>
      <w:r w:rsidRPr="00A438A0">
        <w:t>Recommendation: </w:t>
      </w:r>
    </w:p>
    <w:p w:rsidR="00DA751B" w:rsidRPr="00A438A0" w:rsidRDefault="00DA751B">
      <w:pPr>
        <w:pStyle w:val="BodyText"/>
      </w:pPr>
      <w:r w:rsidRPr="00A438A0">
        <w:t> </w:t>
      </w:r>
      <w:r w:rsidR="00DD415D" w:rsidRPr="00A438A0">
        <w:t xml:space="preserve">The appropriate working capital allowance is $70,647. As such, the working capital allowance should be decreased by $16,610. </w:t>
      </w:r>
      <w:r w:rsidRPr="00A438A0">
        <w:t xml:space="preserve"> (</w:t>
      </w:r>
      <w:r w:rsidR="00D11C73" w:rsidRPr="00A438A0">
        <w:t xml:space="preserve">Yeazel, </w:t>
      </w:r>
      <w:r w:rsidRPr="00A438A0">
        <w:t>D. Buys)</w:t>
      </w:r>
    </w:p>
    <w:p w:rsidR="00DA751B" w:rsidRPr="00A438A0" w:rsidRDefault="00DA751B">
      <w:pPr>
        <w:pStyle w:val="IssueSubsectionHeading"/>
        <w:rPr>
          <w:vanish/>
          <w:specVanish/>
        </w:rPr>
      </w:pPr>
      <w:r w:rsidRPr="00A438A0">
        <w:t>Staff Analysis: </w:t>
      </w:r>
    </w:p>
    <w:p w:rsidR="00DD415D" w:rsidRPr="00A438A0" w:rsidRDefault="00DA751B" w:rsidP="00DD415D">
      <w:pPr>
        <w:pStyle w:val="BodyText"/>
      </w:pPr>
      <w:r w:rsidRPr="00A438A0">
        <w:t> </w:t>
      </w:r>
      <w:r w:rsidR="00DD415D" w:rsidRPr="00A438A0">
        <w:t>Rule 25-30.433(2), F.A.C., requires that Class B utilities use the formula method, or one-eighth of O&amp;M</w:t>
      </w:r>
      <w:r w:rsidR="00311D19">
        <w:t xml:space="preserve"> E</w:t>
      </w:r>
      <w:r w:rsidR="00DD415D" w:rsidRPr="00A438A0">
        <w:t>xpense, to calculate the working capital allowance. The utility properly filed its allowance for working capital using the one-eighth of O&amp;M expense method and reflected a working capital allowance of $87,257 in its MFRs. Staff has recommended adjustments to Sandalhaven’s O&amp;M expenses, which are reflected on Schedule No. 3-</w:t>
      </w:r>
      <w:r w:rsidR="00311D19">
        <w:t>A</w:t>
      </w:r>
      <w:r w:rsidR="00DD415D" w:rsidRPr="00A438A0">
        <w:t>. As a result, staff recommends a working capital allowance of $70,647. This reflects a decrease of $16,610 to the utilities requested working capital allowance.</w:t>
      </w:r>
    </w:p>
    <w:p w:rsidR="00DA751B" w:rsidRPr="00A438A0" w:rsidRDefault="00DA751B">
      <w:pPr>
        <w:pStyle w:val="BodyText"/>
      </w:pPr>
    </w:p>
    <w:p w:rsidR="00315DBB" w:rsidRPr="00A438A0" w:rsidRDefault="00315DBB">
      <w:pPr>
        <w:pStyle w:val="IssueHeading"/>
        <w:rPr>
          <w:vanish/>
          <w:specVanish/>
        </w:rPr>
      </w:pPr>
      <w:r w:rsidRPr="00A438A0">
        <w:rPr>
          <w:b w:val="0"/>
          <w:i w:val="0"/>
        </w:rPr>
        <w:br w:type="page"/>
      </w:r>
      <w:r w:rsidRPr="00A438A0">
        <w:lastRenderedPageBreak/>
        <w:t xml:space="preserve">Issue </w:t>
      </w:r>
      <w:r w:rsidR="006D42F5">
        <w:fldChar w:fldCharType="begin"/>
      </w:r>
      <w:r w:rsidR="006D42F5">
        <w:instrText xml:space="preserve"> SEQ </w:instrText>
      </w:r>
      <w:r w:rsidR="006D42F5">
        <w:instrText xml:space="preserve">Issue \* MERGEFORMAT </w:instrText>
      </w:r>
      <w:r w:rsidR="006D42F5">
        <w:fldChar w:fldCharType="separate"/>
      </w:r>
      <w:r w:rsidR="00A05B79">
        <w:rPr>
          <w:noProof/>
        </w:rPr>
        <w:t>7</w:t>
      </w:r>
      <w:r w:rsidR="006D42F5">
        <w:rPr>
          <w:noProof/>
        </w:rPr>
        <w:fldChar w:fldCharType="end"/>
      </w:r>
      <w:r w:rsidRPr="00A438A0">
        <w:t>:</w:t>
      </w:r>
      <w:r w:rsidRPr="00A438A0">
        <w:fldChar w:fldCharType="begin"/>
      </w:r>
      <w:r w:rsidRPr="00A438A0">
        <w:instrText xml:space="preserve"> TC "</w:instrText>
      </w:r>
      <w:r w:rsidRPr="00A438A0">
        <w:fldChar w:fldCharType="begin"/>
      </w:r>
      <w:r w:rsidRPr="00A438A0">
        <w:instrText xml:space="preserve"> SEQ issue \c </w:instrText>
      </w:r>
      <w:r w:rsidRPr="00A438A0">
        <w:fldChar w:fldCharType="separate"/>
      </w:r>
      <w:bookmarkStart w:id="22" w:name="_Toc435607941"/>
      <w:r w:rsidR="00A05B79">
        <w:rPr>
          <w:noProof/>
        </w:rPr>
        <w:instrText>7</w:instrText>
      </w:r>
      <w:r w:rsidRPr="00A438A0">
        <w:fldChar w:fldCharType="end"/>
      </w:r>
      <w:r w:rsidRPr="00A438A0">
        <w:tab/>
      </w:r>
      <w:r w:rsidR="00FC5296" w:rsidRPr="00A438A0">
        <w:instrText>Rate Base (D. Buys)</w:instrText>
      </w:r>
      <w:bookmarkEnd w:id="22"/>
      <w:r w:rsidRPr="00A438A0">
        <w:instrText xml:space="preserve">" \l 1 </w:instrText>
      </w:r>
      <w:r w:rsidRPr="00A438A0">
        <w:fldChar w:fldCharType="end"/>
      </w:r>
      <w:r w:rsidRPr="00A438A0">
        <w:t> </w:t>
      </w:r>
    </w:p>
    <w:p w:rsidR="00315DBB" w:rsidRPr="00A438A0" w:rsidRDefault="00315DBB">
      <w:pPr>
        <w:pStyle w:val="BodyText"/>
      </w:pPr>
      <w:r w:rsidRPr="00A438A0">
        <w:t> </w:t>
      </w:r>
      <w:r w:rsidR="00D11C73" w:rsidRPr="00A438A0">
        <w:t>What is the appropriate rate base for the test year period ended December 31, 2014?</w:t>
      </w:r>
    </w:p>
    <w:p w:rsidR="00315DBB" w:rsidRPr="00A438A0" w:rsidRDefault="00315DBB">
      <w:pPr>
        <w:pStyle w:val="IssueSubsectionHeading"/>
        <w:rPr>
          <w:vanish/>
          <w:specVanish/>
        </w:rPr>
      </w:pPr>
      <w:r w:rsidRPr="00A438A0">
        <w:t>Recommendation: </w:t>
      </w:r>
    </w:p>
    <w:p w:rsidR="00315DBB" w:rsidRPr="00A438A0" w:rsidRDefault="00315DBB">
      <w:pPr>
        <w:pStyle w:val="BodyText"/>
      </w:pPr>
      <w:r w:rsidRPr="00A438A0">
        <w:t> </w:t>
      </w:r>
      <w:r w:rsidR="00E26086" w:rsidRPr="00A438A0">
        <w:t>Consistent with staff’s other recommended adjustments, the appropriate rate base for the test year ended December 31, 2014, is $3,561,327.</w:t>
      </w:r>
      <w:r w:rsidRPr="00A438A0">
        <w:t xml:space="preserve"> (D. Buys)</w:t>
      </w:r>
    </w:p>
    <w:p w:rsidR="00315DBB" w:rsidRPr="00A438A0" w:rsidRDefault="00315DBB">
      <w:pPr>
        <w:pStyle w:val="IssueSubsectionHeading"/>
        <w:rPr>
          <w:vanish/>
          <w:specVanish/>
        </w:rPr>
      </w:pPr>
      <w:r w:rsidRPr="00A438A0">
        <w:t>Staff Analysis: </w:t>
      </w:r>
    </w:p>
    <w:p w:rsidR="00E26086" w:rsidRPr="00A438A0" w:rsidRDefault="00315DBB" w:rsidP="00E26086">
      <w:pPr>
        <w:pStyle w:val="IssueSubsectionHeading"/>
        <w:rPr>
          <w:vanish/>
          <w:specVanish/>
        </w:rPr>
      </w:pPr>
      <w:r w:rsidRPr="00A438A0">
        <w:t> </w:t>
      </w:r>
      <w:r w:rsidR="00E26086" w:rsidRPr="00A438A0">
        <w:t> </w:t>
      </w:r>
    </w:p>
    <w:p w:rsidR="00E26086" w:rsidRPr="00A438A0" w:rsidRDefault="00E26086" w:rsidP="00E26086">
      <w:pPr>
        <w:pStyle w:val="BodyText"/>
      </w:pPr>
      <w:r w:rsidRPr="00A438A0">
        <w:t> In its Revised MFRs, the utility requested a rate base of $4,721,216. Based on staff’s recommended adjustments, the appropriate rate base is $3,561,327. Staff’s adjustments recommended in the preceding issues result in a decrease of $1,159,890. The schedule for rate base is attached as Schedule No. 1, and the adjustments are shown on Schedule No. 1-A.</w:t>
      </w:r>
    </w:p>
    <w:p w:rsidR="00315DBB" w:rsidRPr="00A438A0" w:rsidRDefault="00315DBB">
      <w:pPr>
        <w:pStyle w:val="BodyText"/>
      </w:pPr>
    </w:p>
    <w:p w:rsidR="00FC5296" w:rsidRPr="00A438A0" w:rsidRDefault="00FC5296" w:rsidP="00FC5296">
      <w:pPr>
        <w:pStyle w:val="RecommendationIssueGroupingSection"/>
      </w:pPr>
      <w:r w:rsidRPr="00A438A0">
        <w:br w:type="page"/>
      </w:r>
    </w:p>
    <w:p w:rsidR="00FC5296" w:rsidRPr="00A438A0" w:rsidRDefault="00FC5296">
      <w:pPr>
        <w:pStyle w:val="IssueHeading"/>
        <w:rPr>
          <w:vanish/>
          <w:specVanish/>
        </w:rPr>
      </w:pPr>
      <w:r w:rsidRPr="00A438A0">
        <w:lastRenderedPageBreak/>
        <w:t xml:space="preserve">Issue </w:t>
      </w:r>
      <w:r w:rsidR="006D42F5">
        <w:fldChar w:fldCharType="begin"/>
      </w:r>
      <w:r w:rsidR="006D42F5">
        <w:instrText xml:space="preserve"> SEQ Issue \* MERGEFORMAT </w:instrText>
      </w:r>
      <w:r w:rsidR="006D42F5">
        <w:fldChar w:fldCharType="separate"/>
      </w:r>
      <w:r w:rsidR="00A05B79">
        <w:rPr>
          <w:noProof/>
        </w:rPr>
        <w:t>8</w:t>
      </w:r>
      <w:r w:rsidR="006D42F5">
        <w:rPr>
          <w:noProof/>
        </w:rPr>
        <w:fldChar w:fldCharType="end"/>
      </w:r>
      <w:r w:rsidRPr="00A438A0">
        <w:t>:</w:t>
      </w:r>
      <w:r w:rsidRPr="00A438A0">
        <w:fldChar w:fldCharType="begin"/>
      </w:r>
      <w:r w:rsidRPr="00A438A0">
        <w:instrText xml:space="preserve"> TC "</w:instrText>
      </w:r>
      <w:r w:rsidRPr="00A438A0">
        <w:fldChar w:fldCharType="begin"/>
      </w:r>
      <w:r w:rsidRPr="00A438A0">
        <w:instrText xml:space="preserve"> SEQ issue \c </w:instrText>
      </w:r>
      <w:r w:rsidRPr="00A438A0">
        <w:fldChar w:fldCharType="separate"/>
      </w:r>
      <w:bookmarkStart w:id="23" w:name="_Toc435607942"/>
      <w:r w:rsidR="00A05B79">
        <w:rPr>
          <w:noProof/>
        </w:rPr>
        <w:instrText>8</w:instrText>
      </w:r>
      <w:r w:rsidRPr="00A438A0">
        <w:fldChar w:fldCharType="end"/>
      </w:r>
      <w:r w:rsidRPr="00A438A0">
        <w:tab/>
        <w:instrText>Return of Equity (</w:instrText>
      </w:r>
      <w:r w:rsidR="00D11C73" w:rsidRPr="00A438A0">
        <w:instrText>Archer</w:instrText>
      </w:r>
      <w:r w:rsidRPr="00A438A0">
        <w:instrText>)</w:instrText>
      </w:r>
      <w:bookmarkEnd w:id="23"/>
      <w:r w:rsidRPr="00A438A0">
        <w:instrText xml:space="preserve">" \l 1 </w:instrText>
      </w:r>
      <w:r w:rsidRPr="00A438A0">
        <w:fldChar w:fldCharType="end"/>
      </w:r>
      <w:r w:rsidRPr="00A438A0">
        <w:t> </w:t>
      </w:r>
    </w:p>
    <w:p w:rsidR="00FC5296" w:rsidRPr="00A438A0" w:rsidRDefault="00FC5296">
      <w:pPr>
        <w:pStyle w:val="BodyText"/>
      </w:pPr>
      <w:r w:rsidRPr="00A438A0">
        <w:t> What is the appropriate return on equity?</w:t>
      </w:r>
    </w:p>
    <w:p w:rsidR="00FC5296" w:rsidRPr="00A438A0" w:rsidRDefault="00FC5296">
      <w:pPr>
        <w:pStyle w:val="IssueSubsectionHeading"/>
        <w:rPr>
          <w:vanish/>
          <w:specVanish/>
        </w:rPr>
      </w:pPr>
      <w:r w:rsidRPr="00A438A0">
        <w:t>Recommendation: </w:t>
      </w:r>
    </w:p>
    <w:p w:rsidR="00FC5296" w:rsidRPr="00A438A0" w:rsidRDefault="00FC5296">
      <w:pPr>
        <w:pStyle w:val="BodyText"/>
      </w:pPr>
      <w:r w:rsidRPr="00A438A0">
        <w:t> </w:t>
      </w:r>
      <w:r w:rsidR="00E26086" w:rsidRPr="00A438A0">
        <w:t>Based on the Commission leverage formula currently in effect, the appropriate allowed return on equity (ROE) is 10.36 percent with a range of plus or minus 100 basis points.</w:t>
      </w:r>
      <w:r w:rsidRPr="00A438A0">
        <w:t xml:space="preserve"> (</w:t>
      </w:r>
      <w:r w:rsidR="00D11C73" w:rsidRPr="00A438A0">
        <w:t>Archer</w:t>
      </w:r>
      <w:r w:rsidRPr="00A438A0">
        <w:t>)</w:t>
      </w:r>
    </w:p>
    <w:p w:rsidR="00FC5296" w:rsidRPr="00A438A0" w:rsidRDefault="00FC5296">
      <w:pPr>
        <w:pStyle w:val="IssueSubsectionHeading"/>
        <w:rPr>
          <w:vanish/>
          <w:specVanish/>
        </w:rPr>
      </w:pPr>
      <w:r w:rsidRPr="00A438A0">
        <w:t>Staff Analysis: </w:t>
      </w:r>
    </w:p>
    <w:p w:rsidR="00FC5296" w:rsidRPr="00A438A0" w:rsidRDefault="00FC5296">
      <w:pPr>
        <w:pStyle w:val="BodyText"/>
      </w:pPr>
      <w:r w:rsidRPr="00A438A0">
        <w:t> </w:t>
      </w:r>
      <w:r w:rsidR="00E26086" w:rsidRPr="00A438A0">
        <w:t>The ROE included in the utility’s Revised MFRs is 10.37 percent. Based the current leverage formula in effect and an equity ratio of 49.78 percent, the appropriate allowed ROE is 10.36 percent. Staff recommends a range of plus or minus 100 basis points be recognized for ratemaking purposes.</w:t>
      </w:r>
    </w:p>
    <w:p w:rsidR="00D11C73" w:rsidRPr="00A438A0" w:rsidRDefault="00D11C73">
      <w:pPr>
        <w:pStyle w:val="IssueHeading"/>
        <w:rPr>
          <w:vanish/>
          <w:specVanish/>
        </w:rPr>
      </w:pPr>
      <w:r w:rsidRPr="00A438A0">
        <w:rPr>
          <w:b w:val="0"/>
          <w:i w:val="0"/>
        </w:rPr>
        <w:br w:type="page"/>
      </w:r>
      <w:r w:rsidRPr="00A438A0">
        <w:lastRenderedPageBreak/>
        <w:t xml:space="preserve">Issue </w:t>
      </w:r>
      <w:r w:rsidR="006D42F5">
        <w:fldChar w:fldCharType="begin"/>
      </w:r>
      <w:r w:rsidR="006D42F5">
        <w:instrText xml:space="preserve"> SEQ Issue \* MERGEFORMAT </w:instrText>
      </w:r>
      <w:r w:rsidR="006D42F5">
        <w:fldChar w:fldCharType="separate"/>
      </w:r>
      <w:r w:rsidR="00A05B79">
        <w:rPr>
          <w:noProof/>
        </w:rPr>
        <w:t>9</w:t>
      </w:r>
      <w:r w:rsidR="006D42F5">
        <w:rPr>
          <w:noProof/>
        </w:rPr>
        <w:fldChar w:fldCharType="end"/>
      </w:r>
      <w:r w:rsidRPr="00A438A0">
        <w:t>:</w:t>
      </w:r>
      <w:r w:rsidRPr="00A438A0">
        <w:fldChar w:fldCharType="begin"/>
      </w:r>
      <w:r w:rsidRPr="00A438A0">
        <w:instrText xml:space="preserve"> TC "</w:instrText>
      </w:r>
      <w:r w:rsidRPr="00A438A0">
        <w:fldChar w:fldCharType="begin"/>
      </w:r>
      <w:r w:rsidRPr="00A438A0">
        <w:instrText xml:space="preserve"> SEQ issue \c </w:instrText>
      </w:r>
      <w:r w:rsidRPr="00A438A0">
        <w:fldChar w:fldCharType="separate"/>
      </w:r>
      <w:bookmarkStart w:id="24" w:name="_Toc435607943"/>
      <w:r w:rsidR="00A05B79">
        <w:rPr>
          <w:noProof/>
        </w:rPr>
        <w:instrText>9</w:instrText>
      </w:r>
      <w:r w:rsidRPr="00A438A0">
        <w:fldChar w:fldCharType="end"/>
      </w:r>
      <w:r w:rsidRPr="00A438A0">
        <w:tab/>
        <w:instrText>Accumulated Deferred Income Taxes</w:instrText>
      </w:r>
      <w:r w:rsidR="004F34CE" w:rsidRPr="00A438A0">
        <w:instrText xml:space="preserve"> </w:instrText>
      </w:r>
      <w:r w:rsidRPr="00A438A0">
        <w:instrText>(D. Buys)</w:instrText>
      </w:r>
      <w:bookmarkEnd w:id="24"/>
      <w:r w:rsidRPr="00A438A0">
        <w:instrText xml:space="preserve">" \l 1 </w:instrText>
      </w:r>
      <w:r w:rsidRPr="00A438A0">
        <w:fldChar w:fldCharType="end"/>
      </w:r>
      <w:r w:rsidRPr="00A438A0">
        <w:t> </w:t>
      </w:r>
    </w:p>
    <w:p w:rsidR="00D11C73" w:rsidRPr="00A438A0" w:rsidRDefault="00D11C73">
      <w:pPr>
        <w:pStyle w:val="BodyText"/>
      </w:pPr>
      <w:r w:rsidRPr="00A438A0">
        <w:t> What is the appropriate balance of accumulated deferred income taxes</w:t>
      </w:r>
      <w:r w:rsidR="00B93958">
        <w:t>?</w:t>
      </w:r>
    </w:p>
    <w:p w:rsidR="00D11C73" w:rsidRPr="00A438A0" w:rsidRDefault="00D11C73">
      <w:pPr>
        <w:pStyle w:val="IssueSubsectionHeading"/>
        <w:rPr>
          <w:vanish/>
          <w:specVanish/>
        </w:rPr>
      </w:pPr>
      <w:r w:rsidRPr="00A438A0">
        <w:t>Recommendation: </w:t>
      </w:r>
    </w:p>
    <w:p w:rsidR="00D11C73" w:rsidRPr="00A438A0" w:rsidRDefault="00D11C73">
      <w:pPr>
        <w:pStyle w:val="BodyText"/>
      </w:pPr>
      <w:r w:rsidRPr="00A438A0">
        <w:t> </w:t>
      </w:r>
      <w:r w:rsidR="00ED471C" w:rsidRPr="00A438A0">
        <w:t>The appropriate 2014 average net used and useful credit accumulated deferred income taxes (ADITs) balance to include in the capital structure is $214,874.</w:t>
      </w:r>
      <w:r w:rsidRPr="00A438A0">
        <w:t xml:space="preserve"> (D. Buys)</w:t>
      </w:r>
    </w:p>
    <w:p w:rsidR="00D11C73" w:rsidRPr="00A438A0" w:rsidRDefault="00D11C73">
      <w:pPr>
        <w:pStyle w:val="IssueSubsectionHeading"/>
        <w:rPr>
          <w:vanish/>
          <w:specVanish/>
        </w:rPr>
      </w:pPr>
      <w:r w:rsidRPr="00A438A0">
        <w:t>Staff Analysis: </w:t>
      </w:r>
    </w:p>
    <w:p w:rsidR="00ED471C" w:rsidRPr="00A438A0" w:rsidRDefault="00D11C73" w:rsidP="00ED471C">
      <w:pPr>
        <w:pStyle w:val="BodyText"/>
      </w:pPr>
      <w:r w:rsidRPr="00A438A0">
        <w:t> </w:t>
      </w:r>
      <w:r w:rsidR="00311D19">
        <w:t>In its MFRs, the utility included a debit ADIT balance of $540,000 in its rate base. S</w:t>
      </w:r>
      <w:r w:rsidR="00ED471C" w:rsidRPr="00A438A0">
        <w:t xml:space="preserve">taff believes two adjustments to the utility’s ADITs are necessary. The adjustments involve the appropriate ratemaking treatment of the utility’s ADITs for taxes paid on plant capacity charges and whether the debit ADITs for a </w:t>
      </w:r>
      <w:r w:rsidR="00311D19">
        <w:t>n</w:t>
      </w:r>
      <w:r w:rsidR="00ED471C" w:rsidRPr="00A438A0">
        <w:t xml:space="preserve">et </w:t>
      </w:r>
      <w:r w:rsidR="00311D19">
        <w:t>o</w:t>
      </w:r>
      <w:r w:rsidR="00ED471C" w:rsidRPr="00A438A0">
        <w:t xml:space="preserve">perating </w:t>
      </w:r>
      <w:r w:rsidR="00311D19">
        <w:t>l</w:t>
      </w:r>
      <w:r w:rsidR="00ED471C" w:rsidRPr="00A438A0">
        <w:t>oss (NOL) should be disallowed.</w:t>
      </w:r>
    </w:p>
    <w:p w:rsidR="00ED471C" w:rsidRPr="00A438A0" w:rsidRDefault="00ED471C" w:rsidP="00ED471C">
      <w:pPr>
        <w:pStyle w:val="BodyText"/>
      </w:pPr>
      <w:r w:rsidRPr="00A438A0">
        <w:t>Sandalhaven included a debit ADIT amount of $618,138 associated with income taxes the utility paid on plant capacity fees received from property developers. Sandalhaven believes that IRS Treasury Regulation 1.118-2 requires the utility to treat plant capacity charges as taxable income. Staff believes that IRS Treasury Regulation 1.118-2 clearly demonstrates that, in this case, Sandalhaven’s plant capacity charges are non-taxable CIAC. In support of its position, the utility provided tax return documents showing it paid income taxes on the plant capacity fees of $895,000 in 2006. Specifically, the document included an entry for other income of $895,000 from service line and meter fees. In addition, the utility provided a memorandum from Price WaterhouseCoopers dated December 22, 2004. The memorandum indicated that PriceWaterhouseCoopers reviewed and signed the U.S. Corporation Income Tax returns for tax years 2001, 2002, and 2003, filed by Sandalhaven’s parent company, Utilities, Inc. The memo stated:</w:t>
      </w:r>
    </w:p>
    <w:p w:rsidR="00ED471C" w:rsidRPr="00A438A0" w:rsidRDefault="00ED471C" w:rsidP="00ED471C">
      <w:pPr>
        <w:pStyle w:val="BodyText"/>
        <w:ind w:left="720" w:right="720"/>
      </w:pPr>
      <w:r w:rsidRPr="00A438A0">
        <w:t>For the above mentioned income tax returns, plant modification fees and tap/connection fees were properly included in taxable income on each tax return under the provisions of the Internal Revenue Code Section 118 and the Income Tax regulations thereunder.</w:t>
      </w:r>
    </w:p>
    <w:p w:rsidR="00ED471C" w:rsidRPr="00A438A0" w:rsidRDefault="00ED471C" w:rsidP="00ED471C">
      <w:pPr>
        <w:pStyle w:val="BodyText"/>
      </w:pPr>
      <w:r w:rsidRPr="00A438A0">
        <w:t xml:space="preserve">Paragraph (b)(3) of IRS Treasury Regulation 1.118-2 states that a customer connection fee is not a contribution </w:t>
      </w:r>
      <w:r w:rsidR="00311D19">
        <w:t xml:space="preserve">in </w:t>
      </w:r>
      <w:r w:rsidRPr="00A438A0">
        <w:t xml:space="preserve">aid of construction under paragraph (b) and generally is included in taxable income. The utility classified the CIAC received from developers as tap fees, or service line or meter fees. Based on the utility’s classification, it is understandable that a reasonable person could conclude that the CIAC is taxable under the utility’s interpretation of IRS Treasury Regulation 1.118-2.  </w:t>
      </w:r>
    </w:p>
    <w:p w:rsidR="00ED471C" w:rsidRPr="00A438A0" w:rsidRDefault="00ED471C" w:rsidP="00ED471C">
      <w:pPr>
        <w:pStyle w:val="BodyText"/>
      </w:pPr>
      <w:r w:rsidRPr="00A438A0">
        <w:t>Staff believes that the CIAC collected from the developers does not meet the definition of a customer connection fee as defined by Paragraph (b)(3)(i) of IRS Treasury Regulation 1.118-2, which states:</w:t>
      </w:r>
    </w:p>
    <w:p w:rsidR="00ED471C" w:rsidRPr="00A438A0" w:rsidRDefault="00ED471C" w:rsidP="00ED471C">
      <w:pPr>
        <w:pStyle w:val="BodyText"/>
        <w:ind w:left="720" w:right="720"/>
      </w:pPr>
      <w:r w:rsidRPr="00A438A0">
        <w:t xml:space="preserve">The term </w:t>
      </w:r>
      <w:r w:rsidRPr="00A438A0">
        <w:rPr>
          <w:i/>
        </w:rPr>
        <w:t>customer connection fee</w:t>
      </w:r>
      <w:r w:rsidRPr="00A438A0">
        <w:t xml:space="preserve"> includes any amount of money or other property transferred to the utility representing the cost of installing a connection or service line (including the cost of meters and piping) from the utility’s main water or sewer lines to the line owned by the customer or potential customer.</w:t>
      </w:r>
    </w:p>
    <w:p w:rsidR="00ED471C" w:rsidRPr="00A438A0" w:rsidRDefault="00ED471C" w:rsidP="00ED471C">
      <w:pPr>
        <w:pStyle w:val="BodyText"/>
      </w:pPr>
      <w:r w:rsidRPr="00A438A0">
        <w:t xml:space="preserve">The CIAC in question consists mostly of payments from multiple developers from 1995 through 2006 to the utility to reserve capacity from the utility to serve potential residents in the planned </w:t>
      </w:r>
      <w:r w:rsidRPr="00A438A0">
        <w:lastRenderedPageBreak/>
        <w:t>developments. The amount of the plant capacity fee collected from the developers was based upon the Commission approved plant capacity fee of $1,250 per ERC listed in Sandalhaven’s tariff. The amount of CIAC received was $1,573,581 which resulted in deferred taxes of approximately $592,138.</w:t>
      </w:r>
    </w:p>
    <w:p w:rsidR="00ED471C" w:rsidRPr="00A438A0" w:rsidRDefault="00ED471C" w:rsidP="00ED471C">
      <w:pPr>
        <w:pStyle w:val="BodyText"/>
      </w:pPr>
      <w:r w:rsidRPr="00A438A0">
        <w:t>Staff also believes that IRS Treasury Regulation 1.118-2 clearly demonstrates that Sandalhaven’s plant capacity charges are non-taxable CIAC. The characteristics to meet the definition of non-taxable CIAC are</w:t>
      </w:r>
      <w:r w:rsidR="003213E3" w:rsidRPr="00A438A0">
        <w:t xml:space="preserve">: </w:t>
      </w:r>
      <w:r w:rsidRPr="00A438A0">
        <w:t xml:space="preserve"> (1) the money must be contributed to a regulated public utility that provides either w</w:t>
      </w:r>
      <w:r w:rsidR="003213E3" w:rsidRPr="00A438A0">
        <w:t>ater or sewer disposal services;</w:t>
      </w:r>
      <w:r w:rsidRPr="00A438A0">
        <w:t xml:space="preserve"> (2) the contribution must provide for the expansion, improvement, or replacem</w:t>
      </w:r>
      <w:r w:rsidR="003213E3" w:rsidRPr="00A438A0">
        <w:t>ent of the utility’s facilities;</w:t>
      </w:r>
      <w:r w:rsidRPr="00A438A0">
        <w:t xml:space="preserve"> and (3) the contribution cannot be included in the utility’s rate base for rate-making purposes. The CIAC collected by the utility meets all of these characteristics.</w:t>
      </w:r>
    </w:p>
    <w:p w:rsidR="00ED471C" w:rsidRPr="00A438A0" w:rsidRDefault="00ED471C" w:rsidP="00ED471C">
      <w:pPr>
        <w:pStyle w:val="BodyText"/>
      </w:pPr>
      <w:r w:rsidRPr="00A438A0">
        <w:t>Further, if the CIAC received from the developers is considered a customer connection fee, staff believes that paragraph (b)(4)(i) of IRS Treasury Regulation 1.118-2 clearly demonstrates that Sandalhaven’s plant capacity charges meet the exception whereby the CIAC is non-taxable if the charges were approved within 8½ months from the in-service date of the wastewater treatment plant. Paragraph (b)(4)(ii) of IRS Treasury Regulation 1.118-2, states:</w:t>
      </w:r>
    </w:p>
    <w:p w:rsidR="00ED471C" w:rsidRPr="00A438A0" w:rsidRDefault="00ED471C" w:rsidP="00ED471C">
      <w:pPr>
        <w:pStyle w:val="BodyText"/>
        <w:ind w:left="720" w:right="720"/>
      </w:pPr>
      <w:r w:rsidRPr="00A438A0">
        <w:t xml:space="preserve">(ii)  Example. The application of paragraph (b) (4) (i) of this section is illustrated by the following example:  </w:t>
      </w:r>
    </w:p>
    <w:p w:rsidR="00ED471C" w:rsidRPr="00A438A0" w:rsidRDefault="00ED471C" w:rsidP="00ED471C">
      <w:pPr>
        <w:pStyle w:val="BodyText"/>
        <w:ind w:left="720" w:right="720"/>
      </w:pPr>
      <w:r w:rsidRPr="00A438A0">
        <w:t>Example. M, a calendar year regulated public utility that provides water services, spent $1,000,000 for the construction of a water facility that can serve 200 customers. M placed the facility in service in 2000. In June 2001, the public utility commission that regulates M approves a tariff requiring new customers to reimburse M for the cost of constructing the facility by paying a service availability charge of $5,000 per lot. Pursuant to the tariff, M expects to receive reimbursements for the cost of the facility of $100,000 per year for the years 2001 through 2010. The reimbursements are contributions in aid of construction under paragraph (b) of this section because no later than 8½ months after the close of the taxable year in which the facility was placed in service there was a tariff, binding under local law, approved by the public utility commission requiring new customers to reimburse the utility for the cost of constructing the facility. The basis of the $1,000,000 facility is zero because the expected contributions equal the cost of the facility.</w:t>
      </w:r>
    </w:p>
    <w:p w:rsidR="00ED471C" w:rsidRPr="00A438A0" w:rsidRDefault="00ED471C" w:rsidP="00ED471C">
      <w:pPr>
        <w:pStyle w:val="BodyText"/>
      </w:pPr>
      <w:r w:rsidRPr="00A438A0">
        <w:t>Pursuant to Section 367.171, F.S., on September 27, 1994, the Board of County Commissioners of Charlotte County adopted a resolution giving this Commission jurisdiction over privately owned water and wastewater utilities in Charlotte County. By Order No. PSC-94-1451-FOF-WS, issued November 28, 1994, the Commission acknowledged the County's resolution. By Order No. PSC-95-0478-FOF-SU, the Commission approved a grandfather certificate for the utility and approved the $1,250 plant capacity charge that Charlotte County had initially set. By Order No. PSC-99-2114-PAA-SU, the Commission approved the transfer from Sandalhaven Utility, Inc. to Utilities, Inc. of Sandalhaven and approved the adoption of the same $1,250 plant capacity charge.</w:t>
      </w:r>
    </w:p>
    <w:p w:rsidR="00ED471C" w:rsidRPr="00A438A0" w:rsidRDefault="00ED471C" w:rsidP="00ED471C">
      <w:pPr>
        <w:pStyle w:val="BodyText"/>
      </w:pPr>
      <w:r w:rsidRPr="00A438A0">
        <w:lastRenderedPageBreak/>
        <w:t>Additionally, the amount of ADITs associated with the tax years 2001, 2002, and 2003, addressed by the PriceWaterhouseCoopers memorandum discussed above, have been retired in conjunction with the retirement of the WWTP and should be removed from the ADIT balance in any case. Further, in its response to staff’s fifth data request number 12, Sandalhaven stated that the plant capacity fees that comprise the CIAC in question were misclassified as tap fees and are capacity charges.</w:t>
      </w:r>
    </w:p>
    <w:p w:rsidR="00ED471C" w:rsidRPr="00A438A0" w:rsidRDefault="00ED471C" w:rsidP="00ED471C">
      <w:pPr>
        <w:pStyle w:val="BodyText"/>
      </w:pPr>
      <w:r w:rsidRPr="00A438A0">
        <w:t>In light of the above, staff believes that the debit ADITs from taxes paid on plant capacity charges should be disallowed for ratemaking purposes. This same issue was addressed in the utility’s last case before the Commission in Docket No. 060285-WS, and in that case, the Commission disallowed the inclusion of the debit ADITs.</w:t>
      </w:r>
      <w:r w:rsidRPr="00A438A0">
        <w:rPr>
          <w:rStyle w:val="FootnoteReference"/>
        </w:rPr>
        <w:footnoteReference w:id="7"/>
      </w:r>
    </w:p>
    <w:p w:rsidR="00ED471C" w:rsidRPr="00A438A0" w:rsidRDefault="00ED471C" w:rsidP="00ED471C">
      <w:pPr>
        <w:pStyle w:val="BodyText"/>
      </w:pPr>
      <w:r w:rsidRPr="00A438A0">
        <w:t>Sandalhaven also included a debit ADIT amount</w:t>
      </w:r>
      <w:r w:rsidR="003F4C6F">
        <w:t xml:space="preserve"> of $137,165 associated with a NOL</w:t>
      </w:r>
      <w:r w:rsidRPr="00A438A0">
        <w:t xml:space="preserve"> incurred in prior years. For the purpose of setting rates, staff believes the debit amount associated with the NOL should not be included in the ADIT balance unless the NOL is included in the calculation of the per book income tax expense. Including the debit ADIT for a NOL in years outside of the test year would allow the utility to recover prior year losses in current rates. Because the utility did not include the NOL in its income tax expense for the test year, staff recommends the debit amount of $137,165 be removed from the utility’s ADIT balance. This treatment is consistent with the Commission’s decision in the Labrador rate case in Docket No. 140135-WS.</w:t>
      </w:r>
      <w:r w:rsidRPr="00A438A0">
        <w:rPr>
          <w:rStyle w:val="FootnoteReference"/>
        </w:rPr>
        <w:footnoteReference w:id="8"/>
      </w:r>
    </w:p>
    <w:p w:rsidR="00ED471C" w:rsidRPr="00A438A0" w:rsidRDefault="00ED471C" w:rsidP="00ED471C">
      <w:pPr>
        <w:pStyle w:val="BodyText"/>
      </w:pPr>
      <w:r w:rsidRPr="00A438A0">
        <w:t xml:space="preserve">Based on staff’s analysis above, the debit ADIT balance of $618,138 associated with plant capacity fees and the debit ADIT balance of $137,165 associated with the NOL should be disallowed. The resulting adjustment is an increase of $755,303 to the credit balance. Additionally, as discussed in Issue 4, a credit of $371 should be added to the ADIT balance to reflect the appropriate amount associated with the utility’s requested pro forma plant additions. Accordingly, staff recommends that the appropriate 2014 average net used and useful credit ADITs balance to include in the capital structure is $214,874. This represents an increase of $755,674 to the credit balance, because the utility reflected a net debit balance in rate base of $540,800 in its revised MFRs. </w:t>
      </w:r>
    </w:p>
    <w:p w:rsidR="00D11C73" w:rsidRPr="00A438A0" w:rsidRDefault="00D11C73" w:rsidP="00ED471C">
      <w:pPr>
        <w:pStyle w:val="BodyText"/>
      </w:pPr>
    </w:p>
    <w:p w:rsidR="00FC5296" w:rsidRPr="00A438A0" w:rsidRDefault="00FC5296">
      <w:pPr>
        <w:pStyle w:val="IssueHeading"/>
        <w:rPr>
          <w:vanish/>
          <w:specVanish/>
        </w:rPr>
      </w:pPr>
      <w:r w:rsidRPr="00A438A0">
        <w:rPr>
          <w:b w:val="0"/>
          <w:i w:val="0"/>
        </w:rPr>
        <w:br w:type="page"/>
      </w:r>
      <w:r w:rsidRPr="00A438A0">
        <w:lastRenderedPageBreak/>
        <w:t xml:space="preserve">Issue </w:t>
      </w:r>
      <w:r w:rsidR="00E83DB6" w:rsidRPr="00A438A0">
        <w:fldChar w:fldCharType="begin"/>
      </w:r>
      <w:r w:rsidR="00D11C73" w:rsidRPr="00A438A0">
        <w:instrText>seq issue \r 10</w:instrText>
      </w:r>
      <w:r w:rsidR="00E83DB6" w:rsidRPr="00A438A0">
        <w:fldChar w:fldCharType="separate"/>
      </w:r>
      <w:r w:rsidR="00A05B79">
        <w:rPr>
          <w:noProof/>
        </w:rPr>
        <w:t>10</w:t>
      </w:r>
      <w:r w:rsidR="00E83DB6" w:rsidRPr="00A438A0">
        <w:rPr>
          <w:noProof/>
        </w:rPr>
        <w:fldChar w:fldCharType="end"/>
      </w:r>
      <w:r w:rsidRPr="00A438A0">
        <w:t>:</w:t>
      </w:r>
      <w:r w:rsidRPr="00A438A0">
        <w:fldChar w:fldCharType="begin"/>
      </w:r>
      <w:r w:rsidRPr="00A438A0">
        <w:instrText xml:space="preserve"> TC "</w:instrText>
      </w:r>
      <w:r w:rsidRPr="00A438A0">
        <w:fldChar w:fldCharType="begin"/>
      </w:r>
      <w:r w:rsidRPr="00A438A0">
        <w:instrText xml:space="preserve"> SEQ issue \c </w:instrText>
      </w:r>
      <w:r w:rsidRPr="00A438A0">
        <w:fldChar w:fldCharType="separate"/>
      </w:r>
      <w:bookmarkStart w:id="25" w:name="_Toc435607944"/>
      <w:r w:rsidR="00A05B79">
        <w:rPr>
          <w:noProof/>
        </w:rPr>
        <w:instrText>10</w:instrText>
      </w:r>
      <w:r w:rsidRPr="00A438A0">
        <w:fldChar w:fldCharType="end"/>
      </w:r>
      <w:r w:rsidRPr="00A438A0">
        <w:tab/>
      </w:r>
      <w:r w:rsidR="000C4E2A" w:rsidRPr="00A438A0">
        <w:instrText>Weighted Average Cost of Capital (D. Buys)</w:instrText>
      </w:r>
      <w:bookmarkEnd w:id="25"/>
      <w:r w:rsidRPr="00A438A0">
        <w:instrText xml:space="preserve">" \l 1 </w:instrText>
      </w:r>
      <w:r w:rsidRPr="00A438A0">
        <w:fldChar w:fldCharType="end"/>
      </w:r>
      <w:r w:rsidRPr="00A438A0">
        <w:t> </w:t>
      </w:r>
    </w:p>
    <w:p w:rsidR="00FC5296" w:rsidRPr="00A438A0" w:rsidRDefault="00FC5296">
      <w:pPr>
        <w:pStyle w:val="BodyText"/>
      </w:pPr>
      <w:r w:rsidRPr="00A438A0">
        <w:t> </w:t>
      </w:r>
      <w:r w:rsidR="00D11C73" w:rsidRPr="00A438A0">
        <w:t>What is the appropriate weighted average cost of capital including the proper components, amounts, and cost rates associated with the capital structure for the test year ended December 31, 2014?</w:t>
      </w:r>
    </w:p>
    <w:p w:rsidR="00FC5296" w:rsidRPr="00A438A0" w:rsidRDefault="00FC5296">
      <w:pPr>
        <w:pStyle w:val="IssueSubsectionHeading"/>
        <w:rPr>
          <w:vanish/>
          <w:specVanish/>
        </w:rPr>
      </w:pPr>
      <w:r w:rsidRPr="00A438A0">
        <w:t>Recommendation: </w:t>
      </w:r>
    </w:p>
    <w:p w:rsidR="00FC5296" w:rsidRPr="00A438A0" w:rsidRDefault="00FC5296">
      <w:pPr>
        <w:pStyle w:val="BodyText"/>
      </w:pPr>
      <w:r w:rsidRPr="00A438A0">
        <w:t> </w:t>
      </w:r>
      <w:r w:rsidR="00ED471C" w:rsidRPr="00A438A0">
        <w:t>The appropriate weighted average cost of capital is 7.92 percent.</w:t>
      </w:r>
      <w:r w:rsidRPr="00A438A0">
        <w:t xml:space="preserve"> (D. Buys)</w:t>
      </w:r>
    </w:p>
    <w:p w:rsidR="00FC5296" w:rsidRPr="00A438A0" w:rsidRDefault="00FC5296">
      <w:pPr>
        <w:pStyle w:val="IssueSubsectionHeading"/>
        <w:rPr>
          <w:vanish/>
          <w:specVanish/>
        </w:rPr>
      </w:pPr>
      <w:r w:rsidRPr="00A438A0">
        <w:t>Staff Analysis: </w:t>
      </w:r>
    </w:p>
    <w:p w:rsidR="00ED471C" w:rsidRPr="00A438A0" w:rsidRDefault="00FC5296" w:rsidP="00ED471C">
      <w:pPr>
        <w:pStyle w:val="BodyText"/>
      </w:pPr>
      <w:r w:rsidRPr="00A438A0">
        <w:t> </w:t>
      </w:r>
      <w:r w:rsidR="00D11C73" w:rsidRPr="00A438A0">
        <w:t> </w:t>
      </w:r>
      <w:r w:rsidR="00ED471C" w:rsidRPr="00A438A0">
        <w:t>In its filing, the utility requested an overall cost of capital of 8.50 percent. In addition to the recommendations discussed in Issues 8 and 9, staff believes the cost rate for short-term debt should be adjusted.</w:t>
      </w:r>
    </w:p>
    <w:p w:rsidR="00ED471C" w:rsidRPr="00A438A0" w:rsidRDefault="00ED471C" w:rsidP="00ED471C">
      <w:pPr>
        <w:pStyle w:val="BodyText"/>
      </w:pPr>
      <w:r w:rsidRPr="00A438A0">
        <w:t>In its filing, Sandalhaven properly used the simple average method as required by Rule 25-30.433(4), F.A.C., to calculate a short-term interest rate of 7.77 percent. Using the simple average method, Sandalhaven calculated its average short-term debt balance to be $4,000,000. The utility’s annual interest expense was $310,713. Dividing the annual interest expense by the simple average balance yields a short-term debt cost rate of 7.77 percent. The 13-month average short-term debt balance for the test year ended December 31, 2014, was $13,923,077. Using the 13-month balance instead of the simple average balance results in a short-term debt cost rate of 2.23 percent.</w:t>
      </w:r>
    </w:p>
    <w:p w:rsidR="00ED471C" w:rsidRPr="00A438A0" w:rsidRDefault="00ED471C" w:rsidP="00ED471C">
      <w:pPr>
        <w:pStyle w:val="BodyText"/>
      </w:pPr>
      <w:r w:rsidRPr="00A438A0">
        <w:t>Using the simple average method yields an interest rate that is not reflective of the utility’s actual cost of short-term debt. The short-term debt for Sandalhaven is allocated from its parent company, Utilities, Inc. The outstanding balance of short-term debt as of December 31, 2013, was $5,700,000 and the outstanding balance as of December 31, 2014, was $2,300,000. The simple average is $4,000,000. The average outstanding balance for the eleven months January 2014 through November 2014 was $15,727,273. Utilities, Inc. paid interest expense based on the larger outstanding balance, not the simple average balance of $4,000,000. Using the interest expense for a larger outstanding balance yields a cost rate that is artificially inflated for rate-making purposes and is unreasonable.</w:t>
      </w:r>
    </w:p>
    <w:p w:rsidR="00ED471C" w:rsidRPr="00A438A0" w:rsidRDefault="00ED471C" w:rsidP="00ED471C">
      <w:pPr>
        <w:pStyle w:val="BodyText"/>
      </w:pPr>
      <w:r w:rsidRPr="00A438A0">
        <w:t>In its response to staff’s fifth data request, number 14, the utility explained short-term debt increased throughout 2014 to temporarily cover long-term debt interest obligations and was reduced at year end through an infusion of equity by Sandalhaven’s parent company, Utilities, Inc. While Utilities, Inc.’s short-term debt financial policies are fiscally prudent, Sandalhaven’s customers should not pay a short-term debt cost rate that is not reflective of the actual cost of short-term debt</w:t>
      </w:r>
      <w:r w:rsidR="003F4C6F">
        <w:t xml:space="preserve"> incurred</w:t>
      </w:r>
      <w:r w:rsidRPr="00A438A0">
        <w:t>.</w:t>
      </w:r>
    </w:p>
    <w:p w:rsidR="00ED471C" w:rsidRPr="00A438A0" w:rsidRDefault="00ED471C" w:rsidP="00ED471C">
      <w:pPr>
        <w:pStyle w:val="BodyText"/>
      </w:pPr>
      <w:r w:rsidRPr="00A438A0">
        <w:t>Labrador U</w:t>
      </w:r>
      <w:r w:rsidR="003F4C6F">
        <w:t>ti</w:t>
      </w:r>
      <w:r w:rsidRPr="00A438A0">
        <w:t>lities, Inc. (Labrador) used a simple average method to calculate the short-term debt cost rate.</w:t>
      </w:r>
      <w:r w:rsidR="003F4C6F">
        <w:rPr>
          <w:rStyle w:val="FootnoteReference"/>
        </w:rPr>
        <w:footnoteReference w:id="9"/>
      </w:r>
      <w:r w:rsidRPr="00A438A0">
        <w:t xml:space="preserve"> In that docket, the Commission reduced the short-term debt cost rate to match that of Sanlando Utilities Corp. (Sanlando). Sanlando used a 13-month average method to calculate a short-term debt cost rate of 2.82 percent. In the Labrador docket, the Commission reasoned that given that both utilities (Labrador and Sanlando) had the same amount of interest expense, the simple average method skews the calculation of the cost rate. The Commission found that because the short-term debt for both utilities was allocated from their parent company, Utilities </w:t>
      </w:r>
      <w:r w:rsidRPr="00A438A0">
        <w:lastRenderedPageBreak/>
        <w:t xml:space="preserve">Inc., it was appropriate for the short-term debt cost rate to be the same and reduced Labrador’s short-term debt cost rate to be the same as </w:t>
      </w:r>
      <w:r w:rsidR="006506D7">
        <w:t xml:space="preserve">the rate for </w:t>
      </w:r>
      <w:r w:rsidRPr="00A438A0">
        <w:t>Sanlando.</w:t>
      </w:r>
      <w:r w:rsidR="007B185D" w:rsidRPr="00A438A0">
        <w:rPr>
          <w:rStyle w:val="FootnoteReference"/>
        </w:rPr>
        <w:footnoteReference w:id="10"/>
      </w:r>
    </w:p>
    <w:p w:rsidR="00ED471C" w:rsidRPr="00A438A0" w:rsidRDefault="00ED471C" w:rsidP="00ED471C">
      <w:pPr>
        <w:pStyle w:val="BodyText"/>
      </w:pPr>
      <w:r w:rsidRPr="00A438A0">
        <w:t>Consistent with the Commission’s decision in the Labrador docket, staff recommends that the cost rate for short-term debt be calculated using a 13-month average method instead of a simple average method. Accordingly, staff recommends that the appropriate cost rate for short-term debt is 2.23 percent.</w:t>
      </w:r>
    </w:p>
    <w:p w:rsidR="00ED471C" w:rsidRPr="00A438A0" w:rsidRDefault="00ED471C" w:rsidP="00ED471C">
      <w:pPr>
        <w:pStyle w:val="IssueHeading"/>
        <w:rPr>
          <w:rFonts w:ascii="Times New Roman" w:hAnsi="Times New Roman" w:cs="Times New Roman"/>
          <w:b w:val="0"/>
          <w:bCs w:val="0"/>
          <w:i w:val="0"/>
          <w:kern w:val="0"/>
          <w:szCs w:val="24"/>
        </w:rPr>
      </w:pPr>
      <w:r w:rsidRPr="00A438A0">
        <w:rPr>
          <w:rFonts w:ascii="Times New Roman" w:hAnsi="Times New Roman" w:cs="Times New Roman"/>
          <w:b w:val="0"/>
          <w:bCs w:val="0"/>
          <w:i w:val="0"/>
          <w:kern w:val="0"/>
          <w:szCs w:val="24"/>
        </w:rPr>
        <w:t xml:space="preserve">Based upon the proper components, amounts, and cost rates associated with the capital structure, staff recommends a weighted average cost of capital for the test year ended December 31, 2014, of 7.92 percent. </w:t>
      </w:r>
    </w:p>
    <w:p w:rsidR="00FC5296" w:rsidRPr="00A438A0" w:rsidRDefault="00FC5296" w:rsidP="00ED471C">
      <w:pPr>
        <w:pStyle w:val="BodyText"/>
      </w:pPr>
    </w:p>
    <w:p w:rsidR="005B5701" w:rsidRPr="00A438A0" w:rsidRDefault="000C4E2A">
      <w:pPr>
        <w:pStyle w:val="IssueHeading"/>
        <w:rPr>
          <w:b w:val="0"/>
          <w:i w:val="0"/>
        </w:rPr>
      </w:pPr>
      <w:r w:rsidRPr="00A438A0">
        <w:rPr>
          <w:b w:val="0"/>
          <w:i w:val="0"/>
        </w:rPr>
        <w:br w:type="page"/>
      </w:r>
    </w:p>
    <w:p w:rsidR="000C4E2A" w:rsidRPr="00A438A0" w:rsidRDefault="000C4E2A">
      <w:pPr>
        <w:pStyle w:val="IssueHeading"/>
        <w:rPr>
          <w:vanish/>
          <w:specVanish/>
        </w:rPr>
      </w:pPr>
      <w:r w:rsidRPr="00A438A0">
        <w:lastRenderedPageBreak/>
        <w:t xml:space="preserve">Issue </w:t>
      </w:r>
      <w:r w:rsidR="006D42F5">
        <w:fldChar w:fldCharType="begin"/>
      </w:r>
      <w:r w:rsidR="006D42F5">
        <w:instrText xml:space="preserve"> SEQ Issue \* MERGEFORMAT </w:instrText>
      </w:r>
      <w:r w:rsidR="006D42F5">
        <w:fldChar w:fldCharType="separate"/>
      </w:r>
      <w:r w:rsidR="00A05B79">
        <w:rPr>
          <w:noProof/>
        </w:rPr>
        <w:t>11</w:t>
      </w:r>
      <w:r w:rsidR="006D42F5">
        <w:rPr>
          <w:noProof/>
        </w:rPr>
        <w:fldChar w:fldCharType="end"/>
      </w:r>
      <w:r w:rsidRPr="00A438A0">
        <w:t>:</w:t>
      </w:r>
      <w:r w:rsidRPr="00A438A0">
        <w:fldChar w:fldCharType="begin"/>
      </w:r>
      <w:r w:rsidRPr="00A438A0">
        <w:instrText xml:space="preserve"> TC "</w:instrText>
      </w:r>
      <w:r w:rsidRPr="00A438A0">
        <w:fldChar w:fldCharType="begin"/>
      </w:r>
      <w:r w:rsidRPr="00A438A0">
        <w:instrText xml:space="preserve"> SEQ issue \c </w:instrText>
      </w:r>
      <w:r w:rsidRPr="00A438A0">
        <w:fldChar w:fldCharType="separate"/>
      </w:r>
      <w:bookmarkStart w:id="26" w:name="_Toc435607945"/>
      <w:r w:rsidR="00A05B79">
        <w:rPr>
          <w:noProof/>
        </w:rPr>
        <w:instrText>11</w:instrText>
      </w:r>
      <w:r w:rsidRPr="00A438A0">
        <w:fldChar w:fldCharType="end"/>
      </w:r>
      <w:r w:rsidRPr="00A438A0">
        <w:tab/>
        <w:instrText>Test Year Revenues (Bruce)</w:instrText>
      </w:r>
      <w:bookmarkEnd w:id="26"/>
      <w:r w:rsidRPr="00A438A0">
        <w:instrText xml:space="preserve">" \l 1 </w:instrText>
      </w:r>
      <w:r w:rsidRPr="00A438A0">
        <w:fldChar w:fldCharType="end"/>
      </w:r>
      <w:r w:rsidRPr="00A438A0">
        <w:t> </w:t>
      </w:r>
    </w:p>
    <w:p w:rsidR="000C4E2A" w:rsidRPr="00A438A0" w:rsidRDefault="000C4E2A">
      <w:pPr>
        <w:pStyle w:val="BodyText"/>
      </w:pPr>
      <w:r w:rsidRPr="00A438A0">
        <w:t> What are the appropriate test year revenues for the Utility's wastewater system?</w:t>
      </w:r>
    </w:p>
    <w:p w:rsidR="000C4E2A" w:rsidRPr="00A438A0" w:rsidRDefault="000C4E2A">
      <w:pPr>
        <w:pStyle w:val="IssueSubsectionHeading"/>
        <w:rPr>
          <w:vanish/>
          <w:specVanish/>
        </w:rPr>
      </w:pPr>
      <w:r w:rsidRPr="00A438A0">
        <w:t>Recommendation: </w:t>
      </w:r>
    </w:p>
    <w:p w:rsidR="000C4E2A" w:rsidRPr="00A438A0" w:rsidRDefault="000C4E2A">
      <w:pPr>
        <w:pStyle w:val="BodyText"/>
      </w:pPr>
      <w:r w:rsidRPr="00A438A0">
        <w:t> </w:t>
      </w:r>
      <w:r w:rsidR="00727494" w:rsidRPr="00A438A0">
        <w:rPr>
          <w:rFonts w:cstheme="minorHAnsi"/>
        </w:rPr>
        <w:t>The appropriate test year revenues for Sandalhaven’s wastewater system, including miscellaneous revenues are $666,122.</w:t>
      </w:r>
      <w:r w:rsidR="00500A32" w:rsidRPr="00A438A0">
        <w:rPr>
          <w:rFonts w:cstheme="minorHAnsi"/>
        </w:rPr>
        <w:t xml:space="preserve"> </w:t>
      </w:r>
      <w:r w:rsidRPr="00A438A0">
        <w:t xml:space="preserve"> (Bruce)</w:t>
      </w:r>
    </w:p>
    <w:p w:rsidR="000C4E2A" w:rsidRPr="00A438A0" w:rsidRDefault="000C4E2A">
      <w:pPr>
        <w:pStyle w:val="IssueSubsectionHeading"/>
        <w:rPr>
          <w:vanish/>
          <w:specVanish/>
        </w:rPr>
      </w:pPr>
      <w:r w:rsidRPr="00A438A0">
        <w:t>Staff Analysis: </w:t>
      </w:r>
    </w:p>
    <w:p w:rsidR="000C4E2A" w:rsidRPr="00A438A0" w:rsidRDefault="000C4E2A" w:rsidP="00DF0941">
      <w:pPr>
        <w:jc w:val="both"/>
      </w:pPr>
      <w:r w:rsidRPr="00A438A0">
        <w:t> </w:t>
      </w:r>
      <w:r w:rsidR="002D642C" w:rsidRPr="00A438A0">
        <w:t xml:space="preserve">As </w:t>
      </w:r>
      <w:r w:rsidR="008648C7">
        <w:t>shown</w:t>
      </w:r>
      <w:r w:rsidR="002D642C" w:rsidRPr="00A438A0">
        <w:t xml:space="preserve"> in Issue 2, the utility agreed to Audit Finding No. 6, which reflected </w:t>
      </w:r>
      <w:r w:rsidR="0028795C" w:rsidRPr="00A438A0">
        <w:t xml:space="preserve">a decrease in test year revenues of </w:t>
      </w:r>
      <w:r w:rsidR="00DF0941" w:rsidRPr="00A438A0">
        <w:t>$17,939</w:t>
      </w:r>
      <w:r w:rsidR="00727494" w:rsidRPr="00A438A0">
        <w:t xml:space="preserve">. </w:t>
      </w:r>
      <w:r w:rsidR="00DF0941" w:rsidRPr="00A438A0">
        <w:t>However, after further analysis, staff discovered that additional billing determinants should be added to reflect the appropriate number of customers</w:t>
      </w:r>
      <w:r w:rsidR="00C372F5">
        <w:t xml:space="preserve"> who paid guaranteed revenues</w:t>
      </w:r>
      <w:r w:rsidR="00727494" w:rsidRPr="00A438A0">
        <w:t xml:space="preserve">. </w:t>
      </w:r>
      <w:r w:rsidR="00DF0941" w:rsidRPr="00A438A0">
        <w:t xml:space="preserve">As </w:t>
      </w:r>
      <w:r w:rsidR="00727494" w:rsidRPr="00A438A0">
        <w:t xml:space="preserve">a </w:t>
      </w:r>
      <w:r w:rsidR="00DF0941" w:rsidRPr="00A438A0">
        <w:t>result</w:t>
      </w:r>
      <w:r w:rsidR="00727494" w:rsidRPr="00A438A0">
        <w:t>,</w:t>
      </w:r>
      <w:r w:rsidR="00DF0941" w:rsidRPr="00A438A0">
        <w:t xml:space="preserve"> test year revenues should be increased by $2,285.</w:t>
      </w:r>
      <w:r w:rsidR="00DF0941" w:rsidRPr="00A438A0">
        <w:rPr>
          <w:rFonts w:cstheme="minorHAnsi"/>
        </w:rPr>
        <w:t xml:space="preserve"> Based on the above, the appropriate test year revenues for Sandalhaven</w:t>
      </w:r>
      <w:r w:rsidR="00727494" w:rsidRPr="00A438A0">
        <w:rPr>
          <w:rFonts w:cstheme="minorHAnsi"/>
        </w:rPr>
        <w:t>’s wastewater system</w:t>
      </w:r>
      <w:r w:rsidR="00DF0941" w:rsidRPr="00A438A0">
        <w:rPr>
          <w:rFonts w:cstheme="minorHAnsi"/>
        </w:rPr>
        <w:t>, including miscellaneous revenues are $666,122.</w:t>
      </w:r>
    </w:p>
    <w:p w:rsidR="000C4E2A" w:rsidRPr="00A438A0" w:rsidRDefault="000C4E2A">
      <w:pPr>
        <w:pStyle w:val="IssueHeading"/>
        <w:rPr>
          <w:vanish/>
          <w:specVanish/>
        </w:rPr>
      </w:pPr>
      <w:r w:rsidRPr="00A438A0">
        <w:rPr>
          <w:b w:val="0"/>
          <w:i w:val="0"/>
        </w:rPr>
        <w:br w:type="page"/>
      </w:r>
      <w:r w:rsidRPr="00A438A0">
        <w:lastRenderedPageBreak/>
        <w:t xml:space="preserve">Issue </w:t>
      </w:r>
      <w:r w:rsidR="006D42F5">
        <w:fldChar w:fldCharType="begin"/>
      </w:r>
      <w:r w:rsidR="006D42F5">
        <w:instrText xml:space="preserve"> SEQ Issue \* MERGEFORMAT </w:instrText>
      </w:r>
      <w:r w:rsidR="006D42F5">
        <w:fldChar w:fldCharType="separate"/>
      </w:r>
      <w:r w:rsidR="00A05B79">
        <w:rPr>
          <w:noProof/>
        </w:rPr>
        <w:t>12</w:t>
      </w:r>
      <w:r w:rsidR="006D42F5">
        <w:rPr>
          <w:noProof/>
        </w:rPr>
        <w:fldChar w:fldCharType="end"/>
      </w:r>
      <w:r w:rsidRPr="00A438A0">
        <w:t>:</w:t>
      </w:r>
      <w:r w:rsidRPr="00A438A0">
        <w:fldChar w:fldCharType="begin"/>
      </w:r>
      <w:r w:rsidRPr="00A438A0">
        <w:instrText xml:space="preserve"> TC "</w:instrText>
      </w:r>
      <w:r w:rsidRPr="00A438A0">
        <w:fldChar w:fldCharType="begin"/>
      </w:r>
      <w:r w:rsidRPr="00A438A0">
        <w:instrText xml:space="preserve"> SEQ issue \c </w:instrText>
      </w:r>
      <w:r w:rsidRPr="00A438A0">
        <w:fldChar w:fldCharType="separate"/>
      </w:r>
      <w:bookmarkStart w:id="27" w:name="_Toc435607946"/>
      <w:r w:rsidR="00A05B79">
        <w:rPr>
          <w:noProof/>
        </w:rPr>
        <w:instrText>12</w:instrText>
      </w:r>
      <w:r w:rsidRPr="00A438A0">
        <w:fldChar w:fldCharType="end"/>
      </w:r>
      <w:r w:rsidRPr="00A438A0">
        <w:tab/>
      </w:r>
      <w:r w:rsidR="00D53389" w:rsidRPr="00A438A0">
        <w:instrText>Salaries and Wages Expense Adjustment</w:instrText>
      </w:r>
      <w:r w:rsidR="00910863" w:rsidRPr="00A438A0">
        <w:instrText xml:space="preserve"> (</w:instrText>
      </w:r>
      <w:r w:rsidR="00D53389" w:rsidRPr="00A438A0">
        <w:instrText xml:space="preserve">Archer, </w:instrText>
      </w:r>
      <w:r w:rsidR="00910863" w:rsidRPr="00A438A0">
        <w:instrText>D. Buys)</w:instrText>
      </w:r>
      <w:bookmarkEnd w:id="27"/>
      <w:r w:rsidRPr="00A438A0">
        <w:instrText xml:space="preserve">" \l 1 </w:instrText>
      </w:r>
      <w:r w:rsidRPr="00A438A0">
        <w:fldChar w:fldCharType="end"/>
      </w:r>
      <w:r w:rsidRPr="00A438A0">
        <w:t> </w:t>
      </w:r>
    </w:p>
    <w:p w:rsidR="000C4E2A" w:rsidRPr="00A438A0" w:rsidRDefault="000C4E2A">
      <w:pPr>
        <w:pStyle w:val="BodyText"/>
      </w:pPr>
      <w:r w:rsidRPr="00A438A0">
        <w:t> </w:t>
      </w:r>
      <w:r w:rsidR="00D53389" w:rsidRPr="00A438A0">
        <w:t>Should any adjustment be made to the utility’s salaries and wages expense?</w:t>
      </w:r>
    </w:p>
    <w:p w:rsidR="000C4E2A" w:rsidRPr="00A438A0" w:rsidRDefault="000C4E2A">
      <w:pPr>
        <w:pStyle w:val="IssueSubsectionHeading"/>
        <w:rPr>
          <w:vanish/>
          <w:specVanish/>
        </w:rPr>
      </w:pPr>
      <w:r w:rsidRPr="00A438A0">
        <w:t>Recommendation: </w:t>
      </w:r>
    </w:p>
    <w:p w:rsidR="000C4E2A" w:rsidRPr="00A438A0" w:rsidRDefault="000C4E2A">
      <w:pPr>
        <w:pStyle w:val="BodyText"/>
      </w:pPr>
      <w:r w:rsidRPr="00A438A0">
        <w:t> </w:t>
      </w:r>
      <w:r w:rsidR="00784071" w:rsidRPr="00A438A0">
        <w:t>Yes. Salaries and wages expense should be decreased by $67,362. Employee Pensions and Benefit expense should be decreased by $</w:t>
      </w:r>
      <w:r w:rsidR="00311D19">
        <w:t>897</w:t>
      </w:r>
      <w:r w:rsidR="00784071" w:rsidRPr="00A438A0">
        <w:t>. In addition, payroll tax expense should be decreased by $4,027.</w:t>
      </w:r>
      <w:r w:rsidRPr="00A438A0">
        <w:t xml:space="preserve"> (</w:t>
      </w:r>
      <w:r w:rsidR="00D53389" w:rsidRPr="00A438A0">
        <w:t xml:space="preserve">Archer, </w:t>
      </w:r>
      <w:r w:rsidRPr="00A438A0">
        <w:t>D. Buys)</w:t>
      </w:r>
    </w:p>
    <w:p w:rsidR="000C4E2A" w:rsidRPr="00A438A0" w:rsidRDefault="000C4E2A">
      <w:pPr>
        <w:pStyle w:val="IssueSubsectionHeading"/>
        <w:rPr>
          <w:vanish/>
          <w:specVanish/>
        </w:rPr>
      </w:pPr>
      <w:r w:rsidRPr="00A438A0">
        <w:t>Staff Analysis: </w:t>
      </w:r>
    </w:p>
    <w:p w:rsidR="00784071" w:rsidRPr="00A438A0" w:rsidRDefault="000C4E2A" w:rsidP="00784071">
      <w:pPr>
        <w:pStyle w:val="BodyText"/>
      </w:pPr>
      <w:r w:rsidRPr="00A438A0">
        <w:t> </w:t>
      </w:r>
      <w:r w:rsidR="00784071" w:rsidRPr="00A438A0">
        <w:rPr>
          <w:bCs/>
        </w:rPr>
        <w:t>In its MFR, the utility recorded a Salaries &amp; Wages expense of $149,373 and Employees Pensions and Benefits expense of $22,907</w:t>
      </w:r>
      <w:r w:rsidR="00784071" w:rsidRPr="00A438A0">
        <w:t xml:space="preserve">. In the Affiliate Audit for UI, the staff auditors examined O&amp;M expense allocations for Sandalhaven. In Audit Finding Number 3, audit staff reduced the salaries of officers and employees by $10,131, payroll taxes by $10 and benefits by $379. Included in the salary expense were five wastewater plant operators that equated to 2.275 FTEs. Staff agrees with the audit findings, however, further adjustments should be made. </w:t>
      </w:r>
    </w:p>
    <w:p w:rsidR="00784071" w:rsidRPr="00A438A0" w:rsidRDefault="00784071" w:rsidP="00784071">
      <w:pPr>
        <w:pStyle w:val="BodyText"/>
      </w:pPr>
      <w:r w:rsidRPr="00A438A0">
        <w:t xml:space="preserve">Audit findings suggest that 1.2 </w:t>
      </w:r>
      <w:r w:rsidR="003F4C6F">
        <w:t>full time equivalents (</w:t>
      </w:r>
      <w:r w:rsidRPr="00A438A0">
        <w:t>FTEs</w:t>
      </w:r>
      <w:r w:rsidR="003F4C6F">
        <w:t>)</w:t>
      </w:r>
      <w:r w:rsidRPr="00A438A0">
        <w:t xml:space="preserve"> for wastewater plant operators are necessary to continue operations on the wastewater system after the decommissioning of the WWTP. Further, in its response to staff’s second data request number 2, the utility agreed that 1.2 FTEs should be sufficient on a going forward basis. Staff’s analysis in this docket reviewed this expense in light of current duties and responsibilities as well as the utility’s change in operations due to the decommissioning of the WWTP. Staff recommends a decrease in operators’ salaries and benefits of $45,778 and $13,284, respectively, to reflect the reduction in operator FTEs. An additional adjustment should be made to decrease payroll taxes by $3,947.</w:t>
      </w:r>
    </w:p>
    <w:p w:rsidR="00784071" w:rsidRPr="00A438A0" w:rsidRDefault="00784071" w:rsidP="00784071">
      <w:pPr>
        <w:pStyle w:val="BodyText"/>
      </w:pPr>
      <w:r w:rsidRPr="00A438A0">
        <w:t>Audit staff requested that the utility provide support for each employee, their most current annualized salary and the allocated salary, benefits, and taxes using the ERC allocation factor based on the employee's duties. The utility provided schedules using the salaries as of the end of April 2015 with the overtime earned in 2014, and the ERC factors at the end of April 2015. Some employees' aggregate salary was then increased by an average of 3 percent in preparation for the 2016 expenses. Consistent with prior Commission practice, staff believes that the increase for 2016 represents a pro forma expense that is outside of the test year and should be disallowed. Therefore, staff reduced non-operators’ salaries, benefits and payroll taxes, by 3 percent.</w:t>
      </w:r>
    </w:p>
    <w:p w:rsidR="00784071" w:rsidRPr="00A438A0" w:rsidRDefault="00784071" w:rsidP="00784071">
      <w:pPr>
        <w:pStyle w:val="BodyText"/>
      </w:pPr>
      <w:r w:rsidRPr="00A438A0">
        <w:t xml:space="preserve">In its MFRs the utility inadvertently made an adjustment to increase Salaries and Wages – Officers by $12,961. The adjusted amounts requested </w:t>
      </w:r>
      <w:r w:rsidR="00311D19">
        <w:t xml:space="preserve">in </w:t>
      </w:r>
      <w:r w:rsidRPr="00A438A0">
        <w:t xml:space="preserve">the utility’s MFRs are $22,907 for Pensions and Benefits, and $17,681 for Salaries and Wages – Officers. The staff audit findings reflected a balance of $35,489 for </w:t>
      </w:r>
      <w:r w:rsidR="00311D19">
        <w:t xml:space="preserve">Pensions and </w:t>
      </w:r>
      <w:r w:rsidRPr="00A438A0">
        <w:t xml:space="preserve">Benefits and a balance of $13,948 for Salaries and Wages – Officers. Based on the audit findings, staff believes the utility’s adjustment should have been made to Employees Pensions and Benefits expense. </w:t>
      </w:r>
    </w:p>
    <w:p w:rsidR="00784071" w:rsidRPr="00A438A0" w:rsidRDefault="00784071" w:rsidP="00784071">
      <w:pPr>
        <w:jc w:val="both"/>
      </w:pPr>
      <w:r w:rsidRPr="00A438A0">
        <w:t>Based on the audit findings and staff’s analysis above, staff believes the appropriate amount of Salaries and Wages – Employees, Salaries and Wages – Officers, and Employee Pensions and Benefits is $68,481, $13,530, and $22,010, respectively. The appropriate amount for payroll taxes is $7,332. Staff’s recommended adjustments are summarized in Table 1</w:t>
      </w:r>
      <w:r w:rsidR="006506D7">
        <w:t>2</w:t>
      </w:r>
      <w:r w:rsidRPr="00A438A0">
        <w:t>-1 below.</w:t>
      </w:r>
      <w:r w:rsidRPr="00A438A0">
        <w:br w:type="page"/>
      </w:r>
    </w:p>
    <w:p w:rsidR="00784071" w:rsidRPr="00A438A0" w:rsidRDefault="00784071" w:rsidP="00784071">
      <w:pPr>
        <w:pStyle w:val="BodyText"/>
        <w:spacing w:after="0"/>
        <w:jc w:val="center"/>
        <w:rPr>
          <w:rFonts w:ascii="Arial" w:hAnsi="Arial" w:cs="Arial"/>
          <w:b/>
        </w:rPr>
      </w:pPr>
      <w:r w:rsidRPr="00A438A0">
        <w:rPr>
          <w:rFonts w:ascii="Arial" w:hAnsi="Arial" w:cs="Arial"/>
          <w:b/>
        </w:rPr>
        <w:lastRenderedPageBreak/>
        <w:t>Table 1</w:t>
      </w:r>
      <w:r w:rsidR="003F4C6F">
        <w:rPr>
          <w:rFonts w:ascii="Arial" w:hAnsi="Arial" w:cs="Arial"/>
          <w:b/>
        </w:rPr>
        <w:t>2</w:t>
      </w:r>
      <w:r w:rsidRPr="00A438A0">
        <w:rPr>
          <w:rFonts w:ascii="Arial" w:hAnsi="Arial" w:cs="Arial"/>
          <w:b/>
        </w:rPr>
        <w:t>-1</w:t>
      </w:r>
    </w:p>
    <w:p w:rsidR="00784071" w:rsidRPr="00A438A0" w:rsidRDefault="00784071" w:rsidP="00784071">
      <w:pPr>
        <w:pStyle w:val="BodyText"/>
        <w:spacing w:after="0"/>
        <w:jc w:val="center"/>
        <w:rPr>
          <w:rFonts w:ascii="Arial" w:hAnsi="Arial" w:cs="Arial"/>
          <w:b/>
        </w:rPr>
      </w:pPr>
      <w:r w:rsidRPr="00A438A0">
        <w:rPr>
          <w:rFonts w:ascii="Arial" w:hAnsi="Arial" w:cs="Arial"/>
          <w:b/>
        </w:rPr>
        <w:t>Summary of Staff Recommended Adjustments</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200"/>
        <w:gridCol w:w="1430"/>
        <w:gridCol w:w="1736"/>
      </w:tblGrid>
      <w:tr w:rsidR="00784071" w:rsidRPr="00A438A0" w:rsidTr="00D74AEA">
        <w:trPr>
          <w:trHeight w:val="300"/>
          <w:jc w:val="center"/>
        </w:trPr>
        <w:tc>
          <w:tcPr>
            <w:tcW w:w="1725" w:type="dxa"/>
            <w:shd w:val="clear" w:color="auto" w:fill="auto"/>
            <w:noWrap/>
            <w:vAlign w:val="center"/>
            <w:hideMark/>
          </w:tcPr>
          <w:p w:rsidR="00784071" w:rsidRPr="00A438A0" w:rsidRDefault="00784071" w:rsidP="006F1BCD">
            <w:pPr>
              <w:pStyle w:val="BodyText"/>
              <w:jc w:val="center"/>
              <w:rPr>
                <w:b/>
              </w:rPr>
            </w:pPr>
            <w:r w:rsidRPr="00A438A0">
              <w:rPr>
                <w:b/>
              </w:rPr>
              <w:t>Expense</w:t>
            </w:r>
          </w:p>
        </w:tc>
        <w:tc>
          <w:tcPr>
            <w:tcW w:w="1200" w:type="dxa"/>
            <w:shd w:val="clear" w:color="auto" w:fill="auto"/>
            <w:noWrap/>
            <w:vAlign w:val="center"/>
            <w:hideMark/>
          </w:tcPr>
          <w:p w:rsidR="00784071" w:rsidRPr="00A438A0" w:rsidRDefault="00784071" w:rsidP="006F1BCD">
            <w:pPr>
              <w:pStyle w:val="BodyText"/>
              <w:jc w:val="center"/>
              <w:rPr>
                <w:b/>
              </w:rPr>
            </w:pPr>
            <w:r w:rsidRPr="00A438A0">
              <w:rPr>
                <w:b/>
              </w:rPr>
              <w:t>MFR Amount</w:t>
            </w:r>
          </w:p>
        </w:tc>
        <w:tc>
          <w:tcPr>
            <w:tcW w:w="1430" w:type="dxa"/>
            <w:vAlign w:val="center"/>
          </w:tcPr>
          <w:p w:rsidR="00784071" w:rsidRPr="00A438A0" w:rsidRDefault="00784071" w:rsidP="006F1BCD">
            <w:pPr>
              <w:pStyle w:val="BodyText"/>
              <w:jc w:val="center"/>
              <w:rPr>
                <w:b/>
              </w:rPr>
            </w:pPr>
            <w:r w:rsidRPr="00A438A0">
              <w:rPr>
                <w:b/>
              </w:rPr>
              <w:t>Staff Adjustment</w:t>
            </w:r>
          </w:p>
        </w:tc>
        <w:tc>
          <w:tcPr>
            <w:tcW w:w="1736" w:type="dxa"/>
            <w:shd w:val="clear" w:color="auto" w:fill="auto"/>
            <w:noWrap/>
            <w:vAlign w:val="center"/>
            <w:hideMark/>
          </w:tcPr>
          <w:p w:rsidR="00784071" w:rsidRPr="00A438A0" w:rsidRDefault="00784071" w:rsidP="006F1BCD">
            <w:pPr>
              <w:pStyle w:val="BodyText"/>
              <w:jc w:val="center"/>
              <w:rPr>
                <w:b/>
              </w:rPr>
            </w:pPr>
            <w:r w:rsidRPr="00A438A0">
              <w:rPr>
                <w:b/>
              </w:rPr>
              <w:t>Recommended Final Amount</w:t>
            </w:r>
          </w:p>
        </w:tc>
      </w:tr>
      <w:tr w:rsidR="00784071" w:rsidRPr="00A438A0" w:rsidTr="00D74AEA">
        <w:trPr>
          <w:trHeight w:val="300"/>
          <w:jc w:val="center"/>
        </w:trPr>
        <w:tc>
          <w:tcPr>
            <w:tcW w:w="1725" w:type="dxa"/>
            <w:shd w:val="clear" w:color="auto" w:fill="auto"/>
            <w:noWrap/>
            <w:vAlign w:val="bottom"/>
            <w:hideMark/>
          </w:tcPr>
          <w:p w:rsidR="00784071" w:rsidRPr="00A438A0" w:rsidRDefault="00784071" w:rsidP="006F1BCD">
            <w:pPr>
              <w:pStyle w:val="BodyText"/>
            </w:pPr>
            <w:r w:rsidRPr="00A438A0">
              <w:t>Employees</w:t>
            </w:r>
          </w:p>
        </w:tc>
        <w:tc>
          <w:tcPr>
            <w:tcW w:w="1200" w:type="dxa"/>
            <w:shd w:val="clear" w:color="auto" w:fill="auto"/>
            <w:noWrap/>
            <w:vAlign w:val="bottom"/>
            <w:hideMark/>
          </w:tcPr>
          <w:p w:rsidR="00784071" w:rsidRPr="00A438A0" w:rsidRDefault="00784071" w:rsidP="006F1BCD">
            <w:pPr>
              <w:pStyle w:val="BodyText"/>
              <w:jc w:val="right"/>
            </w:pPr>
            <w:r w:rsidRPr="00A438A0">
              <w:t>$131,692</w:t>
            </w:r>
          </w:p>
        </w:tc>
        <w:tc>
          <w:tcPr>
            <w:tcW w:w="1430" w:type="dxa"/>
            <w:vAlign w:val="bottom"/>
          </w:tcPr>
          <w:p w:rsidR="00784071" w:rsidRPr="00A438A0" w:rsidRDefault="00784071" w:rsidP="006F1BCD">
            <w:pPr>
              <w:pStyle w:val="BodyText"/>
              <w:jc w:val="right"/>
            </w:pPr>
            <w:r w:rsidRPr="00A438A0">
              <w:t>($63,211)</w:t>
            </w:r>
          </w:p>
        </w:tc>
        <w:tc>
          <w:tcPr>
            <w:tcW w:w="1736" w:type="dxa"/>
            <w:shd w:val="clear" w:color="auto" w:fill="auto"/>
            <w:noWrap/>
            <w:vAlign w:val="bottom"/>
            <w:hideMark/>
          </w:tcPr>
          <w:p w:rsidR="00784071" w:rsidRPr="00A438A0" w:rsidRDefault="00784071" w:rsidP="006F1BCD">
            <w:pPr>
              <w:pStyle w:val="BodyText"/>
              <w:jc w:val="right"/>
            </w:pPr>
            <w:r w:rsidRPr="00A438A0">
              <w:t>$68,481</w:t>
            </w:r>
          </w:p>
        </w:tc>
      </w:tr>
      <w:tr w:rsidR="00D74AEA" w:rsidRPr="00A438A0" w:rsidTr="00D74AEA">
        <w:trPr>
          <w:trHeight w:val="300"/>
          <w:jc w:val="center"/>
        </w:trPr>
        <w:tc>
          <w:tcPr>
            <w:tcW w:w="1725" w:type="dxa"/>
            <w:shd w:val="clear" w:color="auto" w:fill="auto"/>
            <w:noWrap/>
            <w:vAlign w:val="bottom"/>
            <w:hideMark/>
          </w:tcPr>
          <w:p w:rsidR="00D74AEA" w:rsidRPr="00A438A0" w:rsidRDefault="00D74AEA" w:rsidP="006F1BCD">
            <w:pPr>
              <w:pStyle w:val="BodyText"/>
            </w:pPr>
            <w:r w:rsidRPr="00A438A0">
              <w:t>Officers</w:t>
            </w:r>
          </w:p>
        </w:tc>
        <w:tc>
          <w:tcPr>
            <w:tcW w:w="1200" w:type="dxa"/>
            <w:shd w:val="clear" w:color="auto" w:fill="auto"/>
            <w:noWrap/>
            <w:vAlign w:val="bottom"/>
            <w:hideMark/>
          </w:tcPr>
          <w:p w:rsidR="00D74AEA" w:rsidRPr="00FC616A" w:rsidRDefault="00D74AEA" w:rsidP="006870DF">
            <w:pPr>
              <w:pStyle w:val="BodyText"/>
              <w:jc w:val="right"/>
            </w:pPr>
            <w:r w:rsidRPr="00FC616A">
              <w:t>$17,681</w:t>
            </w:r>
          </w:p>
        </w:tc>
        <w:tc>
          <w:tcPr>
            <w:tcW w:w="1430" w:type="dxa"/>
            <w:vAlign w:val="bottom"/>
          </w:tcPr>
          <w:p w:rsidR="00D74AEA" w:rsidRPr="00FC616A" w:rsidRDefault="00D74AEA" w:rsidP="006870DF">
            <w:pPr>
              <w:pStyle w:val="BodyText"/>
              <w:jc w:val="right"/>
            </w:pPr>
            <w:r w:rsidRPr="00FC616A">
              <w:t>($4,151)</w:t>
            </w:r>
          </w:p>
        </w:tc>
        <w:tc>
          <w:tcPr>
            <w:tcW w:w="1736" w:type="dxa"/>
            <w:shd w:val="clear" w:color="auto" w:fill="auto"/>
            <w:noWrap/>
            <w:vAlign w:val="bottom"/>
            <w:hideMark/>
          </w:tcPr>
          <w:p w:rsidR="00D74AEA" w:rsidRPr="00FC616A" w:rsidRDefault="00D74AEA" w:rsidP="006870DF">
            <w:pPr>
              <w:pStyle w:val="BodyText"/>
              <w:jc w:val="right"/>
            </w:pPr>
            <w:r w:rsidRPr="00FC616A">
              <w:t>$13,530</w:t>
            </w:r>
          </w:p>
        </w:tc>
      </w:tr>
      <w:tr w:rsidR="00D74AEA" w:rsidRPr="00A438A0" w:rsidTr="00D74AEA">
        <w:trPr>
          <w:trHeight w:val="300"/>
          <w:jc w:val="center"/>
        </w:trPr>
        <w:tc>
          <w:tcPr>
            <w:tcW w:w="1725" w:type="dxa"/>
            <w:shd w:val="clear" w:color="auto" w:fill="auto"/>
            <w:noWrap/>
            <w:vAlign w:val="bottom"/>
          </w:tcPr>
          <w:p w:rsidR="00D74AEA" w:rsidRPr="00A438A0" w:rsidRDefault="00D74AEA" w:rsidP="006F1BCD">
            <w:pPr>
              <w:pStyle w:val="BodyText"/>
              <w:rPr>
                <w:b/>
              </w:rPr>
            </w:pPr>
            <w:r w:rsidRPr="00A438A0">
              <w:rPr>
                <w:b/>
              </w:rPr>
              <w:t>Total Salary</w:t>
            </w:r>
          </w:p>
        </w:tc>
        <w:tc>
          <w:tcPr>
            <w:tcW w:w="1200" w:type="dxa"/>
            <w:shd w:val="clear" w:color="auto" w:fill="auto"/>
            <w:noWrap/>
            <w:vAlign w:val="bottom"/>
          </w:tcPr>
          <w:p w:rsidR="00D74AEA" w:rsidRPr="00FC616A" w:rsidRDefault="00D74AEA" w:rsidP="006870DF">
            <w:pPr>
              <w:pStyle w:val="BodyText"/>
              <w:jc w:val="right"/>
            </w:pPr>
            <w:r w:rsidRPr="00FC616A">
              <w:t>$149,373</w:t>
            </w:r>
          </w:p>
        </w:tc>
        <w:tc>
          <w:tcPr>
            <w:tcW w:w="1430" w:type="dxa"/>
            <w:vAlign w:val="bottom"/>
          </w:tcPr>
          <w:p w:rsidR="00D74AEA" w:rsidRPr="00FC616A" w:rsidRDefault="00D74AEA" w:rsidP="006870DF">
            <w:pPr>
              <w:pStyle w:val="BodyText"/>
              <w:jc w:val="right"/>
            </w:pPr>
            <w:r w:rsidRPr="00FC616A">
              <w:t>($67,362)</w:t>
            </w:r>
          </w:p>
        </w:tc>
        <w:tc>
          <w:tcPr>
            <w:tcW w:w="1736" w:type="dxa"/>
            <w:shd w:val="clear" w:color="auto" w:fill="auto"/>
            <w:noWrap/>
            <w:vAlign w:val="bottom"/>
          </w:tcPr>
          <w:p w:rsidR="00D74AEA" w:rsidRPr="00FC616A" w:rsidRDefault="00D74AEA" w:rsidP="006870DF">
            <w:pPr>
              <w:pStyle w:val="BodyText"/>
              <w:jc w:val="right"/>
            </w:pPr>
            <w:r w:rsidRPr="00FC616A">
              <w:t>$82,011</w:t>
            </w:r>
          </w:p>
        </w:tc>
      </w:tr>
      <w:tr w:rsidR="00784071" w:rsidRPr="00A438A0" w:rsidTr="00D74AEA">
        <w:trPr>
          <w:trHeight w:val="107"/>
          <w:jc w:val="center"/>
        </w:trPr>
        <w:tc>
          <w:tcPr>
            <w:tcW w:w="1725" w:type="dxa"/>
            <w:shd w:val="clear" w:color="auto" w:fill="auto"/>
            <w:noWrap/>
          </w:tcPr>
          <w:p w:rsidR="00784071" w:rsidRPr="00A438A0" w:rsidRDefault="00784071" w:rsidP="006F1BCD">
            <w:pPr>
              <w:pStyle w:val="BodyText"/>
            </w:pPr>
            <w:r w:rsidRPr="00A438A0">
              <w:t>Benefits</w:t>
            </w:r>
          </w:p>
        </w:tc>
        <w:tc>
          <w:tcPr>
            <w:tcW w:w="1200" w:type="dxa"/>
            <w:shd w:val="clear" w:color="auto" w:fill="auto"/>
            <w:noWrap/>
          </w:tcPr>
          <w:p w:rsidR="00784071" w:rsidRPr="00A438A0" w:rsidRDefault="00784071" w:rsidP="006F1BCD">
            <w:pPr>
              <w:pStyle w:val="BodyText"/>
              <w:jc w:val="right"/>
            </w:pPr>
            <w:r w:rsidRPr="00A438A0">
              <w:t>$22,907</w:t>
            </w:r>
          </w:p>
        </w:tc>
        <w:tc>
          <w:tcPr>
            <w:tcW w:w="1430" w:type="dxa"/>
          </w:tcPr>
          <w:p w:rsidR="00784071" w:rsidRPr="00A438A0" w:rsidRDefault="00784071" w:rsidP="006F1BCD">
            <w:pPr>
              <w:pStyle w:val="BodyText"/>
              <w:jc w:val="right"/>
            </w:pPr>
            <w:r w:rsidRPr="00A438A0">
              <w:t>($897)</w:t>
            </w:r>
          </w:p>
        </w:tc>
        <w:tc>
          <w:tcPr>
            <w:tcW w:w="1736" w:type="dxa"/>
            <w:shd w:val="clear" w:color="auto" w:fill="auto"/>
            <w:noWrap/>
          </w:tcPr>
          <w:p w:rsidR="00784071" w:rsidRPr="00A438A0" w:rsidRDefault="00784071" w:rsidP="006F1BCD">
            <w:pPr>
              <w:pStyle w:val="BodyText"/>
              <w:jc w:val="right"/>
            </w:pPr>
            <w:r w:rsidRPr="00A438A0">
              <w:t>$22,010</w:t>
            </w:r>
          </w:p>
        </w:tc>
      </w:tr>
      <w:tr w:rsidR="00784071" w:rsidRPr="00A438A0" w:rsidTr="00D74AEA">
        <w:trPr>
          <w:trHeight w:val="300"/>
          <w:jc w:val="center"/>
        </w:trPr>
        <w:tc>
          <w:tcPr>
            <w:tcW w:w="1725" w:type="dxa"/>
            <w:shd w:val="clear" w:color="auto" w:fill="auto"/>
            <w:noWrap/>
            <w:vAlign w:val="bottom"/>
            <w:hideMark/>
          </w:tcPr>
          <w:p w:rsidR="00784071" w:rsidRPr="00A438A0" w:rsidRDefault="00784071" w:rsidP="006F1BCD">
            <w:pPr>
              <w:pStyle w:val="BodyText"/>
            </w:pPr>
            <w:r w:rsidRPr="00A438A0">
              <w:t>Payroll Taxes</w:t>
            </w:r>
          </w:p>
        </w:tc>
        <w:tc>
          <w:tcPr>
            <w:tcW w:w="1200" w:type="dxa"/>
            <w:shd w:val="clear" w:color="auto" w:fill="auto"/>
            <w:noWrap/>
            <w:vAlign w:val="bottom"/>
            <w:hideMark/>
          </w:tcPr>
          <w:p w:rsidR="00784071" w:rsidRPr="00A438A0" w:rsidRDefault="00784071" w:rsidP="006F1BCD">
            <w:pPr>
              <w:pStyle w:val="BodyText"/>
              <w:jc w:val="right"/>
            </w:pPr>
            <w:r w:rsidRPr="00A438A0">
              <w:t>$11,359</w:t>
            </w:r>
          </w:p>
        </w:tc>
        <w:tc>
          <w:tcPr>
            <w:tcW w:w="1430" w:type="dxa"/>
            <w:vAlign w:val="bottom"/>
          </w:tcPr>
          <w:p w:rsidR="00784071" w:rsidRPr="00A438A0" w:rsidRDefault="00784071" w:rsidP="006F1BCD">
            <w:pPr>
              <w:pStyle w:val="BodyText"/>
              <w:jc w:val="right"/>
            </w:pPr>
            <w:r w:rsidRPr="00A438A0">
              <w:t>($4,027)</w:t>
            </w:r>
          </w:p>
        </w:tc>
        <w:tc>
          <w:tcPr>
            <w:tcW w:w="1736" w:type="dxa"/>
            <w:shd w:val="clear" w:color="auto" w:fill="auto"/>
            <w:noWrap/>
            <w:vAlign w:val="bottom"/>
            <w:hideMark/>
          </w:tcPr>
          <w:p w:rsidR="00784071" w:rsidRPr="00A438A0" w:rsidRDefault="00784071" w:rsidP="006F1BCD">
            <w:pPr>
              <w:pStyle w:val="BodyText"/>
              <w:jc w:val="right"/>
            </w:pPr>
            <w:r w:rsidRPr="00A438A0">
              <w:t>$7,332</w:t>
            </w:r>
          </w:p>
        </w:tc>
      </w:tr>
    </w:tbl>
    <w:p w:rsidR="00784071" w:rsidRPr="00A438A0" w:rsidRDefault="001E6F78" w:rsidP="00784071">
      <w:pPr>
        <w:pStyle w:val="BodyText"/>
      </w:pPr>
      <w:r>
        <w:tab/>
      </w:r>
      <w:r>
        <w:tab/>
        <w:t xml:space="preserve">   </w:t>
      </w:r>
      <w:r w:rsidR="00784071" w:rsidRPr="00A438A0">
        <w:t>Source: MFRs and staff audit work papers</w:t>
      </w:r>
    </w:p>
    <w:p w:rsidR="00784071" w:rsidRPr="00A438A0" w:rsidRDefault="00784071" w:rsidP="00784071">
      <w:pPr>
        <w:pStyle w:val="BodyText"/>
      </w:pPr>
      <w:r w:rsidRPr="00A438A0">
        <w:t>In conclusion, staff recommends that salaries and wages expense should be decreased by $67,362. Employee Pensions and Benefit expense should be decreased by $897, and payroll tax expense should be decreased by $4,027.</w:t>
      </w:r>
    </w:p>
    <w:p w:rsidR="000C4E2A" w:rsidRPr="00A438A0" w:rsidRDefault="000C4E2A" w:rsidP="00784071">
      <w:pPr>
        <w:pStyle w:val="BodyText"/>
      </w:pPr>
    </w:p>
    <w:p w:rsidR="005C2661" w:rsidRPr="00A438A0" w:rsidRDefault="005C2661">
      <w:pPr>
        <w:pStyle w:val="IssueHeading"/>
        <w:rPr>
          <w:vanish/>
          <w:specVanish/>
        </w:rPr>
      </w:pPr>
      <w:r w:rsidRPr="00A438A0">
        <w:rPr>
          <w:b w:val="0"/>
          <w:i w:val="0"/>
        </w:rPr>
        <w:br w:type="page"/>
      </w:r>
      <w:r w:rsidRPr="00A438A0">
        <w:lastRenderedPageBreak/>
        <w:t xml:space="preserve">Issue </w:t>
      </w:r>
      <w:r w:rsidR="006D42F5">
        <w:fldChar w:fldCharType="begin"/>
      </w:r>
      <w:r w:rsidR="006D42F5">
        <w:instrText xml:space="preserve"> SEQ Issue \* MERGEFORMAT </w:instrText>
      </w:r>
      <w:r w:rsidR="006D42F5">
        <w:fldChar w:fldCharType="separate"/>
      </w:r>
      <w:r w:rsidR="00A05B79">
        <w:rPr>
          <w:noProof/>
        </w:rPr>
        <w:t>13</w:t>
      </w:r>
      <w:r w:rsidR="006D42F5">
        <w:rPr>
          <w:noProof/>
        </w:rPr>
        <w:fldChar w:fldCharType="end"/>
      </w:r>
      <w:r w:rsidRPr="00A438A0">
        <w:t>:</w:t>
      </w:r>
      <w:r w:rsidRPr="00A438A0">
        <w:fldChar w:fldCharType="begin"/>
      </w:r>
      <w:r w:rsidRPr="00A438A0">
        <w:instrText xml:space="preserve"> TC "</w:instrText>
      </w:r>
      <w:r w:rsidRPr="00A438A0">
        <w:fldChar w:fldCharType="begin"/>
      </w:r>
      <w:r w:rsidRPr="00A438A0">
        <w:instrText xml:space="preserve"> SEQ issue \c </w:instrText>
      </w:r>
      <w:r w:rsidRPr="00A438A0">
        <w:fldChar w:fldCharType="separate"/>
      </w:r>
      <w:bookmarkStart w:id="28" w:name="_Toc435607947"/>
      <w:r w:rsidR="00A05B79">
        <w:rPr>
          <w:noProof/>
        </w:rPr>
        <w:instrText>13</w:instrText>
      </w:r>
      <w:r w:rsidRPr="00A438A0">
        <w:fldChar w:fldCharType="end"/>
      </w:r>
      <w:r w:rsidRPr="00A438A0">
        <w:tab/>
      </w:r>
      <w:r w:rsidR="004062F7" w:rsidRPr="00A438A0">
        <w:instrText>O&amp;M Expense Adjustments (</w:instrText>
      </w:r>
      <w:r w:rsidR="00D53389" w:rsidRPr="00A438A0">
        <w:instrText xml:space="preserve">Archer, </w:instrText>
      </w:r>
      <w:r w:rsidR="004062F7" w:rsidRPr="00A438A0">
        <w:instrText>D. Buys)</w:instrText>
      </w:r>
      <w:bookmarkEnd w:id="28"/>
      <w:r w:rsidRPr="00A438A0">
        <w:instrText xml:space="preserve">" \l 1 </w:instrText>
      </w:r>
      <w:r w:rsidRPr="00A438A0">
        <w:fldChar w:fldCharType="end"/>
      </w:r>
      <w:r w:rsidRPr="00A438A0">
        <w:t> </w:t>
      </w:r>
    </w:p>
    <w:p w:rsidR="005C2661" w:rsidRPr="00A438A0" w:rsidRDefault="005C2661">
      <w:pPr>
        <w:pStyle w:val="BodyText"/>
      </w:pPr>
      <w:r w:rsidRPr="00A438A0">
        <w:t> </w:t>
      </w:r>
      <w:r w:rsidR="00D53389" w:rsidRPr="00A438A0">
        <w:t>Should further adjustments be made to the utility’s O&amp;M expense?</w:t>
      </w:r>
    </w:p>
    <w:p w:rsidR="005C2661" w:rsidRPr="00A438A0" w:rsidRDefault="005C2661">
      <w:pPr>
        <w:pStyle w:val="IssueSubsectionHeading"/>
        <w:rPr>
          <w:vanish/>
          <w:specVanish/>
        </w:rPr>
      </w:pPr>
      <w:r w:rsidRPr="00A438A0">
        <w:t>Recommendation: </w:t>
      </w:r>
    </w:p>
    <w:p w:rsidR="005C2661" w:rsidRPr="00A438A0" w:rsidRDefault="005C2661">
      <w:pPr>
        <w:pStyle w:val="BodyText"/>
      </w:pPr>
      <w:r w:rsidRPr="00A438A0">
        <w:t> </w:t>
      </w:r>
      <w:r w:rsidR="003E4A0F" w:rsidRPr="00A438A0">
        <w:t>Yes. O&amp;M expense should be decreased by $83,287.</w:t>
      </w:r>
      <w:r w:rsidRPr="00A438A0">
        <w:t xml:space="preserve"> (</w:t>
      </w:r>
      <w:r w:rsidR="00D53389" w:rsidRPr="00A438A0">
        <w:t xml:space="preserve">Archer, </w:t>
      </w:r>
      <w:r w:rsidRPr="00A438A0">
        <w:t>D. Buys)</w:t>
      </w:r>
    </w:p>
    <w:p w:rsidR="005C2661" w:rsidRPr="00A438A0" w:rsidRDefault="005C2661">
      <w:pPr>
        <w:pStyle w:val="IssueSubsectionHeading"/>
        <w:rPr>
          <w:vanish/>
          <w:specVanish/>
        </w:rPr>
      </w:pPr>
      <w:r w:rsidRPr="00A438A0">
        <w:t>Staff Analysis: </w:t>
      </w:r>
    </w:p>
    <w:p w:rsidR="003E4A0F" w:rsidRPr="00A438A0" w:rsidRDefault="005C2661" w:rsidP="003E4A0F">
      <w:pPr>
        <w:pStyle w:val="BodyText"/>
      </w:pPr>
      <w:r w:rsidRPr="00A438A0">
        <w:t> </w:t>
      </w:r>
      <w:r w:rsidR="003E4A0F" w:rsidRPr="00A438A0">
        <w:t>Based on its review of test year O&amp;M expense, staff recommends several adjustments to the utility’s O&amp;M expense as summarized below.</w:t>
      </w:r>
    </w:p>
    <w:p w:rsidR="003E4A0F" w:rsidRPr="00A438A0" w:rsidRDefault="003E4A0F" w:rsidP="003E4A0F">
      <w:pPr>
        <w:pStyle w:val="BodyText"/>
        <w:spacing w:after="0"/>
        <w:rPr>
          <w:rFonts w:ascii="Arial" w:hAnsi="Arial" w:cs="Arial"/>
          <w:b/>
        </w:rPr>
      </w:pPr>
      <w:r w:rsidRPr="00A438A0">
        <w:rPr>
          <w:rFonts w:ascii="Arial" w:hAnsi="Arial" w:cs="Arial"/>
          <w:b/>
        </w:rPr>
        <w:t xml:space="preserve">Purchased Sewage Treatment </w:t>
      </w:r>
    </w:p>
    <w:p w:rsidR="003E4A0F" w:rsidRPr="00A438A0" w:rsidRDefault="003E4A0F" w:rsidP="003E4A0F">
      <w:pPr>
        <w:pStyle w:val="BodyText"/>
      </w:pPr>
      <w:r w:rsidRPr="00A438A0">
        <w:t xml:space="preserve">In its MFRs, Sandalhaven reflected an expense of $338,874 for purchased sewage treatment. In response to a staff data request, the utility indicated that the pro forma adjustment of $166,911 to increase the expense was calculated in error and the increase should be $208,262, or an additional increase of $38,664. The increase is based on the number of gallons that will be treated by EWD due to the diversion of wastewater from the decommissioned WWTP to EWD, plus a growth allowance. </w:t>
      </w:r>
    </w:p>
    <w:p w:rsidR="003E4A0F" w:rsidRPr="00A438A0" w:rsidRDefault="003E4A0F" w:rsidP="003E4A0F">
      <w:pPr>
        <w:pStyle w:val="BodyText"/>
      </w:pPr>
      <w:r w:rsidRPr="00A438A0">
        <w:t xml:space="preserve">Staff disagrees with the utility’s recalculated pro forma amount and recommends </w:t>
      </w:r>
      <w:r w:rsidR="00311D19">
        <w:t>an additional</w:t>
      </w:r>
      <w:r w:rsidRPr="00A438A0">
        <w:t xml:space="preserve"> pro forma increase of $22,447. Staff does not believe it is appropriate for the utility to include an allowance for growth in its calculation since O&amp;M expenses should be based on costs incurred during the test year. The appropriate amount of purchased sewage treatment is $361,321. Staff based its estimate on the total number of gallons treated for the test year as reflected in MFR Schedule F-2. Sandalhaven reported total flows for the WWTP and wastewater treated by EWD to be 49.632 million gallons. The cost of treatment is $7.28 per 1,000 gallons. Multiplying the number of gallons treated by the cost yields an expense of $361,321 (49,632 x $7.28). </w:t>
      </w:r>
    </w:p>
    <w:p w:rsidR="003E4A0F" w:rsidRPr="00A438A0" w:rsidRDefault="003E4A0F" w:rsidP="003E4A0F">
      <w:pPr>
        <w:pStyle w:val="BodyText"/>
        <w:spacing w:after="0"/>
        <w:rPr>
          <w:rFonts w:ascii="Arial" w:hAnsi="Arial" w:cs="Arial"/>
          <w:b/>
        </w:rPr>
      </w:pPr>
      <w:r w:rsidRPr="00A438A0">
        <w:rPr>
          <w:rFonts w:ascii="Arial" w:hAnsi="Arial" w:cs="Arial"/>
          <w:b/>
        </w:rPr>
        <w:t>Excessive I&amp;I Adjustment</w:t>
      </w:r>
    </w:p>
    <w:p w:rsidR="003E4A0F" w:rsidRPr="00A438A0" w:rsidRDefault="003E4A0F" w:rsidP="003E4A0F">
      <w:pPr>
        <w:pStyle w:val="BodyText"/>
      </w:pPr>
      <w:r w:rsidRPr="00A438A0">
        <w:t>Rule 25-30.432, F.A.C., provides that in determining the amount of U&amp;U plant, the Commission shall consider infiltration and inflow (I&amp;I). Typically, infiltration results from groundwater entering a wastewater collection system through broken or defective pipes and joints; whereas, inflow results from water entering a wastewater collection system through manholes or lift stations. Engineering staff calculated an excessive I&amp;I of 26.07 percent. Accordingly, adjustments should be made to reduce the expense for chemicals, purchased power, and purchased sewage treatment. As such, staff recommends that chemicals be decreased by $87, purchased power be decreased by $3,866, and purchased sewage treatment be decreased by $94,196</w:t>
      </w:r>
      <w:r w:rsidR="00197909" w:rsidRPr="00A438A0">
        <w:t>. The total O&amp;M adjustment for e</w:t>
      </w:r>
      <w:r w:rsidRPr="00A438A0">
        <w:t>xcessive I&amp;I is a decrease of $98,149.</w:t>
      </w:r>
    </w:p>
    <w:p w:rsidR="003E4A0F" w:rsidRPr="00A438A0" w:rsidRDefault="003E4A0F" w:rsidP="003E4A0F">
      <w:pPr>
        <w:pStyle w:val="BodyText"/>
        <w:spacing w:after="0"/>
        <w:rPr>
          <w:rFonts w:ascii="Arial" w:hAnsi="Arial" w:cs="Arial"/>
          <w:b/>
        </w:rPr>
      </w:pPr>
      <w:r w:rsidRPr="00A438A0">
        <w:rPr>
          <w:rFonts w:ascii="Arial" w:hAnsi="Arial" w:cs="Arial"/>
          <w:b/>
        </w:rPr>
        <w:t>Sludge Hauling</w:t>
      </w:r>
    </w:p>
    <w:p w:rsidR="003E4A0F" w:rsidRPr="00A438A0" w:rsidRDefault="003E4A0F" w:rsidP="003E4A0F">
      <w:pPr>
        <w:pStyle w:val="BodyText"/>
      </w:pPr>
      <w:r w:rsidRPr="00A438A0">
        <w:t>In its filing, Sandalhaven included a test year expense of $14,490 for sludge hauling and reflected a pro forma adjustment to remove $12,000 related to the decommissioning of the WWTP. A balance of $2,490 was reflected as the test year adjusted balance. However, in its letter dated October 26, 2015, the Office of Public Counsel indicated it believes that the remaining balance of $2,490 should be removed. Staff recommends that the remaining balance should be removed because the utility did not support the remaining cost for sludge hauling expense related to the WWTP.</w:t>
      </w:r>
    </w:p>
    <w:p w:rsidR="003E4A0F" w:rsidRPr="00A438A0" w:rsidRDefault="003E4A0F" w:rsidP="003E4A0F">
      <w:pPr>
        <w:pStyle w:val="BodyText"/>
      </w:pPr>
    </w:p>
    <w:p w:rsidR="003E4A0F" w:rsidRPr="00A438A0" w:rsidRDefault="003E4A0F" w:rsidP="003E4A0F">
      <w:pPr>
        <w:pStyle w:val="BodyText"/>
        <w:rPr>
          <w:rFonts w:ascii="Arial" w:hAnsi="Arial" w:cs="Arial"/>
          <w:b/>
          <w:bCs/>
          <w:i/>
          <w:kern w:val="32"/>
          <w:szCs w:val="32"/>
        </w:rPr>
      </w:pPr>
    </w:p>
    <w:p w:rsidR="003E4A0F" w:rsidRPr="00A438A0" w:rsidRDefault="003E4A0F" w:rsidP="003E4A0F">
      <w:pPr>
        <w:pStyle w:val="BodyText"/>
        <w:spacing w:after="0"/>
        <w:rPr>
          <w:rFonts w:ascii="Arial" w:hAnsi="Arial" w:cs="Arial"/>
          <w:b/>
        </w:rPr>
      </w:pPr>
      <w:r w:rsidRPr="00A438A0">
        <w:rPr>
          <w:rFonts w:ascii="Arial" w:hAnsi="Arial" w:cs="Arial"/>
          <w:b/>
        </w:rPr>
        <w:lastRenderedPageBreak/>
        <w:t>Bad Debt Expense</w:t>
      </w:r>
    </w:p>
    <w:p w:rsidR="003E4A0F" w:rsidRPr="00A438A0" w:rsidRDefault="003E4A0F" w:rsidP="003E4A0F">
      <w:pPr>
        <w:pStyle w:val="BodyText"/>
      </w:pPr>
      <w:r w:rsidRPr="00A438A0">
        <w:t>In its MFRs the utility included bad debt expense of $5,700. In the three previous annual reports for 2012, 2013, and 2014, Sandalhaven reported bad debt expense of $8,412, ($8,418), and $5,701, respectively. Based on a 3-year average, staff believes that $1,898 is the appropriate amount of bad debt expense to include in the test year ended December 31, 2014. This treatment is consistent with the Commission’s decision in the Labrador rate case in Docket No. 140239-WS.</w:t>
      </w:r>
      <w:r w:rsidRPr="00A438A0">
        <w:rPr>
          <w:rStyle w:val="FootnoteReference"/>
        </w:rPr>
        <w:footnoteReference w:id="11"/>
      </w:r>
      <w:r w:rsidRPr="00A438A0">
        <w:t xml:space="preserve"> Accordingly, staff recommends that bad debt expense be decreased by $3,802.</w:t>
      </w:r>
    </w:p>
    <w:p w:rsidR="003E4A0F" w:rsidRPr="00A438A0" w:rsidRDefault="003E4A0F" w:rsidP="003E4A0F">
      <w:pPr>
        <w:pStyle w:val="BodyText"/>
        <w:spacing w:after="0"/>
        <w:rPr>
          <w:rFonts w:ascii="Arial" w:hAnsi="Arial" w:cs="Arial"/>
          <w:b/>
        </w:rPr>
      </w:pPr>
      <w:r w:rsidRPr="00A438A0">
        <w:rPr>
          <w:rFonts w:ascii="Arial" w:hAnsi="Arial" w:cs="Arial"/>
          <w:b/>
        </w:rPr>
        <w:t>Regulatory Commission Expense – Other</w:t>
      </w:r>
    </w:p>
    <w:p w:rsidR="003E4A0F" w:rsidRPr="00A438A0" w:rsidRDefault="003E4A0F" w:rsidP="003E4A0F">
      <w:pPr>
        <w:pStyle w:val="BodyText"/>
      </w:pPr>
      <w:r w:rsidRPr="00A438A0">
        <w:t>In its filing, Sandalhaven included $2,013 for regulatory expense other than rate case expense. Staffs audit work papers showed that part of the utility’s allocated expenses included an expense of $70,669 from Deloitte Consulting LLP for services rendered from February 2, 2014, through May 5, 2014, for Utilities, Inc. expert witnesses. The allocated amount included in the test year expense is $1,293. This expense was part of the rate case expense in Docket No. 120161-WS. In that case, the Commission found, “that rate case expense shall be allocated to each UI Florida subsidiary based on the ratio of each subsidiary’s ERCs to UI’s total Florida ERCs as of December 31, 2013.”</w:t>
      </w:r>
      <w:r w:rsidRPr="00A438A0">
        <w:rPr>
          <w:rStyle w:val="FootnoteReference"/>
        </w:rPr>
        <w:footnoteReference w:id="12"/>
      </w:r>
      <w:r w:rsidRPr="00A438A0">
        <w:t xml:space="preserve">  The Order specified that each subsidiary would be allowed to recover its allocated portion of rate case expense over four years, pursuant to Section 367.0816, wherein the rate case expense was allocated to Utilities, Inc. sister companies. Sandalhaven’s portion of that rate case expense was determined to be $2,484 and is included in the amortization of rate case expense in this case. Accordingly, staff recommends that regulatory commission expense – other be decreased by $1,293.</w:t>
      </w:r>
    </w:p>
    <w:p w:rsidR="005C2661" w:rsidRPr="00A438A0" w:rsidRDefault="003E4A0F" w:rsidP="003E4A0F">
      <w:pPr>
        <w:pStyle w:val="BodyText"/>
      </w:pPr>
      <w:r w:rsidRPr="00A438A0">
        <w:t>Based on staff’s analysis above, staff recommends that O&amp;M expense should be decreased by $83,287.</w:t>
      </w:r>
    </w:p>
    <w:p w:rsidR="002D2AC6" w:rsidRPr="00A438A0" w:rsidRDefault="002D2AC6">
      <w:pPr>
        <w:pStyle w:val="IssueHeading"/>
        <w:rPr>
          <w:vanish/>
          <w:specVanish/>
        </w:rPr>
      </w:pPr>
      <w:r w:rsidRPr="00A438A0">
        <w:rPr>
          <w:b w:val="0"/>
          <w:i w:val="0"/>
        </w:rPr>
        <w:br w:type="page"/>
      </w:r>
      <w:r w:rsidRPr="00A438A0">
        <w:lastRenderedPageBreak/>
        <w:t xml:space="preserve">Issue </w:t>
      </w:r>
      <w:r w:rsidR="006D42F5">
        <w:fldChar w:fldCharType="begin"/>
      </w:r>
      <w:r w:rsidR="006D42F5">
        <w:instrText xml:space="preserve"> SEQ Issue \* MERGEFORMAT </w:instrText>
      </w:r>
      <w:r w:rsidR="006D42F5">
        <w:fldChar w:fldCharType="separate"/>
      </w:r>
      <w:r w:rsidR="00A05B79">
        <w:rPr>
          <w:noProof/>
        </w:rPr>
        <w:t>14</w:t>
      </w:r>
      <w:r w:rsidR="006D42F5">
        <w:rPr>
          <w:noProof/>
        </w:rPr>
        <w:fldChar w:fldCharType="end"/>
      </w:r>
      <w:r w:rsidRPr="00A438A0">
        <w:t>:</w:t>
      </w:r>
      <w:r w:rsidRPr="00A438A0">
        <w:fldChar w:fldCharType="begin"/>
      </w:r>
      <w:r w:rsidRPr="00A438A0">
        <w:instrText xml:space="preserve"> TC "</w:instrText>
      </w:r>
      <w:r w:rsidRPr="00A438A0">
        <w:fldChar w:fldCharType="begin"/>
      </w:r>
      <w:r w:rsidRPr="00A438A0">
        <w:instrText xml:space="preserve"> SEQ issue \c </w:instrText>
      </w:r>
      <w:r w:rsidRPr="00A438A0">
        <w:fldChar w:fldCharType="separate"/>
      </w:r>
      <w:bookmarkStart w:id="29" w:name="_Toc435607948"/>
      <w:r w:rsidR="00A05B79">
        <w:rPr>
          <w:noProof/>
        </w:rPr>
        <w:instrText>14</w:instrText>
      </w:r>
      <w:r w:rsidRPr="00A438A0">
        <w:fldChar w:fldCharType="end"/>
      </w:r>
      <w:r w:rsidRPr="00A438A0">
        <w:tab/>
        <w:instrText>Rate Case Expense (</w:instrText>
      </w:r>
      <w:r w:rsidR="00870335" w:rsidRPr="00A438A0">
        <w:instrText xml:space="preserve">Yeazel, </w:instrText>
      </w:r>
      <w:r w:rsidRPr="00A438A0">
        <w:instrText>D. Buys)</w:instrText>
      </w:r>
      <w:bookmarkEnd w:id="29"/>
      <w:r w:rsidRPr="00A438A0">
        <w:instrText xml:space="preserve">" \l 1 </w:instrText>
      </w:r>
      <w:r w:rsidRPr="00A438A0">
        <w:fldChar w:fldCharType="end"/>
      </w:r>
      <w:r w:rsidRPr="00A438A0">
        <w:t> </w:t>
      </w:r>
    </w:p>
    <w:p w:rsidR="002D2AC6" w:rsidRPr="00A438A0" w:rsidRDefault="002D2AC6">
      <w:pPr>
        <w:pStyle w:val="BodyText"/>
      </w:pPr>
      <w:r w:rsidRPr="00A438A0">
        <w:t> What is the appropriate amount of rate case expense?</w:t>
      </w:r>
    </w:p>
    <w:p w:rsidR="002D2AC6" w:rsidRPr="00A438A0" w:rsidRDefault="002D2AC6">
      <w:pPr>
        <w:pStyle w:val="IssueSubsectionHeading"/>
        <w:rPr>
          <w:vanish/>
          <w:specVanish/>
        </w:rPr>
      </w:pPr>
      <w:r w:rsidRPr="00A438A0">
        <w:t>Recommendation: </w:t>
      </w:r>
    </w:p>
    <w:p w:rsidR="002D2AC6" w:rsidRPr="00A438A0" w:rsidRDefault="002D2AC6">
      <w:pPr>
        <w:pStyle w:val="BodyText"/>
      </w:pPr>
      <w:r w:rsidRPr="00A438A0">
        <w:t> </w:t>
      </w:r>
      <w:r w:rsidR="00286698" w:rsidRPr="00A438A0">
        <w:t xml:space="preserve">The appropriate amount of rate case expense is $123,015. This expense should be recovered over four years for an annual expense of $30,754. Therefore, annual rate case expense should be decreased by $2,830 from the respective levels of expense included in the MFRs. </w:t>
      </w:r>
      <w:r w:rsidRPr="00A438A0">
        <w:t xml:space="preserve"> (</w:t>
      </w:r>
      <w:r w:rsidR="00870335" w:rsidRPr="00A438A0">
        <w:t xml:space="preserve">Yeazel, </w:t>
      </w:r>
      <w:r w:rsidRPr="00A438A0">
        <w:t>D. Buys)</w:t>
      </w:r>
    </w:p>
    <w:p w:rsidR="002D2AC6" w:rsidRPr="00A438A0" w:rsidRDefault="002D2AC6">
      <w:pPr>
        <w:pStyle w:val="IssueSubsectionHeading"/>
        <w:rPr>
          <w:vanish/>
          <w:specVanish/>
        </w:rPr>
      </w:pPr>
      <w:r w:rsidRPr="00A438A0">
        <w:t>Staff Analysis: </w:t>
      </w:r>
    </w:p>
    <w:p w:rsidR="00286698" w:rsidRPr="00A438A0" w:rsidRDefault="002D2AC6" w:rsidP="00286698">
      <w:pPr>
        <w:spacing w:after="240"/>
        <w:jc w:val="both"/>
      </w:pPr>
      <w:r w:rsidRPr="00A438A0">
        <w:t> </w:t>
      </w:r>
      <w:r w:rsidR="00286698" w:rsidRPr="00A438A0">
        <w:t> </w:t>
      </w:r>
      <w:r w:rsidR="00286698" w:rsidRPr="00A438A0">
        <w:rPr>
          <w:rFonts w:ascii="Arial" w:hAnsi="Arial" w:cs="Arial"/>
        </w:rPr>
        <w:t>I</w:t>
      </w:r>
      <w:r w:rsidR="00286698" w:rsidRPr="00A438A0">
        <w:t>n its MFRs, Sandalhaven requested $131,850 for current rate case expense. Staff requested an update of the actual rate case expense incurred, with supporting documentation, as well as the estimated amount to complete the case. On October 15, 2015, the Utility submitted its last revised estimate of rate case expense, through completion of the PAA process, which totaled $133,057. A breakdown of the utility’s requested rate case expense is as follows:</w:t>
      </w:r>
    </w:p>
    <w:p w:rsidR="00286698" w:rsidRPr="00A438A0" w:rsidRDefault="00286698" w:rsidP="00286698">
      <w:pPr>
        <w:jc w:val="center"/>
        <w:rPr>
          <w:rFonts w:ascii="Arial" w:hAnsi="Arial" w:cs="Arial"/>
          <w:b/>
        </w:rPr>
      </w:pPr>
      <w:r w:rsidRPr="00A438A0">
        <w:rPr>
          <w:rFonts w:ascii="Arial" w:hAnsi="Arial" w:cs="Arial"/>
          <w:b/>
        </w:rPr>
        <w:t>Table 1</w:t>
      </w:r>
      <w:r w:rsidR="00D74AEA" w:rsidRPr="00A438A0">
        <w:rPr>
          <w:rFonts w:ascii="Arial" w:hAnsi="Arial" w:cs="Arial"/>
          <w:b/>
        </w:rPr>
        <w:t>4</w:t>
      </w:r>
      <w:r w:rsidRPr="00A438A0">
        <w:rPr>
          <w:rFonts w:ascii="Arial" w:hAnsi="Arial" w:cs="Arial"/>
          <w:b/>
        </w:rPr>
        <w:t>-1</w:t>
      </w:r>
    </w:p>
    <w:p w:rsidR="00286698" w:rsidRPr="00A438A0" w:rsidRDefault="00286698" w:rsidP="00286698">
      <w:pPr>
        <w:jc w:val="center"/>
        <w:rPr>
          <w:rFonts w:ascii="Arial" w:hAnsi="Arial" w:cs="Arial"/>
          <w:b/>
          <w:color w:val="000000"/>
        </w:rPr>
      </w:pPr>
      <w:r w:rsidRPr="00A438A0">
        <w:rPr>
          <w:rFonts w:ascii="Arial" w:hAnsi="Arial" w:cs="Arial"/>
          <w:b/>
          <w:color w:val="000000"/>
        </w:rPr>
        <w:t>Initial and Revised Rate Case Expense</w:t>
      </w:r>
    </w:p>
    <w:tbl>
      <w:tblPr>
        <w:tblW w:w="9387" w:type="dxa"/>
        <w:jc w:val="center"/>
        <w:tblLook w:val="0000" w:firstRow="0" w:lastRow="0" w:firstColumn="0" w:lastColumn="0" w:noHBand="0" w:noVBand="0"/>
      </w:tblPr>
      <w:tblGrid>
        <w:gridCol w:w="2804"/>
        <w:gridCol w:w="1600"/>
        <w:gridCol w:w="1679"/>
        <w:gridCol w:w="1617"/>
        <w:gridCol w:w="1687"/>
      </w:tblGrid>
      <w:tr w:rsidR="00286698" w:rsidRPr="00A438A0" w:rsidTr="006F1BCD">
        <w:trPr>
          <w:cantSplit/>
          <w:trHeight w:val="300"/>
          <w:jc w:val="center"/>
        </w:trPr>
        <w:tc>
          <w:tcPr>
            <w:tcW w:w="2804"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286698" w:rsidRPr="00A438A0" w:rsidRDefault="00286698" w:rsidP="006F1BCD">
            <w:pPr>
              <w:jc w:val="center"/>
              <w:rPr>
                <w:color w:val="000000"/>
              </w:rPr>
            </w:pPr>
          </w:p>
        </w:tc>
        <w:tc>
          <w:tcPr>
            <w:tcW w:w="1600" w:type="dxa"/>
            <w:tcBorders>
              <w:top w:val="single" w:sz="8" w:space="0" w:color="auto"/>
              <w:left w:val="single" w:sz="8" w:space="0" w:color="auto"/>
              <w:bottom w:val="nil"/>
              <w:right w:val="single" w:sz="8" w:space="0" w:color="auto"/>
            </w:tcBorders>
            <w:shd w:val="clear" w:color="auto" w:fill="FFFFFF"/>
            <w:vAlign w:val="center"/>
          </w:tcPr>
          <w:p w:rsidR="00286698" w:rsidRPr="00A438A0" w:rsidRDefault="00286698" w:rsidP="006F1BCD">
            <w:pPr>
              <w:jc w:val="center"/>
              <w:rPr>
                <w:b/>
                <w:color w:val="000000"/>
              </w:rPr>
            </w:pPr>
            <w:r w:rsidRPr="00A438A0">
              <w:rPr>
                <w:b/>
                <w:color w:val="000000"/>
              </w:rPr>
              <w:t>MFR B-10</w:t>
            </w:r>
          </w:p>
        </w:tc>
        <w:tc>
          <w:tcPr>
            <w:tcW w:w="1679"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286698" w:rsidRPr="00A438A0" w:rsidRDefault="00286698" w:rsidP="006F1BCD">
            <w:pPr>
              <w:jc w:val="center"/>
              <w:rPr>
                <w:b/>
                <w:color w:val="000000"/>
              </w:rPr>
            </w:pPr>
            <w:r w:rsidRPr="00A438A0">
              <w:rPr>
                <w:b/>
                <w:color w:val="000000"/>
              </w:rPr>
              <w:t>Actual</w:t>
            </w:r>
          </w:p>
        </w:tc>
        <w:tc>
          <w:tcPr>
            <w:tcW w:w="1617" w:type="dxa"/>
            <w:tcBorders>
              <w:top w:val="single" w:sz="8" w:space="0" w:color="auto"/>
              <w:left w:val="single" w:sz="8" w:space="0" w:color="auto"/>
              <w:bottom w:val="nil"/>
              <w:right w:val="single" w:sz="8" w:space="0" w:color="auto"/>
            </w:tcBorders>
            <w:shd w:val="clear" w:color="auto" w:fill="FFFFFF"/>
            <w:vAlign w:val="center"/>
          </w:tcPr>
          <w:p w:rsidR="00286698" w:rsidRPr="00A438A0" w:rsidRDefault="00286698" w:rsidP="006F1BCD">
            <w:pPr>
              <w:jc w:val="center"/>
              <w:rPr>
                <w:b/>
                <w:color w:val="000000"/>
              </w:rPr>
            </w:pPr>
            <w:r w:rsidRPr="00A438A0">
              <w:rPr>
                <w:b/>
                <w:color w:val="000000"/>
              </w:rPr>
              <w:t>Additional</w:t>
            </w:r>
          </w:p>
        </w:tc>
        <w:tc>
          <w:tcPr>
            <w:tcW w:w="1687" w:type="dxa"/>
            <w:tcBorders>
              <w:top w:val="single" w:sz="8" w:space="0" w:color="auto"/>
              <w:left w:val="single" w:sz="8" w:space="0" w:color="auto"/>
              <w:bottom w:val="nil"/>
              <w:right w:val="single" w:sz="8" w:space="0" w:color="auto"/>
            </w:tcBorders>
            <w:shd w:val="clear" w:color="auto" w:fill="FFFFFF"/>
            <w:vAlign w:val="center"/>
          </w:tcPr>
          <w:p w:rsidR="00286698" w:rsidRPr="00A438A0" w:rsidRDefault="00286698" w:rsidP="006F1BCD">
            <w:pPr>
              <w:jc w:val="center"/>
              <w:rPr>
                <w:b/>
                <w:color w:val="000000"/>
              </w:rPr>
            </w:pPr>
            <w:r w:rsidRPr="00A438A0">
              <w:rPr>
                <w:b/>
                <w:color w:val="000000"/>
              </w:rPr>
              <w:t>Revised</w:t>
            </w:r>
          </w:p>
        </w:tc>
      </w:tr>
      <w:tr w:rsidR="00286698" w:rsidRPr="00A438A0" w:rsidTr="006F1BCD">
        <w:trPr>
          <w:trHeight w:val="312"/>
          <w:jc w:val="center"/>
        </w:trPr>
        <w:tc>
          <w:tcPr>
            <w:tcW w:w="2804" w:type="dxa"/>
            <w:vMerge/>
            <w:tcBorders>
              <w:top w:val="single" w:sz="8" w:space="0" w:color="auto"/>
              <w:left w:val="single" w:sz="8" w:space="0" w:color="auto"/>
              <w:bottom w:val="single" w:sz="8" w:space="0" w:color="auto"/>
              <w:right w:val="single" w:sz="8" w:space="0" w:color="auto"/>
            </w:tcBorders>
            <w:vAlign w:val="center"/>
          </w:tcPr>
          <w:p w:rsidR="00286698" w:rsidRPr="00A438A0" w:rsidRDefault="00286698" w:rsidP="006F1BCD">
            <w:pPr>
              <w:jc w:val="center"/>
              <w:rPr>
                <w:color w:val="000000"/>
              </w:rPr>
            </w:pPr>
          </w:p>
        </w:tc>
        <w:tc>
          <w:tcPr>
            <w:tcW w:w="1600" w:type="dxa"/>
            <w:tcBorders>
              <w:top w:val="nil"/>
              <w:left w:val="single" w:sz="8" w:space="0" w:color="auto"/>
              <w:bottom w:val="single" w:sz="8" w:space="0" w:color="auto"/>
              <w:right w:val="single" w:sz="8" w:space="0" w:color="auto"/>
            </w:tcBorders>
            <w:shd w:val="clear" w:color="auto" w:fill="FFFFFF"/>
            <w:vAlign w:val="center"/>
          </w:tcPr>
          <w:p w:rsidR="00286698" w:rsidRPr="00A438A0" w:rsidRDefault="00286698" w:rsidP="006F1BCD">
            <w:pPr>
              <w:jc w:val="center"/>
              <w:rPr>
                <w:b/>
                <w:color w:val="000000"/>
              </w:rPr>
            </w:pPr>
            <w:r w:rsidRPr="00A438A0">
              <w:rPr>
                <w:b/>
                <w:color w:val="000000"/>
              </w:rPr>
              <w:t>Estimated</w:t>
            </w:r>
          </w:p>
        </w:tc>
        <w:tc>
          <w:tcPr>
            <w:tcW w:w="1679" w:type="dxa"/>
            <w:vMerge/>
            <w:tcBorders>
              <w:top w:val="single" w:sz="8" w:space="0" w:color="auto"/>
              <w:left w:val="single" w:sz="8" w:space="0" w:color="auto"/>
              <w:bottom w:val="single" w:sz="8" w:space="0" w:color="auto"/>
              <w:right w:val="single" w:sz="8" w:space="0" w:color="auto"/>
            </w:tcBorders>
            <w:vAlign w:val="center"/>
          </w:tcPr>
          <w:p w:rsidR="00286698" w:rsidRPr="00A438A0" w:rsidRDefault="00286698" w:rsidP="006F1BCD">
            <w:pPr>
              <w:jc w:val="center"/>
              <w:rPr>
                <w:b/>
                <w:color w:val="000000"/>
              </w:rPr>
            </w:pPr>
          </w:p>
        </w:tc>
        <w:tc>
          <w:tcPr>
            <w:tcW w:w="1617" w:type="dxa"/>
            <w:tcBorders>
              <w:top w:val="nil"/>
              <w:left w:val="single" w:sz="8" w:space="0" w:color="auto"/>
              <w:bottom w:val="single" w:sz="8" w:space="0" w:color="auto"/>
              <w:right w:val="single" w:sz="8" w:space="0" w:color="auto"/>
            </w:tcBorders>
            <w:shd w:val="clear" w:color="auto" w:fill="FFFFFF"/>
            <w:vAlign w:val="center"/>
          </w:tcPr>
          <w:p w:rsidR="00286698" w:rsidRPr="00A438A0" w:rsidRDefault="00286698" w:rsidP="006F1BCD">
            <w:pPr>
              <w:jc w:val="center"/>
              <w:rPr>
                <w:b/>
                <w:color w:val="000000"/>
              </w:rPr>
            </w:pPr>
            <w:r w:rsidRPr="00A438A0">
              <w:rPr>
                <w:b/>
                <w:color w:val="000000"/>
              </w:rPr>
              <w:t>Estimated</w:t>
            </w:r>
          </w:p>
        </w:tc>
        <w:tc>
          <w:tcPr>
            <w:tcW w:w="1687" w:type="dxa"/>
            <w:tcBorders>
              <w:top w:val="nil"/>
              <w:left w:val="single" w:sz="8" w:space="0" w:color="auto"/>
              <w:bottom w:val="single" w:sz="8" w:space="0" w:color="auto"/>
              <w:right w:val="single" w:sz="8" w:space="0" w:color="auto"/>
            </w:tcBorders>
            <w:shd w:val="clear" w:color="auto" w:fill="FFFFFF"/>
            <w:vAlign w:val="center"/>
          </w:tcPr>
          <w:p w:rsidR="00286698" w:rsidRPr="00A438A0" w:rsidRDefault="00286698" w:rsidP="006F1BCD">
            <w:pPr>
              <w:jc w:val="center"/>
              <w:rPr>
                <w:b/>
                <w:color w:val="000000"/>
              </w:rPr>
            </w:pPr>
            <w:r w:rsidRPr="00A438A0">
              <w:rPr>
                <w:b/>
                <w:color w:val="000000"/>
              </w:rPr>
              <w:t>Total</w:t>
            </w:r>
          </w:p>
        </w:tc>
      </w:tr>
      <w:tr w:rsidR="00286698" w:rsidRPr="00A438A0" w:rsidTr="006F1BCD">
        <w:trPr>
          <w:cantSplit/>
          <w:trHeight w:val="312"/>
          <w:jc w:val="center"/>
        </w:trPr>
        <w:tc>
          <w:tcPr>
            <w:tcW w:w="2804" w:type="dxa"/>
            <w:tcBorders>
              <w:top w:val="single" w:sz="8" w:space="0" w:color="auto"/>
              <w:left w:val="single" w:sz="8" w:space="0" w:color="auto"/>
              <w:bottom w:val="single" w:sz="6" w:space="0" w:color="auto"/>
              <w:right w:val="single" w:sz="6" w:space="0" w:color="auto"/>
            </w:tcBorders>
            <w:shd w:val="clear" w:color="auto" w:fill="auto"/>
            <w:vAlign w:val="center"/>
          </w:tcPr>
          <w:p w:rsidR="00286698" w:rsidRPr="00A438A0" w:rsidRDefault="00286698" w:rsidP="006F1BCD">
            <w:r w:rsidRPr="00A438A0">
              <w:t xml:space="preserve">Legal Fees </w:t>
            </w:r>
          </w:p>
        </w:tc>
        <w:tc>
          <w:tcPr>
            <w:tcW w:w="1600" w:type="dxa"/>
            <w:tcBorders>
              <w:top w:val="single" w:sz="8" w:space="0" w:color="auto"/>
              <w:left w:val="single" w:sz="6" w:space="0" w:color="auto"/>
              <w:bottom w:val="single" w:sz="6" w:space="0" w:color="auto"/>
              <w:right w:val="single" w:sz="6" w:space="0" w:color="auto"/>
            </w:tcBorders>
            <w:shd w:val="clear" w:color="auto" w:fill="auto"/>
            <w:vAlign w:val="center"/>
          </w:tcPr>
          <w:p w:rsidR="00286698" w:rsidRPr="00A438A0" w:rsidRDefault="00286698" w:rsidP="006F1BCD">
            <w:pPr>
              <w:jc w:val="right"/>
            </w:pPr>
            <w:r w:rsidRPr="00A438A0">
              <w:t xml:space="preserve">$57,000 </w:t>
            </w:r>
          </w:p>
        </w:tc>
        <w:tc>
          <w:tcPr>
            <w:tcW w:w="1679" w:type="dxa"/>
            <w:tcBorders>
              <w:top w:val="single" w:sz="8" w:space="0" w:color="auto"/>
              <w:left w:val="single" w:sz="6" w:space="0" w:color="auto"/>
              <w:bottom w:val="single" w:sz="6" w:space="0" w:color="auto"/>
              <w:right w:val="single" w:sz="6" w:space="0" w:color="auto"/>
            </w:tcBorders>
            <w:shd w:val="clear" w:color="auto" w:fill="auto"/>
            <w:vAlign w:val="center"/>
          </w:tcPr>
          <w:p w:rsidR="00286698" w:rsidRPr="00A438A0" w:rsidRDefault="00286698" w:rsidP="006F1BCD">
            <w:pPr>
              <w:jc w:val="right"/>
            </w:pPr>
            <w:r w:rsidRPr="00A438A0">
              <w:t>$30,144</w:t>
            </w:r>
          </w:p>
        </w:tc>
        <w:tc>
          <w:tcPr>
            <w:tcW w:w="1617" w:type="dxa"/>
            <w:tcBorders>
              <w:top w:val="single" w:sz="8" w:space="0" w:color="auto"/>
              <w:left w:val="single" w:sz="6" w:space="0" w:color="auto"/>
              <w:bottom w:val="single" w:sz="6" w:space="0" w:color="auto"/>
              <w:right w:val="single" w:sz="6" w:space="0" w:color="auto"/>
            </w:tcBorders>
            <w:shd w:val="clear" w:color="auto" w:fill="auto"/>
            <w:vAlign w:val="center"/>
          </w:tcPr>
          <w:p w:rsidR="00286698" w:rsidRPr="00A438A0" w:rsidRDefault="00286698" w:rsidP="006F1BCD">
            <w:pPr>
              <w:jc w:val="right"/>
            </w:pPr>
            <w:r w:rsidRPr="00A438A0">
              <w:t>$10,060</w:t>
            </w:r>
          </w:p>
        </w:tc>
        <w:tc>
          <w:tcPr>
            <w:tcW w:w="1687" w:type="dxa"/>
            <w:tcBorders>
              <w:top w:val="single" w:sz="8" w:space="0" w:color="auto"/>
              <w:left w:val="single" w:sz="6" w:space="0" w:color="auto"/>
              <w:bottom w:val="single" w:sz="6" w:space="0" w:color="auto"/>
              <w:right w:val="single" w:sz="8" w:space="0" w:color="auto"/>
            </w:tcBorders>
            <w:shd w:val="clear" w:color="auto" w:fill="auto"/>
            <w:vAlign w:val="center"/>
          </w:tcPr>
          <w:p w:rsidR="00286698" w:rsidRPr="00A438A0" w:rsidRDefault="00286698" w:rsidP="006F1BCD">
            <w:pPr>
              <w:jc w:val="right"/>
              <w:rPr>
                <w:color w:val="000000"/>
              </w:rPr>
            </w:pPr>
            <w:r w:rsidRPr="00A438A0">
              <w:rPr>
                <w:color w:val="000000"/>
              </w:rPr>
              <w:t xml:space="preserve">$40,204 </w:t>
            </w:r>
          </w:p>
        </w:tc>
      </w:tr>
      <w:tr w:rsidR="00286698" w:rsidRPr="00A438A0" w:rsidTr="006F1BCD">
        <w:trPr>
          <w:cantSplit/>
          <w:trHeight w:val="312"/>
          <w:jc w:val="center"/>
        </w:trPr>
        <w:tc>
          <w:tcPr>
            <w:tcW w:w="2804" w:type="dxa"/>
            <w:tcBorders>
              <w:top w:val="single" w:sz="6" w:space="0" w:color="auto"/>
              <w:left w:val="single" w:sz="8" w:space="0" w:color="auto"/>
              <w:bottom w:val="single" w:sz="6" w:space="0" w:color="auto"/>
              <w:right w:val="single" w:sz="6" w:space="0" w:color="auto"/>
            </w:tcBorders>
            <w:shd w:val="clear" w:color="auto" w:fill="auto"/>
            <w:vAlign w:val="center"/>
          </w:tcPr>
          <w:p w:rsidR="00286698" w:rsidRPr="00A438A0" w:rsidRDefault="00286698" w:rsidP="006F1BCD">
            <w:r w:rsidRPr="00A438A0">
              <w:t xml:space="preserve">Accounting Consultant Fees </w:t>
            </w:r>
          </w:p>
        </w:tc>
        <w:tc>
          <w:tcPr>
            <w:tcW w:w="1600" w:type="dxa"/>
            <w:tcBorders>
              <w:top w:val="single" w:sz="6" w:space="0" w:color="auto"/>
              <w:left w:val="single" w:sz="6" w:space="0" w:color="auto"/>
              <w:bottom w:val="single" w:sz="6" w:space="0" w:color="auto"/>
              <w:right w:val="single" w:sz="6" w:space="0" w:color="auto"/>
            </w:tcBorders>
            <w:shd w:val="clear" w:color="auto" w:fill="auto"/>
            <w:vAlign w:val="center"/>
          </w:tcPr>
          <w:p w:rsidR="00286698" w:rsidRPr="00A438A0" w:rsidRDefault="00286698" w:rsidP="006F1BCD">
            <w:pPr>
              <w:jc w:val="right"/>
            </w:pPr>
            <w:r w:rsidRPr="00A438A0">
              <w:t>57,750</w:t>
            </w:r>
          </w:p>
        </w:tc>
        <w:tc>
          <w:tcPr>
            <w:tcW w:w="1679" w:type="dxa"/>
            <w:tcBorders>
              <w:top w:val="single" w:sz="6" w:space="0" w:color="auto"/>
              <w:left w:val="single" w:sz="6" w:space="0" w:color="auto"/>
              <w:bottom w:val="single" w:sz="6" w:space="0" w:color="auto"/>
              <w:right w:val="single" w:sz="6" w:space="0" w:color="auto"/>
            </w:tcBorders>
            <w:shd w:val="clear" w:color="auto" w:fill="auto"/>
            <w:vAlign w:val="center"/>
          </w:tcPr>
          <w:p w:rsidR="00286698" w:rsidRPr="00A438A0" w:rsidRDefault="00286698" w:rsidP="006F1BCD">
            <w:pPr>
              <w:jc w:val="right"/>
            </w:pPr>
            <w:r w:rsidRPr="00A438A0">
              <w:t>72,664</w:t>
            </w:r>
          </w:p>
        </w:tc>
        <w:tc>
          <w:tcPr>
            <w:tcW w:w="1617" w:type="dxa"/>
            <w:tcBorders>
              <w:top w:val="single" w:sz="6" w:space="0" w:color="auto"/>
              <w:left w:val="single" w:sz="6" w:space="0" w:color="auto"/>
              <w:bottom w:val="single" w:sz="6" w:space="0" w:color="auto"/>
              <w:right w:val="single" w:sz="6" w:space="0" w:color="auto"/>
            </w:tcBorders>
            <w:shd w:val="clear" w:color="auto" w:fill="auto"/>
            <w:vAlign w:val="center"/>
          </w:tcPr>
          <w:p w:rsidR="00286698" w:rsidRPr="00A438A0" w:rsidRDefault="00286698" w:rsidP="006F1BCD">
            <w:pPr>
              <w:jc w:val="right"/>
            </w:pPr>
            <w:r w:rsidRPr="00A438A0">
              <w:t>4,500</w:t>
            </w:r>
          </w:p>
        </w:tc>
        <w:tc>
          <w:tcPr>
            <w:tcW w:w="1687" w:type="dxa"/>
            <w:tcBorders>
              <w:top w:val="single" w:sz="6" w:space="0" w:color="auto"/>
              <w:left w:val="single" w:sz="6" w:space="0" w:color="auto"/>
              <w:bottom w:val="single" w:sz="6" w:space="0" w:color="auto"/>
              <w:right w:val="single" w:sz="8" w:space="0" w:color="auto"/>
            </w:tcBorders>
            <w:shd w:val="clear" w:color="auto" w:fill="auto"/>
            <w:vAlign w:val="center"/>
          </w:tcPr>
          <w:p w:rsidR="00286698" w:rsidRPr="00A438A0" w:rsidRDefault="00286698" w:rsidP="006F1BCD">
            <w:pPr>
              <w:jc w:val="right"/>
              <w:rPr>
                <w:color w:val="000000"/>
              </w:rPr>
            </w:pPr>
            <w:r w:rsidRPr="00A438A0">
              <w:rPr>
                <w:color w:val="000000"/>
              </w:rPr>
              <w:t>77,163</w:t>
            </w:r>
          </w:p>
        </w:tc>
      </w:tr>
      <w:tr w:rsidR="00286698" w:rsidRPr="00A438A0" w:rsidTr="006F1BCD">
        <w:trPr>
          <w:cantSplit/>
          <w:trHeight w:val="312"/>
          <w:jc w:val="center"/>
        </w:trPr>
        <w:tc>
          <w:tcPr>
            <w:tcW w:w="2804" w:type="dxa"/>
            <w:tcBorders>
              <w:top w:val="single" w:sz="6" w:space="0" w:color="auto"/>
              <w:left w:val="single" w:sz="8" w:space="0" w:color="auto"/>
              <w:bottom w:val="single" w:sz="6" w:space="0" w:color="auto"/>
              <w:right w:val="single" w:sz="6" w:space="0" w:color="auto"/>
            </w:tcBorders>
            <w:shd w:val="clear" w:color="auto" w:fill="auto"/>
            <w:vAlign w:val="center"/>
          </w:tcPr>
          <w:p w:rsidR="00286698" w:rsidRPr="00A438A0" w:rsidRDefault="00286698" w:rsidP="006F1BCD">
            <w:r w:rsidRPr="00A438A0">
              <w:t>Engineering Consultant Fees</w:t>
            </w:r>
          </w:p>
        </w:tc>
        <w:tc>
          <w:tcPr>
            <w:tcW w:w="1600" w:type="dxa"/>
            <w:tcBorders>
              <w:top w:val="single" w:sz="6" w:space="0" w:color="auto"/>
              <w:left w:val="single" w:sz="6" w:space="0" w:color="auto"/>
              <w:bottom w:val="single" w:sz="6" w:space="0" w:color="auto"/>
              <w:right w:val="single" w:sz="6" w:space="0" w:color="auto"/>
            </w:tcBorders>
            <w:shd w:val="clear" w:color="auto" w:fill="auto"/>
            <w:vAlign w:val="center"/>
          </w:tcPr>
          <w:p w:rsidR="00286698" w:rsidRPr="00A438A0" w:rsidRDefault="00286698" w:rsidP="006F1BCD">
            <w:pPr>
              <w:jc w:val="right"/>
            </w:pPr>
            <w:r w:rsidRPr="00A438A0">
              <w:t>7,000</w:t>
            </w:r>
          </w:p>
        </w:tc>
        <w:tc>
          <w:tcPr>
            <w:tcW w:w="1679" w:type="dxa"/>
            <w:tcBorders>
              <w:top w:val="single" w:sz="6" w:space="0" w:color="auto"/>
              <w:left w:val="single" w:sz="6" w:space="0" w:color="auto"/>
              <w:bottom w:val="single" w:sz="6" w:space="0" w:color="auto"/>
              <w:right w:val="single" w:sz="6" w:space="0" w:color="auto"/>
            </w:tcBorders>
            <w:shd w:val="clear" w:color="auto" w:fill="auto"/>
            <w:vAlign w:val="center"/>
          </w:tcPr>
          <w:p w:rsidR="00286698" w:rsidRPr="00A438A0" w:rsidRDefault="00286698" w:rsidP="006F1BCD">
            <w:pPr>
              <w:jc w:val="right"/>
            </w:pPr>
            <w:r w:rsidRPr="00A438A0">
              <w:t>3,608</w:t>
            </w:r>
          </w:p>
        </w:tc>
        <w:tc>
          <w:tcPr>
            <w:tcW w:w="1617" w:type="dxa"/>
            <w:tcBorders>
              <w:top w:val="single" w:sz="6" w:space="0" w:color="auto"/>
              <w:left w:val="single" w:sz="6" w:space="0" w:color="auto"/>
              <w:bottom w:val="single" w:sz="6" w:space="0" w:color="auto"/>
              <w:right w:val="single" w:sz="6" w:space="0" w:color="auto"/>
            </w:tcBorders>
            <w:shd w:val="clear" w:color="auto" w:fill="auto"/>
            <w:vAlign w:val="center"/>
          </w:tcPr>
          <w:p w:rsidR="00286698" w:rsidRPr="00A438A0" w:rsidRDefault="00286698" w:rsidP="006F1BCD">
            <w:pPr>
              <w:jc w:val="right"/>
            </w:pPr>
            <w:r w:rsidRPr="00A438A0">
              <w:t>1,983</w:t>
            </w:r>
          </w:p>
        </w:tc>
        <w:tc>
          <w:tcPr>
            <w:tcW w:w="1687" w:type="dxa"/>
            <w:tcBorders>
              <w:top w:val="single" w:sz="6" w:space="0" w:color="auto"/>
              <w:left w:val="single" w:sz="6" w:space="0" w:color="auto"/>
              <w:bottom w:val="single" w:sz="6" w:space="0" w:color="auto"/>
              <w:right w:val="single" w:sz="8" w:space="0" w:color="auto"/>
            </w:tcBorders>
            <w:shd w:val="clear" w:color="auto" w:fill="auto"/>
            <w:vAlign w:val="center"/>
          </w:tcPr>
          <w:p w:rsidR="00286698" w:rsidRPr="00A438A0" w:rsidRDefault="00286698" w:rsidP="006F1BCD">
            <w:pPr>
              <w:jc w:val="right"/>
              <w:rPr>
                <w:color w:val="000000"/>
              </w:rPr>
            </w:pPr>
            <w:r w:rsidRPr="00A438A0">
              <w:rPr>
                <w:color w:val="000000"/>
              </w:rPr>
              <w:t>5,590</w:t>
            </w:r>
          </w:p>
        </w:tc>
      </w:tr>
      <w:tr w:rsidR="00286698" w:rsidRPr="00A438A0" w:rsidTr="006F1BCD">
        <w:trPr>
          <w:cantSplit/>
          <w:trHeight w:val="312"/>
          <w:jc w:val="center"/>
        </w:trPr>
        <w:tc>
          <w:tcPr>
            <w:tcW w:w="2804" w:type="dxa"/>
            <w:tcBorders>
              <w:top w:val="single" w:sz="6" w:space="0" w:color="auto"/>
              <w:left w:val="single" w:sz="8" w:space="0" w:color="auto"/>
              <w:bottom w:val="single" w:sz="6" w:space="0" w:color="auto"/>
              <w:right w:val="single" w:sz="6" w:space="0" w:color="auto"/>
            </w:tcBorders>
            <w:shd w:val="clear" w:color="auto" w:fill="auto"/>
            <w:vAlign w:val="center"/>
          </w:tcPr>
          <w:p w:rsidR="00286698" w:rsidRPr="00A438A0" w:rsidRDefault="00286698" w:rsidP="006F1BCD">
            <w:r w:rsidRPr="00A438A0">
              <w:t xml:space="preserve">Filing Fee </w:t>
            </w:r>
          </w:p>
        </w:tc>
        <w:tc>
          <w:tcPr>
            <w:tcW w:w="1600" w:type="dxa"/>
            <w:tcBorders>
              <w:top w:val="single" w:sz="6" w:space="0" w:color="auto"/>
              <w:left w:val="single" w:sz="6" w:space="0" w:color="auto"/>
              <w:bottom w:val="single" w:sz="6" w:space="0" w:color="auto"/>
              <w:right w:val="single" w:sz="6" w:space="0" w:color="auto"/>
            </w:tcBorders>
            <w:shd w:val="clear" w:color="auto" w:fill="auto"/>
            <w:vAlign w:val="center"/>
          </w:tcPr>
          <w:p w:rsidR="00286698" w:rsidRPr="00A438A0" w:rsidRDefault="00286698" w:rsidP="006F1BCD">
            <w:pPr>
              <w:jc w:val="right"/>
            </w:pPr>
            <w:r w:rsidRPr="00A438A0">
              <w:t>4,000</w:t>
            </w:r>
          </w:p>
        </w:tc>
        <w:tc>
          <w:tcPr>
            <w:tcW w:w="1679" w:type="dxa"/>
            <w:tcBorders>
              <w:top w:val="single" w:sz="6" w:space="0" w:color="auto"/>
              <w:left w:val="single" w:sz="6" w:space="0" w:color="auto"/>
              <w:bottom w:val="single" w:sz="6" w:space="0" w:color="auto"/>
              <w:right w:val="single" w:sz="6" w:space="0" w:color="auto"/>
            </w:tcBorders>
            <w:shd w:val="clear" w:color="auto" w:fill="auto"/>
            <w:vAlign w:val="center"/>
          </w:tcPr>
          <w:p w:rsidR="00286698" w:rsidRPr="00A438A0" w:rsidRDefault="00286698" w:rsidP="006F1BCD">
            <w:pPr>
              <w:jc w:val="right"/>
              <w:rPr>
                <w:color w:val="000000"/>
              </w:rPr>
            </w:pPr>
            <w:r w:rsidRPr="00A438A0">
              <w:rPr>
                <w:color w:val="000000"/>
              </w:rPr>
              <w:t>0</w:t>
            </w:r>
          </w:p>
        </w:tc>
        <w:tc>
          <w:tcPr>
            <w:tcW w:w="1617" w:type="dxa"/>
            <w:tcBorders>
              <w:top w:val="single" w:sz="6" w:space="0" w:color="auto"/>
              <w:left w:val="single" w:sz="6" w:space="0" w:color="auto"/>
              <w:bottom w:val="single" w:sz="6" w:space="0" w:color="auto"/>
              <w:right w:val="single" w:sz="6" w:space="0" w:color="auto"/>
            </w:tcBorders>
            <w:shd w:val="clear" w:color="auto" w:fill="auto"/>
            <w:vAlign w:val="center"/>
          </w:tcPr>
          <w:p w:rsidR="00286698" w:rsidRPr="00A438A0" w:rsidRDefault="00286698" w:rsidP="006F1BCD">
            <w:pPr>
              <w:jc w:val="right"/>
            </w:pPr>
            <w:r w:rsidRPr="00A438A0">
              <w:t>4,000</w:t>
            </w:r>
          </w:p>
        </w:tc>
        <w:tc>
          <w:tcPr>
            <w:tcW w:w="1687" w:type="dxa"/>
            <w:tcBorders>
              <w:top w:val="single" w:sz="6" w:space="0" w:color="auto"/>
              <w:left w:val="single" w:sz="6" w:space="0" w:color="auto"/>
              <w:bottom w:val="single" w:sz="6" w:space="0" w:color="auto"/>
              <w:right w:val="single" w:sz="8" w:space="0" w:color="auto"/>
            </w:tcBorders>
            <w:shd w:val="clear" w:color="auto" w:fill="auto"/>
            <w:vAlign w:val="center"/>
          </w:tcPr>
          <w:p w:rsidR="00286698" w:rsidRPr="00A438A0" w:rsidRDefault="00286698" w:rsidP="006F1BCD">
            <w:pPr>
              <w:jc w:val="right"/>
              <w:rPr>
                <w:color w:val="000000"/>
              </w:rPr>
            </w:pPr>
            <w:r w:rsidRPr="00A438A0">
              <w:rPr>
                <w:color w:val="000000"/>
              </w:rPr>
              <w:t>4,000</w:t>
            </w:r>
          </w:p>
        </w:tc>
      </w:tr>
      <w:tr w:rsidR="00286698" w:rsidRPr="00A438A0" w:rsidTr="006F1BCD">
        <w:trPr>
          <w:cantSplit/>
          <w:trHeight w:hRule="exact" w:val="312"/>
          <w:jc w:val="center"/>
        </w:trPr>
        <w:tc>
          <w:tcPr>
            <w:tcW w:w="2804" w:type="dxa"/>
            <w:tcBorders>
              <w:top w:val="single" w:sz="6" w:space="0" w:color="auto"/>
              <w:left w:val="single" w:sz="8" w:space="0" w:color="auto"/>
              <w:bottom w:val="single" w:sz="6" w:space="0" w:color="auto"/>
              <w:right w:val="single" w:sz="6" w:space="0" w:color="auto"/>
            </w:tcBorders>
            <w:shd w:val="clear" w:color="auto" w:fill="auto"/>
            <w:vAlign w:val="center"/>
          </w:tcPr>
          <w:p w:rsidR="00286698" w:rsidRPr="00A438A0" w:rsidRDefault="00286698" w:rsidP="006F1BCD">
            <w:r w:rsidRPr="00A438A0">
              <w:t>WSC Travel</w:t>
            </w:r>
          </w:p>
        </w:tc>
        <w:tc>
          <w:tcPr>
            <w:tcW w:w="1600" w:type="dxa"/>
            <w:tcBorders>
              <w:top w:val="single" w:sz="6" w:space="0" w:color="auto"/>
              <w:left w:val="single" w:sz="6" w:space="0" w:color="auto"/>
              <w:bottom w:val="single" w:sz="6" w:space="0" w:color="auto"/>
              <w:right w:val="single" w:sz="6" w:space="0" w:color="auto"/>
            </w:tcBorders>
            <w:shd w:val="clear" w:color="auto" w:fill="auto"/>
            <w:vAlign w:val="center"/>
          </w:tcPr>
          <w:p w:rsidR="00286698" w:rsidRPr="00A438A0" w:rsidRDefault="00286698" w:rsidP="006F1BCD">
            <w:pPr>
              <w:jc w:val="right"/>
            </w:pPr>
            <w:r w:rsidRPr="00A438A0">
              <w:t>1,000</w:t>
            </w:r>
          </w:p>
        </w:tc>
        <w:tc>
          <w:tcPr>
            <w:tcW w:w="1679" w:type="dxa"/>
            <w:tcBorders>
              <w:top w:val="single" w:sz="6" w:space="0" w:color="auto"/>
              <w:left w:val="single" w:sz="6" w:space="0" w:color="auto"/>
              <w:bottom w:val="single" w:sz="6" w:space="0" w:color="auto"/>
              <w:right w:val="single" w:sz="6" w:space="0" w:color="auto"/>
            </w:tcBorders>
            <w:shd w:val="clear" w:color="auto" w:fill="auto"/>
            <w:vAlign w:val="center"/>
          </w:tcPr>
          <w:p w:rsidR="00286698" w:rsidRPr="00A438A0" w:rsidRDefault="00286698" w:rsidP="006F1BCD">
            <w:pPr>
              <w:jc w:val="right"/>
            </w:pPr>
            <w:r w:rsidRPr="00A438A0">
              <w:t>0</w:t>
            </w:r>
          </w:p>
        </w:tc>
        <w:tc>
          <w:tcPr>
            <w:tcW w:w="1617" w:type="dxa"/>
            <w:tcBorders>
              <w:top w:val="single" w:sz="6" w:space="0" w:color="auto"/>
              <w:left w:val="single" w:sz="6" w:space="0" w:color="auto"/>
              <w:bottom w:val="single" w:sz="6" w:space="0" w:color="auto"/>
              <w:right w:val="single" w:sz="6" w:space="0" w:color="auto"/>
            </w:tcBorders>
            <w:shd w:val="clear" w:color="auto" w:fill="auto"/>
            <w:vAlign w:val="center"/>
          </w:tcPr>
          <w:p w:rsidR="00286698" w:rsidRPr="00A438A0" w:rsidRDefault="00286698" w:rsidP="006F1BCD">
            <w:pPr>
              <w:jc w:val="right"/>
            </w:pPr>
            <w:r w:rsidRPr="00A438A0">
              <w:t>1,000</w:t>
            </w:r>
          </w:p>
        </w:tc>
        <w:tc>
          <w:tcPr>
            <w:tcW w:w="1687" w:type="dxa"/>
            <w:tcBorders>
              <w:top w:val="single" w:sz="6" w:space="0" w:color="auto"/>
              <w:left w:val="single" w:sz="6" w:space="0" w:color="auto"/>
              <w:bottom w:val="single" w:sz="6" w:space="0" w:color="auto"/>
              <w:right w:val="single" w:sz="8" w:space="0" w:color="auto"/>
            </w:tcBorders>
            <w:shd w:val="clear" w:color="auto" w:fill="auto"/>
            <w:vAlign w:val="center"/>
          </w:tcPr>
          <w:p w:rsidR="00286698" w:rsidRPr="00A438A0" w:rsidRDefault="00286698" w:rsidP="006F1BCD">
            <w:pPr>
              <w:jc w:val="right"/>
              <w:rPr>
                <w:color w:val="000000"/>
              </w:rPr>
            </w:pPr>
            <w:r w:rsidRPr="00A438A0">
              <w:rPr>
                <w:color w:val="000000"/>
              </w:rPr>
              <w:t>1,000</w:t>
            </w:r>
          </w:p>
        </w:tc>
      </w:tr>
      <w:tr w:rsidR="00286698" w:rsidRPr="00A438A0" w:rsidTr="006F1BCD">
        <w:trPr>
          <w:cantSplit/>
          <w:trHeight w:hRule="exact" w:val="312"/>
          <w:jc w:val="center"/>
        </w:trPr>
        <w:tc>
          <w:tcPr>
            <w:tcW w:w="2804" w:type="dxa"/>
            <w:tcBorders>
              <w:top w:val="single" w:sz="6" w:space="0" w:color="auto"/>
              <w:left w:val="single" w:sz="8" w:space="0" w:color="auto"/>
              <w:bottom w:val="single" w:sz="6" w:space="0" w:color="auto"/>
              <w:right w:val="single" w:sz="6" w:space="0" w:color="auto"/>
            </w:tcBorders>
            <w:shd w:val="clear" w:color="auto" w:fill="auto"/>
            <w:vAlign w:val="center"/>
          </w:tcPr>
          <w:p w:rsidR="00286698" w:rsidRPr="00A438A0" w:rsidRDefault="00286698" w:rsidP="006F1BCD">
            <w:r w:rsidRPr="00A438A0">
              <w:t>WSC FedEx/Misc.</w:t>
            </w:r>
          </w:p>
        </w:tc>
        <w:tc>
          <w:tcPr>
            <w:tcW w:w="1600" w:type="dxa"/>
            <w:tcBorders>
              <w:top w:val="single" w:sz="6" w:space="0" w:color="auto"/>
              <w:left w:val="single" w:sz="6" w:space="0" w:color="auto"/>
              <w:bottom w:val="single" w:sz="6" w:space="0" w:color="auto"/>
              <w:right w:val="single" w:sz="6" w:space="0" w:color="auto"/>
            </w:tcBorders>
            <w:shd w:val="clear" w:color="auto" w:fill="auto"/>
            <w:vAlign w:val="center"/>
          </w:tcPr>
          <w:p w:rsidR="00286698" w:rsidRPr="00A438A0" w:rsidRDefault="00286698" w:rsidP="006F1BCD">
            <w:pPr>
              <w:jc w:val="right"/>
            </w:pPr>
            <w:r w:rsidRPr="00A438A0">
              <w:t>100</w:t>
            </w:r>
          </w:p>
        </w:tc>
        <w:tc>
          <w:tcPr>
            <w:tcW w:w="1679" w:type="dxa"/>
            <w:tcBorders>
              <w:top w:val="single" w:sz="6" w:space="0" w:color="auto"/>
              <w:left w:val="single" w:sz="6" w:space="0" w:color="auto"/>
              <w:bottom w:val="single" w:sz="6" w:space="0" w:color="auto"/>
              <w:right w:val="single" w:sz="6" w:space="0" w:color="auto"/>
            </w:tcBorders>
            <w:shd w:val="clear" w:color="auto" w:fill="auto"/>
            <w:vAlign w:val="center"/>
          </w:tcPr>
          <w:p w:rsidR="00286698" w:rsidRPr="00A438A0" w:rsidRDefault="00286698" w:rsidP="006F1BCD">
            <w:pPr>
              <w:jc w:val="right"/>
            </w:pPr>
            <w:r w:rsidRPr="00A438A0">
              <w:t>0</w:t>
            </w:r>
          </w:p>
        </w:tc>
        <w:tc>
          <w:tcPr>
            <w:tcW w:w="1617" w:type="dxa"/>
            <w:tcBorders>
              <w:top w:val="single" w:sz="6" w:space="0" w:color="auto"/>
              <w:left w:val="single" w:sz="6" w:space="0" w:color="auto"/>
              <w:bottom w:val="single" w:sz="6" w:space="0" w:color="auto"/>
              <w:right w:val="single" w:sz="6" w:space="0" w:color="auto"/>
            </w:tcBorders>
            <w:shd w:val="clear" w:color="auto" w:fill="auto"/>
            <w:vAlign w:val="center"/>
          </w:tcPr>
          <w:p w:rsidR="00286698" w:rsidRPr="00A438A0" w:rsidRDefault="00286698" w:rsidP="006F1BCD">
            <w:pPr>
              <w:jc w:val="right"/>
            </w:pPr>
            <w:r w:rsidRPr="00A438A0">
              <w:t>100</w:t>
            </w:r>
          </w:p>
        </w:tc>
        <w:tc>
          <w:tcPr>
            <w:tcW w:w="1687" w:type="dxa"/>
            <w:tcBorders>
              <w:top w:val="single" w:sz="6" w:space="0" w:color="auto"/>
              <w:left w:val="single" w:sz="6" w:space="0" w:color="auto"/>
              <w:bottom w:val="single" w:sz="6" w:space="0" w:color="auto"/>
              <w:right w:val="single" w:sz="8" w:space="0" w:color="auto"/>
            </w:tcBorders>
            <w:shd w:val="clear" w:color="auto" w:fill="auto"/>
            <w:vAlign w:val="center"/>
          </w:tcPr>
          <w:p w:rsidR="00286698" w:rsidRPr="00A438A0" w:rsidRDefault="00286698" w:rsidP="006F1BCD">
            <w:pPr>
              <w:jc w:val="right"/>
              <w:rPr>
                <w:color w:val="000000"/>
              </w:rPr>
            </w:pPr>
            <w:r w:rsidRPr="00A438A0">
              <w:rPr>
                <w:color w:val="000000"/>
              </w:rPr>
              <w:t>100</w:t>
            </w:r>
          </w:p>
        </w:tc>
      </w:tr>
      <w:tr w:rsidR="00286698" w:rsidRPr="00A438A0" w:rsidTr="006F1BCD">
        <w:trPr>
          <w:cantSplit/>
          <w:trHeight w:hRule="exact" w:val="312"/>
          <w:jc w:val="center"/>
        </w:trPr>
        <w:tc>
          <w:tcPr>
            <w:tcW w:w="2804" w:type="dxa"/>
            <w:tcBorders>
              <w:top w:val="single" w:sz="6" w:space="0" w:color="auto"/>
              <w:left w:val="single" w:sz="8" w:space="0" w:color="auto"/>
              <w:bottom w:val="single" w:sz="6" w:space="0" w:color="auto"/>
              <w:right w:val="single" w:sz="6" w:space="0" w:color="auto"/>
            </w:tcBorders>
            <w:shd w:val="clear" w:color="auto" w:fill="auto"/>
            <w:vAlign w:val="center"/>
          </w:tcPr>
          <w:p w:rsidR="00286698" w:rsidRPr="00A438A0" w:rsidRDefault="00286698" w:rsidP="006F1BCD">
            <w:r w:rsidRPr="00A438A0">
              <w:t>Cust. Notices and Postage</w:t>
            </w:r>
          </w:p>
        </w:tc>
        <w:tc>
          <w:tcPr>
            <w:tcW w:w="1600" w:type="dxa"/>
            <w:tcBorders>
              <w:top w:val="single" w:sz="6" w:space="0" w:color="auto"/>
              <w:left w:val="single" w:sz="6" w:space="0" w:color="auto"/>
              <w:bottom w:val="single" w:sz="6" w:space="0" w:color="auto"/>
              <w:right w:val="single" w:sz="6" w:space="0" w:color="auto"/>
            </w:tcBorders>
            <w:shd w:val="clear" w:color="auto" w:fill="auto"/>
            <w:vAlign w:val="center"/>
          </w:tcPr>
          <w:p w:rsidR="00286698" w:rsidRPr="00A438A0" w:rsidRDefault="00286698" w:rsidP="006F1BCD">
            <w:pPr>
              <w:jc w:val="right"/>
            </w:pPr>
            <w:r w:rsidRPr="00A438A0">
              <w:t>5,000</w:t>
            </w:r>
          </w:p>
        </w:tc>
        <w:tc>
          <w:tcPr>
            <w:tcW w:w="1679" w:type="dxa"/>
            <w:tcBorders>
              <w:top w:val="single" w:sz="6" w:space="0" w:color="auto"/>
              <w:left w:val="single" w:sz="6" w:space="0" w:color="auto"/>
              <w:bottom w:val="single" w:sz="6" w:space="0" w:color="auto"/>
              <w:right w:val="single" w:sz="6" w:space="0" w:color="auto"/>
            </w:tcBorders>
            <w:shd w:val="clear" w:color="auto" w:fill="auto"/>
            <w:vAlign w:val="center"/>
          </w:tcPr>
          <w:p w:rsidR="00286698" w:rsidRPr="00A438A0" w:rsidRDefault="00286698" w:rsidP="006F1BCD">
            <w:pPr>
              <w:jc w:val="right"/>
            </w:pPr>
            <w:r w:rsidRPr="00A438A0">
              <w:t>0</w:t>
            </w:r>
          </w:p>
          <w:p w:rsidR="00286698" w:rsidRPr="00A438A0" w:rsidRDefault="00286698" w:rsidP="006F1BCD">
            <w:pPr>
              <w:jc w:val="right"/>
            </w:pPr>
          </w:p>
        </w:tc>
        <w:tc>
          <w:tcPr>
            <w:tcW w:w="1617" w:type="dxa"/>
            <w:tcBorders>
              <w:top w:val="single" w:sz="6" w:space="0" w:color="auto"/>
              <w:left w:val="single" w:sz="6" w:space="0" w:color="auto"/>
              <w:bottom w:val="single" w:sz="6" w:space="0" w:color="auto"/>
              <w:right w:val="single" w:sz="6" w:space="0" w:color="auto"/>
            </w:tcBorders>
            <w:shd w:val="clear" w:color="auto" w:fill="auto"/>
            <w:vAlign w:val="center"/>
          </w:tcPr>
          <w:p w:rsidR="00286698" w:rsidRPr="00A438A0" w:rsidRDefault="00286698" w:rsidP="006F1BCD">
            <w:pPr>
              <w:jc w:val="right"/>
            </w:pPr>
            <w:r w:rsidRPr="00A438A0">
              <w:t>5,000</w:t>
            </w:r>
          </w:p>
        </w:tc>
        <w:tc>
          <w:tcPr>
            <w:tcW w:w="1687" w:type="dxa"/>
            <w:tcBorders>
              <w:top w:val="single" w:sz="6" w:space="0" w:color="auto"/>
              <w:left w:val="single" w:sz="6" w:space="0" w:color="auto"/>
              <w:bottom w:val="single" w:sz="6" w:space="0" w:color="auto"/>
              <w:right w:val="single" w:sz="8" w:space="0" w:color="auto"/>
            </w:tcBorders>
            <w:shd w:val="clear" w:color="auto" w:fill="auto"/>
            <w:vAlign w:val="center"/>
          </w:tcPr>
          <w:p w:rsidR="00286698" w:rsidRPr="00A438A0" w:rsidRDefault="00286698" w:rsidP="006F1BCD">
            <w:pPr>
              <w:jc w:val="right"/>
              <w:rPr>
                <w:color w:val="000000"/>
              </w:rPr>
            </w:pPr>
            <w:r w:rsidRPr="00A438A0">
              <w:rPr>
                <w:color w:val="000000"/>
              </w:rPr>
              <w:t>5,000</w:t>
            </w:r>
          </w:p>
        </w:tc>
      </w:tr>
      <w:tr w:rsidR="00286698" w:rsidRPr="00A438A0" w:rsidTr="006F1BCD">
        <w:trPr>
          <w:cantSplit/>
          <w:trHeight w:val="312"/>
          <w:jc w:val="center"/>
        </w:trPr>
        <w:tc>
          <w:tcPr>
            <w:tcW w:w="2804" w:type="dxa"/>
            <w:tcBorders>
              <w:top w:val="single" w:sz="6" w:space="0" w:color="auto"/>
              <w:left w:val="single" w:sz="8" w:space="0" w:color="auto"/>
              <w:bottom w:val="single" w:sz="8" w:space="0" w:color="auto"/>
              <w:right w:val="single" w:sz="6" w:space="0" w:color="auto"/>
            </w:tcBorders>
            <w:shd w:val="clear" w:color="auto" w:fill="auto"/>
            <w:vAlign w:val="center"/>
          </w:tcPr>
          <w:p w:rsidR="00286698" w:rsidRPr="00A438A0" w:rsidRDefault="00286698" w:rsidP="006F1BCD">
            <w:pPr>
              <w:rPr>
                <w:b/>
              </w:rPr>
            </w:pPr>
            <w:r w:rsidRPr="00A438A0">
              <w:rPr>
                <w:b/>
              </w:rPr>
              <w:t>Total</w:t>
            </w:r>
          </w:p>
        </w:tc>
        <w:tc>
          <w:tcPr>
            <w:tcW w:w="1600" w:type="dxa"/>
            <w:tcBorders>
              <w:top w:val="single" w:sz="6" w:space="0" w:color="auto"/>
              <w:left w:val="single" w:sz="6" w:space="0" w:color="auto"/>
              <w:bottom w:val="single" w:sz="8" w:space="0" w:color="auto"/>
              <w:right w:val="single" w:sz="6" w:space="0" w:color="auto"/>
            </w:tcBorders>
            <w:shd w:val="clear" w:color="auto" w:fill="auto"/>
            <w:vAlign w:val="center"/>
          </w:tcPr>
          <w:p w:rsidR="00286698" w:rsidRPr="00A438A0" w:rsidRDefault="00286698" w:rsidP="006F1BCD">
            <w:pPr>
              <w:jc w:val="right"/>
              <w:rPr>
                <w:color w:val="000000"/>
              </w:rPr>
            </w:pPr>
            <w:r w:rsidRPr="00A438A0">
              <w:rPr>
                <w:color w:val="000000"/>
              </w:rPr>
              <w:t>$131,850</w:t>
            </w:r>
          </w:p>
        </w:tc>
        <w:tc>
          <w:tcPr>
            <w:tcW w:w="1679" w:type="dxa"/>
            <w:tcBorders>
              <w:top w:val="single" w:sz="6" w:space="0" w:color="auto"/>
              <w:left w:val="single" w:sz="6" w:space="0" w:color="auto"/>
              <w:bottom w:val="single" w:sz="8" w:space="0" w:color="auto"/>
              <w:right w:val="single" w:sz="6" w:space="0" w:color="auto"/>
            </w:tcBorders>
            <w:shd w:val="clear" w:color="auto" w:fill="auto"/>
            <w:vAlign w:val="center"/>
          </w:tcPr>
          <w:p w:rsidR="00286698" w:rsidRPr="00A438A0" w:rsidRDefault="00286698" w:rsidP="006F1BCD">
            <w:pPr>
              <w:jc w:val="right"/>
              <w:rPr>
                <w:color w:val="000000"/>
              </w:rPr>
            </w:pPr>
            <w:r w:rsidRPr="00A438A0">
              <w:rPr>
                <w:color w:val="000000"/>
              </w:rPr>
              <w:fldChar w:fldCharType="begin"/>
            </w:r>
            <w:r w:rsidRPr="00A438A0">
              <w:rPr>
                <w:color w:val="000000"/>
              </w:rPr>
              <w:instrText xml:space="preserve"> =SUM(ABOVE) </w:instrText>
            </w:r>
            <w:r w:rsidRPr="00A438A0">
              <w:rPr>
                <w:color w:val="000000"/>
              </w:rPr>
              <w:fldChar w:fldCharType="separate"/>
            </w:r>
            <w:r w:rsidRPr="00A438A0">
              <w:rPr>
                <w:noProof/>
                <w:color w:val="000000"/>
              </w:rPr>
              <w:t>$106,416</w:t>
            </w:r>
            <w:r w:rsidRPr="00A438A0">
              <w:rPr>
                <w:color w:val="000000"/>
              </w:rPr>
              <w:fldChar w:fldCharType="end"/>
            </w:r>
          </w:p>
        </w:tc>
        <w:tc>
          <w:tcPr>
            <w:tcW w:w="1617" w:type="dxa"/>
            <w:tcBorders>
              <w:top w:val="single" w:sz="6" w:space="0" w:color="auto"/>
              <w:left w:val="single" w:sz="6" w:space="0" w:color="auto"/>
              <w:bottom w:val="single" w:sz="8" w:space="0" w:color="auto"/>
              <w:right w:val="single" w:sz="6" w:space="0" w:color="auto"/>
            </w:tcBorders>
            <w:shd w:val="clear" w:color="auto" w:fill="auto"/>
            <w:vAlign w:val="center"/>
          </w:tcPr>
          <w:p w:rsidR="00286698" w:rsidRPr="00A438A0" w:rsidRDefault="00286698" w:rsidP="006F1BCD">
            <w:pPr>
              <w:jc w:val="right"/>
              <w:rPr>
                <w:color w:val="000000"/>
              </w:rPr>
            </w:pPr>
            <w:r w:rsidRPr="00A438A0">
              <w:rPr>
                <w:color w:val="000000"/>
              </w:rPr>
              <w:fldChar w:fldCharType="begin"/>
            </w:r>
            <w:r w:rsidRPr="00A438A0">
              <w:rPr>
                <w:color w:val="000000"/>
              </w:rPr>
              <w:instrText xml:space="preserve"> =SUM(ABOVE) </w:instrText>
            </w:r>
            <w:r w:rsidRPr="00A438A0">
              <w:rPr>
                <w:color w:val="000000"/>
              </w:rPr>
              <w:fldChar w:fldCharType="separate"/>
            </w:r>
            <w:r w:rsidRPr="00A438A0">
              <w:rPr>
                <w:noProof/>
                <w:color w:val="000000"/>
              </w:rPr>
              <w:t>$26,643</w:t>
            </w:r>
            <w:r w:rsidRPr="00A438A0">
              <w:rPr>
                <w:color w:val="000000"/>
              </w:rPr>
              <w:fldChar w:fldCharType="end"/>
            </w:r>
          </w:p>
        </w:tc>
        <w:tc>
          <w:tcPr>
            <w:tcW w:w="1687" w:type="dxa"/>
            <w:tcBorders>
              <w:top w:val="single" w:sz="6" w:space="0" w:color="auto"/>
              <w:left w:val="single" w:sz="6" w:space="0" w:color="auto"/>
              <w:bottom w:val="single" w:sz="8" w:space="0" w:color="auto"/>
              <w:right w:val="single" w:sz="8" w:space="0" w:color="auto"/>
            </w:tcBorders>
            <w:shd w:val="clear" w:color="auto" w:fill="auto"/>
            <w:vAlign w:val="center"/>
          </w:tcPr>
          <w:p w:rsidR="00286698" w:rsidRPr="00A438A0" w:rsidRDefault="00286698" w:rsidP="006F1BCD">
            <w:pPr>
              <w:jc w:val="right"/>
              <w:rPr>
                <w:color w:val="000000"/>
              </w:rPr>
            </w:pPr>
            <w:r w:rsidRPr="00A438A0">
              <w:rPr>
                <w:color w:val="000000"/>
              </w:rPr>
              <w:fldChar w:fldCharType="begin"/>
            </w:r>
            <w:r w:rsidRPr="00A438A0">
              <w:rPr>
                <w:color w:val="000000"/>
              </w:rPr>
              <w:instrText xml:space="preserve"> =SUM(ABOVE) </w:instrText>
            </w:r>
            <w:r w:rsidRPr="00A438A0">
              <w:rPr>
                <w:color w:val="000000"/>
              </w:rPr>
              <w:fldChar w:fldCharType="end"/>
            </w:r>
            <w:r w:rsidRPr="00A438A0">
              <w:rPr>
                <w:color w:val="000000"/>
              </w:rPr>
              <w:fldChar w:fldCharType="begin"/>
            </w:r>
            <w:r w:rsidRPr="00A438A0">
              <w:rPr>
                <w:color w:val="000000"/>
              </w:rPr>
              <w:instrText xml:space="preserve"> =SUM(ABOVE) </w:instrText>
            </w:r>
            <w:r w:rsidRPr="00A438A0">
              <w:rPr>
                <w:color w:val="000000"/>
              </w:rPr>
              <w:fldChar w:fldCharType="separate"/>
            </w:r>
            <w:r w:rsidRPr="00A438A0">
              <w:rPr>
                <w:noProof/>
                <w:color w:val="000000"/>
              </w:rPr>
              <w:t>$133,057</w:t>
            </w:r>
            <w:r w:rsidRPr="00A438A0">
              <w:rPr>
                <w:color w:val="000000"/>
              </w:rPr>
              <w:fldChar w:fldCharType="end"/>
            </w:r>
            <w:r w:rsidRPr="00A438A0">
              <w:rPr>
                <w:color w:val="000000"/>
              </w:rPr>
              <w:t xml:space="preserve"> </w:t>
            </w:r>
          </w:p>
        </w:tc>
      </w:tr>
    </w:tbl>
    <w:p w:rsidR="00286698" w:rsidRPr="00A438A0" w:rsidRDefault="00286698" w:rsidP="00286698">
      <w:pPr>
        <w:jc w:val="both"/>
        <w:rPr>
          <w:rFonts w:cs="Arial"/>
          <w:bCs/>
          <w:color w:val="000000"/>
          <w:kern w:val="32"/>
          <w:szCs w:val="32"/>
        </w:rPr>
      </w:pPr>
      <w:r w:rsidRPr="00A438A0">
        <w:rPr>
          <w:rFonts w:cs="Arial"/>
          <w:bCs/>
          <w:color w:val="000000"/>
          <w:kern w:val="32"/>
          <w:szCs w:val="32"/>
        </w:rPr>
        <w:t>Source: MFR Schedule B-10, Responses to staff data request</w:t>
      </w:r>
    </w:p>
    <w:p w:rsidR="00286698" w:rsidRPr="00A438A0" w:rsidRDefault="00286698" w:rsidP="00286698">
      <w:pPr>
        <w:jc w:val="both"/>
        <w:rPr>
          <w:rFonts w:cs="Arial"/>
          <w:bCs/>
          <w:color w:val="000000"/>
          <w:kern w:val="32"/>
          <w:szCs w:val="32"/>
        </w:rPr>
      </w:pPr>
    </w:p>
    <w:p w:rsidR="00286698" w:rsidRPr="00A438A0" w:rsidRDefault="00286698" w:rsidP="00286698">
      <w:pPr>
        <w:jc w:val="both"/>
        <w:rPr>
          <w:rFonts w:cs="Arial"/>
          <w:bCs/>
          <w:color w:val="000000"/>
          <w:kern w:val="32"/>
          <w:szCs w:val="32"/>
        </w:rPr>
      </w:pPr>
      <w:r w:rsidRPr="00A438A0">
        <w:rPr>
          <w:rFonts w:cs="Arial"/>
          <w:bCs/>
          <w:color w:val="000000"/>
          <w:kern w:val="32"/>
          <w:szCs w:val="32"/>
        </w:rPr>
        <w:t>Pursuant to Section 367.081(7), F.S., the Commission shall determine the reasonableness of rate case expense and shall disallow all rate case expense determined to be unreasonable. Staff has examined the requested actual expenses, supporting documentation, and estimated expenses as listed above for the current rate case. Based on its review, staff believes the following adjustments to Sandalhaven’s rate case expense estimate are appropriate.</w:t>
      </w:r>
    </w:p>
    <w:p w:rsidR="00286698" w:rsidRPr="00A438A0" w:rsidRDefault="00286698" w:rsidP="00286698">
      <w:pPr>
        <w:jc w:val="both"/>
        <w:rPr>
          <w:rFonts w:cs="Arial"/>
          <w:bCs/>
          <w:color w:val="000000"/>
          <w:kern w:val="32"/>
          <w:szCs w:val="32"/>
        </w:rPr>
      </w:pPr>
    </w:p>
    <w:p w:rsidR="00286698" w:rsidRPr="00A438A0" w:rsidRDefault="00286698" w:rsidP="00286698">
      <w:pPr>
        <w:jc w:val="both"/>
        <w:rPr>
          <w:rFonts w:ascii="Arial" w:hAnsi="Arial" w:cs="Arial"/>
          <w:b/>
          <w:color w:val="000000"/>
        </w:rPr>
      </w:pPr>
      <w:r w:rsidRPr="00A438A0">
        <w:rPr>
          <w:rFonts w:ascii="Arial" w:hAnsi="Arial" w:cs="Arial"/>
          <w:b/>
          <w:color w:val="000000"/>
        </w:rPr>
        <w:t>Legal Fees – Friedman &amp; Friedman, P.A. (F&amp;F)</w:t>
      </w:r>
    </w:p>
    <w:p w:rsidR="00286698" w:rsidRPr="00A438A0" w:rsidRDefault="00286698" w:rsidP="00286698">
      <w:pPr>
        <w:spacing w:after="240"/>
        <w:jc w:val="both"/>
        <w:rPr>
          <w:color w:val="000000"/>
        </w:rPr>
      </w:pPr>
      <w:r w:rsidRPr="00A438A0">
        <w:rPr>
          <w:color w:val="000000"/>
        </w:rPr>
        <w:t>The first adjustment to rate case expense relates to Sandalhaven’s legal fees. In its MFRs, the utility included $57,000 in legal fees to complete the rate cas</w:t>
      </w:r>
      <w:r w:rsidR="00913AC2" w:rsidRPr="00A438A0">
        <w:rPr>
          <w:color w:val="000000"/>
        </w:rPr>
        <w:t>e. The u</w:t>
      </w:r>
      <w:r w:rsidRPr="00A438A0">
        <w:rPr>
          <w:color w:val="000000"/>
        </w:rPr>
        <w:t xml:space="preserve">tility provided supporting documentation detailing this expense through October 6, 2015. The actual fees and costs totaled $30,144 with an estimated $10,060 to complete the rate case, totaling $40,204. </w:t>
      </w:r>
    </w:p>
    <w:p w:rsidR="00286698" w:rsidRPr="00A438A0" w:rsidRDefault="00286698" w:rsidP="00286698">
      <w:pPr>
        <w:spacing w:after="240"/>
        <w:jc w:val="both"/>
        <w:rPr>
          <w:color w:val="000000"/>
        </w:rPr>
      </w:pPr>
      <w:r w:rsidRPr="00A438A0">
        <w:rPr>
          <w:color w:val="000000"/>
        </w:rPr>
        <w:t xml:space="preserve">F&amp;F’s actual expenses included the $2,000 filing fee. However, the utility also included $4,000 in its MFR Schedule B-10, under “Public Service Commission – Filing Fee.” Staff has left the </w:t>
      </w:r>
      <w:r w:rsidRPr="00A438A0">
        <w:rPr>
          <w:color w:val="000000"/>
        </w:rPr>
        <w:lastRenderedPageBreak/>
        <w:t>filing fee as part of the legal fees and will remove the entry elsewhere to avoid double recovery of this fee.</w:t>
      </w:r>
    </w:p>
    <w:p w:rsidR="00286698" w:rsidRPr="00A438A0" w:rsidRDefault="00286698" w:rsidP="00286698">
      <w:pPr>
        <w:spacing w:after="240"/>
        <w:jc w:val="both"/>
      </w:pPr>
      <w:r w:rsidRPr="00A438A0">
        <w:t>According to invoices, the law firm of F&amp;F identified and billed the utility $360 related to the correction of MFR deficiencies. The Commission has previously disallowed rate case</w:t>
      </w:r>
      <w:r w:rsidRPr="00A438A0">
        <w:rPr>
          <w:color w:val="FF0000"/>
        </w:rPr>
        <w:t xml:space="preserve"> </w:t>
      </w:r>
      <w:r w:rsidRPr="00A438A0">
        <w:t>expense associated with correcting MFR deficiencies because of duplicate filing costs.</w:t>
      </w:r>
      <w:r w:rsidRPr="00A438A0">
        <w:rPr>
          <w:vertAlign w:val="superscript"/>
        </w:rPr>
        <w:footnoteReference w:id="13"/>
      </w:r>
      <w:r w:rsidRPr="00A438A0">
        <w:t xml:space="preserve"> Consequently, staff recommends an adjustment to reduce F&amp;F’s actual legal fees by $360. </w:t>
      </w:r>
    </w:p>
    <w:p w:rsidR="00286698" w:rsidRPr="00A438A0" w:rsidRDefault="00286698" w:rsidP="00286698">
      <w:pPr>
        <w:spacing w:after="240"/>
        <w:jc w:val="both"/>
      </w:pPr>
      <w:r w:rsidRPr="00A438A0">
        <w:t>F&amp;F’s estimate to complete the rate case includes fees for 26.5 hours at $360/hr.</w:t>
      </w:r>
      <w:r w:rsidRPr="00A438A0">
        <w:rPr>
          <w:vertAlign w:val="superscript"/>
        </w:rPr>
        <w:footnoteReference w:id="14"/>
      </w:r>
      <w:r w:rsidRPr="00A438A0">
        <w:t xml:space="preserve"> and additional costs totaling $520. Staff believes the full amount of the estimate to complete, $10,060, is reasonable. Accordingly, no adjustment is necessary.</w:t>
      </w:r>
    </w:p>
    <w:p w:rsidR="00286698" w:rsidRPr="00A438A0" w:rsidRDefault="00286698" w:rsidP="00286698">
      <w:pPr>
        <w:jc w:val="both"/>
        <w:rPr>
          <w:rFonts w:ascii="Arial" w:hAnsi="Arial" w:cs="Arial"/>
          <w:b/>
          <w:color w:val="000000"/>
        </w:rPr>
      </w:pPr>
      <w:r w:rsidRPr="00A438A0">
        <w:rPr>
          <w:rFonts w:ascii="Arial" w:hAnsi="Arial" w:cs="Arial"/>
          <w:b/>
          <w:color w:val="000000"/>
        </w:rPr>
        <w:t>Accounting Consultant Fees – Milian, Swain &amp; Associates (MS&amp;A)</w:t>
      </w:r>
    </w:p>
    <w:p w:rsidR="00286698" w:rsidRPr="00A438A0" w:rsidRDefault="00286698" w:rsidP="00286698">
      <w:pPr>
        <w:spacing w:after="240"/>
        <w:jc w:val="both"/>
      </w:pPr>
      <w:r w:rsidRPr="00A438A0">
        <w:t>The</w:t>
      </w:r>
      <w:r w:rsidRPr="00A438A0">
        <w:rPr>
          <w:color w:val="3366FF"/>
        </w:rPr>
        <w:t xml:space="preserve"> </w:t>
      </w:r>
      <w:r w:rsidRPr="00A438A0">
        <w:t xml:space="preserve">second adjustment relates to MS&amp;A’s actual and estimated fees of $77,163, which was comprised of $72,664 in actual costs and $4,500 in estimated fees to complete the rate case as of September 29, 2015. In regard to MS&amp;A’s actual expenses, staff reviewed the supporting documentation and found that approximately 460.5 hours were related to MFR preparation. </w:t>
      </w:r>
    </w:p>
    <w:p w:rsidR="00286698" w:rsidRPr="00A438A0" w:rsidRDefault="00286698" w:rsidP="00286698">
      <w:pPr>
        <w:autoSpaceDE w:val="0"/>
        <w:autoSpaceDN w:val="0"/>
        <w:jc w:val="both"/>
      </w:pPr>
      <w:r w:rsidRPr="00A438A0">
        <w:t>In regard to MS&amp;A’s actual expenses, staff reviewed the supporting documentation and identified 4.25 hours related to correcting deficiencies. As stated previously, the Commission has previously disallowed rate case expense associated with correcting MFR deficiencies because of duplicate filing costs. As such, staff believes that $563 (3.75 hrs. x $150/hr.) should be removed for C. Yapp and $100 (0.5 hr. x $200/hr.) be removed for D. Swain. Accordingly, staff recommends that MS&amp;A’s actual accounting consultant fees be reduced by $663 ($563 + $100).</w:t>
      </w:r>
    </w:p>
    <w:p w:rsidR="00286698" w:rsidRPr="00A438A0" w:rsidRDefault="00286698" w:rsidP="00286698">
      <w:pPr>
        <w:autoSpaceDE w:val="0"/>
        <w:autoSpaceDN w:val="0"/>
        <w:ind w:firstLine="720"/>
      </w:pPr>
    </w:p>
    <w:p w:rsidR="00286698" w:rsidRPr="00A438A0" w:rsidRDefault="00286698" w:rsidP="00286698">
      <w:pPr>
        <w:spacing w:after="240"/>
        <w:jc w:val="both"/>
      </w:pPr>
      <w:r w:rsidRPr="00A438A0">
        <w:t xml:space="preserve">In addition to the deficiency adjustments, staff also identified approximately 16.5 hours for “MFRs – schedules, review, etc.,” dated June 5, 2015, that should be removed. According to documentation provided by MS&amp;A, D. Swain performed a similar review exactly one week prior. Moreover, the utility’s MFRs were officially submitted two days prior, on June 3. </w:t>
      </w:r>
      <w:r w:rsidR="00D74AEA" w:rsidRPr="00A438A0">
        <w:t>Staff believes the review that took place on June 5 is duplicative and 16.5 hours for D. Swain should be removed. As such, staff believes that $3,300 (16.5 hr. x $200/hr.) should be disallowed for D. Swain.</w:t>
      </w:r>
      <w:r w:rsidRPr="00A438A0">
        <w:t xml:space="preserve"> Accordingly, staff recommends that MS&amp;A’s actual accounting consultant fees be reduced by $3,963 ($663 + $3,300).</w:t>
      </w:r>
    </w:p>
    <w:p w:rsidR="00286698" w:rsidRPr="00A438A0" w:rsidRDefault="00286698" w:rsidP="00286698">
      <w:pPr>
        <w:spacing w:after="240"/>
        <w:jc w:val="both"/>
      </w:pPr>
      <w:r w:rsidRPr="00A438A0">
        <w:t xml:space="preserve">MS&amp;A estimates that a total of 28.75 hours are needed to complete the case. According to MS&amp;A’s summary, the consultant estimated the following: </w:t>
      </w:r>
    </w:p>
    <w:p w:rsidR="00286698" w:rsidRPr="00A438A0" w:rsidRDefault="00286698" w:rsidP="00286698">
      <w:pPr>
        <w:spacing w:after="240"/>
        <w:jc w:val="center"/>
      </w:pPr>
    </w:p>
    <w:p w:rsidR="00286698" w:rsidRPr="00A438A0" w:rsidRDefault="00286698" w:rsidP="00286698">
      <w:pPr>
        <w:spacing w:after="240"/>
        <w:jc w:val="center"/>
      </w:pPr>
    </w:p>
    <w:p w:rsidR="00286698" w:rsidRPr="00A438A0" w:rsidRDefault="00D74AEA" w:rsidP="00286698">
      <w:pPr>
        <w:jc w:val="center"/>
        <w:rPr>
          <w:rFonts w:ascii="Arial" w:hAnsi="Arial" w:cs="Arial"/>
          <w:b/>
        </w:rPr>
      </w:pPr>
      <w:r w:rsidRPr="00A438A0">
        <w:rPr>
          <w:rFonts w:ascii="Arial" w:hAnsi="Arial" w:cs="Arial"/>
          <w:b/>
        </w:rPr>
        <w:lastRenderedPageBreak/>
        <w:t>Table 14</w:t>
      </w:r>
      <w:r w:rsidR="00286698" w:rsidRPr="00A438A0">
        <w:rPr>
          <w:rFonts w:ascii="Arial" w:hAnsi="Arial" w:cs="Arial"/>
          <w:b/>
        </w:rPr>
        <w:t>-2</w:t>
      </w:r>
    </w:p>
    <w:p w:rsidR="00286698" w:rsidRPr="00A438A0" w:rsidRDefault="00286698" w:rsidP="00286698">
      <w:pPr>
        <w:jc w:val="center"/>
        <w:rPr>
          <w:rFonts w:ascii="Arial" w:hAnsi="Arial" w:cs="Arial"/>
          <w:b/>
        </w:rPr>
      </w:pPr>
      <w:r w:rsidRPr="00A438A0">
        <w:rPr>
          <w:rFonts w:ascii="Arial" w:hAnsi="Arial" w:cs="Arial"/>
          <w:b/>
        </w:rPr>
        <w:t>MS&amp;A’s Estimated Hours to Complete Case</w:t>
      </w:r>
    </w:p>
    <w:tbl>
      <w:tblPr>
        <w:tblW w:w="9540" w:type="dxa"/>
        <w:tblInd w:w="108" w:type="dxa"/>
        <w:tblLook w:val="04A0" w:firstRow="1" w:lastRow="0" w:firstColumn="1" w:lastColumn="0" w:noHBand="0" w:noVBand="1"/>
      </w:tblPr>
      <w:tblGrid>
        <w:gridCol w:w="1225"/>
        <w:gridCol w:w="8315"/>
      </w:tblGrid>
      <w:tr w:rsidR="00286698" w:rsidRPr="00A438A0" w:rsidTr="006F1BCD">
        <w:trPr>
          <w:trHeight w:val="300"/>
        </w:trPr>
        <w:tc>
          <w:tcPr>
            <w:tcW w:w="1225" w:type="dxa"/>
            <w:tcBorders>
              <w:top w:val="single" w:sz="4" w:space="0" w:color="auto"/>
              <w:left w:val="single" w:sz="4" w:space="0" w:color="auto"/>
              <w:bottom w:val="single" w:sz="4" w:space="0" w:color="auto"/>
              <w:right w:val="nil"/>
            </w:tcBorders>
            <w:shd w:val="clear" w:color="auto" w:fill="auto"/>
            <w:noWrap/>
            <w:vAlign w:val="center"/>
            <w:hideMark/>
          </w:tcPr>
          <w:p w:rsidR="00286698" w:rsidRPr="00A438A0" w:rsidRDefault="00286698" w:rsidP="006F1BCD">
            <w:pPr>
              <w:jc w:val="center"/>
              <w:rPr>
                <w:b/>
                <w:color w:val="000000"/>
              </w:rPr>
            </w:pPr>
            <w:r w:rsidRPr="00A438A0">
              <w:rPr>
                <w:b/>
                <w:color w:val="000000"/>
              </w:rPr>
              <w:t>Est. Hours</w:t>
            </w:r>
          </w:p>
        </w:tc>
        <w:tc>
          <w:tcPr>
            <w:tcW w:w="8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698" w:rsidRPr="00A438A0" w:rsidRDefault="00286698" w:rsidP="006F1BCD">
            <w:pPr>
              <w:jc w:val="center"/>
              <w:rPr>
                <w:b/>
                <w:color w:val="000000"/>
              </w:rPr>
            </w:pPr>
            <w:r w:rsidRPr="00A438A0">
              <w:rPr>
                <w:b/>
                <w:color w:val="000000"/>
              </w:rPr>
              <w:t>Activity</w:t>
            </w:r>
          </w:p>
        </w:tc>
      </w:tr>
      <w:tr w:rsidR="00286698" w:rsidRPr="00A438A0" w:rsidTr="006F1BCD">
        <w:trPr>
          <w:trHeight w:val="600"/>
        </w:trPr>
        <w:tc>
          <w:tcPr>
            <w:tcW w:w="1225" w:type="dxa"/>
            <w:tcBorders>
              <w:top w:val="nil"/>
              <w:left w:val="single" w:sz="4" w:space="0" w:color="auto"/>
              <w:bottom w:val="nil"/>
              <w:right w:val="nil"/>
            </w:tcBorders>
            <w:shd w:val="clear" w:color="auto" w:fill="auto"/>
            <w:noWrap/>
            <w:hideMark/>
          </w:tcPr>
          <w:p w:rsidR="00286698" w:rsidRPr="00A438A0" w:rsidRDefault="00286698" w:rsidP="006F1BCD">
            <w:pPr>
              <w:jc w:val="center"/>
              <w:rPr>
                <w:color w:val="000000"/>
              </w:rPr>
            </w:pPr>
            <w:r w:rsidRPr="00A438A0">
              <w:rPr>
                <w:color w:val="000000"/>
              </w:rPr>
              <w:t>5.75</w:t>
            </w:r>
          </w:p>
        </w:tc>
        <w:tc>
          <w:tcPr>
            <w:tcW w:w="8315" w:type="dxa"/>
            <w:tcBorders>
              <w:top w:val="nil"/>
              <w:left w:val="single" w:sz="4" w:space="0" w:color="auto"/>
              <w:bottom w:val="nil"/>
              <w:right w:val="single" w:sz="4" w:space="0" w:color="auto"/>
            </w:tcBorders>
            <w:shd w:val="clear" w:color="auto" w:fill="auto"/>
            <w:hideMark/>
          </w:tcPr>
          <w:p w:rsidR="00286698" w:rsidRPr="00A438A0" w:rsidRDefault="00286698" w:rsidP="006F1BCD">
            <w:pPr>
              <w:rPr>
                <w:color w:val="000000"/>
              </w:rPr>
            </w:pPr>
            <w:r w:rsidRPr="00A438A0">
              <w:rPr>
                <w:color w:val="000000"/>
              </w:rPr>
              <w:t>Provide support to client – Responses to Staff’s Data Requests, including updates to Rate Case Expense.</w:t>
            </w:r>
          </w:p>
        </w:tc>
      </w:tr>
      <w:tr w:rsidR="00286698" w:rsidRPr="00A438A0" w:rsidTr="006F1BCD">
        <w:trPr>
          <w:trHeight w:val="300"/>
        </w:trPr>
        <w:tc>
          <w:tcPr>
            <w:tcW w:w="1225" w:type="dxa"/>
            <w:tcBorders>
              <w:top w:val="nil"/>
              <w:left w:val="single" w:sz="4" w:space="0" w:color="auto"/>
              <w:bottom w:val="nil"/>
              <w:right w:val="nil"/>
            </w:tcBorders>
            <w:shd w:val="clear" w:color="auto" w:fill="auto"/>
            <w:noWrap/>
            <w:hideMark/>
          </w:tcPr>
          <w:p w:rsidR="00286698" w:rsidRPr="00A438A0" w:rsidRDefault="00286698" w:rsidP="006F1BCD">
            <w:pPr>
              <w:jc w:val="center"/>
              <w:rPr>
                <w:color w:val="000000"/>
              </w:rPr>
            </w:pPr>
            <w:r w:rsidRPr="00A438A0">
              <w:rPr>
                <w:color w:val="000000"/>
              </w:rPr>
              <w:t>2.5</w:t>
            </w:r>
          </w:p>
        </w:tc>
        <w:tc>
          <w:tcPr>
            <w:tcW w:w="8315" w:type="dxa"/>
            <w:tcBorders>
              <w:top w:val="nil"/>
              <w:left w:val="single" w:sz="4" w:space="0" w:color="auto"/>
              <w:bottom w:val="nil"/>
              <w:right w:val="single" w:sz="4" w:space="0" w:color="auto"/>
            </w:tcBorders>
            <w:shd w:val="clear" w:color="auto" w:fill="auto"/>
            <w:noWrap/>
            <w:hideMark/>
          </w:tcPr>
          <w:p w:rsidR="00286698" w:rsidRPr="00A438A0" w:rsidRDefault="00286698" w:rsidP="006F1BCD">
            <w:pPr>
              <w:rPr>
                <w:color w:val="000000"/>
              </w:rPr>
            </w:pPr>
            <w:r w:rsidRPr="00A438A0">
              <w:rPr>
                <w:color w:val="000000"/>
              </w:rPr>
              <w:t>Review Interim Order, test interim rates and consult with client.</w:t>
            </w:r>
          </w:p>
        </w:tc>
      </w:tr>
      <w:tr w:rsidR="00286698" w:rsidRPr="00A438A0" w:rsidTr="006F1BCD">
        <w:trPr>
          <w:trHeight w:val="300"/>
        </w:trPr>
        <w:tc>
          <w:tcPr>
            <w:tcW w:w="1225" w:type="dxa"/>
            <w:tcBorders>
              <w:top w:val="nil"/>
              <w:left w:val="single" w:sz="4" w:space="0" w:color="auto"/>
              <w:bottom w:val="nil"/>
              <w:right w:val="nil"/>
            </w:tcBorders>
            <w:shd w:val="clear" w:color="auto" w:fill="auto"/>
            <w:noWrap/>
            <w:hideMark/>
          </w:tcPr>
          <w:p w:rsidR="00286698" w:rsidRPr="00A438A0" w:rsidRDefault="00286698" w:rsidP="006F1BCD">
            <w:pPr>
              <w:jc w:val="center"/>
              <w:rPr>
                <w:color w:val="000000"/>
              </w:rPr>
            </w:pPr>
            <w:r w:rsidRPr="00A438A0">
              <w:rPr>
                <w:color w:val="000000"/>
              </w:rPr>
              <w:t>11</w:t>
            </w:r>
          </w:p>
        </w:tc>
        <w:tc>
          <w:tcPr>
            <w:tcW w:w="8315" w:type="dxa"/>
            <w:tcBorders>
              <w:top w:val="nil"/>
              <w:left w:val="single" w:sz="4" w:space="0" w:color="auto"/>
              <w:bottom w:val="nil"/>
              <w:right w:val="single" w:sz="4" w:space="0" w:color="auto"/>
            </w:tcBorders>
            <w:shd w:val="clear" w:color="auto" w:fill="auto"/>
            <w:noWrap/>
            <w:hideMark/>
          </w:tcPr>
          <w:p w:rsidR="00286698" w:rsidRPr="00A438A0" w:rsidRDefault="00286698" w:rsidP="006F1BCD">
            <w:pPr>
              <w:rPr>
                <w:color w:val="000000"/>
              </w:rPr>
            </w:pPr>
            <w:r w:rsidRPr="00A438A0">
              <w:rPr>
                <w:color w:val="000000"/>
              </w:rPr>
              <w:t>Review audit, discuss issues with client</w:t>
            </w:r>
          </w:p>
        </w:tc>
      </w:tr>
      <w:tr w:rsidR="00286698" w:rsidRPr="00A438A0" w:rsidTr="006F1BCD">
        <w:trPr>
          <w:trHeight w:val="600"/>
        </w:trPr>
        <w:tc>
          <w:tcPr>
            <w:tcW w:w="1225" w:type="dxa"/>
            <w:tcBorders>
              <w:top w:val="nil"/>
              <w:left w:val="single" w:sz="4" w:space="0" w:color="auto"/>
              <w:right w:val="nil"/>
            </w:tcBorders>
            <w:shd w:val="clear" w:color="auto" w:fill="auto"/>
            <w:noWrap/>
            <w:hideMark/>
          </w:tcPr>
          <w:p w:rsidR="00286698" w:rsidRPr="00A438A0" w:rsidRDefault="00286698" w:rsidP="006F1BCD">
            <w:pPr>
              <w:jc w:val="center"/>
              <w:rPr>
                <w:color w:val="000000"/>
              </w:rPr>
            </w:pPr>
            <w:r w:rsidRPr="00A438A0">
              <w:rPr>
                <w:color w:val="000000"/>
              </w:rPr>
              <w:t>4.75</w:t>
            </w:r>
          </w:p>
        </w:tc>
        <w:tc>
          <w:tcPr>
            <w:tcW w:w="8315" w:type="dxa"/>
            <w:tcBorders>
              <w:top w:val="nil"/>
              <w:left w:val="single" w:sz="4" w:space="0" w:color="auto"/>
              <w:right w:val="single" w:sz="4" w:space="0" w:color="auto"/>
            </w:tcBorders>
            <w:shd w:val="clear" w:color="auto" w:fill="auto"/>
            <w:hideMark/>
          </w:tcPr>
          <w:p w:rsidR="00286698" w:rsidRPr="00A438A0" w:rsidRDefault="00286698" w:rsidP="006F1BCD">
            <w:pPr>
              <w:rPr>
                <w:color w:val="000000"/>
              </w:rPr>
            </w:pPr>
            <w:r w:rsidRPr="00A438A0">
              <w:rPr>
                <w:color w:val="000000"/>
              </w:rPr>
              <w:t>Review Staff recommendations, testing recommended revenue requirements and resulting rates, including suppression calculations, and discuss with client.</w:t>
            </w:r>
          </w:p>
        </w:tc>
      </w:tr>
      <w:tr w:rsidR="00286698" w:rsidRPr="00A438A0" w:rsidTr="006F1BCD">
        <w:trPr>
          <w:trHeight w:val="600"/>
        </w:trPr>
        <w:tc>
          <w:tcPr>
            <w:tcW w:w="1225" w:type="dxa"/>
            <w:tcBorders>
              <w:top w:val="nil"/>
              <w:left w:val="single" w:sz="4" w:space="0" w:color="auto"/>
              <w:bottom w:val="single" w:sz="4" w:space="0" w:color="auto"/>
              <w:right w:val="nil"/>
            </w:tcBorders>
            <w:shd w:val="clear" w:color="auto" w:fill="auto"/>
            <w:noWrap/>
            <w:hideMark/>
          </w:tcPr>
          <w:p w:rsidR="00286698" w:rsidRPr="00A438A0" w:rsidRDefault="00286698" w:rsidP="006F1BCD">
            <w:pPr>
              <w:jc w:val="center"/>
              <w:rPr>
                <w:color w:val="000000"/>
              </w:rPr>
            </w:pPr>
            <w:r w:rsidRPr="00A438A0">
              <w:rPr>
                <w:color w:val="000000"/>
              </w:rPr>
              <w:t>4.75</w:t>
            </w:r>
          </w:p>
        </w:tc>
        <w:tc>
          <w:tcPr>
            <w:tcW w:w="8315" w:type="dxa"/>
            <w:tcBorders>
              <w:top w:val="nil"/>
              <w:left w:val="single" w:sz="4" w:space="0" w:color="auto"/>
              <w:bottom w:val="single" w:sz="4" w:space="0" w:color="auto"/>
              <w:right w:val="single" w:sz="4" w:space="0" w:color="auto"/>
            </w:tcBorders>
            <w:shd w:val="clear" w:color="auto" w:fill="auto"/>
            <w:hideMark/>
          </w:tcPr>
          <w:p w:rsidR="00286698" w:rsidRPr="00A438A0" w:rsidRDefault="00286698" w:rsidP="006F1BCD">
            <w:pPr>
              <w:rPr>
                <w:color w:val="000000"/>
              </w:rPr>
            </w:pPr>
            <w:r w:rsidRPr="00A438A0">
              <w:rPr>
                <w:color w:val="000000"/>
              </w:rPr>
              <w:t>Review PAA Order, testing final approved revenue requirements and resulting final rates, including suppression calculations, and discuss with client.</w:t>
            </w:r>
          </w:p>
        </w:tc>
      </w:tr>
      <w:tr w:rsidR="00286698" w:rsidRPr="00A438A0" w:rsidTr="006F1BCD">
        <w:trPr>
          <w:trHeight w:val="342"/>
        </w:trPr>
        <w:tc>
          <w:tcPr>
            <w:tcW w:w="1225" w:type="dxa"/>
            <w:tcBorders>
              <w:top w:val="single" w:sz="4" w:space="0" w:color="auto"/>
              <w:left w:val="single" w:sz="4" w:space="0" w:color="auto"/>
              <w:bottom w:val="single" w:sz="4" w:space="0" w:color="auto"/>
              <w:right w:val="nil"/>
            </w:tcBorders>
            <w:shd w:val="clear" w:color="auto" w:fill="auto"/>
            <w:noWrap/>
            <w:vAlign w:val="center"/>
            <w:hideMark/>
          </w:tcPr>
          <w:p w:rsidR="00286698" w:rsidRPr="00A438A0" w:rsidRDefault="00286698" w:rsidP="006F1BCD">
            <w:pPr>
              <w:jc w:val="center"/>
              <w:rPr>
                <w:color w:val="000000"/>
              </w:rPr>
            </w:pPr>
            <w:r w:rsidRPr="00A438A0">
              <w:rPr>
                <w:color w:val="000000"/>
              </w:rPr>
              <w:fldChar w:fldCharType="begin"/>
            </w:r>
            <w:r w:rsidRPr="00A438A0">
              <w:rPr>
                <w:color w:val="000000"/>
              </w:rPr>
              <w:instrText xml:space="preserve"> =SUM(ABOVE) </w:instrText>
            </w:r>
            <w:r w:rsidRPr="00A438A0">
              <w:rPr>
                <w:color w:val="000000"/>
              </w:rPr>
              <w:fldChar w:fldCharType="separate"/>
            </w:r>
            <w:r w:rsidRPr="00A438A0">
              <w:rPr>
                <w:noProof/>
                <w:color w:val="000000"/>
              </w:rPr>
              <w:t>28.75</w:t>
            </w:r>
            <w:r w:rsidRPr="00A438A0">
              <w:rPr>
                <w:color w:val="000000"/>
              </w:rPr>
              <w:fldChar w:fldCharType="end"/>
            </w:r>
          </w:p>
        </w:tc>
        <w:tc>
          <w:tcPr>
            <w:tcW w:w="8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698" w:rsidRPr="00A438A0" w:rsidRDefault="00286698" w:rsidP="006F1BCD">
            <w:pPr>
              <w:rPr>
                <w:b/>
                <w:color w:val="000000"/>
              </w:rPr>
            </w:pPr>
            <w:r w:rsidRPr="00A438A0">
              <w:rPr>
                <w:b/>
                <w:color w:val="000000"/>
              </w:rPr>
              <w:t>Total</w:t>
            </w:r>
          </w:p>
        </w:tc>
      </w:tr>
    </w:tbl>
    <w:p w:rsidR="00286698" w:rsidRPr="00A438A0" w:rsidRDefault="00286698" w:rsidP="00286698">
      <w:pPr>
        <w:jc w:val="both"/>
        <w:rPr>
          <w:rFonts w:cs="Arial"/>
          <w:bCs/>
          <w:color w:val="000000"/>
          <w:kern w:val="32"/>
          <w:szCs w:val="32"/>
        </w:rPr>
      </w:pPr>
      <w:r w:rsidRPr="00A438A0">
        <w:rPr>
          <w:rFonts w:cs="Arial"/>
          <w:bCs/>
          <w:color w:val="000000"/>
          <w:kern w:val="32"/>
          <w:szCs w:val="32"/>
        </w:rPr>
        <w:t>Source: Responses to staff data request</w:t>
      </w:r>
    </w:p>
    <w:p w:rsidR="00286698" w:rsidRPr="00A438A0" w:rsidRDefault="00286698" w:rsidP="00286698">
      <w:pPr>
        <w:jc w:val="both"/>
        <w:rPr>
          <w:rFonts w:cs="Arial"/>
          <w:bCs/>
          <w:color w:val="000000"/>
          <w:kern w:val="32"/>
          <w:szCs w:val="32"/>
        </w:rPr>
      </w:pPr>
    </w:p>
    <w:p w:rsidR="00286698" w:rsidRPr="00A438A0" w:rsidRDefault="00286698" w:rsidP="00286698">
      <w:pPr>
        <w:spacing w:after="240"/>
        <w:jc w:val="both"/>
      </w:pPr>
      <w:r w:rsidRPr="00A438A0">
        <w:t xml:space="preserve">As represented above, staff believes that the estimated hours to complete </w:t>
      </w:r>
      <w:r w:rsidR="003213E3" w:rsidRPr="00A438A0">
        <w:t xml:space="preserve">the case </w:t>
      </w:r>
      <w:r w:rsidRPr="00A438A0">
        <w:t>should be sufficient to address any remaining tasks. They do not appear to be excessive or unreasonable and appear to follow closely with the hours approved for MS&amp;A in several recent sister utility rate cases.</w:t>
      </w:r>
      <w:r w:rsidRPr="00A438A0">
        <w:rPr>
          <w:vertAlign w:val="superscript"/>
        </w:rPr>
        <w:footnoteReference w:id="15"/>
      </w:r>
      <w:r w:rsidRPr="00A438A0">
        <w:t xml:space="preserve"> As such, no adjustment is necessary.</w:t>
      </w:r>
    </w:p>
    <w:p w:rsidR="00286698" w:rsidRPr="00A438A0" w:rsidRDefault="00286698" w:rsidP="00286698">
      <w:pPr>
        <w:jc w:val="both"/>
        <w:rPr>
          <w:rFonts w:ascii="Arial" w:hAnsi="Arial" w:cs="Arial"/>
          <w:b/>
          <w:color w:val="000000"/>
        </w:rPr>
      </w:pPr>
      <w:r w:rsidRPr="00A438A0">
        <w:rPr>
          <w:rFonts w:ascii="Arial" w:hAnsi="Arial" w:cs="Arial"/>
          <w:b/>
          <w:color w:val="000000"/>
        </w:rPr>
        <w:t>Engineering Consultant Fees – M&amp;R Consultants</w:t>
      </w:r>
    </w:p>
    <w:p w:rsidR="00286698" w:rsidRPr="00A438A0" w:rsidRDefault="00286698" w:rsidP="00286698">
      <w:pPr>
        <w:spacing w:after="240"/>
        <w:jc w:val="both"/>
      </w:pPr>
      <w:r w:rsidRPr="00A438A0">
        <w:t>The utility included $7,000 in its MFRs for M&amp;R Consultants to provide consulting services for engineering-related schedules and responses to staff’s data requests. The utility provided support documentation detailing the actual expense through October 8, 2015. The actual fees and costs totaled $3,608 with an additional $1,983 estimated to complete the rate case. Staff believes $5,590 ($3,608+$1,983) for engineering consultant fees is reasonable and justified. Accordingly, no adjustment is necessary.</w:t>
      </w:r>
    </w:p>
    <w:p w:rsidR="00286698" w:rsidRPr="00A438A0" w:rsidRDefault="00286698" w:rsidP="00286698">
      <w:pPr>
        <w:jc w:val="both"/>
        <w:rPr>
          <w:rFonts w:ascii="Arial" w:hAnsi="Arial" w:cs="Arial"/>
          <w:b/>
          <w:color w:val="000000"/>
        </w:rPr>
      </w:pPr>
      <w:r w:rsidRPr="00A438A0">
        <w:rPr>
          <w:rFonts w:ascii="Arial" w:hAnsi="Arial" w:cs="Arial"/>
          <w:b/>
          <w:color w:val="000000"/>
        </w:rPr>
        <w:t>Filing Fee</w:t>
      </w:r>
    </w:p>
    <w:p w:rsidR="00286698" w:rsidRPr="00A438A0" w:rsidRDefault="00286698" w:rsidP="00286698">
      <w:pPr>
        <w:spacing w:after="240"/>
        <w:jc w:val="both"/>
      </w:pPr>
      <w:r w:rsidRPr="00A438A0">
        <w:t xml:space="preserve">The utility included $4,000 in its MFR Schedule B-10 for the filing fee. According to documentation provided by F&amp;F, the actual filing fee of $2,000 was paid as part of the legal fees. Since the amount is already included in F&amp;F’s legal fees, staff removed $4,000 to avoid double recovery of this fee. </w:t>
      </w:r>
    </w:p>
    <w:p w:rsidR="00286698" w:rsidRPr="00A438A0" w:rsidRDefault="00286698" w:rsidP="00286698">
      <w:pPr>
        <w:jc w:val="both"/>
        <w:rPr>
          <w:rFonts w:ascii="Arial" w:hAnsi="Arial" w:cs="Arial"/>
          <w:b/>
          <w:color w:val="000000"/>
        </w:rPr>
      </w:pPr>
      <w:r w:rsidRPr="00A438A0">
        <w:rPr>
          <w:rFonts w:ascii="Arial" w:hAnsi="Arial" w:cs="Arial"/>
          <w:b/>
          <w:color w:val="000000"/>
        </w:rPr>
        <w:t>WSC Travel Expense</w:t>
      </w:r>
    </w:p>
    <w:p w:rsidR="00286698" w:rsidRPr="00A438A0" w:rsidRDefault="00286698" w:rsidP="00286698">
      <w:pPr>
        <w:spacing w:after="240"/>
        <w:jc w:val="both"/>
        <w:rPr>
          <w:color w:val="000000"/>
        </w:rPr>
      </w:pPr>
      <w:r w:rsidRPr="00A438A0">
        <w:rPr>
          <w:color w:val="000000"/>
        </w:rPr>
        <w:t>In its MFRs, Sandalhaven estimated $1,000 for tra</w:t>
      </w:r>
      <w:r w:rsidR="00913AC2" w:rsidRPr="00A438A0">
        <w:rPr>
          <w:color w:val="000000"/>
        </w:rPr>
        <w:t>vel expenses. The u</w:t>
      </w:r>
      <w:r w:rsidRPr="00A438A0">
        <w:rPr>
          <w:color w:val="000000"/>
        </w:rPr>
        <w:t xml:space="preserve">tility provided </w:t>
      </w:r>
      <w:r w:rsidR="003213E3" w:rsidRPr="00A438A0">
        <w:rPr>
          <w:color w:val="000000"/>
        </w:rPr>
        <w:t>neither</w:t>
      </w:r>
      <w:r w:rsidRPr="00A438A0">
        <w:rPr>
          <w:color w:val="000000"/>
        </w:rPr>
        <w:t xml:space="preserve"> support documentation for this expense, </w:t>
      </w:r>
      <w:r w:rsidR="003213E3" w:rsidRPr="00A438A0">
        <w:rPr>
          <w:color w:val="000000"/>
        </w:rPr>
        <w:t>n</w:t>
      </w:r>
      <w:r w:rsidRPr="00A438A0">
        <w:rPr>
          <w:color w:val="000000"/>
        </w:rPr>
        <w:t xml:space="preserve">or a detailed estimate of the expense to completion. Furthermore, based on several previous UI rate cases, UI does not send a representative from its Illinois office to attend the Commission Conference for PAA rate cases. </w:t>
      </w:r>
      <w:r w:rsidRPr="00A438A0">
        <w:t xml:space="preserve">Therefore, staff recommends that $1,000 of rate case expense associated with WSC Travel Expense </w:t>
      </w:r>
      <w:r w:rsidRPr="00A438A0">
        <w:rPr>
          <w:color w:val="000000"/>
        </w:rPr>
        <w:t>be removed.</w:t>
      </w:r>
    </w:p>
    <w:p w:rsidR="00286698" w:rsidRPr="00A438A0" w:rsidRDefault="00286698" w:rsidP="00286698">
      <w:pPr>
        <w:jc w:val="both"/>
        <w:rPr>
          <w:rFonts w:ascii="Arial" w:hAnsi="Arial" w:cs="Arial"/>
          <w:b/>
          <w:color w:val="000000"/>
        </w:rPr>
      </w:pPr>
      <w:r w:rsidRPr="00A438A0">
        <w:rPr>
          <w:rFonts w:ascii="Arial" w:hAnsi="Arial" w:cs="Arial"/>
          <w:b/>
          <w:color w:val="000000"/>
        </w:rPr>
        <w:lastRenderedPageBreak/>
        <w:t>WSC FedEx Expense</w:t>
      </w:r>
    </w:p>
    <w:p w:rsidR="00286698" w:rsidRPr="00A438A0" w:rsidRDefault="00286698" w:rsidP="00286698">
      <w:pPr>
        <w:spacing w:after="240"/>
        <w:jc w:val="both"/>
      </w:pPr>
      <w:r w:rsidRPr="00A438A0">
        <w:rPr>
          <w:color w:val="000000"/>
        </w:rPr>
        <w:t>The next adjustment to the requested rate case expense relates to WSC expenses for FedEx and other miscellaneous costs. The utility estimated $100 of FedEx and other miscellaneous costs in its initial filing.</w:t>
      </w:r>
      <w:r w:rsidRPr="00A438A0">
        <w:t xml:space="preserve"> The utility did not provide support for any in-house FedEx expenses. </w:t>
      </w:r>
      <w:r w:rsidRPr="00A438A0">
        <w:rPr>
          <w:color w:val="000000"/>
        </w:rPr>
        <w:t xml:space="preserve">Based on the lack of support documentation, </w:t>
      </w:r>
      <w:r w:rsidRPr="00A438A0">
        <w:t xml:space="preserve">staff recommends that FedEx rate case expense be </w:t>
      </w:r>
      <w:r w:rsidR="003213E3" w:rsidRPr="00A438A0">
        <w:t>removed</w:t>
      </w:r>
      <w:r w:rsidRPr="00A438A0">
        <w:t>.</w:t>
      </w:r>
    </w:p>
    <w:p w:rsidR="00286698" w:rsidRPr="00A438A0" w:rsidRDefault="00286698" w:rsidP="00286698">
      <w:pPr>
        <w:jc w:val="both"/>
        <w:rPr>
          <w:rFonts w:ascii="Arial" w:hAnsi="Arial" w:cs="Arial"/>
          <w:b/>
          <w:color w:val="000000"/>
        </w:rPr>
      </w:pPr>
      <w:r w:rsidRPr="00A438A0">
        <w:rPr>
          <w:rFonts w:ascii="Arial" w:hAnsi="Arial" w:cs="Arial"/>
          <w:b/>
          <w:color w:val="000000"/>
        </w:rPr>
        <w:t>Customer Notices and Postage</w:t>
      </w:r>
    </w:p>
    <w:p w:rsidR="00286698" w:rsidRPr="00A438A0" w:rsidRDefault="00286698" w:rsidP="00286698">
      <w:pPr>
        <w:spacing w:after="240"/>
        <w:jc w:val="both"/>
        <w:rPr>
          <w:color w:val="000000"/>
        </w:rPr>
      </w:pPr>
      <w:r w:rsidRPr="00A438A0">
        <w:rPr>
          <w:color w:val="000000"/>
        </w:rPr>
        <w:t xml:space="preserve">In its revised rate case expense schedule, Sandalhaven reflected estimated costs of $5,000 for customer noticing and postage. The utility is responsible for sending out four notices: the interim notice, the initial notice, customer meeting notice, and notice of the final rate increase. </w:t>
      </w:r>
    </w:p>
    <w:p w:rsidR="00286698" w:rsidRPr="00A438A0" w:rsidRDefault="00286698" w:rsidP="00286698">
      <w:pPr>
        <w:jc w:val="both"/>
        <w:rPr>
          <w:color w:val="000000"/>
        </w:rPr>
      </w:pPr>
      <w:r w:rsidRPr="00A438A0">
        <w:rPr>
          <w:color w:val="000000"/>
        </w:rPr>
        <w:t>The Commission has historically approved recovery of noticing and postage, despite the lack of support documentation, based on a standard methodology to estimate the total expense using the number of customers and the estimated per unit cost of envelopes, copies, and postage.</w:t>
      </w:r>
      <w:r w:rsidRPr="00A438A0">
        <w:rPr>
          <w:color w:val="000000"/>
          <w:vertAlign w:val="superscript"/>
        </w:rPr>
        <w:footnoteReference w:id="16"/>
      </w:r>
      <w:r w:rsidRPr="00A438A0">
        <w:rPr>
          <w:color w:val="000000"/>
        </w:rPr>
        <w:t xml:space="preserve"> The estimated cost of postage for the combined interim and initial notice, customer notice, and the final notice is approximately $854 (835 customers x $0.341 pre-sorted rate x 3 notices), the cost of copies is approximately $919 (835 customers x $0.10 per copy x 11 total pages), and the cost of envelopes is approximately $125 (835 customers x $0.05 x 3 notices). Based on these components, staff believes the total cost for these notices and postage is $1,898 ($854.21 + $918.50 + 125.25). As such, rate case expense should be decreased by $3,102 ($1,898 - $5,000) to allow for adequate expenses related to mailing notices in accordance with Rule 25-22.0407, F.A.C. </w:t>
      </w:r>
    </w:p>
    <w:p w:rsidR="00286698" w:rsidRPr="00A438A0" w:rsidRDefault="00286698" w:rsidP="00286698">
      <w:pPr>
        <w:jc w:val="both"/>
        <w:rPr>
          <w:color w:val="000000"/>
        </w:rPr>
      </w:pPr>
    </w:p>
    <w:p w:rsidR="00286698" w:rsidRPr="00A438A0" w:rsidRDefault="00286698" w:rsidP="00286698">
      <w:pPr>
        <w:jc w:val="both"/>
        <w:rPr>
          <w:rFonts w:ascii="Arial" w:hAnsi="Arial" w:cs="Arial"/>
          <w:b/>
          <w:color w:val="000000"/>
        </w:rPr>
      </w:pPr>
      <w:r w:rsidRPr="00A438A0">
        <w:rPr>
          <w:rFonts w:ascii="Arial" w:hAnsi="Arial" w:cs="Arial"/>
          <w:b/>
          <w:color w:val="000000"/>
        </w:rPr>
        <w:t>Additional Rate Case Expense</w:t>
      </w:r>
    </w:p>
    <w:p w:rsidR="00286698" w:rsidRPr="00A438A0" w:rsidRDefault="00286698" w:rsidP="00286698">
      <w:pPr>
        <w:spacing w:after="240"/>
        <w:jc w:val="both"/>
        <w:rPr>
          <w:color w:val="000000"/>
        </w:rPr>
      </w:pPr>
      <w:r w:rsidRPr="00A438A0">
        <w:rPr>
          <w:color w:val="000000"/>
        </w:rPr>
        <w:t xml:space="preserve">In addition to the rate case expense provided by the utility, the Commission found in the Utilities, Inc., generic docket “that rate case expense </w:t>
      </w:r>
      <w:r w:rsidR="003F4C6F">
        <w:rPr>
          <w:color w:val="000000"/>
        </w:rPr>
        <w:t xml:space="preserve">associated with Docket No. 120161-WS </w:t>
      </w:r>
      <w:r w:rsidRPr="00A438A0">
        <w:rPr>
          <w:color w:val="000000"/>
        </w:rPr>
        <w:t>shall be allocated to each UI Florida subsidiary based on the ratio of each subsidiary’s ERCs to UI’s total Florida ERCs as of December 31, 2013.”</w:t>
      </w:r>
      <w:r w:rsidRPr="00A438A0">
        <w:rPr>
          <w:color w:val="000000"/>
          <w:vertAlign w:val="superscript"/>
        </w:rPr>
        <w:footnoteReference w:id="17"/>
      </w:r>
      <w:r w:rsidRPr="00A438A0">
        <w:rPr>
          <w:color w:val="000000"/>
        </w:rPr>
        <w:t xml:space="preserve"> The Order specified that each subsidiary would be allowed to recover its allocated portion of rate case expense over four years, pursuant to Section 367.0816, F.S. Recovery of this expense should be included as a separate line item within rate case expense as part of each subsidiaries’ next file and suspend rate case, limited proceeding, or staff-assisted rate case. Sandalhaven’s portion of rate case expense from that docket is $2,484, or $621 on an annual basis.</w:t>
      </w:r>
      <w:r w:rsidRPr="00A438A0">
        <w:rPr>
          <w:color w:val="000000"/>
          <w:vertAlign w:val="superscript"/>
        </w:rPr>
        <w:footnoteReference w:id="18"/>
      </w:r>
    </w:p>
    <w:p w:rsidR="00286698" w:rsidRPr="00A438A0" w:rsidRDefault="00286698" w:rsidP="00286698">
      <w:pPr>
        <w:jc w:val="both"/>
        <w:rPr>
          <w:rFonts w:ascii="Arial" w:hAnsi="Arial" w:cs="Arial"/>
          <w:b/>
          <w:color w:val="000000"/>
        </w:rPr>
      </w:pPr>
      <w:r w:rsidRPr="00A438A0">
        <w:rPr>
          <w:rFonts w:ascii="Arial" w:hAnsi="Arial" w:cs="Arial"/>
          <w:b/>
          <w:color w:val="000000"/>
        </w:rPr>
        <w:t xml:space="preserve">Conclusion </w:t>
      </w:r>
    </w:p>
    <w:p w:rsidR="00286698" w:rsidRPr="00A438A0" w:rsidRDefault="00286698" w:rsidP="00286698">
      <w:pPr>
        <w:jc w:val="both"/>
      </w:pPr>
      <w:r w:rsidRPr="00A438A0">
        <w:t>Based upon the adjustments discussed above, staff recommends that Sandalhaven’s revised rate case expense of $133,057 be decreased by $10,042, to reflect staff’s adjustments and the additional rate case expense allocated from Docket No. 120161-WS, for a total of $123,015. A breakdown of staff’s recommended rate case expense is as follows:</w:t>
      </w:r>
    </w:p>
    <w:p w:rsidR="00286698" w:rsidRPr="00A438A0" w:rsidRDefault="00286698" w:rsidP="00286698">
      <w:pPr>
        <w:ind w:firstLine="720"/>
        <w:jc w:val="both"/>
      </w:pPr>
    </w:p>
    <w:p w:rsidR="00286698" w:rsidRPr="00A438A0" w:rsidRDefault="00286698" w:rsidP="00286698">
      <w:pPr>
        <w:jc w:val="center"/>
        <w:rPr>
          <w:rFonts w:ascii="Arial" w:hAnsi="Arial" w:cs="Arial"/>
          <w:b/>
        </w:rPr>
      </w:pPr>
    </w:p>
    <w:p w:rsidR="00286698" w:rsidRPr="00A438A0" w:rsidRDefault="00286698" w:rsidP="00286698">
      <w:pPr>
        <w:jc w:val="center"/>
        <w:rPr>
          <w:rFonts w:ascii="Arial" w:hAnsi="Arial" w:cs="Arial"/>
          <w:b/>
        </w:rPr>
      </w:pPr>
      <w:r w:rsidRPr="00A438A0">
        <w:rPr>
          <w:rFonts w:ascii="Arial" w:hAnsi="Arial" w:cs="Arial"/>
          <w:b/>
        </w:rPr>
        <w:t>Table 1</w:t>
      </w:r>
      <w:r w:rsidR="00D74AEA" w:rsidRPr="00A438A0">
        <w:rPr>
          <w:rFonts w:ascii="Arial" w:hAnsi="Arial" w:cs="Arial"/>
          <w:b/>
        </w:rPr>
        <w:t>4</w:t>
      </w:r>
      <w:r w:rsidRPr="00A438A0">
        <w:rPr>
          <w:rFonts w:ascii="Arial" w:hAnsi="Arial" w:cs="Arial"/>
          <w:b/>
        </w:rPr>
        <w:t>-3</w:t>
      </w:r>
    </w:p>
    <w:p w:rsidR="00286698" w:rsidRPr="00A438A0" w:rsidRDefault="007B185D" w:rsidP="00286698">
      <w:pPr>
        <w:jc w:val="center"/>
        <w:rPr>
          <w:rFonts w:ascii="Arial" w:hAnsi="Arial" w:cs="Arial"/>
          <w:b/>
        </w:rPr>
      </w:pPr>
      <w:r w:rsidRPr="00A438A0">
        <w:rPr>
          <w:rFonts w:ascii="Arial" w:hAnsi="Arial" w:cs="Arial"/>
          <w:b/>
          <w:bCs/>
        </w:rPr>
        <w:t xml:space="preserve">Staff </w:t>
      </w:r>
      <w:r w:rsidR="00286698" w:rsidRPr="00A438A0">
        <w:rPr>
          <w:rFonts w:ascii="Arial" w:hAnsi="Arial" w:cs="Arial"/>
          <w:b/>
          <w:bCs/>
        </w:rPr>
        <w:t>Recommended Rate Case Expense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1729"/>
        <w:gridCol w:w="1800"/>
        <w:gridCol w:w="1440"/>
        <w:gridCol w:w="1530"/>
      </w:tblGrid>
      <w:tr w:rsidR="00286698" w:rsidRPr="00A438A0" w:rsidTr="006F1BCD">
        <w:trPr>
          <w:trHeight w:val="543"/>
        </w:trPr>
        <w:tc>
          <w:tcPr>
            <w:tcW w:w="2861" w:type="dxa"/>
            <w:shd w:val="clear" w:color="auto" w:fill="auto"/>
            <w:noWrap/>
            <w:vAlign w:val="center"/>
          </w:tcPr>
          <w:p w:rsidR="00286698" w:rsidRPr="00A438A0" w:rsidRDefault="00286698" w:rsidP="006F1BCD">
            <w:pPr>
              <w:jc w:val="center"/>
              <w:rPr>
                <w:b/>
              </w:rPr>
            </w:pPr>
            <w:r w:rsidRPr="00A438A0">
              <w:rPr>
                <w:b/>
              </w:rPr>
              <w:t>Description</w:t>
            </w:r>
          </w:p>
        </w:tc>
        <w:tc>
          <w:tcPr>
            <w:tcW w:w="1729" w:type="dxa"/>
            <w:shd w:val="clear" w:color="auto" w:fill="auto"/>
            <w:noWrap/>
            <w:vAlign w:val="center"/>
          </w:tcPr>
          <w:p w:rsidR="00286698" w:rsidRPr="00A438A0" w:rsidRDefault="00286698" w:rsidP="006F1BCD">
            <w:pPr>
              <w:jc w:val="center"/>
              <w:rPr>
                <w:b/>
                <w:bCs/>
              </w:rPr>
            </w:pPr>
            <w:r w:rsidRPr="00A438A0">
              <w:rPr>
                <w:b/>
                <w:bCs/>
              </w:rPr>
              <w:t>MFR</w:t>
            </w:r>
          </w:p>
          <w:p w:rsidR="00286698" w:rsidRPr="00A438A0" w:rsidRDefault="00286698" w:rsidP="006F1BCD">
            <w:pPr>
              <w:jc w:val="center"/>
              <w:rPr>
                <w:b/>
                <w:bCs/>
              </w:rPr>
            </w:pPr>
            <w:r w:rsidRPr="00A438A0">
              <w:rPr>
                <w:b/>
                <w:bCs/>
              </w:rPr>
              <w:t>Estimated</w:t>
            </w:r>
          </w:p>
        </w:tc>
        <w:tc>
          <w:tcPr>
            <w:tcW w:w="1800" w:type="dxa"/>
            <w:shd w:val="clear" w:color="auto" w:fill="auto"/>
            <w:noWrap/>
            <w:vAlign w:val="center"/>
          </w:tcPr>
          <w:p w:rsidR="00286698" w:rsidRPr="00A438A0" w:rsidRDefault="00286698" w:rsidP="006F1BCD">
            <w:pPr>
              <w:jc w:val="center"/>
              <w:rPr>
                <w:b/>
                <w:bCs/>
              </w:rPr>
            </w:pPr>
            <w:r w:rsidRPr="00A438A0">
              <w:rPr>
                <w:b/>
                <w:bCs/>
              </w:rPr>
              <w:t>Utility Revised</w:t>
            </w:r>
          </w:p>
          <w:p w:rsidR="00286698" w:rsidRPr="00A438A0" w:rsidRDefault="00286698" w:rsidP="006F1BCD">
            <w:pPr>
              <w:jc w:val="center"/>
              <w:rPr>
                <w:b/>
                <w:bCs/>
              </w:rPr>
            </w:pPr>
            <w:r w:rsidRPr="00A438A0">
              <w:rPr>
                <w:b/>
                <w:bCs/>
              </w:rPr>
              <w:t>Act.&amp; Est.</w:t>
            </w:r>
          </w:p>
        </w:tc>
        <w:tc>
          <w:tcPr>
            <w:tcW w:w="1440" w:type="dxa"/>
            <w:shd w:val="clear" w:color="auto" w:fill="auto"/>
            <w:noWrap/>
            <w:vAlign w:val="center"/>
          </w:tcPr>
          <w:p w:rsidR="00286698" w:rsidRPr="00A438A0" w:rsidRDefault="00286698" w:rsidP="006F1BCD">
            <w:pPr>
              <w:jc w:val="center"/>
              <w:rPr>
                <w:b/>
                <w:bCs/>
              </w:rPr>
            </w:pPr>
            <w:r w:rsidRPr="00A438A0">
              <w:rPr>
                <w:b/>
                <w:bCs/>
              </w:rPr>
              <w:t>Staff</w:t>
            </w:r>
          </w:p>
          <w:p w:rsidR="00286698" w:rsidRPr="00A438A0" w:rsidRDefault="00286698" w:rsidP="006F1BCD">
            <w:pPr>
              <w:jc w:val="center"/>
              <w:rPr>
                <w:b/>
                <w:bCs/>
              </w:rPr>
            </w:pPr>
            <w:r w:rsidRPr="00A438A0">
              <w:rPr>
                <w:b/>
                <w:bCs/>
              </w:rPr>
              <w:t>Adjustment</w:t>
            </w:r>
          </w:p>
        </w:tc>
        <w:tc>
          <w:tcPr>
            <w:tcW w:w="1530" w:type="dxa"/>
            <w:shd w:val="clear" w:color="auto" w:fill="auto"/>
            <w:noWrap/>
            <w:vAlign w:val="center"/>
          </w:tcPr>
          <w:p w:rsidR="00286698" w:rsidRPr="00A438A0" w:rsidRDefault="00286698" w:rsidP="006F1BCD">
            <w:pPr>
              <w:jc w:val="center"/>
              <w:rPr>
                <w:b/>
                <w:bCs/>
              </w:rPr>
            </w:pPr>
            <w:r w:rsidRPr="00A438A0">
              <w:rPr>
                <w:b/>
                <w:bCs/>
              </w:rPr>
              <w:t>Recom.</w:t>
            </w:r>
          </w:p>
          <w:p w:rsidR="00286698" w:rsidRPr="00A438A0" w:rsidRDefault="00286698" w:rsidP="006F1BCD">
            <w:pPr>
              <w:jc w:val="center"/>
              <w:rPr>
                <w:b/>
                <w:bCs/>
              </w:rPr>
            </w:pPr>
            <w:r w:rsidRPr="00A438A0">
              <w:rPr>
                <w:b/>
                <w:bCs/>
              </w:rPr>
              <w:t>Total</w:t>
            </w:r>
          </w:p>
        </w:tc>
      </w:tr>
      <w:tr w:rsidR="00286698" w:rsidRPr="00A438A0" w:rsidTr="006F1BCD">
        <w:trPr>
          <w:trHeight w:val="251"/>
        </w:trPr>
        <w:tc>
          <w:tcPr>
            <w:tcW w:w="2861" w:type="dxa"/>
            <w:shd w:val="clear" w:color="auto" w:fill="auto"/>
            <w:noWrap/>
            <w:vAlign w:val="center"/>
          </w:tcPr>
          <w:p w:rsidR="00286698" w:rsidRPr="00A438A0" w:rsidRDefault="00286698" w:rsidP="006F1BCD">
            <w:r w:rsidRPr="00A438A0">
              <w:t>Legal Fees</w:t>
            </w:r>
          </w:p>
        </w:tc>
        <w:tc>
          <w:tcPr>
            <w:tcW w:w="1729" w:type="dxa"/>
            <w:shd w:val="clear" w:color="auto" w:fill="auto"/>
            <w:noWrap/>
            <w:vAlign w:val="center"/>
          </w:tcPr>
          <w:p w:rsidR="00286698" w:rsidRPr="00A438A0" w:rsidRDefault="00286698" w:rsidP="006F1BCD">
            <w:pPr>
              <w:jc w:val="right"/>
            </w:pPr>
            <w:r w:rsidRPr="00A438A0">
              <w:t xml:space="preserve">$57,000 </w:t>
            </w:r>
          </w:p>
        </w:tc>
        <w:tc>
          <w:tcPr>
            <w:tcW w:w="1800" w:type="dxa"/>
            <w:shd w:val="clear" w:color="auto" w:fill="auto"/>
            <w:noWrap/>
            <w:vAlign w:val="center"/>
          </w:tcPr>
          <w:p w:rsidR="00286698" w:rsidRPr="00A438A0" w:rsidRDefault="00286698" w:rsidP="006F1BCD">
            <w:pPr>
              <w:jc w:val="right"/>
              <w:rPr>
                <w:color w:val="000000"/>
              </w:rPr>
            </w:pPr>
            <w:r w:rsidRPr="00A438A0">
              <w:rPr>
                <w:color w:val="000000"/>
              </w:rPr>
              <w:t xml:space="preserve">$40,204 </w:t>
            </w:r>
          </w:p>
        </w:tc>
        <w:tc>
          <w:tcPr>
            <w:tcW w:w="1440" w:type="dxa"/>
            <w:shd w:val="clear" w:color="auto" w:fill="auto"/>
            <w:noWrap/>
            <w:vAlign w:val="center"/>
          </w:tcPr>
          <w:p w:rsidR="00286698" w:rsidRPr="00A438A0" w:rsidRDefault="00286698" w:rsidP="006F1BCD">
            <w:pPr>
              <w:jc w:val="right"/>
              <w:rPr>
                <w:color w:val="000000"/>
              </w:rPr>
            </w:pPr>
            <w:r w:rsidRPr="00A438A0">
              <w:rPr>
                <w:color w:val="000000"/>
              </w:rPr>
              <w:t>(360)</w:t>
            </w:r>
          </w:p>
        </w:tc>
        <w:tc>
          <w:tcPr>
            <w:tcW w:w="1530" w:type="dxa"/>
            <w:shd w:val="clear" w:color="auto" w:fill="auto"/>
            <w:noWrap/>
            <w:vAlign w:val="center"/>
          </w:tcPr>
          <w:p w:rsidR="00286698" w:rsidRPr="00A438A0" w:rsidRDefault="00286698" w:rsidP="006F1BCD">
            <w:pPr>
              <w:jc w:val="right"/>
              <w:rPr>
                <w:color w:val="000000"/>
              </w:rPr>
            </w:pPr>
            <w:r w:rsidRPr="00A438A0">
              <w:rPr>
                <w:color w:val="000000"/>
              </w:rPr>
              <w:t>39,844</w:t>
            </w:r>
          </w:p>
        </w:tc>
      </w:tr>
      <w:tr w:rsidR="00286698" w:rsidRPr="00A438A0" w:rsidTr="006F1BCD">
        <w:trPr>
          <w:trHeight w:val="161"/>
        </w:trPr>
        <w:tc>
          <w:tcPr>
            <w:tcW w:w="2861" w:type="dxa"/>
            <w:shd w:val="clear" w:color="auto" w:fill="auto"/>
            <w:noWrap/>
            <w:vAlign w:val="center"/>
          </w:tcPr>
          <w:p w:rsidR="00286698" w:rsidRPr="00A438A0" w:rsidRDefault="00286698" w:rsidP="006F1BCD">
            <w:r w:rsidRPr="00A438A0">
              <w:t xml:space="preserve">Accounting Consultant Fees </w:t>
            </w:r>
          </w:p>
        </w:tc>
        <w:tc>
          <w:tcPr>
            <w:tcW w:w="1729" w:type="dxa"/>
            <w:shd w:val="clear" w:color="auto" w:fill="auto"/>
            <w:noWrap/>
            <w:vAlign w:val="center"/>
          </w:tcPr>
          <w:p w:rsidR="00286698" w:rsidRPr="00A438A0" w:rsidRDefault="00286698" w:rsidP="006F1BCD">
            <w:pPr>
              <w:jc w:val="right"/>
            </w:pPr>
            <w:r w:rsidRPr="00A438A0">
              <w:t>57,750</w:t>
            </w:r>
          </w:p>
        </w:tc>
        <w:tc>
          <w:tcPr>
            <w:tcW w:w="1800" w:type="dxa"/>
            <w:shd w:val="clear" w:color="auto" w:fill="auto"/>
            <w:noWrap/>
            <w:vAlign w:val="center"/>
          </w:tcPr>
          <w:p w:rsidR="00286698" w:rsidRPr="00A438A0" w:rsidRDefault="00286698" w:rsidP="006F1BCD">
            <w:pPr>
              <w:jc w:val="right"/>
              <w:rPr>
                <w:color w:val="000000"/>
              </w:rPr>
            </w:pPr>
            <w:r w:rsidRPr="00A438A0">
              <w:rPr>
                <w:color w:val="000000"/>
              </w:rPr>
              <w:t>77,163</w:t>
            </w:r>
          </w:p>
        </w:tc>
        <w:tc>
          <w:tcPr>
            <w:tcW w:w="1440" w:type="dxa"/>
            <w:shd w:val="clear" w:color="auto" w:fill="auto"/>
            <w:noWrap/>
            <w:vAlign w:val="center"/>
          </w:tcPr>
          <w:p w:rsidR="00286698" w:rsidRPr="00A438A0" w:rsidRDefault="00286698" w:rsidP="006F1BCD">
            <w:pPr>
              <w:jc w:val="right"/>
              <w:rPr>
                <w:color w:val="000000"/>
              </w:rPr>
            </w:pPr>
            <w:r w:rsidRPr="00A438A0">
              <w:rPr>
                <w:color w:val="000000"/>
              </w:rPr>
              <w:t>(3,963)</w:t>
            </w:r>
          </w:p>
        </w:tc>
        <w:tc>
          <w:tcPr>
            <w:tcW w:w="1530" w:type="dxa"/>
            <w:shd w:val="clear" w:color="auto" w:fill="auto"/>
            <w:noWrap/>
            <w:vAlign w:val="center"/>
          </w:tcPr>
          <w:p w:rsidR="00286698" w:rsidRPr="00A438A0" w:rsidRDefault="00286698" w:rsidP="006F1BCD">
            <w:pPr>
              <w:jc w:val="right"/>
              <w:rPr>
                <w:color w:val="000000"/>
              </w:rPr>
            </w:pPr>
            <w:r w:rsidRPr="00A438A0">
              <w:rPr>
                <w:color w:val="000000"/>
              </w:rPr>
              <w:t>73,200</w:t>
            </w:r>
          </w:p>
        </w:tc>
      </w:tr>
      <w:tr w:rsidR="00286698" w:rsidRPr="00A438A0" w:rsidTr="006F1BCD">
        <w:trPr>
          <w:trHeight w:val="287"/>
        </w:trPr>
        <w:tc>
          <w:tcPr>
            <w:tcW w:w="2861" w:type="dxa"/>
            <w:shd w:val="clear" w:color="auto" w:fill="auto"/>
            <w:noWrap/>
            <w:vAlign w:val="center"/>
          </w:tcPr>
          <w:p w:rsidR="00286698" w:rsidRPr="00A438A0" w:rsidRDefault="00286698" w:rsidP="006F1BCD">
            <w:r w:rsidRPr="00A438A0">
              <w:t>Engineering Consultant Fees</w:t>
            </w:r>
          </w:p>
        </w:tc>
        <w:tc>
          <w:tcPr>
            <w:tcW w:w="1729" w:type="dxa"/>
            <w:shd w:val="clear" w:color="auto" w:fill="auto"/>
            <w:noWrap/>
            <w:vAlign w:val="center"/>
          </w:tcPr>
          <w:p w:rsidR="00286698" w:rsidRPr="00A438A0" w:rsidRDefault="00286698" w:rsidP="006F1BCD">
            <w:pPr>
              <w:jc w:val="right"/>
            </w:pPr>
            <w:r w:rsidRPr="00A438A0">
              <w:t>7,000</w:t>
            </w:r>
          </w:p>
        </w:tc>
        <w:tc>
          <w:tcPr>
            <w:tcW w:w="1800" w:type="dxa"/>
            <w:shd w:val="clear" w:color="auto" w:fill="auto"/>
            <w:noWrap/>
            <w:vAlign w:val="center"/>
          </w:tcPr>
          <w:p w:rsidR="00286698" w:rsidRPr="00A438A0" w:rsidRDefault="00286698" w:rsidP="006F1BCD">
            <w:pPr>
              <w:jc w:val="right"/>
              <w:rPr>
                <w:color w:val="000000"/>
              </w:rPr>
            </w:pPr>
            <w:r w:rsidRPr="00A438A0">
              <w:rPr>
                <w:color w:val="000000"/>
              </w:rPr>
              <w:t>5,590</w:t>
            </w:r>
          </w:p>
        </w:tc>
        <w:tc>
          <w:tcPr>
            <w:tcW w:w="1440" w:type="dxa"/>
            <w:shd w:val="clear" w:color="auto" w:fill="auto"/>
            <w:noWrap/>
            <w:vAlign w:val="center"/>
          </w:tcPr>
          <w:p w:rsidR="00286698" w:rsidRPr="00A438A0" w:rsidRDefault="00286698" w:rsidP="006F1BCD">
            <w:pPr>
              <w:jc w:val="right"/>
              <w:rPr>
                <w:color w:val="000000"/>
              </w:rPr>
            </w:pPr>
            <w:r w:rsidRPr="00A438A0">
              <w:rPr>
                <w:color w:val="000000"/>
              </w:rPr>
              <w:t>0</w:t>
            </w:r>
          </w:p>
        </w:tc>
        <w:tc>
          <w:tcPr>
            <w:tcW w:w="1530" w:type="dxa"/>
            <w:shd w:val="clear" w:color="auto" w:fill="auto"/>
            <w:noWrap/>
            <w:vAlign w:val="center"/>
          </w:tcPr>
          <w:p w:rsidR="00286698" w:rsidRPr="00A438A0" w:rsidRDefault="00286698" w:rsidP="006F1BCD">
            <w:pPr>
              <w:jc w:val="right"/>
              <w:rPr>
                <w:color w:val="000000"/>
              </w:rPr>
            </w:pPr>
            <w:r w:rsidRPr="00A438A0">
              <w:rPr>
                <w:color w:val="000000"/>
              </w:rPr>
              <w:t>5,590</w:t>
            </w:r>
          </w:p>
        </w:tc>
      </w:tr>
      <w:tr w:rsidR="00286698" w:rsidRPr="00A438A0" w:rsidTr="006F1BCD">
        <w:trPr>
          <w:trHeight w:val="134"/>
        </w:trPr>
        <w:tc>
          <w:tcPr>
            <w:tcW w:w="2861" w:type="dxa"/>
            <w:shd w:val="clear" w:color="auto" w:fill="auto"/>
            <w:noWrap/>
            <w:vAlign w:val="center"/>
          </w:tcPr>
          <w:p w:rsidR="00286698" w:rsidRPr="00A438A0" w:rsidRDefault="00286698" w:rsidP="006F1BCD">
            <w:r w:rsidRPr="00A438A0">
              <w:t>Filing Fee</w:t>
            </w:r>
          </w:p>
        </w:tc>
        <w:tc>
          <w:tcPr>
            <w:tcW w:w="1729" w:type="dxa"/>
            <w:shd w:val="clear" w:color="auto" w:fill="auto"/>
            <w:noWrap/>
            <w:vAlign w:val="center"/>
          </w:tcPr>
          <w:p w:rsidR="00286698" w:rsidRPr="00A438A0" w:rsidRDefault="00286698" w:rsidP="006F1BCD">
            <w:pPr>
              <w:jc w:val="right"/>
            </w:pPr>
            <w:r w:rsidRPr="00A438A0">
              <w:t>4,000</w:t>
            </w:r>
          </w:p>
        </w:tc>
        <w:tc>
          <w:tcPr>
            <w:tcW w:w="1800" w:type="dxa"/>
            <w:shd w:val="clear" w:color="auto" w:fill="auto"/>
            <w:noWrap/>
            <w:vAlign w:val="center"/>
          </w:tcPr>
          <w:p w:rsidR="00286698" w:rsidRPr="00A438A0" w:rsidRDefault="00286698" w:rsidP="006F1BCD">
            <w:pPr>
              <w:jc w:val="right"/>
              <w:rPr>
                <w:color w:val="000000"/>
              </w:rPr>
            </w:pPr>
            <w:r w:rsidRPr="00A438A0">
              <w:rPr>
                <w:color w:val="000000"/>
              </w:rPr>
              <w:t>4,000</w:t>
            </w:r>
          </w:p>
        </w:tc>
        <w:tc>
          <w:tcPr>
            <w:tcW w:w="1440" w:type="dxa"/>
            <w:shd w:val="clear" w:color="auto" w:fill="auto"/>
            <w:noWrap/>
            <w:vAlign w:val="center"/>
          </w:tcPr>
          <w:p w:rsidR="00286698" w:rsidRPr="00A438A0" w:rsidRDefault="00286698" w:rsidP="006F1BCD">
            <w:pPr>
              <w:jc w:val="right"/>
              <w:rPr>
                <w:color w:val="000000"/>
              </w:rPr>
            </w:pPr>
            <w:r w:rsidRPr="00A438A0">
              <w:rPr>
                <w:color w:val="000000"/>
              </w:rPr>
              <w:t>(4,000)</w:t>
            </w:r>
          </w:p>
        </w:tc>
        <w:tc>
          <w:tcPr>
            <w:tcW w:w="1530" w:type="dxa"/>
            <w:shd w:val="clear" w:color="auto" w:fill="auto"/>
            <w:noWrap/>
            <w:vAlign w:val="center"/>
          </w:tcPr>
          <w:p w:rsidR="00286698" w:rsidRPr="00A438A0" w:rsidRDefault="00286698" w:rsidP="006F1BCD">
            <w:pPr>
              <w:jc w:val="right"/>
              <w:rPr>
                <w:color w:val="000000"/>
              </w:rPr>
            </w:pPr>
            <w:r w:rsidRPr="00A438A0">
              <w:rPr>
                <w:color w:val="000000"/>
              </w:rPr>
              <w:t>0</w:t>
            </w:r>
          </w:p>
        </w:tc>
      </w:tr>
      <w:tr w:rsidR="00286698" w:rsidRPr="00A438A0" w:rsidTr="006F1BCD">
        <w:trPr>
          <w:trHeight w:val="269"/>
        </w:trPr>
        <w:tc>
          <w:tcPr>
            <w:tcW w:w="2861" w:type="dxa"/>
            <w:shd w:val="clear" w:color="auto" w:fill="auto"/>
            <w:noWrap/>
            <w:vAlign w:val="center"/>
          </w:tcPr>
          <w:p w:rsidR="00286698" w:rsidRPr="00A438A0" w:rsidRDefault="00286698" w:rsidP="006F1BCD">
            <w:r w:rsidRPr="00A438A0">
              <w:t>WSC Travel</w:t>
            </w:r>
          </w:p>
        </w:tc>
        <w:tc>
          <w:tcPr>
            <w:tcW w:w="1729" w:type="dxa"/>
            <w:shd w:val="clear" w:color="auto" w:fill="auto"/>
            <w:noWrap/>
            <w:vAlign w:val="center"/>
          </w:tcPr>
          <w:p w:rsidR="00286698" w:rsidRPr="00A438A0" w:rsidRDefault="00286698" w:rsidP="006F1BCD">
            <w:pPr>
              <w:jc w:val="right"/>
            </w:pPr>
            <w:r w:rsidRPr="00A438A0">
              <w:t>1,000</w:t>
            </w:r>
          </w:p>
        </w:tc>
        <w:tc>
          <w:tcPr>
            <w:tcW w:w="1800" w:type="dxa"/>
            <w:shd w:val="clear" w:color="auto" w:fill="auto"/>
            <w:noWrap/>
            <w:vAlign w:val="center"/>
          </w:tcPr>
          <w:p w:rsidR="00286698" w:rsidRPr="00A438A0" w:rsidRDefault="00286698" w:rsidP="006F1BCD">
            <w:pPr>
              <w:jc w:val="right"/>
              <w:rPr>
                <w:color w:val="000000"/>
              </w:rPr>
            </w:pPr>
            <w:r w:rsidRPr="00A438A0">
              <w:rPr>
                <w:color w:val="000000"/>
              </w:rPr>
              <w:t>1,000</w:t>
            </w:r>
          </w:p>
        </w:tc>
        <w:tc>
          <w:tcPr>
            <w:tcW w:w="1440" w:type="dxa"/>
            <w:shd w:val="clear" w:color="auto" w:fill="auto"/>
            <w:noWrap/>
            <w:vAlign w:val="center"/>
          </w:tcPr>
          <w:p w:rsidR="00286698" w:rsidRPr="00A438A0" w:rsidRDefault="00286698" w:rsidP="006F1BCD">
            <w:pPr>
              <w:jc w:val="right"/>
              <w:rPr>
                <w:color w:val="000000"/>
              </w:rPr>
            </w:pPr>
            <w:r w:rsidRPr="00A438A0">
              <w:rPr>
                <w:color w:val="000000"/>
              </w:rPr>
              <w:t>(1,000)</w:t>
            </w:r>
          </w:p>
        </w:tc>
        <w:tc>
          <w:tcPr>
            <w:tcW w:w="1530" w:type="dxa"/>
            <w:shd w:val="clear" w:color="auto" w:fill="auto"/>
            <w:noWrap/>
            <w:vAlign w:val="center"/>
          </w:tcPr>
          <w:p w:rsidR="00286698" w:rsidRPr="00A438A0" w:rsidRDefault="00286698" w:rsidP="006F1BCD">
            <w:pPr>
              <w:jc w:val="right"/>
              <w:rPr>
                <w:color w:val="000000"/>
              </w:rPr>
            </w:pPr>
            <w:r w:rsidRPr="00A438A0">
              <w:rPr>
                <w:color w:val="000000"/>
              </w:rPr>
              <w:t>0</w:t>
            </w:r>
          </w:p>
        </w:tc>
      </w:tr>
      <w:tr w:rsidR="00286698" w:rsidRPr="00A438A0" w:rsidTr="006F1BCD">
        <w:trPr>
          <w:trHeight w:val="269"/>
        </w:trPr>
        <w:tc>
          <w:tcPr>
            <w:tcW w:w="2861" w:type="dxa"/>
            <w:shd w:val="clear" w:color="auto" w:fill="auto"/>
            <w:noWrap/>
            <w:vAlign w:val="center"/>
          </w:tcPr>
          <w:p w:rsidR="00286698" w:rsidRPr="00A438A0" w:rsidRDefault="00286698" w:rsidP="006F1BCD">
            <w:r w:rsidRPr="00A438A0">
              <w:t>WSC FedEx/Misc.</w:t>
            </w:r>
          </w:p>
        </w:tc>
        <w:tc>
          <w:tcPr>
            <w:tcW w:w="1729" w:type="dxa"/>
            <w:shd w:val="clear" w:color="auto" w:fill="auto"/>
            <w:noWrap/>
            <w:vAlign w:val="center"/>
          </w:tcPr>
          <w:p w:rsidR="00286698" w:rsidRPr="00A438A0" w:rsidRDefault="00286698" w:rsidP="006F1BCD">
            <w:pPr>
              <w:jc w:val="right"/>
            </w:pPr>
            <w:r w:rsidRPr="00A438A0">
              <w:t>100</w:t>
            </w:r>
          </w:p>
        </w:tc>
        <w:tc>
          <w:tcPr>
            <w:tcW w:w="1800" w:type="dxa"/>
            <w:shd w:val="clear" w:color="auto" w:fill="auto"/>
            <w:noWrap/>
            <w:vAlign w:val="center"/>
          </w:tcPr>
          <w:p w:rsidR="00286698" w:rsidRPr="00A438A0" w:rsidRDefault="00286698" w:rsidP="006F1BCD">
            <w:pPr>
              <w:jc w:val="right"/>
              <w:rPr>
                <w:color w:val="000000"/>
              </w:rPr>
            </w:pPr>
            <w:r w:rsidRPr="00A438A0">
              <w:rPr>
                <w:color w:val="000000"/>
              </w:rPr>
              <w:t>100</w:t>
            </w:r>
          </w:p>
        </w:tc>
        <w:tc>
          <w:tcPr>
            <w:tcW w:w="1440" w:type="dxa"/>
            <w:shd w:val="clear" w:color="auto" w:fill="auto"/>
            <w:noWrap/>
            <w:vAlign w:val="center"/>
          </w:tcPr>
          <w:p w:rsidR="00286698" w:rsidRPr="00A438A0" w:rsidRDefault="00286698" w:rsidP="006F1BCD">
            <w:pPr>
              <w:jc w:val="right"/>
              <w:rPr>
                <w:color w:val="000000"/>
              </w:rPr>
            </w:pPr>
            <w:r w:rsidRPr="00A438A0">
              <w:rPr>
                <w:color w:val="000000"/>
              </w:rPr>
              <w:t>(100)</w:t>
            </w:r>
          </w:p>
        </w:tc>
        <w:tc>
          <w:tcPr>
            <w:tcW w:w="1530" w:type="dxa"/>
            <w:shd w:val="clear" w:color="auto" w:fill="auto"/>
            <w:noWrap/>
            <w:vAlign w:val="center"/>
          </w:tcPr>
          <w:p w:rsidR="00286698" w:rsidRPr="00A438A0" w:rsidRDefault="00286698" w:rsidP="006F1BCD">
            <w:pPr>
              <w:jc w:val="right"/>
              <w:rPr>
                <w:color w:val="000000"/>
              </w:rPr>
            </w:pPr>
            <w:r w:rsidRPr="00A438A0">
              <w:rPr>
                <w:color w:val="000000"/>
              </w:rPr>
              <w:t>0</w:t>
            </w:r>
          </w:p>
        </w:tc>
      </w:tr>
      <w:tr w:rsidR="00286698" w:rsidRPr="00A438A0" w:rsidTr="006F1BCD">
        <w:trPr>
          <w:trHeight w:val="206"/>
        </w:trPr>
        <w:tc>
          <w:tcPr>
            <w:tcW w:w="2861" w:type="dxa"/>
            <w:shd w:val="clear" w:color="auto" w:fill="auto"/>
            <w:noWrap/>
            <w:vAlign w:val="center"/>
          </w:tcPr>
          <w:p w:rsidR="00286698" w:rsidRPr="00A438A0" w:rsidRDefault="00286698" w:rsidP="006F1BCD">
            <w:r w:rsidRPr="00A438A0">
              <w:t>Cust. Notices and Postage</w:t>
            </w:r>
          </w:p>
        </w:tc>
        <w:tc>
          <w:tcPr>
            <w:tcW w:w="1729" w:type="dxa"/>
            <w:shd w:val="clear" w:color="auto" w:fill="auto"/>
            <w:noWrap/>
            <w:vAlign w:val="center"/>
          </w:tcPr>
          <w:p w:rsidR="00286698" w:rsidRPr="00A438A0" w:rsidRDefault="00286698" w:rsidP="006F1BCD">
            <w:pPr>
              <w:jc w:val="right"/>
            </w:pPr>
            <w:r w:rsidRPr="00A438A0">
              <w:t>5,000</w:t>
            </w:r>
          </w:p>
        </w:tc>
        <w:tc>
          <w:tcPr>
            <w:tcW w:w="1800" w:type="dxa"/>
            <w:shd w:val="clear" w:color="auto" w:fill="auto"/>
            <w:noWrap/>
            <w:vAlign w:val="center"/>
          </w:tcPr>
          <w:p w:rsidR="00286698" w:rsidRPr="00A438A0" w:rsidRDefault="00286698" w:rsidP="006F1BCD">
            <w:pPr>
              <w:jc w:val="right"/>
              <w:rPr>
                <w:color w:val="000000"/>
              </w:rPr>
            </w:pPr>
            <w:r w:rsidRPr="00A438A0">
              <w:rPr>
                <w:color w:val="000000"/>
              </w:rPr>
              <w:t>5,000</w:t>
            </w:r>
          </w:p>
        </w:tc>
        <w:tc>
          <w:tcPr>
            <w:tcW w:w="1440" w:type="dxa"/>
            <w:shd w:val="clear" w:color="auto" w:fill="auto"/>
            <w:noWrap/>
            <w:vAlign w:val="center"/>
          </w:tcPr>
          <w:p w:rsidR="00286698" w:rsidRPr="00A438A0" w:rsidRDefault="00286698" w:rsidP="006F1BCD">
            <w:pPr>
              <w:jc w:val="right"/>
              <w:rPr>
                <w:color w:val="000000"/>
              </w:rPr>
            </w:pPr>
            <w:r w:rsidRPr="00A438A0">
              <w:rPr>
                <w:color w:val="000000"/>
              </w:rPr>
              <w:t>(3,102)</w:t>
            </w:r>
          </w:p>
        </w:tc>
        <w:tc>
          <w:tcPr>
            <w:tcW w:w="1530" w:type="dxa"/>
            <w:shd w:val="clear" w:color="auto" w:fill="auto"/>
            <w:noWrap/>
            <w:vAlign w:val="center"/>
          </w:tcPr>
          <w:p w:rsidR="00286698" w:rsidRPr="00A438A0" w:rsidRDefault="00286698" w:rsidP="006F1BCD">
            <w:pPr>
              <w:jc w:val="right"/>
              <w:rPr>
                <w:color w:val="000000"/>
              </w:rPr>
            </w:pPr>
            <w:r w:rsidRPr="00A438A0">
              <w:rPr>
                <w:color w:val="000000"/>
              </w:rPr>
              <w:t>1,898</w:t>
            </w:r>
          </w:p>
        </w:tc>
      </w:tr>
      <w:tr w:rsidR="00286698" w:rsidRPr="00A438A0" w:rsidTr="006F1BCD">
        <w:trPr>
          <w:trHeight w:val="287"/>
        </w:trPr>
        <w:tc>
          <w:tcPr>
            <w:tcW w:w="2861" w:type="dxa"/>
            <w:shd w:val="clear" w:color="auto" w:fill="auto"/>
            <w:noWrap/>
            <w:vAlign w:val="center"/>
          </w:tcPr>
          <w:p w:rsidR="00286698" w:rsidRPr="00A438A0" w:rsidRDefault="00286698" w:rsidP="006F1BCD">
            <w:pPr>
              <w:rPr>
                <w:b/>
              </w:rPr>
            </w:pPr>
            <w:r w:rsidRPr="00A438A0">
              <w:rPr>
                <w:b/>
              </w:rPr>
              <w:t>Total</w:t>
            </w:r>
          </w:p>
        </w:tc>
        <w:tc>
          <w:tcPr>
            <w:tcW w:w="1729" w:type="dxa"/>
            <w:shd w:val="clear" w:color="auto" w:fill="auto"/>
            <w:noWrap/>
            <w:vAlign w:val="center"/>
          </w:tcPr>
          <w:p w:rsidR="00286698" w:rsidRPr="00A438A0" w:rsidRDefault="00286698" w:rsidP="006F1BCD">
            <w:pPr>
              <w:jc w:val="right"/>
              <w:rPr>
                <w:color w:val="000000"/>
              </w:rPr>
            </w:pPr>
            <w:r w:rsidRPr="00A438A0">
              <w:rPr>
                <w:color w:val="000000"/>
              </w:rPr>
              <w:fldChar w:fldCharType="begin"/>
            </w:r>
            <w:r w:rsidRPr="00A438A0">
              <w:rPr>
                <w:color w:val="000000"/>
              </w:rPr>
              <w:instrText xml:space="preserve"> =SUM(ABOVE) </w:instrText>
            </w:r>
            <w:r w:rsidRPr="00A438A0">
              <w:rPr>
                <w:color w:val="000000"/>
              </w:rPr>
              <w:fldChar w:fldCharType="separate"/>
            </w:r>
            <w:r w:rsidRPr="00A438A0">
              <w:rPr>
                <w:noProof/>
                <w:color w:val="000000"/>
              </w:rPr>
              <w:t>$131,850</w:t>
            </w:r>
            <w:r w:rsidRPr="00A438A0">
              <w:rPr>
                <w:color w:val="000000"/>
              </w:rPr>
              <w:fldChar w:fldCharType="end"/>
            </w:r>
          </w:p>
        </w:tc>
        <w:tc>
          <w:tcPr>
            <w:tcW w:w="1800" w:type="dxa"/>
            <w:shd w:val="clear" w:color="auto" w:fill="auto"/>
            <w:noWrap/>
            <w:vAlign w:val="center"/>
          </w:tcPr>
          <w:p w:rsidR="00286698" w:rsidRPr="00A438A0" w:rsidRDefault="00286698" w:rsidP="006F1BCD">
            <w:pPr>
              <w:jc w:val="right"/>
              <w:rPr>
                <w:color w:val="000000"/>
              </w:rPr>
            </w:pPr>
            <w:r w:rsidRPr="00A438A0">
              <w:rPr>
                <w:color w:val="000000"/>
              </w:rPr>
              <w:fldChar w:fldCharType="begin"/>
            </w:r>
            <w:r w:rsidRPr="00A438A0">
              <w:rPr>
                <w:color w:val="000000"/>
              </w:rPr>
              <w:instrText xml:space="preserve"> =SUM(ABOVE) </w:instrText>
            </w:r>
            <w:r w:rsidRPr="00A438A0">
              <w:rPr>
                <w:color w:val="000000"/>
              </w:rPr>
              <w:fldChar w:fldCharType="separate"/>
            </w:r>
            <w:r w:rsidRPr="00A438A0">
              <w:rPr>
                <w:noProof/>
                <w:color w:val="000000"/>
              </w:rPr>
              <w:t>$133,057</w:t>
            </w:r>
            <w:r w:rsidRPr="00A438A0">
              <w:rPr>
                <w:color w:val="000000"/>
              </w:rPr>
              <w:fldChar w:fldCharType="end"/>
            </w:r>
          </w:p>
        </w:tc>
        <w:tc>
          <w:tcPr>
            <w:tcW w:w="1440" w:type="dxa"/>
            <w:shd w:val="clear" w:color="auto" w:fill="auto"/>
            <w:noWrap/>
            <w:vAlign w:val="center"/>
          </w:tcPr>
          <w:p w:rsidR="00286698" w:rsidRPr="00A438A0" w:rsidRDefault="00286698" w:rsidP="006F1BCD">
            <w:pPr>
              <w:jc w:val="right"/>
              <w:rPr>
                <w:color w:val="000000"/>
              </w:rPr>
            </w:pPr>
            <w:r w:rsidRPr="00A438A0">
              <w:rPr>
                <w:color w:val="000000"/>
              </w:rPr>
              <w:t>($12,525)</w:t>
            </w:r>
          </w:p>
        </w:tc>
        <w:tc>
          <w:tcPr>
            <w:tcW w:w="1530" w:type="dxa"/>
            <w:shd w:val="clear" w:color="auto" w:fill="auto"/>
            <w:noWrap/>
            <w:vAlign w:val="center"/>
          </w:tcPr>
          <w:p w:rsidR="00286698" w:rsidRPr="00A438A0" w:rsidRDefault="00286698" w:rsidP="006F1BCD">
            <w:pPr>
              <w:jc w:val="right"/>
              <w:rPr>
                <w:color w:val="000000"/>
              </w:rPr>
            </w:pPr>
            <w:r w:rsidRPr="00A438A0">
              <w:rPr>
                <w:color w:val="000000"/>
              </w:rPr>
              <w:t>$</w:t>
            </w:r>
            <w:r w:rsidRPr="00A438A0">
              <w:rPr>
                <w:color w:val="000000"/>
              </w:rPr>
              <w:fldChar w:fldCharType="begin"/>
            </w:r>
            <w:r w:rsidRPr="00A438A0">
              <w:rPr>
                <w:color w:val="000000"/>
              </w:rPr>
              <w:instrText xml:space="preserve"> =SUM(ABOVE) </w:instrText>
            </w:r>
            <w:r w:rsidRPr="00A438A0">
              <w:rPr>
                <w:color w:val="000000"/>
              </w:rPr>
              <w:fldChar w:fldCharType="separate"/>
            </w:r>
            <w:r w:rsidRPr="00A438A0">
              <w:rPr>
                <w:noProof/>
                <w:color w:val="000000"/>
              </w:rPr>
              <w:t>120,531</w:t>
            </w:r>
            <w:r w:rsidRPr="00A438A0">
              <w:rPr>
                <w:color w:val="000000"/>
              </w:rPr>
              <w:fldChar w:fldCharType="end"/>
            </w:r>
          </w:p>
        </w:tc>
      </w:tr>
      <w:tr w:rsidR="00286698" w:rsidRPr="00A438A0" w:rsidTr="006F1BCD">
        <w:trPr>
          <w:trHeight w:val="287"/>
        </w:trPr>
        <w:tc>
          <w:tcPr>
            <w:tcW w:w="2861" w:type="dxa"/>
            <w:shd w:val="clear" w:color="auto" w:fill="auto"/>
            <w:noWrap/>
            <w:vAlign w:val="center"/>
          </w:tcPr>
          <w:p w:rsidR="00286698" w:rsidRPr="00A438A0" w:rsidRDefault="00286698" w:rsidP="006F1BCD">
            <w:r w:rsidRPr="00A438A0">
              <w:t>Add’l RCE – Generic Dkt.</w:t>
            </w:r>
          </w:p>
        </w:tc>
        <w:tc>
          <w:tcPr>
            <w:tcW w:w="1729" w:type="dxa"/>
            <w:shd w:val="clear" w:color="auto" w:fill="auto"/>
            <w:noWrap/>
            <w:vAlign w:val="center"/>
          </w:tcPr>
          <w:p w:rsidR="00286698" w:rsidRPr="00A438A0" w:rsidRDefault="00286698" w:rsidP="006F1BCD">
            <w:pPr>
              <w:jc w:val="right"/>
              <w:rPr>
                <w:noProof/>
                <w:color w:val="000000"/>
              </w:rPr>
            </w:pPr>
            <w:r w:rsidRPr="00A438A0">
              <w:rPr>
                <w:noProof/>
                <w:color w:val="000000"/>
              </w:rPr>
              <w:t>$2,484</w:t>
            </w:r>
          </w:p>
        </w:tc>
        <w:tc>
          <w:tcPr>
            <w:tcW w:w="1800" w:type="dxa"/>
            <w:shd w:val="clear" w:color="auto" w:fill="auto"/>
            <w:noWrap/>
            <w:vAlign w:val="center"/>
          </w:tcPr>
          <w:p w:rsidR="00286698" w:rsidRPr="00A438A0" w:rsidRDefault="00286698" w:rsidP="006F1BCD">
            <w:pPr>
              <w:jc w:val="right"/>
            </w:pPr>
          </w:p>
        </w:tc>
        <w:tc>
          <w:tcPr>
            <w:tcW w:w="1440" w:type="dxa"/>
            <w:shd w:val="clear" w:color="auto" w:fill="auto"/>
            <w:noWrap/>
            <w:vAlign w:val="center"/>
          </w:tcPr>
          <w:p w:rsidR="00286698" w:rsidRPr="00A438A0" w:rsidRDefault="00286698" w:rsidP="006F1BCD">
            <w:pPr>
              <w:jc w:val="right"/>
            </w:pPr>
          </w:p>
        </w:tc>
        <w:tc>
          <w:tcPr>
            <w:tcW w:w="1530" w:type="dxa"/>
            <w:shd w:val="clear" w:color="auto" w:fill="auto"/>
            <w:noWrap/>
            <w:vAlign w:val="center"/>
          </w:tcPr>
          <w:p w:rsidR="00286698" w:rsidRPr="00A438A0" w:rsidRDefault="00286698" w:rsidP="006F1BCD">
            <w:pPr>
              <w:jc w:val="right"/>
              <w:rPr>
                <w:color w:val="000000"/>
              </w:rPr>
            </w:pPr>
            <w:r w:rsidRPr="00A438A0">
              <w:rPr>
                <w:color w:val="000000"/>
              </w:rPr>
              <w:t>$2,484</w:t>
            </w:r>
          </w:p>
        </w:tc>
      </w:tr>
      <w:tr w:rsidR="00286698" w:rsidRPr="00A438A0" w:rsidTr="006F1BCD">
        <w:trPr>
          <w:trHeight w:val="287"/>
        </w:trPr>
        <w:tc>
          <w:tcPr>
            <w:tcW w:w="2861" w:type="dxa"/>
            <w:shd w:val="clear" w:color="auto" w:fill="auto"/>
            <w:noWrap/>
            <w:vAlign w:val="center"/>
          </w:tcPr>
          <w:p w:rsidR="00286698" w:rsidRPr="00A438A0" w:rsidRDefault="00286698" w:rsidP="006F1BCD">
            <w:pPr>
              <w:rPr>
                <w:b/>
              </w:rPr>
            </w:pPr>
            <w:r w:rsidRPr="00A438A0">
              <w:rPr>
                <w:b/>
              </w:rPr>
              <w:t>Total w/Add’l RCE</w:t>
            </w:r>
          </w:p>
        </w:tc>
        <w:tc>
          <w:tcPr>
            <w:tcW w:w="1729" w:type="dxa"/>
            <w:shd w:val="clear" w:color="auto" w:fill="auto"/>
            <w:noWrap/>
            <w:vAlign w:val="center"/>
          </w:tcPr>
          <w:p w:rsidR="00286698" w:rsidRPr="00A438A0" w:rsidRDefault="00286698" w:rsidP="006F1BCD">
            <w:pPr>
              <w:jc w:val="right"/>
              <w:rPr>
                <w:noProof/>
                <w:color w:val="000000"/>
              </w:rPr>
            </w:pPr>
            <w:r w:rsidRPr="00A438A0">
              <w:rPr>
                <w:noProof/>
                <w:color w:val="000000"/>
              </w:rPr>
              <w:t>$134,334</w:t>
            </w:r>
          </w:p>
        </w:tc>
        <w:tc>
          <w:tcPr>
            <w:tcW w:w="1800" w:type="dxa"/>
            <w:shd w:val="clear" w:color="auto" w:fill="auto"/>
            <w:noWrap/>
            <w:vAlign w:val="center"/>
          </w:tcPr>
          <w:p w:rsidR="00286698" w:rsidRPr="00A438A0" w:rsidRDefault="00286698" w:rsidP="006F1BCD">
            <w:pPr>
              <w:jc w:val="right"/>
            </w:pPr>
          </w:p>
        </w:tc>
        <w:tc>
          <w:tcPr>
            <w:tcW w:w="1440" w:type="dxa"/>
            <w:shd w:val="clear" w:color="auto" w:fill="auto"/>
            <w:noWrap/>
            <w:vAlign w:val="center"/>
          </w:tcPr>
          <w:p w:rsidR="00286698" w:rsidRPr="00A438A0" w:rsidRDefault="00286698" w:rsidP="006F1BCD">
            <w:pPr>
              <w:jc w:val="right"/>
            </w:pPr>
          </w:p>
        </w:tc>
        <w:tc>
          <w:tcPr>
            <w:tcW w:w="1530" w:type="dxa"/>
            <w:shd w:val="clear" w:color="auto" w:fill="auto"/>
            <w:noWrap/>
            <w:vAlign w:val="center"/>
          </w:tcPr>
          <w:p w:rsidR="00286698" w:rsidRPr="00A438A0" w:rsidRDefault="00286698" w:rsidP="006F1BCD">
            <w:pPr>
              <w:jc w:val="right"/>
              <w:rPr>
                <w:color w:val="000000"/>
              </w:rPr>
            </w:pPr>
            <w:r w:rsidRPr="00A438A0">
              <w:rPr>
                <w:color w:val="000000"/>
              </w:rPr>
              <w:t>$123,015</w:t>
            </w:r>
          </w:p>
        </w:tc>
      </w:tr>
    </w:tbl>
    <w:p w:rsidR="00286698" w:rsidRPr="00A438A0" w:rsidRDefault="00286698" w:rsidP="00286698">
      <w:r w:rsidRPr="00A438A0">
        <w:t>Source: MFR Schedule B-10, Responses to Staff Data Request</w:t>
      </w:r>
    </w:p>
    <w:p w:rsidR="00286698" w:rsidRPr="00A438A0" w:rsidRDefault="00286698" w:rsidP="00286698"/>
    <w:p w:rsidR="00286698" w:rsidRPr="00A438A0" w:rsidRDefault="00286698" w:rsidP="00286698">
      <w:pPr>
        <w:pStyle w:val="BodyText"/>
      </w:pPr>
      <w:r w:rsidRPr="00A438A0">
        <w:t>In its MFRs, the utility requested total rate case expense of $134,334. When amortized over four years, this represents an annual expense of $33,584. The recommended total rate case expense of $123,015 should be amortized over four years, pursuant to Section 367.081(6), F.S. This represents an annual expense of $30,754. Based on the above, staff recommends that annual rate case expense be decreased by $2,830.</w:t>
      </w:r>
    </w:p>
    <w:p w:rsidR="002D2AC6" w:rsidRPr="00A438A0" w:rsidRDefault="002D2AC6" w:rsidP="00286698">
      <w:pPr>
        <w:spacing w:after="240"/>
        <w:jc w:val="both"/>
      </w:pPr>
    </w:p>
    <w:p w:rsidR="00870335" w:rsidRPr="00A438A0" w:rsidRDefault="002D2AC6" w:rsidP="00342E57">
      <w:pPr>
        <w:pStyle w:val="RecommendationIssueGroupingSection"/>
        <w:rPr>
          <w:vanish/>
          <w:specVanish/>
        </w:rPr>
      </w:pPr>
      <w:r w:rsidRPr="00A438A0">
        <w:br w:type="page"/>
      </w:r>
      <w:r w:rsidR="00342E57" w:rsidRPr="00A438A0">
        <w:lastRenderedPageBreak/>
        <w:t>I</w:t>
      </w:r>
      <w:r w:rsidR="00870335" w:rsidRPr="00A438A0">
        <w:t xml:space="preserve">ssue </w:t>
      </w:r>
      <w:r w:rsidR="006D42F5">
        <w:fldChar w:fldCharType="begin"/>
      </w:r>
      <w:r w:rsidR="006D42F5">
        <w:instrText xml:space="preserve"> SEQ Issue \* MERGEFORMAT </w:instrText>
      </w:r>
      <w:r w:rsidR="006D42F5">
        <w:fldChar w:fldCharType="separate"/>
      </w:r>
      <w:r w:rsidR="00A05B79">
        <w:rPr>
          <w:noProof/>
        </w:rPr>
        <w:t>15</w:t>
      </w:r>
      <w:r w:rsidR="006D42F5">
        <w:rPr>
          <w:noProof/>
        </w:rPr>
        <w:fldChar w:fldCharType="end"/>
      </w:r>
      <w:r w:rsidR="00870335" w:rsidRPr="00A438A0">
        <w:t>:</w:t>
      </w:r>
      <w:r w:rsidR="00870335" w:rsidRPr="00A438A0">
        <w:fldChar w:fldCharType="begin"/>
      </w:r>
      <w:r w:rsidR="00870335" w:rsidRPr="00A438A0">
        <w:instrText xml:space="preserve"> TC "</w:instrText>
      </w:r>
      <w:r w:rsidR="00870335" w:rsidRPr="00A438A0">
        <w:fldChar w:fldCharType="begin"/>
      </w:r>
      <w:r w:rsidR="00870335" w:rsidRPr="00A438A0">
        <w:instrText xml:space="preserve"> SEQ issue \c </w:instrText>
      </w:r>
      <w:r w:rsidR="00870335" w:rsidRPr="00A438A0">
        <w:fldChar w:fldCharType="separate"/>
      </w:r>
      <w:bookmarkStart w:id="30" w:name="_Toc435607949"/>
      <w:r w:rsidR="00A05B79">
        <w:rPr>
          <w:noProof/>
        </w:rPr>
        <w:instrText>15</w:instrText>
      </w:r>
      <w:r w:rsidR="00870335" w:rsidRPr="00A438A0">
        <w:fldChar w:fldCharType="end"/>
      </w:r>
      <w:r w:rsidR="00870335" w:rsidRPr="00A438A0">
        <w:tab/>
        <w:instrText>Taxes Other Than Income</w:instrText>
      </w:r>
      <w:r w:rsidR="004F34CE" w:rsidRPr="00A438A0">
        <w:instrText xml:space="preserve"> </w:instrText>
      </w:r>
      <w:r w:rsidR="00870335" w:rsidRPr="00A438A0">
        <w:instrText>(D. Buys)</w:instrText>
      </w:r>
      <w:bookmarkEnd w:id="30"/>
      <w:r w:rsidR="00870335" w:rsidRPr="00A438A0">
        <w:instrText xml:space="preserve">" \l 1 </w:instrText>
      </w:r>
      <w:r w:rsidR="00870335" w:rsidRPr="00A438A0">
        <w:fldChar w:fldCharType="end"/>
      </w:r>
      <w:r w:rsidR="00870335" w:rsidRPr="00A438A0">
        <w:t> </w:t>
      </w:r>
    </w:p>
    <w:p w:rsidR="00870335" w:rsidRPr="00A438A0" w:rsidRDefault="00870335">
      <w:pPr>
        <w:pStyle w:val="BodyText"/>
      </w:pPr>
      <w:r w:rsidRPr="00A438A0">
        <w:t> Should any further adjustment be made to Taxes other than Income?</w:t>
      </w:r>
    </w:p>
    <w:p w:rsidR="00870335" w:rsidRPr="00A438A0" w:rsidRDefault="00870335">
      <w:pPr>
        <w:pStyle w:val="IssueSubsectionHeading"/>
        <w:rPr>
          <w:vanish/>
          <w:specVanish/>
        </w:rPr>
      </w:pPr>
      <w:r w:rsidRPr="00A438A0">
        <w:t>Recommendation: </w:t>
      </w:r>
    </w:p>
    <w:p w:rsidR="00870335" w:rsidRPr="00A438A0" w:rsidRDefault="00870335">
      <w:pPr>
        <w:pStyle w:val="BodyText"/>
      </w:pPr>
      <w:r w:rsidRPr="00A438A0">
        <w:t> </w:t>
      </w:r>
      <w:r w:rsidR="00AF0847" w:rsidRPr="00A438A0">
        <w:t>Yes. Property Taxes should be decreased by $7,460.</w:t>
      </w:r>
      <w:r w:rsidRPr="00A438A0">
        <w:t xml:space="preserve"> (D. Buys)</w:t>
      </w:r>
    </w:p>
    <w:p w:rsidR="00870335" w:rsidRPr="00A438A0" w:rsidRDefault="00870335">
      <w:pPr>
        <w:pStyle w:val="IssueSubsectionHeading"/>
        <w:rPr>
          <w:vanish/>
          <w:specVanish/>
        </w:rPr>
      </w:pPr>
      <w:r w:rsidRPr="00A438A0">
        <w:t>Staff Analysis: </w:t>
      </w:r>
    </w:p>
    <w:p w:rsidR="00AF0847" w:rsidRPr="00A438A0" w:rsidRDefault="00870335" w:rsidP="00AF0847">
      <w:pPr>
        <w:pStyle w:val="BodyText"/>
      </w:pPr>
      <w:r w:rsidRPr="00A438A0">
        <w:t> </w:t>
      </w:r>
      <w:r w:rsidR="00AF0847" w:rsidRPr="00A438A0">
        <w:t>Rule 25-30.433(5), F.A.C., states that property tax on non-used and useful plant shall not be allowed. In Issue 2, land was increased by $10,000 pursuant to an audit adjustment. As indicated in the utility’s MFRs, a used and useful adjustment of 46.54 percent was applied to the land balance of $157,000 to reflect the portion of land not used to provide service to customers. This same adjustment should be applied to the agreed upon audit adjustment to increase land by $10,000. In Issue 5, staff recommends a non-used and useful adjustment to reduce plant and land. Based on the used and useful adjustments discussed in Issue 5, property tax should be decreased by $8,724 to reflect the disallowed portion of plant. In its MFRs, the utility reflected an adjustment of $1,264 to decrease property taxes for the non-used and useful adjustment to land. Accordingly, staff recommends that property tax expense be decreased by $7,460.</w:t>
      </w:r>
    </w:p>
    <w:p w:rsidR="00870335" w:rsidRPr="00A438A0" w:rsidRDefault="00870335">
      <w:pPr>
        <w:pStyle w:val="BodyText"/>
      </w:pPr>
    </w:p>
    <w:p w:rsidR="00870335" w:rsidRPr="00A438A0" w:rsidRDefault="00870335">
      <w:pPr>
        <w:rPr>
          <w:rFonts w:ascii="Arial" w:hAnsi="Arial" w:cs="Arial"/>
          <w:b/>
          <w:bCs/>
          <w:i/>
          <w:kern w:val="32"/>
          <w:szCs w:val="32"/>
        </w:rPr>
      </w:pPr>
      <w:r w:rsidRPr="00A438A0">
        <w:br w:type="page"/>
      </w:r>
    </w:p>
    <w:p w:rsidR="002D2AC6" w:rsidRPr="00A438A0" w:rsidRDefault="002D2AC6">
      <w:pPr>
        <w:pStyle w:val="IssueHeading"/>
        <w:rPr>
          <w:vanish/>
          <w:specVanish/>
        </w:rPr>
      </w:pPr>
      <w:r w:rsidRPr="00A438A0">
        <w:lastRenderedPageBreak/>
        <w:t xml:space="preserve">Issue </w:t>
      </w:r>
      <w:r w:rsidR="00E83DB6" w:rsidRPr="00A438A0">
        <w:fldChar w:fldCharType="begin"/>
      </w:r>
      <w:r w:rsidR="00870335" w:rsidRPr="00A438A0">
        <w:instrText>seq issue \r 16</w:instrText>
      </w:r>
      <w:r w:rsidR="00E83DB6" w:rsidRPr="00A438A0">
        <w:fldChar w:fldCharType="separate"/>
      </w:r>
      <w:r w:rsidR="00A05B79">
        <w:rPr>
          <w:noProof/>
        </w:rPr>
        <w:t>16</w:t>
      </w:r>
      <w:r w:rsidR="00E83DB6" w:rsidRPr="00A438A0">
        <w:rPr>
          <w:noProof/>
        </w:rPr>
        <w:fldChar w:fldCharType="end"/>
      </w:r>
      <w:r w:rsidRPr="00A438A0">
        <w:t>:</w:t>
      </w:r>
      <w:r w:rsidRPr="00A438A0">
        <w:fldChar w:fldCharType="begin"/>
      </w:r>
      <w:r w:rsidRPr="00A438A0">
        <w:instrText xml:space="preserve"> TC "</w:instrText>
      </w:r>
      <w:r w:rsidRPr="00A438A0">
        <w:fldChar w:fldCharType="begin"/>
      </w:r>
      <w:r w:rsidRPr="00A438A0">
        <w:instrText xml:space="preserve"> SEQ issue \c </w:instrText>
      </w:r>
      <w:r w:rsidRPr="00A438A0">
        <w:fldChar w:fldCharType="separate"/>
      </w:r>
      <w:bookmarkStart w:id="31" w:name="_Toc435607950"/>
      <w:r w:rsidR="00A05B79">
        <w:rPr>
          <w:noProof/>
        </w:rPr>
        <w:instrText>16</w:instrText>
      </w:r>
      <w:r w:rsidRPr="00A438A0">
        <w:fldChar w:fldCharType="end"/>
      </w:r>
      <w:r w:rsidRPr="00A438A0">
        <w:tab/>
        <w:instrText>Revenue Requirement (D. Buys)</w:instrText>
      </w:r>
      <w:bookmarkEnd w:id="31"/>
      <w:r w:rsidRPr="00A438A0">
        <w:instrText xml:space="preserve">" \l 1 </w:instrText>
      </w:r>
      <w:r w:rsidRPr="00A438A0">
        <w:fldChar w:fldCharType="end"/>
      </w:r>
      <w:r w:rsidRPr="00A438A0">
        <w:t> </w:t>
      </w:r>
    </w:p>
    <w:p w:rsidR="002D2AC6" w:rsidRPr="00A438A0" w:rsidRDefault="002D2AC6">
      <w:pPr>
        <w:pStyle w:val="BodyText"/>
      </w:pPr>
      <w:r w:rsidRPr="00A438A0">
        <w:t> </w:t>
      </w:r>
      <w:r w:rsidR="00870335" w:rsidRPr="00A438A0">
        <w:t>What is the appropriate revenue requirement for the test year ended December 31, 2014?</w:t>
      </w:r>
    </w:p>
    <w:p w:rsidR="002D2AC6" w:rsidRPr="00A438A0" w:rsidRDefault="002D2AC6">
      <w:pPr>
        <w:pStyle w:val="IssueSubsectionHeading"/>
        <w:rPr>
          <w:vanish/>
          <w:specVanish/>
        </w:rPr>
      </w:pPr>
      <w:r w:rsidRPr="00A438A0">
        <w:t>Recommendation: </w:t>
      </w:r>
    </w:p>
    <w:p w:rsidR="00C25744" w:rsidRPr="00A438A0" w:rsidRDefault="002D2AC6" w:rsidP="00C25744">
      <w:pPr>
        <w:pStyle w:val="BodyText"/>
      </w:pPr>
      <w:r w:rsidRPr="00A438A0">
        <w:t> </w:t>
      </w:r>
      <w:r w:rsidR="00C25744" w:rsidRPr="00A438A0">
        <w:t xml:space="preserve">Staff recommends the following revenue requirement be approved. </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353"/>
        <w:gridCol w:w="2353"/>
        <w:gridCol w:w="2353"/>
      </w:tblGrid>
      <w:tr w:rsidR="00C25744" w:rsidRPr="00A438A0" w:rsidTr="00C25744">
        <w:trPr>
          <w:trHeight w:val="523"/>
          <w:jc w:val="center"/>
        </w:trPr>
        <w:tc>
          <w:tcPr>
            <w:tcW w:w="1250" w:type="pct"/>
            <w:shd w:val="clear" w:color="auto" w:fill="auto"/>
            <w:vAlign w:val="center"/>
          </w:tcPr>
          <w:p w:rsidR="00C25744" w:rsidRPr="00A438A0" w:rsidRDefault="00C25744" w:rsidP="00C25744">
            <w:pPr>
              <w:jc w:val="center"/>
              <w:rPr>
                <w:b/>
              </w:rPr>
            </w:pPr>
            <w:r w:rsidRPr="00A438A0">
              <w:rPr>
                <w:b/>
              </w:rPr>
              <w:t>Test Year Revenue</w:t>
            </w:r>
          </w:p>
        </w:tc>
        <w:tc>
          <w:tcPr>
            <w:tcW w:w="1250" w:type="pct"/>
            <w:shd w:val="clear" w:color="auto" w:fill="auto"/>
            <w:vAlign w:val="center"/>
          </w:tcPr>
          <w:p w:rsidR="00C25744" w:rsidRPr="00A438A0" w:rsidRDefault="00C25744" w:rsidP="00C25744">
            <w:pPr>
              <w:jc w:val="center"/>
              <w:rPr>
                <w:b/>
              </w:rPr>
            </w:pPr>
            <w:r w:rsidRPr="00A438A0">
              <w:rPr>
                <w:b/>
              </w:rPr>
              <w:t>$ Increase</w:t>
            </w:r>
          </w:p>
        </w:tc>
        <w:tc>
          <w:tcPr>
            <w:tcW w:w="1250" w:type="pct"/>
            <w:shd w:val="clear" w:color="auto" w:fill="auto"/>
            <w:vAlign w:val="center"/>
          </w:tcPr>
          <w:p w:rsidR="00C25744" w:rsidRPr="00A438A0" w:rsidRDefault="00C25744" w:rsidP="00C25744">
            <w:pPr>
              <w:jc w:val="center"/>
              <w:rPr>
                <w:b/>
              </w:rPr>
            </w:pPr>
            <w:r w:rsidRPr="00A438A0">
              <w:rPr>
                <w:b/>
              </w:rPr>
              <w:t>Revenue Requirement</w:t>
            </w:r>
          </w:p>
        </w:tc>
        <w:tc>
          <w:tcPr>
            <w:tcW w:w="1250" w:type="pct"/>
            <w:shd w:val="clear" w:color="auto" w:fill="auto"/>
            <w:vAlign w:val="center"/>
          </w:tcPr>
          <w:p w:rsidR="00C25744" w:rsidRPr="00A438A0" w:rsidRDefault="00C25744" w:rsidP="00C25744">
            <w:pPr>
              <w:jc w:val="center"/>
              <w:rPr>
                <w:b/>
              </w:rPr>
            </w:pPr>
            <w:r w:rsidRPr="00A438A0">
              <w:rPr>
                <w:b/>
              </w:rPr>
              <w:t>% Increase</w:t>
            </w:r>
          </w:p>
        </w:tc>
      </w:tr>
      <w:tr w:rsidR="00C25744" w:rsidRPr="00A438A0" w:rsidTr="00C25744">
        <w:trPr>
          <w:trHeight w:val="523"/>
          <w:jc w:val="center"/>
        </w:trPr>
        <w:tc>
          <w:tcPr>
            <w:tcW w:w="1250" w:type="pct"/>
            <w:shd w:val="clear" w:color="auto" w:fill="auto"/>
            <w:vAlign w:val="center"/>
          </w:tcPr>
          <w:p w:rsidR="00C25744" w:rsidRPr="00A438A0" w:rsidRDefault="00C25744" w:rsidP="00C25744">
            <w:pPr>
              <w:jc w:val="center"/>
            </w:pPr>
            <w:r w:rsidRPr="00A438A0">
              <w:t>$666,122</w:t>
            </w:r>
          </w:p>
        </w:tc>
        <w:tc>
          <w:tcPr>
            <w:tcW w:w="1250" w:type="pct"/>
            <w:shd w:val="clear" w:color="auto" w:fill="auto"/>
            <w:vAlign w:val="center"/>
          </w:tcPr>
          <w:p w:rsidR="00C25744" w:rsidRPr="00A438A0" w:rsidRDefault="00C25744" w:rsidP="00C25744">
            <w:pPr>
              <w:jc w:val="center"/>
            </w:pPr>
            <w:r w:rsidRPr="00A438A0">
              <w:t>$626,375</w:t>
            </w:r>
          </w:p>
        </w:tc>
        <w:tc>
          <w:tcPr>
            <w:tcW w:w="1250" w:type="pct"/>
            <w:shd w:val="clear" w:color="auto" w:fill="auto"/>
            <w:vAlign w:val="center"/>
          </w:tcPr>
          <w:p w:rsidR="00C25744" w:rsidRPr="00A438A0" w:rsidRDefault="00C25744" w:rsidP="00C25744">
            <w:pPr>
              <w:jc w:val="center"/>
            </w:pPr>
            <w:r w:rsidRPr="00A438A0">
              <w:t>$1,292,497</w:t>
            </w:r>
          </w:p>
        </w:tc>
        <w:tc>
          <w:tcPr>
            <w:tcW w:w="1250" w:type="pct"/>
            <w:shd w:val="clear" w:color="auto" w:fill="auto"/>
            <w:vAlign w:val="center"/>
          </w:tcPr>
          <w:p w:rsidR="00C25744" w:rsidRPr="00A438A0" w:rsidRDefault="00C25744" w:rsidP="00C25744">
            <w:pPr>
              <w:jc w:val="center"/>
            </w:pPr>
            <w:r w:rsidRPr="00A438A0">
              <w:t>94.03%</w:t>
            </w:r>
          </w:p>
        </w:tc>
      </w:tr>
    </w:tbl>
    <w:p w:rsidR="002D2AC6" w:rsidRPr="00A438A0" w:rsidRDefault="002D2AC6" w:rsidP="00C25744">
      <w:pPr>
        <w:pStyle w:val="BodyText"/>
      </w:pPr>
      <w:r w:rsidRPr="00A438A0">
        <w:t xml:space="preserve"> (D. Buys)</w:t>
      </w:r>
    </w:p>
    <w:p w:rsidR="002D2AC6" w:rsidRPr="00A438A0" w:rsidRDefault="002D2AC6">
      <w:pPr>
        <w:pStyle w:val="IssueSubsectionHeading"/>
        <w:rPr>
          <w:vanish/>
          <w:specVanish/>
        </w:rPr>
      </w:pPr>
      <w:r w:rsidRPr="00A438A0">
        <w:t>Staff Analysis: </w:t>
      </w:r>
    </w:p>
    <w:p w:rsidR="00C25744" w:rsidRPr="00A438A0" w:rsidRDefault="002D2AC6" w:rsidP="00C25744">
      <w:pPr>
        <w:pStyle w:val="BodyText"/>
      </w:pPr>
      <w:r w:rsidRPr="00A438A0">
        <w:t> </w:t>
      </w:r>
      <w:r w:rsidR="00C25744" w:rsidRPr="00A438A0">
        <w:t>In its filing, Sandalhaven requested revenue a requirement to generate annual revenue of $1,620,750. This requested revenue requirement represents a revenue increase of $939,514, or approximately 137.91 percent.</w:t>
      </w:r>
    </w:p>
    <w:p w:rsidR="00AF0847" w:rsidRPr="00A438A0" w:rsidRDefault="00C25744" w:rsidP="00C25744">
      <w:pPr>
        <w:pStyle w:val="BodyText"/>
      </w:pPr>
      <w:r w:rsidRPr="00A438A0">
        <w:t>Consistent with staff’s recommendations concerning rate base, cost of capital, and operating income issues, staff recommends approval of rates designed to generate a revenue requirement of $1,292,497. Staff’s recommended revenue requirement of $1,292,497 is $626,375 greater than staff’s adjusted test year revenue of $666,122 or an increase of 94.03 percent. Staff’s recommended pre-repression revenue requirement will allow the utility the opportunity to recover its expenses and earn a 7.92 percent return on its investment in rate base.</w:t>
      </w:r>
    </w:p>
    <w:p w:rsidR="00870335" w:rsidRPr="00A438A0" w:rsidRDefault="00870335" w:rsidP="00AF0847">
      <w:pPr>
        <w:pStyle w:val="BodyText"/>
      </w:pPr>
    </w:p>
    <w:p w:rsidR="002D2AC6" w:rsidRPr="00A438A0" w:rsidRDefault="002D2AC6">
      <w:pPr>
        <w:pStyle w:val="BodyText"/>
      </w:pPr>
    </w:p>
    <w:p w:rsidR="00D15429" w:rsidRPr="00A438A0" w:rsidRDefault="00D15429">
      <w:pPr>
        <w:pStyle w:val="IssueHeading"/>
        <w:rPr>
          <w:vanish/>
          <w:specVanish/>
        </w:rPr>
      </w:pPr>
      <w:r w:rsidRPr="00A438A0">
        <w:rPr>
          <w:b w:val="0"/>
          <w:i w:val="0"/>
        </w:rPr>
        <w:br w:type="page"/>
      </w:r>
      <w:r w:rsidRPr="00A438A0">
        <w:lastRenderedPageBreak/>
        <w:t xml:space="preserve">Issue </w:t>
      </w:r>
      <w:r w:rsidR="006D42F5">
        <w:fldChar w:fldCharType="begin"/>
      </w:r>
      <w:r w:rsidR="006D42F5">
        <w:instrText xml:space="preserve"> SEQ I</w:instrText>
      </w:r>
      <w:r w:rsidR="006D42F5">
        <w:instrText xml:space="preserve">ssue \* MERGEFORMAT </w:instrText>
      </w:r>
      <w:r w:rsidR="006D42F5">
        <w:fldChar w:fldCharType="separate"/>
      </w:r>
      <w:r w:rsidR="00A05B79">
        <w:rPr>
          <w:noProof/>
        </w:rPr>
        <w:t>17</w:t>
      </w:r>
      <w:r w:rsidR="006D42F5">
        <w:rPr>
          <w:noProof/>
        </w:rPr>
        <w:fldChar w:fldCharType="end"/>
      </w:r>
      <w:r w:rsidRPr="00A438A0">
        <w:t>:</w:t>
      </w:r>
      <w:r w:rsidRPr="00A438A0">
        <w:fldChar w:fldCharType="begin"/>
      </w:r>
      <w:r w:rsidRPr="00A438A0">
        <w:instrText xml:space="preserve"> TC "</w:instrText>
      </w:r>
      <w:r w:rsidRPr="00A438A0">
        <w:fldChar w:fldCharType="begin"/>
      </w:r>
      <w:r w:rsidRPr="00A438A0">
        <w:instrText xml:space="preserve"> SEQ issue \c </w:instrText>
      </w:r>
      <w:r w:rsidRPr="00A438A0">
        <w:fldChar w:fldCharType="separate"/>
      </w:r>
      <w:bookmarkStart w:id="32" w:name="_Toc435607951"/>
      <w:r w:rsidR="00A05B79">
        <w:rPr>
          <w:noProof/>
        </w:rPr>
        <w:instrText>17</w:instrText>
      </w:r>
      <w:r w:rsidRPr="00A438A0">
        <w:fldChar w:fldCharType="end"/>
      </w:r>
      <w:r w:rsidRPr="00A438A0">
        <w:tab/>
        <w:instrText>Appropriate Rate Structures and Rates</w:instrText>
      </w:r>
      <w:r w:rsidR="004F34CE" w:rsidRPr="00A438A0">
        <w:instrText xml:space="preserve"> </w:instrText>
      </w:r>
      <w:r w:rsidRPr="00A438A0">
        <w:instrText>(Bruce)</w:instrText>
      </w:r>
      <w:bookmarkEnd w:id="32"/>
      <w:r w:rsidRPr="00A438A0">
        <w:instrText xml:space="preserve">" \l 1 </w:instrText>
      </w:r>
      <w:r w:rsidRPr="00A438A0">
        <w:fldChar w:fldCharType="end"/>
      </w:r>
      <w:r w:rsidRPr="00A438A0">
        <w:t> </w:t>
      </w:r>
    </w:p>
    <w:p w:rsidR="00D15429" w:rsidRPr="00A438A0" w:rsidRDefault="00D15429">
      <w:pPr>
        <w:pStyle w:val="BodyText"/>
      </w:pPr>
      <w:r w:rsidRPr="00A438A0">
        <w:t> What are the appropriate rate structures and rates for Sandalhaven's wastewater systems?</w:t>
      </w:r>
    </w:p>
    <w:p w:rsidR="00D15429" w:rsidRPr="00A438A0" w:rsidRDefault="00D15429">
      <w:pPr>
        <w:pStyle w:val="IssueSubsectionHeading"/>
        <w:rPr>
          <w:vanish/>
          <w:specVanish/>
        </w:rPr>
      </w:pPr>
      <w:r w:rsidRPr="00A438A0">
        <w:t>Recommendation: </w:t>
      </w:r>
    </w:p>
    <w:p w:rsidR="00D15429" w:rsidRPr="00A438A0" w:rsidRDefault="00D15429">
      <w:pPr>
        <w:pStyle w:val="BodyText"/>
      </w:pPr>
      <w:r w:rsidRPr="00A438A0">
        <w:t> </w:t>
      </w:r>
      <w:r w:rsidR="000D1B65" w:rsidRPr="00A438A0">
        <w:t>The recommended rate structures and monthly wastewater</w:t>
      </w:r>
      <w:r w:rsidR="001716E0" w:rsidRPr="00A438A0">
        <w:t xml:space="preserve"> rates are shown on Schedule No. 4</w:t>
      </w:r>
      <w:r w:rsidR="00A27641" w:rsidRPr="00A438A0">
        <w:t xml:space="preserve">. </w:t>
      </w:r>
      <w:r w:rsidR="00283725" w:rsidRPr="00A438A0">
        <w:t>The u</w:t>
      </w:r>
      <w:r w:rsidR="000D1B65" w:rsidRPr="00A438A0">
        <w:t>tility should file revised tariff sheets and a proposed customer notice to reflect the Commission-approved rates</w:t>
      </w:r>
      <w:r w:rsidR="00A27641" w:rsidRPr="00A438A0">
        <w:t xml:space="preserve">. </w:t>
      </w:r>
      <w:r w:rsidR="000D1B65" w:rsidRPr="00A438A0">
        <w:t>The approved rates should be effective for service rendered on or after the stamped approval date on the tariff sheet</w:t>
      </w:r>
      <w:r w:rsidR="00283725" w:rsidRPr="00A438A0">
        <w:t>s</w:t>
      </w:r>
      <w:r w:rsidR="000D1B65" w:rsidRPr="00A438A0">
        <w:t xml:space="preserve"> pursuant to Rule 25-30.475(1), F.A.C</w:t>
      </w:r>
      <w:r w:rsidR="00A27641" w:rsidRPr="00A438A0">
        <w:t xml:space="preserve">. </w:t>
      </w:r>
      <w:r w:rsidR="000D1B65" w:rsidRPr="00A438A0">
        <w:t>In addition, the approved rates should not be implemented until staff has approved the proposed customer notice and the notice has been received by the customers</w:t>
      </w:r>
      <w:r w:rsidR="00A27641" w:rsidRPr="00A438A0">
        <w:t xml:space="preserve">. </w:t>
      </w:r>
      <w:r w:rsidR="000D1B65" w:rsidRPr="00A438A0">
        <w:t>The Utility should provide proof of the date notice was given within 10 days of the date of the notice.</w:t>
      </w:r>
      <w:r w:rsidRPr="00A438A0">
        <w:t xml:space="preserve"> (Bruce)</w:t>
      </w:r>
    </w:p>
    <w:p w:rsidR="00D15429" w:rsidRPr="00A438A0" w:rsidRDefault="00D15429">
      <w:pPr>
        <w:pStyle w:val="IssueSubsectionHeading"/>
        <w:rPr>
          <w:vanish/>
          <w:specVanish/>
        </w:rPr>
      </w:pPr>
      <w:r w:rsidRPr="00A438A0">
        <w:t>Staff Analysis: </w:t>
      </w:r>
    </w:p>
    <w:p w:rsidR="00EB7E38" w:rsidRPr="00A438A0" w:rsidRDefault="00D15429">
      <w:pPr>
        <w:pStyle w:val="BodyText"/>
      </w:pPr>
      <w:r w:rsidRPr="00A438A0">
        <w:t> </w:t>
      </w:r>
      <w:r w:rsidR="007C2B5F" w:rsidRPr="00A438A0">
        <w:t xml:space="preserve">Sandalhaven is located in Charlotte County </w:t>
      </w:r>
      <w:r w:rsidR="002D4B21" w:rsidRPr="00A438A0">
        <w:t xml:space="preserve">and </w:t>
      </w:r>
      <w:r w:rsidR="00567134" w:rsidRPr="00A438A0">
        <w:t>provides wastewater service only</w:t>
      </w:r>
      <w:r w:rsidR="00A27641" w:rsidRPr="00A438A0">
        <w:t xml:space="preserve">. </w:t>
      </w:r>
      <w:r w:rsidR="00C372F5" w:rsidRPr="00A438A0">
        <w:t>Water service is supplied by Charlotte County.</w:t>
      </w:r>
      <w:r w:rsidR="00C372F5">
        <w:t xml:space="preserve"> </w:t>
      </w:r>
      <w:r w:rsidR="002D4B21" w:rsidRPr="00A438A0">
        <w:t>The utility</w:t>
      </w:r>
      <w:r w:rsidR="007C2B5F" w:rsidRPr="00A438A0">
        <w:t xml:space="preserve"> serves </w:t>
      </w:r>
      <w:r w:rsidR="00CB1CFA" w:rsidRPr="00A438A0">
        <w:t xml:space="preserve">788 </w:t>
      </w:r>
      <w:r w:rsidR="007C2B5F" w:rsidRPr="00A438A0">
        <w:t>residential</w:t>
      </w:r>
      <w:r w:rsidR="00CB1CFA" w:rsidRPr="00A438A0">
        <w:t xml:space="preserve">, four </w:t>
      </w:r>
      <w:r w:rsidR="004B50E5" w:rsidRPr="00A438A0">
        <w:t>multi-</w:t>
      </w:r>
      <w:r w:rsidR="001B3731" w:rsidRPr="00A438A0">
        <w:t>residential</w:t>
      </w:r>
      <w:r w:rsidR="004B50E5" w:rsidRPr="00A438A0">
        <w:t>, and</w:t>
      </w:r>
      <w:r w:rsidR="007C2B5F" w:rsidRPr="00A438A0">
        <w:t xml:space="preserve"> </w:t>
      </w:r>
      <w:r w:rsidR="00CB1CFA" w:rsidRPr="00A438A0">
        <w:t xml:space="preserve">43 </w:t>
      </w:r>
      <w:r w:rsidR="007C2B5F" w:rsidRPr="00A438A0">
        <w:t>general service customers</w:t>
      </w:r>
      <w:r w:rsidR="00A27641" w:rsidRPr="00A438A0">
        <w:t xml:space="preserve">. </w:t>
      </w:r>
      <w:r w:rsidR="00954AB4" w:rsidRPr="00A438A0">
        <w:t>The average water demand for the residential wastewater customers is 2,085 gallons</w:t>
      </w:r>
      <w:r w:rsidR="00A27641" w:rsidRPr="00A438A0">
        <w:t xml:space="preserve">. </w:t>
      </w:r>
      <w:r w:rsidR="00954AB4" w:rsidRPr="00A438A0">
        <w:t>Currently,</w:t>
      </w:r>
      <w:r w:rsidR="00EB7E38" w:rsidRPr="00A438A0">
        <w:t xml:space="preserve"> the utility’s residential rate structure consists of a uniform base facility charge (BFC) for</w:t>
      </w:r>
      <w:r w:rsidR="00DB0A40" w:rsidRPr="00A438A0">
        <w:t xml:space="preserve"> all meter sizes and a gallonage</w:t>
      </w:r>
      <w:r w:rsidR="00EB7E38" w:rsidRPr="00A438A0">
        <w:t xml:space="preserve"> charge with an 8,000 gallon cap</w:t>
      </w:r>
      <w:r w:rsidR="00A27641" w:rsidRPr="00A438A0">
        <w:t xml:space="preserve">. </w:t>
      </w:r>
      <w:r w:rsidR="00EB7E38" w:rsidRPr="00A438A0">
        <w:t xml:space="preserve">General service </w:t>
      </w:r>
      <w:r w:rsidR="001B3731" w:rsidRPr="00A438A0">
        <w:t xml:space="preserve">and multi-residential </w:t>
      </w:r>
      <w:r w:rsidR="00EB7E38" w:rsidRPr="00A438A0">
        <w:t xml:space="preserve">customers are billed a BFC </w:t>
      </w:r>
      <w:r w:rsidR="00CB1CFA" w:rsidRPr="00A438A0">
        <w:t xml:space="preserve">based on the water </w:t>
      </w:r>
      <w:r w:rsidR="00EB7E38" w:rsidRPr="00A438A0">
        <w:t>meter size and a gallonage charge that is 1.2 times higher than the residential gallonage charge.</w:t>
      </w:r>
    </w:p>
    <w:p w:rsidR="00971519" w:rsidRPr="00A438A0" w:rsidRDefault="00971519" w:rsidP="00971519">
      <w:pPr>
        <w:jc w:val="both"/>
      </w:pPr>
      <w:r w:rsidRPr="00A438A0">
        <w:t xml:space="preserve">Staff performed an analysis of the </w:t>
      </w:r>
      <w:r w:rsidR="001B3731" w:rsidRPr="00A438A0">
        <w:t>u</w:t>
      </w:r>
      <w:r w:rsidRPr="00A438A0">
        <w:t>tility’s billing data to evaluate various BFC cost recovery percentages and gallonage caps for the residential customers</w:t>
      </w:r>
      <w:r w:rsidR="00A27641" w:rsidRPr="00A438A0">
        <w:t xml:space="preserve">. </w:t>
      </w:r>
      <w:r w:rsidRPr="00A438A0">
        <w:t>The goal of the evaluation was to select the rate design parameters that: (1) produce the recommended revenue requirement; (2) equitably distribute cost recovery among the utility’s customers; and (3) implement a gallonage cap that considers approximately the amount of water that may return to the wastewater system.</w:t>
      </w:r>
    </w:p>
    <w:p w:rsidR="004C3172" w:rsidRPr="00A438A0" w:rsidRDefault="004C3172" w:rsidP="00971519">
      <w:pPr>
        <w:jc w:val="both"/>
      </w:pPr>
    </w:p>
    <w:p w:rsidR="00F22B1B" w:rsidRPr="00A438A0" w:rsidRDefault="00084F97">
      <w:pPr>
        <w:pStyle w:val="BodyText"/>
      </w:pPr>
      <w:r w:rsidRPr="00A438A0">
        <w:t>T</w:t>
      </w:r>
      <w:r w:rsidR="007E2664" w:rsidRPr="00A438A0">
        <w:t>ypically, t</w:t>
      </w:r>
      <w:r w:rsidRPr="00A438A0">
        <w:t>he Commission’s practice is to allocate at least 50 percent of the wastewater revenue to the BFC due to the capital intensive nature of wastewater plants</w:t>
      </w:r>
      <w:r w:rsidR="00A27641" w:rsidRPr="00A438A0">
        <w:t xml:space="preserve">. </w:t>
      </w:r>
      <w:r w:rsidR="004A0232" w:rsidRPr="00A438A0">
        <w:t>However, staff believes it is appropriate to alloca</w:t>
      </w:r>
      <w:r w:rsidR="00D054C6" w:rsidRPr="00A438A0">
        <w:t>te 55 percent to the BFC because</w:t>
      </w:r>
      <w:r w:rsidR="002D642C" w:rsidRPr="00A438A0">
        <w:t xml:space="preserve"> the customer base is seasonal and the utility</w:t>
      </w:r>
      <w:r w:rsidR="007359C4" w:rsidRPr="00A438A0">
        <w:t xml:space="preserve"> purchases </w:t>
      </w:r>
      <w:r w:rsidR="00CB1CFA" w:rsidRPr="00A438A0">
        <w:t>wastewater treatment</w:t>
      </w:r>
      <w:r w:rsidR="007359C4" w:rsidRPr="00A438A0">
        <w:t xml:space="preserve"> from </w:t>
      </w:r>
      <w:r w:rsidR="00FC616A">
        <w:t>EWD</w:t>
      </w:r>
      <w:r w:rsidR="00A27641" w:rsidRPr="00A438A0">
        <w:t xml:space="preserve">. </w:t>
      </w:r>
      <w:r w:rsidRPr="00A438A0">
        <w:t>Therefore, staff recommends a BFC allocation of 5</w:t>
      </w:r>
      <w:r w:rsidR="004A0232" w:rsidRPr="00A438A0">
        <w:t>5</w:t>
      </w:r>
      <w:r w:rsidRPr="00A438A0">
        <w:t xml:space="preserve"> percent</w:t>
      </w:r>
      <w:r w:rsidR="00A27641" w:rsidRPr="00A438A0">
        <w:t xml:space="preserve">. </w:t>
      </w:r>
      <w:r w:rsidR="004C3172" w:rsidRPr="00A438A0">
        <w:t>Furthermore, it is Commission practice to set the wastewater cap at approximately 80 percent of residential wa</w:t>
      </w:r>
      <w:r w:rsidR="00AE4036" w:rsidRPr="00A438A0">
        <w:t>s</w:t>
      </w:r>
      <w:r w:rsidR="004C3172" w:rsidRPr="00A438A0">
        <w:t>t</w:t>
      </w:r>
      <w:r w:rsidR="00AE4036" w:rsidRPr="00A438A0">
        <w:t>e</w:t>
      </w:r>
      <w:r w:rsidR="004C3172" w:rsidRPr="00A438A0">
        <w:t>w</w:t>
      </w:r>
      <w:r w:rsidR="00AE4036" w:rsidRPr="00A438A0">
        <w:t>at</w:t>
      </w:r>
      <w:r w:rsidR="004C3172" w:rsidRPr="00A438A0">
        <w:t>er gallons sold</w:t>
      </w:r>
      <w:r w:rsidR="00A27641" w:rsidRPr="00A438A0">
        <w:t xml:space="preserve">. </w:t>
      </w:r>
      <w:r w:rsidR="004C3172" w:rsidRPr="00A438A0">
        <w:t>Based on staff’s review of the billing analysis, 86 percent of the gallons are captured at the 6,000 gallon consumption level</w:t>
      </w:r>
      <w:r w:rsidR="00A27641" w:rsidRPr="00A438A0">
        <w:t xml:space="preserve">. </w:t>
      </w:r>
      <w:r w:rsidR="004C3172" w:rsidRPr="00A438A0">
        <w:t>For this reason, staff recommends that the gallonage cap for residential customers be reduced to 6,000 gallons</w:t>
      </w:r>
      <w:r w:rsidR="00A27641" w:rsidRPr="00A438A0">
        <w:t xml:space="preserve">. </w:t>
      </w:r>
      <w:r w:rsidR="00070618" w:rsidRPr="00A438A0">
        <w:t>The wastewater gallonage cap recognizes that not all water is returned to the wastewater system</w:t>
      </w:r>
      <w:r w:rsidR="00A27641" w:rsidRPr="00A438A0">
        <w:t xml:space="preserve">. </w:t>
      </w:r>
      <w:r w:rsidR="004C3172" w:rsidRPr="00A438A0">
        <w:t>Staff also recommends that the general service gallonage charge be 1.2 times greater than the residential gallonage charge</w:t>
      </w:r>
      <w:r w:rsidR="00FC616A">
        <w:t>,</w:t>
      </w:r>
      <w:r w:rsidR="004C3172" w:rsidRPr="00A438A0">
        <w:t xml:space="preserve"> which is consistent with Commission practice.</w:t>
      </w:r>
      <w:r w:rsidR="00AD64BB" w:rsidRPr="00A438A0">
        <w:t xml:space="preserve"> </w:t>
      </w:r>
      <w:r w:rsidR="00B50257" w:rsidRPr="00A438A0">
        <w:t xml:space="preserve">It should also be noted that because </w:t>
      </w:r>
      <w:r w:rsidR="00E62E89" w:rsidRPr="00A438A0">
        <w:t xml:space="preserve">the average </w:t>
      </w:r>
      <w:r w:rsidR="00B50257" w:rsidRPr="00A438A0">
        <w:t xml:space="preserve">water </w:t>
      </w:r>
      <w:r w:rsidR="00E62E89" w:rsidRPr="00A438A0">
        <w:t>demand (2,085) is very low and</w:t>
      </w:r>
      <w:r w:rsidR="00B50257" w:rsidRPr="00A438A0">
        <w:t xml:space="preserve"> is provided by </w:t>
      </w:r>
      <w:r w:rsidR="00E62E89" w:rsidRPr="00A438A0">
        <w:t>a different entity</w:t>
      </w:r>
      <w:r w:rsidR="00B50257" w:rsidRPr="00A438A0">
        <w:t>, staff believes that any impact on water demand based on an increase in the wastewater rates of Sandalhaven would be de minimis</w:t>
      </w:r>
      <w:r w:rsidR="00C026F4" w:rsidRPr="00A438A0">
        <w:t xml:space="preserve">. </w:t>
      </w:r>
      <w:r w:rsidR="00B50257" w:rsidRPr="00A438A0">
        <w:t>Therefore, staff does not recommend a repression adjustment.</w:t>
      </w:r>
    </w:p>
    <w:p w:rsidR="00E30FB8" w:rsidRPr="00A438A0" w:rsidRDefault="00E97FF9" w:rsidP="00E30FB8">
      <w:pPr>
        <w:pStyle w:val="BodyText"/>
      </w:pPr>
      <w:r w:rsidRPr="00A438A0">
        <w:t xml:space="preserve">In the utility’s last rate case, staff </w:t>
      </w:r>
      <w:r w:rsidR="00474448" w:rsidRPr="00A438A0">
        <w:t>evaluat</w:t>
      </w:r>
      <w:r w:rsidRPr="00A438A0">
        <w:t>ed whether it was appropriate to bill</w:t>
      </w:r>
      <w:r w:rsidR="00C372F5">
        <w:t xml:space="preserve"> multi-residential customers based</w:t>
      </w:r>
      <w:r w:rsidRPr="00A438A0">
        <w:t xml:space="preserve"> the number of units for each complex</w:t>
      </w:r>
      <w:r w:rsidR="00A27641" w:rsidRPr="00A438A0">
        <w:t xml:space="preserve">. </w:t>
      </w:r>
      <w:r w:rsidR="00474448" w:rsidRPr="00A438A0">
        <w:t>T</w:t>
      </w:r>
      <w:r w:rsidR="00861AD6" w:rsidRPr="00A438A0">
        <w:t>he utility indicated that there was a significant increase in the number of multi-</w:t>
      </w:r>
      <w:r w:rsidR="00E62E89" w:rsidRPr="00A438A0">
        <w:t>residential</w:t>
      </w:r>
      <w:r w:rsidR="00861AD6" w:rsidRPr="00A438A0">
        <w:t xml:space="preserve"> customers projected to be served coupled with the</w:t>
      </w:r>
      <w:r w:rsidR="00474448" w:rsidRPr="00A438A0">
        <w:t xml:space="preserve"> fact tha</w:t>
      </w:r>
      <w:r w:rsidR="00CD3669" w:rsidRPr="00A438A0">
        <w:t>t there</w:t>
      </w:r>
      <w:r w:rsidR="00861AD6" w:rsidRPr="00A438A0">
        <w:t xml:space="preserve"> was no way to verify the number of units that were going to be </w:t>
      </w:r>
      <w:r w:rsidR="00861AD6" w:rsidRPr="00A438A0">
        <w:lastRenderedPageBreak/>
        <w:t>constructed.</w:t>
      </w:r>
      <w:r w:rsidR="00D85EA2" w:rsidRPr="00A438A0">
        <w:t xml:space="preserve"> </w:t>
      </w:r>
      <w:r w:rsidR="00861AD6" w:rsidRPr="00A438A0">
        <w:t xml:space="preserve">Therefore, the </w:t>
      </w:r>
      <w:r w:rsidR="009D29AF" w:rsidRPr="00A438A0">
        <w:t xml:space="preserve">Commission determined that it was appropriate for multi-residential </w:t>
      </w:r>
      <w:r w:rsidR="00FC616A">
        <w:t>customer</w:t>
      </w:r>
      <w:r w:rsidR="00C372F5">
        <w:t xml:space="preserve"> to </w:t>
      </w:r>
      <w:r w:rsidR="009D29AF" w:rsidRPr="00A438A0">
        <w:t>be charged the same rate structure as the general service class</w:t>
      </w:r>
      <w:r w:rsidR="00A27641" w:rsidRPr="00A438A0">
        <w:t xml:space="preserve">. </w:t>
      </w:r>
      <w:r w:rsidR="008B3AB3" w:rsidRPr="00A438A0">
        <w:t xml:space="preserve">In this case, </w:t>
      </w:r>
      <w:r w:rsidRPr="00A438A0">
        <w:t xml:space="preserve">staff </w:t>
      </w:r>
      <w:r w:rsidR="00CD3669" w:rsidRPr="00A438A0">
        <w:t xml:space="preserve">also </w:t>
      </w:r>
      <w:r w:rsidRPr="00A438A0">
        <w:t xml:space="preserve">evaluated whether it is appropriate to go behind the meter to </w:t>
      </w:r>
      <w:r w:rsidR="00E62E89" w:rsidRPr="00A438A0">
        <w:t>assess the demand the multi-residential customers place on the system instead of relying on factored ERCs by meter size.</w:t>
      </w:r>
      <w:r w:rsidR="00A27641" w:rsidRPr="00A438A0">
        <w:t xml:space="preserve"> </w:t>
      </w:r>
      <w:r w:rsidR="00E62E89" w:rsidRPr="00A438A0">
        <w:t xml:space="preserve">However, many of the multi-residential customers have pools and irrigation systems which have water demand that may not return to the wastewater system. </w:t>
      </w:r>
      <w:r w:rsidR="00B00F86" w:rsidRPr="00A438A0">
        <w:t xml:space="preserve">Therefore, staff recommends that </w:t>
      </w:r>
      <w:r w:rsidR="005B6D34">
        <w:t xml:space="preserve">consistent with </w:t>
      </w:r>
      <w:r w:rsidR="0005252B">
        <w:t xml:space="preserve">the </w:t>
      </w:r>
      <w:r w:rsidR="005B6D34">
        <w:t xml:space="preserve">prior Commission order, </w:t>
      </w:r>
      <w:r w:rsidR="00B00F86" w:rsidRPr="00A438A0">
        <w:t>the rate structure for multi-</w:t>
      </w:r>
      <w:r w:rsidR="00E62E89" w:rsidRPr="00A438A0">
        <w:t>residential</w:t>
      </w:r>
      <w:r w:rsidR="00C372F5">
        <w:t xml:space="preserve"> customers</w:t>
      </w:r>
      <w:r w:rsidR="00B00F86" w:rsidRPr="00A438A0">
        <w:t xml:space="preserve"> remain unchanged.</w:t>
      </w:r>
      <w:r w:rsidR="00E30FB8" w:rsidRPr="00A438A0">
        <w:t xml:space="preserve"> </w:t>
      </w:r>
    </w:p>
    <w:p w:rsidR="005B6D34" w:rsidRDefault="00DA0631" w:rsidP="005B6D34">
      <w:pPr>
        <w:pStyle w:val="BodyText"/>
        <w:spacing w:after="0"/>
      </w:pPr>
      <w:r w:rsidRPr="00A438A0">
        <w:t>Based on the above, staff recommends a continuation of the BFC and uniform gallonage charge rate structure for all customer</w:t>
      </w:r>
      <w:r w:rsidR="007E2664" w:rsidRPr="00A438A0">
        <w:t>s</w:t>
      </w:r>
      <w:r w:rsidR="00CB1CFA" w:rsidRPr="00A438A0">
        <w:t xml:space="preserve">, </w:t>
      </w:r>
      <w:r w:rsidR="005B6D34">
        <w:t xml:space="preserve">a </w:t>
      </w:r>
      <w:r w:rsidR="007E2664" w:rsidRPr="00A438A0">
        <w:t>BFC allocation based on 55</w:t>
      </w:r>
      <w:r w:rsidRPr="00A438A0">
        <w:t xml:space="preserve"> percent of the wastewater revenue requirement</w:t>
      </w:r>
      <w:r w:rsidR="00CB1CFA" w:rsidRPr="00A438A0">
        <w:t>, a residential gallonage cap of 6,000 gallons</w:t>
      </w:r>
      <w:r w:rsidR="005B6D34">
        <w:t>, and a gallonage charge for general service customers that is 1.2 times the residential gallonage charge</w:t>
      </w:r>
      <w:r w:rsidRPr="00A438A0">
        <w:t>.</w:t>
      </w:r>
      <w:r w:rsidR="005B6D34">
        <w:t xml:space="preserve"> Table 17-1 contains two alternative rate structures.</w:t>
      </w:r>
    </w:p>
    <w:p w:rsidR="005B6D34" w:rsidRDefault="005B6D34" w:rsidP="005B6D34">
      <w:pPr>
        <w:pStyle w:val="BodyText"/>
        <w:spacing w:after="0"/>
      </w:pPr>
    </w:p>
    <w:p w:rsidR="005B6D34" w:rsidRDefault="005B6D34" w:rsidP="005B6D34">
      <w:pPr>
        <w:pStyle w:val="BodyText"/>
        <w:spacing w:after="0"/>
      </w:pPr>
    </w:p>
    <w:p w:rsidR="005B6D34" w:rsidRPr="00A438A0" w:rsidRDefault="00DA0631" w:rsidP="005B6D34">
      <w:pPr>
        <w:jc w:val="center"/>
        <w:rPr>
          <w:rFonts w:ascii="Arial" w:hAnsi="Arial" w:cs="Arial"/>
          <w:b/>
        </w:rPr>
      </w:pPr>
      <w:r w:rsidRPr="00A438A0">
        <w:t xml:space="preserve">  </w:t>
      </w:r>
      <w:r w:rsidR="005B6D34" w:rsidRPr="00A438A0">
        <w:rPr>
          <w:rFonts w:ascii="Arial" w:hAnsi="Arial" w:cs="Arial"/>
          <w:b/>
        </w:rPr>
        <w:t>Table 17-1</w:t>
      </w:r>
    </w:p>
    <w:p w:rsidR="005B6D34" w:rsidRPr="00A438A0" w:rsidRDefault="005B6D34" w:rsidP="005B6D34">
      <w:pPr>
        <w:jc w:val="center"/>
        <w:rPr>
          <w:rFonts w:ascii="Arial" w:hAnsi="Arial" w:cs="Arial"/>
          <w:b/>
        </w:rPr>
      </w:pPr>
      <w:r w:rsidRPr="00A438A0">
        <w:rPr>
          <w:rFonts w:ascii="Arial" w:hAnsi="Arial" w:cs="Arial"/>
          <w:b/>
        </w:rPr>
        <w:t>Staff’s Recommended and Alternative Wastewater Rate Structures and Rates</w:t>
      </w:r>
    </w:p>
    <w:tbl>
      <w:tblPr>
        <w:tblW w:w="9437" w:type="dxa"/>
        <w:jc w:val="center"/>
        <w:tblInd w:w="626" w:type="dxa"/>
        <w:tblLook w:val="04A0" w:firstRow="1" w:lastRow="0" w:firstColumn="1" w:lastColumn="0" w:noHBand="0" w:noVBand="1"/>
      </w:tblPr>
      <w:tblGrid>
        <w:gridCol w:w="2880"/>
        <w:gridCol w:w="1319"/>
        <w:gridCol w:w="1872"/>
        <w:gridCol w:w="1683"/>
        <w:gridCol w:w="1683"/>
      </w:tblGrid>
      <w:tr w:rsidR="005B6D34" w:rsidRPr="00A438A0" w:rsidTr="005B6D34">
        <w:trPr>
          <w:trHeight w:val="265"/>
          <w:jc w:val="center"/>
        </w:trPr>
        <w:tc>
          <w:tcPr>
            <w:tcW w:w="2880" w:type="dxa"/>
            <w:tcBorders>
              <w:top w:val="single" w:sz="8" w:space="0" w:color="000000"/>
              <w:left w:val="single" w:sz="8" w:space="0" w:color="000000"/>
              <w:bottom w:val="nil"/>
              <w:right w:val="nil"/>
            </w:tcBorders>
            <w:shd w:val="clear" w:color="000000" w:fill="auto"/>
            <w:noWrap/>
            <w:vAlign w:val="bottom"/>
            <w:hideMark/>
          </w:tcPr>
          <w:p w:rsidR="005B6D34" w:rsidRPr="00A438A0" w:rsidRDefault="005B6D34" w:rsidP="003F7163">
            <w:pPr>
              <w:rPr>
                <w:b/>
                <w:bCs/>
                <w:sz w:val="20"/>
                <w:szCs w:val="20"/>
              </w:rPr>
            </w:pPr>
            <w:r w:rsidRPr="00A438A0">
              <w:rPr>
                <w:b/>
                <w:bCs/>
                <w:sz w:val="20"/>
                <w:szCs w:val="20"/>
              </w:rPr>
              <w:t> </w:t>
            </w:r>
          </w:p>
        </w:tc>
        <w:tc>
          <w:tcPr>
            <w:tcW w:w="1319" w:type="dxa"/>
            <w:tcBorders>
              <w:top w:val="single" w:sz="8" w:space="0" w:color="000000"/>
              <w:left w:val="nil"/>
              <w:bottom w:val="nil"/>
              <w:right w:val="nil"/>
            </w:tcBorders>
            <w:shd w:val="clear" w:color="000000" w:fill="auto"/>
            <w:noWrap/>
            <w:vAlign w:val="bottom"/>
            <w:hideMark/>
          </w:tcPr>
          <w:p w:rsidR="005B6D34" w:rsidRPr="00A438A0" w:rsidRDefault="005B6D34" w:rsidP="003F7163">
            <w:pPr>
              <w:rPr>
                <w:sz w:val="20"/>
                <w:szCs w:val="20"/>
              </w:rPr>
            </w:pPr>
            <w:r w:rsidRPr="00A438A0">
              <w:rPr>
                <w:sz w:val="20"/>
                <w:szCs w:val="20"/>
              </w:rPr>
              <w:t> </w:t>
            </w:r>
          </w:p>
        </w:tc>
        <w:tc>
          <w:tcPr>
            <w:tcW w:w="1872" w:type="dxa"/>
            <w:tcBorders>
              <w:top w:val="single" w:sz="8" w:space="0" w:color="000000"/>
              <w:left w:val="nil"/>
              <w:bottom w:val="nil"/>
              <w:right w:val="nil"/>
            </w:tcBorders>
            <w:shd w:val="clear" w:color="000000" w:fill="auto"/>
            <w:noWrap/>
            <w:vAlign w:val="bottom"/>
            <w:hideMark/>
          </w:tcPr>
          <w:p w:rsidR="005B6D34" w:rsidRPr="00A438A0" w:rsidRDefault="005B6D34" w:rsidP="003F7163">
            <w:pPr>
              <w:jc w:val="center"/>
              <w:rPr>
                <w:b/>
                <w:bCs/>
                <w:color w:val="000000"/>
                <w:sz w:val="20"/>
                <w:szCs w:val="20"/>
              </w:rPr>
            </w:pPr>
            <w:r w:rsidRPr="00A438A0">
              <w:rPr>
                <w:b/>
                <w:bCs/>
                <w:color w:val="000000"/>
                <w:sz w:val="20"/>
                <w:szCs w:val="20"/>
              </w:rPr>
              <w:t>STAFF</w:t>
            </w:r>
          </w:p>
        </w:tc>
        <w:tc>
          <w:tcPr>
            <w:tcW w:w="1683" w:type="dxa"/>
            <w:tcBorders>
              <w:top w:val="single" w:sz="8" w:space="0" w:color="000000"/>
              <w:left w:val="nil"/>
              <w:bottom w:val="nil"/>
              <w:right w:val="nil"/>
            </w:tcBorders>
            <w:shd w:val="clear" w:color="000000" w:fill="auto"/>
            <w:noWrap/>
            <w:vAlign w:val="bottom"/>
            <w:hideMark/>
          </w:tcPr>
          <w:p w:rsidR="005B6D34" w:rsidRPr="00A438A0" w:rsidRDefault="005B6D34" w:rsidP="003F7163">
            <w:pPr>
              <w:jc w:val="center"/>
              <w:rPr>
                <w:b/>
                <w:bCs/>
                <w:color w:val="000000"/>
                <w:sz w:val="20"/>
                <w:szCs w:val="20"/>
              </w:rPr>
            </w:pPr>
            <w:r w:rsidRPr="00A438A0">
              <w:rPr>
                <w:b/>
                <w:bCs/>
                <w:color w:val="000000"/>
                <w:sz w:val="20"/>
                <w:szCs w:val="20"/>
              </w:rPr>
              <w:t> </w:t>
            </w:r>
          </w:p>
        </w:tc>
        <w:tc>
          <w:tcPr>
            <w:tcW w:w="1683" w:type="dxa"/>
            <w:tcBorders>
              <w:top w:val="single" w:sz="8" w:space="0" w:color="000000"/>
              <w:left w:val="nil"/>
              <w:bottom w:val="nil"/>
              <w:right w:val="single" w:sz="8" w:space="0" w:color="000000"/>
            </w:tcBorders>
            <w:shd w:val="clear" w:color="000000" w:fill="auto"/>
            <w:noWrap/>
            <w:vAlign w:val="bottom"/>
            <w:hideMark/>
          </w:tcPr>
          <w:p w:rsidR="005B6D34" w:rsidRPr="00A438A0" w:rsidRDefault="005B6D34" w:rsidP="003F7163">
            <w:pPr>
              <w:jc w:val="center"/>
              <w:rPr>
                <w:b/>
                <w:bCs/>
                <w:color w:val="000000"/>
                <w:sz w:val="20"/>
                <w:szCs w:val="20"/>
              </w:rPr>
            </w:pPr>
            <w:r w:rsidRPr="00A438A0">
              <w:rPr>
                <w:b/>
                <w:bCs/>
                <w:color w:val="000000"/>
                <w:sz w:val="20"/>
                <w:szCs w:val="20"/>
              </w:rPr>
              <w:t> </w:t>
            </w:r>
          </w:p>
        </w:tc>
      </w:tr>
      <w:tr w:rsidR="005B6D34" w:rsidRPr="00A438A0" w:rsidTr="005B6D34">
        <w:trPr>
          <w:trHeight w:val="265"/>
          <w:jc w:val="center"/>
        </w:trPr>
        <w:tc>
          <w:tcPr>
            <w:tcW w:w="2880" w:type="dxa"/>
            <w:tcBorders>
              <w:top w:val="nil"/>
              <w:left w:val="single" w:sz="8" w:space="0" w:color="000000"/>
              <w:bottom w:val="nil"/>
              <w:right w:val="nil"/>
            </w:tcBorders>
            <w:shd w:val="clear" w:color="000000" w:fill="auto"/>
            <w:noWrap/>
            <w:vAlign w:val="bottom"/>
            <w:hideMark/>
          </w:tcPr>
          <w:p w:rsidR="005B6D34" w:rsidRPr="00A438A0" w:rsidRDefault="005B6D34" w:rsidP="003F7163">
            <w:pPr>
              <w:rPr>
                <w:b/>
                <w:bCs/>
                <w:sz w:val="20"/>
                <w:szCs w:val="20"/>
              </w:rPr>
            </w:pPr>
            <w:r w:rsidRPr="00A438A0">
              <w:rPr>
                <w:b/>
                <w:bCs/>
                <w:sz w:val="20"/>
                <w:szCs w:val="20"/>
              </w:rPr>
              <w:t> </w:t>
            </w:r>
          </w:p>
        </w:tc>
        <w:tc>
          <w:tcPr>
            <w:tcW w:w="1319" w:type="dxa"/>
            <w:tcBorders>
              <w:top w:val="nil"/>
              <w:left w:val="nil"/>
              <w:bottom w:val="nil"/>
              <w:right w:val="nil"/>
            </w:tcBorders>
            <w:shd w:val="clear" w:color="000000" w:fill="auto"/>
            <w:noWrap/>
            <w:vAlign w:val="bottom"/>
          </w:tcPr>
          <w:p w:rsidR="005B6D34" w:rsidRPr="00A438A0" w:rsidRDefault="005B6D34" w:rsidP="003F7163">
            <w:pPr>
              <w:jc w:val="center"/>
              <w:rPr>
                <w:b/>
                <w:bCs/>
                <w:color w:val="000000"/>
                <w:sz w:val="20"/>
                <w:szCs w:val="20"/>
              </w:rPr>
            </w:pPr>
          </w:p>
        </w:tc>
        <w:tc>
          <w:tcPr>
            <w:tcW w:w="1872" w:type="dxa"/>
            <w:tcBorders>
              <w:top w:val="nil"/>
              <w:left w:val="nil"/>
              <w:bottom w:val="nil"/>
              <w:right w:val="nil"/>
            </w:tcBorders>
            <w:shd w:val="clear" w:color="000000" w:fill="auto"/>
            <w:noWrap/>
            <w:vAlign w:val="bottom"/>
            <w:hideMark/>
          </w:tcPr>
          <w:p w:rsidR="005B6D34" w:rsidRPr="00A438A0" w:rsidRDefault="005B6D34" w:rsidP="003F7163">
            <w:pPr>
              <w:jc w:val="center"/>
              <w:rPr>
                <w:b/>
                <w:bCs/>
                <w:color w:val="000000"/>
                <w:sz w:val="20"/>
                <w:szCs w:val="20"/>
              </w:rPr>
            </w:pPr>
            <w:r w:rsidRPr="00A438A0">
              <w:rPr>
                <w:b/>
                <w:bCs/>
                <w:color w:val="000000"/>
                <w:sz w:val="20"/>
                <w:szCs w:val="20"/>
              </w:rPr>
              <w:t>RECOMMENDED</w:t>
            </w:r>
          </w:p>
        </w:tc>
        <w:tc>
          <w:tcPr>
            <w:tcW w:w="1683" w:type="dxa"/>
            <w:tcBorders>
              <w:top w:val="nil"/>
              <w:left w:val="nil"/>
              <w:bottom w:val="nil"/>
              <w:right w:val="nil"/>
            </w:tcBorders>
            <w:shd w:val="clear" w:color="000000" w:fill="auto"/>
            <w:noWrap/>
            <w:vAlign w:val="bottom"/>
            <w:hideMark/>
          </w:tcPr>
          <w:p w:rsidR="005B6D34" w:rsidRPr="00A438A0" w:rsidRDefault="005B6D34" w:rsidP="003F7163">
            <w:pPr>
              <w:jc w:val="center"/>
              <w:rPr>
                <w:b/>
                <w:bCs/>
                <w:color w:val="000000"/>
                <w:sz w:val="20"/>
                <w:szCs w:val="20"/>
              </w:rPr>
            </w:pPr>
            <w:r w:rsidRPr="00A438A0">
              <w:rPr>
                <w:b/>
                <w:bCs/>
                <w:color w:val="000000"/>
                <w:sz w:val="20"/>
                <w:szCs w:val="20"/>
              </w:rPr>
              <w:t> </w:t>
            </w:r>
          </w:p>
        </w:tc>
        <w:tc>
          <w:tcPr>
            <w:tcW w:w="1683" w:type="dxa"/>
            <w:tcBorders>
              <w:top w:val="nil"/>
              <w:left w:val="nil"/>
              <w:bottom w:val="nil"/>
              <w:right w:val="single" w:sz="8" w:space="0" w:color="000000"/>
            </w:tcBorders>
            <w:shd w:val="clear" w:color="000000" w:fill="auto"/>
            <w:noWrap/>
            <w:vAlign w:val="bottom"/>
            <w:hideMark/>
          </w:tcPr>
          <w:p w:rsidR="005B6D34" w:rsidRPr="00A438A0" w:rsidRDefault="005B6D34" w:rsidP="003F7163">
            <w:pPr>
              <w:jc w:val="center"/>
              <w:rPr>
                <w:b/>
                <w:bCs/>
                <w:color w:val="000000"/>
                <w:sz w:val="20"/>
                <w:szCs w:val="20"/>
              </w:rPr>
            </w:pPr>
            <w:r w:rsidRPr="00A438A0">
              <w:rPr>
                <w:b/>
                <w:bCs/>
                <w:color w:val="000000"/>
                <w:sz w:val="20"/>
                <w:szCs w:val="20"/>
              </w:rPr>
              <w:t> </w:t>
            </w:r>
          </w:p>
        </w:tc>
      </w:tr>
      <w:tr w:rsidR="005B6D34" w:rsidRPr="00A438A0" w:rsidTr="005B6D34">
        <w:trPr>
          <w:trHeight w:val="265"/>
          <w:jc w:val="center"/>
        </w:trPr>
        <w:tc>
          <w:tcPr>
            <w:tcW w:w="2880" w:type="dxa"/>
            <w:tcBorders>
              <w:top w:val="nil"/>
              <w:left w:val="single" w:sz="8" w:space="0" w:color="000000"/>
              <w:right w:val="nil"/>
            </w:tcBorders>
            <w:shd w:val="clear" w:color="000000" w:fill="auto"/>
            <w:noWrap/>
            <w:vAlign w:val="bottom"/>
            <w:hideMark/>
          </w:tcPr>
          <w:p w:rsidR="005B6D34" w:rsidRPr="00A438A0" w:rsidRDefault="005B6D34" w:rsidP="003F7163">
            <w:pPr>
              <w:rPr>
                <w:b/>
                <w:bCs/>
                <w:sz w:val="20"/>
                <w:szCs w:val="20"/>
                <w:u w:val="single"/>
              </w:rPr>
            </w:pPr>
          </w:p>
        </w:tc>
        <w:tc>
          <w:tcPr>
            <w:tcW w:w="1319" w:type="dxa"/>
            <w:tcBorders>
              <w:top w:val="nil"/>
              <w:left w:val="nil"/>
              <w:right w:val="nil"/>
            </w:tcBorders>
            <w:shd w:val="clear" w:color="000000" w:fill="auto"/>
            <w:noWrap/>
            <w:vAlign w:val="bottom"/>
          </w:tcPr>
          <w:p w:rsidR="005B6D34" w:rsidRPr="00A438A0" w:rsidRDefault="005B6D34" w:rsidP="003F7163">
            <w:pPr>
              <w:jc w:val="center"/>
              <w:rPr>
                <w:b/>
                <w:bCs/>
                <w:color w:val="000000"/>
                <w:sz w:val="20"/>
                <w:szCs w:val="20"/>
              </w:rPr>
            </w:pPr>
            <w:r w:rsidRPr="00A438A0">
              <w:rPr>
                <w:b/>
                <w:bCs/>
                <w:color w:val="000000"/>
                <w:sz w:val="20"/>
                <w:szCs w:val="20"/>
              </w:rPr>
              <w:t>RATES AT</w:t>
            </w:r>
          </w:p>
        </w:tc>
        <w:tc>
          <w:tcPr>
            <w:tcW w:w="1872" w:type="dxa"/>
            <w:tcBorders>
              <w:top w:val="nil"/>
              <w:left w:val="nil"/>
              <w:right w:val="nil"/>
            </w:tcBorders>
            <w:shd w:val="clear" w:color="000000" w:fill="auto"/>
            <w:noWrap/>
            <w:vAlign w:val="bottom"/>
            <w:hideMark/>
          </w:tcPr>
          <w:p w:rsidR="005B6D34" w:rsidRPr="00A438A0" w:rsidRDefault="005B6D34" w:rsidP="003F7163">
            <w:pPr>
              <w:jc w:val="center"/>
              <w:rPr>
                <w:b/>
                <w:bCs/>
                <w:color w:val="000000"/>
                <w:sz w:val="20"/>
                <w:szCs w:val="20"/>
              </w:rPr>
            </w:pPr>
            <w:r w:rsidRPr="00A438A0">
              <w:rPr>
                <w:b/>
                <w:bCs/>
                <w:color w:val="000000"/>
                <w:sz w:val="20"/>
                <w:szCs w:val="20"/>
              </w:rPr>
              <w:t>PHASE I</w:t>
            </w:r>
          </w:p>
        </w:tc>
        <w:tc>
          <w:tcPr>
            <w:tcW w:w="1683" w:type="dxa"/>
            <w:tcBorders>
              <w:top w:val="nil"/>
              <w:left w:val="nil"/>
              <w:right w:val="nil"/>
            </w:tcBorders>
            <w:shd w:val="clear" w:color="000000" w:fill="auto"/>
            <w:noWrap/>
            <w:vAlign w:val="bottom"/>
            <w:hideMark/>
          </w:tcPr>
          <w:p w:rsidR="005B6D34" w:rsidRPr="00A438A0" w:rsidRDefault="005B6D34" w:rsidP="003F7163">
            <w:pPr>
              <w:jc w:val="center"/>
              <w:rPr>
                <w:b/>
                <w:bCs/>
                <w:color w:val="000000"/>
                <w:sz w:val="20"/>
                <w:szCs w:val="20"/>
              </w:rPr>
            </w:pPr>
            <w:r w:rsidRPr="00A438A0">
              <w:rPr>
                <w:b/>
                <w:bCs/>
                <w:color w:val="000000"/>
                <w:sz w:val="20"/>
                <w:szCs w:val="20"/>
              </w:rPr>
              <w:t>ALTERNATIVE</w:t>
            </w:r>
          </w:p>
        </w:tc>
        <w:tc>
          <w:tcPr>
            <w:tcW w:w="1683" w:type="dxa"/>
            <w:tcBorders>
              <w:top w:val="nil"/>
              <w:left w:val="nil"/>
              <w:right w:val="single" w:sz="8" w:space="0" w:color="000000"/>
            </w:tcBorders>
            <w:shd w:val="clear" w:color="000000" w:fill="auto"/>
            <w:noWrap/>
            <w:vAlign w:val="bottom"/>
            <w:hideMark/>
          </w:tcPr>
          <w:p w:rsidR="005B6D34" w:rsidRPr="00A438A0" w:rsidRDefault="005B6D34" w:rsidP="003F7163">
            <w:pPr>
              <w:jc w:val="center"/>
              <w:rPr>
                <w:b/>
                <w:bCs/>
                <w:color w:val="000000"/>
                <w:sz w:val="20"/>
                <w:szCs w:val="20"/>
              </w:rPr>
            </w:pPr>
            <w:r w:rsidRPr="00A438A0">
              <w:rPr>
                <w:b/>
                <w:bCs/>
                <w:color w:val="000000"/>
                <w:sz w:val="20"/>
                <w:szCs w:val="20"/>
              </w:rPr>
              <w:t>ALTERNATIVE</w:t>
            </w:r>
          </w:p>
        </w:tc>
      </w:tr>
      <w:tr w:rsidR="005B6D34" w:rsidRPr="00A438A0" w:rsidTr="005B6D34">
        <w:trPr>
          <w:trHeight w:val="278"/>
          <w:jc w:val="center"/>
        </w:trPr>
        <w:tc>
          <w:tcPr>
            <w:tcW w:w="2880" w:type="dxa"/>
            <w:tcBorders>
              <w:top w:val="nil"/>
              <w:left w:val="single" w:sz="8" w:space="0" w:color="000000"/>
              <w:right w:val="nil"/>
            </w:tcBorders>
            <w:shd w:val="clear" w:color="000000" w:fill="auto"/>
            <w:noWrap/>
            <w:vAlign w:val="bottom"/>
            <w:hideMark/>
          </w:tcPr>
          <w:p w:rsidR="005B6D34" w:rsidRPr="00A438A0" w:rsidRDefault="005B6D34" w:rsidP="003F7163">
            <w:pPr>
              <w:rPr>
                <w:b/>
                <w:bCs/>
                <w:sz w:val="20"/>
                <w:szCs w:val="20"/>
                <w:u w:val="single"/>
              </w:rPr>
            </w:pPr>
          </w:p>
        </w:tc>
        <w:tc>
          <w:tcPr>
            <w:tcW w:w="1319" w:type="dxa"/>
            <w:tcBorders>
              <w:top w:val="nil"/>
              <w:left w:val="nil"/>
              <w:right w:val="nil"/>
            </w:tcBorders>
            <w:shd w:val="clear" w:color="000000" w:fill="auto"/>
            <w:noWrap/>
            <w:vAlign w:val="bottom"/>
          </w:tcPr>
          <w:p w:rsidR="005B6D34" w:rsidRPr="00A438A0" w:rsidRDefault="005B6D34" w:rsidP="003F7163">
            <w:pPr>
              <w:jc w:val="center"/>
              <w:rPr>
                <w:b/>
                <w:bCs/>
                <w:color w:val="000000"/>
                <w:sz w:val="20"/>
                <w:szCs w:val="20"/>
              </w:rPr>
            </w:pPr>
            <w:r w:rsidRPr="00A438A0">
              <w:rPr>
                <w:b/>
                <w:bCs/>
                <w:color w:val="000000"/>
                <w:sz w:val="20"/>
                <w:szCs w:val="20"/>
              </w:rPr>
              <w:t>TIME OF</w:t>
            </w:r>
          </w:p>
        </w:tc>
        <w:tc>
          <w:tcPr>
            <w:tcW w:w="1872" w:type="dxa"/>
            <w:tcBorders>
              <w:top w:val="nil"/>
              <w:left w:val="nil"/>
              <w:right w:val="nil"/>
            </w:tcBorders>
            <w:shd w:val="clear" w:color="000000" w:fill="auto"/>
            <w:noWrap/>
            <w:vAlign w:val="bottom"/>
            <w:hideMark/>
          </w:tcPr>
          <w:p w:rsidR="005B6D34" w:rsidRPr="00A438A0" w:rsidRDefault="005B6D34" w:rsidP="003F7163">
            <w:pPr>
              <w:jc w:val="center"/>
              <w:rPr>
                <w:b/>
                <w:bCs/>
                <w:color w:val="000000"/>
                <w:sz w:val="20"/>
                <w:szCs w:val="20"/>
              </w:rPr>
            </w:pPr>
            <w:r w:rsidRPr="00A438A0">
              <w:rPr>
                <w:b/>
                <w:bCs/>
                <w:color w:val="000000"/>
                <w:sz w:val="20"/>
                <w:szCs w:val="20"/>
              </w:rPr>
              <w:t>RATES</w:t>
            </w:r>
          </w:p>
        </w:tc>
        <w:tc>
          <w:tcPr>
            <w:tcW w:w="1683" w:type="dxa"/>
            <w:tcBorders>
              <w:top w:val="nil"/>
              <w:left w:val="nil"/>
              <w:right w:val="nil"/>
            </w:tcBorders>
            <w:shd w:val="clear" w:color="000000" w:fill="auto"/>
            <w:noWrap/>
            <w:vAlign w:val="bottom"/>
            <w:hideMark/>
          </w:tcPr>
          <w:p w:rsidR="005B6D34" w:rsidRPr="00A438A0" w:rsidRDefault="005B6D34" w:rsidP="003F7163">
            <w:pPr>
              <w:jc w:val="center"/>
              <w:rPr>
                <w:b/>
                <w:bCs/>
                <w:color w:val="000000"/>
                <w:sz w:val="20"/>
                <w:szCs w:val="20"/>
              </w:rPr>
            </w:pPr>
            <w:r w:rsidRPr="00A438A0">
              <w:rPr>
                <w:b/>
                <w:bCs/>
                <w:color w:val="000000"/>
                <w:sz w:val="20"/>
                <w:szCs w:val="20"/>
              </w:rPr>
              <w:t>I</w:t>
            </w:r>
          </w:p>
        </w:tc>
        <w:tc>
          <w:tcPr>
            <w:tcW w:w="1683" w:type="dxa"/>
            <w:tcBorders>
              <w:top w:val="nil"/>
              <w:left w:val="nil"/>
              <w:right w:val="single" w:sz="8" w:space="0" w:color="000000"/>
            </w:tcBorders>
            <w:shd w:val="clear" w:color="000000" w:fill="auto"/>
            <w:noWrap/>
            <w:vAlign w:val="bottom"/>
            <w:hideMark/>
          </w:tcPr>
          <w:p w:rsidR="005B6D34" w:rsidRPr="00A438A0" w:rsidRDefault="005B6D34" w:rsidP="003F7163">
            <w:pPr>
              <w:jc w:val="center"/>
              <w:rPr>
                <w:b/>
                <w:bCs/>
                <w:color w:val="000000"/>
                <w:sz w:val="20"/>
                <w:szCs w:val="20"/>
              </w:rPr>
            </w:pPr>
            <w:r w:rsidRPr="00A438A0">
              <w:rPr>
                <w:b/>
                <w:bCs/>
                <w:color w:val="000000"/>
                <w:sz w:val="20"/>
                <w:szCs w:val="20"/>
              </w:rPr>
              <w:t>II</w:t>
            </w:r>
          </w:p>
        </w:tc>
      </w:tr>
      <w:tr w:rsidR="005B6D34" w:rsidRPr="00A438A0" w:rsidTr="005B6D34">
        <w:trPr>
          <w:trHeight w:val="278"/>
          <w:jc w:val="center"/>
        </w:trPr>
        <w:tc>
          <w:tcPr>
            <w:tcW w:w="2880" w:type="dxa"/>
            <w:tcBorders>
              <w:left w:val="single" w:sz="8" w:space="0" w:color="000000"/>
              <w:bottom w:val="single" w:sz="8" w:space="0" w:color="000000"/>
              <w:right w:val="nil"/>
            </w:tcBorders>
            <w:shd w:val="clear" w:color="000000" w:fill="auto"/>
            <w:noWrap/>
            <w:vAlign w:val="bottom"/>
          </w:tcPr>
          <w:p w:rsidR="005B6D34" w:rsidRPr="00A438A0" w:rsidRDefault="005B6D34" w:rsidP="003F7163">
            <w:pPr>
              <w:rPr>
                <w:b/>
                <w:bCs/>
                <w:sz w:val="20"/>
                <w:szCs w:val="20"/>
                <w:u w:val="single"/>
              </w:rPr>
            </w:pPr>
          </w:p>
        </w:tc>
        <w:tc>
          <w:tcPr>
            <w:tcW w:w="1319" w:type="dxa"/>
            <w:tcBorders>
              <w:left w:val="nil"/>
              <w:bottom w:val="single" w:sz="8" w:space="0" w:color="000000"/>
              <w:right w:val="nil"/>
            </w:tcBorders>
            <w:shd w:val="clear" w:color="000000" w:fill="auto"/>
            <w:noWrap/>
            <w:vAlign w:val="bottom"/>
          </w:tcPr>
          <w:p w:rsidR="005B6D34" w:rsidRPr="00A438A0" w:rsidRDefault="005B6D34" w:rsidP="003F7163">
            <w:pPr>
              <w:jc w:val="center"/>
              <w:rPr>
                <w:b/>
                <w:bCs/>
                <w:color w:val="000000"/>
                <w:sz w:val="20"/>
                <w:szCs w:val="20"/>
              </w:rPr>
            </w:pPr>
            <w:r w:rsidRPr="00A438A0">
              <w:rPr>
                <w:b/>
                <w:bCs/>
                <w:color w:val="000000"/>
                <w:sz w:val="20"/>
                <w:szCs w:val="20"/>
              </w:rPr>
              <w:t>FILING</w:t>
            </w:r>
          </w:p>
        </w:tc>
        <w:tc>
          <w:tcPr>
            <w:tcW w:w="1872" w:type="dxa"/>
            <w:tcBorders>
              <w:left w:val="nil"/>
              <w:bottom w:val="single" w:sz="8" w:space="0" w:color="000000"/>
              <w:right w:val="nil"/>
            </w:tcBorders>
            <w:shd w:val="clear" w:color="000000" w:fill="auto"/>
            <w:noWrap/>
            <w:vAlign w:val="bottom"/>
          </w:tcPr>
          <w:p w:rsidR="005B6D34" w:rsidRPr="00A438A0" w:rsidRDefault="005B6D34" w:rsidP="003F7163">
            <w:pPr>
              <w:jc w:val="center"/>
              <w:rPr>
                <w:b/>
                <w:bCs/>
                <w:color w:val="000000"/>
                <w:sz w:val="20"/>
                <w:szCs w:val="20"/>
              </w:rPr>
            </w:pPr>
            <w:r w:rsidRPr="00A438A0">
              <w:rPr>
                <w:b/>
                <w:bCs/>
                <w:color w:val="000000"/>
                <w:sz w:val="20"/>
                <w:szCs w:val="20"/>
              </w:rPr>
              <w:t>(55% BFC)</w:t>
            </w:r>
          </w:p>
        </w:tc>
        <w:tc>
          <w:tcPr>
            <w:tcW w:w="1683" w:type="dxa"/>
            <w:tcBorders>
              <w:left w:val="nil"/>
              <w:bottom w:val="single" w:sz="8" w:space="0" w:color="000000"/>
              <w:right w:val="nil"/>
            </w:tcBorders>
            <w:shd w:val="clear" w:color="000000" w:fill="auto"/>
            <w:noWrap/>
            <w:vAlign w:val="bottom"/>
          </w:tcPr>
          <w:p w:rsidR="005B6D34" w:rsidRPr="00A438A0" w:rsidRDefault="005B6D34" w:rsidP="003F7163">
            <w:pPr>
              <w:jc w:val="center"/>
              <w:rPr>
                <w:b/>
                <w:bCs/>
                <w:color w:val="000000"/>
                <w:sz w:val="20"/>
                <w:szCs w:val="20"/>
              </w:rPr>
            </w:pPr>
            <w:r w:rsidRPr="00A438A0">
              <w:rPr>
                <w:b/>
                <w:bCs/>
                <w:color w:val="000000"/>
                <w:sz w:val="20"/>
                <w:szCs w:val="20"/>
              </w:rPr>
              <w:t>(50% BFC)</w:t>
            </w:r>
          </w:p>
        </w:tc>
        <w:tc>
          <w:tcPr>
            <w:tcW w:w="1683" w:type="dxa"/>
            <w:tcBorders>
              <w:left w:val="nil"/>
              <w:bottom w:val="single" w:sz="8" w:space="0" w:color="000000"/>
              <w:right w:val="single" w:sz="8" w:space="0" w:color="000000"/>
            </w:tcBorders>
            <w:shd w:val="clear" w:color="000000" w:fill="auto"/>
            <w:noWrap/>
            <w:vAlign w:val="bottom"/>
          </w:tcPr>
          <w:p w:rsidR="005B6D34" w:rsidRPr="00A438A0" w:rsidRDefault="005B6D34" w:rsidP="003F7163">
            <w:pPr>
              <w:jc w:val="center"/>
              <w:rPr>
                <w:b/>
                <w:bCs/>
                <w:color w:val="000000"/>
                <w:sz w:val="20"/>
                <w:szCs w:val="20"/>
              </w:rPr>
            </w:pPr>
            <w:r w:rsidRPr="00A438A0">
              <w:rPr>
                <w:b/>
                <w:bCs/>
                <w:color w:val="000000"/>
                <w:sz w:val="20"/>
                <w:szCs w:val="20"/>
              </w:rPr>
              <w:t>(55% BFC)</w:t>
            </w:r>
          </w:p>
        </w:tc>
      </w:tr>
      <w:tr w:rsidR="005B6D34" w:rsidRPr="00A438A0" w:rsidTr="005B6D34">
        <w:trPr>
          <w:trHeight w:val="265"/>
          <w:jc w:val="center"/>
        </w:trPr>
        <w:tc>
          <w:tcPr>
            <w:tcW w:w="2880" w:type="dxa"/>
            <w:tcBorders>
              <w:top w:val="nil"/>
              <w:left w:val="single" w:sz="8" w:space="0" w:color="000000"/>
              <w:bottom w:val="nil"/>
              <w:right w:val="nil"/>
            </w:tcBorders>
            <w:shd w:val="clear" w:color="auto" w:fill="auto"/>
            <w:noWrap/>
            <w:vAlign w:val="bottom"/>
            <w:hideMark/>
          </w:tcPr>
          <w:p w:rsidR="005B6D34" w:rsidRPr="00A438A0" w:rsidRDefault="005B6D34" w:rsidP="003F7163">
            <w:pPr>
              <w:rPr>
                <w:b/>
                <w:bCs/>
                <w:color w:val="000000"/>
                <w:sz w:val="20"/>
                <w:szCs w:val="20"/>
                <w:u w:val="single"/>
              </w:rPr>
            </w:pPr>
            <w:r w:rsidRPr="00A438A0">
              <w:rPr>
                <w:b/>
                <w:bCs/>
                <w:color w:val="000000"/>
                <w:sz w:val="20"/>
                <w:szCs w:val="20"/>
                <w:u w:val="single"/>
              </w:rPr>
              <w:t xml:space="preserve">Residential </w:t>
            </w:r>
          </w:p>
        </w:tc>
        <w:tc>
          <w:tcPr>
            <w:tcW w:w="1319" w:type="dxa"/>
            <w:tcBorders>
              <w:top w:val="nil"/>
              <w:left w:val="nil"/>
              <w:bottom w:val="nil"/>
              <w:right w:val="nil"/>
            </w:tcBorders>
            <w:shd w:val="clear" w:color="auto" w:fill="auto"/>
            <w:noWrap/>
            <w:vAlign w:val="bottom"/>
            <w:hideMark/>
          </w:tcPr>
          <w:p w:rsidR="005B6D34" w:rsidRPr="00A438A0" w:rsidRDefault="005B6D34" w:rsidP="003F7163">
            <w:pPr>
              <w:jc w:val="center"/>
              <w:rPr>
                <w:b/>
                <w:bCs/>
                <w:color w:val="000000"/>
                <w:sz w:val="20"/>
                <w:szCs w:val="20"/>
              </w:rPr>
            </w:pPr>
          </w:p>
        </w:tc>
        <w:tc>
          <w:tcPr>
            <w:tcW w:w="1872" w:type="dxa"/>
            <w:tcBorders>
              <w:top w:val="nil"/>
              <w:left w:val="nil"/>
              <w:bottom w:val="nil"/>
              <w:right w:val="nil"/>
            </w:tcBorders>
            <w:shd w:val="clear" w:color="auto" w:fill="auto"/>
            <w:noWrap/>
            <w:vAlign w:val="bottom"/>
            <w:hideMark/>
          </w:tcPr>
          <w:p w:rsidR="005B6D34" w:rsidRPr="00A438A0" w:rsidRDefault="005B6D34" w:rsidP="003F7163">
            <w:pPr>
              <w:jc w:val="center"/>
              <w:rPr>
                <w:b/>
                <w:bCs/>
                <w:color w:val="000000"/>
                <w:sz w:val="20"/>
                <w:szCs w:val="20"/>
              </w:rPr>
            </w:pPr>
            <w:r w:rsidRPr="00A438A0">
              <w:rPr>
                <w:b/>
                <w:bCs/>
                <w:color w:val="000000"/>
                <w:sz w:val="20"/>
                <w:szCs w:val="20"/>
              </w:rPr>
              <w:t> </w:t>
            </w:r>
          </w:p>
        </w:tc>
        <w:tc>
          <w:tcPr>
            <w:tcW w:w="1683" w:type="dxa"/>
            <w:tcBorders>
              <w:top w:val="nil"/>
              <w:left w:val="nil"/>
              <w:bottom w:val="nil"/>
              <w:right w:val="nil"/>
            </w:tcBorders>
            <w:shd w:val="clear" w:color="auto" w:fill="auto"/>
            <w:noWrap/>
            <w:vAlign w:val="bottom"/>
            <w:hideMark/>
          </w:tcPr>
          <w:p w:rsidR="005B6D34" w:rsidRPr="00A438A0" w:rsidRDefault="005B6D34" w:rsidP="003F7163">
            <w:pPr>
              <w:jc w:val="center"/>
              <w:rPr>
                <w:b/>
                <w:bCs/>
                <w:color w:val="000000"/>
                <w:sz w:val="20"/>
                <w:szCs w:val="20"/>
              </w:rPr>
            </w:pPr>
          </w:p>
        </w:tc>
        <w:tc>
          <w:tcPr>
            <w:tcW w:w="1683" w:type="dxa"/>
            <w:tcBorders>
              <w:top w:val="nil"/>
              <w:left w:val="nil"/>
              <w:bottom w:val="nil"/>
              <w:right w:val="single" w:sz="8" w:space="0" w:color="000000"/>
            </w:tcBorders>
            <w:shd w:val="clear" w:color="auto" w:fill="auto"/>
            <w:noWrap/>
            <w:vAlign w:val="bottom"/>
            <w:hideMark/>
          </w:tcPr>
          <w:p w:rsidR="005B6D34" w:rsidRPr="00A438A0" w:rsidRDefault="005B6D34" w:rsidP="003F7163">
            <w:pPr>
              <w:jc w:val="center"/>
              <w:rPr>
                <w:b/>
                <w:bCs/>
                <w:color w:val="000000"/>
                <w:sz w:val="20"/>
                <w:szCs w:val="20"/>
              </w:rPr>
            </w:pPr>
            <w:r w:rsidRPr="00A438A0">
              <w:rPr>
                <w:b/>
                <w:bCs/>
                <w:color w:val="000000"/>
                <w:sz w:val="20"/>
                <w:szCs w:val="20"/>
              </w:rPr>
              <w:t> </w:t>
            </w:r>
          </w:p>
        </w:tc>
      </w:tr>
      <w:tr w:rsidR="005B6D34" w:rsidRPr="00A438A0" w:rsidTr="005B6D34">
        <w:trPr>
          <w:trHeight w:val="265"/>
          <w:jc w:val="center"/>
        </w:trPr>
        <w:tc>
          <w:tcPr>
            <w:tcW w:w="2880" w:type="dxa"/>
            <w:tcBorders>
              <w:top w:val="nil"/>
              <w:left w:val="single" w:sz="8" w:space="0" w:color="000000"/>
              <w:bottom w:val="nil"/>
              <w:right w:val="nil"/>
            </w:tcBorders>
            <w:shd w:val="clear" w:color="auto" w:fill="auto"/>
            <w:noWrap/>
            <w:vAlign w:val="bottom"/>
            <w:hideMark/>
          </w:tcPr>
          <w:p w:rsidR="005B6D34" w:rsidRPr="00A438A0" w:rsidRDefault="005B6D34" w:rsidP="003F7163">
            <w:pPr>
              <w:rPr>
                <w:color w:val="000000"/>
                <w:sz w:val="20"/>
                <w:szCs w:val="20"/>
              </w:rPr>
            </w:pPr>
            <w:r w:rsidRPr="00A438A0">
              <w:rPr>
                <w:color w:val="000000"/>
                <w:sz w:val="20"/>
                <w:szCs w:val="20"/>
              </w:rPr>
              <w:t>Base Facility Charge</w:t>
            </w:r>
          </w:p>
        </w:tc>
        <w:tc>
          <w:tcPr>
            <w:tcW w:w="1319" w:type="dxa"/>
            <w:tcBorders>
              <w:top w:val="nil"/>
              <w:left w:val="nil"/>
              <w:bottom w:val="nil"/>
              <w:right w:val="nil"/>
            </w:tcBorders>
            <w:shd w:val="clear" w:color="auto" w:fill="auto"/>
            <w:noWrap/>
            <w:vAlign w:val="bottom"/>
            <w:hideMark/>
          </w:tcPr>
          <w:p w:rsidR="005B6D34" w:rsidRPr="00A438A0" w:rsidRDefault="005B6D34" w:rsidP="003F7163">
            <w:pPr>
              <w:jc w:val="right"/>
              <w:rPr>
                <w:color w:val="000000"/>
                <w:sz w:val="20"/>
                <w:szCs w:val="20"/>
              </w:rPr>
            </w:pPr>
            <w:r w:rsidRPr="00A438A0">
              <w:rPr>
                <w:color w:val="000000"/>
                <w:sz w:val="20"/>
                <w:szCs w:val="20"/>
              </w:rPr>
              <w:t>$29.34</w:t>
            </w:r>
          </w:p>
        </w:tc>
        <w:tc>
          <w:tcPr>
            <w:tcW w:w="1872" w:type="dxa"/>
            <w:tcBorders>
              <w:top w:val="nil"/>
              <w:left w:val="nil"/>
              <w:bottom w:val="nil"/>
              <w:right w:val="nil"/>
            </w:tcBorders>
            <w:shd w:val="clear" w:color="auto" w:fill="auto"/>
            <w:noWrap/>
            <w:vAlign w:val="bottom"/>
            <w:hideMark/>
          </w:tcPr>
          <w:p w:rsidR="005B6D34" w:rsidRPr="00A438A0" w:rsidRDefault="005B6D34" w:rsidP="003F7163">
            <w:pPr>
              <w:jc w:val="right"/>
              <w:rPr>
                <w:color w:val="000000"/>
                <w:sz w:val="20"/>
                <w:szCs w:val="20"/>
              </w:rPr>
            </w:pPr>
            <w:r w:rsidRPr="00A438A0">
              <w:rPr>
                <w:color w:val="000000"/>
                <w:sz w:val="20"/>
                <w:szCs w:val="20"/>
              </w:rPr>
              <w:t>$50.31</w:t>
            </w:r>
          </w:p>
        </w:tc>
        <w:tc>
          <w:tcPr>
            <w:tcW w:w="1683" w:type="dxa"/>
            <w:tcBorders>
              <w:top w:val="nil"/>
              <w:left w:val="nil"/>
              <w:bottom w:val="nil"/>
              <w:right w:val="nil"/>
            </w:tcBorders>
            <w:shd w:val="clear" w:color="auto" w:fill="auto"/>
            <w:noWrap/>
            <w:vAlign w:val="bottom"/>
            <w:hideMark/>
          </w:tcPr>
          <w:p w:rsidR="005B6D34" w:rsidRPr="00A438A0" w:rsidRDefault="005B6D34" w:rsidP="003F7163">
            <w:pPr>
              <w:jc w:val="right"/>
              <w:rPr>
                <w:color w:val="000000"/>
                <w:sz w:val="20"/>
                <w:szCs w:val="20"/>
              </w:rPr>
            </w:pPr>
            <w:r w:rsidRPr="00A438A0">
              <w:rPr>
                <w:color w:val="000000"/>
                <w:sz w:val="20"/>
                <w:szCs w:val="20"/>
              </w:rPr>
              <w:t>$45.73</w:t>
            </w:r>
          </w:p>
        </w:tc>
        <w:tc>
          <w:tcPr>
            <w:tcW w:w="1683" w:type="dxa"/>
            <w:tcBorders>
              <w:top w:val="nil"/>
              <w:left w:val="nil"/>
              <w:bottom w:val="nil"/>
              <w:right w:val="single" w:sz="8" w:space="0" w:color="000000"/>
            </w:tcBorders>
            <w:shd w:val="clear" w:color="auto" w:fill="auto"/>
            <w:noWrap/>
            <w:vAlign w:val="bottom"/>
            <w:hideMark/>
          </w:tcPr>
          <w:p w:rsidR="005B6D34" w:rsidRPr="00A438A0" w:rsidRDefault="005B6D34" w:rsidP="003F7163">
            <w:pPr>
              <w:jc w:val="right"/>
              <w:rPr>
                <w:color w:val="000000"/>
                <w:sz w:val="20"/>
                <w:szCs w:val="20"/>
              </w:rPr>
            </w:pPr>
            <w:r w:rsidRPr="00A438A0">
              <w:rPr>
                <w:color w:val="000000"/>
                <w:sz w:val="20"/>
                <w:szCs w:val="20"/>
              </w:rPr>
              <w:t>$50.31</w:t>
            </w:r>
          </w:p>
        </w:tc>
      </w:tr>
      <w:tr w:rsidR="005B6D34" w:rsidRPr="00A438A0" w:rsidTr="005B6D34">
        <w:trPr>
          <w:trHeight w:val="265"/>
          <w:jc w:val="center"/>
        </w:trPr>
        <w:tc>
          <w:tcPr>
            <w:tcW w:w="2880" w:type="dxa"/>
            <w:tcBorders>
              <w:top w:val="nil"/>
              <w:left w:val="single" w:sz="8" w:space="0" w:color="000000"/>
              <w:bottom w:val="nil"/>
              <w:right w:val="nil"/>
            </w:tcBorders>
            <w:shd w:val="clear" w:color="auto" w:fill="auto"/>
            <w:noWrap/>
            <w:vAlign w:val="bottom"/>
            <w:hideMark/>
          </w:tcPr>
          <w:p w:rsidR="005B6D34" w:rsidRPr="00A438A0" w:rsidRDefault="005B6D34" w:rsidP="003F7163">
            <w:pPr>
              <w:rPr>
                <w:color w:val="000000"/>
                <w:sz w:val="20"/>
                <w:szCs w:val="20"/>
              </w:rPr>
            </w:pPr>
            <w:r w:rsidRPr="00A438A0">
              <w:rPr>
                <w:color w:val="000000"/>
                <w:sz w:val="20"/>
                <w:szCs w:val="20"/>
              </w:rPr>
              <w:t> </w:t>
            </w:r>
          </w:p>
        </w:tc>
        <w:tc>
          <w:tcPr>
            <w:tcW w:w="1319" w:type="dxa"/>
            <w:tcBorders>
              <w:top w:val="nil"/>
              <w:left w:val="nil"/>
              <w:bottom w:val="nil"/>
              <w:right w:val="nil"/>
            </w:tcBorders>
            <w:shd w:val="clear" w:color="auto" w:fill="auto"/>
            <w:noWrap/>
            <w:vAlign w:val="bottom"/>
            <w:hideMark/>
          </w:tcPr>
          <w:p w:rsidR="005B6D34" w:rsidRPr="00A438A0" w:rsidRDefault="005B6D34" w:rsidP="003F7163">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5B6D34" w:rsidRPr="00A438A0" w:rsidRDefault="005B6D34" w:rsidP="003F7163">
            <w:pPr>
              <w:jc w:val="right"/>
              <w:rPr>
                <w:color w:val="000000"/>
                <w:sz w:val="20"/>
                <w:szCs w:val="20"/>
              </w:rPr>
            </w:pPr>
          </w:p>
        </w:tc>
        <w:tc>
          <w:tcPr>
            <w:tcW w:w="1683" w:type="dxa"/>
            <w:tcBorders>
              <w:top w:val="nil"/>
              <w:left w:val="nil"/>
              <w:bottom w:val="nil"/>
              <w:right w:val="nil"/>
            </w:tcBorders>
            <w:shd w:val="clear" w:color="auto" w:fill="auto"/>
            <w:noWrap/>
            <w:vAlign w:val="bottom"/>
            <w:hideMark/>
          </w:tcPr>
          <w:p w:rsidR="005B6D34" w:rsidRPr="00A438A0" w:rsidRDefault="005B6D34" w:rsidP="003F7163">
            <w:pPr>
              <w:jc w:val="right"/>
              <w:rPr>
                <w:color w:val="000000"/>
                <w:sz w:val="20"/>
                <w:szCs w:val="20"/>
              </w:rPr>
            </w:pPr>
          </w:p>
        </w:tc>
        <w:tc>
          <w:tcPr>
            <w:tcW w:w="1683" w:type="dxa"/>
            <w:tcBorders>
              <w:top w:val="nil"/>
              <w:left w:val="nil"/>
              <w:bottom w:val="nil"/>
              <w:right w:val="single" w:sz="8" w:space="0" w:color="000000"/>
            </w:tcBorders>
            <w:shd w:val="clear" w:color="auto" w:fill="auto"/>
            <w:noWrap/>
            <w:vAlign w:val="bottom"/>
            <w:hideMark/>
          </w:tcPr>
          <w:p w:rsidR="005B6D34" w:rsidRPr="00A438A0" w:rsidRDefault="005B6D34" w:rsidP="003F7163">
            <w:pPr>
              <w:jc w:val="right"/>
              <w:rPr>
                <w:color w:val="000000"/>
                <w:sz w:val="20"/>
                <w:szCs w:val="20"/>
              </w:rPr>
            </w:pPr>
            <w:r w:rsidRPr="00A438A0">
              <w:rPr>
                <w:color w:val="000000"/>
                <w:sz w:val="20"/>
                <w:szCs w:val="20"/>
              </w:rPr>
              <w:t> </w:t>
            </w:r>
          </w:p>
        </w:tc>
      </w:tr>
      <w:tr w:rsidR="005B6D34" w:rsidRPr="00A438A0" w:rsidTr="005B6D34">
        <w:trPr>
          <w:trHeight w:val="265"/>
          <w:jc w:val="center"/>
        </w:trPr>
        <w:tc>
          <w:tcPr>
            <w:tcW w:w="2880" w:type="dxa"/>
            <w:tcBorders>
              <w:top w:val="nil"/>
              <w:left w:val="single" w:sz="8" w:space="0" w:color="000000"/>
              <w:bottom w:val="nil"/>
              <w:right w:val="nil"/>
            </w:tcBorders>
            <w:shd w:val="clear" w:color="auto" w:fill="auto"/>
            <w:noWrap/>
            <w:vAlign w:val="bottom"/>
            <w:hideMark/>
          </w:tcPr>
          <w:p w:rsidR="005B6D34" w:rsidRPr="00A438A0" w:rsidRDefault="005B6D34" w:rsidP="003F7163">
            <w:pPr>
              <w:rPr>
                <w:sz w:val="20"/>
                <w:szCs w:val="20"/>
              </w:rPr>
            </w:pPr>
            <w:r w:rsidRPr="00A438A0">
              <w:rPr>
                <w:sz w:val="20"/>
                <w:szCs w:val="20"/>
              </w:rPr>
              <w:t xml:space="preserve">Charge per 1,000 gallons </w:t>
            </w:r>
          </w:p>
        </w:tc>
        <w:tc>
          <w:tcPr>
            <w:tcW w:w="1319" w:type="dxa"/>
            <w:tcBorders>
              <w:top w:val="nil"/>
              <w:left w:val="nil"/>
              <w:bottom w:val="nil"/>
              <w:right w:val="nil"/>
            </w:tcBorders>
            <w:shd w:val="clear" w:color="auto" w:fill="auto"/>
            <w:noWrap/>
            <w:vAlign w:val="bottom"/>
            <w:hideMark/>
          </w:tcPr>
          <w:p w:rsidR="005B6D34" w:rsidRPr="00A438A0" w:rsidRDefault="005B6D34" w:rsidP="003F7163">
            <w:pPr>
              <w:jc w:val="right"/>
              <w:rPr>
                <w:color w:val="000000"/>
                <w:sz w:val="20"/>
                <w:szCs w:val="20"/>
              </w:rPr>
            </w:pPr>
          </w:p>
        </w:tc>
        <w:tc>
          <w:tcPr>
            <w:tcW w:w="1872" w:type="dxa"/>
            <w:tcBorders>
              <w:top w:val="nil"/>
              <w:left w:val="nil"/>
              <w:bottom w:val="nil"/>
              <w:right w:val="nil"/>
            </w:tcBorders>
            <w:shd w:val="clear" w:color="auto" w:fill="auto"/>
            <w:noWrap/>
            <w:vAlign w:val="bottom"/>
            <w:hideMark/>
          </w:tcPr>
          <w:p w:rsidR="005B6D34" w:rsidRPr="00A438A0" w:rsidRDefault="005B6D34" w:rsidP="003F7163">
            <w:pPr>
              <w:jc w:val="right"/>
              <w:rPr>
                <w:color w:val="000000"/>
                <w:sz w:val="20"/>
                <w:szCs w:val="20"/>
              </w:rPr>
            </w:pPr>
          </w:p>
        </w:tc>
        <w:tc>
          <w:tcPr>
            <w:tcW w:w="1683" w:type="dxa"/>
            <w:tcBorders>
              <w:top w:val="nil"/>
              <w:left w:val="nil"/>
              <w:bottom w:val="nil"/>
              <w:right w:val="nil"/>
            </w:tcBorders>
            <w:shd w:val="clear" w:color="auto" w:fill="auto"/>
            <w:noWrap/>
            <w:vAlign w:val="bottom"/>
            <w:hideMark/>
          </w:tcPr>
          <w:p w:rsidR="005B6D34" w:rsidRPr="00A438A0" w:rsidRDefault="005B6D34" w:rsidP="003F7163">
            <w:pPr>
              <w:jc w:val="right"/>
              <w:rPr>
                <w:color w:val="000000"/>
                <w:sz w:val="20"/>
                <w:szCs w:val="20"/>
              </w:rPr>
            </w:pPr>
          </w:p>
        </w:tc>
        <w:tc>
          <w:tcPr>
            <w:tcW w:w="1683" w:type="dxa"/>
            <w:tcBorders>
              <w:top w:val="nil"/>
              <w:left w:val="nil"/>
              <w:bottom w:val="nil"/>
              <w:right w:val="single" w:sz="8" w:space="0" w:color="000000"/>
            </w:tcBorders>
            <w:shd w:val="clear" w:color="auto" w:fill="auto"/>
            <w:noWrap/>
            <w:vAlign w:val="bottom"/>
            <w:hideMark/>
          </w:tcPr>
          <w:p w:rsidR="005B6D34" w:rsidRPr="00A438A0" w:rsidRDefault="005B6D34" w:rsidP="003F7163">
            <w:pPr>
              <w:jc w:val="right"/>
              <w:rPr>
                <w:color w:val="000000"/>
                <w:sz w:val="20"/>
                <w:szCs w:val="20"/>
              </w:rPr>
            </w:pPr>
          </w:p>
        </w:tc>
      </w:tr>
      <w:tr w:rsidR="005B6D34" w:rsidRPr="00A438A0" w:rsidTr="005B6D34">
        <w:trPr>
          <w:trHeight w:val="265"/>
          <w:jc w:val="center"/>
        </w:trPr>
        <w:tc>
          <w:tcPr>
            <w:tcW w:w="2880" w:type="dxa"/>
            <w:tcBorders>
              <w:top w:val="nil"/>
              <w:left w:val="single" w:sz="8" w:space="0" w:color="000000"/>
              <w:bottom w:val="nil"/>
              <w:right w:val="nil"/>
            </w:tcBorders>
            <w:shd w:val="clear" w:color="auto" w:fill="auto"/>
            <w:noWrap/>
            <w:vAlign w:val="bottom"/>
          </w:tcPr>
          <w:p w:rsidR="005B6D34" w:rsidRPr="00A438A0" w:rsidRDefault="005B6D34" w:rsidP="003F7163">
            <w:pPr>
              <w:rPr>
                <w:sz w:val="20"/>
                <w:szCs w:val="20"/>
              </w:rPr>
            </w:pPr>
            <w:r w:rsidRPr="00A438A0">
              <w:rPr>
                <w:sz w:val="20"/>
                <w:szCs w:val="20"/>
              </w:rPr>
              <w:t>8,000 gallon cap</w:t>
            </w:r>
          </w:p>
        </w:tc>
        <w:tc>
          <w:tcPr>
            <w:tcW w:w="1319" w:type="dxa"/>
            <w:tcBorders>
              <w:top w:val="nil"/>
              <w:left w:val="nil"/>
              <w:bottom w:val="nil"/>
              <w:right w:val="nil"/>
            </w:tcBorders>
            <w:shd w:val="clear" w:color="auto" w:fill="auto"/>
            <w:noWrap/>
            <w:vAlign w:val="bottom"/>
          </w:tcPr>
          <w:p w:rsidR="005B6D34" w:rsidRPr="00A438A0" w:rsidRDefault="005B6D34" w:rsidP="003F7163">
            <w:pPr>
              <w:jc w:val="right"/>
              <w:rPr>
                <w:sz w:val="20"/>
                <w:szCs w:val="20"/>
              </w:rPr>
            </w:pPr>
            <w:r w:rsidRPr="00A438A0">
              <w:rPr>
                <w:sz w:val="20"/>
                <w:szCs w:val="20"/>
              </w:rPr>
              <w:t>$6.59</w:t>
            </w:r>
          </w:p>
        </w:tc>
        <w:tc>
          <w:tcPr>
            <w:tcW w:w="1872" w:type="dxa"/>
            <w:tcBorders>
              <w:top w:val="nil"/>
              <w:left w:val="nil"/>
              <w:bottom w:val="nil"/>
              <w:right w:val="nil"/>
            </w:tcBorders>
            <w:shd w:val="clear" w:color="auto" w:fill="auto"/>
            <w:noWrap/>
            <w:vAlign w:val="bottom"/>
          </w:tcPr>
          <w:p w:rsidR="005B6D34" w:rsidRPr="00A438A0" w:rsidRDefault="005B6D34" w:rsidP="003F7163">
            <w:pPr>
              <w:jc w:val="right"/>
              <w:rPr>
                <w:color w:val="000000"/>
                <w:sz w:val="20"/>
                <w:szCs w:val="20"/>
              </w:rPr>
            </w:pPr>
            <w:r w:rsidRPr="00A438A0">
              <w:rPr>
                <w:color w:val="000000"/>
                <w:sz w:val="20"/>
                <w:szCs w:val="20"/>
              </w:rPr>
              <w:t>N/A</w:t>
            </w:r>
          </w:p>
        </w:tc>
        <w:tc>
          <w:tcPr>
            <w:tcW w:w="1683" w:type="dxa"/>
            <w:tcBorders>
              <w:top w:val="nil"/>
              <w:left w:val="nil"/>
              <w:bottom w:val="nil"/>
              <w:right w:val="nil"/>
            </w:tcBorders>
            <w:shd w:val="clear" w:color="auto" w:fill="auto"/>
            <w:noWrap/>
            <w:vAlign w:val="bottom"/>
          </w:tcPr>
          <w:p w:rsidR="005B6D34" w:rsidRPr="00A438A0" w:rsidRDefault="005B6D34" w:rsidP="003F7163">
            <w:pPr>
              <w:jc w:val="right"/>
              <w:rPr>
                <w:color w:val="000000"/>
                <w:sz w:val="20"/>
                <w:szCs w:val="20"/>
              </w:rPr>
            </w:pPr>
            <w:r w:rsidRPr="00A438A0">
              <w:rPr>
                <w:color w:val="000000"/>
                <w:sz w:val="20"/>
                <w:szCs w:val="20"/>
              </w:rPr>
              <w:t>N/A</w:t>
            </w:r>
          </w:p>
        </w:tc>
        <w:tc>
          <w:tcPr>
            <w:tcW w:w="1683" w:type="dxa"/>
            <w:tcBorders>
              <w:top w:val="nil"/>
              <w:left w:val="nil"/>
              <w:bottom w:val="nil"/>
              <w:right w:val="single" w:sz="8" w:space="0" w:color="000000"/>
            </w:tcBorders>
            <w:shd w:val="clear" w:color="auto" w:fill="auto"/>
            <w:noWrap/>
            <w:vAlign w:val="bottom"/>
          </w:tcPr>
          <w:p w:rsidR="005B6D34" w:rsidRPr="00A438A0" w:rsidRDefault="005B6D34" w:rsidP="008648C7">
            <w:pPr>
              <w:jc w:val="right"/>
              <w:rPr>
                <w:color w:val="000000"/>
                <w:sz w:val="20"/>
                <w:szCs w:val="20"/>
              </w:rPr>
            </w:pPr>
            <w:r w:rsidRPr="00A438A0">
              <w:rPr>
                <w:color w:val="000000"/>
                <w:sz w:val="20"/>
                <w:szCs w:val="20"/>
              </w:rPr>
              <w:t>$15.</w:t>
            </w:r>
            <w:r w:rsidR="008648C7">
              <w:rPr>
                <w:color w:val="000000"/>
                <w:sz w:val="20"/>
                <w:szCs w:val="20"/>
              </w:rPr>
              <w:t>25</w:t>
            </w:r>
          </w:p>
        </w:tc>
      </w:tr>
      <w:tr w:rsidR="005B6D34" w:rsidRPr="00A438A0" w:rsidTr="005B6D34">
        <w:trPr>
          <w:trHeight w:val="265"/>
          <w:jc w:val="center"/>
        </w:trPr>
        <w:tc>
          <w:tcPr>
            <w:tcW w:w="2880" w:type="dxa"/>
            <w:tcBorders>
              <w:top w:val="nil"/>
              <w:left w:val="single" w:sz="8" w:space="0" w:color="000000"/>
              <w:bottom w:val="nil"/>
              <w:right w:val="nil"/>
            </w:tcBorders>
            <w:shd w:val="clear" w:color="auto" w:fill="auto"/>
            <w:noWrap/>
            <w:vAlign w:val="bottom"/>
            <w:hideMark/>
          </w:tcPr>
          <w:p w:rsidR="005B6D34" w:rsidRPr="00A438A0" w:rsidRDefault="005B6D34" w:rsidP="003F7163">
            <w:pPr>
              <w:rPr>
                <w:sz w:val="20"/>
                <w:szCs w:val="20"/>
              </w:rPr>
            </w:pPr>
            <w:r w:rsidRPr="00A438A0">
              <w:rPr>
                <w:sz w:val="20"/>
                <w:szCs w:val="20"/>
              </w:rPr>
              <w:t>6,000 gallon cap</w:t>
            </w:r>
          </w:p>
        </w:tc>
        <w:tc>
          <w:tcPr>
            <w:tcW w:w="1319" w:type="dxa"/>
            <w:tcBorders>
              <w:top w:val="nil"/>
              <w:left w:val="nil"/>
              <w:bottom w:val="nil"/>
              <w:right w:val="nil"/>
            </w:tcBorders>
            <w:shd w:val="clear" w:color="auto" w:fill="auto"/>
            <w:noWrap/>
            <w:vAlign w:val="bottom"/>
            <w:hideMark/>
          </w:tcPr>
          <w:p w:rsidR="005B6D34" w:rsidRPr="00A438A0" w:rsidRDefault="005B6D34" w:rsidP="003F7163">
            <w:pPr>
              <w:jc w:val="right"/>
              <w:rPr>
                <w:color w:val="000000"/>
                <w:sz w:val="20"/>
                <w:szCs w:val="20"/>
              </w:rPr>
            </w:pPr>
            <w:r w:rsidRPr="00A438A0">
              <w:rPr>
                <w:color w:val="000000"/>
                <w:sz w:val="20"/>
                <w:szCs w:val="20"/>
              </w:rPr>
              <w:t>N/A</w:t>
            </w:r>
          </w:p>
        </w:tc>
        <w:tc>
          <w:tcPr>
            <w:tcW w:w="1872" w:type="dxa"/>
            <w:tcBorders>
              <w:top w:val="nil"/>
              <w:left w:val="nil"/>
              <w:bottom w:val="nil"/>
              <w:right w:val="nil"/>
            </w:tcBorders>
            <w:shd w:val="clear" w:color="auto" w:fill="auto"/>
            <w:noWrap/>
            <w:vAlign w:val="bottom"/>
            <w:hideMark/>
          </w:tcPr>
          <w:p w:rsidR="005B6D34" w:rsidRPr="00A438A0" w:rsidRDefault="005B6D34" w:rsidP="008648C7">
            <w:pPr>
              <w:jc w:val="right"/>
              <w:rPr>
                <w:color w:val="000000"/>
                <w:sz w:val="20"/>
                <w:szCs w:val="20"/>
              </w:rPr>
            </w:pPr>
            <w:r w:rsidRPr="00A438A0">
              <w:rPr>
                <w:color w:val="000000"/>
                <w:sz w:val="20"/>
                <w:szCs w:val="20"/>
              </w:rPr>
              <w:t>$15.</w:t>
            </w:r>
            <w:r w:rsidR="008648C7">
              <w:rPr>
                <w:color w:val="000000"/>
                <w:sz w:val="20"/>
                <w:szCs w:val="20"/>
              </w:rPr>
              <w:t>58</w:t>
            </w:r>
          </w:p>
        </w:tc>
        <w:tc>
          <w:tcPr>
            <w:tcW w:w="1683" w:type="dxa"/>
            <w:tcBorders>
              <w:top w:val="nil"/>
              <w:left w:val="nil"/>
              <w:bottom w:val="nil"/>
              <w:right w:val="nil"/>
            </w:tcBorders>
            <w:shd w:val="clear" w:color="auto" w:fill="auto"/>
            <w:noWrap/>
            <w:vAlign w:val="bottom"/>
            <w:hideMark/>
          </w:tcPr>
          <w:p w:rsidR="005B6D34" w:rsidRPr="00A438A0" w:rsidRDefault="005B6D34" w:rsidP="008648C7">
            <w:pPr>
              <w:jc w:val="right"/>
              <w:rPr>
                <w:color w:val="000000"/>
                <w:sz w:val="20"/>
                <w:szCs w:val="20"/>
              </w:rPr>
            </w:pPr>
            <w:r w:rsidRPr="00A438A0">
              <w:rPr>
                <w:color w:val="000000"/>
                <w:sz w:val="20"/>
                <w:szCs w:val="20"/>
              </w:rPr>
              <w:t>$17.</w:t>
            </w:r>
            <w:r w:rsidR="008648C7">
              <w:rPr>
                <w:color w:val="000000"/>
                <w:sz w:val="20"/>
                <w:szCs w:val="20"/>
              </w:rPr>
              <w:t>31</w:t>
            </w:r>
          </w:p>
        </w:tc>
        <w:tc>
          <w:tcPr>
            <w:tcW w:w="1683" w:type="dxa"/>
            <w:tcBorders>
              <w:top w:val="nil"/>
              <w:left w:val="nil"/>
              <w:bottom w:val="nil"/>
              <w:right w:val="single" w:sz="8" w:space="0" w:color="000000"/>
            </w:tcBorders>
            <w:shd w:val="clear" w:color="auto" w:fill="auto"/>
            <w:noWrap/>
            <w:vAlign w:val="bottom"/>
            <w:hideMark/>
          </w:tcPr>
          <w:p w:rsidR="005B6D34" w:rsidRPr="00A438A0" w:rsidRDefault="005B6D34" w:rsidP="003F7163">
            <w:pPr>
              <w:jc w:val="right"/>
              <w:rPr>
                <w:color w:val="000000"/>
                <w:sz w:val="20"/>
                <w:szCs w:val="20"/>
              </w:rPr>
            </w:pPr>
            <w:r w:rsidRPr="00A438A0">
              <w:rPr>
                <w:color w:val="000000"/>
                <w:sz w:val="20"/>
                <w:szCs w:val="20"/>
              </w:rPr>
              <w:t>N/A</w:t>
            </w:r>
          </w:p>
        </w:tc>
      </w:tr>
      <w:tr w:rsidR="005B6D34" w:rsidRPr="00A438A0" w:rsidTr="005B6D34">
        <w:trPr>
          <w:trHeight w:val="265"/>
          <w:jc w:val="center"/>
        </w:trPr>
        <w:tc>
          <w:tcPr>
            <w:tcW w:w="2880" w:type="dxa"/>
            <w:tcBorders>
              <w:top w:val="nil"/>
              <w:left w:val="single" w:sz="8" w:space="0" w:color="000000"/>
              <w:bottom w:val="nil"/>
              <w:right w:val="nil"/>
            </w:tcBorders>
            <w:shd w:val="clear" w:color="auto" w:fill="auto"/>
            <w:noWrap/>
            <w:vAlign w:val="bottom"/>
          </w:tcPr>
          <w:p w:rsidR="005B6D34" w:rsidRPr="00A438A0" w:rsidRDefault="005B6D34" w:rsidP="003F7163">
            <w:pPr>
              <w:rPr>
                <w:sz w:val="20"/>
                <w:szCs w:val="20"/>
              </w:rPr>
            </w:pPr>
          </w:p>
        </w:tc>
        <w:tc>
          <w:tcPr>
            <w:tcW w:w="1319" w:type="dxa"/>
            <w:tcBorders>
              <w:top w:val="nil"/>
              <w:left w:val="nil"/>
              <w:bottom w:val="nil"/>
              <w:right w:val="nil"/>
            </w:tcBorders>
            <w:shd w:val="clear" w:color="auto" w:fill="auto"/>
            <w:noWrap/>
            <w:vAlign w:val="bottom"/>
          </w:tcPr>
          <w:p w:rsidR="005B6D34" w:rsidRPr="00A438A0" w:rsidRDefault="005B6D34" w:rsidP="003F7163">
            <w:pPr>
              <w:jc w:val="right"/>
              <w:rPr>
                <w:sz w:val="20"/>
                <w:szCs w:val="20"/>
              </w:rPr>
            </w:pPr>
          </w:p>
        </w:tc>
        <w:tc>
          <w:tcPr>
            <w:tcW w:w="1872" w:type="dxa"/>
            <w:tcBorders>
              <w:top w:val="nil"/>
              <w:left w:val="nil"/>
              <w:bottom w:val="nil"/>
              <w:right w:val="nil"/>
            </w:tcBorders>
            <w:shd w:val="clear" w:color="auto" w:fill="auto"/>
            <w:noWrap/>
            <w:vAlign w:val="bottom"/>
          </w:tcPr>
          <w:p w:rsidR="005B6D34" w:rsidRPr="00A438A0" w:rsidRDefault="005B6D34" w:rsidP="003F7163">
            <w:pPr>
              <w:jc w:val="right"/>
              <w:rPr>
                <w:color w:val="000000"/>
                <w:sz w:val="20"/>
                <w:szCs w:val="20"/>
              </w:rPr>
            </w:pPr>
          </w:p>
        </w:tc>
        <w:tc>
          <w:tcPr>
            <w:tcW w:w="1683" w:type="dxa"/>
            <w:tcBorders>
              <w:top w:val="nil"/>
              <w:left w:val="nil"/>
              <w:bottom w:val="nil"/>
              <w:right w:val="nil"/>
            </w:tcBorders>
            <w:shd w:val="clear" w:color="auto" w:fill="auto"/>
            <w:noWrap/>
            <w:vAlign w:val="bottom"/>
          </w:tcPr>
          <w:p w:rsidR="005B6D34" w:rsidRPr="00A438A0" w:rsidRDefault="005B6D34" w:rsidP="003F7163">
            <w:pPr>
              <w:jc w:val="right"/>
              <w:rPr>
                <w:color w:val="000000"/>
                <w:sz w:val="20"/>
                <w:szCs w:val="20"/>
              </w:rPr>
            </w:pPr>
          </w:p>
        </w:tc>
        <w:tc>
          <w:tcPr>
            <w:tcW w:w="1683" w:type="dxa"/>
            <w:tcBorders>
              <w:top w:val="nil"/>
              <w:left w:val="nil"/>
              <w:bottom w:val="nil"/>
              <w:right w:val="single" w:sz="8" w:space="0" w:color="000000"/>
            </w:tcBorders>
            <w:shd w:val="clear" w:color="auto" w:fill="auto"/>
            <w:noWrap/>
            <w:vAlign w:val="bottom"/>
          </w:tcPr>
          <w:p w:rsidR="005B6D34" w:rsidRPr="00A438A0" w:rsidRDefault="005B6D34" w:rsidP="003F7163">
            <w:pPr>
              <w:jc w:val="right"/>
              <w:rPr>
                <w:color w:val="000000"/>
                <w:sz w:val="20"/>
                <w:szCs w:val="20"/>
              </w:rPr>
            </w:pPr>
          </w:p>
        </w:tc>
      </w:tr>
      <w:tr w:rsidR="005B6D34" w:rsidRPr="00A438A0" w:rsidTr="005B6D34">
        <w:trPr>
          <w:trHeight w:val="265"/>
          <w:jc w:val="center"/>
        </w:trPr>
        <w:tc>
          <w:tcPr>
            <w:tcW w:w="6071" w:type="dxa"/>
            <w:gridSpan w:val="3"/>
            <w:tcBorders>
              <w:top w:val="nil"/>
              <w:left w:val="single" w:sz="8" w:space="0" w:color="000000"/>
              <w:bottom w:val="nil"/>
              <w:right w:val="nil"/>
            </w:tcBorders>
            <w:shd w:val="clear" w:color="auto" w:fill="auto"/>
            <w:noWrap/>
            <w:vAlign w:val="bottom"/>
            <w:hideMark/>
          </w:tcPr>
          <w:p w:rsidR="005B6D34" w:rsidRPr="00A438A0" w:rsidRDefault="005B6D34" w:rsidP="003F7163">
            <w:pPr>
              <w:rPr>
                <w:color w:val="000000"/>
                <w:sz w:val="20"/>
                <w:szCs w:val="20"/>
              </w:rPr>
            </w:pPr>
            <w:r w:rsidRPr="00A438A0">
              <w:rPr>
                <w:b/>
                <w:bCs/>
                <w:color w:val="000000"/>
                <w:sz w:val="20"/>
                <w:szCs w:val="20"/>
                <w:u w:val="single"/>
              </w:rPr>
              <w:t>Typical Residential 5/8" x 3/4" Meter Bill Comparison</w:t>
            </w:r>
          </w:p>
        </w:tc>
        <w:tc>
          <w:tcPr>
            <w:tcW w:w="1683" w:type="dxa"/>
            <w:tcBorders>
              <w:top w:val="nil"/>
              <w:left w:val="nil"/>
              <w:bottom w:val="nil"/>
              <w:right w:val="nil"/>
            </w:tcBorders>
            <w:shd w:val="clear" w:color="auto" w:fill="auto"/>
            <w:noWrap/>
            <w:vAlign w:val="bottom"/>
            <w:hideMark/>
          </w:tcPr>
          <w:p w:rsidR="005B6D34" w:rsidRPr="00A438A0" w:rsidRDefault="005B6D34" w:rsidP="003F7163">
            <w:pPr>
              <w:jc w:val="right"/>
              <w:rPr>
                <w:color w:val="000000"/>
                <w:sz w:val="20"/>
                <w:szCs w:val="20"/>
              </w:rPr>
            </w:pPr>
          </w:p>
        </w:tc>
        <w:tc>
          <w:tcPr>
            <w:tcW w:w="1683" w:type="dxa"/>
            <w:tcBorders>
              <w:top w:val="nil"/>
              <w:left w:val="nil"/>
              <w:bottom w:val="nil"/>
              <w:right w:val="single" w:sz="8" w:space="0" w:color="000000"/>
            </w:tcBorders>
            <w:shd w:val="clear" w:color="auto" w:fill="auto"/>
            <w:noWrap/>
            <w:vAlign w:val="bottom"/>
            <w:hideMark/>
          </w:tcPr>
          <w:p w:rsidR="005B6D34" w:rsidRPr="00A438A0" w:rsidRDefault="005B6D34" w:rsidP="003F7163">
            <w:pPr>
              <w:jc w:val="right"/>
              <w:rPr>
                <w:color w:val="000000"/>
                <w:sz w:val="20"/>
                <w:szCs w:val="20"/>
              </w:rPr>
            </w:pPr>
            <w:r w:rsidRPr="00A438A0">
              <w:rPr>
                <w:color w:val="000000"/>
                <w:sz w:val="20"/>
                <w:szCs w:val="20"/>
              </w:rPr>
              <w:t> </w:t>
            </w:r>
          </w:p>
        </w:tc>
      </w:tr>
      <w:tr w:rsidR="005B6D34" w:rsidRPr="00A438A0" w:rsidTr="005B6D34">
        <w:trPr>
          <w:trHeight w:val="265"/>
          <w:jc w:val="center"/>
        </w:trPr>
        <w:tc>
          <w:tcPr>
            <w:tcW w:w="2880" w:type="dxa"/>
            <w:tcBorders>
              <w:top w:val="nil"/>
              <w:left w:val="single" w:sz="8" w:space="0" w:color="000000"/>
              <w:bottom w:val="nil"/>
              <w:right w:val="nil"/>
            </w:tcBorders>
            <w:shd w:val="clear" w:color="auto" w:fill="auto"/>
            <w:noWrap/>
            <w:vAlign w:val="bottom"/>
            <w:hideMark/>
          </w:tcPr>
          <w:p w:rsidR="005B6D34" w:rsidRPr="00A438A0" w:rsidRDefault="005B6D34" w:rsidP="003F7163">
            <w:pPr>
              <w:rPr>
                <w:color w:val="000000"/>
                <w:sz w:val="20"/>
                <w:szCs w:val="20"/>
              </w:rPr>
            </w:pPr>
            <w:r w:rsidRPr="00A438A0">
              <w:rPr>
                <w:color w:val="000000"/>
                <w:sz w:val="20"/>
                <w:szCs w:val="20"/>
              </w:rPr>
              <w:t>2,000 Gallons</w:t>
            </w:r>
          </w:p>
        </w:tc>
        <w:tc>
          <w:tcPr>
            <w:tcW w:w="1319" w:type="dxa"/>
            <w:tcBorders>
              <w:top w:val="nil"/>
              <w:left w:val="nil"/>
              <w:bottom w:val="nil"/>
              <w:right w:val="nil"/>
            </w:tcBorders>
            <w:shd w:val="clear" w:color="auto" w:fill="auto"/>
            <w:noWrap/>
            <w:vAlign w:val="bottom"/>
            <w:hideMark/>
          </w:tcPr>
          <w:p w:rsidR="005B6D34" w:rsidRPr="00A438A0" w:rsidRDefault="005B6D34" w:rsidP="003F7163">
            <w:pPr>
              <w:jc w:val="right"/>
              <w:rPr>
                <w:color w:val="000000"/>
                <w:sz w:val="20"/>
                <w:szCs w:val="20"/>
              </w:rPr>
            </w:pPr>
            <w:r w:rsidRPr="00A438A0">
              <w:rPr>
                <w:color w:val="000000"/>
                <w:sz w:val="20"/>
                <w:szCs w:val="20"/>
              </w:rPr>
              <w:t xml:space="preserve">$42.52 </w:t>
            </w:r>
          </w:p>
        </w:tc>
        <w:tc>
          <w:tcPr>
            <w:tcW w:w="1872" w:type="dxa"/>
            <w:tcBorders>
              <w:top w:val="nil"/>
              <w:left w:val="nil"/>
              <w:bottom w:val="nil"/>
              <w:right w:val="nil"/>
            </w:tcBorders>
            <w:shd w:val="clear" w:color="auto" w:fill="auto"/>
            <w:noWrap/>
            <w:vAlign w:val="bottom"/>
            <w:hideMark/>
          </w:tcPr>
          <w:p w:rsidR="005B6D34" w:rsidRPr="00A438A0" w:rsidRDefault="005B6D34" w:rsidP="008648C7">
            <w:pPr>
              <w:jc w:val="right"/>
              <w:rPr>
                <w:color w:val="000000"/>
                <w:sz w:val="20"/>
                <w:szCs w:val="20"/>
              </w:rPr>
            </w:pPr>
            <w:r w:rsidRPr="00A438A0">
              <w:rPr>
                <w:color w:val="000000"/>
                <w:sz w:val="20"/>
                <w:szCs w:val="20"/>
              </w:rPr>
              <w:t>$81.</w:t>
            </w:r>
            <w:r w:rsidR="008648C7">
              <w:rPr>
                <w:color w:val="000000"/>
                <w:sz w:val="20"/>
                <w:szCs w:val="20"/>
              </w:rPr>
              <w:t>47</w:t>
            </w:r>
          </w:p>
        </w:tc>
        <w:tc>
          <w:tcPr>
            <w:tcW w:w="1683" w:type="dxa"/>
            <w:tcBorders>
              <w:top w:val="nil"/>
              <w:left w:val="nil"/>
              <w:bottom w:val="nil"/>
              <w:right w:val="nil"/>
            </w:tcBorders>
            <w:shd w:val="clear" w:color="auto" w:fill="auto"/>
            <w:noWrap/>
            <w:vAlign w:val="bottom"/>
            <w:hideMark/>
          </w:tcPr>
          <w:p w:rsidR="005B6D34" w:rsidRPr="00A438A0" w:rsidRDefault="005B6D34" w:rsidP="008648C7">
            <w:pPr>
              <w:jc w:val="right"/>
              <w:rPr>
                <w:color w:val="000000"/>
                <w:sz w:val="20"/>
                <w:szCs w:val="20"/>
              </w:rPr>
            </w:pPr>
            <w:r w:rsidRPr="00A438A0">
              <w:rPr>
                <w:color w:val="000000"/>
                <w:sz w:val="20"/>
                <w:szCs w:val="20"/>
              </w:rPr>
              <w:t>$80.</w:t>
            </w:r>
            <w:r w:rsidR="008648C7">
              <w:rPr>
                <w:color w:val="000000"/>
                <w:sz w:val="20"/>
                <w:szCs w:val="20"/>
              </w:rPr>
              <w:t>35</w:t>
            </w:r>
            <w:r w:rsidRPr="00A438A0">
              <w:rPr>
                <w:color w:val="000000"/>
                <w:sz w:val="20"/>
                <w:szCs w:val="20"/>
              </w:rPr>
              <w:t xml:space="preserve"> </w:t>
            </w:r>
          </w:p>
        </w:tc>
        <w:tc>
          <w:tcPr>
            <w:tcW w:w="1683" w:type="dxa"/>
            <w:tcBorders>
              <w:top w:val="nil"/>
              <w:left w:val="nil"/>
              <w:bottom w:val="nil"/>
              <w:right w:val="single" w:sz="8" w:space="0" w:color="auto"/>
            </w:tcBorders>
            <w:shd w:val="clear" w:color="auto" w:fill="auto"/>
            <w:noWrap/>
            <w:vAlign w:val="bottom"/>
            <w:hideMark/>
          </w:tcPr>
          <w:p w:rsidR="005B6D34" w:rsidRPr="00A438A0" w:rsidRDefault="005B6D34" w:rsidP="008648C7">
            <w:pPr>
              <w:jc w:val="right"/>
              <w:rPr>
                <w:color w:val="000000"/>
                <w:sz w:val="20"/>
                <w:szCs w:val="20"/>
              </w:rPr>
            </w:pPr>
            <w:r w:rsidRPr="00A438A0">
              <w:rPr>
                <w:color w:val="000000"/>
                <w:sz w:val="20"/>
                <w:szCs w:val="20"/>
              </w:rPr>
              <w:t>$80.</w:t>
            </w:r>
            <w:r w:rsidR="008648C7">
              <w:rPr>
                <w:color w:val="000000"/>
                <w:sz w:val="20"/>
                <w:szCs w:val="20"/>
              </w:rPr>
              <w:t>81</w:t>
            </w:r>
            <w:r w:rsidRPr="00A438A0">
              <w:rPr>
                <w:color w:val="000000"/>
                <w:sz w:val="20"/>
                <w:szCs w:val="20"/>
              </w:rPr>
              <w:t xml:space="preserve"> </w:t>
            </w:r>
          </w:p>
        </w:tc>
      </w:tr>
      <w:tr w:rsidR="005B6D34" w:rsidRPr="00A438A0" w:rsidTr="005B6D34">
        <w:trPr>
          <w:trHeight w:val="265"/>
          <w:jc w:val="center"/>
        </w:trPr>
        <w:tc>
          <w:tcPr>
            <w:tcW w:w="2880" w:type="dxa"/>
            <w:tcBorders>
              <w:top w:val="nil"/>
              <w:left w:val="single" w:sz="8" w:space="0" w:color="000000"/>
              <w:bottom w:val="nil"/>
              <w:right w:val="nil"/>
            </w:tcBorders>
            <w:shd w:val="clear" w:color="auto" w:fill="auto"/>
            <w:noWrap/>
            <w:vAlign w:val="bottom"/>
            <w:hideMark/>
          </w:tcPr>
          <w:p w:rsidR="005B6D34" w:rsidRPr="00A438A0" w:rsidRDefault="005B6D34" w:rsidP="003F7163">
            <w:pPr>
              <w:rPr>
                <w:color w:val="000000"/>
                <w:sz w:val="20"/>
                <w:szCs w:val="20"/>
              </w:rPr>
            </w:pPr>
            <w:r w:rsidRPr="00A438A0">
              <w:rPr>
                <w:color w:val="000000"/>
                <w:sz w:val="20"/>
                <w:szCs w:val="20"/>
              </w:rPr>
              <w:t>6,000 Gallons</w:t>
            </w:r>
          </w:p>
        </w:tc>
        <w:tc>
          <w:tcPr>
            <w:tcW w:w="1319" w:type="dxa"/>
            <w:tcBorders>
              <w:top w:val="nil"/>
              <w:left w:val="nil"/>
              <w:bottom w:val="nil"/>
              <w:right w:val="nil"/>
            </w:tcBorders>
            <w:shd w:val="clear" w:color="auto" w:fill="auto"/>
            <w:noWrap/>
            <w:vAlign w:val="bottom"/>
            <w:hideMark/>
          </w:tcPr>
          <w:p w:rsidR="005B6D34" w:rsidRPr="00A438A0" w:rsidRDefault="005B6D34" w:rsidP="003F7163">
            <w:pPr>
              <w:jc w:val="right"/>
              <w:rPr>
                <w:color w:val="000000"/>
                <w:sz w:val="20"/>
                <w:szCs w:val="20"/>
              </w:rPr>
            </w:pPr>
            <w:r w:rsidRPr="00A438A0">
              <w:rPr>
                <w:color w:val="000000"/>
                <w:sz w:val="20"/>
                <w:szCs w:val="20"/>
              </w:rPr>
              <w:t xml:space="preserve">$68.88 </w:t>
            </w:r>
          </w:p>
        </w:tc>
        <w:tc>
          <w:tcPr>
            <w:tcW w:w="1872" w:type="dxa"/>
            <w:tcBorders>
              <w:top w:val="nil"/>
              <w:left w:val="nil"/>
              <w:bottom w:val="nil"/>
              <w:right w:val="nil"/>
            </w:tcBorders>
            <w:shd w:val="clear" w:color="auto" w:fill="auto"/>
            <w:noWrap/>
            <w:vAlign w:val="bottom"/>
            <w:hideMark/>
          </w:tcPr>
          <w:p w:rsidR="005B6D34" w:rsidRPr="00A438A0" w:rsidRDefault="005B6D34" w:rsidP="008648C7">
            <w:pPr>
              <w:jc w:val="right"/>
              <w:rPr>
                <w:color w:val="000000"/>
                <w:sz w:val="20"/>
                <w:szCs w:val="20"/>
              </w:rPr>
            </w:pPr>
            <w:r w:rsidRPr="00A438A0">
              <w:rPr>
                <w:color w:val="000000"/>
                <w:sz w:val="20"/>
                <w:szCs w:val="20"/>
              </w:rPr>
              <w:t>$</w:t>
            </w:r>
            <w:r w:rsidR="008648C7">
              <w:rPr>
                <w:color w:val="000000"/>
                <w:sz w:val="20"/>
                <w:szCs w:val="20"/>
              </w:rPr>
              <w:t>143.79</w:t>
            </w:r>
          </w:p>
        </w:tc>
        <w:tc>
          <w:tcPr>
            <w:tcW w:w="1683" w:type="dxa"/>
            <w:tcBorders>
              <w:top w:val="nil"/>
              <w:left w:val="nil"/>
              <w:bottom w:val="nil"/>
              <w:right w:val="nil"/>
            </w:tcBorders>
            <w:shd w:val="clear" w:color="auto" w:fill="auto"/>
            <w:noWrap/>
            <w:vAlign w:val="bottom"/>
            <w:hideMark/>
          </w:tcPr>
          <w:p w:rsidR="005B6D34" w:rsidRPr="00A438A0" w:rsidRDefault="008648C7" w:rsidP="003F7163">
            <w:pPr>
              <w:jc w:val="right"/>
              <w:rPr>
                <w:color w:val="000000"/>
                <w:sz w:val="20"/>
                <w:szCs w:val="20"/>
              </w:rPr>
            </w:pPr>
            <w:r>
              <w:rPr>
                <w:color w:val="000000"/>
                <w:sz w:val="20"/>
                <w:szCs w:val="20"/>
              </w:rPr>
              <w:t>$149.59</w:t>
            </w:r>
            <w:r w:rsidR="005B6D34" w:rsidRPr="00A438A0">
              <w:rPr>
                <w:color w:val="000000"/>
                <w:sz w:val="20"/>
                <w:szCs w:val="20"/>
              </w:rPr>
              <w:t xml:space="preserve"> </w:t>
            </w:r>
          </w:p>
        </w:tc>
        <w:tc>
          <w:tcPr>
            <w:tcW w:w="1683" w:type="dxa"/>
            <w:tcBorders>
              <w:top w:val="nil"/>
              <w:left w:val="nil"/>
              <w:bottom w:val="nil"/>
              <w:right w:val="single" w:sz="8" w:space="0" w:color="auto"/>
            </w:tcBorders>
            <w:shd w:val="clear" w:color="auto" w:fill="auto"/>
            <w:noWrap/>
            <w:vAlign w:val="bottom"/>
            <w:hideMark/>
          </w:tcPr>
          <w:p w:rsidR="005B6D34" w:rsidRPr="00A438A0" w:rsidRDefault="008648C7" w:rsidP="003F7163">
            <w:pPr>
              <w:jc w:val="right"/>
              <w:rPr>
                <w:color w:val="000000"/>
                <w:sz w:val="20"/>
                <w:szCs w:val="20"/>
              </w:rPr>
            </w:pPr>
            <w:r>
              <w:rPr>
                <w:color w:val="000000"/>
                <w:sz w:val="20"/>
                <w:szCs w:val="20"/>
              </w:rPr>
              <w:t>$141.81</w:t>
            </w:r>
            <w:r w:rsidR="005B6D34" w:rsidRPr="00A438A0">
              <w:rPr>
                <w:color w:val="000000"/>
                <w:sz w:val="20"/>
                <w:szCs w:val="20"/>
              </w:rPr>
              <w:t xml:space="preserve"> </w:t>
            </w:r>
          </w:p>
        </w:tc>
      </w:tr>
      <w:tr w:rsidR="005B6D34" w:rsidRPr="00A438A0" w:rsidTr="005B6D34">
        <w:trPr>
          <w:trHeight w:val="265"/>
          <w:jc w:val="center"/>
        </w:trPr>
        <w:tc>
          <w:tcPr>
            <w:tcW w:w="2880" w:type="dxa"/>
            <w:tcBorders>
              <w:top w:val="nil"/>
              <w:left w:val="single" w:sz="8" w:space="0" w:color="000000"/>
              <w:bottom w:val="nil"/>
              <w:right w:val="nil"/>
            </w:tcBorders>
            <w:shd w:val="clear" w:color="auto" w:fill="auto"/>
            <w:noWrap/>
            <w:vAlign w:val="bottom"/>
            <w:hideMark/>
          </w:tcPr>
          <w:p w:rsidR="005B6D34" w:rsidRPr="00A438A0" w:rsidRDefault="005B6D34" w:rsidP="003F7163">
            <w:pPr>
              <w:rPr>
                <w:color w:val="000000"/>
                <w:sz w:val="20"/>
                <w:szCs w:val="20"/>
              </w:rPr>
            </w:pPr>
            <w:r w:rsidRPr="00A438A0">
              <w:rPr>
                <w:color w:val="000000"/>
                <w:sz w:val="20"/>
                <w:szCs w:val="20"/>
              </w:rPr>
              <w:t>8,000 Gallons</w:t>
            </w:r>
          </w:p>
        </w:tc>
        <w:tc>
          <w:tcPr>
            <w:tcW w:w="1319" w:type="dxa"/>
            <w:tcBorders>
              <w:top w:val="nil"/>
              <w:left w:val="nil"/>
              <w:bottom w:val="nil"/>
              <w:right w:val="nil"/>
            </w:tcBorders>
            <w:shd w:val="clear" w:color="auto" w:fill="auto"/>
            <w:noWrap/>
            <w:vAlign w:val="bottom"/>
            <w:hideMark/>
          </w:tcPr>
          <w:p w:rsidR="005B6D34" w:rsidRPr="00A438A0" w:rsidRDefault="005B6D34" w:rsidP="003F7163">
            <w:pPr>
              <w:jc w:val="right"/>
              <w:rPr>
                <w:color w:val="000000"/>
                <w:sz w:val="20"/>
                <w:szCs w:val="20"/>
              </w:rPr>
            </w:pPr>
            <w:r w:rsidRPr="00A438A0">
              <w:rPr>
                <w:color w:val="000000"/>
                <w:sz w:val="20"/>
                <w:szCs w:val="20"/>
              </w:rPr>
              <w:t xml:space="preserve">$82.06 </w:t>
            </w:r>
          </w:p>
        </w:tc>
        <w:tc>
          <w:tcPr>
            <w:tcW w:w="1872" w:type="dxa"/>
            <w:tcBorders>
              <w:top w:val="nil"/>
              <w:left w:val="nil"/>
              <w:bottom w:val="nil"/>
              <w:right w:val="nil"/>
            </w:tcBorders>
            <w:shd w:val="clear" w:color="auto" w:fill="auto"/>
            <w:noWrap/>
            <w:vAlign w:val="bottom"/>
            <w:hideMark/>
          </w:tcPr>
          <w:p w:rsidR="005B6D34" w:rsidRPr="00A438A0" w:rsidRDefault="008648C7" w:rsidP="003F7163">
            <w:pPr>
              <w:jc w:val="right"/>
              <w:rPr>
                <w:color w:val="000000"/>
                <w:sz w:val="20"/>
                <w:szCs w:val="20"/>
              </w:rPr>
            </w:pPr>
            <w:r>
              <w:rPr>
                <w:color w:val="000000"/>
                <w:sz w:val="20"/>
                <w:szCs w:val="20"/>
              </w:rPr>
              <w:t>$143.79</w:t>
            </w:r>
            <w:r w:rsidR="005B6D34" w:rsidRPr="00A438A0">
              <w:rPr>
                <w:color w:val="000000"/>
                <w:sz w:val="20"/>
                <w:szCs w:val="20"/>
              </w:rPr>
              <w:t xml:space="preserve"> </w:t>
            </w:r>
          </w:p>
        </w:tc>
        <w:tc>
          <w:tcPr>
            <w:tcW w:w="1683" w:type="dxa"/>
            <w:tcBorders>
              <w:top w:val="nil"/>
              <w:left w:val="nil"/>
              <w:bottom w:val="nil"/>
              <w:right w:val="nil"/>
            </w:tcBorders>
            <w:shd w:val="clear" w:color="auto" w:fill="auto"/>
            <w:noWrap/>
            <w:vAlign w:val="bottom"/>
            <w:hideMark/>
          </w:tcPr>
          <w:p w:rsidR="005B6D34" w:rsidRPr="00A438A0" w:rsidRDefault="008648C7" w:rsidP="003F7163">
            <w:pPr>
              <w:jc w:val="right"/>
              <w:rPr>
                <w:color w:val="000000"/>
                <w:sz w:val="20"/>
                <w:szCs w:val="20"/>
              </w:rPr>
            </w:pPr>
            <w:r>
              <w:rPr>
                <w:color w:val="000000"/>
                <w:sz w:val="20"/>
                <w:szCs w:val="20"/>
              </w:rPr>
              <w:t>$149.59</w:t>
            </w:r>
            <w:r w:rsidR="005B6D34" w:rsidRPr="00A438A0">
              <w:rPr>
                <w:color w:val="000000"/>
                <w:sz w:val="20"/>
                <w:szCs w:val="20"/>
              </w:rPr>
              <w:t xml:space="preserve"> </w:t>
            </w:r>
          </w:p>
        </w:tc>
        <w:tc>
          <w:tcPr>
            <w:tcW w:w="1683" w:type="dxa"/>
            <w:tcBorders>
              <w:top w:val="nil"/>
              <w:left w:val="nil"/>
              <w:bottom w:val="nil"/>
              <w:right w:val="single" w:sz="8" w:space="0" w:color="auto"/>
            </w:tcBorders>
            <w:shd w:val="clear" w:color="auto" w:fill="auto"/>
            <w:noWrap/>
            <w:vAlign w:val="bottom"/>
            <w:hideMark/>
          </w:tcPr>
          <w:p w:rsidR="005B6D34" w:rsidRPr="00A438A0" w:rsidRDefault="005B6D34" w:rsidP="008648C7">
            <w:pPr>
              <w:jc w:val="right"/>
              <w:rPr>
                <w:color w:val="000000"/>
                <w:sz w:val="20"/>
                <w:szCs w:val="20"/>
              </w:rPr>
            </w:pPr>
            <w:r w:rsidRPr="00A438A0">
              <w:rPr>
                <w:color w:val="000000"/>
                <w:sz w:val="20"/>
                <w:szCs w:val="20"/>
              </w:rPr>
              <w:t>$172.</w:t>
            </w:r>
            <w:r w:rsidR="008648C7">
              <w:rPr>
                <w:color w:val="000000"/>
                <w:sz w:val="20"/>
                <w:szCs w:val="20"/>
              </w:rPr>
              <w:t>31</w:t>
            </w:r>
            <w:r w:rsidRPr="00A438A0">
              <w:rPr>
                <w:color w:val="000000"/>
                <w:sz w:val="20"/>
                <w:szCs w:val="20"/>
              </w:rPr>
              <w:t xml:space="preserve"> </w:t>
            </w:r>
          </w:p>
        </w:tc>
      </w:tr>
      <w:tr w:rsidR="005B6D34" w:rsidRPr="00A438A0" w:rsidTr="005B6D34">
        <w:trPr>
          <w:trHeight w:val="278"/>
          <w:jc w:val="center"/>
        </w:trPr>
        <w:tc>
          <w:tcPr>
            <w:tcW w:w="2880" w:type="dxa"/>
            <w:tcBorders>
              <w:top w:val="nil"/>
              <w:left w:val="single" w:sz="8" w:space="0" w:color="000000"/>
              <w:bottom w:val="single" w:sz="8" w:space="0" w:color="000000"/>
              <w:right w:val="nil"/>
            </w:tcBorders>
            <w:shd w:val="clear" w:color="auto" w:fill="auto"/>
            <w:noWrap/>
            <w:vAlign w:val="bottom"/>
            <w:hideMark/>
          </w:tcPr>
          <w:p w:rsidR="005B6D34" w:rsidRPr="00A438A0" w:rsidRDefault="005B6D34" w:rsidP="003F7163">
            <w:pPr>
              <w:rPr>
                <w:color w:val="000000"/>
                <w:sz w:val="20"/>
                <w:szCs w:val="20"/>
              </w:rPr>
            </w:pPr>
            <w:r w:rsidRPr="00A438A0">
              <w:rPr>
                <w:color w:val="000000"/>
                <w:sz w:val="20"/>
                <w:szCs w:val="20"/>
              </w:rPr>
              <w:t> </w:t>
            </w:r>
          </w:p>
        </w:tc>
        <w:tc>
          <w:tcPr>
            <w:tcW w:w="1319" w:type="dxa"/>
            <w:tcBorders>
              <w:top w:val="nil"/>
              <w:left w:val="nil"/>
              <w:bottom w:val="single" w:sz="8" w:space="0" w:color="000000"/>
              <w:right w:val="nil"/>
            </w:tcBorders>
            <w:shd w:val="clear" w:color="auto" w:fill="auto"/>
            <w:noWrap/>
            <w:vAlign w:val="bottom"/>
            <w:hideMark/>
          </w:tcPr>
          <w:p w:rsidR="005B6D34" w:rsidRPr="00A438A0" w:rsidRDefault="005B6D34" w:rsidP="003F7163">
            <w:pPr>
              <w:jc w:val="right"/>
              <w:rPr>
                <w:color w:val="000000"/>
                <w:sz w:val="20"/>
                <w:szCs w:val="20"/>
              </w:rPr>
            </w:pPr>
            <w:r w:rsidRPr="00A438A0">
              <w:rPr>
                <w:color w:val="000000"/>
                <w:sz w:val="20"/>
                <w:szCs w:val="20"/>
              </w:rPr>
              <w:t> </w:t>
            </w:r>
          </w:p>
        </w:tc>
        <w:tc>
          <w:tcPr>
            <w:tcW w:w="1872" w:type="dxa"/>
            <w:tcBorders>
              <w:top w:val="nil"/>
              <w:left w:val="nil"/>
              <w:bottom w:val="single" w:sz="8" w:space="0" w:color="000000"/>
              <w:right w:val="nil"/>
            </w:tcBorders>
            <w:shd w:val="clear" w:color="auto" w:fill="auto"/>
            <w:noWrap/>
            <w:vAlign w:val="bottom"/>
            <w:hideMark/>
          </w:tcPr>
          <w:p w:rsidR="005B6D34" w:rsidRPr="00A438A0" w:rsidRDefault="005B6D34" w:rsidP="003F7163">
            <w:pPr>
              <w:jc w:val="right"/>
              <w:rPr>
                <w:color w:val="000000"/>
                <w:sz w:val="20"/>
                <w:szCs w:val="20"/>
              </w:rPr>
            </w:pPr>
            <w:r w:rsidRPr="00A438A0">
              <w:rPr>
                <w:color w:val="000000"/>
                <w:sz w:val="20"/>
                <w:szCs w:val="20"/>
              </w:rPr>
              <w:t> </w:t>
            </w:r>
          </w:p>
        </w:tc>
        <w:tc>
          <w:tcPr>
            <w:tcW w:w="1683" w:type="dxa"/>
            <w:tcBorders>
              <w:top w:val="nil"/>
              <w:left w:val="nil"/>
              <w:bottom w:val="single" w:sz="8" w:space="0" w:color="000000"/>
              <w:right w:val="nil"/>
            </w:tcBorders>
            <w:shd w:val="clear" w:color="auto" w:fill="auto"/>
            <w:noWrap/>
            <w:vAlign w:val="bottom"/>
            <w:hideMark/>
          </w:tcPr>
          <w:p w:rsidR="005B6D34" w:rsidRPr="00A438A0" w:rsidRDefault="005B6D34" w:rsidP="003F7163">
            <w:pPr>
              <w:jc w:val="right"/>
              <w:rPr>
                <w:color w:val="000000"/>
                <w:sz w:val="20"/>
                <w:szCs w:val="20"/>
              </w:rPr>
            </w:pPr>
            <w:r w:rsidRPr="00A438A0">
              <w:rPr>
                <w:color w:val="000000"/>
                <w:sz w:val="20"/>
                <w:szCs w:val="20"/>
              </w:rPr>
              <w:t> </w:t>
            </w:r>
          </w:p>
        </w:tc>
        <w:tc>
          <w:tcPr>
            <w:tcW w:w="1683" w:type="dxa"/>
            <w:tcBorders>
              <w:top w:val="nil"/>
              <w:left w:val="nil"/>
              <w:bottom w:val="single" w:sz="8" w:space="0" w:color="000000"/>
              <w:right w:val="single" w:sz="8" w:space="0" w:color="000000"/>
            </w:tcBorders>
            <w:shd w:val="clear" w:color="auto" w:fill="auto"/>
            <w:noWrap/>
            <w:vAlign w:val="bottom"/>
            <w:hideMark/>
          </w:tcPr>
          <w:p w:rsidR="005B6D34" w:rsidRPr="00A438A0" w:rsidRDefault="005B6D34" w:rsidP="003F7163">
            <w:pPr>
              <w:jc w:val="right"/>
              <w:rPr>
                <w:color w:val="000000"/>
                <w:sz w:val="20"/>
                <w:szCs w:val="20"/>
              </w:rPr>
            </w:pPr>
            <w:r w:rsidRPr="00A438A0">
              <w:rPr>
                <w:color w:val="000000"/>
                <w:sz w:val="20"/>
                <w:szCs w:val="20"/>
              </w:rPr>
              <w:t> </w:t>
            </w:r>
          </w:p>
        </w:tc>
      </w:tr>
    </w:tbl>
    <w:p w:rsidR="005B6D34" w:rsidRPr="001E6F78" w:rsidRDefault="001E6F78" w:rsidP="00BA291C">
      <w:pPr>
        <w:pStyle w:val="BodyText"/>
        <w:spacing w:after="0"/>
      </w:pPr>
      <w:r>
        <w:t>Source: MFRs and staff’s calculations</w:t>
      </w:r>
    </w:p>
    <w:p w:rsidR="005B6D34" w:rsidRDefault="005B6D34" w:rsidP="00BA291C">
      <w:pPr>
        <w:pStyle w:val="BodyText"/>
        <w:spacing w:after="0"/>
        <w:rPr>
          <w:rFonts w:ascii="Arial" w:hAnsi="Arial" w:cs="Arial"/>
          <w:b/>
        </w:rPr>
      </w:pPr>
    </w:p>
    <w:p w:rsidR="001E6F78" w:rsidRDefault="001E6F78" w:rsidP="00BA291C">
      <w:pPr>
        <w:pStyle w:val="BodyText"/>
        <w:spacing w:after="0"/>
        <w:rPr>
          <w:rFonts w:ascii="Arial" w:hAnsi="Arial" w:cs="Arial"/>
          <w:b/>
        </w:rPr>
      </w:pPr>
    </w:p>
    <w:p w:rsidR="002C06F9" w:rsidRPr="00A438A0" w:rsidRDefault="002C06F9" w:rsidP="00BA291C">
      <w:pPr>
        <w:pStyle w:val="BodyText"/>
        <w:spacing w:after="0"/>
        <w:rPr>
          <w:rFonts w:ascii="Arial" w:hAnsi="Arial" w:cs="Arial"/>
          <w:b/>
        </w:rPr>
      </w:pPr>
      <w:r w:rsidRPr="00A438A0">
        <w:rPr>
          <w:rFonts w:ascii="Arial" w:hAnsi="Arial" w:cs="Arial"/>
          <w:b/>
        </w:rPr>
        <w:t>Summary</w:t>
      </w:r>
    </w:p>
    <w:p w:rsidR="00F34855" w:rsidRPr="00A438A0" w:rsidRDefault="002C06F9" w:rsidP="001E6F78">
      <w:pPr>
        <w:pStyle w:val="BodyText"/>
      </w:pPr>
      <w:r w:rsidRPr="00A438A0">
        <w:t>The recommended rate structures and monthly wastewater rates are shown on Schedule No. 4</w:t>
      </w:r>
      <w:r w:rsidR="00A27641" w:rsidRPr="00A438A0">
        <w:t xml:space="preserve">. </w:t>
      </w:r>
      <w:r w:rsidR="00913AC2" w:rsidRPr="00A438A0">
        <w:t>The u</w:t>
      </w:r>
      <w:r w:rsidRPr="00A438A0">
        <w:t>tility should file revised tariff sheets and a proposed customer notice to reflect the Commission-approved rates</w:t>
      </w:r>
      <w:r w:rsidR="00A27641" w:rsidRPr="00A438A0">
        <w:t xml:space="preserve">. </w:t>
      </w:r>
      <w:r w:rsidRPr="00A438A0">
        <w:t>The approved rates should be effective for service rendered on or after the stamped ap</w:t>
      </w:r>
      <w:r w:rsidR="00D054C6" w:rsidRPr="00A438A0">
        <w:t>proval date on the tariff sheets</w:t>
      </w:r>
      <w:r w:rsidRPr="00A438A0">
        <w:t xml:space="preserve"> pursuant to Rule 25-30.475(1), F.A.C</w:t>
      </w:r>
      <w:r w:rsidR="00A27641" w:rsidRPr="00A438A0">
        <w:t xml:space="preserve">. </w:t>
      </w:r>
      <w:r w:rsidRPr="00A438A0">
        <w:t>In addition, the approved rates should not be implemented until staff has approved the proposed customer notice and the notice has been r</w:t>
      </w:r>
      <w:r w:rsidR="00913AC2" w:rsidRPr="00A438A0">
        <w:t>eceived by the customers</w:t>
      </w:r>
      <w:r w:rsidR="00A27641" w:rsidRPr="00A438A0">
        <w:t xml:space="preserve">. </w:t>
      </w:r>
      <w:r w:rsidR="00913AC2" w:rsidRPr="00A438A0">
        <w:t>The u</w:t>
      </w:r>
      <w:r w:rsidRPr="00A438A0">
        <w:t>tility should provide proof of the date notice was given within 10 days of the date of the notice.</w:t>
      </w:r>
      <w:r w:rsidR="005B0C85" w:rsidRPr="00A438A0">
        <w:t xml:space="preserve"> </w:t>
      </w:r>
      <w:r w:rsidR="00F62793" w:rsidRPr="00A438A0">
        <w:t xml:space="preserve">  </w:t>
      </w:r>
      <w:r w:rsidR="00D15429" w:rsidRPr="00A438A0">
        <w:br w:type="page"/>
      </w:r>
    </w:p>
    <w:p w:rsidR="00D15429" w:rsidRPr="00A438A0" w:rsidRDefault="00D15429">
      <w:pPr>
        <w:pStyle w:val="IssueHeading"/>
        <w:rPr>
          <w:vanish/>
          <w:specVanish/>
        </w:rPr>
      </w:pPr>
      <w:r w:rsidRPr="00A438A0">
        <w:lastRenderedPageBreak/>
        <w:t xml:space="preserve">Issue </w:t>
      </w:r>
      <w:r w:rsidR="006D42F5">
        <w:fldChar w:fldCharType="begin"/>
      </w:r>
      <w:r w:rsidR="006D42F5">
        <w:instrText xml:space="preserve"> SEQ Issue \* MERGEFORMAT </w:instrText>
      </w:r>
      <w:r w:rsidR="006D42F5">
        <w:fldChar w:fldCharType="separate"/>
      </w:r>
      <w:r w:rsidR="00A05B79">
        <w:rPr>
          <w:noProof/>
        </w:rPr>
        <w:t>18</w:t>
      </w:r>
      <w:r w:rsidR="006D42F5">
        <w:rPr>
          <w:noProof/>
        </w:rPr>
        <w:fldChar w:fldCharType="end"/>
      </w:r>
      <w:r w:rsidRPr="00A438A0">
        <w:t>:</w:t>
      </w:r>
      <w:r w:rsidRPr="00A438A0">
        <w:fldChar w:fldCharType="begin"/>
      </w:r>
      <w:r w:rsidRPr="00A438A0">
        <w:instrText xml:space="preserve"> TC "</w:instrText>
      </w:r>
      <w:r w:rsidRPr="00A438A0">
        <w:fldChar w:fldCharType="begin"/>
      </w:r>
      <w:r w:rsidRPr="00A438A0">
        <w:instrText xml:space="preserve"> SEQ issue \c </w:instrText>
      </w:r>
      <w:r w:rsidRPr="00A438A0">
        <w:fldChar w:fldCharType="separate"/>
      </w:r>
      <w:bookmarkStart w:id="33" w:name="_Toc435607952"/>
      <w:r w:rsidR="00A05B79">
        <w:rPr>
          <w:noProof/>
        </w:rPr>
        <w:instrText>18</w:instrText>
      </w:r>
      <w:r w:rsidRPr="00A438A0">
        <w:fldChar w:fldCharType="end"/>
      </w:r>
      <w:r w:rsidRPr="00A438A0">
        <w:tab/>
      </w:r>
      <w:r w:rsidR="00BD6217" w:rsidRPr="00A438A0">
        <w:instrText xml:space="preserve">Interim </w:instrText>
      </w:r>
      <w:r w:rsidR="004F34CE" w:rsidRPr="00A438A0">
        <w:instrText>R</w:instrText>
      </w:r>
      <w:r w:rsidR="00BD6217" w:rsidRPr="00A438A0">
        <w:instrText>efund (D. Buys)</w:instrText>
      </w:r>
      <w:bookmarkEnd w:id="33"/>
      <w:r w:rsidRPr="00A438A0">
        <w:instrText xml:space="preserve">" \l 1 </w:instrText>
      </w:r>
      <w:r w:rsidRPr="00A438A0">
        <w:fldChar w:fldCharType="end"/>
      </w:r>
      <w:r w:rsidRPr="00A438A0">
        <w:t> </w:t>
      </w:r>
    </w:p>
    <w:p w:rsidR="00D15429" w:rsidRPr="00A438A0" w:rsidRDefault="00D15429">
      <w:pPr>
        <w:pStyle w:val="BodyText"/>
      </w:pPr>
      <w:r w:rsidRPr="00A438A0">
        <w:t> In determining whether any portion of the interim water and wastewater revenue increase granted should be refunded, how should the refund be calculated, and what is the amount of the refund, if any?</w:t>
      </w:r>
    </w:p>
    <w:p w:rsidR="00D15429" w:rsidRPr="00A438A0" w:rsidRDefault="00D15429">
      <w:pPr>
        <w:pStyle w:val="IssueSubsectionHeading"/>
        <w:rPr>
          <w:vanish/>
          <w:specVanish/>
        </w:rPr>
      </w:pPr>
      <w:r w:rsidRPr="00A438A0">
        <w:t>Recommendation: </w:t>
      </w:r>
    </w:p>
    <w:p w:rsidR="00D15429" w:rsidRPr="00A438A0" w:rsidRDefault="00D15429">
      <w:pPr>
        <w:pStyle w:val="BodyText"/>
      </w:pPr>
      <w:r w:rsidRPr="00A438A0">
        <w:t> </w:t>
      </w:r>
      <w:r w:rsidR="00876620" w:rsidRPr="00A438A0">
        <w:t>The appropriate refund amount should be calculated by using the same data used to establish final rates, excluding rate case expense and other items not in effect during the interim period. The revised revenue requirements for the interim collection period should be compared to the amount of interim revenues granted. Based on this methodology, no refund is necessary. As a result, the corporate undertaking amount of $356,608 should be released.</w:t>
      </w:r>
      <w:r w:rsidRPr="00A438A0">
        <w:t xml:space="preserve"> (D. Buys)</w:t>
      </w:r>
    </w:p>
    <w:p w:rsidR="00D15429" w:rsidRPr="00A438A0" w:rsidRDefault="00D15429">
      <w:pPr>
        <w:pStyle w:val="IssueSubsectionHeading"/>
        <w:rPr>
          <w:vanish/>
          <w:specVanish/>
        </w:rPr>
      </w:pPr>
      <w:r w:rsidRPr="00A438A0">
        <w:t>Staff Analysis: </w:t>
      </w:r>
    </w:p>
    <w:p w:rsidR="00876620" w:rsidRPr="00A438A0" w:rsidRDefault="00D15429" w:rsidP="00876620">
      <w:pPr>
        <w:pStyle w:val="BodyText"/>
      </w:pPr>
      <w:r w:rsidRPr="00A438A0">
        <w:t> </w:t>
      </w:r>
      <w:r w:rsidR="00876620" w:rsidRPr="00A438A0">
        <w:t>By Order No. PSC-15-0320-FOF-WS, the Commission authorized the collection of interim rates, and required the utility to hold $356,608 subject to refund pursuant to Section 367.082, F.S. According to Section 367.082, F.S., any refund should be calculated to reduce the rate of return of the utility during the pendency of the proceeding to the same level within the range of the newly authorized rate of return. Adjustments made in the rate case test period that do not relate to the period interim rates are in effect should be removed. Rate case expense is an example of an adjustment which is recovered only after final rates are established.</w:t>
      </w:r>
    </w:p>
    <w:p w:rsidR="00876620" w:rsidRPr="00A438A0" w:rsidRDefault="00876620" w:rsidP="00876620">
      <w:pPr>
        <w:pStyle w:val="BodyText"/>
      </w:pPr>
      <w:r w:rsidRPr="00A438A0">
        <w:t xml:space="preserve">In this proceeding, the test period for establishment of interim and final rates is the 12-month period ended December 31, 2014. Sandalhaven’s approved interim rates did not include any provision for pro forma operating expenses or plant. The interim increase was designed to allow recovery of actual interest costs, and the lower limit of the last authorized range of return on equity. To establish the proper refund amount, staff calculated revised interim revenue requirements utilizing the same data used to establish final rates. Rate case expense was excluded because this item is prospective in nature and did not occur during the interim collection period.  </w:t>
      </w:r>
    </w:p>
    <w:p w:rsidR="00D15429" w:rsidRPr="00A438A0" w:rsidRDefault="00876620" w:rsidP="00876620">
      <w:pPr>
        <w:pStyle w:val="BodyText"/>
      </w:pPr>
      <w:r w:rsidRPr="00A438A0">
        <w:t>Using the principles discussed above, staff calculated an adjusted interim revenue requirement of $1,260,294 for wastewater. The adjusted wastewater interim revenue requirement of $1,260,294 is higher than the interim revenue requirement of $786,742 granted in the Interim Order. As a result, no refund is necessary. Based on the above, staff recommends that the corporate undertaking amount of $356,608 be released.</w:t>
      </w:r>
    </w:p>
    <w:p w:rsidR="00BD6217" w:rsidRPr="00A438A0" w:rsidRDefault="00BD6217">
      <w:pPr>
        <w:pStyle w:val="IssueHeading"/>
        <w:rPr>
          <w:vanish/>
          <w:specVanish/>
        </w:rPr>
      </w:pPr>
      <w:r w:rsidRPr="00A438A0">
        <w:rPr>
          <w:b w:val="0"/>
          <w:i w:val="0"/>
        </w:rPr>
        <w:br w:type="page"/>
      </w:r>
      <w:r w:rsidRPr="00A438A0">
        <w:lastRenderedPageBreak/>
        <w:t xml:space="preserve">Issue </w:t>
      </w:r>
      <w:r w:rsidR="006D42F5">
        <w:fldChar w:fldCharType="begin"/>
      </w:r>
      <w:r w:rsidR="006D42F5">
        <w:instrText xml:space="preserve"> SEQ Issue \* MERGEFORMAT </w:instrText>
      </w:r>
      <w:r w:rsidR="006D42F5">
        <w:fldChar w:fldCharType="separate"/>
      </w:r>
      <w:r w:rsidR="00A05B79">
        <w:rPr>
          <w:noProof/>
        </w:rPr>
        <w:t>19</w:t>
      </w:r>
      <w:r w:rsidR="006D42F5">
        <w:rPr>
          <w:noProof/>
        </w:rPr>
        <w:fldChar w:fldCharType="end"/>
      </w:r>
      <w:r w:rsidRPr="00A438A0">
        <w:t>:</w:t>
      </w:r>
      <w:r w:rsidRPr="00A438A0">
        <w:fldChar w:fldCharType="begin"/>
      </w:r>
      <w:r w:rsidRPr="00A438A0">
        <w:instrText xml:space="preserve"> TC "</w:instrText>
      </w:r>
      <w:r w:rsidRPr="00A438A0">
        <w:fldChar w:fldCharType="begin"/>
      </w:r>
      <w:r w:rsidRPr="00A438A0">
        <w:instrText xml:space="preserve"> SEQ issue \c </w:instrText>
      </w:r>
      <w:r w:rsidRPr="00A438A0">
        <w:fldChar w:fldCharType="separate"/>
      </w:r>
      <w:bookmarkStart w:id="34" w:name="_Toc435607953"/>
      <w:r w:rsidR="00A05B79">
        <w:rPr>
          <w:noProof/>
        </w:rPr>
        <w:instrText>19</w:instrText>
      </w:r>
      <w:r w:rsidRPr="00A438A0">
        <w:fldChar w:fldCharType="end"/>
      </w:r>
      <w:r w:rsidRPr="00A438A0">
        <w:tab/>
      </w:r>
      <w:r w:rsidR="004C1ED9" w:rsidRPr="00A438A0">
        <w:instrText>Four Year Rate Reduction (Bruce, D. Buys)</w:instrText>
      </w:r>
      <w:bookmarkEnd w:id="34"/>
      <w:r w:rsidRPr="00A438A0">
        <w:instrText xml:space="preserve">" \l 1 </w:instrText>
      </w:r>
      <w:r w:rsidRPr="00A438A0">
        <w:fldChar w:fldCharType="end"/>
      </w:r>
      <w:r w:rsidRPr="00A438A0">
        <w:t> </w:t>
      </w:r>
    </w:p>
    <w:p w:rsidR="00BD6217" w:rsidRPr="00A438A0" w:rsidRDefault="00BD6217">
      <w:pPr>
        <w:pStyle w:val="BodyText"/>
      </w:pPr>
      <w:r w:rsidRPr="00A438A0">
        <w:t> What is the appropriate amount by which rates should be reduced four years after the established effective date to reflect the removal of the amortized rate case expense as required by Section 367.0816, Florida Statutes?</w:t>
      </w:r>
    </w:p>
    <w:p w:rsidR="00BD6217" w:rsidRPr="00A438A0" w:rsidRDefault="00BD6217">
      <w:pPr>
        <w:pStyle w:val="IssueSubsectionHeading"/>
        <w:rPr>
          <w:vanish/>
          <w:specVanish/>
        </w:rPr>
      </w:pPr>
      <w:r w:rsidRPr="00A438A0">
        <w:t>Recommendation: </w:t>
      </w:r>
    </w:p>
    <w:p w:rsidR="00BD6217" w:rsidRPr="00A438A0" w:rsidRDefault="00BD6217">
      <w:pPr>
        <w:pStyle w:val="BodyText"/>
      </w:pPr>
      <w:r w:rsidRPr="00A438A0">
        <w:t> </w:t>
      </w:r>
      <w:r w:rsidR="00876620" w:rsidRPr="00A438A0">
        <w:t xml:space="preserve">The wastewater rates should be reduced as shown on Schedule No. 4 to remove rate case expense grossed-up for regulatory assessment fees (RAFs) and amortized over a four-year period effective immediately following the expiration of the four-year rate case expense recovery period, pursuant to Section 367.0816, F.S. Sandalhaven should be required to file revised tariffs and a proposed customer notice setting forth the lower rates and the reason for the reduction no later than one month prior to the actual date of the required </w:t>
      </w:r>
      <w:r w:rsidR="00423DCC" w:rsidRPr="00A438A0">
        <w:t xml:space="preserve">respective </w:t>
      </w:r>
      <w:r w:rsidR="00876620" w:rsidRPr="00A438A0">
        <w:t>rate reduction</w:t>
      </w:r>
      <w:r w:rsidR="00CB65D8">
        <w:t>s</w:t>
      </w:r>
      <w:r w:rsidR="00876620" w:rsidRPr="00A438A0">
        <w:t xml:space="preserve">. If the utility files this reduction in conjunction with a price index or pass-through rate adjustment, separate data should be filed for the price index and/or pass-through increase or decrease and the reduction in the rates due to the amortized rate case expense. </w:t>
      </w:r>
      <w:r w:rsidRPr="00A438A0">
        <w:t xml:space="preserve"> (Bruce, D. Buys)</w:t>
      </w:r>
    </w:p>
    <w:p w:rsidR="00BD6217" w:rsidRPr="00A438A0" w:rsidRDefault="00BD6217">
      <w:pPr>
        <w:pStyle w:val="IssueSubsectionHeading"/>
        <w:rPr>
          <w:vanish/>
          <w:specVanish/>
        </w:rPr>
      </w:pPr>
      <w:r w:rsidRPr="00A438A0">
        <w:t>Staff Analysis: </w:t>
      </w:r>
    </w:p>
    <w:p w:rsidR="00B236EC" w:rsidRPr="00A438A0" w:rsidRDefault="00BD6217" w:rsidP="00876620">
      <w:pPr>
        <w:pStyle w:val="BodyText"/>
      </w:pPr>
      <w:r w:rsidRPr="00A438A0">
        <w:t> </w:t>
      </w:r>
      <w:r w:rsidR="00B236EC" w:rsidRPr="00A438A0">
        <w:t>Section 367.0816, F.S., requires that the rates be reduced immediately following the expiration of the four-year period by the amount of the rate case expense previously included in rates.</w:t>
      </w:r>
    </w:p>
    <w:p w:rsidR="00B236EC" w:rsidRPr="00A438A0" w:rsidRDefault="00B236EC" w:rsidP="00BA291C">
      <w:pPr>
        <w:pStyle w:val="BodyText"/>
        <w:spacing w:after="0"/>
        <w:rPr>
          <w:rFonts w:ascii="Arial" w:hAnsi="Arial" w:cs="Arial"/>
          <w:b/>
        </w:rPr>
      </w:pPr>
      <w:r w:rsidRPr="00A438A0">
        <w:rPr>
          <w:rFonts w:ascii="Arial" w:hAnsi="Arial" w:cs="Arial"/>
          <w:b/>
        </w:rPr>
        <w:t>Current Docket Rate Case Amortization</w:t>
      </w:r>
    </w:p>
    <w:p w:rsidR="00876620" w:rsidRPr="00A438A0" w:rsidRDefault="00635771" w:rsidP="00876620">
      <w:pPr>
        <w:pStyle w:val="BodyText"/>
      </w:pPr>
      <w:r w:rsidRPr="00A438A0">
        <w:t xml:space="preserve">The total reduction for the instant case is $32,203. </w:t>
      </w:r>
      <w:r w:rsidR="00876620" w:rsidRPr="00A438A0">
        <w:t xml:space="preserve">The reduction will reflect the removal of revenue associated with the amortization of rate case expense, the associated return in working capital, and the gross-up for RAFs. </w:t>
      </w:r>
      <w:r w:rsidRPr="00A438A0">
        <w:t xml:space="preserve">Using Sandalhaven’s </w:t>
      </w:r>
      <w:r w:rsidR="005B6D34">
        <w:t>recommended</w:t>
      </w:r>
      <w:r w:rsidRPr="00A438A0">
        <w:t xml:space="preserve"> revenue, expenses, capital structure and customer base, the reduction in revenue will result in the rate decreases as shown on Schedule No. 4.</w:t>
      </w:r>
    </w:p>
    <w:p w:rsidR="00B236EC" w:rsidRPr="00A438A0" w:rsidRDefault="00B236EC" w:rsidP="00BA291C">
      <w:pPr>
        <w:pStyle w:val="BodyText"/>
        <w:spacing w:after="0"/>
        <w:rPr>
          <w:rFonts w:ascii="Arial" w:hAnsi="Arial" w:cs="Arial"/>
          <w:b/>
        </w:rPr>
      </w:pPr>
      <w:r w:rsidRPr="00A438A0">
        <w:rPr>
          <w:rFonts w:ascii="Arial" w:hAnsi="Arial" w:cs="Arial"/>
          <w:b/>
        </w:rPr>
        <w:t>Charlotte County Rate Case Amortization</w:t>
      </w:r>
    </w:p>
    <w:p w:rsidR="00876620" w:rsidRPr="00A438A0" w:rsidRDefault="00876620" w:rsidP="00876620">
      <w:pPr>
        <w:pStyle w:val="BodyText"/>
      </w:pPr>
      <w:r w:rsidRPr="00A438A0">
        <w:t>In Sandalhaven’s 2012 rate case before the Board of County Commissioners of Charlotte County, the amortized rate case expense was determined to be $37,384.</w:t>
      </w:r>
      <w:r w:rsidRPr="00A438A0">
        <w:rPr>
          <w:rStyle w:val="FootnoteReference"/>
        </w:rPr>
        <w:footnoteReference w:id="19"/>
      </w:r>
      <w:r w:rsidR="00101DB3" w:rsidRPr="00A438A0">
        <w:t xml:space="preserve"> </w:t>
      </w:r>
      <w:r w:rsidRPr="00A438A0">
        <w:t>The utility included this amount in its balance of unamortized rate case</w:t>
      </w:r>
      <w:r w:rsidR="005B6D34">
        <w:t xml:space="preserve"> expense in the current docket</w:t>
      </w:r>
      <w:r w:rsidRPr="00A438A0">
        <w:t xml:space="preserve">. </w:t>
      </w:r>
      <w:r w:rsidR="00101DB3" w:rsidRPr="00A438A0">
        <w:t>The total reduction for the Charlotte County case</w:t>
      </w:r>
      <w:r w:rsidR="00C372F5">
        <w:t>, grossed up for RAFs,</w:t>
      </w:r>
      <w:r w:rsidR="00101DB3" w:rsidRPr="00A438A0">
        <w:t xml:space="preserve"> is $39,146. </w:t>
      </w:r>
      <w:r w:rsidRPr="00A438A0">
        <w:t xml:space="preserve">The rates for </w:t>
      </w:r>
      <w:r w:rsidR="005B6D34">
        <w:t>Charlotte County rate case</w:t>
      </w:r>
      <w:r w:rsidRPr="00A438A0">
        <w:t xml:space="preserve"> went into effect on December 21, 2012, and pursuant to Section 367.0816, F.S., the rates should be reduced on December 2</w:t>
      </w:r>
      <w:r w:rsidR="00635771" w:rsidRPr="00A438A0">
        <w:t>0</w:t>
      </w:r>
      <w:r w:rsidRPr="00A438A0">
        <w:t>, 2016</w:t>
      </w:r>
      <w:r w:rsidR="00101DB3" w:rsidRPr="00A438A0">
        <w:t xml:space="preserve">. </w:t>
      </w:r>
      <w:r w:rsidR="00423DCC" w:rsidRPr="00A438A0">
        <w:t>The four year rate reduction from the Charlotte County</w:t>
      </w:r>
      <w:r w:rsidR="005B6D34">
        <w:t xml:space="preserve"> case</w:t>
      </w:r>
      <w:r w:rsidR="00423DCC" w:rsidRPr="00A438A0">
        <w:t xml:space="preserve"> are shown on Schedule No.4.</w:t>
      </w:r>
    </w:p>
    <w:p w:rsidR="005B6D34" w:rsidRPr="00A438A0" w:rsidRDefault="005B6D34" w:rsidP="005B6D34">
      <w:pPr>
        <w:pStyle w:val="BodyText"/>
        <w:spacing w:after="0"/>
        <w:rPr>
          <w:rFonts w:ascii="Arial" w:hAnsi="Arial" w:cs="Arial"/>
          <w:b/>
        </w:rPr>
      </w:pPr>
      <w:r w:rsidRPr="00A438A0">
        <w:rPr>
          <w:rFonts w:ascii="Arial" w:hAnsi="Arial" w:cs="Arial"/>
          <w:b/>
        </w:rPr>
        <w:t>Summary</w:t>
      </w:r>
    </w:p>
    <w:p w:rsidR="00BD6217" w:rsidRPr="00A438A0" w:rsidRDefault="005B6D34">
      <w:pPr>
        <w:pStyle w:val="BodyText"/>
      </w:pPr>
      <w:r w:rsidRPr="00A438A0">
        <w:t>The wastewater rates should be reduced as shown on Schedule No. 4 to remove rate case expense grossed-up for regulatory assessment fees (RAFs) and amortized over a four-year period effective immediately following the expiration of the four-year rate case expense recovery period, pursuant to Section 367.0816, F.S. Sandalhaven should be required to file revised tariffs and a proposed customer notice setting forth the lower rates and the reason for the reduction no later than one month prior to the actual date of the required respective rate reduction</w:t>
      </w:r>
      <w:r w:rsidR="00CB65D8">
        <w:t>s</w:t>
      </w:r>
      <w:r w:rsidRPr="00A438A0">
        <w:t xml:space="preserve">. If the utility files this reduction in conjunction with a price index or pass-through rate adjustment, </w:t>
      </w:r>
      <w:r w:rsidRPr="00A438A0">
        <w:lastRenderedPageBreak/>
        <w:t>separate data should be filed for the price index and/or pass-through increase or decrease and the reduction in the rates due to the amortized rate case expense.</w:t>
      </w:r>
    </w:p>
    <w:p w:rsidR="00535AF4" w:rsidRPr="00A438A0" w:rsidRDefault="004C1ED9" w:rsidP="00535AF4">
      <w:pPr>
        <w:pStyle w:val="RecommendationIssueGroupingSection"/>
      </w:pPr>
      <w:r w:rsidRPr="00A438A0">
        <w:rPr>
          <w:b w:val="0"/>
          <w:i/>
        </w:rPr>
        <w:br w:type="page"/>
      </w:r>
    </w:p>
    <w:p w:rsidR="004C1ED9" w:rsidRPr="00A438A0" w:rsidRDefault="004C1ED9">
      <w:pPr>
        <w:pStyle w:val="IssueHeading"/>
        <w:rPr>
          <w:vanish/>
          <w:specVanish/>
        </w:rPr>
      </w:pPr>
      <w:r w:rsidRPr="00A438A0">
        <w:lastRenderedPageBreak/>
        <w:t xml:space="preserve">Issue </w:t>
      </w:r>
      <w:r w:rsidR="006D42F5">
        <w:fldChar w:fldCharType="begin"/>
      </w:r>
      <w:r w:rsidR="006D42F5">
        <w:instrText xml:space="preserve"> SEQ Issue \* MERGEFORMAT </w:instrText>
      </w:r>
      <w:r w:rsidR="006D42F5">
        <w:fldChar w:fldCharType="separate"/>
      </w:r>
      <w:r w:rsidR="00A05B79">
        <w:rPr>
          <w:noProof/>
        </w:rPr>
        <w:t>20</w:t>
      </w:r>
      <w:r w:rsidR="006D42F5">
        <w:rPr>
          <w:noProof/>
        </w:rPr>
        <w:fldChar w:fldCharType="end"/>
      </w:r>
      <w:r w:rsidRPr="00A438A0">
        <w:t>:</w:t>
      </w:r>
      <w:r w:rsidRPr="00A438A0">
        <w:fldChar w:fldCharType="begin"/>
      </w:r>
      <w:r w:rsidRPr="00A438A0">
        <w:instrText xml:space="preserve"> TC "</w:instrText>
      </w:r>
      <w:r w:rsidRPr="00A438A0">
        <w:fldChar w:fldCharType="begin"/>
      </w:r>
      <w:r w:rsidRPr="00A438A0">
        <w:instrText xml:space="preserve"> SEQ issue \c </w:instrText>
      </w:r>
      <w:r w:rsidRPr="00A438A0">
        <w:fldChar w:fldCharType="separate"/>
      </w:r>
      <w:bookmarkStart w:id="35" w:name="_Toc435607954"/>
      <w:r w:rsidR="00A05B79">
        <w:rPr>
          <w:noProof/>
        </w:rPr>
        <w:instrText>20</w:instrText>
      </w:r>
      <w:r w:rsidRPr="00A438A0">
        <w:fldChar w:fldCharType="end"/>
      </w:r>
      <w:r w:rsidRPr="00A438A0">
        <w:tab/>
        <w:instrText>Customer Deposits (Bruce)</w:instrText>
      </w:r>
      <w:bookmarkEnd w:id="35"/>
      <w:r w:rsidRPr="00A438A0">
        <w:instrText xml:space="preserve">" \l 1 </w:instrText>
      </w:r>
      <w:r w:rsidRPr="00A438A0">
        <w:fldChar w:fldCharType="end"/>
      </w:r>
      <w:r w:rsidRPr="00A438A0">
        <w:t> </w:t>
      </w:r>
    </w:p>
    <w:p w:rsidR="004C1ED9" w:rsidRPr="00A438A0" w:rsidRDefault="004C1ED9">
      <w:pPr>
        <w:pStyle w:val="BodyText"/>
      </w:pPr>
      <w:r w:rsidRPr="00A438A0">
        <w:t xml:space="preserve"> What are the appropriate customer deposits for Sandalhaven's wastewater </w:t>
      </w:r>
      <w:r w:rsidR="006C2FCB" w:rsidRPr="00A438A0">
        <w:t>system?</w:t>
      </w:r>
    </w:p>
    <w:p w:rsidR="004C1ED9" w:rsidRPr="00A438A0" w:rsidRDefault="004C1ED9">
      <w:pPr>
        <w:pStyle w:val="IssueSubsectionHeading"/>
        <w:rPr>
          <w:vanish/>
          <w:specVanish/>
        </w:rPr>
      </w:pPr>
      <w:r w:rsidRPr="00A438A0">
        <w:t>Recommendation: </w:t>
      </w:r>
    </w:p>
    <w:p w:rsidR="004C1ED9" w:rsidRPr="00A438A0" w:rsidRDefault="004C1ED9">
      <w:pPr>
        <w:pStyle w:val="BodyText"/>
      </w:pPr>
      <w:r w:rsidRPr="00A438A0">
        <w:t> </w:t>
      </w:r>
      <w:r w:rsidR="005B21D3" w:rsidRPr="00A438A0">
        <w:t xml:space="preserve">The appropriate initial customer deposit for the residential wastewater customers should be </w:t>
      </w:r>
      <w:r w:rsidR="00315E6E" w:rsidRPr="00A438A0">
        <w:t>$166</w:t>
      </w:r>
      <w:r w:rsidR="00723BF8" w:rsidRPr="00A438A0">
        <w:t xml:space="preserve"> for all meter sizes</w:t>
      </w:r>
      <w:r w:rsidR="00A27641" w:rsidRPr="00A438A0">
        <w:t xml:space="preserve">. </w:t>
      </w:r>
      <w:r w:rsidR="005B21D3" w:rsidRPr="00A438A0">
        <w:t>The initial customer deposits for all general service meter sizes should be two times the average estimated bill for wastewater</w:t>
      </w:r>
      <w:r w:rsidR="00A27641" w:rsidRPr="00A438A0">
        <w:t xml:space="preserve">. </w:t>
      </w:r>
      <w:r w:rsidR="005B21D3" w:rsidRPr="00A438A0">
        <w:rPr>
          <w:color w:val="000000"/>
        </w:rPr>
        <w:t xml:space="preserve">The approved customer deposits should be effective for services rendered or connections made on or after the stamped approval date on the tariff sheets, pursuant </w:t>
      </w:r>
      <w:r w:rsidR="00913AC2" w:rsidRPr="00A438A0">
        <w:rPr>
          <w:color w:val="000000"/>
        </w:rPr>
        <w:t>to Rule 25-30.475, F.A.C</w:t>
      </w:r>
      <w:r w:rsidR="00A27641" w:rsidRPr="00A438A0">
        <w:rPr>
          <w:color w:val="000000"/>
        </w:rPr>
        <w:t xml:space="preserve">. </w:t>
      </w:r>
      <w:r w:rsidR="00913AC2" w:rsidRPr="00A438A0">
        <w:rPr>
          <w:color w:val="000000"/>
        </w:rPr>
        <w:t>The u</w:t>
      </w:r>
      <w:r w:rsidR="005B21D3" w:rsidRPr="00A438A0">
        <w:rPr>
          <w:color w:val="000000"/>
        </w:rPr>
        <w:t>tility should be required to charge the approved charges until authorized to change them by the Commission in a subsequent proceeding.</w:t>
      </w:r>
      <w:r w:rsidRPr="00A438A0">
        <w:t xml:space="preserve"> (Bruce)</w:t>
      </w:r>
    </w:p>
    <w:p w:rsidR="004C1ED9" w:rsidRPr="00A438A0" w:rsidRDefault="004C1ED9">
      <w:pPr>
        <w:pStyle w:val="IssueSubsectionHeading"/>
        <w:rPr>
          <w:vanish/>
          <w:specVanish/>
        </w:rPr>
      </w:pPr>
      <w:r w:rsidRPr="00A438A0">
        <w:t>Staff Analysis: </w:t>
      </w:r>
    </w:p>
    <w:p w:rsidR="005B21D3" w:rsidRPr="00A438A0" w:rsidRDefault="004C1ED9" w:rsidP="005B21D3">
      <w:pPr>
        <w:spacing w:after="240"/>
        <w:jc w:val="both"/>
        <w:outlineLvl w:val="1"/>
        <w:rPr>
          <w:color w:val="000000"/>
        </w:rPr>
      </w:pPr>
      <w:r w:rsidRPr="00A438A0">
        <w:t> </w:t>
      </w:r>
      <w:r w:rsidR="005B21D3" w:rsidRPr="00A438A0">
        <w:rPr>
          <w:color w:val="000000"/>
        </w:rPr>
        <w:t>Rule 25-30.311, F.A.C., contains the criteria for collecting, administering, and refunding customer deposits</w:t>
      </w:r>
      <w:r w:rsidR="00A27641" w:rsidRPr="00A438A0">
        <w:rPr>
          <w:color w:val="000000"/>
        </w:rPr>
        <w:t xml:space="preserve">. </w:t>
      </w:r>
      <w:r w:rsidR="005B21D3" w:rsidRPr="00A438A0">
        <w:rPr>
          <w:color w:val="000000"/>
        </w:rPr>
        <w:t>Customer deposits are designed to minimize the exposu</w:t>
      </w:r>
      <w:r w:rsidR="00913AC2" w:rsidRPr="00A438A0">
        <w:rPr>
          <w:color w:val="000000"/>
        </w:rPr>
        <w:t>re of bad debt expense for the u</w:t>
      </w:r>
      <w:r w:rsidR="005B21D3" w:rsidRPr="00A438A0">
        <w:rPr>
          <w:color w:val="000000"/>
        </w:rPr>
        <w:t>tility and, ultimately, the general body of ratepayers</w:t>
      </w:r>
      <w:r w:rsidR="00A27641" w:rsidRPr="00A438A0">
        <w:rPr>
          <w:color w:val="000000"/>
        </w:rPr>
        <w:t xml:space="preserve">. </w:t>
      </w:r>
      <w:r w:rsidR="005B21D3" w:rsidRPr="00A438A0">
        <w:rPr>
          <w:color w:val="000000"/>
        </w:rPr>
        <w:t>Historically, the Commission has set initial customer deposits equal to two times the average estimated bill.</w:t>
      </w:r>
      <w:r w:rsidR="005B21D3" w:rsidRPr="00A438A0">
        <w:rPr>
          <w:color w:val="000000"/>
          <w:vertAlign w:val="superscript"/>
        </w:rPr>
        <w:footnoteReference w:id="20"/>
      </w:r>
      <w:r w:rsidR="00913AC2" w:rsidRPr="00A438A0">
        <w:rPr>
          <w:color w:val="000000"/>
        </w:rPr>
        <w:t xml:space="preserve">  Currently, the u</w:t>
      </w:r>
      <w:r w:rsidR="005B21D3" w:rsidRPr="00A438A0">
        <w:rPr>
          <w:color w:val="000000"/>
        </w:rPr>
        <w:t xml:space="preserve">tility’s existing initial deposit for residential </w:t>
      </w:r>
      <w:r w:rsidR="00E15CC7" w:rsidRPr="00A438A0">
        <w:rPr>
          <w:color w:val="000000"/>
        </w:rPr>
        <w:t xml:space="preserve">and general service customers </w:t>
      </w:r>
      <w:r w:rsidR="00724098" w:rsidRPr="00A438A0">
        <w:rPr>
          <w:color w:val="000000"/>
        </w:rPr>
        <w:t>are</w:t>
      </w:r>
      <w:r w:rsidR="00E15CC7" w:rsidRPr="00A438A0">
        <w:rPr>
          <w:color w:val="000000"/>
        </w:rPr>
        <w:t xml:space="preserve"> two times the average estimated bills</w:t>
      </w:r>
      <w:r w:rsidR="00A27641" w:rsidRPr="00A438A0">
        <w:rPr>
          <w:color w:val="000000"/>
        </w:rPr>
        <w:t xml:space="preserve">. </w:t>
      </w:r>
      <w:r w:rsidR="005B21D3" w:rsidRPr="00A438A0">
        <w:rPr>
          <w:color w:val="000000"/>
        </w:rPr>
        <w:t xml:space="preserve">Based on staff’s recommended </w:t>
      </w:r>
      <w:r w:rsidR="00724098" w:rsidRPr="00A438A0">
        <w:rPr>
          <w:color w:val="000000"/>
        </w:rPr>
        <w:t xml:space="preserve">wastewater </w:t>
      </w:r>
      <w:r w:rsidR="005B21D3" w:rsidRPr="00A438A0">
        <w:rPr>
          <w:color w:val="000000"/>
        </w:rPr>
        <w:t>rates,</w:t>
      </w:r>
      <w:r w:rsidR="00E420AF" w:rsidRPr="00A438A0">
        <w:rPr>
          <w:color w:val="000000"/>
        </w:rPr>
        <w:t xml:space="preserve"> the appropriate initial customer deposit should be $</w:t>
      </w:r>
      <w:r w:rsidR="00315E6E" w:rsidRPr="00A438A0">
        <w:rPr>
          <w:color w:val="000000"/>
        </w:rPr>
        <w:t>166</w:t>
      </w:r>
      <w:r w:rsidR="00E420AF" w:rsidRPr="00A438A0">
        <w:rPr>
          <w:color w:val="000000"/>
        </w:rPr>
        <w:t xml:space="preserve"> </w:t>
      </w:r>
      <w:r w:rsidR="002E769D" w:rsidRPr="00A438A0">
        <w:rPr>
          <w:color w:val="000000"/>
        </w:rPr>
        <w:t xml:space="preserve">for all meter sizes </w:t>
      </w:r>
      <w:r w:rsidR="00E420AF" w:rsidRPr="00A438A0">
        <w:rPr>
          <w:color w:val="000000"/>
        </w:rPr>
        <w:t>to reflect an aver</w:t>
      </w:r>
      <w:r w:rsidR="00925784" w:rsidRPr="00A438A0">
        <w:rPr>
          <w:color w:val="000000"/>
        </w:rPr>
        <w:t>age residential customer bill for two months</w:t>
      </w:r>
      <w:r w:rsidR="005B21D3" w:rsidRPr="00A438A0">
        <w:rPr>
          <w:color w:val="000000"/>
        </w:rPr>
        <w:t>.</w:t>
      </w:r>
    </w:p>
    <w:p w:rsidR="005B21D3" w:rsidRPr="00A438A0" w:rsidRDefault="005B21D3" w:rsidP="001B4558">
      <w:pPr>
        <w:spacing w:after="240"/>
        <w:jc w:val="both"/>
      </w:pPr>
      <w:r w:rsidRPr="00A438A0">
        <w:rPr>
          <w:color w:val="000000"/>
        </w:rPr>
        <w:t>Staff recommends t</w:t>
      </w:r>
      <w:r w:rsidRPr="00A438A0">
        <w:t xml:space="preserve">he </w:t>
      </w:r>
      <w:r w:rsidR="00413269" w:rsidRPr="00A438A0">
        <w:t xml:space="preserve">appropriate initial customer deposit for the residential wastewater customers should be </w:t>
      </w:r>
      <w:r w:rsidR="00315E6E" w:rsidRPr="00A438A0">
        <w:t>$166</w:t>
      </w:r>
      <w:r w:rsidR="00413269" w:rsidRPr="00A438A0">
        <w:t xml:space="preserve"> for all meter sizes</w:t>
      </w:r>
      <w:r w:rsidR="00A27641" w:rsidRPr="00A438A0">
        <w:t xml:space="preserve">. </w:t>
      </w:r>
      <w:r w:rsidR="00413269" w:rsidRPr="00A438A0">
        <w:t>The initial customer deposits for all general service meter sizes should be two times the average estimated bill for wastewater</w:t>
      </w:r>
      <w:r w:rsidR="00A27641" w:rsidRPr="00A438A0">
        <w:t xml:space="preserve">. </w:t>
      </w:r>
      <w:r w:rsidR="00413269" w:rsidRPr="00A438A0">
        <w:rPr>
          <w:color w:val="000000"/>
        </w:rPr>
        <w:t xml:space="preserve">The approved customer deposits should be effective for services rendered or connections made on or after the stamped approval date on the tariff sheets, pursuant </w:t>
      </w:r>
      <w:r w:rsidR="00913AC2" w:rsidRPr="00A438A0">
        <w:rPr>
          <w:color w:val="000000"/>
        </w:rPr>
        <w:t>to Rule 25-30.475, F.A.C</w:t>
      </w:r>
      <w:r w:rsidR="00A27641" w:rsidRPr="00A438A0">
        <w:rPr>
          <w:color w:val="000000"/>
        </w:rPr>
        <w:t xml:space="preserve">. </w:t>
      </w:r>
      <w:r w:rsidR="00913AC2" w:rsidRPr="00A438A0">
        <w:rPr>
          <w:color w:val="000000"/>
        </w:rPr>
        <w:t>The u</w:t>
      </w:r>
      <w:r w:rsidR="00413269" w:rsidRPr="00A438A0">
        <w:rPr>
          <w:color w:val="000000"/>
        </w:rPr>
        <w:t>tility should be required to charge the approved charges until authorized to change them by the Commission in a subsequent proceeding.</w:t>
      </w:r>
    </w:p>
    <w:p w:rsidR="00AA4013" w:rsidRPr="00A438A0" w:rsidRDefault="00AA4013">
      <w:r w:rsidRPr="00A438A0">
        <w:br w:type="page"/>
      </w:r>
    </w:p>
    <w:p w:rsidR="002D668C" w:rsidRPr="00A438A0" w:rsidRDefault="002D668C">
      <w:pPr>
        <w:pStyle w:val="IssueHeading"/>
        <w:rPr>
          <w:vanish/>
          <w:specVanish/>
        </w:rPr>
      </w:pPr>
      <w:r w:rsidRPr="00A438A0">
        <w:lastRenderedPageBreak/>
        <w:t xml:space="preserve">Issue </w:t>
      </w:r>
      <w:r w:rsidR="006D42F5">
        <w:fldChar w:fldCharType="begin"/>
      </w:r>
      <w:r w:rsidR="006D42F5">
        <w:instrText xml:space="preserve"> SEQ Issue \* MERGEFORMAT </w:instrText>
      </w:r>
      <w:r w:rsidR="006D42F5">
        <w:fldChar w:fldCharType="separate"/>
      </w:r>
      <w:r w:rsidR="00A05B79">
        <w:rPr>
          <w:noProof/>
        </w:rPr>
        <w:t>21</w:t>
      </w:r>
      <w:r w:rsidR="006D42F5">
        <w:rPr>
          <w:noProof/>
        </w:rPr>
        <w:fldChar w:fldCharType="end"/>
      </w:r>
      <w:r w:rsidRPr="00A438A0">
        <w:t>:</w:t>
      </w:r>
      <w:r w:rsidRPr="00A438A0">
        <w:fldChar w:fldCharType="begin"/>
      </w:r>
      <w:r w:rsidRPr="00A438A0">
        <w:instrText xml:space="preserve"> TC "</w:instrText>
      </w:r>
      <w:r w:rsidRPr="00A438A0">
        <w:fldChar w:fldCharType="begin"/>
      </w:r>
      <w:r w:rsidRPr="00A438A0">
        <w:instrText xml:space="preserve"> SEQ issue \c </w:instrText>
      </w:r>
      <w:r w:rsidRPr="00A438A0">
        <w:fldChar w:fldCharType="separate"/>
      </w:r>
      <w:bookmarkStart w:id="36" w:name="_Toc435607955"/>
      <w:r w:rsidR="00A05B79">
        <w:rPr>
          <w:noProof/>
        </w:rPr>
        <w:instrText>21</w:instrText>
      </w:r>
      <w:r w:rsidRPr="00A438A0">
        <w:fldChar w:fldCharType="end"/>
      </w:r>
      <w:r w:rsidRPr="00A438A0">
        <w:tab/>
      </w:r>
      <w:r w:rsidR="003E1F60" w:rsidRPr="00A438A0">
        <w:instrText>Guaranteed Revenue Charge (Bruce</w:instrText>
      </w:r>
      <w:r w:rsidR="00C372F5">
        <w:instrText>, Hudson</w:instrText>
      </w:r>
      <w:r w:rsidR="003E1F60" w:rsidRPr="00A438A0">
        <w:instrText>)</w:instrText>
      </w:r>
      <w:bookmarkEnd w:id="36"/>
      <w:r w:rsidRPr="00A438A0">
        <w:instrText xml:space="preserve">" \l 1 </w:instrText>
      </w:r>
      <w:r w:rsidRPr="00A438A0">
        <w:fldChar w:fldCharType="end"/>
      </w:r>
      <w:r w:rsidRPr="00A438A0">
        <w:t> </w:t>
      </w:r>
    </w:p>
    <w:p w:rsidR="002D668C" w:rsidRPr="00A438A0" w:rsidRDefault="0061118C">
      <w:pPr>
        <w:pStyle w:val="BodyText"/>
      </w:pPr>
      <w:r w:rsidRPr="00A438A0">
        <w:t xml:space="preserve"> Should Sandalhaven’s </w:t>
      </w:r>
      <w:r w:rsidR="006F1308" w:rsidRPr="00A438A0">
        <w:t>guaranteed revenue charge</w:t>
      </w:r>
      <w:r w:rsidR="002D668C" w:rsidRPr="00A438A0">
        <w:t xml:space="preserve"> </w:t>
      </w:r>
      <w:r w:rsidR="007100C5" w:rsidRPr="00A438A0">
        <w:t>be revised</w:t>
      </w:r>
      <w:r w:rsidR="002D668C" w:rsidRPr="00A438A0">
        <w:t>?</w:t>
      </w:r>
    </w:p>
    <w:p w:rsidR="002D668C" w:rsidRPr="00A438A0" w:rsidRDefault="002D668C">
      <w:pPr>
        <w:pStyle w:val="IssueSubsectionHeading"/>
        <w:rPr>
          <w:vanish/>
          <w:specVanish/>
        </w:rPr>
      </w:pPr>
      <w:r w:rsidRPr="00A438A0">
        <w:t>Recommendation: </w:t>
      </w:r>
    </w:p>
    <w:p w:rsidR="002D668C" w:rsidRPr="00A438A0" w:rsidRDefault="002D668C">
      <w:pPr>
        <w:pStyle w:val="BodyText"/>
      </w:pPr>
      <w:r w:rsidRPr="00A438A0">
        <w:t> </w:t>
      </w:r>
      <w:r w:rsidR="00581D71" w:rsidRPr="00A438A0">
        <w:t>Yes. Sandalhaven’s guaranteed revenue charge should be revised. Staff’s recommended guaranteed revenue charge is $50.31. The approved charge should be effective on or after the stamped approval date of the tariff, pursuant to Rule 25-30.475, F.A.C.</w:t>
      </w:r>
      <w:r w:rsidR="00CE344B" w:rsidRPr="00A438A0">
        <w:t xml:space="preserve"> </w:t>
      </w:r>
      <w:r w:rsidR="006943E6" w:rsidRPr="00A438A0">
        <w:t>(</w:t>
      </w:r>
      <w:r w:rsidRPr="00A438A0">
        <w:t>Bruce</w:t>
      </w:r>
      <w:r w:rsidR="00C372F5">
        <w:t>, Hudson</w:t>
      </w:r>
      <w:r w:rsidRPr="00A438A0">
        <w:t>)</w:t>
      </w:r>
    </w:p>
    <w:p w:rsidR="00581D71" w:rsidRPr="00A438A0" w:rsidRDefault="002D668C" w:rsidP="00581D71">
      <w:pPr>
        <w:pStyle w:val="IssueSubsectionHeading"/>
        <w:rPr>
          <w:rFonts w:ascii="Times New Roman" w:hAnsi="Times New Roman" w:cs="Times New Roman"/>
          <w:b w:val="0"/>
          <w:i w:val="0"/>
          <w:vanish/>
          <w:specVanish/>
        </w:rPr>
      </w:pPr>
      <w:r w:rsidRPr="00A438A0">
        <w:t>Staff Analysis: </w:t>
      </w:r>
      <w:r w:rsidR="00792FF5" w:rsidRPr="00A438A0">
        <w:rPr>
          <w:rFonts w:ascii="Times New Roman" w:hAnsi="Times New Roman" w:cs="Times New Roman"/>
          <w:b w:val="0"/>
          <w:i w:val="0"/>
        </w:rPr>
        <w:t xml:space="preserve"> </w:t>
      </w:r>
      <w:r w:rsidR="00581D71" w:rsidRPr="00614214">
        <w:rPr>
          <w:rFonts w:ascii="Times New Roman" w:hAnsi="Times New Roman" w:cs="Times New Roman"/>
          <w:b w:val="0"/>
          <w:i w:val="0"/>
        </w:rPr>
        <w:t xml:space="preserve">During the test year, </w:t>
      </w:r>
      <w:r w:rsidR="00581D71">
        <w:rPr>
          <w:rFonts w:ascii="Times New Roman" w:hAnsi="Times New Roman" w:cs="Times New Roman"/>
          <w:b w:val="0"/>
          <w:i w:val="0"/>
        </w:rPr>
        <w:t>68</w:t>
      </w:r>
      <w:r w:rsidR="00581D71" w:rsidRPr="00614214">
        <w:rPr>
          <w:rFonts w:ascii="Times New Roman" w:hAnsi="Times New Roman" w:cs="Times New Roman"/>
          <w:b w:val="0"/>
          <w:i w:val="0"/>
        </w:rPr>
        <w:t xml:space="preserve"> lot owners </w:t>
      </w:r>
      <w:r w:rsidR="00581D71">
        <w:rPr>
          <w:rFonts w:ascii="Times New Roman" w:hAnsi="Times New Roman" w:cs="Times New Roman"/>
          <w:b w:val="0"/>
          <w:i w:val="0"/>
        </w:rPr>
        <w:t xml:space="preserve">in the </w:t>
      </w:r>
      <w:r w:rsidR="00581D71" w:rsidRPr="00614214">
        <w:rPr>
          <w:rFonts w:ascii="Times New Roman" w:hAnsi="Times New Roman" w:cs="Times New Roman"/>
          <w:b w:val="0"/>
          <w:i w:val="0"/>
        </w:rPr>
        <w:t xml:space="preserve">Eagles Preserve subdivision paid </w:t>
      </w:r>
      <w:r w:rsidR="00581D71">
        <w:rPr>
          <w:rFonts w:ascii="Times New Roman" w:hAnsi="Times New Roman" w:cs="Times New Roman"/>
          <w:b w:val="0"/>
          <w:i w:val="0"/>
        </w:rPr>
        <w:t>a</w:t>
      </w:r>
      <w:r w:rsidR="00581D71" w:rsidRPr="00614214">
        <w:rPr>
          <w:rFonts w:ascii="Times New Roman" w:hAnsi="Times New Roman" w:cs="Times New Roman"/>
          <w:b w:val="0"/>
          <w:i w:val="0"/>
        </w:rPr>
        <w:t xml:space="preserve"> guaranteed revenue charge. </w:t>
      </w:r>
      <w:r w:rsidR="00581D71">
        <w:rPr>
          <w:rFonts w:ascii="Times New Roman" w:hAnsi="Times New Roman" w:cs="Times New Roman"/>
          <w:b w:val="0"/>
          <w:i w:val="0"/>
        </w:rPr>
        <w:t>The</w:t>
      </w:r>
      <w:r w:rsidR="00581D71" w:rsidRPr="00614214">
        <w:rPr>
          <w:rFonts w:ascii="Times New Roman" w:hAnsi="Times New Roman" w:cs="Times New Roman"/>
          <w:b w:val="0"/>
          <w:i w:val="0"/>
        </w:rPr>
        <w:t xml:space="preserve"> charge was </w:t>
      </w:r>
      <w:r w:rsidR="00581D71">
        <w:rPr>
          <w:rFonts w:ascii="Times New Roman" w:hAnsi="Times New Roman" w:cs="Times New Roman"/>
          <w:b w:val="0"/>
          <w:i w:val="0"/>
        </w:rPr>
        <w:t>collected</w:t>
      </w:r>
      <w:r w:rsidR="00581D71" w:rsidRPr="00614214">
        <w:rPr>
          <w:rFonts w:ascii="Times New Roman" w:hAnsi="Times New Roman" w:cs="Times New Roman"/>
          <w:b w:val="0"/>
          <w:i w:val="0"/>
        </w:rPr>
        <w:t xml:space="preserve"> prior to the utility’s acquisition of the system in 1999</w:t>
      </w:r>
      <w:r w:rsidR="00581D71">
        <w:rPr>
          <w:rFonts w:ascii="Times New Roman" w:hAnsi="Times New Roman" w:cs="Times New Roman"/>
          <w:b w:val="0"/>
          <w:i w:val="0"/>
        </w:rPr>
        <w:t>, and has continued since that time</w:t>
      </w:r>
      <w:r w:rsidR="00581D71" w:rsidRPr="00614214">
        <w:rPr>
          <w:rFonts w:ascii="Times New Roman" w:hAnsi="Times New Roman" w:cs="Times New Roman"/>
          <w:b w:val="0"/>
          <w:i w:val="0"/>
        </w:rPr>
        <w:t xml:space="preserve">. At the time of filing, the utility’s guaranteed revenue charge was $28.42. </w:t>
      </w:r>
      <w:r w:rsidR="00581D71" w:rsidRPr="00A438A0">
        <w:rPr>
          <w:rFonts w:ascii="Times New Roman" w:hAnsi="Times New Roman" w:cs="Times New Roman"/>
          <w:b w:val="0"/>
          <w:i w:val="0"/>
        </w:rPr>
        <w:t>In its MFRs,</w:t>
      </w:r>
    </w:p>
    <w:p w:rsidR="00581D71" w:rsidRDefault="00581D71" w:rsidP="00581D71">
      <w:pPr>
        <w:pStyle w:val="BodyText"/>
      </w:pPr>
      <w:r w:rsidRPr="00A438A0">
        <w:t xml:space="preserve"> Sandalhaven requested a guaranteed revenue charge of $67.92. </w:t>
      </w:r>
      <w:r>
        <w:t>According to t</w:t>
      </w:r>
      <w:r w:rsidRPr="00A438A0">
        <w:t>he utility</w:t>
      </w:r>
      <w:r>
        <w:t>, the</w:t>
      </w:r>
      <w:r w:rsidRPr="00A438A0">
        <w:t xml:space="preserve"> proposed guaranteed revenue charge is an across the board increase to its current rate.</w:t>
      </w:r>
    </w:p>
    <w:p w:rsidR="00581D71" w:rsidRPr="00A438A0" w:rsidRDefault="00581D71" w:rsidP="00581D71">
      <w:pPr>
        <w:pStyle w:val="BodyText"/>
      </w:pPr>
      <w:r w:rsidRPr="00A438A0">
        <w:t xml:space="preserve">Rule 25-30.515(9), F.A.C., defines a guaranteed revenue charge as a charge designed to cover the utility’s costs including, but not limited to the cost of operation, maintenance, depreciation, and any taxes, and to provide a reasonable return to the utility for facilities, a portion of which may not be used or useful to the utility or its existing customers. </w:t>
      </w:r>
      <w:r>
        <w:t>The</w:t>
      </w:r>
      <w:r w:rsidRPr="00A438A0">
        <w:t xml:space="preserve"> charge is designed to help the utility recover a portion of its cost from the time capacity is reserved until a customer begins to pay monthly service rates.</w:t>
      </w:r>
    </w:p>
    <w:p w:rsidR="00581D71" w:rsidRDefault="00581D71" w:rsidP="00581D71">
      <w:pPr>
        <w:pStyle w:val="BodyText"/>
      </w:pPr>
      <w:r w:rsidRPr="00A438A0">
        <w:t xml:space="preserve">In prior Commission cases, guaranteed revenue charges </w:t>
      </w:r>
      <w:r>
        <w:t>have been</w:t>
      </w:r>
      <w:r w:rsidRPr="00A438A0">
        <w:t xml:space="preserve"> based on a charge that is equal to the utility’s approved base facility charge.</w:t>
      </w:r>
      <w:r w:rsidRPr="00A438A0">
        <w:rPr>
          <w:rStyle w:val="FootnoteReference"/>
        </w:rPr>
        <w:footnoteReference w:id="21"/>
      </w:r>
      <w:r w:rsidRPr="00A438A0">
        <w:t xml:space="preserve"> </w:t>
      </w:r>
      <w:r>
        <w:t xml:space="preserve">In the current case, the utility and staff included the customers paying guaranteed revenues in the billing determinants to develop the proposed and recommended rates. </w:t>
      </w:r>
      <w:r w:rsidRPr="00A438A0">
        <w:t>As result, staff recommends that the guaranteed revenue charge be equal to staff’s recommended BFC for one ERC, which is $50.</w:t>
      </w:r>
      <w:r>
        <w:t>31</w:t>
      </w:r>
      <w:r w:rsidRPr="00A438A0">
        <w:t xml:space="preserve">. </w:t>
      </w:r>
    </w:p>
    <w:p w:rsidR="00581D71" w:rsidRDefault="00581D71" w:rsidP="00581D71">
      <w:pPr>
        <w:pStyle w:val="BodyText"/>
      </w:pPr>
      <w:r w:rsidRPr="00A438A0">
        <w:t xml:space="preserve">In response to staff’s data request, the utility indicated the customers </w:t>
      </w:r>
      <w:r>
        <w:t xml:space="preserve">who pay guaranteed revenues </w:t>
      </w:r>
      <w:r w:rsidRPr="00A438A0">
        <w:t xml:space="preserve">did not prepay the service availability charges. The Commission has found that guaranteed revenue charges lock in the amount of service availability charges notwithstanding a PSC approved change in service availability charges prior to the time of connection. Therefore, </w:t>
      </w:r>
      <w:r>
        <w:t xml:space="preserve">when those customers connect to the utility, </w:t>
      </w:r>
      <w:r w:rsidRPr="00A438A0">
        <w:t>the lot owners should pay the service availability charge</w:t>
      </w:r>
      <w:r>
        <w:t>s that were</w:t>
      </w:r>
      <w:r w:rsidRPr="00A438A0">
        <w:t xml:space="preserve"> in effect at the time capacity was reserved</w:t>
      </w:r>
      <w:r>
        <w:t xml:space="preserve"> and guaranteed revenues began to be collected</w:t>
      </w:r>
      <w:r w:rsidRPr="00A438A0">
        <w:t>.</w:t>
      </w:r>
      <w:r w:rsidRPr="00A438A0">
        <w:rPr>
          <w:rStyle w:val="FootnoteReference"/>
        </w:rPr>
        <w:footnoteReference w:id="22"/>
      </w:r>
      <w:r w:rsidRPr="00A438A0">
        <w:t xml:space="preserve"> </w:t>
      </w:r>
      <w:r>
        <w:t xml:space="preserve">Those customers should not be required to pay the </w:t>
      </w:r>
      <w:r w:rsidRPr="00A438A0">
        <w:t>allowance for funds prudently invested charges (AFPI) because</w:t>
      </w:r>
      <w:r>
        <w:t xml:space="preserve"> the guaranteed revenue charge has reimbursed the utility for the </w:t>
      </w:r>
      <w:r w:rsidRPr="00A438A0">
        <w:t xml:space="preserve">cost of operation, maintenance, depreciation, taxes, and return </w:t>
      </w:r>
      <w:r>
        <w:t>on investment for those customers share of the utility’s facilities.</w:t>
      </w:r>
    </w:p>
    <w:p w:rsidR="00581D71" w:rsidRPr="00A438A0" w:rsidRDefault="00581D71" w:rsidP="00581D71">
      <w:pPr>
        <w:pStyle w:val="BodyText"/>
      </w:pPr>
      <w:r>
        <w:lastRenderedPageBreak/>
        <w:t>Further, t</w:t>
      </w:r>
      <w:r w:rsidRPr="00A438A0">
        <w:t xml:space="preserve">he guaranteed revenue charge </w:t>
      </w:r>
      <w:r>
        <w:t>is</w:t>
      </w:r>
      <w:r w:rsidRPr="00A438A0">
        <w:t xml:space="preserve"> only applicable to the Eagles Preserve subdivision.</w:t>
      </w:r>
      <w:r w:rsidRPr="001414DC">
        <w:t xml:space="preserve"> </w:t>
      </w:r>
      <w:r>
        <w:t>Future customers requesting service will pay the utility’s approved service availability and AFPI charges.</w:t>
      </w:r>
    </w:p>
    <w:p w:rsidR="002D65F7" w:rsidRPr="00581D71" w:rsidRDefault="00581D71" w:rsidP="00581D71">
      <w:pPr>
        <w:pStyle w:val="IssueSubsectionHeading"/>
        <w:rPr>
          <w:rFonts w:ascii="Times New Roman" w:hAnsi="Times New Roman" w:cs="Times New Roman"/>
          <w:b w:val="0"/>
          <w:i w:val="0"/>
        </w:rPr>
      </w:pPr>
      <w:r w:rsidRPr="00581D71">
        <w:rPr>
          <w:rFonts w:ascii="Times New Roman" w:hAnsi="Times New Roman" w:cs="Times New Roman"/>
          <w:b w:val="0"/>
          <w:i w:val="0"/>
        </w:rPr>
        <w:t>Based on the above, Sandalhaven’s guaranteed revenue charge should be revised. Staff’s recommended guaranteed revenue charge is $50.31, consistent with staff’s recommended base facility charge. The approved charge should be effective on or after the stamped approval date of the tariff, pursuant to Rule 25-30.475, F.A.C.</w:t>
      </w:r>
      <w:r w:rsidR="002D65F7" w:rsidRPr="00581D71">
        <w:rPr>
          <w:rFonts w:ascii="Times New Roman" w:hAnsi="Times New Roman" w:cs="Times New Roman"/>
          <w:b w:val="0"/>
          <w:i w:val="0"/>
        </w:rPr>
        <w:br w:type="page"/>
      </w:r>
    </w:p>
    <w:p w:rsidR="002D668C" w:rsidRPr="00A438A0" w:rsidRDefault="002D668C">
      <w:pPr>
        <w:pStyle w:val="IssueHeading"/>
        <w:rPr>
          <w:vanish/>
          <w:specVanish/>
        </w:rPr>
      </w:pPr>
      <w:r w:rsidRPr="00A438A0">
        <w:lastRenderedPageBreak/>
        <w:t xml:space="preserve">Issue </w:t>
      </w:r>
      <w:r w:rsidR="006D42F5">
        <w:fldChar w:fldCharType="begin"/>
      </w:r>
      <w:r w:rsidR="006D42F5">
        <w:instrText xml:space="preserve"> SEQ Issue \* MERGEFORMAT </w:instrText>
      </w:r>
      <w:r w:rsidR="006D42F5">
        <w:fldChar w:fldCharType="separate"/>
      </w:r>
      <w:r w:rsidR="00A05B79">
        <w:rPr>
          <w:noProof/>
        </w:rPr>
        <w:t>22</w:t>
      </w:r>
      <w:r w:rsidR="006D42F5">
        <w:rPr>
          <w:noProof/>
        </w:rPr>
        <w:fldChar w:fldCharType="end"/>
      </w:r>
      <w:r w:rsidRPr="00A438A0">
        <w:t>:</w:t>
      </w:r>
      <w:r w:rsidRPr="00A438A0">
        <w:fldChar w:fldCharType="begin"/>
      </w:r>
      <w:r w:rsidRPr="00A438A0">
        <w:instrText xml:space="preserve"> TC "</w:instrText>
      </w:r>
      <w:r w:rsidRPr="00A438A0">
        <w:fldChar w:fldCharType="begin"/>
      </w:r>
      <w:r w:rsidRPr="00A438A0">
        <w:instrText xml:space="preserve"> SEQ issue \c </w:instrText>
      </w:r>
      <w:r w:rsidRPr="00A438A0">
        <w:fldChar w:fldCharType="separate"/>
      </w:r>
      <w:bookmarkStart w:id="37" w:name="_Toc435607956"/>
      <w:r w:rsidR="00A05B79">
        <w:rPr>
          <w:noProof/>
        </w:rPr>
        <w:instrText>22</w:instrText>
      </w:r>
      <w:r w:rsidRPr="00A438A0">
        <w:fldChar w:fldCharType="end"/>
      </w:r>
      <w:r w:rsidRPr="00A438A0">
        <w:tab/>
      </w:r>
      <w:r w:rsidR="003E1F60" w:rsidRPr="00A438A0">
        <w:instrText>Service Availability Charges (Bruce</w:instrText>
      </w:r>
      <w:r w:rsidR="00C372F5">
        <w:instrText>, Hudson</w:instrText>
      </w:r>
      <w:r w:rsidR="003E1F60" w:rsidRPr="00A438A0">
        <w:instrText>)</w:instrText>
      </w:r>
      <w:bookmarkEnd w:id="37"/>
      <w:r w:rsidRPr="00A438A0">
        <w:instrText xml:space="preserve">" \l 1 </w:instrText>
      </w:r>
      <w:r w:rsidRPr="00A438A0">
        <w:fldChar w:fldCharType="end"/>
      </w:r>
      <w:r w:rsidRPr="00A438A0">
        <w:t> </w:t>
      </w:r>
    </w:p>
    <w:p w:rsidR="002D668C" w:rsidRPr="00A438A0" w:rsidRDefault="002D668C">
      <w:pPr>
        <w:pStyle w:val="BodyText"/>
      </w:pPr>
      <w:r w:rsidRPr="00A438A0">
        <w:t> </w:t>
      </w:r>
      <w:r w:rsidR="00AB12A6" w:rsidRPr="00A438A0">
        <w:t>Should</w:t>
      </w:r>
      <w:r w:rsidRPr="00A438A0">
        <w:t xml:space="preserve"> Sandalhaven</w:t>
      </w:r>
      <w:r w:rsidR="00AB12A6" w:rsidRPr="00A438A0">
        <w:t>’s existi</w:t>
      </w:r>
      <w:r w:rsidR="00F430A4" w:rsidRPr="00A438A0">
        <w:t xml:space="preserve">ng service availability policy and charges </w:t>
      </w:r>
      <w:r w:rsidR="00AB12A6" w:rsidRPr="00A438A0">
        <w:t xml:space="preserve">be revised, and if so, what </w:t>
      </w:r>
      <w:r w:rsidR="00F430A4" w:rsidRPr="00A438A0">
        <w:t xml:space="preserve">is the </w:t>
      </w:r>
      <w:r w:rsidR="00AB12A6" w:rsidRPr="00A438A0">
        <w:t xml:space="preserve">appropriate </w:t>
      </w:r>
      <w:r w:rsidR="00F430A4" w:rsidRPr="00A438A0">
        <w:t xml:space="preserve">policy and </w:t>
      </w:r>
      <w:r w:rsidR="00AB12A6" w:rsidRPr="00A438A0">
        <w:t>charges</w:t>
      </w:r>
      <w:r w:rsidRPr="00A438A0">
        <w:t>?</w:t>
      </w:r>
    </w:p>
    <w:p w:rsidR="002D668C" w:rsidRPr="00A438A0" w:rsidRDefault="002D668C">
      <w:pPr>
        <w:pStyle w:val="IssueSubsectionHeading"/>
        <w:rPr>
          <w:vanish/>
          <w:specVanish/>
        </w:rPr>
      </w:pPr>
      <w:r w:rsidRPr="00A438A0">
        <w:t>Recommendation: </w:t>
      </w:r>
    </w:p>
    <w:p w:rsidR="002D668C" w:rsidRPr="00A438A0" w:rsidRDefault="002D668C">
      <w:pPr>
        <w:pStyle w:val="BodyText"/>
      </w:pPr>
      <w:r w:rsidRPr="00A438A0">
        <w:t> </w:t>
      </w:r>
      <w:r w:rsidR="00581D71" w:rsidRPr="00A438A0">
        <w:t xml:space="preserve">Yes. </w:t>
      </w:r>
      <w:r w:rsidR="00581D71">
        <w:t>S</w:t>
      </w:r>
      <w:r w:rsidR="00581D71" w:rsidRPr="00A438A0">
        <w:t xml:space="preserve">taff recommends that the utility’s existing main extension policy remain in effect and a plant capacity charge of $3,270 </w:t>
      </w:r>
      <w:r w:rsidR="00581D71">
        <w:t xml:space="preserve">per ERC </w:t>
      </w:r>
      <w:r w:rsidR="00581D71" w:rsidRPr="00A438A0">
        <w:t xml:space="preserve">should be approved. The approved service availability charges should be effective for </w:t>
      </w:r>
      <w:r w:rsidR="00581D71">
        <w:t>connections made</w:t>
      </w:r>
      <w:r w:rsidR="00581D71" w:rsidRPr="00A438A0">
        <w:t xml:space="preserve"> on or after the stamped approval date of the tariff, pursuant to Rule 25-30.475, F.A.C. </w:t>
      </w:r>
      <w:r w:rsidRPr="00A438A0">
        <w:t xml:space="preserve"> (Bruce</w:t>
      </w:r>
      <w:r w:rsidR="00C372F5">
        <w:t>, Hudson</w:t>
      </w:r>
      <w:r w:rsidRPr="00A438A0">
        <w:t>)</w:t>
      </w:r>
    </w:p>
    <w:p w:rsidR="002D668C" w:rsidRPr="00A438A0" w:rsidRDefault="002D668C">
      <w:pPr>
        <w:pStyle w:val="IssueSubsectionHeading"/>
        <w:rPr>
          <w:vanish/>
          <w:specVanish/>
        </w:rPr>
      </w:pPr>
      <w:r w:rsidRPr="00A438A0">
        <w:t>Staff Analysis: </w:t>
      </w:r>
    </w:p>
    <w:p w:rsidR="00581D71" w:rsidRDefault="002D668C" w:rsidP="00581D71">
      <w:pPr>
        <w:pStyle w:val="BodyText"/>
      </w:pPr>
      <w:r w:rsidRPr="00A438A0">
        <w:t> </w:t>
      </w:r>
      <w:r w:rsidR="00581D71">
        <w:t>I</w:t>
      </w:r>
      <w:r w:rsidR="00581D71" w:rsidRPr="00A438A0">
        <w:t xml:space="preserve">n Docket No. 060285-SU, the Commission approved a plant capacity charge of $2,628 per ERC and a main extension charge at actual cost. However, the tariff was inadvertently approved with the plant capacity charge described as a system capacity charge. As a result, </w:t>
      </w:r>
      <w:r w:rsidR="00581D71">
        <w:t xml:space="preserve">subsequent to </w:t>
      </w:r>
      <w:r w:rsidR="00581D71" w:rsidRPr="00A438A0">
        <w:t xml:space="preserve">Charlotte County </w:t>
      </w:r>
      <w:r w:rsidR="00581D71">
        <w:t xml:space="preserve">rescinding jurisdiction in 2007, the county </w:t>
      </w:r>
      <w:r w:rsidR="00581D71" w:rsidRPr="00A438A0">
        <w:t>approved the charge as a system capacity charge as well. In its rate case proceeding in 2012, Charlotte County did not revise the service availability charges approved by the Commission. When Charlotte County re</w:t>
      </w:r>
      <w:r w:rsidR="00581D71">
        <w:t xml:space="preserve">turned </w:t>
      </w:r>
      <w:r w:rsidR="00581D71" w:rsidRPr="00A438A0">
        <w:t xml:space="preserve">jurisdiction </w:t>
      </w:r>
      <w:r w:rsidR="00581D71">
        <w:t xml:space="preserve">to the Commission </w:t>
      </w:r>
      <w:r w:rsidR="00581D71" w:rsidRPr="00A438A0">
        <w:t xml:space="preserve">in 2013, the </w:t>
      </w:r>
      <w:r w:rsidR="00581D71">
        <w:t>C</w:t>
      </w:r>
      <w:r w:rsidR="00581D71" w:rsidRPr="00A438A0">
        <w:t xml:space="preserve">ommission approved the utility’s existing rates and charges, including the $2,628 charge which was described as a system capacity charge. </w:t>
      </w:r>
    </w:p>
    <w:p w:rsidR="00581D71" w:rsidRPr="00A438A0" w:rsidRDefault="00581D71" w:rsidP="00581D71">
      <w:pPr>
        <w:pStyle w:val="BodyText"/>
      </w:pPr>
      <w:r w:rsidRPr="00A438A0">
        <w:t>A system capacity charge is a single service availability charge that includes the cost of both plant and lines</w:t>
      </w:r>
      <w:r>
        <w:t xml:space="preserve">. </w:t>
      </w:r>
      <w:r w:rsidRPr="00A438A0">
        <w:t>For a utility that receives donated lines from a developer, an individual customer connecting to those lines should only be responsible for a service availability charge that reflects plant costs</w:t>
      </w:r>
      <w:r>
        <w:t xml:space="preserve">. </w:t>
      </w:r>
      <w:r w:rsidRPr="00A438A0">
        <w:t xml:space="preserve">Therefore, separate charges are typically developed to reflect the customer’s share of plant costs (plant capacity charges) and the cost of lines in lieu of donated lines (main extension charges).  </w:t>
      </w:r>
    </w:p>
    <w:p w:rsidR="00581D71" w:rsidRPr="00A438A0" w:rsidRDefault="00581D71" w:rsidP="00581D71">
      <w:pPr>
        <w:pStyle w:val="BodyText"/>
      </w:pPr>
      <w:r w:rsidRPr="00A438A0">
        <w:t>Rule 25-30.580, F.A.C., establishes guidelines for designing service availability charges. Pursuant to the rule, the maximum amount of contributions-in-aid-of-construction (CIAC), net of amortization, should not exceed 75 percent of the total original cost, net of accumulated depreciation, of the utility’s facilities and plant when the facilities and plant are at their designed capacity. The minimum amount CIAC should not be less than the percentage of such facilities and plant that is represented by the sewage collection systems</w:t>
      </w:r>
      <w:r>
        <w:t xml:space="preserve">. </w:t>
      </w:r>
      <w:r w:rsidRPr="00A438A0">
        <w:t>The utility’s current contribution level is approximately 30 percent.</w:t>
      </w:r>
    </w:p>
    <w:p w:rsidR="00581D71" w:rsidRPr="00A438A0" w:rsidRDefault="00581D71" w:rsidP="00581D71">
      <w:pPr>
        <w:pStyle w:val="BodyText"/>
        <w:spacing w:after="0"/>
        <w:rPr>
          <w:rFonts w:ascii="Arial" w:hAnsi="Arial" w:cs="Arial"/>
          <w:b/>
        </w:rPr>
      </w:pPr>
      <w:r w:rsidRPr="00A438A0">
        <w:rPr>
          <w:rFonts w:ascii="Arial" w:hAnsi="Arial" w:cs="Arial"/>
          <w:b/>
        </w:rPr>
        <w:t xml:space="preserve">Main Extension Charge </w:t>
      </w:r>
    </w:p>
    <w:p w:rsidR="00581D71" w:rsidRPr="00A438A0" w:rsidRDefault="00581D71" w:rsidP="00581D71">
      <w:pPr>
        <w:jc w:val="both"/>
      </w:pPr>
      <w:r w:rsidRPr="00A438A0">
        <w:t>The utility’s existing collection system, which was contributed by developers, is designed to serve the existing customers as well as the property for which service availability charges have been prepaid (2,175 ERCs). The utility’s service territory includes some vacant property as well as an area with septic tanks; service to customers in those areas would require the installation of additional collection lines.</w:t>
      </w:r>
    </w:p>
    <w:p w:rsidR="00581D71" w:rsidRPr="00A438A0" w:rsidRDefault="00581D71" w:rsidP="00581D71">
      <w:pPr>
        <w:jc w:val="both"/>
      </w:pPr>
    </w:p>
    <w:p w:rsidR="00581D71" w:rsidRPr="00A438A0" w:rsidRDefault="00581D71" w:rsidP="00581D71">
      <w:pPr>
        <w:jc w:val="both"/>
      </w:pPr>
      <w:r w:rsidRPr="00A438A0">
        <w:t xml:space="preserve">The utility’s existing service availability policy requires customers to either install and donate collection lines to the utility or reimburse the utility if the utility constructs the main extension. In the event the utility oversizes the line to accommodate future customers, the utility absorbs the </w:t>
      </w:r>
      <w:r>
        <w:t xml:space="preserve">incremental </w:t>
      </w:r>
      <w:r w:rsidRPr="00A438A0">
        <w:t>cost</w:t>
      </w:r>
      <w:r>
        <w:t xml:space="preserve"> of the additional capacity</w:t>
      </w:r>
      <w:r w:rsidRPr="00A438A0">
        <w:t xml:space="preserve"> and collects </w:t>
      </w:r>
      <w:r>
        <w:t xml:space="preserve">a pro rata share of the cost </w:t>
      </w:r>
      <w:r w:rsidRPr="00A438A0">
        <w:t xml:space="preserve">from subsequent customers. If a developer installs an oversized line in anticipation of future customers, the developer would be entitled to a refundable advance agreement such that, as future customers connect to the oversized line, the developer is reimbursed for that customer’s </w:t>
      </w:r>
      <w:r w:rsidRPr="00A438A0">
        <w:lastRenderedPageBreak/>
        <w:t>share of the cost of the line</w:t>
      </w:r>
      <w:r>
        <w:t>. Therefore, a customer would not both construct and donate a collection line and pay a main extension charge.</w:t>
      </w:r>
    </w:p>
    <w:p w:rsidR="00581D71" w:rsidRPr="00A438A0" w:rsidRDefault="00581D71" w:rsidP="00581D71">
      <w:pPr>
        <w:jc w:val="both"/>
      </w:pPr>
    </w:p>
    <w:p w:rsidR="00581D71" w:rsidRPr="00A438A0" w:rsidRDefault="00581D71" w:rsidP="00581D71">
      <w:pPr>
        <w:jc w:val="both"/>
      </w:pPr>
      <w:r w:rsidRPr="00A438A0">
        <w:t>Based on the above, staff recommends the main extension charge remain at actual cost</w:t>
      </w:r>
      <w:r>
        <w:t xml:space="preserve">. </w:t>
      </w:r>
      <w:r w:rsidRPr="00A438A0">
        <w:t xml:space="preserve">In addition, the utility’s service availability policy should continue to require donated lines as described above, consistent with the guidelines in Rule 25-30.580, F.A.C., which require that, at a minimum, the cost of the utility’s lines should be contributed. </w:t>
      </w:r>
    </w:p>
    <w:p w:rsidR="00581D71" w:rsidRPr="00A438A0" w:rsidRDefault="00581D71" w:rsidP="00581D71">
      <w:pPr>
        <w:jc w:val="both"/>
      </w:pPr>
    </w:p>
    <w:p w:rsidR="00581D71" w:rsidRPr="00A438A0" w:rsidRDefault="00581D71" w:rsidP="00581D71">
      <w:pPr>
        <w:jc w:val="both"/>
        <w:rPr>
          <w:rFonts w:ascii="Arial" w:hAnsi="Arial" w:cs="Arial"/>
          <w:b/>
        </w:rPr>
      </w:pPr>
      <w:r w:rsidRPr="00A438A0">
        <w:rPr>
          <w:rFonts w:ascii="Arial" w:hAnsi="Arial" w:cs="Arial"/>
          <w:b/>
        </w:rPr>
        <w:t>Plant Capacity Charge</w:t>
      </w:r>
    </w:p>
    <w:p w:rsidR="00581D71" w:rsidRDefault="00581D71" w:rsidP="00581D71">
      <w:pPr>
        <w:jc w:val="both"/>
      </w:pPr>
      <w:r w:rsidRPr="00A438A0">
        <w:t>As previously discussed, all of Sandalhaven’s wastewater flows are diverted through a force main interconnection with EWD</w:t>
      </w:r>
      <w:r>
        <w:t>. In addition, t</w:t>
      </w:r>
      <w:r w:rsidRPr="00A438A0">
        <w:t xml:space="preserve">he utility has an agreement for purchased </w:t>
      </w:r>
      <w:r>
        <w:t xml:space="preserve">treatment </w:t>
      </w:r>
      <w:r w:rsidRPr="00A438A0">
        <w:t xml:space="preserve">capacity with the EWD. Therefore, the interconnection and purchased wastewater capacity from the EWD act as </w:t>
      </w:r>
      <w:r>
        <w:t xml:space="preserve">a </w:t>
      </w:r>
      <w:r w:rsidRPr="00A438A0">
        <w:t xml:space="preserve">surrogate wastewater treatment plant for Sandalhaven. </w:t>
      </w:r>
    </w:p>
    <w:p w:rsidR="00581D71" w:rsidRDefault="00581D71" w:rsidP="00581D71">
      <w:pPr>
        <w:jc w:val="both"/>
      </w:pPr>
    </w:p>
    <w:p w:rsidR="00581D71" w:rsidRPr="00A438A0" w:rsidRDefault="00581D71" w:rsidP="00581D71">
      <w:pPr>
        <w:jc w:val="both"/>
        <w:rPr>
          <w:b/>
        </w:rPr>
      </w:pPr>
      <w:r w:rsidRPr="00A438A0">
        <w:t>The cost of the force main included in rate base is $2,150,656 and it has capacity of 1,000,000 gpd. The utility paid $2,258,119 for the 300,000 gpd of purchased capacity from the EWD</w:t>
      </w:r>
      <w:r>
        <w:t xml:space="preserve">. </w:t>
      </w:r>
      <w:r w:rsidRPr="00A438A0">
        <w:t>In order to determine an appropriate plant capacity charge, staff calculated the cost of the interconnection and the purchased capacity on a gpd basis. The force main cost per gpd is $7.53 ($2,150,656/1,000,000) and the purchased capacity cost per gpd is $2.15 ($2,258,119/300,000)</w:t>
      </w:r>
      <w:r>
        <w:t xml:space="preserve">. As described in Issue 5, the capacity of the force main is based on peak demand and the capacity purchased form EWD is based on average demand. </w:t>
      </w:r>
      <w:r w:rsidRPr="00A438A0">
        <w:t xml:space="preserve">Therefore, staff </w:t>
      </w:r>
      <w:r>
        <w:t>calculated a plant capacity charge that reflects the cost of the</w:t>
      </w:r>
      <w:r w:rsidRPr="0080503D">
        <w:t xml:space="preserve"> </w:t>
      </w:r>
      <w:r>
        <w:t>force main based on peak demand and the cost of the</w:t>
      </w:r>
      <w:r w:rsidRPr="0080503D">
        <w:t xml:space="preserve"> </w:t>
      </w:r>
      <w:r>
        <w:t xml:space="preserve">purchased capacity based on average demand. For this analysis, staff used an average demand of 190 gpd. Staff </w:t>
      </w:r>
      <w:r w:rsidRPr="00A438A0">
        <w:t>recommends a plant capacity charge</w:t>
      </w:r>
      <w:r>
        <w:t xml:space="preserve"> of $3,270 per ERC (ERC equals 190 gpd)</w:t>
      </w:r>
      <w:r w:rsidRPr="00A438A0">
        <w:t xml:space="preserve">. </w:t>
      </w:r>
    </w:p>
    <w:p w:rsidR="00581D71" w:rsidRPr="00A438A0" w:rsidRDefault="00581D71" w:rsidP="00581D71">
      <w:pPr>
        <w:jc w:val="both"/>
        <w:rPr>
          <w:b/>
          <w:i/>
        </w:rPr>
      </w:pPr>
      <w:r w:rsidRPr="00A438A0">
        <w:rPr>
          <w:b/>
          <w:i/>
        </w:rPr>
        <w:t xml:space="preserve"> </w:t>
      </w:r>
    </w:p>
    <w:p w:rsidR="00C533EC" w:rsidRPr="00A438A0" w:rsidRDefault="00581D71" w:rsidP="00581D71">
      <w:pPr>
        <w:pStyle w:val="BodyText"/>
      </w:pPr>
      <w:r w:rsidRPr="00A438A0">
        <w:t xml:space="preserve">Based on the above, staff recommends that the utility’s existing main extension policy remain in effect and a plant capacity charge of $3,270 </w:t>
      </w:r>
      <w:r>
        <w:t xml:space="preserve">per ERC </w:t>
      </w:r>
      <w:r w:rsidRPr="00A438A0">
        <w:t xml:space="preserve">should be approved. The approved service availability charges should be effective for </w:t>
      </w:r>
      <w:r>
        <w:t>connections made</w:t>
      </w:r>
      <w:r w:rsidRPr="00A438A0">
        <w:t xml:space="preserve"> on or after the stamped approval date of the tariff, pursuant to Rule 25-30.475, F.A.C.</w:t>
      </w:r>
    </w:p>
    <w:p w:rsidR="00CF2E67" w:rsidRPr="00A438A0" w:rsidRDefault="00A97E2F" w:rsidP="00C533EC">
      <w:pPr>
        <w:rPr>
          <w:vanish/>
          <w:specVanish/>
        </w:rPr>
      </w:pPr>
      <w:r w:rsidRPr="00A438A0">
        <w:br w:type="page"/>
      </w:r>
      <w:r w:rsidR="00CF2E67" w:rsidRPr="00A438A0">
        <w:rPr>
          <w:rFonts w:ascii="Arial" w:hAnsi="Arial" w:cs="Arial"/>
          <w:b/>
          <w:i/>
        </w:rPr>
        <w:lastRenderedPageBreak/>
        <w:t xml:space="preserve">Issue </w:t>
      </w:r>
      <w:r w:rsidR="00CF2E67" w:rsidRPr="00A438A0">
        <w:rPr>
          <w:rFonts w:ascii="Arial" w:hAnsi="Arial" w:cs="Arial"/>
          <w:b/>
          <w:i/>
        </w:rPr>
        <w:fldChar w:fldCharType="begin"/>
      </w:r>
      <w:r w:rsidR="00A82E18" w:rsidRPr="00A438A0">
        <w:rPr>
          <w:rFonts w:ascii="Arial" w:hAnsi="Arial" w:cs="Arial"/>
          <w:b/>
          <w:i/>
        </w:rPr>
        <w:instrText>seq issue \r 23</w:instrText>
      </w:r>
      <w:r w:rsidR="00CF2E67" w:rsidRPr="00A438A0">
        <w:rPr>
          <w:rFonts w:ascii="Arial" w:hAnsi="Arial" w:cs="Arial"/>
          <w:b/>
          <w:i/>
        </w:rPr>
        <w:fldChar w:fldCharType="separate"/>
      </w:r>
      <w:r w:rsidR="00A05B79">
        <w:rPr>
          <w:rFonts w:ascii="Arial" w:hAnsi="Arial" w:cs="Arial"/>
          <w:b/>
          <w:i/>
          <w:noProof/>
        </w:rPr>
        <w:t>23</w:t>
      </w:r>
      <w:r w:rsidR="00CF2E67" w:rsidRPr="00A438A0">
        <w:rPr>
          <w:rFonts w:ascii="Arial" w:hAnsi="Arial" w:cs="Arial"/>
          <w:b/>
          <w:i/>
          <w:noProof/>
        </w:rPr>
        <w:fldChar w:fldCharType="end"/>
      </w:r>
      <w:r w:rsidR="00CF2E67" w:rsidRPr="00A438A0">
        <w:t>:</w:t>
      </w:r>
      <w:r w:rsidR="00CF2E67" w:rsidRPr="00A438A0">
        <w:fldChar w:fldCharType="begin"/>
      </w:r>
      <w:r w:rsidR="00CF2E67" w:rsidRPr="00A438A0">
        <w:instrText xml:space="preserve"> TC "</w:instrText>
      </w:r>
      <w:r w:rsidR="00CF2E67" w:rsidRPr="00A438A0">
        <w:fldChar w:fldCharType="begin"/>
      </w:r>
      <w:r w:rsidR="00CF2E67" w:rsidRPr="00A438A0">
        <w:instrText xml:space="preserve"> SEQ issue \c </w:instrText>
      </w:r>
      <w:r w:rsidR="00CF2E67" w:rsidRPr="00A438A0">
        <w:fldChar w:fldCharType="separate"/>
      </w:r>
      <w:bookmarkStart w:id="38" w:name="_Toc435607957"/>
      <w:r w:rsidR="00A05B79">
        <w:rPr>
          <w:noProof/>
        </w:rPr>
        <w:instrText>23</w:instrText>
      </w:r>
      <w:r w:rsidR="00CF2E67" w:rsidRPr="00A438A0">
        <w:fldChar w:fldCharType="end"/>
      </w:r>
      <w:r w:rsidR="00CF2E67" w:rsidRPr="00A438A0">
        <w:tab/>
        <w:instrText>Allowance for Funds Prudently Invested (Bruce</w:instrText>
      </w:r>
      <w:r w:rsidR="00C372F5">
        <w:instrText>, Hudson</w:instrText>
      </w:r>
      <w:r w:rsidR="00CF2E67" w:rsidRPr="00A438A0">
        <w:instrText>)</w:instrText>
      </w:r>
      <w:bookmarkEnd w:id="38"/>
      <w:r w:rsidR="00CF2E67" w:rsidRPr="00A438A0">
        <w:instrText xml:space="preserve">" \l 1 </w:instrText>
      </w:r>
      <w:r w:rsidR="00CF2E67" w:rsidRPr="00A438A0">
        <w:fldChar w:fldCharType="end"/>
      </w:r>
      <w:r w:rsidR="00CF2E67" w:rsidRPr="00A438A0">
        <w:t> </w:t>
      </w:r>
    </w:p>
    <w:p w:rsidR="00CF2E67" w:rsidRPr="00A438A0" w:rsidRDefault="00CF2E67" w:rsidP="00675969">
      <w:pPr>
        <w:pStyle w:val="BodyText"/>
      </w:pPr>
      <w:r w:rsidRPr="00A438A0">
        <w:t> Should Sandalhaven’s existing Allowance for Funds Prudently Invested (AFPI) charges be revised, and if so, what are the appropriate charges?</w:t>
      </w:r>
    </w:p>
    <w:p w:rsidR="00CF2E67" w:rsidRPr="00A438A0" w:rsidRDefault="00CF2E67" w:rsidP="00675969">
      <w:pPr>
        <w:pStyle w:val="IssueSubsectionHeading"/>
        <w:rPr>
          <w:vanish/>
          <w:specVanish/>
        </w:rPr>
      </w:pPr>
      <w:r w:rsidRPr="00A438A0">
        <w:t>Recommendation: </w:t>
      </w:r>
    </w:p>
    <w:p w:rsidR="00CF2E67" w:rsidRPr="00A438A0" w:rsidRDefault="007A1A81" w:rsidP="00675969">
      <w:pPr>
        <w:pStyle w:val="BodyText"/>
      </w:pPr>
      <w:r w:rsidRPr="00A438A0">
        <w:t> </w:t>
      </w:r>
      <w:r w:rsidR="00581D71" w:rsidRPr="00A438A0">
        <w:t xml:space="preserve">Yes. Sandalhaven’s existing AFPI charges should be revised. The beginning date of the new AFPI charges should be January 1, 2015. After December 31, 2020, the utility should be allowed to collect the constant charge until </w:t>
      </w:r>
      <w:r w:rsidR="00581D71">
        <w:t>792</w:t>
      </w:r>
      <w:r w:rsidR="00581D71" w:rsidRPr="00A438A0">
        <w:t xml:space="preserve"> </w:t>
      </w:r>
      <w:r w:rsidR="00581D71">
        <w:t xml:space="preserve">future </w:t>
      </w:r>
      <w:r w:rsidR="00581D71" w:rsidRPr="00A438A0">
        <w:t xml:space="preserve">ERCs have been added, at which time the charge should be discontinued. </w:t>
      </w:r>
      <w:r w:rsidR="00581D71">
        <w:t>The charge should be collected from future connection</w:t>
      </w:r>
      <w:r w:rsidR="00581D71" w:rsidRPr="00A438A0">
        <w:t xml:space="preserve"> based upon the time of the initial connection.</w:t>
      </w:r>
      <w:r w:rsidR="00581D71">
        <w:t xml:space="preserve"> </w:t>
      </w:r>
      <w:r w:rsidR="00581D71" w:rsidRPr="00A438A0">
        <w:t>The revised tariff sheets should be approved upon staff’s verification that the tariffs are consistent with the Commission’s decision</w:t>
      </w:r>
      <w:r w:rsidR="006D42F5">
        <w:t>.</w:t>
      </w:r>
      <w:bookmarkStart w:id="39" w:name="_GoBack"/>
      <w:bookmarkEnd w:id="39"/>
      <w:r w:rsidR="00581D71" w:rsidRPr="00A438A0">
        <w:t xml:space="preserve"> </w:t>
      </w:r>
      <w:r w:rsidR="00BB18B0" w:rsidRPr="00A438A0">
        <w:t xml:space="preserve">The approved </w:t>
      </w:r>
      <w:r w:rsidR="00BB18B0">
        <w:t>AFPI</w:t>
      </w:r>
      <w:r w:rsidR="00BB18B0" w:rsidRPr="00A438A0">
        <w:t xml:space="preserve"> charges should be effective for </w:t>
      </w:r>
      <w:r w:rsidR="00BB18B0">
        <w:t>connections made</w:t>
      </w:r>
      <w:r w:rsidR="00BB18B0" w:rsidRPr="00A438A0">
        <w:t xml:space="preserve"> on or after the stamped approval date of the tariff, pursuant to Rule 25-30.475, F.A.C. </w:t>
      </w:r>
      <w:r w:rsidR="00CF2E67" w:rsidRPr="00A438A0">
        <w:t xml:space="preserve"> (Bruce</w:t>
      </w:r>
      <w:r w:rsidR="00C372F5">
        <w:t>, Hudson</w:t>
      </w:r>
      <w:r w:rsidR="00CF2E67" w:rsidRPr="00A438A0">
        <w:t>)</w:t>
      </w:r>
    </w:p>
    <w:p w:rsidR="00CF2E67" w:rsidRPr="00A438A0" w:rsidRDefault="00CF2E67" w:rsidP="00675969">
      <w:pPr>
        <w:pStyle w:val="IssueSubsectionHeading"/>
        <w:rPr>
          <w:vanish/>
          <w:specVanish/>
        </w:rPr>
      </w:pPr>
      <w:r w:rsidRPr="00A438A0">
        <w:t>Staff Analysis: </w:t>
      </w:r>
    </w:p>
    <w:p w:rsidR="00C372F5" w:rsidRPr="00A438A0" w:rsidRDefault="00CF2E67" w:rsidP="00C372F5">
      <w:pPr>
        <w:jc w:val="both"/>
      </w:pPr>
      <w:r w:rsidRPr="00A438A0">
        <w:t> </w:t>
      </w:r>
      <w:r w:rsidR="00C372F5" w:rsidRPr="00A438A0">
        <w:t>An AFPI charge is a mechanism designed to allow a utility the opportunity to earn a fair rate of return on prudently constructed plant held for future use from the customers that will be served by that plant. Th</w:t>
      </w:r>
      <w:r w:rsidR="00C372F5">
        <w:t>e</w:t>
      </w:r>
      <w:r w:rsidR="00C372F5" w:rsidRPr="00A438A0">
        <w:t xml:space="preserve"> charge </w:t>
      </w:r>
      <w:r w:rsidR="00C372F5">
        <w:t xml:space="preserve">is calculated based on the </w:t>
      </w:r>
      <w:r w:rsidR="00C372F5" w:rsidRPr="00A438A0">
        <w:t xml:space="preserve">costs </w:t>
      </w:r>
      <w:r w:rsidR="00C372F5">
        <w:t xml:space="preserve">associated with </w:t>
      </w:r>
      <w:r w:rsidR="00C372F5" w:rsidRPr="00A438A0">
        <w:t xml:space="preserve">the non-used and useful plant. This one-time charge </w:t>
      </w:r>
      <w:r w:rsidR="00C372F5">
        <w:t>is</w:t>
      </w:r>
      <w:r w:rsidR="00C372F5" w:rsidRPr="00A438A0">
        <w:t xml:space="preserve"> assessed based on the date the future customer </w:t>
      </w:r>
      <w:r w:rsidR="00C372F5">
        <w:t>pays the utility’s approved service availability charges and connects to the utility</w:t>
      </w:r>
      <w:r w:rsidR="00C372F5" w:rsidRPr="00A438A0">
        <w:t>.</w:t>
      </w:r>
    </w:p>
    <w:p w:rsidR="00C372F5" w:rsidRDefault="00C372F5" w:rsidP="00C372F5">
      <w:pPr>
        <w:jc w:val="both"/>
      </w:pPr>
    </w:p>
    <w:p w:rsidR="00C372F5" w:rsidRDefault="00C372F5" w:rsidP="00C372F5">
      <w:pPr>
        <w:jc w:val="both"/>
      </w:pPr>
      <w:r w:rsidRPr="00A438A0">
        <w:t xml:space="preserve">The </w:t>
      </w:r>
      <w:r>
        <w:t xml:space="preserve">utility’s </w:t>
      </w:r>
      <w:r w:rsidRPr="00A438A0">
        <w:t>existing AFPI charges</w:t>
      </w:r>
      <w:r>
        <w:t>, which</w:t>
      </w:r>
      <w:r w:rsidRPr="00A438A0">
        <w:t xml:space="preserve"> were established by Charlotte County when the utility was under its jurisdiction</w:t>
      </w:r>
      <w:r>
        <w:t xml:space="preserve">, </w:t>
      </w:r>
      <w:r w:rsidRPr="00A438A0">
        <w:t>are based on purchased wastewater capacity from the EWD, interconnection costs of the force main, and the master lift station. The utility did not propose a change in its AFPI charges.</w:t>
      </w:r>
    </w:p>
    <w:p w:rsidR="00C372F5" w:rsidRPr="00A438A0" w:rsidRDefault="00C372F5" w:rsidP="00C372F5">
      <w:pPr>
        <w:jc w:val="both"/>
      </w:pPr>
    </w:p>
    <w:p w:rsidR="00C372F5" w:rsidRPr="00A438A0" w:rsidRDefault="00C372F5" w:rsidP="00C372F5">
      <w:pPr>
        <w:jc w:val="both"/>
      </w:pPr>
      <w:r w:rsidRPr="00A438A0">
        <w:t xml:space="preserve">As discussed in Issue 2, staff is recommending that the purchased wastewater capacity and master lift station be considered 100 percent used and useful. Further, staff is recommending that the force main be considered 74.9 percent used and useful. Therefore, </w:t>
      </w:r>
      <w:r>
        <w:t xml:space="preserve">because only the </w:t>
      </w:r>
      <w:r w:rsidRPr="00A438A0">
        <w:t>force main</w:t>
      </w:r>
      <w:r>
        <w:t xml:space="preserve"> has </w:t>
      </w:r>
      <w:r w:rsidRPr="00A438A0">
        <w:t>non-used and useful</w:t>
      </w:r>
      <w:r>
        <w:t xml:space="preserve"> capacity in the current case</w:t>
      </w:r>
      <w:r w:rsidRPr="00A438A0">
        <w:t xml:space="preserve">, staff believes that it is appropriate to revise the utility’s AFPI charges to reflect staff’s recommended non-used and useful plant. </w:t>
      </w:r>
    </w:p>
    <w:p w:rsidR="00C372F5" w:rsidRPr="00A438A0" w:rsidRDefault="00C372F5" w:rsidP="00C372F5">
      <w:pPr>
        <w:jc w:val="both"/>
      </w:pPr>
    </w:p>
    <w:p w:rsidR="00C372F5" w:rsidRPr="00A438A0" w:rsidRDefault="00C372F5" w:rsidP="00C372F5">
      <w:pPr>
        <w:jc w:val="both"/>
      </w:pPr>
      <w:r w:rsidRPr="00A438A0">
        <w:t xml:space="preserve">The test year used in this case for establishing the amount of non-used and useful plant is the year ended December 31, 2014. Pursuant to Rule 25-30.434(4), F.A.C., the beginning date for accruing the AFPI charge should agree with the month following the end of the test year that was used to establish the amount of non-used and useful plant. Therefore, the beginning date for the AFPI </w:t>
      </w:r>
      <w:r>
        <w:t xml:space="preserve">accrual </w:t>
      </w:r>
      <w:r w:rsidRPr="00A438A0">
        <w:t xml:space="preserve">in this case is January 1, 2015. Furthermore, in accordance with Rule 25-30.434(4), F.A.C., no charge may be collected for any connections made between the beginning dates and the effective date of the AFPI charges. Typically, an AFPI charge is calculated for a five-year period. </w:t>
      </w:r>
    </w:p>
    <w:p w:rsidR="00C372F5" w:rsidRPr="00A438A0" w:rsidRDefault="00C372F5" w:rsidP="00C372F5">
      <w:pPr>
        <w:jc w:val="both"/>
      </w:pPr>
    </w:p>
    <w:p w:rsidR="00C372F5" w:rsidRDefault="00C372F5" w:rsidP="00C372F5">
      <w:pPr>
        <w:jc w:val="both"/>
      </w:pPr>
      <w:r>
        <w:t xml:space="preserve">Based on the staff recommended non-used and useful portion of the force main and the associated ERCs, staff calculated the </w:t>
      </w:r>
      <w:r w:rsidRPr="00A438A0">
        <w:t xml:space="preserve"> wastewater AFPI charges</w:t>
      </w:r>
      <w:r>
        <w:t xml:space="preserve"> </w:t>
      </w:r>
      <w:r w:rsidRPr="00A438A0">
        <w:t>contained in Table 23-1 below</w:t>
      </w:r>
      <w:r>
        <w:t xml:space="preserve">.  </w:t>
      </w:r>
    </w:p>
    <w:p w:rsidR="00C372F5" w:rsidRDefault="00C372F5" w:rsidP="00C372F5">
      <w:pPr>
        <w:jc w:val="both"/>
      </w:pPr>
      <w:r>
        <w:br w:type="page"/>
      </w:r>
    </w:p>
    <w:p w:rsidR="00C372F5" w:rsidRPr="00A438A0" w:rsidRDefault="00C372F5" w:rsidP="00C372F5">
      <w:pPr>
        <w:jc w:val="center"/>
      </w:pPr>
    </w:p>
    <w:p w:rsidR="00C372F5" w:rsidRPr="00A438A0" w:rsidRDefault="00C372F5" w:rsidP="00C372F5">
      <w:pPr>
        <w:jc w:val="center"/>
        <w:rPr>
          <w:rFonts w:ascii="Arial" w:hAnsi="Arial" w:cs="Arial"/>
          <w:b/>
        </w:rPr>
      </w:pPr>
      <w:r w:rsidRPr="00A438A0">
        <w:rPr>
          <w:rFonts w:ascii="Arial" w:hAnsi="Arial" w:cs="Arial"/>
          <w:b/>
        </w:rPr>
        <w:t>Table 23-1</w:t>
      </w:r>
    </w:p>
    <w:p w:rsidR="00C372F5" w:rsidRPr="00A438A0" w:rsidRDefault="00C372F5" w:rsidP="00C372F5">
      <w:pPr>
        <w:jc w:val="center"/>
        <w:rPr>
          <w:rFonts w:ascii="Arial" w:hAnsi="Arial" w:cs="Arial"/>
          <w:b/>
        </w:rPr>
      </w:pPr>
      <w:r w:rsidRPr="00A438A0">
        <w:rPr>
          <w:rFonts w:ascii="Arial" w:hAnsi="Arial" w:cs="Arial"/>
          <w:b/>
        </w:rPr>
        <w:t>Allowance for Funds Prudently Invested</w:t>
      </w:r>
    </w:p>
    <w:p w:rsidR="00C372F5" w:rsidRPr="00A438A0" w:rsidRDefault="00C372F5" w:rsidP="00C372F5">
      <w:pPr>
        <w:jc w:val="center"/>
        <w:rPr>
          <w:rFonts w:ascii="Arial" w:hAnsi="Arial" w:cs="Arial"/>
          <w:b/>
        </w:rPr>
      </w:pPr>
      <w:r w:rsidRPr="00A438A0">
        <w:rPr>
          <w:rFonts w:ascii="Arial" w:hAnsi="Arial" w:cs="Arial"/>
          <w:b/>
        </w:rPr>
        <w:t>Calculation of Carrying Cost Per ERC Per Month</w:t>
      </w:r>
    </w:p>
    <w:tbl>
      <w:tblPr>
        <w:tblW w:w="9109" w:type="dxa"/>
        <w:jc w:val="center"/>
        <w:tblInd w:w="93"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243"/>
        <w:gridCol w:w="399"/>
        <w:gridCol w:w="1263"/>
        <w:gridCol w:w="288"/>
        <w:gridCol w:w="1263"/>
        <w:gridCol w:w="288"/>
        <w:gridCol w:w="1263"/>
        <w:gridCol w:w="288"/>
        <w:gridCol w:w="1263"/>
        <w:gridCol w:w="288"/>
        <w:gridCol w:w="1263"/>
      </w:tblGrid>
      <w:tr w:rsidR="00C372F5" w:rsidRPr="00A438A0" w:rsidTr="003F7163">
        <w:trPr>
          <w:trHeight w:val="291"/>
          <w:jc w:val="center"/>
        </w:trPr>
        <w:tc>
          <w:tcPr>
            <w:tcW w:w="1243" w:type="dxa"/>
            <w:shd w:val="clear" w:color="auto" w:fill="auto"/>
            <w:noWrap/>
            <w:vAlign w:val="bottom"/>
            <w:hideMark/>
          </w:tcPr>
          <w:p w:rsidR="00C372F5" w:rsidRPr="00A438A0" w:rsidRDefault="00C372F5" w:rsidP="003F7163">
            <w:pPr>
              <w:jc w:val="both"/>
              <w:rPr>
                <w:rFonts w:ascii="SWISS" w:hAnsi="SWISS" w:cs="Arial"/>
              </w:rPr>
            </w:pPr>
          </w:p>
        </w:tc>
        <w:tc>
          <w:tcPr>
            <w:tcW w:w="399"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2015</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2016</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2017</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2018</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2019</w:t>
            </w:r>
          </w:p>
        </w:tc>
      </w:tr>
      <w:tr w:rsidR="00C372F5" w:rsidRPr="00A438A0" w:rsidTr="003F7163">
        <w:trPr>
          <w:trHeight w:val="291"/>
          <w:jc w:val="center"/>
        </w:trPr>
        <w:tc>
          <w:tcPr>
            <w:tcW w:w="1243" w:type="dxa"/>
            <w:shd w:val="clear" w:color="auto" w:fill="auto"/>
            <w:noWrap/>
            <w:vAlign w:val="bottom"/>
            <w:hideMark/>
          </w:tcPr>
          <w:p w:rsidR="00C372F5" w:rsidRPr="00A438A0" w:rsidRDefault="00C372F5" w:rsidP="003F7163">
            <w:pPr>
              <w:jc w:val="both"/>
              <w:rPr>
                <w:rFonts w:ascii="SWISS" w:hAnsi="SWISS" w:cs="Arial"/>
              </w:rPr>
            </w:pPr>
          </w:p>
        </w:tc>
        <w:tc>
          <w:tcPr>
            <w:tcW w:w="399"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p>
        </w:tc>
      </w:tr>
      <w:tr w:rsidR="00C372F5" w:rsidRPr="00A438A0" w:rsidTr="003F7163">
        <w:trPr>
          <w:trHeight w:val="291"/>
          <w:jc w:val="center"/>
        </w:trPr>
        <w:tc>
          <w:tcPr>
            <w:tcW w:w="124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January</w:t>
            </w:r>
          </w:p>
        </w:tc>
        <w:tc>
          <w:tcPr>
            <w:tcW w:w="399"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9.73</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127.00</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251.23</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382.96</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522.80</w:t>
            </w:r>
          </w:p>
        </w:tc>
      </w:tr>
      <w:tr w:rsidR="00C372F5" w:rsidRPr="00A438A0" w:rsidTr="003F7163">
        <w:trPr>
          <w:trHeight w:val="291"/>
          <w:jc w:val="center"/>
        </w:trPr>
        <w:tc>
          <w:tcPr>
            <w:tcW w:w="124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February</w:t>
            </w:r>
          </w:p>
        </w:tc>
        <w:tc>
          <w:tcPr>
            <w:tcW w:w="399"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19.45</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137.30</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262.15</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394.56</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535.12</w:t>
            </w:r>
          </w:p>
        </w:tc>
      </w:tr>
      <w:tr w:rsidR="00C372F5" w:rsidRPr="00A438A0" w:rsidTr="003F7163">
        <w:trPr>
          <w:trHeight w:val="291"/>
          <w:jc w:val="center"/>
        </w:trPr>
        <w:tc>
          <w:tcPr>
            <w:tcW w:w="124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March</w:t>
            </w:r>
          </w:p>
        </w:tc>
        <w:tc>
          <w:tcPr>
            <w:tcW w:w="399"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29.18</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147.60</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273.07</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406.15</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547.44</w:t>
            </w:r>
          </w:p>
        </w:tc>
      </w:tr>
      <w:tr w:rsidR="00C372F5" w:rsidRPr="00A438A0" w:rsidTr="003F7163">
        <w:trPr>
          <w:trHeight w:val="291"/>
          <w:jc w:val="center"/>
        </w:trPr>
        <w:tc>
          <w:tcPr>
            <w:tcW w:w="124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April</w:t>
            </w:r>
          </w:p>
        </w:tc>
        <w:tc>
          <w:tcPr>
            <w:tcW w:w="399"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38.90</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157.90</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284.00</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417.74</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559.75</w:t>
            </w:r>
          </w:p>
        </w:tc>
      </w:tr>
      <w:tr w:rsidR="00C372F5" w:rsidRPr="00A438A0" w:rsidTr="003F7163">
        <w:trPr>
          <w:trHeight w:val="291"/>
          <w:jc w:val="center"/>
        </w:trPr>
        <w:tc>
          <w:tcPr>
            <w:tcW w:w="124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May</w:t>
            </w:r>
          </w:p>
        </w:tc>
        <w:tc>
          <w:tcPr>
            <w:tcW w:w="399"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48.63</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168.20</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294.92</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429.33</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572.07</w:t>
            </w:r>
          </w:p>
        </w:tc>
      </w:tr>
      <w:tr w:rsidR="00C372F5" w:rsidRPr="00A438A0" w:rsidTr="003F7163">
        <w:trPr>
          <w:trHeight w:val="291"/>
          <w:jc w:val="center"/>
        </w:trPr>
        <w:tc>
          <w:tcPr>
            <w:tcW w:w="124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June</w:t>
            </w:r>
          </w:p>
        </w:tc>
        <w:tc>
          <w:tcPr>
            <w:tcW w:w="399"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58.35</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178.50</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305.84</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440.93</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584.39</w:t>
            </w:r>
          </w:p>
        </w:tc>
      </w:tr>
      <w:tr w:rsidR="00C372F5" w:rsidRPr="00A438A0" w:rsidTr="003F7163">
        <w:trPr>
          <w:trHeight w:val="291"/>
          <w:jc w:val="center"/>
        </w:trPr>
        <w:tc>
          <w:tcPr>
            <w:tcW w:w="124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July</w:t>
            </w:r>
          </w:p>
        </w:tc>
        <w:tc>
          <w:tcPr>
            <w:tcW w:w="399"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68.08</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188.80</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316.76</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452.52</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596.71</w:t>
            </w:r>
          </w:p>
        </w:tc>
      </w:tr>
      <w:tr w:rsidR="00C372F5" w:rsidRPr="00A438A0" w:rsidTr="003F7163">
        <w:trPr>
          <w:trHeight w:val="291"/>
          <w:jc w:val="center"/>
        </w:trPr>
        <w:tc>
          <w:tcPr>
            <w:tcW w:w="124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August</w:t>
            </w:r>
          </w:p>
        </w:tc>
        <w:tc>
          <w:tcPr>
            <w:tcW w:w="399"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77.80</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199.11</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327.68</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464.11</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609.03</w:t>
            </w:r>
          </w:p>
        </w:tc>
      </w:tr>
      <w:tr w:rsidR="00C372F5" w:rsidRPr="00A438A0" w:rsidTr="003F7163">
        <w:trPr>
          <w:trHeight w:val="291"/>
          <w:jc w:val="center"/>
        </w:trPr>
        <w:tc>
          <w:tcPr>
            <w:tcW w:w="124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September</w:t>
            </w:r>
          </w:p>
        </w:tc>
        <w:tc>
          <w:tcPr>
            <w:tcW w:w="399"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87.53</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209.41</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338.61</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475.70</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621.35</w:t>
            </w:r>
          </w:p>
        </w:tc>
      </w:tr>
      <w:tr w:rsidR="00C372F5" w:rsidRPr="00A438A0" w:rsidTr="003F7163">
        <w:trPr>
          <w:trHeight w:val="291"/>
          <w:jc w:val="center"/>
        </w:trPr>
        <w:tc>
          <w:tcPr>
            <w:tcW w:w="124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October</w:t>
            </w:r>
          </w:p>
        </w:tc>
        <w:tc>
          <w:tcPr>
            <w:tcW w:w="399"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97.25</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219.71</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349.53</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487.30</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633.67</w:t>
            </w:r>
          </w:p>
        </w:tc>
      </w:tr>
      <w:tr w:rsidR="00C372F5" w:rsidRPr="00A438A0" w:rsidTr="003F7163">
        <w:trPr>
          <w:trHeight w:val="291"/>
          <w:jc w:val="center"/>
        </w:trPr>
        <w:tc>
          <w:tcPr>
            <w:tcW w:w="124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November</w:t>
            </w:r>
          </w:p>
        </w:tc>
        <w:tc>
          <w:tcPr>
            <w:tcW w:w="399"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106.98</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230.01</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360.45</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498.89</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645.99</w:t>
            </w:r>
          </w:p>
        </w:tc>
      </w:tr>
      <w:tr w:rsidR="00C372F5" w:rsidRPr="00A438A0" w:rsidTr="003F7163">
        <w:trPr>
          <w:trHeight w:val="291"/>
          <w:jc w:val="center"/>
        </w:trPr>
        <w:tc>
          <w:tcPr>
            <w:tcW w:w="124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December</w:t>
            </w:r>
          </w:p>
        </w:tc>
        <w:tc>
          <w:tcPr>
            <w:tcW w:w="399"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116.70</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240.31</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371.37</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510.48</w:t>
            </w:r>
          </w:p>
        </w:tc>
        <w:tc>
          <w:tcPr>
            <w:tcW w:w="288" w:type="dxa"/>
            <w:shd w:val="clear" w:color="auto" w:fill="auto"/>
            <w:noWrap/>
            <w:vAlign w:val="bottom"/>
            <w:hideMark/>
          </w:tcPr>
          <w:p w:rsidR="00C372F5" w:rsidRPr="00A438A0" w:rsidRDefault="00C372F5" w:rsidP="003F7163">
            <w:pPr>
              <w:jc w:val="both"/>
              <w:rPr>
                <w:rFonts w:ascii="SWISS" w:hAnsi="SWISS" w:cs="Arial"/>
              </w:rPr>
            </w:pPr>
          </w:p>
        </w:tc>
        <w:tc>
          <w:tcPr>
            <w:tcW w:w="1263" w:type="dxa"/>
            <w:shd w:val="clear" w:color="auto" w:fill="auto"/>
            <w:noWrap/>
            <w:vAlign w:val="bottom"/>
            <w:hideMark/>
          </w:tcPr>
          <w:p w:rsidR="00C372F5" w:rsidRPr="00A438A0" w:rsidRDefault="00C372F5" w:rsidP="003F7163">
            <w:pPr>
              <w:jc w:val="both"/>
              <w:rPr>
                <w:rFonts w:ascii="SWISS" w:hAnsi="SWISS" w:cs="Arial"/>
              </w:rPr>
            </w:pPr>
            <w:r w:rsidRPr="00A438A0">
              <w:rPr>
                <w:rFonts w:ascii="SWISS" w:hAnsi="SWISS" w:cs="Arial"/>
              </w:rPr>
              <w:t>658.30</w:t>
            </w:r>
          </w:p>
        </w:tc>
      </w:tr>
    </w:tbl>
    <w:p w:rsidR="00C372F5" w:rsidRDefault="001E6F78" w:rsidP="00C372F5">
      <w:pPr>
        <w:jc w:val="both"/>
      </w:pPr>
      <w:r>
        <w:t xml:space="preserve">  Source: Staff’s calculations</w:t>
      </w:r>
    </w:p>
    <w:p w:rsidR="001E6F78" w:rsidRDefault="001E6F78" w:rsidP="00C372F5">
      <w:pPr>
        <w:jc w:val="both"/>
      </w:pPr>
    </w:p>
    <w:p w:rsidR="001E6F78" w:rsidRPr="00A438A0" w:rsidRDefault="001E6F78" w:rsidP="00C372F5">
      <w:pPr>
        <w:jc w:val="both"/>
      </w:pPr>
    </w:p>
    <w:p w:rsidR="00C372F5" w:rsidRDefault="00C372F5" w:rsidP="00C372F5">
      <w:pPr>
        <w:jc w:val="both"/>
      </w:pPr>
      <w:r w:rsidRPr="00A438A0">
        <w:t xml:space="preserve">Based on the above, staff recommends that Sandalhaven’s existing AFPI charges should be revised. The beginning date of the new AFPI charges should be January 1, 2015. After December 31, 2020, the utility should be allowed to collect the constant charge until </w:t>
      </w:r>
      <w:r>
        <w:t>792</w:t>
      </w:r>
      <w:r w:rsidRPr="00A438A0">
        <w:t xml:space="preserve"> </w:t>
      </w:r>
      <w:r>
        <w:t xml:space="preserve">future </w:t>
      </w:r>
      <w:r w:rsidRPr="00A438A0">
        <w:t xml:space="preserve">ERCs have been added, at which time the charge should be discontinued. </w:t>
      </w:r>
      <w:r w:rsidR="00BB18B0">
        <w:t>The charge should be collected from future connection</w:t>
      </w:r>
      <w:r w:rsidR="00BB18B0" w:rsidRPr="00A438A0">
        <w:t xml:space="preserve"> based upon the time of the initial connection.</w:t>
      </w:r>
      <w:r w:rsidR="00BB18B0">
        <w:t xml:space="preserve"> </w:t>
      </w:r>
      <w:r w:rsidR="00BB18B0" w:rsidRPr="00A438A0">
        <w:t xml:space="preserve">The revised tariff sheets should be approved upon staff’s verification that the tariffs are consistent with the Commission’s decision The approved </w:t>
      </w:r>
      <w:r w:rsidR="00BB18B0">
        <w:t>AFPI</w:t>
      </w:r>
      <w:r w:rsidR="00BB18B0" w:rsidRPr="00A438A0">
        <w:t xml:space="preserve"> charges should be effective for </w:t>
      </w:r>
      <w:r w:rsidR="00BB18B0">
        <w:t>connections made</w:t>
      </w:r>
      <w:r w:rsidR="00BB18B0" w:rsidRPr="00A438A0">
        <w:t xml:space="preserve"> on or after the stamped approval date of the tariff, pursuant to Rule 25-30.475, F.A.C.</w:t>
      </w:r>
    </w:p>
    <w:p w:rsidR="00C372F5" w:rsidRDefault="00C372F5">
      <w:r>
        <w:br w:type="page"/>
      </w:r>
    </w:p>
    <w:p w:rsidR="002C1F29" w:rsidRPr="00A438A0" w:rsidRDefault="002C1F29" w:rsidP="00C372F5">
      <w:pPr>
        <w:jc w:val="both"/>
        <w:rPr>
          <w:vanish/>
          <w:specVanish/>
        </w:rPr>
      </w:pPr>
      <w:r w:rsidRPr="00C372F5">
        <w:rPr>
          <w:rFonts w:ascii="Arial" w:hAnsi="Arial" w:cs="Arial"/>
          <w:b/>
          <w:bCs/>
          <w:i/>
          <w:iCs/>
          <w:szCs w:val="28"/>
        </w:rPr>
        <w:lastRenderedPageBreak/>
        <w:t xml:space="preserve">Issue </w:t>
      </w:r>
      <w:r w:rsidR="00FC616A" w:rsidRPr="00C372F5">
        <w:rPr>
          <w:rFonts w:ascii="Arial" w:hAnsi="Arial" w:cs="Arial"/>
          <w:b/>
          <w:bCs/>
          <w:i/>
          <w:iCs/>
          <w:szCs w:val="28"/>
        </w:rPr>
        <w:fldChar w:fldCharType="begin"/>
      </w:r>
      <w:r w:rsidR="00FC616A" w:rsidRPr="00C372F5">
        <w:rPr>
          <w:rFonts w:ascii="Arial" w:hAnsi="Arial" w:cs="Arial"/>
          <w:b/>
          <w:bCs/>
          <w:i/>
          <w:iCs/>
          <w:szCs w:val="28"/>
        </w:rPr>
        <w:instrText xml:space="preserve"> SEQ Issue \* MERGEFORMAT </w:instrText>
      </w:r>
      <w:r w:rsidR="00FC616A" w:rsidRPr="00C372F5">
        <w:rPr>
          <w:rFonts w:ascii="Arial" w:hAnsi="Arial" w:cs="Arial"/>
          <w:b/>
          <w:bCs/>
          <w:i/>
          <w:iCs/>
          <w:szCs w:val="28"/>
        </w:rPr>
        <w:fldChar w:fldCharType="separate"/>
      </w:r>
      <w:r w:rsidR="00A05B79">
        <w:rPr>
          <w:rFonts w:ascii="Arial" w:hAnsi="Arial" w:cs="Arial"/>
          <w:b/>
          <w:bCs/>
          <w:i/>
          <w:iCs/>
          <w:noProof/>
          <w:szCs w:val="28"/>
        </w:rPr>
        <w:t>24</w:t>
      </w:r>
      <w:r w:rsidR="00FC616A" w:rsidRPr="00C372F5">
        <w:rPr>
          <w:rFonts w:ascii="Arial" w:hAnsi="Arial" w:cs="Arial"/>
          <w:b/>
          <w:bCs/>
          <w:i/>
          <w:iCs/>
          <w:szCs w:val="28"/>
        </w:rPr>
        <w:fldChar w:fldCharType="end"/>
      </w:r>
      <w:r w:rsidRPr="00C372F5">
        <w:rPr>
          <w:rFonts w:ascii="Arial" w:hAnsi="Arial" w:cs="Arial"/>
          <w:b/>
          <w:bCs/>
          <w:i/>
          <w:iCs/>
          <w:szCs w:val="28"/>
        </w:rPr>
        <w:t>:</w:t>
      </w:r>
      <w:r w:rsidRPr="00A438A0">
        <w:fldChar w:fldCharType="begin"/>
      </w:r>
      <w:r w:rsidRPr="00A438A0">
        <w:instrText xml:space="preserve"> TC "</w:instrText>
      </w:r>
      <w:r w:rsidRPr="00A438A0">
        <w:fldChar w:fldCharType="begin"/>
      </w:r>
      <w:r w:rsidRPr="00A438A0">
        <w:instrText xml:space="preserve"> SEQ issue \c </w:instrText>
      </w:r>
      <w:r w:rsidRPr="00A438A0">
        <w:fldChar w:fldCharType="separate"/>
      </w:r>
      <w:bookmarkStart w:id="40" w:name="_Toc435607958"/>
      <w:r w:rsidR="00A05B79">
        <w:rPr>
          <w:noProof/>
        </w:rPr>
        <w:instrText>24</w:instrText>
      </w:r>
      <w:r w:rsidRPr="00A438A0">
        <w:fldChar w:fldCharType="end"/>
      </w:r>
      <w:r w:rsidRPr="00A438A0">
        <w:tab/>
        <w:instrText>Proof of Adjustments (D. Buys)</w:instrText>
      </w:r>
      <w:bookmarkEnd w:id="40"/>
      <w:r w:rsidRPr="00A438A0">
        <w:instrText xml:space="preserve">" \l 1 </w:instrText>
      </w:r>
      <w:r w:rsidRPr="00A438A0">
        <w:fldChar w:fldCharType="end"/>
      </w:r>
      <w:r w:rsidRPr="00A438A0">
        <w:t> </w:t>
      </w:r>
    </w:p>
    <w:p w:rsidR="002C1F29" w:rsidRPr="00A438A0" w:rsidRDefault="00913AC2">
      <w:pPr>
        <w:pStyle w:val="BodyText"/>
      </w:pPr>
      <w:r w:rsidRPr="00A438A0">
        <w:t> Should the u</w:t>
      </w:r>
      <w:r w:rsidR="002C1F29" w:rsidRPr="00A438A0">
        <w:t>tility be required to provide proof, within 90 days of an effective order finalizing this docket, that it has adjusted its books for all the applicable National Association of Regulatory Utility Commissioners (NARUC) Uniform System of Accounts (USOA) associated with the Commission approved adjustments?</w:t>
      </w:r>
    </w:p>
    <w:p w:rsidR="002C1F29" w:rsidRPr="00A438A0" w:rsidRDefault="002C1F29">
      <w:pPr>
        <w:pStyle w:val="IssueSubsectionHeading"/>
        <w:rPr>
          <w:vanish/>
          <w:specVanish/>
        </w:rPr>
      </w:pPr>
      <w:r w:rsidRPr="00A438A0">
        <w:t>Recommendation: </w:t>
      </w:r>
    </w:p>
    <w:p w:rsidR="002C1F29" w:rsidRPr="00A438A0" w:rsidRDefault="002C1F29">
      <w:pPr>
        <w:pStyle w:val="BodyText"/>
      </w:pPr>
      <w:r w:rsidRPr="00A438A0">
        <w:t> </w:t>
      </w:r>
      <w:r w:rsidR="00896A40" w:rsidRPr="00A438A0">
        <w:t>Yes. To ensure that the utility adjusts its books in accordance with the Commission’s decision, Sandalhaven should notify the Commission in writing within 90 days of the final order in this docket that the adjustments to all the applicable NARUC USOA accounts have been made to the utility’s books and records</w:t>
      </w:r>
      <w:r w:rsidR="00A27641" w:rsidRPr="00A438A0">
        <w:t xml:space="preserve">. </w:t>
      </w:r>
      <w:r w:rsidRPr="00A438A0">
        <w:t>(D. Buys)</w:t>
      </w:r>
    </w:p>
    <w:p w:rsidR="002C1F29" w:rsidRPr="00A438A0" w:rsidRDefault="002C1F29">
      <w:pPr>
        <w:pStyle w:val="IssueSubsectionHeading"/>
        <w:rPr>
          <w:vanish/>
          <w:specVanish/>
        </w:rPr>
      </w:pPr>
      <w:r w:rsidRPr="00A438A0">
        <w:t>Staff Analysis: </w:t>
      </w:r>
    </w:p>
    <w:p w:rsidR="00896A40" w:rsidRPr="00A438A0" w:rsidRDefault="002C1F29" w:rsidP="00896A40">
      <w:pPr>
        <w:pStyle w:val="BodyText"/>
      </w:pPr>
      <w:r w:rsidRPr="00A438A0">
        <w:t> </w:t>
      </w:r>
      <w:r w:rsidR="00896A40" w:rsidRPr="00A438A0">
        <w:t>To ensure that the utility adjusts its books in accordance with the Commission’s decision, Sandalhaven should notify the Commission in writing within 90 days of the final order in this docket that the adjustments to all the applicable NARUC USOA accounts have been made to the utility’s books and records.</w:t>
      </w:r>
    </w:p>
    <w:p w:rsidR="00896A40" w:rsidRPr="00A438A0" w:rsidRDefault="00896A40" w:rsidP="00896A40">
      <w:pPr>
        <w:pStyle w:val="BodyText"/>
        <w:rPr>
          <w:sz w:val="20"/>
          <w:szCs w:val="20"/>
        </w:rPr>
      </w:pPr>
    </w:p>
    <w:p w:rsidR="004A428F" w:rsidRPr="00A438A0" w:rsidRDefault="00CF2E67">
      <w:pPr>
        <w:pStyle w:val="IssueHeading"/>
        <w:rPr>
          <w:vanish/>
          <w:specVanish/>
        </w:rPr>
      </w:pPr>
      <w:r w:rsidRPr="00A438A0">
        <w:rPr>
          <w:sz w:val="20"/>
          <w:szCs w:val="20"/>
        </w:rPr>
        <w:t xml:space="preserve"> </w:t>
      </w:r>
      <w:r w:rsidR="004A428F" w:rsidRPr="00A438A0">
        <w:rPr>
          <w:b w:val="0"/>
          <w:i w:val="0"/>
        </w:rPr>
        <w:br w:type="page"/>
      </w:r>
      <w:r w:rsidR="004A428F" w:rsidRPr="00A438A0">
        <w:lastRenderedPageBreak/>
        <w:t xml:space="preserve">Issue </w:t>
      </w:r>
      <w:r w:rsidR="006D42F5">
        <w:fldChar w:fldCharType="begin"/>
      </w:r>
      <w:r w:rsidR="006D42F5">
        <w:instrText xml:space="preserve"> SEQ Issue \* MERGEFORMAT </w:instrText>
      </w:r>
      <w:r w:rsidR="006D42F5">
        <w:fldChar w:fldCharType="separate"/>
      </w:r>
      <w:r w:rsidR="00A05B79">
        <w:rPr>
          <w:noProof/>
        </w:rPr>
        <w:t>25</w:t>
      </w:r>
      <w:r w:rsidR="006D42F5">
        <w:rPr>
          <w:noProof/>
        </w:rPr>
        <w:fldChar w:fldCharType="end"/>
      </w:r>
      <w:r w:rsidR="004A428F" w:rsidRPr="00A438A0">
        <w:t>:</w:t>
      </w:r>
      <w:r w:rsidR="004A428F" w:rsidRPr="00A438A0">
        <w:fldChar w:fldCharType="begin"/>
      </w:r>
      <w:r w:rsidR="004A428F" w:rsidRPr="00A438A0">
        <w:instrText xml:space="preserve"> TC "</w:instrText>
      </w:r>
      <w:r w:rsidR="004A428F" w:rsidRPr="00A438A0">
        <w:fldChar w:fldCharType="begin"/>
      </w:r>
      <w:r w:rsidR="004A428F" w:rsidRPr="00A438A0">
        <w:instrText xml:space="preserve"> SEQ issue \c </w:instrText>
      </w:r>
      <w:r w:rsidR="004A428F" w:rsidRPr="00A438A0">
        <w:fldChar w:fldCharType="separate"/>
      </w:r>
      <w:bookmarkStart w:id="41" w:name="_Toc435607959"/>
      <w:r w:rsidR="00A05B79">
        <w:rPr>
          <w:noProof/>
        </w:rPr>
        <w:instrText>25</w:instrText>
      </w:r>
      <w:r w:rsidR="004A428F" w:rsidRPr="00A438A0">
        <w:fldChar w:fldCharType="end"/>
      </w:r>
      <w:r w:rsidR="004A428F" w:rsidRPr="00A438A0">
        <w:tab/>
        <w:instrText>Close Docket(Brownless)</w:instrText>
      </w:r>
      <w:bookmarkEnd w:id="41"/>
      <w:r w:rsidR="004A428F" w:rsidRPr="00A438A0">
        <w:instrText xml:space="preserve">" \l 1 </w:instrText>
      </w:r>
      <w:r w:rsidR="004A428F" w:rsidRPr="00A438A0">
        <w:fldChar w:fldCharType="end"/>
      </w:r>
      <w:r w:rsidR="004A428F" w:rsidRPr="00A438A0">
        <w:t> </w:t>
      </w:r>
    </w:p>
    <w:p w:rsidR="004A428F" w:rsidRPr="00A438A0" w:rsidRDefault="004A428F">
      <w:pPr>
        <w:pStyle w:val="BodyText"/>
      </w:pPr>
      <w:r w:rsidRPr="00A438A0">
        <w:t> Should this docket be closed?</w:t>
      </w:r>
    </w:p>
    <w:p w:rsidR="004A428F" w:rsidRPr="00A438A0" w:rsidRDefault="004A428F">
      <w:pPr>
        <w:pStyle w:val="IssueSubsectionHeading"/>
        <w:rPr>
          <w:vanish/>
          <w:specVanish/>
        </w:rPr>
      </w:pPr>
      <w:r w:rsidRPr="00A438A0">
        <w:t>Recommendation: </w:t>
      </w:r>
    </w:p>
    <w:p w:rsidR="004A428F" w:rsidRPr="00A438A0" w:rsidRDefault="004A428F">
      <w:pPr>
        <w:pStyle w:val="BodyText"/>
      </w:pPr>
      <w:r w:rsidRPr="00A438A0">
        <w:t> </w:t>
      </w:r>
      <w:r w:rsidR="00896A40" w:rsidRPr="00A438A0">
        <w:t xml:space="preserve">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r w:rsidRPr="00A438A0">
        <w:t xml:space="preserve"> (Brownless)</w:t>
      </w:r>
    </w:p>
    <w:p w:rsidR="004A428F" w:rsidRPr="00A438A0" w:rsidRDefault="004A428F">
      <w:pPr>
        <w:pStyle w:val="IssueSubsectionHeading"/>
        <w:rPr>
          <w:vanish/>
          <w:specVanish/>
        </w:rPr>
      </w:pPr>
      <w:r w:rsidRPr="00A438A0">
        <w:t>Staff Analysis: </w:t>
      </w:r>
    </w:p>
    <w:p w:rsidR="00FA307D" w:rsidRPr="00A438A0" w:rsidRDefault="004A428F">
      <w:pPr>
        <w:pStyle w:val="BodyText"/>
        <w:sectPr w:rsidR="00FA307D" w:rsidRPr="00A438A0" w:rsidSect="00D96C94">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rsidRPr="00A438A0">
        <w:t> </w:t>
      </w:r>
      <w:r w:rsidR="00896A40" w:rsidRPr="00A438A0">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p>
    <w:tbl>
      <w:tblPr>
        <w:tblW w:w="5000" w:type="pct"/>
        <w:tblLook w:val="04A0" w:firstRow="1" w:lastRow="0" w:firstColumn="1" w:lastColumn="0" w:noHBand="0" w:noVBand="1"/>
      </w:tblPr>
      <w:tblGrid>
        <w:gridCol w:w="627"/>
        <w:gridCol w:w="5064"/>
        <w:gridCol w:w="1608"/>
        <w:gridCol w:w="1434"/>
        <w:gridCol w:w="1434"/>
        <w:gridCol w:w="1504"/>
        <w:gridCol w:w="1361"/>
      </w:tblGrid>
      <w:tr w:rsidR="006F1BCD" w:rsidRPr="00A438A0" w:rsidTr="006F1BCD">
        <w:trPr>
          <w:trHeight w:val="315"/>
        </w:trPr>
        <w:tc>
          <w:tcPr>
            <w:tcW w:w="241" w:type="pct"/>
            <w:tcBorders>
              <w:top w:val="single" w:sz="8" w:space="0" w:color="auto"/>
              <w:left w:val="single" w:sz="8" w:space="0" w:color="auto"/>
              <w:bottom w:val="nil"/>
              <w:right w:val="nil"/>
            </w:tcBorders>
            <w:shd w:val="clear" w:color="000000" w:fill="FFFFFF"/>
            <w:noWrap/>
            <w:vAlign w:val="bottom"/>
            <w:hideMark/>
          </w:tcPr>
          <w:p w:rsidR="006F1BCD" w:rsidRPr="00A438A0" w:rsidRDefault="006F1BCD" w:rsidP="006F1BCD">
            <w:pPr>
              <w:rPr>
                <w:color w:val="000000"/>
                <w:sz w:val="20"/>
                <w:szCs w:val="20"/>
              </w:rPr>
            </w:pPr>
            <w:r w:rsidRPr="00A438A0">
              <w:rPr>
                <w:color w:val="000000"/>
                <w:sz w:val="20"/>
                <w:szCs w:val="20"/>
              </w:rPr>
              <w:lastRenderedPageBreak/>
              <w:t> </w:t>
            </w:r>
          </w:p>
        </w:tc>
        <w:tc>
          <w:tcPr>
            <w:tcW w:w="1943" w:type="pct"/>
            <w:tcBorders>
              <w:top w:val="single" w:sz="8" w:space="0" w:color="auto"/>
              <w:left w:val="nil"/>
              <w:bottom w:val="nil"/>
              <w:right w:val="nil"/>
            </w:tcBorders>
            <w:shd w:val="clear" w:color="000000" w:fill="FFFFFF"/>
            <w:noWrap/>
            <w:vAlign w:val="bottom"/>
            <w:hideMark/>
          </w:tcPr>
          <w:p w:rsidR="006F1BCD" w:rsidRPr="00A438A0" w:rsidRDefault="006F1BCD" w:rsidP="006F1BCD">
            <w:pPr>
              <w:rPr>
                <w:rFonts w:ascii="Arial" w:hAnsi="Arial" w:cs="Arial"/>
                <w:b/>
                <w:bCs/>
              </w:rPr>
            </w:pPr>
            <w:r w:rsidRPr="00A438A0">
              <w:rPr>
                <w:rFonts w:ascii="Arial" w:hAnsi="Arial" w:cs="Arial"/>
                <w:b/>
                <w:bCs/>
              </w:rPr>
              <w:t>Utilities, Inc. of Sandalhaven</w:t>
            </w:r>
          </w:p>
        </w:tc>
        <w:tc>
          <w:tcPr>
            <w:tcW w:w="617" w:type="pct"/>
            <w:tcBorders>
              <w:top w:val="single" w:sz="8" w:space="0" w:color="auto"/>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rPr>
            </w:pPr>
            <w:r w:rsidRPr="00A438A0">
              <w:rPr>
                <w:rFonts w:ascii="Arial" w:hAnsi="Arial" w:cs="Arial"/>
                <w:color w:val="000000"/>
              </w:rPr>
              <w:t> </w:t>
            </w:r>
          </w:p>
        </w:tc>
        <w:tc>
          <w:tcPr>
            <w:tcW w:w="550" w:type="pct"/>
            <w:tcBorders>
              <w:top w:val="single" w:sz="8" w:space="0" w:color="auto"/>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rPr>
            </w:pPr>
            <w:r w:rsidRPr="00A438A0">
              <w:rPr>
                <w:rFonts w:ascii="Arial" w:hAnsi="Arial" w:cs="Arial"/>
                <w:color w:val="000000"/>
              </w:rPr>
              <w:t> </w:t>
            </w:r>
          </w:p>
        </w:tc>
        <w:tc>
          <w:tcPr>
            <w:tcW w:w="550" w:type="pct"/>
            <w:tcBorders>
              <w:top w:val="single" w:sz="8" w:space="0" w:color="auto"/>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rPr>
            </w:pPr>
            <w:r w:rsidRPr="00A438A0">
              <w:rPr>
                <w:rFonts w:ascii="Arial" w:hAnsi="Arial" w:cs="Arial"/>
                <w:color w:val="000000"/>
              </w:rPr>
              <w:t> </w:t>
            </w:r>
          </w:p>
        </w:tc>
        <w:tc>
          <w:tcPr>
            <w:tcW w:w="1099" w:type="pct"/>
            <w:gridSpan w:val="2"/>
            <w:tcBorders>
              <w:top w:val="single" w:sz="8" w:space="0" w:color="auto"/>
              <w:left w:val="nil"/>
              <w:bottom w:val="nil"/>
              <w:right w:val="single" w:sz="8" w:space="0" w:color="000000"/>
            </w:tcBorders>
            <w:shd w:val="clear" w:color="000000" w:fill="FFFFFF"/>
            <w:noWrap/>
            <w:vAlign w:val="bottom"/>
            <w:hideMark/>
          </w:tcPr>
          <w:p w:rsidR="00CB65D8" w:rsidRDefault="006F1BCD" w:rsidP="00CB65D8">
            <w:pPr>
              <w:pStyle w:val="Header"/>
              <w:tabs>
                <w:tab w:val="clear" w:pos="4320"/>
                <w:tab w:val="clear" w:pos="8640"/>
                <w:tab w:val="right" w:pos="9360"/>
                <w:tab w:val="left" w:pos="11160"/>
              </w:tabs>
            </w:pPr>
            <w:r w:rsidRPr="00A438A0">
              <w:rPr>
                <w:rFonts w:ascii="Arial" w:hAnsi="Arial" w:cs="Arial"/>
                <w:b/>
                <w:bCs/>
              </w:rPr>
              <w:t>Schedule No. 1</w:t>
            </w:r>
            <w:r w:rsidR="00CB65D8">
              <w:fldChar w:fldCharType="begin"/>
            </w:r>
            <w:r w:rsidR="00CB65D8">
              <w:instrText xml:space="preserve"> TC "</w:instrText>
            </w:r>
            <w:bookmarkStart w:id="42" w:name="_Toc433269940"/>
            <w:bookmarkStart w:id="43" w:name="_Toc435607960"/>
            <w:r w:rsidR="00CB65D8">
              <w:tab/>
              <w:instrText>Schedule No. 1 Wastewater Rate Base</w:instrText>
            </w:r>
            <w:bookmarkEnd w:id="42"/>
            <w:bookmarkEnd w:id="43"/>
            <w:r w:rsidR="00CB65D8">
              <w:instrText xml:space="preserve">" \l 1 </w:instrText>
            </w:r>
            <w:r w:rsidR="00CB65D8">
              <w:fldChar w:fldCharType="end"/>
            </w:r>
          </w:p>
          <w:p w:rsidR="006F1BCD" w:rsidRPr="00A438A0" w:rsidRDefault="006F1BCD" w:rsidP="006F1BCD">
            <w:pPr>
              <w:jc w:val="right"/>
              <w:rPr>
                <w:rFonts w:ascii="Arial" w:hAnsi="Arial" w:cs="Arial"/>
                <w:b/>
                <w:bCs/>
              </w:rPr>
            </w:pPr>
          </w:p>
        </w:tc>
      </w:tr>
      <w:tr w:rsidR="006F1BCD" w:rsidRPr="00A438A0" w:rsidTr="006F1BCD">
        <w:trPr>
          <w:trHeight w:val="315"/>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rPr>
                <w:color w:val="000000"/>
                <w:sz w:val="20"/>
                <w:szCs w:val="20"/>
              </w:rPr>
            </w:pPr>
            <w:r w:rsidRPr="00A438A0">
              <w:rPr>
                <w:color w:val="000000"/>
                <w:sz w:val="20"/>
                <w:szCs w:val="20"/>
              </w:rPr>
              <w:t> </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b/>
                <w:bCs/>
              </w:rPr>
            </w:pPr>
            <w:r w:rsidRPr="00A438A0">
              <w:rPr>
                <w:rFonts w:ascii="Arial" w:hAnsi="Arial" w:cs="Arial"/>
                <w:b/>
                <w:bCs/>
              </w:rPr>
              <w:t>Schedule of Wastewater Rate Base</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rPr>
            </w:pPr>
            <w:r w:rsidRPr="00A438A0">
              <w:rPr>
                <w:rFonts w:ascii="Arial" w:hAnsi="Arial" w:cs="Arial"/>
                <w:color w:val="000000"/>
              </w:rPr>
              <w:t>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rPr>
            </w:pPr>
            <w:r w:rsidRPr="00A438A0">
              <w:rPr>
                <w:rFonts w:ascii="Arial" w:hAnsi="Arial" w:cs="Arial"/>
                <w:color w:val="000000"/>
              </w:rPr>
              <w:t>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rPr>
            </w:pPr>
            <w:r w:rsidRPr="00A438A0">
              <w:rPr>
                <w:rFonts w:ascii="Arial" w:hAnsi="Arial" w:cs="Arial"/>
                <w:color w:val="000000"/>
              </w:rPr>
              <w:t> </w:t>
            </w:r>
          </w:p>
        </w:tc>
        <w:tc>
          <w:tcPr>
            <w:tcW w:w="1099" w:type="pct"/>
            <w:gridSpan w:val="2"/>
            <w:tcBorders>
              <w:top w:val="nil"/>
              <w:left w:val="nil"/>
              <w:bottom w:val="nil"/>
              <w:right w:val="single" w:sz="8" w:space="0" w:color="000000"/>
            </w:tcBorders>
            <w:shd w:val="clear" w:color="000000" w:fill="FFFFFF"/>
            <w:noWrap/>
            <w:vAlign w:val="bottom"/>
            <w:hideMark/>
          </w:tcPr>
          <w:p w:rsidR="006F1BCD" w:rsidRPr="00A438A0" w:rsidRDefault="006F1BCD" w:rsidP="006F1BCD">
            <w:pPr>
              <w:jc w:val="right"/>
              <w:rPr>
                <w:rFonts w:ascii="Arial" w:hAnsi="Arial" w:cs="Arial"/>
                <w:b/>
                <w:bCs/>
              </w:rPr>
            </w:pPr>
            <w:r w:rsidRPr="00A438A0">
              <w:rPr>
                <w:rFonts w:ascii="Arial" w:hAnsi="Arial" w:cs="Arial"/>
                <w:b/>
                <w:bCs/>
              </w:rPr>
              <w:t>Docket No. 150102-SU</w:t>
            </w:r>
          </w:p>
        </w:tc>
      </w:tr>
      <w:tr w:rsidR="006F1BCD" w:rsidRPr="00A438A0" w:rsidTr="006F1BCD">
        <w:trPr>
          <w:trHeight w:val="330"/>
        </w:trPr>
        <w:tc>
          <w:tcPr>
            <w:tcW w:w="241" w:type="pct"/>
            <w:tcBorders>
              <w:top w:val="nil"/>
              <w:left w:val="single" w:sz="8" w:space="0" w:color="auto"/>
              <w:bottom w:val="single" w:sz="8" w:space="0" w:color="auto"/>
              <w:right w:val="nil"/>
            </w:tcBorders>
            <w:shd w:val="clear" w:color="000000" w:fill="FFFFFF"/>
            <w:noWrap/>
            <w:vAlign w:val="bottom"/>
            <w:hideMark/>
          </w:tcPr>
          <w:p w:rsidR="006F1BCD" w:rsidRPr="00A438A0" w:rsidRDefault="006F1BCD" w:rsidP="006F1BCD">
            <w:pPr>
              <w:rPr>
                <w:color w:val="000000"/>
                <w:sz w:val="20"/>
                <w:szCs w:val="20"/>
              </w:rPr>
            </w:pPr>
            <w:r w:rsidRPr="00A438A0">
              <w:rPr>
                <w:color w:val="000000"/>
                <w:sz w:val="20"/>
                <w:szCs w:val="20"/>
              </w:rPr>
              <w:t> </w:t>
            </w:r>
          </w:p>
        </w:tc>
        <w:tc>
          <w:tcPr>
            <w:tcW w:w="1943"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b/>
                <w:bCs/>
              </w:rPr>
            </w:pPr>
            <w:r w:rsidRPr="00A438A0">
              <w:rPr>
                <w:rFonts w:ascii="Arial" w:hAnsi="Arial" w:cs="Arial"/>
                <w:b/>
                <w:bCs/>
              </w:rPr>
              <w:t>Test Year Ended 12/31/14</w:t>
            </w:r>
          </w:p>
        </w:tc>
        <w:tc>
          <w:tcPr>
            <w:tcW w:w="617"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color w:val="000000"/>
              </w:rPr>
            </w:pPr>
            <w:r w:rsidRPr="00A438A0">
              <w:rPr>
                <w:rFonts w:ascii="Arial" w:hAnsi="Arial" w:cs="Arial"/>
                <w:color w:val="000000"/>
              </w:rPr>
              <w:t> </w:t>
            </w:r>
          </w:p>
        </w:tc>
        <w:tc>
          <w:tcPr>
            <w:tcW w:w="550"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color w:val="000000"/>
              </w:rPr>
            </w:pPr>
            <w:r w:rsidRPr="00A438A0">
              <w:rPr>
                <w:rFonts w:ascii="Arial" w:hAnsi="Arial" w:cs="Arial"/>
                <w:color w:val="000000"/>
              </w:rPr>
              <w:t> </w:t>
            </w:r>
          </w:p>
        </w:tc>
        <w:tc>
          <w:tcPr>
            <w:tcW w:w="550"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color w:val="000000"/>
              </w:rPr>
            </w:pPr>
            <w:r w:rsidRPr="00A438A0">
              <w:rPr>
                <w:rFonts w:ascii="Arial" w:hAnsi="Arial" w:cs="Arial"/>
                <w:color w:val="000000"/>
              </w:rPr>
              <w:t> </w:t>
            </w:r>
          </w:p>
        </w:tc>
        <w:tc>
          <w:tcPr>
            <w:tcW w:w="577"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color w:val="000000"/>
              </w:rPr>
            </w:pPr>
            <w:r w:rsidRPr="00A438A0">
              <w:rPr>
                <w:rFonts w:ascii="Arial" w:hAnsi="Arial" w:cs="Arial"/>
                <w:color w:val="000000"/>
              </w:rPr>
              <w:t> </w:t>
            </w:r>
          </w:p>
        </w:tc>
        <w:tc>
          <w:tcPr>
            <w:tcW w:w="523" w:type="pct"/>
            <w:tcBorders>
              <w:top w:val="nil"/>
              <w:left w:val="nil"/>
              <w:bottom w:val="single" w:sz="8" w:space="0" w:color="auto"/>
              <w:right w:val="single" w:sz="8" w:space="0" w:color="auto"/>
            </w:tcBorders>
            <w:shd w:val="clear" w:color="000000" w:fill="FFFFFF"/>
            <w:noWrap/>
            <w:vAlign w:val="bottom"/>
            <w:hideMark/>
          </w:tcPr>
          <w:p w:rsidR="006F1BCD" w:rsidRPr="00A438A0" w:rsidRDefault="006F1BCD" w:rsidP="006F1BCD">
            <w:pPr>
              <w:rPr>
                <w:rFonts w:ascii="Arial" w:hAnsi="Arial" w:cs="Arial"/>
              </w:rPr>
            </w:pPr>
            <w:r w:rsidRPr="00A438A0">
              <w:rPr>
                <w:rFonts w:ascii="Arial" w:hAnsi="Arial" w:cs="Arial"/>
              </w:rPr>
              <w:t> </w:t>
            </w:r>
          </w:p>
        </w:tc>
      </w:tr>
      <w:tr w:rsidR="006F1BCD" w:rsidRPr="00A438A0" w:rsidTr="006F1BCD">
        <w:trPr>
          <w:trHeight w:val="300"/>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b/>
                <w:bCs/>
                <w:sz w:val="20"/>
                <w:szCs w:val="20"/>
              </w:rPr>
            </w:pPr>
            <w:r w:rsidRPr="00A438A0">
              <w:rPr>
                <w:rFonts w:ascii="Arial" w:hAnsi="Arial" w:cs="Arial"/>
                <w:b/>
                <w:bCs/>
                <w:sz w:val="20"/>
                <w:szCs w:val="20"/>
              </w:rPr>
              <w:t> </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jc w:val="center"/>
              <w:rPr>
                <w:rFonts w:ascii="Arial" w:hAnsi="Arial" w:cs="Arial"/>
                <w:b/>
                <w:bCs/>
                <w:sz w:val="20"/>
                <w:szCs w:val="20"/>
              </w:rPr>
            </w:pPr>
            <w:r w:rsidRPr="00A438A0">
              <w:rPr>
                <w:rFonts w:ascii="Arial" w:hAnsi="Arial" w:cs="Arial"/>
                <w:b/>
                <w:bCs/>
                <w:sz w:val="20"/>
                <w:szCs w:val="20"/>
              </w:rPr>
              <w:t>Test Year</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center"/>
              <w:rPr>
                <w:rFonts w:ascii="Arial" w:hAnsi="Arial" w:cs="Arial"/>
                <w:b/>
                <w:bCs/>
                <w:sz w:val="20"/>
                <w:szCs w:val="20"/>
              </w:rPr>
            </w:pPr>
            <w:r w:rsidRPr="00A438A0">
              <w:rPr>
                <w:rFonts w:ascii="Arial" w:hAnsi="Arial" w:cs="Arial"/>
                <w:b/>
                <w:bCs/>
                <w:sz w:val="20"/>
                <w:szCs w:val="20"/>
              </w:rPr>
              <w:t>Utility</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center"/>
              <w:rPr>
                <w:rFonts w:ascii="Arial" w:hAnsi="Arial" w:cs="Arial"/>
                <w:b/>
                <w:bCs/>
                <w:sz w:val="20"/>
                <w:szCs w:val="20"/>
              </w:rPr>
            </w:pPr>
            <w:r w:rsidRPr="00A438A0">
              <w:rPr>
                <w:rFonts w:ascii="Arial" w:hAnsi="Arial" w:cs="Arial"/>
                <w:b/>
                <w:bCs/>
                <w:sz w:val="20"/>
                <w:szCs w:val="20"/>
              </w:rPr>
              <w:t>Adjusted</w:t>
            </w:r>
          </w:p>
        </w:tc>
        <w:tc>
          <w:tcPr>
            <w:tcW w:w="577" w:type="pct"/>
            <w:tcBorders>
              <w:top w:val="nil"/>
              <w:left w:val="nil"/>
              <w:bottom w:val="nil"/>
              <w:right w:val="nil"/>
            </w:tcBorders>
            <w:shd w:val="clear" w:color="000000" w:fill="FFFFFF"/>
            <w:noWrap/>
            <w:vAlign w:val="bottom"/>
            <w:hideMark/>
          </w:tcPr>
          <w:p w:rsidR="006F1BCD" w:rsidRPr="00A438A0" w:rsidRDefault="006F1BCD" w:rsidP="006F1BCD">
            <w:pPr>
              <w:jc w:val="center"/>
              <w:rPr>
                <w:rFonts w:ascii="Arial" w:hAnsi="Arial" w:cs="Arial"/>
                <w:b/>
                <w:bCs/>
                <w:sz w:val="20"/>
                <w:szCs w:val="20"/>
              </w:rPr>
            </w:pPr>
            <w:r w:rsidRPr="00A438A0">
              <w:rPr>
                <w:rFonts w:ascii="Arial" w:hAnsi="Arial" w:cs="Arial"/>
                <w:b/>
                <w:bCs/>
                <w:sz w:val="20"/>
                <w:szCs w:val="20"/>
              </w:rPr>
              <w:t>Staff</w:t>
            </w:r>
          </w:p>
        </w:tc>
        <w:tc>
          <w:tcPr>
            <w:tcW w:w="523" w:type="pct"/>
            <w:tcBorders>
              <w:top w:val="nil"/>
              <w:left w:val="nil"/>
              <w:bottom w:val="nil"/>
              <w:right w:val="single" w:sz="8" w:space="0" w:color="auto"/>
            </w:tcBorders>
            <w:shd w:val="clear" w:color="000000" w:fill="FFFFFF"/>
            <w:noWrap/>
            <w:vAlign w:val="bottom"/>
            <w:hideMark/>
          </w:tcPr>
          <w:p w:rsidR="006F1BCD" w:rsidRPr="00A438A0" w:rsidRDefault="006F1BCD" w:rsidP="006F1BCD">
            <w:pPr>
              <w:jc w:val="center"/>
              <w:rPr>
                <w:rFonts w:ascii="Arial" w:hAnsi="Arial" w:cs="Arial"/>
                <w:b/>
                <w:bCs/>
                <w:sz w:val="20"/>
                <w:szCs w:val="20"/>
              </w:rPr>
            </w:pPr>
            <w:r w:rsidRPr="00A438A0">
              <w:rPr>
                <w:rFonts w:ascii="Arial" w:hAnsi="Arial" w:cs="Arial"/>
                <w:b/>
                <w:bCs/>
                <w:sz w:val="20"/>
                <w:szCs w:val="20"/>
              </w:rPr>
              <w:t>Staff</w:t>
            </w:r>
          </w:p>
        </w:tc>
      </w:tr>
      <w:tr w:rsidR="006F1BCD" w:rsidRPr="00A438A0" w:rsidTr="006F1BCD">
        <w:trPr>
          <w:trHeight w:val="300"/>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b/>
                <w:bCs/>
                <w:sz w:val="20"/>
                <w:szCs w:val="20"/>
              </w:rPr>
            </w:pPr>
            <w:r w:rsidRPr="00A438A0">
              <w:rPr>
                <w:rFonts w:ascii="Arial" w:hAnsi="Arial" w:cs="Arial"/>
                <w:b/>
                <w:bCs/>
                <w:sz w:val="20"/>
                <w:szCs w:val="20"/>
              </w:rPr>
              <w:t> </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jc w:val="center"/>
              <w:rPr>
                <w:rFonts w:ascii="Arial" w:hAnsi="Arial" w:cs="Arial"/>
                <w:b/>
                <w:bCs/>
                <w:sz w:val="20"/>
                <w:szCs w:val="20"/>
              </w:rPr>
            </w:pPr>
            <w:r w:rsidRPr="00A438A0">
              <w:rPr>
                <w:rFonts w:ascii="Arial" w:hAnsi="Arial" w:cs="Arial"/>
                <w:b/>
                <w:bCs/>
                <w:sz w:val="20"/>
                <w:szCs w:val="20"/>
              </w:rPr>
              <w:t>Per</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center"/>
              <w:rPr>
                <w:rFonts w:ascii="Arial" w:hAnsi="Arial" w:cs="Arial"/>
                <w:b/>
                <w:bCs/>
                <w:sz w:val="20"/>
                <w:szCs w:val="20"/>
              </w:rPr>
            </w:pPr>
            <w:r w:rsidRPr="00A438A0">
              <w:rPr>
                <w:rFonts w:ascii="Arial" w:hAnsi="Arial" w:cs="Arial"/>
                <w:b/>
                <w:bCs/>
                <w:sz w:val="20"/>
                <w:szCs w:val="20"/>
              </w:rPr>
              <w:t>Adjust-</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center"/>
              <w:rPr>
                <w:rFonts w:ascii="Arial" w:hAnsi="Arial" w:cs="Arial"/>
                <w:b/>
                <w:bCs/>
                <w:sz w:val="20"/>
                <w:szCs w:val="20"/>
              </w:rPr>
            </w:pPr>
            <w:r w:rsidRPr="00A438A0">
              <w:rPr>
                <w:rFonts w:ascii="Arial" w:hAnsi="Arial" w:cs="Arial"/>
                <w:b/>
                <w:bCs/>
                <w:sz w:val="20"/>
                <w:szCs w:val="20"/>
              </w:rPr>
              <w:t>Test Year</w:t>
            </w:r>
          </w:p>
        </w:tc>
        <w:tc>
          <w:tcPr>
            <w:tcW w:w="577" w:type="pct"/>
            <w:tcBorders>
              <w:top w:val="nil"/>
              <w:left w:val="nil"/>
              <w:bottom w:val="nil"/>
              <w:right w:val="nil"/>
            </w:tcBorders>
            <w:shd w:val="clear" w:color="000000" w:fill="FFFFFF"/>
            <w:noWrap/>
            <w:vAlign w:val="bottom"/>
            <w:hideMark/>
          </w:tcPr>
          <w:p w:rsidR="006F1BCD" w:rsidRPr="00A438A0" w:rsidRDefault="006F1BCD" w:rsidP="006F1BCD">
            <w:pPr>
              <w:jc w:val="center"/>
              <w:rPr>
                <w:rFonts w:ascii="Arial" w:hAnsi="Arial" w:cs="Arial"/>
                <w:b/>
                <w:bCs/>
                <w:sz w:val="20"/>
                <w:szCs w:val="20"/>
              </w:rPr>
            </w:pPr>
            <w:r w:rsidRPr="00A438A0">
              <w:rPr>
                <w:rFonts w:ascii="Arial" w:hAnsi="Arial" w:cs="Arial"/>
                <w:b/>
                <w:bCs/>
                <w:sz w:val="20"/>
                <w:szCs w:val="20"/>
              </w:rPr>
              <w:t>Adjust-</w:t>
            </w:r>
          </w:p>
        </w:tc>
        <w:tc>
          <w:tcPr>
            <w:tcW w:w="523" w:type="pct"/>
            <w:tcBorders>
              <w:top w:val="nil"/>
              <w:left w:val="nil"/>
              <w:bottom w:val="nil"/>
              <w:right w:val="single" w:sz="8" w:space="0" w:color="auto"/>
            </w:tcBorders>
            <w:shd w:val="clear" w:color="000000" w:fill="FFFFFF"/>
            <w:noWrap/>
            <w:vAlign w:val="bottom"/>
            <w:hideMark/>
          </w:tcPr>
          <w:p w:rsidR="006F1BCD" w:rsidRPr="00A438A0" w:rsidRDefault="006F1BCD" w:rsidP="006F1BCD">
            <w:pPr>
              <w:jc w:val="center"/>
              <w:rPr>
                <w:rFonts w:ascii="Arial" w:hAnsi="Arial" w:cs="Arial"/>
                <w:b/>
                <w:bCs/>
                <w:sz w:val="20"/>
                <w:szCs w:val="20"/>
              </w:rPr>
            </w:pPr>
            <w:r w:rsidRPr="00A438A0">
              <w:rPr>
                <w:rFonts w:ascii="Arial" w:hAnsi="Arial" w:cs="Arial"/>
                <w:b/>
                <w:bCs/>
                <w:sz w:val="20"/>
                <w:szCs w:val="20"/>
              </w:rPr>
              <w:t>Adjusted</w:t>
            </w:r>
          </w:p>
        </w:tc>
      </w:tr>
      <w:tr w:rsidR="006F1BCD" w:rsidRPr="00A438A0" w:rsidTr="006F1BCD">
        <w:trPr>
          <w:trHeight w:val="315"/>
        </w:trPr>
        <w:tc>
          <w:tcPr>
            <w:tcW w:w="241" w:type="pct"/>
            <w:tcBorders>
              <w:top w:val="nil"/>
              <w:left w:val="single" w:sz="8" w:space="0" w:color="auto"/>
              <w:bottom w:val="single" w:sz="8" w:space="0" w:color="auto"/>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1943"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b/>
                <w:bCs/>
                <w:sz w:val="20"/>
                <w:szCs w:val="20"/>
              </w:rPr>
            </w:pPr>
            <w:r w:rsidRPr="00A438A0">
              <w:rPr>
                <w:rFonts w:ascii="Arial" w:hAnsi="Arial" w:cs="Arial"/>
                <w:b/>
                <w:bCs/>
                <w:sz w:val="20"/>
                <w:szCs w:val="20"/>
              </w:rPr>
              <w:t>Description</w:t>
            </w:r>
          </w:p>
        </w:tc>
        <w:tc>
          <w:tcPr>
            <w:tcW w:w="617" w:type="pct"/>
            <w:tcBorders>
              <w:top w:val="nil"/>
              <w:left w:val="nil"/>
              <w:bottom w:val="single" w:sz="8" w:space="0" w:color="auto"/>
              <w:right w:val="nil"/>
            </w:tcBorders>
            <w:shd w:val="clear" w:color="000000" w:fill="FFFFFF"/>
            <w:noWrap/>
            <w:vAlign w:val="bottom"/>
            <w:hideMark/>
          </w:tcPr>
          <w:p w:rsidR="006F1BCD" w:rsidRPr="00A438A0" w:rsidRDefault="006F1BCD" w:rsidP="006F1BCD">
            <w:pPr>
              <w:jc w:val="center"/>
              <w:rPr>
                <w:rFonts w:ascii="Arial" w:hAnsi="Arial" w:cs="Arial"/>
                <w:b/>
                <w:bCs/>
                <w:sz w:val="20"/>
                <w:szCs w:val="20"/>
              </w:rPr>
            </w:pPr>
            <w:r w:rsidRPr="00A438A0">
              <w:rPr>
                <w:rFonts w:ascii="Arial" w:hAnsi="Arial" w:cs="Arial"/>
                <w:b/>
                <w:bCs/>
                <w:sz w:val="20"/>
                <w:szCs w:val="20"/>
              </w:rPr>
              <w:t>Utility</w:t>
            </w:r>
          </w:p>
        </w:tc>
        <w:tc>
          <w:tcPr>
            <w:tcW w:w="550" w:type="pct"/>
            <w:tcBorders>
              <w:top w:val="nil"/>
              <w:left w:val="nil"/>
              <w:bottom w:val="single" w:sz="8" w:space="0" w:color="auto"/>
              <w:right w:val="nil"/>
            </w:tcBorders>
            <w:shd w:val="clear" w:color="000000" w:fill="FFFFFF"/>
            <w:noWrap/>
            <w:vAlign w:val="bottom"/>
            <w:hideMark/>
          </w:tcPr>
          <w:p w:rsidR="006F1BCD" w:rsidRPr="00A438A0" w:rsidRDefault="006F1BCD" w:rsidP="006F1BCD">
            <w:pPr>
              <w:jc w:val="center"/>
              <w:rPr>
                <w:rFonts w:ascii="Arial" w:hAnsi="Arial" w:cs="Arial"/>
                <w:b/>
                <w:bCs/>
                <w:sz w:val="20"/>
                <w:szCs w:val="20"/>
              </w:rPr>
            </w:pPr>
            <w:r w:rsidRPr="00A438A0">
              <w:rPr>
                <w:rFonts w:ascii="Arial" w:hAnsi="Arial" w:cs="Arial"/>
                <w:b/>
                <w:bCs/>
                <w:sz w:val="20"/>
                <w:szCs w:val="20"/>
              </w:rPr>
              <w:t>ments</w:t>
            </w:r>
          </w:p>
        </w:tc>
        <w:tc>
          <w:tcPr>
            <w:tcW w:w="550" w:type="pct"/>
            <w:tcBorders>
              <w:top w:val="nil"/>
              <w:left w:val="nil"/>
              <w:bottom w:val="single" w:sz="8" w:space="0" w:color="auto"/>
              <w:right w:val="nil"/>
            </w:tcBorders>
            <w:shd w:val="clear" w:color="000000" w:fill="FFFFFF"/>
            <w:noWrap/>
            <w:vAlign w:val="bottom"/>
            <w:hideMark/>
          </w:tcPr>
          <w:p w:rsidR="006F1BCD" w:rsidRPr="00A438A0" w:rsidRDefault="006F1BCD" w:rsidP="006F1BCD">
            <w:pPr>
              <w:jc w:val="center"/>
              <w:rPr>
                <w:rFonts w:ascii="Arial" w:hAnsi="Arial" w:cs="Arial"/>
                <w:b/>
                <w:bCs/>
                <w:sz w:val="20"/>
                <w:szCs w:val="20"/>
              </w:rPr>
            </w:pPr>
            <w:r w:rsidRPr="00A438A0">
              <w:rPr>
                <w:rFonts w:ascii="Arial" w:hAnsi="Arial" w:cs="Arial"/>
                <w:b/>
                <w:bCs/>
                <w:sz w:val="20"/>
                <w:szCs w:val="20"/>
              </w:rPr>
              <w:t>Per Utility</w:t>
            </w:r>
          </w:p>
        </w:tc>
        <w:tc>
          <w:tcPr>
            <w:tcW w:w="577" w:type="pct"/>
            <w:tcBorders>
              <w:top w:val="nil"/>
              <w:left w:val="nil"/>
              <w:bottom w:val="single" w:sz="8" w:space="0" w:color="auto"/>
              <w:right w:val="nil"/>
            </w:tcBorders>
            <w:shd w:val="clear" w:color="000000" w:fill="FFFFFF"/>
            <w:noWrap/>
            <w:vAlign w:val="bottom"/>
            <w:hideMark/>
          </w:tcPr>
          <w:p w:rsidR="006F1BCD" w:rsidRPr="00A438A0" w:rsidRDefault="006F1BCD" w:rsidP="006F1BCD">
            <w:pPr>
              <w:jc w:val="center"/>
              <w:rPr>
                <w:rFonts w:ascii="Arial" w:hAnsi="Arial" w:cs="Arial"/>
                <w:b/>
                <w:bCs/>
                <w:sz w:val="20"/>
                <w:szCs w:val="20"/>
              </w:rPr>
            </w:pPr>
            <w:r w:rsidRPr="00A438A0">
              <w:rPr>
                <w:rFonts w:ascii="Arial" w:hAnsi="Arial" w:cs="Arial"/>
                <w:b/>
                <w:bCs/>
                <w:sz w:val="20"/>
                <w:szCs w:val="20"/>
              </w:rPr>
              <w:t>ments</w:t>
            </w:r>
          </w:p>
        </w:tc>
        <w:tc>
          <w:tcPr>
            <w:tcW w:w="523" w:type="pct"/>
            <w:tcBorders>
              <w:top w:val="nil"/>
              <w:left w:val="nil"/>
              <w:bottom w:val="single" w:sz="8" w:space="0" w:color="auto"/>
              <w:right w:val="single" w:sz="8" w:space="0" w:color="auto"/>
            </w:tcBorders>
            <w:shd w:val="clear" w:color="000000" w:fill="FFFFFF"/>
            <w:noWrap/>
            <w:vAlign w:val="bottom"/>
            <w:hideMark/>
          </w:tcPr>
          <w:p w:rsidR="006F1BCD" w:rsidRPr="00A438A0" w:rsidRDefault="006F1BCD" w:rsidP="006F1BCD">
            <w:pPr>
              <w:jc w:val="center"/>
              <w:rPr>
                <w:rFonts w:ascii="Arial" w:hAnsi="Arial" w:cs="Arial"/>
                <w:b/>
                <w:bCs/>
                <w:sz w:val="20"/>
                <w:szCs w:val="20"/>
              </w:rPr>
            </w:pPr>
            <w:r w:rsidRPr="00A438A0">
              <w:rPr>
                <w:rFonts w:ascii="Arial" w:hAnsi="Arial" w:cs="Arial"/>
                <w:b/>
                <w:bCs/>
                <w:sz w:val="20"/>
                <w:szCs w:val="20"/>
              </w:rPr>
              <w:t>Test Year</w:t>
            </w:r>
          </w:p>
        </w:tc>
      </w:tr>
      <w:tr w:rsidR="006F1BCD" w:rsidRPr="00A438A0" w:rsidTr="006F1BCD">
        <w:trPr>
          <w:trHeight w:val="300"/>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color w:val="000000"/>
                <w:sz w:val="20"/>
                <w:szCs w:val="20"/>
              </w:rPr>
            </w:pPr>
            <w:r w:rsidRPr="00A438A0">
              <w:rPr>
                <w:color w:val="000000"/>
                <w:sz w:val="20"/>
                <w:szCs w:val="20"/>
              </w:rPr>
              <w:t> </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rPr>
                <w:color w:val="000000"/>
                <w:sz w:val="20"/>
                <w:szCs w:val="20"/>
              </w:rPr>
            </w:pPr>
            <w:r w:rsidRPr="00A438A0">
              <w:rPr>
                <w:color w:val="000000"/>
                <w:sz w:val="20"/>
                <w:szCs w:val="20"/>
              </w:rPr>
              <w:t>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rPr>
                <w:color w:val="000000"/>
                <w:sz w:val="20"/>
                <w:szCs w:val="20"/>
              </w:rPr>
            </w:pPr>
            <w:r w:rsidRPr="00A438A0">
              <w:rPr>
                <w:color w:val="000000"/>
                <w:sz w:val="20"/>
                <w:szCs w:val="20"/>
              </w:rPr>
              <w:t>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rPr>
                <w:color w:val="000000"/>
                <w:sz w:val="20"/>
                <w:szCs w:val="20"/>
              </w:rPr>
            </w:pPr>
            <w:r w:rsidRPr="00A438A0">
              <w:rPr>
                <w:color w:val="000000"/>
                <w:sz w:val="20"/>
                <w:szCs w:val="20"/>
              </w:rPr>
              <w:t> </w:t>
            </w:r>
          </w:p>
        </w:tc>
        <w:tc>
          <w:tcPr>
            <w:tcW w:w="577" w:type="pct"/>
            <w:tcBorders>
              <w:top w:val="nil"/>
              <w:left w:val="nil"/>
              <w:bottom w:val="nil"/>
              <w:right w:val="nil"/>
            </w:tcBorders>
            <w:shd w:val="clear" w:color="000000" w:fill="FFFFFF"/>
            <w:noWrap/>
            <w:vAlign w:val="bottom"/>
            <w:hideMark/>
          </w:tcPr>
          <w:p w:rsidR="006F1BCD" w:rsidRPr="00A438A0" w:rsidRDefault="006F1BCD" w:rsidP="006F1BCD">
            <w:pPr>
              <w:rPr>
                <w:color w:val="000000"/>
                <w:sz w:val="20"/>
                <w:szCs w:val="20"/>
              </w:rPr>
            </w:pPr>
            <w:r w:rsidRPr="00A438A0">
              <w:rPr>
                <w:color w:val="000000"/>
                <w:sz w:val="20"/>
                <w:szCs w:val="20"/>
              </w:rPr>
              <w:t> </w:t>
            </w:r>
          </w:p>
        </w:tc>
        <w:tc>
          <w:tcPr>
            <w:tcW w:w="523"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r>
      <w:tr w:rsidR="006F1BCD" w:rsidRPr="00A438A0" w:rsidTr="006F1BCD">
        <w:trPr>
          <w:trHeight w:val="300"/>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1</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Plant in Service</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xml:space="preserve">$8,571,371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($181,463)</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xml:space="preserve">$8,389,908 </w:t>
            </w:r>
          </w:p>
        </w:tc>
        <w:tc>
          <w:tcPr>
            <w:tcW w:w="577"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($210,419)</w:t>
            </w:r>
          </w:p>
        </w:tc>
        <w:tc>
          <w:tcPr>
            <w:tcW w:w="523" w:type="pct"/>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xml:space="preserve">$8,179,489 </w:t>
            </w:r>
          </w:p>
        </w:tc>
      </w:tr>
      <w:tr w:rsidR="006F1BCD" w:rsidRPr="00A438A0" w:rsidTr="006F1BCD">
        <w:trPr>
          <w:trHeight w:val="300"/>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color w:val="000000"/>
                <w:sz w:val="20"/>
                <w:szCs w:val="20"/>
              </w:rPr>
            </w:pPr>
            <w:r w:rsidRPr="00A438A0">
              <w:rPr>
                <w:color w:val="000000"/>
                <w:sz w:val="20"/>
                <w:szCs w:val="20"/>
              </w:rPr>
              <w:t> </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77"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23"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r>
      <w:tr w:rsidR="006F1BCD" w:rsidRPr="00A438A0" w:rsidTr="006F1BCD">
        <w:trPr>
          <w:trHeight w:val="300"/>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2</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Land and Land Rights</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157,487</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209</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157,696</w:t>
            </w:r>
          </w:p>
        </w:tc>
        <w:tc>
          <w:tcPr>
            <w:tcW w:w="577"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xml:space="preserve">10,000 </w:t>
            </w:r>
          </w:p>
        </w:tc>
        <w:tc>
          <w:tcPr>
            <w:tcW w:w="523" w:type="pct"/>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167,696</w:t>
            </w:r>
          </w:p>
        </w:tc>
      </w:tr>
      <w:tr w:rsidR="006F1BCD" w:rsidRPr="00A438A0" w:rsidTr="006F1BCD">
        <w:trPr>
          <w:trHeight w:val="300"/>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color w:val="000000"/>
                <w:sz w:val="20"/>
                <w:szCs w:val="20"/>
              </w:rPr>
            </w:pPr>
            <w:r w:rsidRPr="00A438A0">
              <w:rPr>
                <w:color w:val="000000"/>
                <w:sz w:val="20"/>
                <w:szCs w:val="20"/>
              </w:rPr>
              <w:t> </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77"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23"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r>
      <w:tr w:rsidR="006F1BCD" w:rsidRPr="00A438A0" w:rsidTr="006F1BCD">
        <w:trPr>
          <w:trHeight w:val="300"/>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3</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color w:val="000000"/>
                <w:sz w:val="20"/>
                <w:szCs w:val="20"/>
              </w:rPr>
            </w:pPr>
            <w:r w:rsidRPr="00A438A0">
              <w:rPr>
                <w:color w:val="000000"/>
                <w:sz w:val="20"/>
                <w:szCs w:val="20"/>
              </w:rPr>
              <w:t>Non-used and Useful Components</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xml:space="preserve">0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(73,089)</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(73,089)</w:t>
            </w:r>
          </w:p>
        </w:tc>
        <w:tc>
          <w:tcPr>
            <w:tcW w:w="577"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(494,940)</w:t>
            </w:r>
          </w:p>
        </w:tc>
        <w:tc>
          <w:tcPr>
            <w:tcW w:w="523" w:type="pct"/>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(568,029)</w:t>
            </w:r>
          </w:p>
        </w:tc>
      </w:tr>
      <w:tr w:rsidR="006F1BCD" w:rsidRPr="00A438A0" w:rsidTr="006F1BCD">
        <w:trPr>
          <w:trHeight w:val="300"/>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color w:val="000000"/>
                <w:sz w:val="20"/>
                <w:szCs w:val="20"/>
              </w:rPr>
            </w:pPr>
            <w:r w:rsidRPr="00A438A0">
              <w:rPr>
                <w:color w:val="000000"/>
                <w:sz w:val="20"/>
                <w:szCs w:val="20"/>
              </w:rPr>
              <w:t> </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77"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23"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r>
      <w:tr w:rsidR="006F1BCD" w:rsidRPr="00A438A0" w:rsidTr="006F1BCD">
        <w:trPr>
          <w:trHeight w:val="300"/>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4</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Accumulated Depreciation</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(3,712,738)</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xml:space="preserve">773,864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(2,938,874)</w:t>
            </w:r>
          </w:p>
        </w:tc>
        <w:tc>
          <w:tcPr>
            <w:tcW w:w="577"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xml:space="preserve">332,017 </w:t>
            </w:r>
          </w:p>
        </w:tc>
        <w:tc>
          <w:tcPr>
            <w:tcW w:w="523" w:type="pct"/>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(2,606,857)</w:t>
            </w:r>
          </w:p>
        </w:tc>
      </w:tr>
      <w:tr w:rsidR="006F1BCD" w:rsidRPr="00A438A0" w:rsidTr="006F1BCD">
        <w:trPr>
          <w:trHeight w:val="300"/>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color w:val="000000"/>
                <w:sz w:val="20"/>
                <w:szCs w:val="20"/>
              </w:rPr>
            </w:pPr>
            <w:r w:rsidRPr="00A438A0">
              <w:rPr>
                <w:color w:val="000000"/>
                <w:sz w:val="20"/>
                <w:szCs w:val="20"/>
              </w:rPr>
              <w:t> </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77"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23"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r>
      <w:tr w:rsidR="006F1BCD" w:rsidRPr="00A438A0" w:rsidTr="006F1BCD">
        <w:trPr>
          <w:trHeight w:val="300"/>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5</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CIAC</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(3,276,640)</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xml:space="preserve">1,310,499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(1,966,141)</w:t>
            </w:r>
          </w:p>
        </w:tc>
        <w:tc>
          <w:tcPr>
            <w:tcW w:w="577"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(258,674)</w:t>
            </w:r>
          </w:p>
        </w:tc>
        <w:tc>
          <w:tcPr>
            <w:tcW w:w="523" w:type="pct"/>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(2,224,815)</w:t>
            </w:r>
          </w:p>
        </w:tc>
      </w:tr>
      <w:tr w:rsidR="006F1BCD" w:rsidRPr="00A438A0" w:rsidTr="006F1BCD">
        <w:trPr>
          <w:trHeight w:val="300"/>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color w:val="000000"/>
                <w:sz w:val="20"/>
                <w:szCs w:val="20"/>
              </w:rPr>
            </w:pPr>
            <w:r w:rsidRPr="00A438A0">
              <w:rPr>
                <w:color w:val="000000"/>
                <w:sz w:val="20"/>
                <w:szCs w:val="20"/>
              </w:rPr>
              <w:t> </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77"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23"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r>
      <w:tr w:rsidR="006F1BCD" w:rsidRPr="00A438A0" w:rsidTr="006F1BCD">
        <w:trPr>
          <w:trHeight w:val="300"/>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6</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Amortization of CIAC</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xml:space="preserve">1,595,021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(1,071,361)</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xml:space="preserve">523,660 </w:t>
            </w:r>
          </w:p>
        </w:tc>
        <w:tc>
          <w:tcPr>
            <w:tcW w:w="577"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xml:space="preserve">19,536 </w:t>
            </w:r>
          </w:p>
        </w:tc>
        <w:tc>
          <w:tcPr>
            <w:tcW w:w="523" w:type="pct"/>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xml:space="preserve">543,196 </w:t>
            </w:r>
          </w:p>
        </w:tc>
      </w:tr>
      <w:tr w:rsidR="006F1BCD" w:rsidRPr="00A438A0" w:rsidTr="006F1BCD">
        <w:trPr>
          <w:trHeight w:val="300"/>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77"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23"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r>
      <w:tr w:rsidR="006F1BCD" w:rsidRPr="00A438A0" w:rsidTr="006F1BCD">
        <w:trPr>
          <w:trHeight w:val="300"/>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7</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Construction Work in Progress</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xml:space="preserve">134,200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(134,200)</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xml:space="preserve">0 </w:t>
            </w:r>
          </w:p>
        </w:tc>
        <w:tc>
          <w:tcPr>
            <w:tcW w:w="577"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xml:space="preserve">0 </w:t>
            </w:r>
          </w:p>
        </w:tc>
        <w:tc>
          <w:tcPr>
            <w:tcW w:w="523" w:type="pct"/>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xml:space="preserve">0 </w:t>
            </w:r>
          </w:p>
        </w:tc>
      </w:tr>
      <w:tr w:rsidR="006F1BCD" w:rsidRPr="00A438A0" w:rsidTr="006F1BCD">
        <w:trPr>
          <w:trHeight w:val="300"/>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color w:val="000000"/>
                <w:sz w:val="20"/>
                <w:szCs w:val="20"/>
              </w:rPr>
            </w:pPr>
            <w:r w:rsidRPr="00A438A0">
              <w:rPr>
                <w:color w:val="000000"/>
                <w:sz w:val="20"/>
                <w:szCs w:val="20"/>
              </w:rPr>
              <w:t> </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77"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23"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r>
      <w:tr w:rsidR="006F1BCD" w:rsidRPr="00A438A0" w:rsidTr="006F1BCD">
        <w:trPr>
          <w:trHeight w:val="300"/>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8</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Working Capital Allowance</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xml:space="preserve">0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xml:space="preserve">87,257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xml:space="preserve">87,257 </w:t>
            </w:r>
          </w:p>
        </w:tc>
        <w:tc>
          <w:tcPr>
            <w:tcW w:w="577"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(16,610)</w:t>
            </w:r>
          </w:p>
        </w:tc>
        <w:tc>
          <w:tcPr>
            <w:tcW w:w="523" w:type="pct"/>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xml:space="preserve">70,647 </w:t>
            </w:r>
          </w:p>
        </w:tc>
      </w:tr>
      <w:tr w:rsidR="006F1BCD" w:rsidRPr="00A438A0" w:rsidTr="006F1BCD">
        <w:trPr>
          <w:trHeight w:val="300"/>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u w:val="single"/>
              </w:rPr>
            </w:pP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u w:val="single"/>
              </w:rPr>
            </w:pP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u w:val="single"/>
              </w:rPr>
            </w:pPr>
          </w:p>
        </w:tc>
        <w:tc>
          <w:tcPr>
            <w:tcW w:w="577"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u w:val="single"/>
              </w:rPr>
            </w:pPr>
          </w:p>
        </w:tc>
        <w:tc>
          <w:tcPr>
            <w:tcW w:w="523"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sz w:val="20"/>
                <w:szCs w:val="20"/>
                <w:u w:val="single"/>
              </w:rPr>
            </w:pPr>
          </w:p>
        </w:tc>
      </w:tr>
      <w:tr w:rsidR="006F1BCD" w:rsidRPr="00A438A0" w:rsidTr="006F1BCD">
        <w:trPr>
          <w:trHeight w:val="300"/>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9</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Debit ADITs</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u w:val="single"/>
              </w:rPr>
            </w:pPr>
            <w:r w:rsidRPr="00A438A0">
              <w:rPr>
                <w:sz w:val="20"/>
                <w:szCs w:val="20"/>
                <w:u w:val="single"/>
              </w:rPr>
              <w:t xml:space="preserve">0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u w:val="single"/>
              </w:rPr>
            </w:pPr>
            <w:r w:rsidRPr="00A438A0">
              <w:rPr>
                <w:sz w:val="20"/>
                <w:szCs w:val="20"/>
                <w:u w:val="single"/>
              </w:rPr>
              <w:t xml:space="preserve">540,800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u w:val="single"/>
              </w:rPr>
            </w:pPr>
            <w:r w:rsidRPr="00A438A0">
              <w:rPr>
                <w:sz w:val="20"/>
                <w:szCs w:val="20"/>
                <w:u w:val="single"/>
              </w:rPr>
              <w:t xml:space="preserve">540,800 </w:t>
            </w:r>
          </w:p>
        </w:tc>
        <w:tc>
          <w:tcPr>
            <w:tcW w:w="577"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u w:val="single"/>
              </w:rPr>
            </w:pPr>
            <w:r w:rsidRPr="00A438A0">
              <w:rPr>
                <w:sz w:val="20"/>
                <w:szCs w:val="20"/>
                <w:u w:val="single"/>
              </w:rPr>
              <w:t>(540,800)</w:t>
            </w:r>
          </w:p>
        </w:tc>
        <w:tc>
          <w:tcPr>
            <w:tcW w:w="523" w:type="pct"/>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u w:val="single"/>
              </w:rPr>
            </w:pPr>
            <w:r w:rsidRPr="00A438A0">
              <w:rPr>
                <w:sz w:val="20"/>
                <w:szCs w:val="20"/>
                <w:u w:val="single"/>
              </w:rPr>
              <w:t xml:space="preserve">0 </w:t>
            </w:r>
          </w:p>
        </w:tc>
      </w:tr>
      <w:tr w:rsidR="006F1BCD" w:rsidRPr="00A438A0" w:rsidTr="006F1BCD">
        <w:trPr>
          <w:trHeight w:val="300"/>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color w:val="000000"/>
                <w:sz w:val="20"/>
                <w:szCs w:val="20"/>
              </w:rPr>
            </w:pPr>
            <w:r w:rsidRPr="00A438A0">
              <w:rPr>
                <w:color w:val="000000"/>
                <w:sz w:val="20"/>
                <w:szCs w:val="20"/>
              </w:rPr>
              <w:t> </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rPr>
                <w:color w:val="000000"/>
                <w:sz w:val="20"/>
                <w:szCs w:val="20"/>
              </w:rPr>
            </w:pPr>
            <w:r w:rsidRPr="00A438A0">
              <w:rPr>
                <w:color w:val="000000"/>
                <w:sz w:val="20"/>
                <w:szCs w:val="20"/>
              </w:rPr>
              <w:t>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rPr>
                <w:color w:val="000000"/>
                <w:sz w:val="20"/>
                <w:szCs w:val="20"/>
              </w:rPr>
            </w:pPr>
            <w:r w:rsidRPr="00A438A0">
              <w:rPr>
                <w:color w:val="000000"/>
                <w:sz w:val="20"/>
                <w:szCs w:val="20"/>
              </w:rPr>
              <w:t>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rPr>
                <w:color w:val="000000"/>
                <w:sz w:val="20"/>
                <w:szCs w:val="20"/>
              </w:rPr>
            </w:pPr>
            <w:r w:rsidRPr="00A438A0">
              <w:rPr>
                <w:color w:val="000000"/>
                <w:sz w:val="20"/>
                <w:szCs w:val="20"/>
              </w:rPr>
              <w:t> </w:t>
            </w:r>
          </w:p>
        </w:tc>
        <w:tc>
          <w:tcPr>
            <w:tcW w:w="577" w:type="pct"/>
            <w:tcBorders>
              <w:top w:val="nil"/>
              <w:left w:val="nil"/>
              <w:bottom w:val="nil"/>
              <w:right w:val="nil"/>
            </w:tcBorders>
            <w:shd w:val="clear" w:color="000000" w:fill="FFFFFF"/>
            <w:noWrap/>
            <w:vAlign w:val="bottom"/>
            <w:hideMark/>
          </w:tcPr>
          <w:p w:rsidR="006F1BCD" w:rsidRPr="00A438A0" w:rsidRDefault="006F1BCD" w:rsidP="006F1BCD">
            <w:pPr>
              <w:rPr>
                <w:color w:val="000000"/>
                <w:sz w:val="20"/>
                <w:szCs w:val="20"/>
              </w:rPr>
            </w:pPr>
            <w:r w:rsidRPr="00A438A0">
              <w:rPr>
                <w:color w:val="000000"/>
                <w:sz w:val="20"/>
                <w:szCs w:val="20"/>
              </w:rPr>
              <w:t> </w:t>
            </w:r>
          </w:p>
        </w:tc>
        <w:tc>
          <w:tcPr>
            <w:tcW w:w="523"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r>
      <w:tr w:rsidR="006F1BCD" w:rsidRPr="00A438A0" w:rsidTr="006F1BCD">
        <w:trPr>
          <w:trHeight w:val="300"/>
        </w:trPr>
        <w:tc>
          <w:tcPr>
            <w:tcW w:w="241"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10</w:t>
            </w:r>
          </w:p>
        </w:tc>
        <w:tc>
          <w:tcPr>
            <w:tcW w:w="1943" w:type="pct"/>
            <w:tcBorders>
              <w:top w:val="nil"/>
              <w:left w:val="nil"/>
              <w:bottom w:val="nil"/>
              <w:right w:val="nil"/>
            </w:tcBorders>
            <w:shd w:val="clear" w:color="000000" w:fill="FFFFFF"/>
            <w:noWrap/>
            <w:vAlign w:val="bottom"/>
            <w:hideMark/>
          </w:tcPr>
          <w:p w:rsidR="006F1BCD" w:rsidRPr="00A438A0" w:rsidRDefault="006F1BCD" w:rsidP="006F1BCD">
            <w:pPr>
              <w:rPr>
                <w:b/>
                <w:bCs/>
                <w:sz w:val="20"/>
                <w:szCs w:val="20"/>
              </w:rPr>
            </w:pPr>
            <w:r w:rsidRPr="00A438A0">
              <w:rPr>
                <w:b/>
                <w:bCs/>
                <w:sz w:val="20"/>
                <w:szCs w:val="20"/>
              </w:rPr>
              <w:t>Rate Base</w:t>
            </w:r>
          </w:p>
        </w:tc>
        <w:tc>
          <w:tcPr>
            <w:tcW w:w="617"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u w:val="double"/>
              </w:rPr>
            </w:pPr>
            <w:r w:rsidRPr="00A438A0">
              <w:rPr>
                <w:sz w:val="20"/>
                <w:szCs w:val="20"/>
                <w:u w:val="double"/>
              </w:rPr>
              <w:t xml:space="preserve">$3,468,701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u w:val="double"/>
              </w:rPr>
            </w:pPr>
            <w:r w:rsidRPr="00A438A0">
              <w:rPr>
                <w:sz w:val="20"/>
                <w:szCs w:val="20"/>
                <w:u w:val="double"/>
              </w:rPr>
              <w:t xml:space="preserve">$1,252,516 </w:t>
            </w:r>
          </w:p>
        </w:tc>
        <w:tc>
          <w:tcPr>
            <w:tcW w:w="550"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u w:val="double"/>
              </w:rPr>
            </w:pPr>
            <w:r w:rsidRPr="00A438A0">
              <w:rPr>
                <w:sz w:val="20"/>
                <w:szCs w:val="20"/>
                <w:u w:val="double"/>
              </w:rPr>
              <w:t xml:space="preserve">$4,721,217 </w:t>
            </w:r>
          </w:p>
        </w:tc>
        <w:tc>
          <w:tcPr>
            <w:tcW w:w="577" w:type="pct"/>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u w:val="double"/>
              </w:rPr>
            </w:pPr>
            <w:r w:rsidRPr="00A438A0">
              <w:rPr>
                <w:sz w:val="20"/>
                <w:szCs w:val="20"/>
                <w:u w:val="double"/>
              </w:rPr>
              <w:t>($1,159,890)</w:t>
            </w:r>
          </w:p>
        </w:tc>
        <w:tc>
          <w:tcPr>
            <w:tcW w:w="523" w:type="pct"/>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u w:val="double"/>
              </w:rPr>
            </w:pPr>
            <w:r w:rsidRPr="00A438A0">
              <w:rPr>
                <w:sz w:val="20"/>
                <w:szCs w:val="20"/>
                <w:u w:val="double"/>
              </w:rPr>
              <w:t xml:space="preserve">$3,561,327 </w:t>
            </w:r>
          </w:p>
        </w:tc>
      </w:tr>
      <w:tr w:rsidR="006F1BCD" w:rsidRPr="00A438A0" w:rsidTr="006F1BCD">
        <w:trPr>
          <w:trHeight w:val="315"/>
        </w:trPr>
        <w:tc>
          <w:tcPr>
            <w:tcW w:w="241" w:type="pct"/>
            <w:tcBorders>
              <w:top w:val="nil"/>
              <w:left w:val="single" w:sz="8" w:space="0" w:color="auto"/>
              <w:bottom w:val="single" w:sz="8" w:space="0" w:color="auto"/>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1943"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617"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50"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50"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77"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23" w:type="pct"/>
            <w:tcBorders>
              <w:top w:val="nil"/>
              <w:left w:val="nil"/>
              <w:bottom w:val="single" w:sz="8" w:space="0" w:color="auto"/>
              <w:right w:val="single" w:sz="8" w:space="0" w:color="auto"/>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r>
    </w:tbl>
    <w:p w:rsidR="00FA307D" w:rsidRPr="00A438A0" w:rsidRDefault="00FA307D">
      <w:pPr>
        <w:rPr>
          <w:sz w:val="20"/>
          <w:szCs w:val="20"/>
        </w:rPr>
        <w:sectPr w:rsidR="00FA307D" w:rsidRPr="00A438A0" w:rsidSect="00FA307D">
          <w:headerReference w:type="default" r:id="rId15"/>
          <w:pgSz w:w="15840" w:h="12240" w:orient="landscape" w:code="1"/>
          <w:pgMar w:top="1440" w:right="1584" w:bottom="1440" w:left="1440" w:header="720" w:footer="720" w:gutter="0"/>
          <w:cols w:space="720"/>
          <w:formProt w:val="0"/>
          <w:docGrid w:linePitch="360"/>
        </w:sectPr>
      </w:pPr>
    </w:p>
    <w:tbl>
      <w:tblPr>
        <w:tblW w:w="9555" w:type="dxa"/>
        <w:tblInd w:w="93" w:type="dxa"/>
        <w:tblLook w:val="04A0" w:firstRow="1" w:lastRow="0" w:firstColumn="1" w:lastColumn="0" w:noHBand="0" w:noVBand="1"/>
      </w:tblPr>
      <w:tblGrid>
        <w:gridCol w:w="640"/>
        <w:gridCol w:w="5675"/>
        <w:gridCol w:w="630"/>
        <w:gridCol w:w="2610"/>
      </w:tblGrid>
      <w:tr w:rsidR="006F1BCD" w:rsidRPr="00A438A0" w:rsidTr="006F1BCD">
        <w:trPr>
          <w:trHeight w:val="315"/>
        </w:trPr>
        <w:tc>
          <w:tcPr>
            <w:tcW w:w="640" w:type="dxa"/>
            <w:tcBorders>
              <w:top w:val="single" w:sz="8" w:space="0" w:color="auto"/>
              <w:left w:val="single" w:sz="8" w:space="0" w:color="auto"/>
              <w:bottom w:val="nil"/>
              <w:right w:val="nil"/>
            </w:tcBorders>
            <w:shd w:val="clear" w:color="000000" w:fill="FFFFFF"/>
            <w:noWrap/>
            <w:vAlign w:val="bottom"/>
            <w:hideMark/>
          </w:tcPr>
          <w:p w:rsidR="006F1BCD" w:rsidRPr="00A438A0" w:rsidRDefault="006F1BCD" w:rsidP="006F1BCD">
            <w:pPr>
              <w:rPr>
                <w:rFonts w:ascii="Arial" w:hAnsi="Arial" w:cs="Arial"/>
              </w:rPr>
            </w:pPr>
            <w:r w:rsidRPr="00A438A0">
              <w:rPr>
                <w:rFonts w:ascii="Arial" w:hAnsi="Arial" w:cs="Arial"/>
              </w:rPr>
              <w:lastRenderedPageBreak/>
              <w:t> </w:t>
            </w:r>
          </w:p>
        </w:tc>
        <w:tc>
          <w:tcPr>
            <w:tcW w:w="5675" w:type="dxa"/>
            <w:tcBorders>
              <w:top w:val="single" w:sz="8" w:space="0" w:color="auto"/>
              <w:left w:val="nil"/>
              <w:bottom w:val="nil"/>
              <w:right w:val="nil"/>
            </w:tcBorders>
            <w:shd w:val="clear" w:color="auto" w:fill="auto"/>
            <w:noWrap/>
            <w:vAlign w:val="bottom"/>
            <w:hideMark/>
          </w:tcPr>
          <w:p w:rsidR="006F1BCD" w:rsidRPr="00A438A0" w:rsidRDefault="006F1BCD" w:rsidP="006F1BCD">
            <w:pPr>
              <w:rPr>
                <w:rFonts w:ascii="Arial" w:hAnsi="Arial" w:cs="Arial"/>
                <w:b/>
                <w:bCs/>
              </w:rPr>
            </w:pPr>
            <w:r w:rsidRPr="00A438A0">
              <w:rPr>
                <w:rFonts w:ascii="Arial" w:hAnsi="Arial" w:cs="Arial"/>
                <w:b/>
                <w:bCs/>
              </w:rPr>
              <w:t>Utilities, Inc. of Sandalhaven</w:t>
            </w:r>
          </w:p>
        </w:tc>
        <w:tc>
          <w:tcPr>
            <w:tcW w:w="3240" w:type="dxa"/>
            <w:gridSpan w:val="2"/>
            <w:tcBorders>
              <w:top w:val="single" w:sz="8" w:space="0" w:color="auto"/>
              <w:left w:val="nil"/>
              <w:bottom w:val="nil"/>
              <w:right w:val="single" w:sz="8" w:space="0" w:color="000000"/>
            </w:tcBorders>
            <w:shd w:val="clear" w:color="000000" w:fill="FFFFFF"/>
            <w:noWrap/>
            <w:vAlign w:val="bottom"/>
            <w:hideMark/>
          </w:tcPr>
          <w:p w:rsidR="006F1BCD" w:rsidRPr="00A438A0" w:rsidRDefault="006F1BCD" w:rsidP="005B5701">
            <w:pPr>
              <w:jc w:val="right"/>
              <w:rPr>
                <w:rFonts w:ascii="Arial" w:hAnsi="Arial" w:cs="Arial"/>
                <w:b/>
                <w:bCs/>
              </w:rPr>
            </w:pPr>
            <w:r w:rsidRPr="00A438A0">
              <w:rPr>
                <w:rFonts w:ascii="Arial" w:hAnsi="Arial" w:cs="Arial"/>
                <w:b/>
                <w:bCs/>
              </w:rPr>
              <w:t>Schedule No. 1-A</w:t>
            </w:r>
            <w:r w:rsidR="005B5701" w:rsidRPr="00A438A0">
              <w:fldChar w:fldCharType="begin"/>
            </w:r>
            <w:r w:rsidR="005B5701" w:rsidRPr="00A438A0">
              <w:instrText xml:space="preserve"> TC "</w:instrText>
            </w:r>
            <w:bookmarkStart w:id="44" w:name="_Toc433269942"/>
            <w:bookmarkStart w:id="45" w:name="_Toc435607961"/>
            <w:r w:rsidR="005B5701" w:rsidRPr="00A438A0">
              <w:tab/>
              <w:instrText>Schedule No. 1-A Adjustments to Rate Base</w:instrText>
            </w:r>
            <w:bookmarkEnd w:id="44"/>
            <w:bookmarkEnd w:id="45"/>
            <w:r w:rsidR="005B5701" w:rsidRPr="00A438A0">
              <w:instrText xml:space="preserve">" \l 1 </w:instrText>
            </w:r>
            <w:r w:rsidR="005B5701" w:rsidRPr="00A438A0">
              <w:fldChar w:fldCharType="end"/>
            </w:r>
          </w:p>
        </w:tc>
      </w:tr>
      <w:tr w:rsidR="006F1BCD" w:rsidRPr="00A438A0" w:rsidTr="006F1BCD">
        <w:trPr>
          <w:trHeight w:val="315"/>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rPr>
                <w:rFonts w:ascii="Arial" w:hAnsi="Arial" w:cs="Arial"/>
              </w:rPr>
            </w:pPr>
            <w:r w:rsidRPr="00A438A0">
              <w:rPr>
                <w:rFonts w:ascii="Arial" w:hAnsi="Arial" w:cs="Arial"/>
              </w:rPr>
              <w:t> </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b/>
                <w:bCs/>
              </w:rPr>
            </w:pPr>
            <w:r w:rsidRPr="00A438A0">
              <w:rPr>
                <w:rFonts w:ascii="Arial" w:hAnsi="Arial" w:cs="Arial"/>
                <w:b/>
                <w:bCs/>
              </w:rPr>
              <w:t>Adjustments to Rate Base</w:t>
            </w:r>
          </w:p>
        </w:tc>
        <w:tc>
          <w:tcPr>
            <w:tcW w:w="3240" w:type="dxa"/>
            <w:gridSpan w:val="2"/>
            <w:tcBorders>
              <w:top w:val="nil"/>
              <w:left w:val="nil"/>
              <w:bottom w:val="nil"/>
              <w:right w:val="single" w:sz="8" w:space="0" w:color="000000"/>
            </w:tcBorders>
            <w:shd w:val="clear" w:color="auto" w:fill="auto"/>
            <w:noWrap/>
            <w:vAlign w:val="bottom"/>
            <w:hideMark/>
          </w:tcPr>
          <w:p w:rsidR="006F1BCD" w:rsidRPr="00A438A0" w:rsidRDefault="006F1BCD" w:rsidP="006F1BCD">
            <w:pPr>
              <w:jc w:val="right"/>
              <w:rPr>
                <w:rFonts w:ascii="Arial" w:hAnsi="Arial" w:cs="Arial"/>
                <w:b/>
                <w:bCs/>
              </w:rPr>
            </w:pPr>
            <w:r w:rsidRPr="00A438A0">
              <w:rPr>
                <w:rFonts w:ascii="Arial" w:hAnsi="Arial" w:cs="Arial"/>
                <w:b/>
                <w:bCs/>
              </w:rPr>
              <w:t>Docket No. 150102-SU</w:t>
            </w:r>
          </w:p>
        </w:tc>
      </w:tr>
      <w:tr w:rsidR="006F1BCD" w:rsidRPr="00A438A0" w:rsidTr="006F1BCD">
        <w:trPr>
          <w:trHeight w:val="330"/>
        </w:trPr>
        <w:tc>
          <w:tcPr>
            <w:tcW w:w="640" w:type="dxa"/>
            <w:tcBorders>
              <w:top w:val="nil"/>
              <w:left w:val="single" w:sz="8" w:space="0" w:color="auto"/>
              <w:bottom w:val="single" w:sz="8" w:space="0" w:color="auto"/>
              <w:right w:val="nil"/>
            </w:tcBorders>
            <w:shd w:val="clear" w:color="000000" w:fill="FFFFFF"/>
            <w:noWrap/>
            <w:vAlign w:val="bottom"/>
            <w:hideMark/>
          </w:tcPr>
          <w:p w:rsidR="006F1BCD" w:rsidRPr="00A438A0" w:rsidRDefault="006F1BCD" w:rsidP="006F1BCD">
            <w:pPr>
              <w:rPr>
                <w:rFonts w:ascii="Arial" w:hAnsi="Arial" w:cs="Arial"/>
              </w:rPr>
            </w:pPr>
            <w:r w:rsidRPr="00A438A0">
              <w:rPr>
                <w:rFonts w:ascii="Arial" w:hAnsi="Arial" w:cs="Arial"/>
              </w:rPr>
              <w:t> </w:t>
            </w:r>
          </w:p>
        </w:tc>
        <w:tc>
          <w:tcPr>
            <w:tcW w:w="5675" w:type="dxa"/>
            <w:tcBorders>
              <w:top w:val="nil"/>
              <w:left w:val="nil"/>
              <w:bottom w:val="single" w:sz="8" w:space="0" w:color="auto"/>
              <w:right w:val="nil"/>
            </w:tcBorders>
            <w:shd w:val="clear" w:color="auto" w:fill="auto"/>
            <w:noWrap/>
            <w:vAlign w:val="bottom"/>
            <w:hideMark/>
          </w:tcPr>
          <w:p w:rsidR="006F1BCD" w:rsidRPr="00A438A0" w:rsidRDefault="006F1BCD" w:rsidP="006F1BCD">
            <w:pPr>
              <w:rPr>
                <w:rFonts w:ascii="Arial" w:hAnsi="Arial" w:cs="Arial"/>
                <w:b/>
                <w:bCs/>
              </w:rPr>
            </w:pPr>
            <w:r w:rsidRPr="00A438A0">
              <w:rPr>
                <w:rFonts w:ascii="Arial" w:hAnsi="Arial" w:cs="Arial"/>
                <w:b/>
                <w:bCs/>
              </w:rPr>
              <w:t>Test Year Ended 12/31/14</w:t>
            </w:r>
          </w:p>
        </w:tc>
        <w:tc>
          <w:tcPr>
            <w:tcW w:w="630" w:type="dxa"/>
            <w:tcBorders>
              <w:top w:val="nil"/>
              <w:left w:val="nil"/>
              <w:bottom w:val="single" w:sz="8" w:space="0" w:color="auto"/>
              <w:right w:val="nil"/>
            </w:tcBorders>
            <w:shd w:val="clear" w:color="000000" w:fill="FFFFFF"/>
            <w:noWrap/>
            <w:vAlign w:val="bottom"/>
            <w:hideMark/>
          </w:tcPr>
          <w:p w:rsidR="006F1BCD" w:rsidRPr="00A438A0" w:rsidRDefault="006F1BCD" w:rsidP="006F1BCD">
            <w:pPr>
              <w:jc w:val="right"/>
              <w:rPr>
                <w:rFonts w:ascii="Arial" w:hAnsi="Arial" w:cs="Arial"/>
                <w:b/>
                <w:bCs/>
              </w:rPr>
            </w:pPr>
            <w:r w:rsidRPr="00A438A0">
              <w:rPr>
                <w:rFonts w:ascii="Arial" w:hAnsi="Arial" w:cs="Arial"/>
                <w:b/>
                <w:bCs/>
              </w:rPr>
              <w:t> </w:t>
            </w:r>
          </w:p>
        </w:tc>
        <w:tc>
          <w:tcPr>
            <w:tcW w:w="2610" w:type="dxa"/>
            <w:tcBorders>
              <w:top w:val="nil"/>
              <w:left w:val="nil"/>
              <w:bottom w:val="single" w:sz="8" w:space="0" w:color="auto"/>
              <w:right w:val="single" w:sz="8" w:space="0" w:color="auto"/>
            </w:tcBorders>
            <w:shd w:val="clear" w:color="000000" w:fill="FFFFFF"/>
            <w:noWrap/>
            <w:vAlign w:val="bottom"/>
            <w:hideMark/>
          </w:tcPr>
          <w:p w:rsidR="006F1BCD" w:rsidRPr="00A438A0" w:rsidRDefault="006F1BCD" w:rsidP="006F1BCD">
            <w:pPr>
              <w:rPr>
                <w:rFonts w:ascii="Arial" w:hAnsi="Arial" w:cs="Arial"/>
                <w:b/>
                <w:bCs/>
              </w:rPr>
            </w:pPr>
            <w:r w:rsidRPr="00A438A0">
              <w:rPr>
                <w:rFonts w:ascii="Arial" w:hAnsi="Arial" w:cs="Arial"/>
                <w:b/>
                <w:bCs/>
              </w:rPr>
              <w:t> </w:t>
            </w: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b/>
                <w:bCs/>
                <w:sz w:val="20"/>
                <w:szCs w:val="20"/>
              </w:rPr>
            </w:pPr>
            <w:r w:rsidRPr="00A438A0">
              <w:rPr>
                <w:b/>
                <w:bCs/>
                <w:sz w:val="20"/>
                <w:szCs w:val="20"/>
              </w:rPr>
              <w:t>Explanation</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jc w:val="center"/>
              <w:rPr>
                <w:b/>
                <w:bCs/>
                <w:sz w:val="20"/>
                <w:szCs w:val="20"/>
              </w:rPr>
            </w:pPr>
            <w:r w:rsidRPr="00A438A0">
              <w:rPr>
                <w:b/>
                <w:bCs/>
                <w:sz w:val="20"/>
                <w:szCs w:val="20"/>
              </w:rPr>
              <w:t> </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center"/>
              <w:rPr>
                <w:b/>
                <w:bCs/>
                <w:sz w:val="20"/>
                <w:szCs w:val="20"/>
              </w:rPr>
            </w:pPr>
            <w:r w:rsidRPr="00A438A0">
              <w:rPr>
                <w:b/>
                <w:bCs/>
                <w:sz w:val="20"/>
                <w:szCs w:val="20"/>
              </w:rPr>
              <w:t>Wastewater</w:t>
            </w:r>
          </w:p>
        </w:tc>
      </w:tr>
      <w:tr w:rsidR="006F1BCD" w:rsidRPr="00A438A0" w:rsidTr="006F1BCD">
        <w:trPr>
          <w:trHeight w:val="315"/>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r>
      <w:tr w:rsidR="006F1BCD" w:rsidRPr="00A438A0" w:rsidTr="006F1BCD">
        <w:trPr>
          <w:trHeight w:val="300"/>
        </w:trPr>
        <w:tc>
          <w:tcPr>
            <w:tcW w:w="640" w:type="dxa"/>
            <w:tcBorders>
              <w:top w:val="single" w:sz="8" w:space="0" w:color="000000"/>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5675" w:type="dxa"/>
            <w:tcBorders>
              <w:top w:val="single" w:sz="8" w:space="0" w:color="000000"/>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630" w:type="dxa"/>
            <w:tcBorders>
              <w:top w:val="single" w:sz="8" w:space="0" w:color="000000"/>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2610" w:type="dxa"/>
            <w:tcBorders>
              <w:top w:val="single" w:sz="8" w:space="0" w:color="000000"/>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w:t>
            </w: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b/>
                <w:sz w:val="20"/>
                <w:szCs w:val="20"/>
              </w:rPr>
            </w:pPr>
            <w:r w:rsidRPr="00A438A0">
              <w:rPr>
                <w:b/>
                <w:sz w:val="20"/>
                <w:szCs w:val="20"/>
              </w:rPr>
              <w:t>Plant In Service</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u w:val="double"/>
              </w:rPr>
            </w:pP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1</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Reflect agreed upon audit adjustments (Issue 2)</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($33,211)</w:t>
            </w: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2</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Reflect appropriate plant retirement (Issue 3)</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($23,335)</w:t>
            </w: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3</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Reflect appropriate pro forma plant (Issue 4)</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u w:val="single"/>
              </w:rPr>
            </w:pPr>
            <w:r w:rsidRPr="00A438A0">
              <w:rPr>
                <w:sz w:val="20"/>
                <w:szCs w:val="20"/>
                <w:u w:val="single"/>
              </w:rPr>
              <w:t>($153,873)</w:t>
            </w: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b/>
                <w:sz w:val="20"/>
                <w:szCs w:val="20"/>
              </w:rPr>
            </w:pPr>
            <w:r w:rsidRPr="00A438A0">
              <w:rPr>
                <w:b/>
                <w:sz w:val="20"/>
                <w:szCs w:val="20"/>
              </w:rPr>
              <w:t>Total</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u w:val="double"/>
              </w:rPr>
            </w:pPr>
            <w:r w:rsidRPr="00A438A0">
              <w:rPr>
                <w:sz w:val="20"/>
                <w:szCs w:val="20"/>
                <w:u w:val="double"/>
              </w:rPr>
              <w:t>($210,419)</w:t>
            </w: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u w:val="double"/>
              </w:rPr>
            </w:pP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b/>
                <w:sz w:val="20"/>
                <w:szCs w:val="20"/>
              </w:rPr>
            </w:pPr>
            <w:r w:rsidRPr="00A438A0">
              <w:rPr>
                <w:b/>
                <w:sz w:val="20"/>
                <w:szCs w:val="20"/>
              </w:rPr>
              <w:t>Land</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u w:val="double"/>
              </w:rPr>
            </w:pP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Reflect agreed upon audit adjustments (Issue 2)</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u w:val="double"/>
              </w:rPr>
            </w:pPr>
            <w:r w:rsidRPr="00A438A0">
              <w:rPr>
                <w:sz w:val="20"/>
                <w:szCs w:val="20"/>
                <w:u w:val="double"/>
              </w:rPr>
              <w:t xml:space="preserve">$10,000 </w:t>
            </w: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w:t>
            </w: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b/>
                <w:sz w:val="20"/>
                <w:szCs w:val="20"/>
                <w:u w:val="single"/>
              </w:rPr>
            </w:pPr>
            <w:r w:rsidRPr="00A438A0">
              <w:rPr>
                <w:b/>
                <w:sz w:val="20"/>
                <w:szCs w:val="20"/>
              </w:rPr>
              <w:t>Non-used and Usefu</w:t>
            </w:r>
            <w:r w:rsidRPr="00A438A0">
              <w:rPr>
                <w:b/>
                <w:sz w:val="20"/>
                <w:szCs w:val="20"/>
                <w:u w:val="single"/>
              </w:rPr>
              <w:t>l</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u w:val="single"/>
              </w:rPr>
            </w:pP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u w:val="double"/>
              </w:rPr>
            </w:pP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1</w:t>
            </w:r>
          </w:p>
        </w:tc>
        <w:tc>
          <w:tcPr>
            <w:tcW w:w="6305" w:type="dxa"/>
            <w:gridSpan w:val="2"/>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Reflect non-used and useful adjustment to land (Issue 5)</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($4,662)</w:t>
            </w: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2</w:t>
            </w:r>
          </w:p>
        </w:tc>
        <w:tc>
          <w:tcPr>
            <w:tcW w:w="6305" w:type="dxa"/>
            <w:gridSpan w:val="2"/>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Reflect net non-used &amp; useful adjustment for Force Main (Issue 5)</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u w:val="single"/>
              </w:rPr>
            </w:pPr>
            <w:r w:rsidRPr="00A438A0">
              <w:rPr>
                <w:sz w:val="20"/>
                <w:szCs w:val="20"/>
                <w:u w:val="single"/>
              </w:rPr>
              <w:t>($490,278)</w:t>
            </w: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b/>
                <w:sz w:val="20"/>
                <w:szCs w:val="20"/>
              </w:rPr>
            </w:pPr>
            <w:r w:rsidRPr="00A438A0">
              <w:rPr>
                <w:b/>
                <w:sz w:val="20"/>
                <w:szCs w:val="20"/>
              </w:rPr>
              <w:t>Total</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u w:val="double"/>
              </w:rPr>
            </w:pP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u w:val="double"/>
              </w:rPr>
            </w:pPr>
            <w:r w:rsidRPr="00A438A0">
              <w:rPr>
                <w:sz w:val="20"/>
                <w:szCs w:val="20"/>
                <w:u w:val="double"/>
              </w:rPr>
              <w:t>($494,940)</w:t>
            </w: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u w:val="double"/>
              </w:rPr>
            </w:pP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u w:val="double"/>
              </w:rPr>
            </w:pP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b/>
                <w:sz w:val="20"/>
                <w:szCs w:val="20"/>
              </w:rPr>
            </w:pPr>
            <w:r w:rsidRPr="00A438A0">
              <w:rPr>
                <w:b/>
                <w:sz w:val="20"/>
                <w:szCs w:val="20"/>
              </w:rPr>
              <w:t>Accumulated Depreciation</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u w:val="double"/>
              </w:rPr>
            </w:pP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1</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Reflect agreed upon audit adjustments (Issue 2)</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xml:space="preserve">$29,974 </w:t>
            </w: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2</w:t>
            </w:r>
          </w:p>
        </w:tc>
        <w:tc>
          <w:tcPr>
            <w:tcW w:w="6305" w:type="dxa"/>
            <w:gridSpan w:val="2"/>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Reflect appropriate adjustment for retirement of WWTP (Issue 3)</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xml:space="preserve">$297,173 </w:t>
            </w: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3</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Reflect appropriate amount for pro forma plant adjustment (Issue 4)</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u w:val="single"/>
              </w:rPr>
            </w:pPr>
            <w:r w:rsidRPr="00A438A0">
              <w:rPr>
                <w:sz w:val="20"/>
                <w:szCs w:val="20"/>
                <w:u w:val="single"/>
              </w:rPr>
              <w:t xml:space="preserve">$4,870 </w:t>
            </w: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b/>
                <w:sz w:val="20"/>
                <w:szCs w:val="20"/>
              </w:rPr>
            </w:pPr>
            <w:r w:rsidRPr="00A438A0">
              <w:rPr>
                <w:b/>
                <w:sz w:val="20"/>
                <w:szCs w:val="20"/>
              </w:rPr>
              <w:t>Total</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u w:val="double"/>
              </w:rPr>
            </w:pPr>
            <w:r w:rsidRPr="00A438A0">
              <w:rPr>
                <w:sz w:val="20"/>
                <w:szCs w:val="20"/>
                <w:u w:val="double"/>
              </w:rPr>
              <w:t xml:space="preserve">$332,017 </w:t>
            </w: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w:t>
            </w:r>
          </w:p>
        </w:tc>
      </w:tr>
      <w:tr w:rsidR="006F1BCD" w:rsidRPr="00A438A0" w:rsidTr="006F1BCD">
        <w:trPr>
          <w:trHeight w:val="300"/>
        </w:trPr>
        <w:tc>
          <w:tcPr>
            <w:tcW w:w="640" w:type="dxa"/>
            <w:tcBorders>
              <w:top w:val="nil"/>
              <w:left w:val="single" w:sz="8" w:space="0" w:color="auto"/>
              <w:right w:val="nil"/>
            </w:tcBorders>
            <w:shd w:val="clear" w:color="000000" w:fill="FFFFFF"/>
            <w:noWrap/>
            <w:vAlign w:val="bottom"/>
            <w:hideMark/>
          </w:tcPr>
          <w:p w:rsidR="006F1BCD" w:rsidRPr="00A438A0" w:rsidRDefault="006F1BCD" w:rsidP="006F1BCD">
            <w:pPr>
              <w:jc w:val="center"/>
              <w:rPr>
                <w:rFonts w:ascii="Arial" w:hAnsi="Arial" w:cs="Arial"/>
                <w:sz w:val="20"/>
                <w:szCs w:val="20"/>
              </w:rPr>
            </w:pPr>
            <w:r w:rsidRPr="00A438A0">
              <w:rPr>
                <w:rFonts w:ascii="Arial" w:hAnsi="Arial" w:cs="Arial"/>
                <w:sz w:val="20"/>
                <w:szCs w:val="20"/>
              </w:rPr>
              <w:t> </w:t>
            </w:r>
          </w:p>
        </w:tc>
        <w:tc>
          <w:tcPr>
            <w:tcW w:w="5675" w:type="dxa"/>
            <w:tcBorders>
              <w:top w:val="nil"/>
              <w:left w:val="nil"/>
              <w:right w:val="nil"/>
            </w:tcBorders>
            <w:shd w:val="clear" w:color="000000" w:fill="FFFFFF"/>
            <w:noWrap/>
            <w:vAlign w:val="bottom"/>
            <w:hideMark/>
          </w:tcPr>
          <w:p w:rsidR="006F1BCD" w:rsidRPr="00A438A0" w:rsidRDefault="006F1BCD" w:rsidP="006F1BCD">
            <w:pPr>
              <w:rPr>
                <w:b/>
                <w:sz w:val="20"/>
                <w:szCs w:val="20"/>
              </w:rPr>
            </w:pPr>
            <w:r w:rsidRPr="00A438A0">
              <w:rPr>
                <w:b/>
                <w:sz w:val="20"/>
                <w:szCs w:val="20"/>
              </w:rPr>
              <w:t>CIAC</w:t>
            </w:r>
          </w:p>
        </w:tc>
        <w:tc>
          <w:tcPr>
            <w:tcW w:w="630" w:type="dxa"/>
            <w:tcBorders>
              <w:top w:val="nil"/>
              <w:left w:val="nil"/>
              <w:right w:val="nil"/>
            </w:tcBorders>
            <w:shd w:val="clear" w:color="000000" w:fill="FFFFFF"/>
            <w:noWrap/>
            <w:vAlign w:val="bottom"/>
            <w:hideMark/>
          </w:tcPr>
          <w:p w:rsidR="006F1BCD" w:rsidRPr="00A438A0" w:rsidRDefault="006F1BCD" w:rsidP="006F1BCD">
            <w:pPr>
              <w:rPr>
                <w:rFonts w:ascii="Arial" w:hAnsi="Arial" w:cs="Arial"/>
                <w:sz w:val="20"/>
                <w:szCs w:val="20"/>
              </w:rPr>
            </w:pPr>
            <w:r w:rsidRPr="00A438A0">
              <w:rPr>
                <w:rFonts w:ascii="Arial" w:hAnsi="Arial" w:cs="Arial"/>
                <w:sz w:val="20"/>
                <w:szCs w:val="20"/>
              </w:rPr>
              <w:t> </w:t>
            </w:r>
          </w:p>
        </w:tc>
        <w:tc>
          <w:tcPr>
            <w:tcW w:w="2610" w:type="dxa"/>
            <w:tcBorders>
              <w:top w:val="nil"/>
              <w:left w:val="nil"/>
              <w:right w:val="single" w:sz="8" w:space="0" w:color="auto"/>
            </w:tcBorders>
            <w:shd w:val="clear" w:color="000000" w:fill="FFFFFF"/>
            <w:noWrap/>
            <w:vAlign w:val="bottom"/>
            <w:hideMark/>
          </w:tcPr>
          <w:p w:rsidR="006F1BCD" w:rsidRPr="00A438A0" w:rsidRDefault="006F1BCD" w:rsidP="006F1BCD">
            <w:pPr>
              <w:jc w:val="right"/>
              <w:rPr>
                <w:sz w:val="20"/>
                <w:szCs w:val="20"/>
                <w:u w:val="double"/>
              </w:rPr>
            </w:pP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Reflect appropriate amount for retirement of WWTP (Issue 3)</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20"/>
                <w:szCs w:val="20"/>
              </w:rPr>
            </w:pPr>
            <w:r w:rsidRPr="00A438A0">
              <w:rPr>
                <w:rFonts w:ascii="Arial" w:hAnsi="Arial" w:cs="Arial"/>
                <w:sz w:val="20"/>
                <w:szCs w:val="20"/>
              </w:rPr>
              <w:t> </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u w:val="double"/>
              </w:rPr>
            </w:pPr>
            <w:r w:rsidRPr="00A438A0">
              <w:rPr>
                <w:sz w:val="20"/>
                <w:szCs w:val="20"/>
                <w:u w:val="double"/>
              </w:rPr>
              <w:t>($258,674)</w:t>
            </w: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w:t>
            </w: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b/>
                <w:sz w:val="20"/>
                <w:szCs w:val="20"/>
              </w:rPr>
            </w:pPr>
            <w:r w:rsidRPr="00A438A0">
              <w:rPr>
                <w:b/>
                <w:sz w:val="20"/>
                <w:szCs w:val="20"/>
              </w:rPr>
              <w:t>Accumulated Amortization of CIAC</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u w:val="double"/>
              </w:rPr>
            </w:pP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Reflect appropriate amount for retirement of WWTP (Issue 3)</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u w:val="double"/>
              </w:rPr>
            </w:pPr>
            <w:r w:rsidRPr="00A438A0">
              <w:rPr>
                <w:sz w:val="20"/>
                <w:szCs w:val="20"/>
                <w:u w:val="double"/>
              </w:rPr>
              <w:t xml:space="preserve">$19,536 </w:t>
            </w: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w:t>
            </w: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5675" w:type="dxa"/>
            <w:tcBorders>
              <w:top w:val="nil"/>
              <w:left w:val="nil"/>
              <w:bottom w:val="nil"/>
              <w:right w:val="nil"/>
            </w:tcBorders>
            <w:shd w:val="clear" w:color="000000" w:fill="FFFFFF"/>
            <w:noWrap/>
            <w:vAlign w:val="bottom"/>
            <w:hideMark/>
          </w:tcPr>
          <w:p w:rsidR="006F1BCD" w:rsidRPr="00A438A0" w:rsidRDefault="006F1BCD" w:rsidP="006F1BCD">
            <w:pPr>
              <w:rPr>
                <w:b/>
                <w:sz w:val="20"/>
                <w:szCs w:val="20"/>
              </w:rPr>
            </w:pPr>
            <w:r w:rsidRPr="00A438A0">
              <w:rPr>
                <w:b/>
                <w:sz w:val="20"/>
                <w:szCs w:val="20"/>
              </w:rPr>
              <w:t>Working Capital</w:t>
            </w:r>
          </w:p>
        </w:tc>
        <w:tc>
          <w:tcPr>
            <w:tcW w:w="630" w:type="dxa"/>
            <w:tcBorders>
              <w:top w:val="nil"/>
              <w:left w:val="nil"/>
              <w:bottom w:val="nil"/>
              <w:right w:val="nil"/>
            </w:tcBorders>
            <w:shd w:val="clear" w:color="000000" w:fill="FFFFFF"/>
            <w:noWrap/>
            <w:vAlign w:val="bottom"/>
            <w:hideMark/>
          </w:tcPr>
          <w:p w:rsidR="006F1BCD" w:rsidRPr="00A438A0" w:rsidRDefault="006F1BCD" w:rsidP="006F1BCD">
            <w:pPr>
              <w:jc w:val="right"/>
              <w:rPr>
                <w:sz w:val="20"/>
                <w:szCs w:val="20"/>
                <w:u w:val="double"/>
              </w:rPr>
            </w:pP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u w:val="double"/>
              </w:rPr>
            </w:pPr>
          </w:p>
        </w:tc>
      </w:tr>
      <w:tr w:rsidR="006F1BCD" w:rsidRPr="00A438A0" w:rsidTr="006F1BCD">
        <w:trPr>
          <w:trHeight w:val="300"/>
        </w:trPr>
        <w:tc>
          <w:tcPr>
            <w:tcW w:w="640" w:type="dxa"/>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6305" w:type="dxa"/>
            <w:gridSpan w:val="2"/>
            <w:tcBorders>
              <w:top w:val="nil"/>
              <w:left w:val="nil"/>
              <w:bottom w:val="nil"/>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To reflect the appropriate working capital allowance (Issue 6)</w:t>
            </w:r>
          </w:p>
        </w:tc>
        <w:tc>
          <w:tcPr>
            <w:tcW w:w="2610" w:type="dxa"/>
            <w:tcBorders>
              <w:top w:val="nil"/>
              <w:left w:val="nil"/>
              <w:bottom w:val="nil"/>
              <w:right w:val="single" w:sz="8" w:space="0" w:color="auto"/>
            </w:tcBorders>
            <w:shd w:val="clear" w:color="000000" w:fill="FFFFFF"/>
            <w:noWrap/>
            <w:vAlign w:val="bottom"/>
            <w:hideMark/>
          </w:tcPr>
          <w:p w:rsidR="006F1BCD" w:rsidRPr="00A438A0" w:rsidRDefault="006F1BCD" w:rsidP="006F1BCD">
            <w:pPr>
              <w:jc w:val="right"/>
              <w:rPr>
                <w:sz w:val="20"/>
                <w:szCs w:val="20"/>
                <w:u w:val="double"/>
              </w:rPr>
            </w:pPr>
            <w:r w:rsidRPr="00A438A0">
              <w:rPr>
                <w:sz w:val="20"/>
                <w:szCs w:val="20"/>
                <w:u w:val="double"/>
              </w:rPr>
              <w:t>($16,610)</w:t>
            </w:r>
          </w:p>
        </w:tc>
      </w:tr>
      <w:tr w:rsidR="006F1BCD" w:rsidRPr="00A438A0" w:rsidTr="006F1BCD">
        <w:trPr>
          <w:trHeight w:val="315"/>
        </w:trPr>
        <w:tc>
          <w:tcPr>
            <w:tcW w:w="640" w:type="dxa"/>
            <w:tcBorders>
              <w:top w:val="nil"/>
              <w:left w:val="single" w:sz="8" w:space="0" w:color="auto"/>
              <w:bottom w:val="single" w:sz="8" w:space="0" w:color="auto"/>
              <w:right w:val="nil"/>
            </w:tcBorders>
            <w:shd w:val="clear" w:color="000000" w:fill="FFFFFF"/>
            <w:noWrap/>
            <w:vAlign w:val="bottom"/>
            <w:hideMark/>
          </w:tcPr>
          <w:p w:rsidR="006F1BCD" w:rsidRPr="00A438A0" w:rsidRDefault="006F1BCD" w:rsidP="006F1BCD">
            <w:pPr>
              <w:jc w:val="center"/>
              <w:rPr>
                <w:sz w:val="20"/>
                <w:szCs w:val="20"/>
              </w:rPr>
            </w:pPr>
            <w:r w:rsidRPr="00A438A0">
              <w:rPr>
                <w:sz w:val="20"/>
                <w:szCs w:val="20"/>
              </w:rPr>
              <w:t> </w:t>
            </w:r>
          </w:p>
        </w:tc>
        <w:tc>
          <w:tcPr>
            <w:tcW w:w="5675" w:type="dxa"/>
            <w:tcBorders>
              <w:top w:val="nil"/>
              <w:left w:val="nil"/>
              <w:bottom w:val="single" w:sz="8" w:space="0" w:color="auto"/>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630" w:type="dxa"/>
            <w:tcBorders>
              <w:top w:val="nil"/>
              <w:left w:val="nil"/>
              <w:bottom w:val="single" w:sz="8" w:space="0" w:color="auto"/>
              <w:right w:val="nil"/>
            </w:tcBorders>
            <w:shd w:val="clear" w:color="000000" w:fill="FFFFFF"/>
            <w:noWrap/>
            <w:vAlign w:val="bottom"/>
            <w:hideMark/>
          </w:tcPr>
          <w:p w:rsidR="006F1BCD" w:rsidRPr="00A438A0" w:rsidRDefault="006F1BCD" w:rsidP="006F1BCD">
            <w:pPr>
              <w:rPr>
                <w:sz w:val="20"/>
                <w:szCs w:val="20"/>
              </w:rPr>
            </w:pPr>
            <w:r w:rsidRPr="00A438A0">
              <w:rPr>
                <w:sz w:val="20"/>
                <w:szCs w:val="20"/>
              </w:rPr>
              <w:t> </w:t>
            </w:r>
          </w:p>
        </w:tc>
        <w:tc>
          <w:tcPr>
            <w:tcW w:w="2610" w:type="dxa"/>
            <w:tcBorders>
              <w:top w:val="nil"/>
              <w:left w:val="nil"/>
              <w:bottom w:val="single" w:sz="8" w:space="0" w:color="auto"/>
              <w:right w:val="single" w:sz="8" w:space="0" w:color="auto"/>
            </w:tcBorders>
            <w:shd w:val="clear" w:color="000000" w:fill="FFFFFF"/>
            <w:noWrap/>
            <w:vAlign w:val="bottom"/>
            <w:hideMark/>
          </w:tcPr>
          <w:p w:rsidR="006F1BCD" w:rsidRPr="00A438A0" w:rsidRDefault="006F1BCD" w:rsidP="006F1BCD">
            <w:pPr>
              <w:jc w:val="right"/>
              <w:rPr>
                <w:sz w:val="20"/>
                <w:szCs w:val="20"/>
              </w:rPr>
            </w:pPr>
            <w:r w:rsidRPr="00A438A0">
              <w:rPr>
                <w:sz w:val="20"/>
                <w:szCs w:val="20"/>
              </w:rPr>
              <w:t> </w:t>
            </w:r>
          </w:p>
        </w:tc>
      </w:tr>
    </w:tbl>
    <w:p w:rsidR="00FA307D" w:rsidRPr="00A438A0" w:rsidRDefault="00FA307D">
      <w:pPr>
        <w:rPr>
          <w:sz w:val="20"/>
          <w:szCs w:val="20"/>
        </w:rPr>
        <w:sectPr w:rsidR="00FA307D" w:rsidRPr="00A438A0" w:rsidSect="00FA307D">
          <w:headerReference w:type="default" r:id="rId16"/>
          <w:pgSz w:w="12240" w:h="15840" w:code="1"/>
          <w:pgMar w:top="1584" w:right="1440" w:bottom="1440" w:left="1440" w:header="720" w:footer="720" w:gutter="0"/>
          <w:cols w:space="720"/>
          <w:formProt w:val="0"/>
          <w:docGrid w:linePitch="360"/>
        </w:sectPr>
      </w:pPr>
    </w:p>
    <w:tbl>
      <w:tblPr>
        <w:tblW w:w="5000" w:type="pct"/>
        <w:tblLook w:val="04A0" w:firstRow="1" w:lastRow="0" w:firstColumn="1" w:lastColumn="0" w:noHBand="0" w:noVBand="1"/>
      </w:tblPr>
      <w:tblGrid>
        <w:gridCol w:w="417"/>
        <w:gridCol w:w="2759"/>
        <w:gridCol w:w="1589"/>
        <w:gridCol w:w="967"/>
        <w:gridCol w:w="1318"/>
        <w:gridCol w:w="1438"/>
        <w:gridCol w:w="1413"/>
        <w:gridCol w:w="927"/>
        <w:gridCol w:w="838"/>
        <w:gridCol w:w="1099"/>
        <w:gridCol w:w="267"/>
      </w:tblGrid>
      <w:tr w:rsidR="006F1BCD" w:rsidRPr="00A438A0" w:rsidTr="006F1BCD">
        <w:trPr>
          <w:trHeight w:val="315"/>
        </w:trPr>
        <w:tc>
          <w:tcPr>
            <w:tcW w:w="193" w:type="pct"/>
            <w:tcBorders>
              <w:top w:val="single" w:sz="8" w:space="0" w:color="auto"/>
              <w:left w:val="single" w:sz="8" w:space="0" w:color="auto"/>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lastRenderedPageBreak/>
              <w:t> </w:t>
            </w:r>
          </w:p>
        </w:tc>
        <w:tc>
          <w:tcPr>
            <w:tcW w:w="1887" w:type="pct"/>
            <w:gridSpan w:val="2"/>
            <w:tcBorders>
              <w:top w:val="single" w:sz="8" w:space="0" w:color="auto"/>
              <w:left w:val="nil"/>
              <w:bottom w:val="nil"/>
              <w:right w:val="nil"/>
            </w:tcBorders>
            <w:shd w:val="clear" w:color="000000" w:fill="FFFFFF"/>
            <w:noWrap/>
            <w:vAlign w:val="bottom"/>
            <w:hideMark/>
          </w:tcPr>
          <w:p w:rsidR="006F1BCD" w:rsidRPr="00A438A0" w:rsidRDefault="006F1BCD" w:rsidP="006F1BCD">
            <w:pPr>
              <w:rPr>
                <w:rFonts w:ascii="Arial" w:hAnsi="Arial" w:cs="Arial"/>
                <w:b/>
                <w:bCs/>
              </w:rPr>
            </w:pPr>
            <w:r w:rsidRPr="00A438A0">
              <w:rPr>
                <w:rFonts w:ascii="Arial" w:hAnsi="Arial" w:cs="Arial"/>
                <w:b/>
                <w:bCs/>
              </w:rPr>
              <w:t>Utilities, Inc. of Sandalhaven</w:t>
            </w:r>
          </w:p>
        </w:tc>
        <w:tc>
          <w:tcPr>
            <w:tcW w:w="440" w:type="pct"/>
            <w:tcBorders>
              <w:top w:val="single" w:sz="8" w:space="0" w:color="auto"/>
              <w:left w:val="nil"/>
              <w:bottom w:val="nil"/>
              <w:right w:val="nil"/>
            </w:tcBorders>
            <w:shd w:val="clear" w:color="000000" w:fill="FFFFFF"/>
            <w:noWrap/>
            <w:vAlign w:val="bottom"/>
            <w:hideMark/>
          </w:tcPr>
          <w:p w:rsidR="006F1BCD" w:rsidRPr="00A438A0" w:rsidRDefault="006F1BCD" w:rsidP="006F1BCD">
            <w:pPr>
              <w:rPr>
                <w:rFonts w:ascii="Arial" w:hAnsi="Arial" w:cs="Arial"/>
                <w:b/>
                <w:bCs/>
              </w:rPr>
            </w:pPr>
            <w:r w:rsidRPr="00A438A0">
              <w:rPr>
                <w:rFonts w:ascii="Arial" w:hAnsi="Arial" w:cs="Arial"/>
                <w:b/>
                <w:bCs/>
              </w:rPr>
              <w:t> </w:t>
            </w:r>
          </w:p>
        </w:tc>
        <w:tc>
          <w:tcPr>
            <w:tcW w:w="440" w:type="pct"/>
            <w:tcBorders>
              <w:top w:val="single" w:sz="8" w:space="0" w:color="auto"/>
              <w:left w:val="nil"/>
              <w:bottom w:val="nil"/>
              <w:right w:val="nil"/>
            </w:tcBorders>
            <w:shd w:val="clear" w:color="000000" w:fill="FFFFFF"/>
            <w:noWrap/>
            <w:vAlign w:val="bottom"/>
            <w:hideMark/>
          </w:tcPr>
          <w:p w:rsidR="006F1BCD" w:rsidRPr="00A438A0" w:rsidRDefault="006F1BCD" w:rsidP="006F1BCD">
            <w:pPr>
              <w:rPr>
                <w:rFonts w:ascii="Arial" w:hAnsi="Arial" w:cs="Arial"/>
                <w:b/>
                <w:bCs/>
              </w:rPr>
            </w:pPr>
            <w:r w:rsidRPr="00A438A0">
              <w:rPr>
                <w:rFonts w:ascii="Arial" w:hAnsi="Arial" w:cs="Arial"/>
                <w:b/>
                <w:bCs/>
              </w:rPr>
              <w:t> </w:t>
            </w:r>
          </w:p>
        </w:tc>
        <w:tc>
          <w:tcPr>
            <w:tcW w:w="440" w:type="pct"/>
            <w:tcBorders>
              <w:top w:val="single" w:sz="8" w:space="0" w:color="auto"/>
              <w:left w:val="nil"/>
              <w:bottom w:val="nil"/>
              <w:right w:val="nil"/>
            </w:tcBorders>
            <w:shd w:val="clear" w:color="000000" w:fill="FFFFFF"/>
            <w:noWrap/>
            <w:vAlign w:val="bottom"/>
            <w:hideMark/>
          </w:tcPr>
          <w:p w:rsidR="006F1BCD" w:rsidRPr="00A438A0" w:rsidRDefault="006F1BCD" w:rsidP="006F1BCD">
            <w:pPr>
              <w:rPr>
                <w:rFonts w:ascii="Arial" w:hAnsi="Arial" w:cs="Arial"/>
                <w:b/>
                <w:bCs/>
              </w:rPr>
            </w:pPr>
            <w:r w:rsidRPr="00A438A0">
              <w:rPr>
                <w:rFonts w:ascii="Arial" w:hAnsi="Arial" w:cs="Arial"/>
                <w:b/>
                <w:bCs/>
              </w:rPr>
              <w:t> </w:t>
            </w:r>
          </w:p>
        </w:tc>
        <w:tc>
          <w:tcPr>
            <w:tcW w:w="440" w:type="pct"/>
            <w:tcBorders>
              <w:top w:val="single" w:sz="8" w:space="0" w:color="auto"/>
              <w:left w:val="nil"/>
              <w:bottom w:val="nil"/>
              <w:right w:val="nil"/>
            </w:tcBorders>
            <w:shd w:val="clear" w:color="000000" w:fill="FFFFFF"/>
            <w:noWrap/>
            <w:vAlign w:val="bottom"/>
            <w:hideMark/>
          </w:tcPr>
          <w:p w:rsidR="006F1BCD" w:rsidRPr="00A438A0" w:rsidRDefault="006F1BCD" w:rsidP="006F1BCD">
            <w:pPr>
              <w:rPr>
                <w:rFonts w:ascii="Arial" w:hAnsi="Arial" w:cs="Arial"/>
                <w:b/>
                <w:bCs/>
              </w:rPr>
            </w:pPr>
            <w:r w:rsidRPr="00A438A0">
              <w:rPr>
                <w:rFonts w:ascii="Arial" w:hAnsi="Arial" w:cs="Arial"/>
                <w:b/>
                <w:bCs/>
              </w:rPr>
              <w:t> </w:t>
            </w:r>
          </w:p>
        </w:tc>
        <w:tc>
          <w:tcPr>
            <w:tcW w:w="368" w:type="pct"/>
            <w:tcBorders>
              <w:top w:val="single" w:sz="8" w:space="0" w:color="auto"/>
              <w:left w:val="nil"/>
              <w:bottom w:val="nil"/>
              <w:right w:val="nil"/>
            </w:tcBorders>
            <w:shd w:val="clear" w:color="000000" w:fill="FFFFFF"/>
            <w:noWrap/>
            <w:vAlign w:val="bottom"/>
            <w:hideMark/>
          </w:tcPr>
          <w:p w:rsidR="006F1BCD" w:rsidRPr="00A438A0" w:rsidRDefault="006F1BCD" w:rsidP="006F1BCD">
            <w:pPr>
              <w:rPr>
                <w:rFonts w:ascii="Courier New" w:hAnsi="Courier New" w:cs="Courier New"/>
                <w:color w:val="000000"/>
              </w:rPr>
            </w:pPr>
            <w:r w:rsidRPr="00A438A0">
              <w:rPr>
                <w:rFonts w:ascii="Courier New" w:hAnsi="Courier New" w:cs="Courier New"/>
                <w:color w:val="000000"/>
              </w:rPr>
              <w:t> </w:t>
            </w:r>
          </w:p>
        </w:tc>
        <w:tc>
          <w:tcPr>
            <w:tcW w:w="711" w:type="pct"/>
            <w:gridSpan w:val="2"/>
            <w:tcBorders>
              <w:top w:val="single" w:sz="8" w:space="0" w:color="auto"/>
              <w:left w:val="nil"/>
              <w:bottom w:val="nil"/>
              <w:right w:val="nil"/>
            </w:tcBorders>
            <w:shd w:val="clear" w:color="000000" w:fill="FFFFFF"/>
            <w:noWrap/>
            <w:vAlign w:val="bottom"/>
            <w:hideMark/>
          </w:tcPr>
          <w:p w:rsidR="006F1BCD" w:rsidRPr="00A438A0" w:rsidRDefault="006F1BCD" w:rsidP="006F1BCD">
            <w:pPr>
              <w:jc w:val="right"/>
              <w:rPr>
                <w:rFonts w:ascii="Arial" w:hAnsi="Arial" w:cs="Arial"/>
                <w:b/>
                <w:bCs/>
              </w:rPr>
            </w:pPr>
            <w:r w:rsidRPr="00A438A0">
              <w:rPr>
                <w:rFonts w:ascii="Arial" w:hAnsi="Arial" w:cs="Arial"/>
                <w:b/>
                <w:bCs/>
              </w:rPr>
              <w:t>Schedule No. 2</w:t>
            </w:r>
            <w:r w:rsidR="005B5701" w:rsidRPr="00A438A0">
              <w:fldChar w:fldCharType="begin"/>
            </w:r>
            <w:r w:rsidR="005B5701" w:rsidRPr="00A438A0">
              <w:instrText xml:space="preserve"> TC "</w:instrText>
            </w:r>
            <w:bookmarkStart w:id="46" w:name="_Toc433269943"/>
            <w:bookmarkStart w:id="47" w:name="_Toc435607962"/>
            <w:r w:rsidR="005B5701" w:rsidRPr="00A438A0">
              <w:tab/>
              <w:instrText>Schedule No. 2 Capital Structure</w:instrText>
            </w:r>
            <w:bookmarkEnd w:id="46"/>
            <w:bookmarkEnd w:id="47"/>
            <w:r w:rsidR="005B5701" w:rsidRPr="00A438A0">
              <w:instrText xml:space="preserve">" \l 1 </w:instrText>
            </w:r>
            <w:r w:rsidR="005B5701" w:rsidRPr="00A438A0">
              <w:fldChar w:fldCharType="end"/>
            </w:r>
          </w:p>
        </w:tc>
        <w:tc>
          <w:tcPr>
            <w:tcW w:w="80" w:type="pct"/>
            <w:tcBorders>
              <w:top w:val="single" w:sz="8" w:space="0" w:color="auto"/>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r>
      <w:tr w:rsidR="006F1BCD" w:rsidRPr="00A438A0" w:rsidTr="006F1BCD">
        <w:trPr>
          <w:trHeight w:val="315"/>
        </w:trPr>
        <w:tc>
          <w:tcPr>
            <w:tcW w:w="193" w:type="pct"/>
            <w:tcBorders>
              <w:top w:val="nil"/>
              <w:left w:val="single" w:sz="8" w:space="0" w:color="auto"/>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1887" w:type="pct"/>
            <w:gridSpan w:val="2"/>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b/>
                <w:bCs/>
              </w:rPr>
            </w:pPr>
            <w:r w:rsidRPr="00A438A0">
              <w:rPr>
                <w:rFonts w:ascii="Arial" w:hAnsi="Arial" w:cs="Arial"/>
                <w:b/>
                <w:bCs/>
              </w:rPr>
              <w:t>Capital Structure-Simple Average</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b/>
                <w:bCs/>
              </w:rPr>
            </w:pPr>
            <w:r w:rsidRPr="00A438A0">
              <w:rPr>
                <w:rFonts w:ascii="Arial" w:hAnsi="Arial" w:cs="Arial"/>
                <w:b/>
                <w:bCs/>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b/>
                <w:bCs/>
              </w:rPr>
            </w:pPr>
            <w:r w:rsidRPr="00A438A0">
              <w:rPr>
                <w:rFonts w:ascii="Arial" w:hAnsi="Arial" w:cs="Arial"/>
                <w:b/>
                <w:bCs/>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b/>
                <w:bCs/>
              </w:rPr>
            </w:pPr>
            <w:r w:rsidRPr="00A438A0">
              <w:rPr>
                <w:rFonts w:ascii="Arial" w:hAnsi="Arial" w:cs="Arial"/>
                <w:b/>
                <w:bCs/>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b/>
                <w:bCs/>
              </w:rPr>
            </w:pPr>
            <w:r w:rsidRPr="00A438A0">
              <w:rPr>
                <w:rFonts w:ascii="Arial" w:hAnsi="Arial" w:cs="Arial"/>
                <w:b/>
                <w:bCs/>
              </w:rPr>
              <w:t> </w:t>
            </w:r>
          </w:p>
        </w:tc>
        <w:tc>
          <w:tcPr>
            <w:tcW w:w="1079" w:type="pct"/>
            <w:gridSpan w:val="3"/>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b/>
                <w:bCs/>
              </w:rPr>
            </w:pPr>
            <w:r w:rsidRPr="00A438A0">
              <w:rPr>
                <w:rFonts w:ascii="Arial" w:hAnsi="Arial" w:cs="Arial"/>
                <w:b/>
                <w:bCs/>
              </w:rPr>
              <w:t>Docket No. 150102-SU</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r>
      <w:tr w:rsidR="006F1BCD" w:rsidRPr="00A438A0" w:rsidTr="006F1BCD">
        <w:trPr>
          <w:trHeight w:val="330"/>
        </w:trPr>
        <w:tc>
          <w:tcPr>
            <w:tcW w:w="193" w:type="pct"/>
            <w:tcBorders>
              <w:top w:val="nil"/>
              <w:left w:val="single" w:sz="8" w:space="0" w:color="auto"/>
              <w:bottom w:val="single" w:sz="8" w:space="0" w:color="auto"/>
              <w:right w:val="nil"/>
            </w:tcBorders>
            <w:shd w:val="clear" w:color="auto" w:fill="auto"/>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1887" w:type="pct"/>
            <w:gridSpan w:val="2"/>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b/>
                <w:bCs/>
              </w:rPr>
            </w:pPr>
            <w:r w:rsidRPr="00A438A0">
              <w:rPr>
                <w:rFonts w:ascii="Arial" w:hAnsi="Arial" w:cs="Arial"/>
                <w:b/>
                <w:bCs/>
              </w:rPr>
              <w:t>Test Year Ended 12/31/14</w:t>
            </w:r>
          </w:p>
        </w:tc>
        <w:tc>
          <w:tcPr>
            <w:tcW w:w="440"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b/>
                <w:bCs/>
              </w:rPr>
            </w:pPr>
            <w:r w:rsidRPr="00A438A0">
              <w:rPr>
                <w:rFonts w:ascii="Arial" w:hAnsi="Arial" w:cs="Arial"/>
                <w:b/>
                <w:bCs/>
              </w:rPr>
              <w:t> </w:t>
            </w:r>
          </w:p>
        </w:tc>
        <w:tc>
          <w:tcPr>
            <w:tcW w:w="440"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b/>
                <w:bCs/>
              </w:rPr>
            </w:pPr>
            <w:r w:rsidRPr="00A438A0">
              <w:rPr>
                <w:rFonts w:ascii="Arial" w:hAnsi="Arial" w:cs="Arial"/>
                <w:b/>
                <w:bCs/>
              </w:rPr>
              <w:t> </w:t>
            </w:r>
          </w:p>
        </w:tc>
        <w:tc>
          <w:tcPr>
            <w:tcW w:w="440"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b/>
                <w:bCs/>
              </w:rPr>
            </w:pPr>
            <w:r w:rsidRPr="00A438A0">
              <w:rPr>
                <w:rFonts w:ascii="Arial" w:hAnsi="Arial" w:cs="Arial"/>
                <w:b/>
                <w:bCs/>
              </w:rPr>
              <w:t> </w:t>
            </w:r>
          </w:p>
        </w:tc>
        <w:tc>
          <w:tcPr>
            <w:tcW w:w="440"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b/>
                <w:bCs/>
              </w:rPr>
            </w:pPr>
            <w:r w:rsidRPr="00A438A0">
              <w:rPr>
                <w:rFonts w:ascii="Arial" w:hAnsi="Arial" w:cs="Arial"/>
                <w:b/>
                <w:bCs/>
              </w:rPr>
              <w:t> </w:t>
            </w:r>
          </w:p>
        </w:tc>
        <w:tc>
          <w:tcPr>
            <w:tcW w:w="368"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b/>
                <w:bCs/>
              </w:rPr>
            </w:pPr>
            <w:r w:rsidRPr="00A438A0">
              <w:rPr>
                <w:rFonts w:ascii="Arial" w:hAnsi="Arial" w:cs="Arial"/>
                <w:b/>
                <w:bCs/>
              </w:rPr>
              <w:t> </w:t>
            </w:r>
          </w:p>
        </w:tc>
        <w:tc>
          <w:tcPr>
            <w:tcW w:w="308"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b/>
                <w:bCs/>
              </w:rPr>
            </w:pPr>
            <w:r w:rsidRPr="00A438A0">
              <w:rPr>
                <w:rFonts w:ascii="Arial" w:hAnsi="Arial" w:cs="Arial"/>
                <w:b/>
                <w:bCs/>
              </w:rPr>
              <w:t> </w:t>
            </w:r>
          </w:p>
        </w:tc>
        <w:tc>
          <w:tcPr>
            <w:tcW w:w="404"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rPr>
            </w:pPr>
            <w:r w:rsidRPr="00A438A0">
              <w:rPr>
                <w:rFonts w:ascii="Arial" w:hAnsi="Arial" w:cs="Arial"/>
              </w:rPr>
              <w:t> </w:t>
            </w:r>
          </w:p>
        </w:tc>
        <w:tc>
          <w:tcPr>
            <w:tcW w:w="80" w:type="pct"/>
            <w:tcBorders>
              <w:top w:val="nil"/>
              <w:left w:val="nil"/>
              <w:bottom w:val="single" w:sz="8" w:space="0" w:color="auto"/>
              <w:right w:val="single" w:sz="8" w:space="0" w:color="auto"/>
            </w:tcBorders>
            <w:shd w:val="clear" w:color="auto" w:fill="auto"/>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r w:rsidR="006F1BCD" w:rsidRPr="00A438A0" w:rsidTr="006F1BCD">
        <w:trPr>
          <w:trHeight w:val="300"/>
        </w:trPr>
        <w:tc>
          <w:tcPr>
            <w:tcW w:w="193" w:type="pct"/>
            <w:tcBorders>
              <w:top w:val="nil"/>
              <w:left w:val="single" w:sz="8" w:space="0" w:color="auto"/>
              <w:bottom w:val="nil"/>
              <w:right w:val="nil"/>
            </w:tcBorders>
            <w:shd w:val="clear" w:color="000000" w:fill="FFFFFF"/>
            <w:noWrap/>
            <w:vAlign w:val="bottom"/>
            <w:hideMark/>
          </w:tcPr>
          <w:p w:rsidR="006F1BCD" w:rsidRPr="00A438A0" w:rsidRDefault="006F1BCD" w:rsidP="006F1BCD">
            <w:pPr>
              <w:rPr>
                <w:rFonts w:ascii="Arial" w:hAnsi="Arial" w:cs="Arial"/>
                <w:b/>
                <w:bCs/>
                <w:sz w:val="18"/>
                <w:szCs w:val="18"/>
              </w:rPr>
            </w:pPr>
            <w:r w:rsidRPr="00A438A0">
              <w:rPr>
                <w:rFonts w:ascii="Arial" w:hAnsi="Arial" w:cs="Arial"/>
                <w:b/>
                <w:bCs/>
                <w:sz w:val="18"/>
                <w:szCs w:val="18"/>
              </w:rPr>
              <w:t> </w:t>
            </w:r>
          </w:p>
        </w:tc>
        <w:tc>
          <w:tcPr>
            <w:tcW w:w="1185"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b/>
                <w:bCs/>
                <w:sz w:val="18"/>
                <w:szCs w:val="18"/>
              </w:rPr>
            </w:pPr>
            <w:r w:rsidRPr="00A438A0">
              <w:rPr>
                <w:rFonts w:ascii="Arial" w:hAnsi="Arial" w:cs="Arial"/>
                <w:b/>
                <w:bCs/>
                <w:sz w:val="18"/>
                <w:szCs w:val="18"/>
              </w:rPr>
              <w:t> </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b/>
                <w:bCs/>
                <w:sz w:val="18"/>
                <w:szCs w:val="18"/>
              </w:rPr>
            </w:pPr>
            <w:r w:rsidRPr="00A438A0">
              <w:rPr>
                <w:rFonts w:ascii="Arial" w:hAnsi="Arial" w:cs="Arial"/>
                <w:b/>
                <w:bCs/>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center"/>
              <w:rPr>
                <w:rFonts w:ascii="Arial" w:hAnsi="Arial" w:cs="Arial"/>
                <w:b/>
                <w:bCs/>
                <w:sz w:val="18"/>
                <w:szCs w:val="18"/>
              </w:rPr>
            </w:pPr>
            <w:r w:rsidRPr="00A438A0">
              <w:rPr>
                <w:rFonts w:ascii="Arial" w:hAnsi="Arial" w:cs="Arial"/>
                <w:b/>
                <w:bCs/>
                <w:sz w:val="18"/>
                <w:szCs w:val="18"/>
              </w:rPr>
              <w:t>Specific</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center"/>
              <w:rPr>
                <w:rFonts w:ascii="Arial" w:hAnsi="Arial" w:cs="Arial"/>
                <w:b/>
                <w:bCs/>
                <w:sz w:val="18"/>
                <w:szCs w:val="18"/>
              </w:rPr>
            </w:pPr>
            <w:r w:rsidRPr="00A438A0">
              <w:rPr>
                <w:rFonts w:ascii="Arial" w:hAnsi="Arial" w:cs="Arial"/>
                <w:b/>
                <w:bCs/>
                <w:sz w:val="18"/>
                <w:szCs w:val="18"/>
              </w:rPr>
              <w:t>Subtotal</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center"/>
              <w:rPr>
                <w:rFonts w:ascii="Arial" w:hAnsi="Arial" w:cs="Arial"/>
                <w:b/>
                <w:bCs/>
                <w:sz w:val="18"/>
                <w:szCs w:val="18"/>
              </w:rPr>
            </w:pPr>
            <w:r w:rsidRPr="00A438A0">
              <w:rPr>
                <w:rFonts w:ascii="Arial" w:hAnsi="Arial" w:cs="Arial"/>
                <w:b/>
                <w:bCs/>
                <w:sz w:val="18"/>
                <w:szCs w:val="18"/>
              </w:rPr>
              <w:t>Prorata</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center"/>
              <w:rPr>
                <w:rFonts w:ascii="Arial" w:hAnsi="Arial" w:cs="Arial"/>
                <w:b/>
                <w:bCs/>
                <w:sz w:val="18"/>
                <w:szCs w:val="18"/>
              </w:rPr>
            </w:pPr>
            <w:r w:rsidRPr="00A438A0">
              <w:rPr>
                <w:rFonts w:ascii="Arial" w:hAnsi="Arial" w:cs="Arial"/>
                <w:b/>
                <w:bCs/>
                <w:sz w:val="18"/>
                <w:szCs w:val="18"/>
              </w:rPr>
              <w:t>Capital</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b/>
                <w:bCs/>
                <w:sz w:val="18"/>
                <w:szCs w:val="18"/>
              </w:rPr>
            </w:pPr>
            <w:r w:rsidRPr="00A438A0">
              <w:rPr>
                <w:rFonts w:ascii="Arial" w:hAnsi="Arial" w:cs="Arial"/>
                <w:b/>
                <w:bCs/>
                <w:sz w:val="18"/>
                <w:szCs w:val="18"/>
              </w:rPr>
              <w:t> </w:t>
            </w:r>
          </w:p>
        </w:tc>
        <w:tc>
          <w:tcPr>
            <w:tcW w:w="308"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b/>
                <w:bCs/>
                <w:sz w:val="18"/>
                <w:szCs w:val="18"/>
              </w:rPr>
            </w:pPr>
            <w:r w:rsidRPr="00A438A0">
              <w:rPr>
                <w:rFonts w:ascii="Arial" w:hAnsi="Arial" w:cs="Arial"/>
                <w:b/>
                <w:bCs/>
                <w:sz w:val="18"/>
                <w:szCs w:val="18"/>
              </w:rPr>
              <w:t> </w:t>
            </w: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b/>
                <w:bCs/>
                <w:sz w:val="18"/>
                <w:szCs w:val="18"/>
              </w:rPr>
            </w:pPr>
            <w:r w:rsidRPr="00A438A0">
              <w:rPr>
                <w:rFonts w:ascii="Arial" w:hAnsi="Arial" w:cs="Arial"/>
                <w:b/>
                <w:bCs/>
                <w:sz w:val="18"/>
                <w:szCs w:val="18"/>
              </w:rPr>
              <w:t> </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b/>
                <w:bCs/>
                <w:sz w:val="18"/>
                <w:szCs w:val="18"/>
              </w:rPr>
            </w:pPr>
            <w:r w:rsidRPr="00A438A0">
              <w:rPr>
                <w:rFonts w:ascii="Arial" w:hAnsi="Arial" w:cs="Arial"/>
                <w:b/>
                <w:bCs/>
                <w:sz w:val="18"/>
                <w:szCs w:val="18"/>
              </w:rPr>
              <w:t> </w:t>
            </w:r>
          </w:p>
        </w:tc>
      </w:tr>
      <w:tr w:rsidR="006F1BCD" w:rsidRPr="00A438A0" w:rsidTr="006F1BCD">
        <w:trPr>
          <w:trHeight w:val="300"/>
        </w:trPr>
        <w:tc>
          <w:tcPr>
            <w:tcW w:w="193" w:type="pct"/>
            <w:tcBorders>
              <w:top w:val="nil"/>
              <w:left w:val="single" w:sz="8" w:space="0" w:color="auto"/>
              <w:bottom w:val="nil"/>
              <w:right w:val="nil"/>
            </w:tcBorders>
            <w:shd w:val="clear" w:color="000000" w:fill="FFFFFF"/>
            <w:noWrap/>
            <w:vAlign w:val="bottom"/>
            <w:hideMark/>
          </w:tcPr>
          <w:p w:rsidR="006F1BCD" w:rsidRPr="00A438A0" w:rsidRDefault="006F1BCD" w:rsidP="006F1BCD">
            <w:pPr>
              <w:rPr>
                <w:rFonts w:ascii="Arial" w:hAnsi="Arial" w:cs="Arial"/>
                <w:b/>
                <w:bCs/>
                <w:sz w:val="18"/>
                <w:szCs w:val="18"/>
              </w:rPr>
            </w:pPr>
            <w:r w:rsidRPr="00A438A0">
              <w:rPr>
                <w:rFonts w:ascii="Arial" w:hAnsi="Arial" w:cs="Arial"/>
                <w:b/>
                <w:bCs/>
                <w:sz w:val="18"/>
                <w:szCs w:val="18"/>
              </w:rPr>
              <w:t> </w:t>
            </w:r>
          </w:p>
        </w:tc>
        <w:tc>
          <w:tcPr>
            <w:tcW w:w="1185"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b/>
                <w:bCs/>
                <w:sz w:val="18"/>
                <w:szCs w:val="18"/>
              </w:rPr>
            </w:pPr>
            <w:r w:rsidRPr="00A438A0">
              <w:rPr>
                <w:rFonts w:ascii="Arial" w:hAnsi="Arial" w:cs="Arial"/>
                <w:b/>
                <w:bCs/>
                <w:sz w:val="18"/>
                <w:szCs w:val="18"/>
              </w:rPr>
              <w:t> </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jc w:val="center"/>
              <w:rPr>
                <w:rFonts w:ascii="Arial" w:hAnsi="Arial" w:cs="Arial"/>
                <w:b/>
                <w:bCs/>
                <w:sz w:val="18"/>
                <w:szCs w:val="18"/>
              </w:rPr>
            </w:pPr>
            <w:r w:rsidRPr="00A438A0">
              <w:rPr>
                <w:rFonts w:ascii="Arial" w:hAnsi="Arial" w:cs="Arial"/>
                <w:b/>
                <w:bCs/>
                <w:sz w:val="18"/>
                <w:szCs w:val="18"/>
              </w:rPr>
              <w:t>Total</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center"/>
              <w:rPr>
                <w:rFonts w:ascii="Arial" w:hAnsi="Arial" w:cs="Arial"/>
                <w:b/>
                <w:bCs/>
                <w:sz w:val="18"/>
                <w:szCs w:val="18"/>
              </w:rPr>
            </w:pPr>
            <w:r w:rsidRPr="00A438A0">
              <w:rPr>
                <w:rFonts w:ascii="Arial" w:hAnsi="Arial" w:cs="Arial"/>
                <w:b/>
                <w:bCs/>
                <w:sz w:val="18"/>
                <w:szCs w:val="18"/>
              </w:rPr>
              <w:t>Adjust-</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center"/>
              <w:rPr>
                <w:rFonts w:ascii="Arial" w:hAnsi="Arial" w:cs="Arial"/>
                <w:b/>
                <w:bCs/>
                <w:sz w:val="18"/>
                <w:szCs w:val="18"/>
              </w:rPr>
            </w:pPr>
            <w:r w:rsidRPr="00A438A0">
              <w:rPr>
                <w:rFonts w:ascii="Arial" w:hAnsi="Arial" w:cs="Arial"/>
                <w:b/>
                <w:bCs/>
                <w:sz w:val="18"/>
                <w:szCs w:val="18"/>
              </w:rPr>
              <w:t>Adjusted</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center"/>
              <w:rPr>
                <w:rFonts w:ascii="Arial" w:hAnsi="Arial" w:cs="Arial"/>
                <w:b/>
                <w:bCs/>
                <w:sz w:val="18"/>
                <w:szCs w:val="18"/>
              </w:rPr>
            </w:pPr>
            <w:r w:rsidRPr="00A438A0">
              <w:rPr>
                <w:rFonts w:ascii="Arial" w:hAnsi="Arial" w:cs="Arial"/>
                <w:b/>
                <w:bCs/>
                <w:sz w:val="18"/>
                <w:szCs w:val="18"/>
              </w:rPr>
              <w:t>Adjust-</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center"/>
              <w:rPr>
                <w:rFonts w:ascii="Arial" w:hAnsi="Arial" w:cs="Arial"/>
                <w:b/>
                <w:bCs/>
                <w:sz w:val="18"/>
                <w:szCs w:val="18"/>
              </w:rPr>
            </w:pPr>
            <w:r w:rsidRPr="00A438A0">
              <w:rPr>
                <w:rFonts w:ascii="Arial" w:hAnsi="Arial" w:cs="Arial"/>
                <w:b/>
                <w:bCs/>
                <w:sz w:val="18"/>
                <w:szCs w:val="18"/>
              </w:rPr>
              <w:t>Reconciled</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b/>
                <w:bCs/>
                <w:sz w:val="18"/>
                <w:szCs w:val="18"/>
              </w:rPr>
            </w:pPr>
            <w:r w:rsidRPr="00A438A0">
              <w:rPr>
                <w:rFonts w:ascii="Arial" w:hAnsi="Arial" w:cs="Arial"/>
                <w:b/>
                <w:bCs/>
                <w:sz w:val="18"/>
                <w:szCs w:val="18"/>
              </w:rPr>
              <w:t> </w:t>
            </w:r>
          </w:p>
        </w:tc>
        <w:tc>
          <w:tcPr>
            <w:tcW w:w="308" w:type="pct"/>
            <w:tcBorders>
              <w:top w:val="nil"/>
              <w:left w:val="nil"/>
              <w:bottom w:val="nil"/>
              <w:right w:val="nil"/>
            </w:tcBorders>
            <w:shd w:val="clear" w:color="000000" w:fill="FFFFFF"/>
            <w:noWrap/>
            <w:vAlign w:val="bottom"/>
            <w:hideMark/>
          </w:tcPr>
          <w:p w:rsidR="006F1BCD" w:rsidRPr="00A438A0" w:rsidRDefault="006F1BCD" w:rsidP="006F1BCD">
            <w:pPr>
              <w:jc w:val="center"/>
              <w:rPr>
                <w:rFonts w:ascii="Arial" w:hAnsi="Arial" w:cs="Arial"/>
                <w:b/>
                <w:bCs/>
                <w:sz w:val="18"/>
                <w:szCs w:val="18"/>
              </w:rPr>
            </w:pPr>
            <w:r w:rsidRPr="00A438A0">
              <w:rPr>
                <w:rFonts w:ascii="Arial" w:hAnsi="Arial" w:cs="Arial"/>
                <w:b/>
                <w:bCs/>
                <w:sz w:val="18"/>
                <w:szCs w:val="18"/>
              </w:rPr>
              <w:t>Cost</w:t>
            </w: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jc w:val="center"/>
              <w:rPr>
                <w:rFonts w:ascii="Arial" w:hAnsi="Arial" w:cs="Arial"/>
                <w:b/>
                <w:bCs/>
                <w:sz w:val="18"/>
                <w:szCs w:val="18"/>
              </w:rPr>
            </w:pPr>
            <w:r w:rsidRPr="00A438A0">
              <w:rPr>
                <w:rFonts w:ascii="Arial" w:hAnsi="Arial" w:cs="Arial"/>
                <w:b/>
                <w:bCs/>
                <w:sz w:val="18"/>
                <w:szCs w:val="18"/>
              </w:rPr>
              <w:t>Weighted</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b/>
                <w:bCs/>
                <w:sz w:val="18"/>
                <w:szCs w:val="18"/>
              </w:rPr>
            </w:pPr>
            <w:r w:rsidRPr="00A438A0">
              <w:rPr>
                <w:rFonts w:ascii="Arial" w:hAnsi="Arial" w:cs="Arial"/>
                <w:b/>
                <w:bCs/>
                <w:sz w:val="18"/>
                <w:szCs w:val="18"/>
              </w:rPr>
              <w:t> </w:t>
            </w:r>
          </w:p>
        </w:tc>
      </w:tr>
      <w:tr w:rsidR="006F1BCD" w:rsidRPr="00A438A0" w:rsidTr="006F1BCD">
        <w:trPr>
          <w:trHeight w:val="300"/>
        </w:trPr>
        <w:tc>
          <w:tcPr>
            <w:tcW w:w="193" w:type="pct"/>
            <w:tcBorders>
              <w:top w:val="nil"/>
              <w:left w:val="single" w:sz="8" w:space="0" w:color="auto"/>
              <w:bottom w:val="single" w:sz="8" w:space="0" w:color="auto"/>
              <w:right w:val="nil"/>
            </w:tcBorders>
            <w:shd w:val="clear" w:color="000000" w:fill="FFFFFF"/>
            <w:noWrap/>
            <w:vAlign w:val="bottom"/>
            <w:hideMark/>
          </w:tcPr>
          <w:p w:rsidR="006F1BCD" w:rsidRPr="00A438A0" w:rsidRDefault="006F1BCD" w:rsidP="006F1BCD">
            <w:pPr>
              <w:rPr>
                <w:rFonts w:ascii="Arial" w:hAnsi="Arial" w:cs="Arial"/>
                <w:b/>
                <w:bCs/>
                <w:sz w:val="18"/>
                <w:szCs w:val="18"/>
              </w:rPr>
            </w:pPr>
            <w:r w:rsidRPr="00A438A0">
              <w:rPr>
                <w:rFonts w:ascii="Arial" w:hAnsi="Arial" w:cs="Arial"/>
                <w:b/>
                <w:bCs/>
                <w:sz w:val="18"/>
                <w:szCs w:val="18"/>
              </w:rPr>
              <w:t> </w:t>
            </w:r>
          </w:p>
        </w:tc>
        <w:tc>
          <w:tcPr>
            <w:tcW w:w="1185" w:type="pct"/>
            <w:tcBorders>
              <w:top w:val="nil"/>
              <w:left w:val="nil"/>
              <w:bottom w:val="single" w:sz="8" w:space="0" w:color="auto"/>
              <w:right w:val="nil"/>
            </w:tcBorders>
            <w:shd w:val="clear" w:color="000000" w:fill="FFFFFF"/>
            <w:noWrap/>
            <w:vAlign w:val="bottom"/>
            <w:hideMark/>
          </w:tcPr>
          <w:p w:rsidR="006F1BCD" w:rsidRPr="00A438A0" w:rsidRDefault="006F1BCD" w:rsidP="006F1BCD">
            <w:pPr>
              <w:jc w:val="center"/>
              <w:rPr>
                <w:rFonts w:ascii="Arial" w:hAnsi="Arial" w:cs="Arial"/>
                <w:b/>
                <w:bCs/>
                <w:sz w:val="18"/>
                <w:szCs w:val="18"/>
              </w:rPr>
            </w:pPr>
            <w:r w:rsidRPr="00A438A0">
              <w:rPr>
                <w:rFonts w:ascii="Arial" w:hAnsi="Arial" w:cs="Arial"/>
                <w:b/>
                <w:bCs/>
                <w:sz w:val="18"/>
                <w:szCs w:val="18"/>
              </w:rPr>
              <w:t>Description</w:t>
            </w:r>
          </w:p>
        </w:tc>
        <w:tc>
          <w:tcPr>
            <w:tcW w:w="702" w:type="pct"/>
            <w:tcBorders>
              <w:top w:val="nil"/>
              <w:left w:val="nil"/>
              <w:bottom w:val="single" w:sz="8" w:space="0" w:color="auto"/>
              <w:right w:val="nil"/>
            </w:tcBorders>
            <w:shd w:val="clear" w:color="000000" w:fill="FFFFFF"/>
            <w:noWrap/>
            <w:vAlign w:val="bottom"/>
            <w:hideMark/>
          </w:tcPr>
          <w:p w:rsidR="006F1BCD" w:rsidRPr="00A438A0" w:rsidRDefault="006F1BCD" w:rsidP="006F1BCD">
            <w:pPr>
              <w:jc w:val="center"/>
              <w:rPr>
                <w:rFonts w:ascii="Arial" w:hAnsi="Arial" w:cs="Arial"/>
                <w:b/>
                <w:bCs/>
                <w:sz w:val="18"/>
                <w:szCs w:val="18"/>
              </w:rPr>
            </w:pPr>
            <w:r w:rsidRPr="00A438A0">
              <w:rPr>
                <w:rFonts w:ascii="Arial" w:hAnsi="Arial" w:cs="Arial"/>
                <w:b/>
                <w:bCs/>
                <w:sz w:val="18"/>
                <w:szCs w:val="18"/>
              </w:rPr>
              <w:t>Capital</w:t>
            </w:r>
          </w:p>
        </w:tc>
        <w:tc>
          <w:tcPr>
            <w:tcW w:w="440" w:type="pct"/>
            <w:tcBorders>
              <w:top w:val="nil"/>
              <w:left w:val="nil"/>
              <w:bottom w:val="single" w:sz="8" w:space="0" w:color="auto"/>
              <w:right w:val="nil"/>
            </w:tcBorders>
            <w:shd w:val="clear" w:color="000000" w:fill="FFFFFF"/>
            <w:noWrap/>
            <w:vAlign w:val="bottom"/>
            <w:hideMark/>
          </w:tcPr>
          <w:p w:rsidR="006F1BCD" w:rsidRPr="00A438A0" w:rsidRDefault="006F1BCD" w:rsidP="006F1BCD">
            <w:pPr>
              <w:jc w:val="center"/>
              <w:rPr>
                <w:rFonts w:ascii="Arial" w:hAnsi="Arial" w:cs="Arial"/>
                <w:b/>
                <w:bCs/>
                <w:sz w:val="18"/>
                <w:szCs w:val="18"/>
              </w:rPr>
            </w:pPr>
            <w:r w:rsidRPr="00A438A0">
              <w:rPr>
                <w:rFonts w:ascii="Arial" w:hAnsi="Arial" w:cs="Arial"/>
                <w:b/>
                <w:bCs/>
                <w:sz w:val="18"/>
                <w:szCs w:val="18"/>
              </w:rPr>
              <w:t>ments</w:t>
            </w:r>
          </w:p>
        </w:tc>
        <w:tc>
          <w:tcPr>
            <w:tcW w:w="440" w:type="pct"/>
            <w:tcBorders>
              <w:top w:val="nil"/>
              <w:left w:val="nil"/>
              <w:bottom w:val="single" w:sz="8" w:space="0" w:color="auto"/>
              <w:right w:val="nil"/>
            </w:tcBorders>
            <w:shd w:val="clear" w:color="000000" w:fill="FFFFFF"/>
            <w:noWrap/>
            <w:vAlign w:val="bottom"/>
            <w:hideMark/>
          </w:tcPr>
          <w:p w:rsidR="006F1BCD" w:rsidRPr="00A438A0" w:rsidRDefault="006F1BCD" w:rsidP="006F1BCD">
            <w:pPr>
              <w:jc w:val="center"/>
              <w:rPr>
                <w:rFonts w:ascii="Arial" w:hAnsi="Arial" w:cs="Arial"/>
                <w:b/>
                <w:bCs/>
                <w:sz w:val="18"/>
                <w:szCs w:val="18"/>
              </w:rPr>
            </w:pPr>
            <w:r w:rsidRPr="00A438A0">
              <w:rPr>
                <w:rFonts w:ascii="Arial" w:hAnsi="Arial" w:cs="Arial"/>
                <w:b/>
                <w:bCs/>
                <w:sz w:val="18"/>
                <w:szCs w:val="18"/>
              </w:rPr>
              <w:t>Capital</w:t>
            </w:r>
          </w:p>
        </w:tc>
        <w:tc>
          <w:tcPr>
            <w:tcW w:w="440" w:type="pct"/>
            <w:tcBorders>
              <w:top w:val="nil"/>
              <w:left w:val="nil"/>
              <w:bottom w:val="single" w:sz="8" w:space="0" w:color="auto"/>
              <w:right w:val="nil"/>
            </w:tcBorders>
            <w:shd w:val="clear" w:color="000000" w:fill="FFFFFF"/>
            <w:noWrap/>
            <w:vAlign w:val="bottom"/>
            <w:hideMark/>
          </w:tcPr>
          <w:p w:rsidR="006F1BCD" w:rsidRPr="00A438A0" w:rsidRDefault="006F1BCD" w:rsidP="006F1BCD">
            <w:pPr>
              <w:jc w:val="center"/>
              <w:rPr>
                <w:rFonts w:ascii="Arial" w:hAnsi="Arial" w:cs="Arial"/>
                <w:b/>
                <w:bCs/>
                <w:sz w:val="18"/>
                <w:szCs w:val="18"/>
              </w:rPr>
            </w:pPr>
            <w:r w:rsidRPr="00A438A0">
              <w:rPr>
                <w:rFonts w:ascii="Arial" w:hAnsi="Arial" w:cs="Arial"/>
                <w:b/>
                <w:bCs/>
                <w:sz w:val="18"/>
                <w:szCs w:val="18"/>
              </w:rPr>
              <w:t>ments</w:t>
            </w:r>
          </w:p>
        </w:tc>
        <w:tc>
          <w:tcPr>
            <w:tcW w:w="440" w:type="pct"/>
            <w:tcBorders>
              <w:top w:val="nil"/>
              <w:left w:val="nil"/>
              <w:bottom w:val="single" w:sz="8" w:space="0" w:color="auto"/>
              <w:right w:val="nil"/>
            </w:tcBorders>
            <w:shd w:val="clear" w:color="000000" w:fill="FFFFFF"/>
            <w:noWrap/>
            <w:vAlign w:val="bottom"/>
            <w:hideMark/>
          </w:tcPr>
          <w:p w:rsidR="006F1BCD" w:rsidRPr="00A438A0" w:rsidRDefault="006F1BCD" w:rsidP="006F1BCD">
            <w:pPr>
              <w:jc w:val="center"/>
              <w:rPr>
                <w:rFonts w:ascii="Arial" w:hAnsi="Arial" w:cs="Arial"/>
                <w:b/>
                <w:bCs/>
                <w:sz w:val="18"/>
                <w:szCs w:val="18"/>
              </w:rPr>
            </w:pPr>
            <w:r w:rsidRPr="00A438A0">
              <w:rPr>
                <w:rFonts w:ascii="Arial" w:hAnsi="Arial" w:cs="Arial"/>
                <w:b/>
                <w:bCs/>
                <w:sz w:val="18"/>
                <w:szCs w:val="18"/>
              </w:rPr>
              <w:t>to Rate Base</w:t>
            </w:r>
          </w:p>
        </w:tc>
        <w:tc>
          <w:tcPr>
            <w:tcW w:w="368" w:type="pct"/>
            <w:tcBorders>
              <w:top w:val="nil"/>
              <w:left w:val="nil"/>
              <w:bottom w:val="single" w:sz="8" w:space="0" w:color="auto"/>
              <w:right w:val="nil"/>
            </w:tcBorders>
            <w:shd w:val="clear" w:color="000000" w:fill="FFFFFF"/>
            <w:noWrap/>
            <w:vAlign w:val="bottom"/>
            <w:hideMark/>
          </w:tcPr>
          <w:p w:rsidR="006F1BCD" w:rsidRPr="00A438A0" w:rsidRDefault="006F1BCD" w:rsidP="006F1BCD">
            <w:pPr>
              <w:jc w:val="center"/>
              <w:rPr>
                <w:rFonts w:ascii="Arial" w:hAnsi="Arial" w:cs="Arial"/>
                <w:b/>
                <w:bCs/>
                <w:sz w:val="18"/>
                <w:szCs w:val="18"/>
              </w:rPr>
            </w:pPr>
            <w:r w:rsidRPr="00A438A0">
              <w:rPr>
                <w:rFonts w:ascii="Arial" w:hAnsi="Arial" w:cs="Arial"/>
                <w:b/>
                <w:bCs/>
                <w:sz w:val="18"/>
                <w:szCs w:val="18"/>
              </w:rPr>
              <w:t>Ratio</w:t>
            </w:r>
          </w:p>
        </w:tc>
        <w:tc>
          <w:tcPr>
            <w:tcW w:w="308" w:type="pct"/>
            <w:tcBorders>
              <w:top w:val="nil"/>
              <w:left w:val="nil"/>
              <w:bottom w:val="single" w:sz="8" w:space="0" w:color="auto"/>
              <w:right w:val="nil"/>
            </w:tcBorders>
            <w:shd w:val="clear" w:color="000000" w:fill="FFFFFF"/>
            <w:noWrap/>
            <w:vAlign w:val="bottom"/>
            <w:hideMark/>
          </w:tcPr>
          <w:p w:rsidR="006F1BCD" w:rsidRPr="00A438A0" w:rsidRDefault="006F1BCD" w:rsidP="006F1BCD">
            <w:pPr>
              <w:jc w:val="center"/>
              <w:rPr>
                <w:rFonts w:ascii="Arial" w:hAnsi="Arial" w:cs="Arial"/>
                <w:b/>
                <w:bCs/>
                <w:sz w:val="18"/>
                <w:szCs w:val="18"/>
              </w:rPr>
            </w:pPr>
            <w:r w:rsidRPr="00A438A0">
              <w:rPr>
                <w:rFonts w:ascii="Arial" w:hAnsi="Arial" w:cs="Arial"/>
                <w:b/>
                <w:bCs/>
                <w:sz w:val="18"/>
                <w:szCs w:val="18"/>
              </w:rPr>
              <w:t>Rate</w:t>
            </w:r>
          </w:p>
        </w:tc>
        <w:tc>
          <w:tcPr>
            <w:tcW w:w="404" w:type="pct"/>
            <w:tcBorders>
              <w:top w:val="nil"/>
              <w:left w:val="nil"/>
              <w:bottom w:val="single" w:sz="8" w:space="0" w:color="auto"/>
              <w:right w:val="nil"/>
            </w:tcBorders>
            <w:shd w:val="clear" w:color="000000" w:fill="FFFFFF"/>
            <w:noWrap/>
            <w:vAlign w:val="bottom"/>
            <w:hideMark/>
          </w:tcPr>
          <w:p w:rsidR="006F1BCD" w:rsidRPr="00A438A0" w:rsidRDefault="006F1BCD" w:rsidP="006F1BCD">
            <w:pPr>
              <w:jc w:val="center"/>
              <w:rPr>
                <w:rFonts w:ascii="Arial" w:hAnsi="Arial" w:cs="Arial"/>
                <w:b/>
                <w:bCs/>
                <w:sz w:val="18"/>
                <w:szCs w:val="18"/>
              </w:rPr>
            </w:pPr>
            <w:r w:rsidRPr="00A438A0">
              <w:rPr>
                <w:rFonts w:ascii="Arial" w:hAnsi="Arial" w:cs="Arial"/>
                <w:b/>
                <w:bCs/>
                <w:sz w:val="18"/>
                <w:szCs w:val="18"/>
              </w:rPr>
              <w:t>Cost</w:t>
            </w:r>
          </w:p>
        </w:tc>
        <w:tc>
          <w:tcPr>
            <w:tcW w:w="80" w:type="pct"/>
            <w:tcBorders>
              <w:top w:val="nil"/>
              <w:left w:val="nil"/>
              <w:bottom w:val="single" w:sz="8" w:space="0" w:color="auto"/>
              <w:right w:val="single" w:sz="8" w:space="0" w:color="auto"/>
            </w:tcBorders>
            <w:shd w:val="clear" w:color="000000" w:fill="FFFFFF"/>
            <w:noWrap/>
            <w:vAlign w:val="bottom"/>
            <w:hideMark/>
          </w:tcPr>
          <w:p w:rsidR="006F1BCD" w:rsidRPr="00A438A0" w:rsidRDefault="006F1BCD" w:rsidP="006F1BCD">
            <w:pPr>
              <w:jc w:val="center"/>
              <w:rPr>
                <w:rFonts w:ascii="Arial" w:hAnsi="Arial" w:cs="Arial"/>
                <w:b/>
                <w:bCs/>
                <w:sz w:val="18"/>
                <w:szCs w:val="18"/>
              </w:rPr>
            </w:pPr>
            <w:r w:rsidRPr="00A438A0">
              <w:rPr>
                <w:rFonts w:ascii="Arial" w:hAnsi="Arial" w:cs="Arial"/>
                <w:b/>
                <w:bCs/>
                <w:sz w:val="18"/>
                <w:szCs w:val="18"/>
              </w:rPr>
              <w:t> </w:t>
            </w:r>
          </w:p>
        </w:tc>
      </w:tr>
      <w:tr w:rsidR="006F1BCD" w:rsidRPr="00A438A0" w:rsidTr="006F1BCD">
        <w:trPr>
          <w:trHeight w:val="300"/>
        </w:trPr>
        <w:tc>
          <w:tcPr>
            <w:tcW w:w="1378" w:type="pct"/>
            <w:gridSpan w:val="2"/>
            <w:tcBorders>
              <w:top w:val="single" w:sz="8" w:space="0" w:color="auto"/>
              <w:left w:val="single" w:sz="8" w:space="0" w:color="auto"/>
              <w:bottom w:val="nil"/>
              <w:right w:val="nil"/>
            </w:tcBorders>
            <w:shd w:val="clear" w:color="000000" w:fill="FFFFFF"/>
            <w:noWrap/>
            <w:vAlign w:val="bottom"/>
            <w:hideMark/>
          </w:tcPr>
          <w:p w:rsidR="006F1BCD" w:rsidRPr="00A438A0" w:rsidRDefault="006F1BCD" w:rsidP="006F1BCD">
            <w:pPr>
              <w:rPr>
                <w:rFonts w:ascii="Arial" w:hAnsi="Arial" w:cs="Arial"/>
                <w:b/>
                <w:bCs/>
                <w:sz w:val="18"/>
                <w:szCs w:val="18"/>
              </w:rPr>
            </w:pPr>
            <w:r w:rsidRPr="00A438A0">
              <w:rPr>
                <w:rFonts w:ascii="Arial" w:hAnsi="Arial" w:cs="Arial"/>
                <w:b/>
                <w:bCs/>
                <w:sz w:val="18"/>
                <w:szCs w:val="18"/>
              </w:rPr>
              <w:t>Per Utility</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308"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r w:rsidR="006F1BCD" w:rsidRPr="00A438A0" w:rsidTr="006F1BCD">
        <w:trPr>
          <w:trHeight w:val="300"/>
        </w:trPr>
        <w:tc>
          <w:tcPr>
            <w:tcW w:w="193"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rFonts w:ascii="Arial" w:hAnsi="Arial" w:cs="Arial"/>
                <w:sz w:val="18"/>
                <w:szCs w:val="18"/>
              </w:rPr>
            </w:pPr>
            <w:r w:rsidRPr="00A438A0">
              <w:rPr>
                <w:rFonts w:ascii="Arial" w:hAnsi="Arial" w:cs="Arial"/>
                <w:sz w:val="18"/>
                <w:szCs w:val="18"/>
              </w:rPr>
              <w:t>1</w:t>
            </w:r>
          </w:p>
        </w:tc>
        <w:tc>
          <w:tcPr>
            <w:tcW w:w="1185"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Long-term Debt</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$180,000,000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$180,000,000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($177,683,994)</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$2,316,006 </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49.06%</w:t>
            </w:r>
          </w:p>
        </w:tc>
        <w:tc>
          <w:tcPr>
            <w:tcW w:w="30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6.64%</w:t>
            </w: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3.26%</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r w:rsidR="006F1BCD" w:rsidRPr="00A438A0" w:rsidTr="006F1BCD">
        <w:trPr>
          <w:trHeight w:val="300"/>
        </w:trPr>
        <w:tc>
          <w:tcPr>
            <w:tcW w:w="193"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rFonts w:ascii="Arial" w:hAnsi="Arial" w:cs="Arial"/>
                <w:sz w:val="18"/>
                <w:szCs w:val="18"/>
              </w:rPr>
            </w:pPr>
            <w:r w:rsidRPr="00A438A0">
              <w:rPr>
                <w:rFonts w:ascii="Arial" w:hAnsi="Arial" w:cs="Arial"/>
                <w:sz w:val="18"/>
                <w:szCs w:val="18"/>
              </w:rPr>
              <w:t>2</w:t>
            </w:r>
          </w:p>
        </w:tc>
        <w:tc>
          <w:tcPr>
            <w:tcW w:w="1185"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Short-term Debt</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$4,000,000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$4,000,000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($3,948,533)</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$51,467 </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1.09%</w:t>
            </w:r>
          </w:p>
        </w:tc>
        <w:tc>
          <w:tcPr>
            <w:tcW w:w="30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7.77%</w:t>
            </w: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0.08%</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r w:rsidR="006F1BCD" w:rsidRPr="00A438A0" w:rsidTr="006F1BCD">
        <w:trPr>
          <w:trHeight w:val="300"/>
        </w:trPr>
        <w:tc>
          <w:tcPr>
            <w:tcW w:w="193"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rFonts w:ascii="Arial" w:hAnsi="Arial" w:cs="Arial"/>
                <w:sz w:val="18"/>
                <w:szCs w:val="18"/>
              </w:rPr>
            </w:pPr>
            <w:r w:rsidRPr="00A438A0">
              <w:rPr>
                <w:rFonts w:ascii="Arial" w:hAnsi="Arial" w:cs="Arial"/>
                <w:sz w:val="18"/>
                <w:szCs w:val="18"/>
              </w:rPr>
              <w:t>3</w:t>
            </w:r>
          </w:p>
        </w:tc>
        <w:tc>
          <w:tcPr>
            <w:tcW w:w="1185"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Preferred Stock</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$0 </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0.00%</w:t>
            </w:r>
          </w:p>
        </w:tc>
        <w:tc>
          <w:tcPr>
            <w:tcW w:w="30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0.00%</w:t>
            </w: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0.00%</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r w:rsidR="006F1BCD" w:rsidRPr="00A438A0" w:rsidTr="006F1BCD">
        <w:trPr>
          <w:trHeight w:val="300"/>
        </w:trPr>
        <w:tc>
          <w:tcPr>
            <w:tcW w:w="193"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rFonts w:ascii="Arial" w:hAnsi="Arial" w:cs="Arial"/>
                <w:sz w:val="18"/>
                <w:szCs w:val="18"/>
              </w:rPr>
            </w:pPr>
            <w:r w:rsidRPr="00A438A0">
              <w:rPr>
                <w:rFonts w:ascii="Arial" w:hAnsi="Arial" w:cs="Arial"/>
                <w:sz w:val="18"/>
                <w:szCs w:val="18"/>
              </w:rPr>
              <w:t>4</w:t>
            </w:r>
          </w:p>
        </w:tc>
        <w:tc>
          <w:tcPr>
            <w:tcW w:w="1185"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Common Equity</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$182,354,550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$182,354,550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($180,008,249)</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$2,346,301 </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49.70%</w:t>
            </w:r>
          </w:p>
        </w:tc>
        <w:tc>
          <w:tcPr>
            <w:tcW w:w="30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10.37%</w:t>
            </w: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5.15%</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r w:rsidR="006F1BCD" w:rsidRPr="00A438A0" w:rsidTr="006F1BCD">
        <w:trPr>
          <w:trHeight w:val="300"/>
        </w:trPr>
        <w:tc>
          <w:tcPr>
            <w:tcW w:w="193"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rFonts w:ascii="Arial" w:hAnsi="Arial" w:cs="Arial"/>
                <w:sz w:val="18"/>
                <w:szCs w:val="18"/>
              </w:rPr>
            </w:pPr>
            <w:r w:rsidRPr="00A438A0">
              <w:rPr>
                <w:rFonts w:ascii="Arial" w:hAnsi="Arial" w:cs="Arial"/>
                <w:sz w:val="18"/>
                <w:szCs w:val="18"/>
              </w:rPr>
              <w:t>5</w:t>
            </w:r>
          </w:p>
        </w:tc>
        <w:tc>
          <w:tcPr>
            <w:tcW w:w="1185"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Customer Deposits</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$6,591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$6,591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$6,591 </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0.14%</w:t>
            </w:r>
          </w:p>
        </w:tc>
        <w:tc>
          <w:tcPr>
            <w:tcW w:w="30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2.00%</w:t>
            </w: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0.00%</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r w:rsidR="006F1BCD" w:rsidRPr="00A438A0" w:rsidTr="006F1BCD">
        <w:trPr>
          <w:trHeight w:val="300"/>
        </w:trPr>
        <w:tc>
          <w:tcPr>
            <w:tcW w:w="193"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rFonts w:ascii="Arial" w:hAnsi="Arial" w:cs="Arial"/>
                <w:sz w:val="18"/>
                <w:szCs w:val="18"/>
              </w:rPr>
            </w:pPr>
            <w:r w:rsidRPr="00A438A0">
              <w:rPr>
                <w:rFonts w:ascii="Arial" w:hAnsi="Arial" w:cs="Arial"/>
                <w:sz w:val="18"/>
                <w:szCs w:val="18"/>
              </w:rPr>
              <w:t>6</w:t>
            </w:r>
          </w:p>
        </w:tc>
        <w:tc>
          <w:tcPr>
            <w:tcW w:w="1185"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Deferred Income Taxes</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single"/>
              </w:rPr>
            </w:pPr>
            <w:r w:rsidRPr="00A438A0">
              <w:rPr>
                <w:rFonts w:ascii="Arial" w:hAnsi="Arial" w:cs="Arial"/>
                <w:sz w:val="18"/>
                <w:szCs w:val="18"/>
                <w:u w:val="single"/>
              </w:rPr>
              <w:t xml:space="preserve">$0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single"/>
              </w:rPr>
            </w:pPr>
            <w:r w:rsidRPr="00A438A0">
              <w:rPr>
                <w:rFonts w:ascii="Arial" w:hAnsi="Arial" w:cs="Arial"/>
                <w:sz w:val="18"/>
                <w:szCs w:val="18"/>
                <w:u w:val="single"/>
              </w:rPr>
              <w:t xml:space="preserve">$852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single"/>
              </w:rPr>
            </w:pPr>
            <w:r w:rsidRPr="00A438A0">
              <w:rPr>
                <w:rFonts w:ascii="Arial" w:hAnsi="Arial" w:cs="Arial"/>
                <w:sz w:val="18"/>
                <w:szCs w:val="18"/>
                <w:u w:val="single"/>
              </w:rPr>
              <w:t xml:space="preserve">$852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single"/>
              </w:rPr>
            </w:pPr>
            <w:r w:rsidRPr="00A438A0">
              <w:rPr>
                <w:rFonts w:ascii="Arial" w:hAnsi="Arial" w:cs="Arial"/>
                <w:sz w:val="18"/>
                <w:szCs w:val="18"/>
                <w:u w:val="single"/>
              </w:rPr>
              <w:t xml:space="preserve">$0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single"/>
              </w:rPr>
            </w:pPr>
            <w:r w:rsidRPr="00A438A0">
              <w:rPr>
                <w:rFonts w:ascii="Arial" w:hAnsi="Arial" w:cs="Arial"/>
                <w:sz w:val="18"/>
                <w:szCs w:val="18"/>
                <w:u w:val="single"/>
              </w:rPr>
              <w:t xml:space="preserve">$852 </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single"/>
              </w:rPr>
            </w:pPr>
            <w:r w:rsidRPr="00A438A0">
              <w:rPr>
                <w:rFonts w:ascii="Arial" w:hAnsi="Arial" w:cs="Arial"/>
                <w:sz w:val="18"/>
                <w:szCs w:val="18"/>
                <w:u w:val="single"/>
              </w:rPr>
              <w:t>0.02%</w:t>
            </w:r>
          </w:p>
        </w:tc>
        <w:tc>
          <w:tcPr>
            <w:tcW w:w="30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single"/>
              </w:rPr>
            </w:pPr>
            <w:r w:rsidRPr="00A438A0">
              <w:rPr>
                <w:rFonts w:ascii="Arial" w:hAnsi="Arial" w:cs="Arial"/>
                <w:sz w:val="18"/>
                <w:szCs w:val="18"/>
                <w:u w:val="single"/>
              </w:rPr>
              <w:t>0.00%</w:t>
            </w: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single"/>
              </w:rPr>
            </w:pPr>
            <w:r w:rsidRPr="00A438A0">
              <w:rPr>
                <w:rFonts w:ascii="Arial" w:hAnsi="Arial" w:cs="Arial"/>
                <w:sz w:val="18"/>
                <w:szCs w:val="18"/>
                <w:u w:val="single"/>
              </w:rPr>
              <w:t>0.00%</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r w:rsidR="006F1BCD" w:rsidRPr="00A438A0" w:rsidTr="006F1BCD">
        <w:trPr>
          <w:trHeight w:val="300"/>
        </w:trPr>
        <w:tc>
          <w:tcPr>
            <w:tcW w:w="193"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rFonts w:ascii="Arial" w:hAnsi="Arial" w:cs="Arial"/>
                <w:sz w:val="18"/>
                <w:szCs w:val="18"/>
              </w:rPr>
            </w:pPr>
            <w:r w:rsidRPr="00A438A0">
              <w:rPr>
                <w:rFonts w:ascii="Arial" w:hAnsi="Arial" w:cs="Arial"/>
                <w:sz w:val="18"/>
                <w:szCs w:val="18"/>
              </w:rPr>
              <w:t>7</w:t>
            </w:r>
          </w:p>
        </w:tc>
        <w:tc>
          <w:tcPr>
            <w:tcW w:w="1185"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b/>
                <w:bCs/>
                <w:sz w:val="18"/>
                <w:szCs w:val="18"/>
              </w:rPr>
            </w:pPr>
            <w:r w:rsidRPr="00A438A0">
              <w:rPr>
                <w:rFonts w:ascii="Arial" w:hAnsi="Arial" w:cs="Arial"/>
                <w:b/>
                <w:bCs/>
                <w:sz w:val="18"/>
                <w:szCs w:val="18"/>
              </w:rPr>
              <w:t>Total Capital</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double"/>
              </w:rPr>
            </w:pPr>
            <w:r w:rsidRPr="00A438A0">
              <w:rPr>
                <w:rFonts w:ascii="Arial" w:hAnsi="Arial" w:cs="Arial"/>
                <w:sz w:val="18"/>
                <w:szCs w:val="18"/>
                <w:u w:val="double"/>
              </w:rPr>
              <w:t xml:space="preserve">$366,361,141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double"/>
              </w:rPr>
            </w:pPr>
            <w:r w:rsidRPr="00A438A0">
              <w:rPr>
                <w:rFonts w:ascii="Arial" w:hAnsi="Arial" w:cs="Arial"/>
                <w:sz w:val="18"/>
                <w:szCs w:val="18"/>
                <w:u w:val="double"/>
              </w:rPr>
              <w:t xml:space="preserve">$852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double"/>
              </w:rPr>
            </w:pPr>
            <w:r w:rsidRPr="00A438A0">
              <w:rPr>
                <w:rFonts w:ascii="Arial" w:hAnsi="Arial" w:cs="Arial"/>
                <w:sz w:val="18"/>
                <w:szCs w:val="18"/>
                <w:u w:val="double"/>
              </w:rPr>
              <w:t xml:space="preserve">$366,361,993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double"/>
              </w:rPr>
            </w:pPr>
            <w:r w:rsidRPr="00A438A0">
              <w:rPr>
                <w:rFonts w:ascii="Arial" w:hAnsi="Arial" w:cs="Arial"/>
                <w:sz w:val="18"/>
                <w:szCs w:val="18"/>
                <w:u w:val="double"/>
              </w:rPr>
              <w:t>($361,640,776)</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double"/>
              </w:rPr>
            </w:pPr>
            <w:r w:rsidRPr="00A438A0">
              <w:rPr>
                <w:rFonts w:ascii="Arial" w:hAnsi="Arial" w:cs="Arial"/>
                <w:sz w:val="18"/>
                <w:szCs w:val="18"/>
                <w:u w:val="double"/>
              </w:rPr>
              <w:t xml:space="preserve">$4,721,217 </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double"/>
              </w:rPr>
            </w:pPr>
            <w:r w:rsidRPr="00A438A0">
              <w:rPr>
                <w:rFonts w:ascii="Arial" w:hAnsi="Arial" w:cs="Arial"/>
                <w:sz w:val="18"/>
                <w:szCs w:val="18"/>
                <w:u w:val="double"/>
              </w:rPr>
              <w:t>100.00%</w:t>
            </w:r>
          </w:p>
        </w:tc>
        <w:tc>
          <w:tcPr>
            <w:tcW w:w="308"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u w:val="double"/>
              </w:rPr>
            </w:pP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double"/>
              </w:rPr>
            </w:pPr>
            <w:r w:rsidRPr="00A438A0">
              <w:rPr>
                <w:rFonts w:ascii="Arial" w:hAnsi="Arial" w:cs="Arial"/>
                <w:sz w:val="18"/>
                <w:szCs w:val="18"/>
                <w:u w:val="double"/>
              </w:rPr>
              <w:t>8.50%</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r w:rsidR="006F1BCD" w:rsidRPr="00A438A0" w:rsidTr="006F1BCD">
        <w:trPr>
          <w:trHeight w:val="300"/>
        </w:trPr>
        <w:tc>
          <w:tcPr>
            <w:tcW w:w="193" w:type="pct"/>
            <w:tcBorders>
              <w:top w:val="nil"/>
              <w:left w:val="single" w:sz="8" w:space="0" w:color="auto"/>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1185"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308"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r w:rsidR="006F1BCD" w:rsidRPr="00A438A0" w:rsidTr="006F1BCD">
        <w:trPr>
          <w:trHeight w:val="300"/>
        </w:trPr>
        <w:tc>
          <w:tcPr>
            <w:tcW w:w="1378" w:type="pct"/>
            <w:gridSpan w:val="2"/>
            <w:tcBorders>
              <w:top w:val="nil"/>
              <w:left w:val="single" w:sz="8" w:space="0" w:color="auto"/>
              <w:bottom w:val="nil"/>
              <w:right w:val="nil"/>
            </w:tcBorders>
            <w:shd w:val="clear" w:color="000000" w:fill="FFFFFF"/>
            <w:noWrap/>
            <w:vAlign w:val="bottom"/>
            <w:hideMark/>
          </w:tcPr>
          <w:p w:rsidR="006F1BCD" w:rsidRPr="00A438A0" w:rsidRDefault="006F1BCD" w:rsidP="006F1BCD">
            <w:pPr>
              <w:rPr>
                <w:rFonts w:ascii="Arial" w:hAnsi="Arial" w:cs="Arial"/>
                <w:b/>
                <w:bCs/>
                <w:sz w:val="18"/>
                <w:szCs w:val="18"/>
              </w:rPr>
            </w:pPr>
            <w:r w:rsidRPr="00A438A0">
              <w:rPr>
                <w:rFonts w:ascii="Arial" w:hAnsi="Arial" w:cs="Arial"/>
                <w:b/>
                <w:bCs/>
                <w:sz w:val="18"/>
                <w:szCs w:val="18"/>
              </w:rPr>
              <w:t>Per Staff</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308"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r w:rsidR="006F1BCD" w:rsidRPr="00A438A0" w:rsidTr="006F1BCD">
        <w:trPr>
          <w:trHeight w:val="300"/>
        </w:trPr>
        <w:tc>
          <w:tcPr>
            <w:tcW w:w="193"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rFonts w:ascii="Arial" w:hAnsi="Arial" w:cs="Arial"/>
                <w:sz w:val="18"/>
                <w:szCs w:val="18"/>
              </w:rPr>
            </w:pPr>
            <w:r w:rsidRPr="00A438A0">
              <w:rPr>
                <w:rFonts w:ascii="Arial" w:hAnsi="Arial" w:cs="Arial"/>
                <w:sz w:val="18"/>
                <w:szCs w:val="18"/>
              </w:rPr>
              <w:t>8</w:t>
            </w:r>
          </w:p>
        </w:tc>
        <w:tc>
          <w:tcPr>
            <w:tcW w:w="1185"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Long-term Debt</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$180,000,000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$180,000,000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($178,359,034)</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$1,640,966 </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46.08%</w:t>
            </w:r>
          </w:p>
        </w:tc>
        <w:tc>
          <w:tcPr>
            <w:tcW w:w="30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6.64%</w:t>
            </w: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3.06%</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r w:rsidR="006F1BCD" w:rsidRPr="00A438A0" w:rsidTr="006F1BCD">
        <w:trPr>
          <w:trHeight w:val="300"/>
        </w:trPr>
        <w:tc>
          <w:tcPr>
            <w:tcW w:w="193"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rFonts w:ascii="Arial" w:hAnsi="Arial" w:cs="Arial"/>
                <w:sz w:val="18"/>
                <w:szCs w:val="18"/>
              </w:rPr>
            </w:pPr>
            <w:r w:rsidRPr="00A438A0">
              <w:rPr>
                <w:rFonts w:ascii="Arial" w:hAnsi="Arial" w:cs="Arial"/>
                <w:sz w:val="18"/>
                <w:szCs w:val="18"/>
              </w:rPr>
              <w:t>9</w:t>
            </w:r>
          </w:p>
        </w:tc>
        <w:tc>
          <w:tcPr>
            <w:tcW w:w="1185"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Short-term Debt</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$4,000,000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$4,000,000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($3,963,534)</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$36,466 </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1.02%</w:t>
            </w:r>
          </w:p>
        </w:tc>
        <w:tc>
          <w:tcPr>
            <w:tcW w:w="30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2.23%</w:t>
            </w: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0.02%</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r w:rsidR="006F1BCD" w:rsidRPr="00A438A0" w:rsidTr="006F1BCD">
        <w:trPr>
          <w:trHeight w:val="300"/>
        </w:trPr>
        <w:tc>
          <w:tcPr>
            <w:tcW w:w="193"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rFonts w:ascii="Arial" w:hAnsi="Arial" w:cs="Arial"/>
                <w:sz w:val="18"/>
                <w:szCs w:val="18"/>
              </w:rPr>
            </w:pPr>
            <w:r w:rsidRPr="00A438A0">
              <w:rPr>
                <w:rFonts w:ascii="Arial" w:hAnsi="Arial" w:cs="Arial"/>
                <w:sz w:val="18"/>
                <w:szCs w:val="18"/>
              </w:rPr>
              <w:t>10</w:t>
            </w:r>
          </w:p>
        </w:tc>
        <w:tc>
          <w:tcPr>
            <w:tcW w:w="1185"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Preferred Stock</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$0 </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0.00%</w:t>
            </w:r>
          </w:p>
        </w:tc>
        <w:tc>
          <w:tcPr>
            <w:tcW w:w="30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0.00%</w:t>
            </w: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0.00%</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r w:rsidR="006F1BCD" w:rsidRPr="00A438A0" w:rsidTr="006F1BCD">
        <w:trPr>
          <w:trHeight w:val="300"/>
        </w:trPr>
        <w:tc>
          <w:tcPr>
            <w:tcW w:w="193"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rFonts w:ascii="Arial" w:hAnsi="Arial" w:cs="Arial"/>
                <w:sz w:val="18"/>
                <w:szCs w:val="18"/>
              </w:rPr>
            </w:pPr>
            <w:r w:rsidRPr="00A438A0">
              <w:rPr>
                <w:rFonts w:ascii="Arial" w:hAnsi="Arial" w:cs="Arial"/>
                <w:sz w:val="18"/>
                <w:szCs w:val="18"/>
              </w:rPr>
              <w:t>11</w:t>
            </w:r>
          </w:p>
        </w:tc>
        <w:tc>
          <w:tcPr>
            <w:tcW w:w="1185"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Common Equity</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$182,354,550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$182,354,550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($180,692,119)</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$1,662,431 </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46.68%</w:t>
            </w:r>
          </w:p>
        </w:tc>
        <w:tc>
          <w:tcPr>
            <w:tcW w:w="30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10.36%</w:t>
            </w: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4.84%</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r w:rsidR="006F1BCD" w:rsidRPr="00A438A0" w:rsidTr="006F1BCD">
        <w:trPr>
          <w:trHeight w:val="300"/>
        </w:trPr>
        <w:tc>
          <w:tcPr>
            <w:tcW w:w="193"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rFonts w:ascii="Arial" w:hAnsi="Arial" w:cs="Arial"/>
                <w:sz w:val="18"/>
                <w:szCs w:val="18"/>
              </w:rPr>
            </w:pPr>
            <w:r w:rsidRPr="00A438A0">
              <w:rPr>
                <w:rFonts w:ascii="Arial" w:hAnsi="Arial" w:cs="Arial"/>
                <w:sz w:val="18"/>
                <w:szCs w:val="18"/>
              </w:rPr>
              <w:t>12</w:t>
            </w:r>
          </w:p>
        </w:tc>
        <w:tc>
          <w:tcPr>
            <w:tcW w:w="1185"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Customer Deposits</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$6,591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$6,591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 xml:space="preserve">$6,591 </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0.19%</w:t>
            </w:r>
          </w:p>
        </w:tc>
        <w:tc>
          <w:tcPr>
            <w:tcW w:w="30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2.00%</w:t>
            </w: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rPr>
            </w:pPr>
            <w:r w:rsidRPr="00A438A0">
              <w:rPr>
                <w:rFonts w:ascii="Arial" w:hAnsi="Arial" w:cs="Arial"/>
                <w:sz w:val="18"/>
                <w:szCs w:val="18"/>
              </w:rPr>
              <w:t>0.00%</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r w:rsidR="006F1BCD" w:rsidRPr="00A438A0" w:rsidTr="006F1BCD">
        <w:trPr>
          <w:trHeight w:val="300"/>
        </w:trPr>
        <w:tc>
          <w:tcPr>
            <w:tcW w:w="193"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rFonts w:ascii="Arial" w:hAnsi="Arial" w:cs="Arial"/>
                <w:sz w:val="18"/>
                <w:szCs w:val="18"/>
              </w:rPr>
            </w:pPr>
            <w:r w:rsidRPr="00A438A0">
              <w:rPr>
                <w:rFonts w:ascii="Arial" w:hAnsi="Arial" w:cs="Arial"/>
                <w:sz w:val="18"/>
                <w:szCs w:val="18"/>
              </w:rPr>
              <w:t>13</w:t>
            </w:r>
          </w:p>
        </w:tc>
        <w:tc>
          <w:tcPr>
            <w:tcW w:w="1185"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Deferred Income Taxes</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single"/>
              </w:rPr>
            </w:pPr>
            <w:r w:rsidRPr="00A438A0">
              <w:rPr>
                <w:rFonts w:ascii="Arial" w:hAnsi="Arial" w:cs="Arial"/>
                <w:sz w:val="18"/>
                <w:szCs w:val="18"/>
                <w:u w:val="single"/>
              </w:rPr>
              <w:t xml:space="preserve">$0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single"/>
              </w:rPr>
            </w:pPr>
            <w:r w:rsidRPr="00A438A0">
              <w:rPr>
                <w:rFonts w:ascii="Arial" w:hAnsi="Arial" w:cs="Arial"/>
                <w:sz w:val="18"/>
                <w:szCs w:val="18"/>
                <w:u w:val="single"/>
              </w:rPr>
              <w:t xml:space="preserve">$214,874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single"/>
              </w:rPr>
            </w:pPr>
            <w:r w:rsidRPr="00A438A0">
              <w:rPr>
                <w:rFonts w:ascii="Arial" w:hAnsi="Arial" w:cs="Arial"/>
                <w:sz w:val="18"/>
                <w:szCs w:val="18"/>
                <w:u w:val="single"/>
              </w:rPr>
              <w:t xml:space="preserve">$214,874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single"/>
              </w:rPr>
            </w:pPr>
            <w:r w:rsidRPr="00A438A0">
              <w:rPr>
                <w:rFonts w:ascii="Arial" w:hAnsi="Arial" w:cs="Arial"/>
                <w:sz w:val="18"/>
                <w:szCs w:val="18"/>
                <w:u w:val="single"/>
              </w:rPr>
              <w:t xml:space="preserve">$0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single"/>
              </w:rPr>
            </w:pPr>
            <w:r w:rsidRPr="00A438A0">
              <w:rPr>
                <w:rFonts w:ascii="Arial" w:hAnsi="Arial" w:cs="Arial"/>
                <w:sz w:val="18"/>
                <w:szCs w:val="18"/>
                <w:u w:val="single"/>
              </w:rPr>
              <w:t xml:space="preserve">$214,874 </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single"/>
              </w:rPr>
            </w:pPr>
            <w:r w:rsidRPr="00A438A0">
              <w:rPr>
                <w:rFonts w:ascii="Arial" w:hAnsi="Arial" w:cs="Arial"/>
                <w:sz w:val="18"/>
                <w:szCs w:val="18"/>
                <w:u w:val="single"/>
              </w:rPr>
              <w:t>6.03%</w:t>
            </w:r>
          </w:p>
        </w:tc>
        <w:tc>
          <w:tcPr>
            <w:tcW w:w="30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single"/>
              </w:rPr>
            </w:pPr>
            <w:r w:rsidRPr="00A438A0">
              <w:rPr>
                <w:rFonts w:ascii="Arial" w:hAnsi="Arial" w:cs="Arial"/>
                <w:sz w:val="18"/>
                <w:szCs w:val="18"/>
                <w:u w:val="single"/>
              </w:rPr>
              <w:t>0.00%</w:t>
            </w: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single"/>
              </w:rPr>
            </w:pPr>
            <w:r w:rsidRPr="00A438A0">
              <w:rPr>
                <w:rFonts w:ascii="Arial" w:hAnsi="Arial" w:cs="Arial"/>
                <w:sz w:val="18"/>
                <w:szCs w:val="18"/>
                <w:u w:val="single"/>
              </w:rPr>
              <w:t>0.00%</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r w:rsidR="006F1BCD" w:rsidRPr="00A438A0" w:rsidTr="006F1BCD">
        <w:trPr>
          <w:trHeight w:val="300"/>
        </w:trPr>
        <w:tc>
          <w:tcPr>
            <w:tcW w:w="193" w:type="pct"/>
            <w:tcBorders>
              <w:top w:val="nil"/>
              <w:left w:val="single" w:sz="8" w:space="0" w:color="auto"/>
              <w:bottom w:val="nil"/>
              <w:right w:val="nil"/>
            </w:tcBorders>
            <w:shd w:val="clear" w:color="000000" w:fill="FFFFFF"/>
            <w:noWrap/>
            <w:vAlign w:val="bottom"/>
            <w:hideMark/>
          </w:tcPr>
          <w:p w:rsidR="006F1BCD" w:rsidRPr="00A438A0" w:rsidRDefault="006F1BCD" w:rsidP="006F1BCD">
            <w:pPr>
              <w:jc w:val="center"/>
              <w:rPr>
                <w:rFonts w:ascii="Arial" w:hAnsi="Arial" w:cs="Arial"/>
                <w:sz w:val="18"/>
                <w:szCs w:val="18"/>
              </w:rPr>
            </w:pPr>
            <w:r w:rsidRPr="00A438A0">
              <w:rPr>
                <w:rFonts w:ascii="Arial" w:hAnsi="Arial" w:cs="Arial"/>
                <w:sz w:val="18"/>
                <w:szCs w:val="18"/>
              </w:rPr>
              <w:t>14</w:t>
            </w:r>
          </w:p>
        </w:tc>
        <w:tc>
          <w:tcPr>
            <w:tcW w:w="1185"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b/>
                <w:bCs/>
                <w:sz w:val="18"/>
                <w:szCs w:val="18"/>
              </w:rPr>
            </w:pPr>
            <w:r w:rsidRPr="00A438A0">
              <w:rPr>
                <w:rFonts w:ascii="Arial" w:hAnsi="Arial" w:cs="Arial"/>
                <w:b/>
                <w:bCs/>
                <w:sz w:val="18"/>
                <w:szCs w:val="18"/>
              </w:rPr>
              <w:t>Total Capital</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double"/>
              </w:rPr>
            </w:pPr>
            <w:r w:rsidRPr="00A438A0">
              <w:rPr>
                <w:rFonts w:ascii="Arial" w:hAnsi="Arial" w:cs="Arial"/>
                <w:sz w:val="18"/>
                <w:szCs w:val="18"/>
                <w:u w:val="double"/>
              </w:rPr>
              <w:t xml:space="preserve">$366,361,141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double"/>
              </w:rPr>
            </w:pPr>
            <w:r w:rsidRPr="00A438A0">
              <w:rPr>
                <w:rFonts w:ascii="Arial" w:hAnsi="Arial" w:cs="Arial"/>
                <w:sz w:val="18"/>
                <w:szCs w:val="18"/>
                <w:u w:val="double"/>
              </w:rPr>
              <w:t xml:space="preserve">$214,874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double"/>
              </w:rPr>
            </w:pPr>
            <w:r w:rsidRPr="00A438A0">
              <w:rPr>
                <w:rFonts w:ascii="Arial" w:hAnsi="Arial" w:cs="Arial"/>
                <w:sz w:val="18"/>
                <w:szCs w:val="18"/>
                <w:u w:val="double"/>
              </w:rPr>
              <w:t xml:space="preserve">$366,576,015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double"/>
              </w:rPr>
            </w:pPr>
            <w:r w:rsidRPr="00A438A0">
              <w:rPr>
                <w:rFonts w:ascii="Arial" w:hAnsi="Arial" w:cs="Arial"/>
                <w:sz w:val="18"/>
                <w:szCs w:val="18"/>
                <w:u w:val="double"/>
              </w:rPr>
              <w:t>($363,014,688)</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double"/>
              </w:rPr>
            </w:pPr>
            <w:r w:rsidRPr="00A438A0">
              <w:rPr>
                <w:rFonts w:ascii="Arial" w:hAnsi="Arial" w:cs="Arial"/>
                <w:sz w:val="18"/>
                <w:szCs w:val="18"/>
                <w:u w:val="double"/>
              </w:rPr>
              <w:t xml:space="preserve">$3,561,327 </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double"/>
              </w:rPr>
            </w:pPr>
            <w:r w:rsidRPr="00A438A0">
              <w:rPr>
                <w:rFonts w:ascii="Arial" w:hAnsi="Arial" w:cs="Arial"/>
                <w:sz w:val="18"/>
                <w:szCs w:val="18"/>
                <w:u w:val="double"/>
              </w:rPr>
              <w:t>100.00%</w:t>
            </w:r>
          </w:p>
        </w:tc>
        <w:tc>
          <w:tcPr>
            <w:tcW w:w="308" w:type="pct"/>
            <w:tcBorders>
              <w:top w:val="nil"/>
              <w:left w:val="nil"/>
              <w:bottom w:val="nil"/>
              <w:right w:val="nil"/>
            </w:tcBorders>
            <w:shd w:val="clear" w:color="000000" w:fill="FFFFFF"/>
            <w:noWrap/>
            <w:vAlign w:val="bottom"/>
          </w:tcPr>
          <w:p w:rsidR="006F1BCD" w:rsidRPr="00A438A0" w:rsidRDefault="006F1BCD" w:rsidP="006F1BCD">
            <w:pPr>
              <w:rPr>
                <w:rFonts w:ascii="Arial" w:hAnsi="Arial" w:cs="Arial"/>
                <w:sz w:val="18"/>
                <w:szCs w:val="18"/>
                <w:u w:val="double"/>
              </w:rPr>
            </w:pP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double"/>
              </w:rPr>
            </w:pPr>
            <w:r w:rsidRPr="00A438A0">
              <w:rPr>
                <w:rFonts w:ascii="Arial" w:hAnsi="Arial" w:cs="Arial"/>
                <w:sz w:val="18"/>
                <w:szCs w:val="18"/>
                <w:u w:val="double"/>
              </w:rPr>
              <w:t>7.92%</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r w:rsidR="006F1BCD" w:rsidRPr="00A438A0" w:rsidTr="006F1BCD">
        <w:trPr>
          <w:trHeight w:val="300"/>
        </w:trPr>
        <w:tc>
          <w:tcPr>
            <w:tcW w:w="193" w:type="pct"/>
            <w:tcBorders>
              <w:top w:val="nil"/>
              <w:left w:val="single" w:sz="8" w:space="0" w:color="auto"/>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1185"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308"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r w:rsidR="006F1BCD" w:rsidRPr="00A438A0" w:rsidTr="006F1BCD">
        <w:trPr>
          <w:trHeight w:val="300"/>
        </w:trPr>
        <w:tc>
          <w:tcPr>
            <w:tcW w:w="193" w:type="pct"/>
            <w:tcBorders>
              <w:top w:val="nil"/>
              <w:left w:val="single" w:sz="8" w:space="0" w:color="auto"/>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1185"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b/>
                <w:bCs/>
                <w:sz w:val="18"/>
                <w:szCs w:val="18"/>
              </w:rPr>
            </w:pPr>
            <w:r w:rsidRPr="00A438A0">
              <w:rPr>
                <w:rFonts w:ascii="Arial" w:hAnsi="Arial" w:cs="Arial"/>
                <w:b/>
                <w:bCs/>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b/>
                <w:bCs/>
                <w:sz w:val="18"/>
                <w:szCs w:val="18"/>
              </w:rPr>
            </w:pPr>
            <w:r w:rsidRPr="00A438A0">
              <w:rPr>
                <w:rFonts w:ascii="Arial" w:hAnsi="Arial" w:cs="Arial"/>
                <w:b/>
                <w:bCs/>
                <w:sz w:val="18"/>
                <w:szCs w:val="18"/>
              </w:rPr>
              <w:t> </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jc w:val="center"/>
              <w:rPr>
                <w:rFonts w:ascii="Arial" w:hAnsi="Arial" w:cs="Arial"/>
                <w:b/>
                <w:bCs/>
                <w:sz w:val="18"/>
                <w:szCs w:val="18"/>
                <w:u w:val="single"/>
              </w:rPr>
            </w:pPr>
            <w:r w:rsidRPr="00A438A0">
              <w:rPr>
                <w:rFonts w:ascii="Arial" w:hAnsi="Arial" w:cs="Arial"/>
                <w:b/>
                <w:bCs/>
                <w:sz w:val="18"/>
                <w:szCs w:val="18"/>
                <w:u w:val="single"/>
              </w:rPr>
              <w:t>LOW</w:t>
            </w:r>
          </w:p>
        </w:tc>
        <w:tc>
          <w:tcPr>
            <w:tcW w:w="308" w:type="pct"/>
            <w:tcBorders>
              <w:top w:val="nil"/>
              <w:left w:val="nil"/>
              <w:bottom w:val="nil"/>
              <w:right w:val="nil"/>
            </w:tcBorders>
            <w:shd w:val="clear" w:color="000000" w:fill="FFFFFF"/>
            <w:noWrap/>
            <w:vAlign w:val="bottom"/>
            <w:hideMark/>
          </w:tcPr>
          <w:p w:rsidR="006F1BCD" w:rsidRPr="00A438A0" w:rsidRDefault="006F1BCD" w:rsidP="006F1BCD">
            <w:pPr>
              <w:jc w:val="center"/>
              <w:rPr>
                <w:rFonts w:ascii="Arial" w:hAnsi="Arial" w:cs="Arial"/>
                <w:b/>
                <w:bCs/>
                <w:sz w:val="18"/>
                <w:szCs w:val="18"/>
                <w:u w:val="single"/>
              </w:rPr>
            </w:pPr>
            <w:r w:rsidRPr="00A438A0">
              <w:rPr>
                <w:rFonts w:ascii="Arial" w:hAnsi="Arial" w:cs="Arial"/>
                <w:b/>
                <w:bCs/>
                <w:sz w:val="18"/>
                <w:szCs w:val="18"/>
                <w:u w:val="single"/>
              </w:rPr>
              <w:t>HIGH</w:t>
            </w: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r w:rsidR="006F1BCD" w:rsidRPr="00A438A0" w:rsidTr="006F1BCD">
        <w:trPr>
          <w:trHeight w:val="300"/>
        </w:trPr>
        <w:tc>
          <w:tcPr>
            <w:tcW w:w="193" w:type="pct"/>
            <w:tcBorders>
              <w:top w:val="nil"/>
              <w:left w:val="single" w:sz="8" w:space="0" w:color="auto"/>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1185"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880" w:type="pct"/>
            <w:gridSpan w:val="2"/>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xml:space="preserve">   RETURN ON EQUITY</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double"/>
              </w:rPr>
            </w:pPr>
            <w:r w:rsidRPr="00A438A0">
              <w:rPr>
                <w:rFonts w:ascii="Arial" w:hAnsi="Arial" w:cs="Arial"/>
                <w:sz w:val="18"/>
                <w:szCs w:val="18"/>
                <w:u w:val="double"/>
              </w:rPr>
              <w:t>9.36%</w:t>
            </w:r>
          </w:p>
        </w:tc>
        <w:tc>
          <w:tcPr>
            <w:tcW w:w="30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double"/>
              </w:rPr>
            </w:pPr>
            <w:r w:rsidRPr="00A438A0">
              <w:rPr>
                <w:rFonts w:ascii="Arial" w:hAnsi="Arial" w:cs="Arial"/>
                <w:sz w:val="18"/>
                <w:szCs w:val="18"/>
                <w:u w:val="double"/>
              </w:rPr>
              <w:t>11.36%</w:t>
            </w: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r w:rsidR="006F1BCD" w:rsidRPr="00A438A0" w:rsidTr="006F1BCD">
        <w:trPr>
          <w:trHeight w:val="300"/>
        </w:trPr>
        <w:tc>
          <w:tcPr>
            <w:tcW w:w="193" w:type="pct"/>
            <w:tcBorders>
              <w:top w:val="nil"/>
              <w:left w:val="single" w:sz="8" w:space="0" w:color="auto"/>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1185"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702"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color w:val="000000"/>
                <w:sz w:val="18"/>
                <w:szCs w:val="18"/>
              </w:rPr>
            </w:pPr>
            <w:r w:rsidRPr="00A438A0">
              <w:rPr>
                <w:rFonts w:ascii="Arial" w:hAnsi="Arial" w:cs="Arial"/>
                <w:color w:val="000000"/>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440"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880" w:type="pct"/>
            <w:gridSpan w:val="2"/>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xml:space="preserve">   OVERALL RATE OF RETURN</w:t>
            </w:r>
          </w:p>
        </w:tc>
        <w:tc>
          <w:tcPr>
            <w:tcW w:w="36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double"/>
              </w:rPr>
            </w:pPr>
            <w:r w:rsidRPr="00A438A0">
              <w:rPr>
                <w:rFonts w:ascii="Arial" w:hAnsi="Arial" w:cs="Arial"/>
                <w:sz w:val="18"/>
                <w:szCs w:val="18"/>
                <w:u w:val="double"/>
              </w:rPr>
              <w:t>7.46%</w:t>
            </w:r>
          </w:p>
        </w:tc>
        <w:tc>
          <w:tcPr>
            <w:tcW w:w="308" w:type="pct"/>
            <w:tcBorders>
              <w:top w:val="nil"/>
              <w:left w:val="nil"/>
              <w:bottom w:val="nil"/>
              <w:right w:val="nil"/>
            </w:tcBorders>
            <w:shd w:val="clear" w:color="000000" w:fill="FFFFFF"/>
            <w:noWrap/>
            <w:vAlign w:val="bottom"/>
            <w:hideMark/>
          </w:tcPr>
          <w:p w:rsidR="006F1BCD" w:rsidRPr="00A438A0" w:rsidRDefault="006F1BCD" w:rsidP="006F1BCD">
            <w:pPr>
              <w:jc w:val="right"/>
              <w:rPr>
                <w:rFonts w:ascii="Arial" w:hAnsi="Arial" w:cs="Arial"/>
                <w:sz w:val="18"/>
                <w:szCs w:val="18"/>
                <w:u w:val="double"/>
              </w:rPr>
            </w:pPr>
            <w:r w:rsidRPr="00A438A0">
              <w:rPr>
                <w:rFonts w:ascii="Arial" w:hAnsi="Arial" w:cs="Arial"/>
                <w:sz w:val="18"/>
                <w:szCs w:val="18"/>
                <w:u w:val="double"/>
              </w:rPr>
              <w:t>8.39%</w:t>
            </w:r>
          </w:p>
        </w:tc>
        <w:tc>
          <w:tcPr>
            <w:tcW w:w="404" w:type="pct"/>
            <w:tcBorders>
              <w:top w:val="nil"/>
              <w:left w:val="nil"/>
              <w:bottom w:val="nil"/>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80" w:type="pct"/>
            <w:tcBorders>
              <w:top w:val="nil"/>
              <w:left w:val="nil"/>
              <w:bottom w:val="nil"/>
              <w:right w:val="single" w:sz="8" w:space="0" w:color="auto"/>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r w:rsidR="006F1BCD" w:rsidRPr="00A438A0" w:rsidTr="006F1BCD">
        <w:trPr>
          <w:trHeight w:val="315"/>
        </w:trPr>
        <w:tc>
          <w:tcPr>
            <w:tcW w:w="193" w:type="pct"/>
            <w:tcBorders>
              <w:top w:val="nil"/>
              <w:left w:val="single" w:sz="8" w:space="0" w:color="auto"/>
              <w:bottom w:val="single" w:sz="8" w:space="0" w:color="auto"/>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1185"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702"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440"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440"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440"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440"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368"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308"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404" w:type="pct"/>
            <w:tcBorders>
              <w:top w:val="nil"/>
              <w:left w:val="nil"/>
              <w:bottom w:val="single" w:sz="8" w:space="0" w:color="auto"/>
              <w:right w:val="nil"/>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c>
          <w:tcPr>
            <w:tcW w:w="80" w:type="pct"/>
            <w:tcBorders>
              <w:top w:val="nil"/>
              <w:left w:val="nil"/>
              <w:bottom w:val="single" w:sz="8" w:space="0" w:color="auto"/>
              <w:right w:val="single" w:sz="8" w:space="0" w:color="auto"/>
            </w:tcBorders>
            <w:shd w:val="clear" w:color="000000" w:fill="FFFFFF"/>
            <w:noWrap/>
            <w:vAlign w:val="bottom"/>
            <w:hideMark/>
          </w:tcPr>
          <w:p w:rsidR="006F1BCD" w:rsidRPr="00A438A0" w:rsidRDefault="006F1BCD" w:rsidP="006F1BCD">
            <w:pPr>
              <w:rPr>
                <w:rFonts w:ascii="Arial" w:hAnsi="Arial" w:cs="Arial"/>
                <w:sz w:val="18"/>
                <w:szCs w:val="18"/>
              </w:rPr>
            </w:pPr>
            <w:r w:rsidRPr="00A438A0">
              <w:rPr>
                <w:rFonts w:ascii="Arial" w:hAnsi="Arial" w:cs="Arial"/>
                <w:sz w:val="18"/>
                <w:szCs w:val="18"/>
              </w:rPr>
              <w:t> </w:t>
            </w:r>
          </w:p>
        </w:tc>
      </w:tr>
    </w:tbl>
    <w:p w:rsidR="00FA307D" w:rsidRPr="00A438A0" w:rsidRDefault="00FA307D">
      <w:pPr>
        <w:rPr>
          <w:sz w:val="20"/>
          <w:szCs w:val="20"/>
        </w:rPr>
      </w:pPr>
    </w:p>
    <w:p w:rsidR="00194C74" w:rsidRPr="00A438A0" w:rsidRDefault="00194C74" w:rsidP="00FA307D">
      <w:pPr>
        <w:sectPr w:rsidR="00194C74" w:rsidRPr="00A438A0" w:rsidSect="00FA307D">
          <w:headerReference w:type="default" r:id="rId17"/>
          <w:pgSz w:w="15840" w:h="12240" w:orient="landscape" w:code="1"/>
          <w:pgMar w:top="1440" w:right="1584" w:bottom="1440" w:left="1440" w:header="720" w:footer="720" w:gutter="0"/>
          <w:cols w:space="720"/>
          <w:formProt w:val="0"/>
          <w:docGrid w:linePitch="360"/>
        </w:sectPr>
      </w:pPr>
    </w:p>
    <w:p w:rsidR="00FA307D" w:rsidRPr="00A438A0" w:rsidRDefault="00FA307D" w:rsidP="00FA307D"/>
    <w:tbl>
      <w:tblPr>
        <w:tblW w:w="5208" w:type="pct"/>
        <w:jc w:val="center"/>
        <w:tblLayout w:type="fixed"/>
        <w:tblLook w:val="04A0" w:firstRow="1" w:lastRow="0" w:firstColumn="1" w:lastColumn="0" w:noHBand="0" w:noVBand="1"/>
      </w:tblPr>
      <w:tblGrid>
        <w:gridCol w:w="435"/>
        <w:gridCol w:w="4100"/>
        <w:gridCol w:w="1243"/>
        <w:gridCol w:w="1099"/>
        <w:gridCol w:w="1330"/>
        <w:gridCol w:w="1260"/>
        <w:gridCol w:w="1262"/>
        <w:gridCol w:w="1102"/>
        <w:gridCol w:w="1743"/>
      </w:tblGrid>
      <w:tr w:rsidR="00C25744" w:rsidRPr="00A438A0" w:rsidTr="00C25744">
        <w:trPr>
          <w:trHeight w:val="315"/>
          <w:jc w:val="center"/>
        </w:trPr>
        <w:tc>
          <w:tcPr>
            <w:tcW w:w="160" w:type="pct"/>
            <w:tcBorders>
              <w:top w:val="single" w:sz="8" w:space="0" w:color="auto"/>
              <w:left w:val="single" w:sz="8" w:space="0" w:color="auto"/>
              <w:bottom w:val="nil"/>
              <w:right w:val="nil"/>
            </w:tcBorders>
            <w:shd w:val="clear" w:color="000000" w:fill="FFFFFF"/>
            <w:noWrap/>
            <w:vAlign w:val="bottom"/>
            <w:hideMark/>
          </w:tcPr>
          <w:p w:rsidR="00C25744" w:rsidRPr="00A438A0" w:rsidRDefault="00C25744" w:rsidP="00C25744">
            <w:pPr>
              <w:rPr>
                <w:color w:val="000000"/>
                <w:sz w:val="20"/>
                <w:szCs w:val="20"/>
              </w:rPr>
            </w:pPr>
            <w:r w:rsidRPr="00A438A0">
              <w:br w:type="page"/>
            </w:r>
            <w:r w:rsidRPr="00A438A0">
              <w:rPr>
                <w:color w:val="000000"/>
                <w:sz w:val="20"/>
                <w:szCs w:val="20"/>
              </w:rPr>
              <w:t> </w:t>
            </w:r>
          </w:p>
        </w:tc>
        <w:tc>
          <w:tcPr>
            <w:tcW w:w="1510" w:type="pct"/>
            <w:tcBorders>
              <w:top w:val="single" w:sz="8" w:space="0" w:color="auto"/>
              <w:left w:val="nil"/>
              <w:bottom w:val="nil"/>
              <w:right w:val="nil"/>
            </w:tcBorders>
            <w:shd w:val="clear" w:color="000000" w:fill="FFFFFF"/>
            <w:noWrap/>
            <w:vAlign w:val="bottom"/>
            <w:hideMark/>
          </w:tcPr>
          <w:p w:rsidR="00C25744" w:rsidRPr="00A438A0" w:rsidRDefault="00C25744" w:rsidP="00C25744">
            <w:pPr>
              <w:rPr>
                <w:rFonts w:ascii="Arial" w:hAnsi="Arial" w:cs="Arial"/>
                <w:b/>
                <w:bCs/>
              </w:rPr>
            </w:pPr>
            <w:r w:rsidRPr="00A438A0">
              <w:rPr>
                <w:rFonts w:ascii="Arial" w:hAnsi="Arial" w:cs="Arial"/>
                <w:b/>
                <w:bCs/>
              </w:rPr>
              <w:t>Utilities, Inc. of Sandalhaven</w:t>
            </w:r>
          </w:p>
        </w:tc>
        <w:tc>
          <w:tcPr>
            <w:tcW w:w="458" w:type="pct"/>
            <w:tcBorders>
              <w:top w:val="single" w:sz="8" w:space="0" w:color="auto"/>
              <w:left w:val="nil"/>
              <w:bottom w:val="nil"/>
              <w:right w:val="nil"/>
            </w:tcBorders>
            <w:shd w:val="clear" w:color="000000" w:fill="FFFFFF"/>
            <w:noWrap/>
            <w:vAlign w:val="bottom"/>
            <w:hideMark/>
          </w:tcPr>
          <w:p w:rsidR="00C25744" w:rsidRPr="00A438A0" w:rsidRDefault="00C25744" w:rsidP="00C25744">
            <w:pPr>
              <w:rPr>
                <w:rFonts w:ascii="Arial" w:hAnsi="Arial" w:cs="Arial"/>
              </w:rPr>
            </w:pPr>
            <w:r w:rsidRPr="00A438A0">
              <w:rPr>
                <w:rFonts w:ascii="Arial" w:hAnsi="Arial" w:cs="Arial"/>
              </w:rPr>
              <w:t> </w:t>
            </w:r>
          </w:p>
        </w:tc>
        <w:tc>
          <w:tcPr>
            <w:tcW w:w="405" w:type="pct"/>
            <w:tcBorders>
              <w:top w:val="single" w:sz="8" w:space="0" w:color="auto"/>
              <w:left w:val="nil"/>
              <w:bottom w:val="nil"/>
              <w:right w:val="nil"/>
            </w:tcBorders>
            <w:shd w:val="clear" w:color="000000" w:fill="FFFFFF"/>
            <w:noWrap/>
            <w:vAlign w:val="bottom"/>
            <w:hideMark/>
          </w:tcPr>
          <w:p w:rsidR="00C25744" w:rsidRPr="00A438A0" w:rsidRDefault="00C25744" w:rsidP="00C25744">
            <w:pPr>
              <w:rPr>
                <w:rFonts w:ascii="Arial" w:hAnsi="Arial" w:cs="Arial"/>
              </w:rPr>
            </w:pPr>
            <w:r w:rsidRPr="00A438A0">
              <w:rPr>
                <w:rFonts w:ascii="Arial" w:hAnsi="Arial" w:cs="Arial"/>
              </w:rPr>
              <w:t> </w:t>
            </w:r>
          </w:p>
        </w:tc>
        <w:tc>
          <w:tcPr>
            <w:tcW w:w="490" w:type="pct"/>
            <w:tcBorders>
              <w:top w:val="single" w:sz="8" w:space="0" w:color="auto"/>
              <w:left w:val="nil"/>
              <w:bottom w:val="nil"/>
              <w:right w:val="nil"/>
            </w:tcBorders>
            <w:shd w:val="clear" w:color="000000" w:fill="FFFFFF"/>
            <w:noWrap/>
            <w:vAlign w:val="bottom"/>
            <w:hideMark/>
          </w:tcPr>
          <w:p w:rsidR="00C25744" w:rsidRPr="00A438A0" w:rsidRDefault="00C25744" w:rsidP="00C25744">
            <w:pPr>
              <w:rPr>
                <w:rFonts w:ascii="Arial" w:hAnsi="Arial" w:cs="Arial"/>
              </w:rPr>
            </w:pPr>
            <w:r w:rsidRPr="00A438A0">
              <w:rPr>
                <w:rFonts w:ascii="Arial" w:hAnsi="Arial" w:cs="Arial"/>
              </w:rPr>
              <w:t> </w:t>
            </w:r>
          </w:p>
        </w:tc>
        <w:tc>
          <w:tcPr>
            <w:tcW w:w="464" w:type="pct"/>
            <w:tcBorders>
              <w:top w:val="single" w:sz="8" w:space="0" w:color="auto"/>
              <w:left w:val="nil"/>
              <w:bottom w:val="nil"/>
              <w:right w:val="nil"/>
            </w:tcBorders>
            <w:shd w:val="clear" w:color="000000" w:fill="FFFFFF"/>
            <w:noWrap/>
            <w:vAlign w:val="bottom"/>
            <w:hideMark/>
          </w:tcPr>
          <w:p w:rsidR="00C25744" w:rsidRPr="00A438A0" w:rsidRDefault="00C25744" w:rsidP="00C25744">
            <w:pPr>
              <w:rPr>
                <w:rFonts w:ascii="Arial" w:hAnsi="Arial" w:cs="Arial"/>
              </w:rPr>
            </w:pPr>
            <w:r w:rsidRPr="00A438A0">
              <w:rPr>
                <w:rFonts w:ascii="Arial" w:hAnsi="Arial" w:cs="Arial"/>
              </w:rPr>
              <w:t> </w:t>
            </w:r>
          </w:p>
        </w:tc>
        <w:tc>
          <w:tcPr>
            <w:tcW w:w="465" w:type="pct"/>
            <w:tcBorders>
              <w:top w:val="single" w:sz="8" w:space="0" w:color="auto"/>
              <w:left w:val="nil"/>
              <w:bottom w:val="nil"/>
              <w:right w:val="nil"/>
            </w:tcBorders>
            <w:shd w:val="clear" w:color="000000" w:fill="FFFFFF"/>
            <w:noWrap/>
            <w:vAlign w:val="bottom"/>
            <w:hideMark/>
          </w:tcPr>
          <w:p w:rsidR="00C25744" w:rsidRPr="00A438A0" w:rsidRDefault="00C25744" w:rsidP="00C25744">
            <w:pPr>
              <w:rPr>
                <w:rFonts w:ascii="Arial" w:hAnsi="Arial" w:cs="Arial"/>
              </w:rPr>
            </w:pPr>
            <w:r w:rsidRPr="00A438A0">
              <w:rPr>
                <w:rFonts w:ascii="Arial" w:hAnsi="Arial" w:cs="Arial"/>
              </w:rPr>
              <w:t> </w:t>
            </w:r>
          </w:p>
        </w:tc>
        <w:tc>
          <w:tcPr>
            <w:tcW w:w="1048" w:type="pct"/>
            <w:gridSpan w:val="2"/>
            <w:tcBorders>
              <w:top w:val="single" w:sz="8" w:space="0" w:color="auto"/>
              <w:left w:val="nil"/>
              <w:bottom w:val="nil"/>
              <w:right w:val="single" w:sz="8" w:space="0" w:color="000000"/>
            </w:tcBorders>
            <w:shd w:val="clear" w:color="000000" w:fill="FFFFFF"/>
            <w:noWrap/>
            <w:vAlign w:val="bottom"/>
            <w:hideMark/>
          </w:tcPr>
          <w:p w:rsidR="00C25744" w:rsidRPr="00A438A0" w:rsidRDefault="00C25744" w:rsidP="00C25744">
            <w:pPr>
              <w:jc w:val="right"/>
              <w:rPr>
                <w:rFonts w:ascii="Arial" w:hAnsi="Arial" w:cs="Arial"/>
                <w:b/>
                <w:bCs/>
              </w:rPr>
            </w:pPr>
            <w:r w:rsidRPr="00A438A0">
              <w:rPr>
                <w:rFonts w:ascii="Arial" w:hAnsi="Arial" w:cs="Arial"/>
                <w:b/>
                <w:bCs/>
              </w:rPr>
              <w:t>Schedule No. 3</w:t>
            </w:r>
            <w:r w:rsidRPr="00A438A0">
              <w:fldChar w:fldCharType="begin"/>
            </w:r>
            <w:r w:rsidRPr="00A438A0">
              <w:instrText xml:space="preserve"> TC "</w:instrText>
            </w:r>
            <w:bookmarkStart w:id="48" w:name="_Toc435607963"/>
            <w:r w:rsidRPr="00A438A0">
              <w:tab/>
              <w:instrText>Schedule No. 3 Wastewater NOI</w:instrText>
            </w:r>
            <w:bookmarkEnd w:id="48"/>
            <w:r w:rsidRPr="00A438A0">
              <w:instrText xml:space="preserve">" \l 1 </w:instrText>
            </w:r>
            <w:r w:rsidRPr="00A438A0">
              <w:fldChar w:fldCharType="end"/>
            </w:r>
          </w:p>
        </w:tc>
      </w:tr>
      <w:tr w:rsidR="00C25744" w:rsidRPr="00A438A0" w:rsidTr="00C25744">
        <w:trPr>
          <w:trHeight w:val="315"/>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rPr>
                <w:color w:val="000000"/>
                <w:sz w:val="20"/>
                <w:szCs w:val="20"/>
              </w:rPr>
            </w:pPr>
            <w:r w:rsidRPr="00A438A0">
              <w:rPr>
                <w:color w:val="000000"/>
                <w:sz w:val="20"/>
                <w:szCs w:val="20"/>
              </w:rPr>
              <w:t> </w:t>
            </w:r>
          </w:p>
        </w:tc>
        <w:tc>
          <w:tcPr>
            <w:tcW w:w="1968" w:type="pct"/>
            <w:gridSpan w:val="2"/>
            <w:tcBorders>
              <w:top w:val="nil"/>
              <w:left w:val="nil"/>
              <w:bottom w:val="nil"/>
              <w:right w:val="nil"/>
            </w:tcBorders>
            <w:shd w:val="clear" w:color="000000" w:fill="FFFFFF"/>
            <w:noWrap/>
            <w:vAlign w:val="bottom"/>
            <w:hideMark/>
          </w:tcPr>
          <w:p w:rsidR="00C25744" w:rsidRPr="00A438A0" w:rsidRDefault="00C25744" w:rsidP="00C25744">
            <w:pPr>
              <w:rPr>
                <w:rFonts w:ascii="Arial" w:hAnsi="Arial" w:cs="Arial"/>
                <w:b/>
                <w:bCs/>
              </w:rPr>
            </w:pPr>
            <w:r w:rsidRPr="00A438A0">
              <w:rPr>
                <w:rFonts w:ascii="Arial" w:hAnsi="Arial" w:cs="Arial"/>
                <w:b/>
                <w:bCs/>
              </w:rPr>
              <w:t>Statement of Wastewater Operations</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rPr>
                <w:rFonts w:ascii="Arial" w:hAnsi="Arial" w:cs="Arial"/>
              </w:rPr>
            </w:pPr>
            <w:r w:rsidRPr="00A438A0">
              <w:rPr>
                <w:rFonts w:ascii="Arial" w:hAnsi="Arial" w:cs="Arial"/>
              </w:rPr>
              <w:t> </w:t>
            </w: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rPr>
                <w:rFonts w:ascii="Arial" w:hAnsi="Arial" w:cs="Arial"/>
              </w:rPr>
            </w:pPr>
            <w:r w:rsidRPr="00A438A0">
              <w:rPr>
                <w:rFonts w:ascii="Arial" w:hAnsi="Arial" w:cs="Arial"/>
              </w:rPr>
              <w:t> </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rPr>
                <w:rFonts w:ascii="Arial" w:hAnsi="Arial" w:cs="Arial"/>
              </w:rPr>
            </w:pPr>
            <w:r w:rsidRPr="00A438A0">
              <w:rPr>
                <w:rFonts w:ascii="Arial" w:hAnsi="Arial" w:cs="Arial"/>
              </w:rPr>
              <w:t> </w:t>
            </w: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rPr>
                <w:rFonts w:ascii="Arial" w:hAnsi="Arial" w:cs="Arial"/>
              </w:rPr>
            </w:pPr>
            <w:r w:rsidRPr="00A438A0">
              <w:rPr>
                <w:rFonts w:ascii="Arial" w:hAnsi="Arial" w:cs="Arial"/>
              </w:rPr>
              <w:t> </w:t>
            </w:r>
          </w:p>
        </w:tc>
        <w:tc>
          <w:tcPr>
            <w:tcW w:w="1048" w:type="pct"/>
            <w:gridSpan w:val="2"/>
            <w:tcBorders>
              <w:top w:val="nil"/>
              <w:left w:val="nil"/>
              <w:bottom w:val="nil"/>
              <w:right w:val="single" w:sz="8" w:space="0" w:color="000000"/>
            </w:tcBorders>
            <w:shd w:val="clear" w:color="000000" w:fill="FFFFFF"/>
            <w:noWrap/>
            <w:vAlign w:val="bottom"/>
            <w:hideMark/>
          </w:tcPr>
          <w:p w:rsidR="00C25744" w:rsidRPr="00A438A0" w:rsidRDefault="00C25744" w:rsidP="00C25744">
            <w:pPr>
              <w:jc w:val="right"/>
              <w:rPr>
                <w:rFonts w:ascii="Arial" w:hAnsi="Arial" w:cs="Arial"/>
                <w:b/>
                <w:bCs/>
              </w:rPr>
            </w:pPr>
            <w:r w:rsidRPr="00A438A0">
              <w:rPr>
                <w:rFonts w:ascii="Arial" w:hAnsi="Arial" w:cs="Arial"/>
                <w:b/>
                <w:bCs/>
              </w:rPr>
              <w:t>Docket No. 150102-SU</w:t>
            </w:r>
          </w:p>
        </w:tc>
      </w:tr>
      <w:tr w:rsidR="00C25744" w:rsidRPr="00A438A0" w:rsidTr="00C25744">
        <w:trPr>
          <w:trHeight w:val="330"/>
          <w:jc w:val="center"/>
        </w:trPr>
        <w:tc>
          <w:tcPr>
            <w:tcW w:w="160" w:type="pct"/>
            <w:tcBorders>
              <w:top w:val="nil"/>
              <w:left w:val="single" w:sz="8" w:space="0" w:color="auto"/>
              <w:bottom w:val="single" w:sz="8" w:space="0" w:color="auto"/>
              <w:right w:val="nil"/>
            </w:tcBorders>
            <w:shd w:val="clear" w:color="000000" w:fill="FFFFFF"/>
            <w:noWrap/>
            <w:vAlign w:val="bottom"/>
            <w:hideMark/>
          </w:tcPr>
          <w:p w:rsidR="00C25744" w:rsidRPr="00A438A0" w:rsidRDefault="00C25744" w:rsidP="00C25744">
            <w:pPr>
              <w:rPr>
                <w:color w:val="000000"/>
                <w:sz w:val="20"/>
                <w:szCs w:val="20"/>
              </w:rPr>
            </w:pPr>
            <w:r w:rsidRPr="00A438A0">
              <w:rPr>
                <w:color w:val="000000"/>
                <w:sz w:val="20"/>
                <w:szCs w:val="20"/>
              </w:rPr>
              <w:t> </w:t>
            </w:r>
          </w:p>
        </w:tc>
        <w:tc>
          <w:tcPr>
            <w:tcW w:w="1510" w:type="pct"/>
            <w:tcBorders>
              <w:top w:val="nil"/>
              <w:left w:val="nil"/>
              <w:bottom w:val="single" w:sz="8" w:space="0" w:color="auto"/>
              <w:right w:val="nil"/>
            </w:tcBorders>
            <w:shd w:val="clear" w:color="000000" w:fill="FFFFFF"/>
            <w:noWrap/>
            <w:vAlign w:val="bottom"/>
            <w:hideMark/>
          </w:tcPr>
          <w:p w:rsidR="00C25744" w:rsidRPr="00A438A0" w:rsidRDefault="00C25744" w:rsidP="00C25744">
            <w:pPr>
              <w:rPr>
                <w:rFonts w:ascii="Arial" w:hAnsi="Arial" w:cs="Arial"/>
                <w:b/>
                <w:bCs/>
              </w:rPr>
            </w:pPr>
            <w:r w:rsidRPr="00A438A0">
              <w:rPr>
                <w:rFonts w:ascii="Arial" w:hAnsi="Arial" w:cs="Arial"/>
                <w:b/>
                <w:bCs/>
              </w:rPr>
              <w:t>Test Year Ended 12/31/14</w:t>
            </w:r>
          </w:p>
        </w:tc>
        <w:tc>
          <w:tcPr>
            <w:tcW w:w="458" w:type="pct"/>
            <w:tcBorders>
              <w:top w:val="nil"/>
              <w:left w:val="nil"/>
              <w:bottom w:val="single" w:sz="8" w:space="0" w:color="auto"/>
              <w:right w:val="nil"/>
            </w:tcBorders>
            <w:shd w:val="clear" w:color="000000" w:fill="FFFFFF"/>
            <w:noWrap/>
            <w:vAlign w:val="bottom"/>
            <w:hideMark/>
          </w:tcPr>
          <w:p w:rsidR="00C25744" w:rsidRPr="00A438A0" w:rsidRDefault="00C25744" w:rsidP="00C25744">
            <w:pPr>
              <w:rPr>
                <w:rFonts w:ascii="Arial" w:hAnsi="Arial" w:cs="Arial"/>
              </w:rPr>
            </w:pPr>
            <w:r w:rsidRPr="00A438A0">
              <w:rPr>
                <w:rFonts w:ascii="Arial" w:hAnsi="Arial" w:cs="Arial"/>
              </w:rPr>
              <w:t> </w:t>
            </w:r>
          </w:p>
        </w:tc>
        <w:tc>
          <w:tcPr>
            <w:tcW w:w="405" w:type="pct"/>
            <w:tcBorders>
              <w:top w:val="nil"/>
              <w:left w:val="nil"/>
              <w:bottom w:val="single" w:sz="8" w:space="0" w:color="auto"/>
              <w:right w:val="nil"/>
            </w:tcBorders>
            <w:shd w:val="clear" w:color="000000" w:fill="FFFFFF"/>
            <w:noWrap/>
            <w:vAlign w:val="bottom"/>
            <w:hideMark/>
          </w:tcPr>
          <w:p w:rsidR="00C25744" w:rsidRPr="00A438A0" w:rsidRDefault="00C25744" w:rsidP="00C25744">
            <w:pPr>
              <w:rPr>
                <w:rFonts w:ascii="Arial" w:hAnsi="Arial" w:cs="Arial"/>
              </w:rPr>
            </w:pPr>
            <w:r w:rsidRPr="00A438A0">
              <w:rPr>
                <w:rFonts w:ascii="Arial" w:hAnsi="Arial" w:cs="Arial"/>
              </w:rPr>
              <w:t> </w:t>
            </w:r>
          </w:p>
        </w:tc>
        <w:tc>
          <w:tcPr>
            <w:tcW w:w="490" w:type="pct"/>
            <w:tcBorders>
              <w:top w:val="nil"/>
              <w:left w:val="nil"/>
              <w:bottom w:val="single" w:sz="8" w:space="0" w:color="auto"/>
              <w:right w:val="nil"/>
            </w:tcBorders>
            <w:shd w:val="clear" w:color="000000" w:fill="FFFFFF"/>
            <w:noWrap/>
            <w:vAlign w:val="bottom"/>
            <w:hideMark/>
          </w:tcPr>
          <w:p w:rsidR="00C25744" w:rsidRPr="00A438A0" w:rsidRDefault="00C25744" w:rsidP="00C25744">
            <w:pPr>
              <w:rPr>
                <w:rFonts w:ascii="Arial" w:hAnsi="Arial" w:cs="Arial"/>
              </w:rPr>
            </w:pPr>
            <w:r w:rsidRPr="00A438A0">
              <w:rPr>
                <w:rFonts w:ascii="Arial" w:hAnsi="Arial" w:cs="Arial"/>
              </w:rPr>
              <w:t> </w:t>
            </w:r>
          </w:p>
        </w:tc>
        <w:tc>
          <w:tcPr>
            <w:tcW w:w="464" w:type="pct"/>
            <w:tcBorders>
              <w:top w:val="nil"/>
              <w:left w:val="nil"/>
              <w:bottom w:val="single" w:sz="8" w:space="0" w:color="auto"/>
              <w:right w:val="nil"/>
            </w:tcBorders>
            <w:shd w:val="clear" w:color="000000" w:fill="FFFFFF"/>
            <w:noWrap/>
            <w:vAlign w:val="bottom"/>
            <w:hideMark/>
          </w:tcPr>
          <w:p w:rsidR="00C25744" w:rsidRPr="00A438A0" w:rsidRDefault="00C25744" w:rsidP="00C25744">
            <w:pPr>
              <w:rPr>
                <w:rFonts w:ascii="Arial" w:hAnsi="Arial" w:cs="Arial"/>
              </w:rPr>
            </w:pPr>
            <w:r w:rsidRPr="00A438A0">
              <w:rPr>
                <w:rFonts w:ascii="Arial" w:hAnsi="Arial" w:cs="Arial"/>
              </w:rPr>
              <w:t> </w:t>
            </w:r>
          </w:p>
        </w:tc>
        <w:tc>
          <w:tcPr>
            <w:tcW w:w="465" w:type="pct"/>
            <w:tcBorders>
              <w:top w:val="nil"/>
              <w:left w:val="nil"/>
              <w:bottom w:val="single" w:sz="8" w:space="0" w:color="auto"/>
              <w:right w:val="nil"/>
            </w:tcBorders>
            <w:shd w:val="clear" w:color="000000" w:fill="FFFFFF"/>
            <w:noWrap/>
            <w:vAlign w:val="bottom"/>
            <w:hideMark/>
          </w:tcPr>
          <w:p w:rsidR="00C25744" w:rsidRPr="00A438A0" w:rsidRDefault="00C25744" w:rsidP="00C25744">
            <w:pPr>
              <w:rPr>
                <w:rFonts w:ascii="Arial" w:hAnsi="Arial" w:cs="Arial"/>
              </w:rPr>
            </w:pPr>
            <w:r w:rsidRPr="00A438A0">
              <w:rPr>
                <w:rFonts w:ascii="Arial" w:hAnsi="Arial" w:cs="Arial"/>
              </w:rPr>
              <w:t> </w:t>
            </w:r>
          </w:p>
        </w:tc>
        <w:tc>
          <w:tcPr>
            <w:tcW w:w="406" w:type="pct"/>
            <w:tcBorders>
              <w:top w:val="nil"/>
              <w:left w:val="nil"/>
              <w:bottom w:val="single" w:sz="8" w:space="0" w:color="auto"/>
              <w:right w:val="nil"/>
            </w:tcBorders>
            <w:shd w:val="clear" w:color="000000" w:fill="FFFFFF"/>
            <w:noWrap/>
            <w:vAlign w:val="bottom"/>
            <w:hideMark/>
          </w:tcPr>
          <w:p w:rsidR="00C25744" w:rsidRPr="00A438A0" w:rsidRDefault="00C25744" w:rsidP="00C25744">
            <w:pPr>
              <w:rPr>
                <w:rFonts w:ascii="Arial" w:hAnsi="Arial" w:cs="Arial"/>
                <w:b/>
                <w:bCs/>
              </w:rPr>
            </w:pPr>
            <w:r w:rsidRPr="00A438A0">
              <w:rPr>
                <w:rFonts w:ascii="Arial" w:hAnsi="Arial" w:cs="Arial"/>
                <w:b/>
                <w:bCs/>
              </w:rPr>
              <w:t> </w:t>
            </w:r>
          </w:p>
        </w:tc>
        <w:tc>
          <w:tcPr>
            <w:tcW w:w="642" w:type="pct"/>
            <w:tcBorders>
              <w:top w:val="nil"/>
              <w:left w:val="nil"/>
              <w:bottom w:val="single" w:sz="8" w:space="0" w:color="auto"/>
              <w:right w:val="single" w:sz="8" w:space="0" w:color="auto"/>
            </w:tcBorders>
            <w:shd w:val="clear" w:color="000000" w:fill="FFFFFF"/>
            <w:noWrap/>
            <w:vAlign w:val="bottom"/>
            <w:hideMark/>
          </w:tcPr>
          <w:p w:rsidR="00C25744" w:rsidRPr="00A438A0" w:rsidRDefault="00C25744" w:rsidP="00C25744">
            <w:pPr>
              <w:rPr>
                <w:rFonts w:ascii="Arial" w:hAnsi="Arial" w:cs="Arial"/>
                <w:b/>
                <w:bCs/>
              </w:rPr>
            </w:pPr>
            <w:r w:rsidRPr="00A438A0">
              <w:rPr>
                <w:rFonts w:ascii="Arial" w:hAnsi="Arial" w:cs="Arial"/>
                <w:b/>
                <w:bCs/>
              </w:rPr>
              <w:t> </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b/>
                <w:bCs/>
                <w:sz w:val="20"/>
                <w:szCs w:val="20"/>
              </w:rPr>
            </w:pPr>
            <w:r w:rsidRPr="00A438A0">
              <w:rPr>
                <w:b/>
                <w:bCs/>
                <w:sz w:val="20"/>
                <w:szCs w:val="20"/>
              </w:rPr>
              <w:t> </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jc w:val="center"/>
              <w:rPr>
                <w:b/>
                <w:bCs/>
                <w:sz w:val="20"/>
                <w:szCs w:val="20"/>
              </w:rPr>
            </w:pPr>
            <w:r w:rsidRPr="00A438A0">
              <w:rPr>
                <w:b/>
                <w:bCs/>
                <w:sz w:val="20"/>
                <w:szCs w:val="20"/>
              </w:rPr>
              <w:t>Test Year</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jc w:val="center"/>
              <w:rPr>
                <w:b/>
                <w:bCs/>
                <w:sz w:val="20"/>
                <w:szCs w:val="20"/>
              </w:rPr>
            </w:pPr>
            <w:r w:rsidRPr="00A438A0">
              <w:rPr>
                <w:b/>
                <w:bCs/>
                <w:sz w:val="20"/>
                <w:szCs w:val="20"/>
              </w:rPr>
              <w:t>Utility</w:t>
            </w: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jc w:val="center"/>
              <w:rPr>
                <w:b/>
                <w:bCs/>
                <w:sz w:val="20"/>
                <w:szCs w:val="20"/>
              </w:rPr>
            </w:pPr>
            <w:r w:rsidRPr="00A438A0">
              <w:rPr>
                <w:b/>
                <w:bCs/>
                <w:sz w:val="20"/>
                <w:szCs w:val="20"/>
              </w:rPr>
              <w:t>Adjusted</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jc w:val="center"/>
              <w:rPr>
                <w:b/>
                <w:bCs/>
                <w:sz w:val="20"/>
                <w:szCs w:val="20"/>
              </w:rPr>
            </w:pPr>
            <w:r w:rsidRPr="00A438A0">
              <w:rPr>
                <w:b/>
                <w:bCs/>
                <w:sz w:val="20"/>
                <w:szCs w:val="20"/>
              </w:rPr>
              <w:t>Staff</w:t>
            </w: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jc w:val="center"/>
              <w:rPr>
                <w:b/>
                <w:bCs/>
                <w:sz w:val="20"/>
                <w:szCs w:val="20"/>
              </w:rPr>
            </w:pPr>
            <w:r w:rsidRPr="00A438A0">
              <w:rPr>
                <w:b/>
                <w:bCs/>
                <w:sz w:val="20"/>
                <w:szCs w:val="20"/>
              </w:rPr>
              <w:t>Staff</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rPr>
                <w:b/>
                <w:bCs/>
                <w:sz w:val="20"/>
                <w:szCs w:val="20"/>
              </w:rPr>
            </w:pPr>
            <w:r w:rsidRPr="00A438A0">
              <w:rPr>
                <w:b/>
                <w:bCs/>
                <w:sz w:val="20"/>
                <w:szCs w:val="20"/>
              </w:rPr>
              <w:t> </w:t>
            </w: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rPr>
                <w:b/>
                <w:bCs/>
                <w:sz w:val="20"/>
                <w:szCs w:val="20"/>
              </w:rPr>
            </w:pPr>
            <w:r w:rsidRPr="00A438A0">
              <w:rPr>
                <w:b/>
                <w:bCs/>
                <w:sz w:val="20"/>
                <w:szCs w:val="20"/>
              </w:rPr>
              <w:t> </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b/>
                <w:bCs/>
                <w:sz w:val="20"/>
                <w:szCs w:val="20"/>
              </w:rPr>
            </w:pPr>
            <w:r w:rsidRPr="00A438A0">
              <w:rPr>
                <w:b/>
                <w:bCs/>
                <w:sz w:val="20"/>
                <w:szCs w:val="20"/>
              </w:rPr>
              <w:t> </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jc w:val="center"/>
              <w:rPr>
                <w:b/>
                <w:bCs/>
                <w:sz w:val="20"/>
                <w:szCs w:val="20"/>
              </w:rPr>
            </w:pPr>
            <w:r w:rsidRPr="00A438A0">
              <w:rPr>
                <w:b/>
                <w:bCs/>
                <w:sz w:val="20"/>
                <w:szCs w:val="20"/>
              </w:rPr>
              <w:t>Per</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jc w:val="center"/>
              <w:rPr>
                <w:b/>
                <w:bCs/>
                <w:sz w:val="20"/>
                <w:szCs w:val="20"/>
              </w:rPr>
            </w:pPr>
            <w:r w:rsidRPr="00A438A0">
              <w:rPr>
                <w:b/>
                <w:bCs/>
                <w:sz w:val="20"/>
                <w:szCs w:val="20"/>
              </w:rPr>
              <w:t>Adjust-</w:t>
            </w: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jc w:val="center"/>
              <w:rPr>
                <w:b/>
                <w:bCs/>
                <w:sz w:val="20"/>
                <w:szCs w:val="20"/>
              </w:rPr>
            </w:pPr>
            <w:r w:rsidRPr="00A438A0">
              <w:rPr>
                <w:b/>
                <w:bCs/>
                <w:sz w:val="20"/>
                <w:szCs w:val="20"/>
              </w:rPr>
              <w:t>Test Year</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jc w:val="center"/>
              <w:rPr>
                <w:b/>
                <w:bCs/>
                <w:sz w:val="20"/>
                <w:szCs w:val="20"/>
              </w:rPr>
            </w:pPr>
            <w:r w:rsidRPr="00A438A0">
              <w:rPr>
                <w:b/>
                <w:bCs/>
                <w:sz w:val="20"/>
                <w:szCs w:val="20"/>
              </w:rPr>
              <w:t>Adjust-</w:t>
            </w: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jc w:val="center"/>
              <w:rPr>
                <w:b/>
                <w:bCs/>
                <w:sz w:val="20"/>
                <w:szCs w:val="20"/>
              </w:rPr>
            </w:pPr>
            <w:r w:rsidRPr="00A438A0">
              <w:rPr>
                <w:b/>
                <w:bCs/>
                <w:sz w:val="20"/>
                <w:szCs w:val="20"/>
              </w:rPr>
              <w:t>Adjusted</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jc w:val="center"/>
              <w:rPr>
                <w:b/>
                <w:bCs/>
                <w:sz w:val="20"/>
                <w:szCs w:val="20"/>
              </w:rPr>
            </w:pPr>
            <w:r w:rsidRPr="00A438A0">
              <w:rPr>
                <w:b/>
                <w:bCs/>
                <w:sz w:val="20"/>
                <w:szCs w:val="20"/>
              </w:rPr>
              <w:t>Revenue</w:t>
            </w: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center"/>
              <w:rPr>
                <w:b/>
                <w:bCs/>
                <w:sz w:val="20"/>
                <w:szCs w:val="20"/>
              </w:rPr>
            </w:pPr>
            <w:r w:rsidRPr="00A438A0">
              <w:rPr>
                <w:b/>
                <w:bCs/>
                <w:sz w:val="20"/>
                <w:szCs w:val="20"/>
              </w:rPr>
              <w:t>Revenue</w:t>
            </w:r>
          </w:p>
        </w:tc>
      </w:tr>
      <w:tr w:rsidR="00C25744" w:rsidRPr="00A438A0" w:rsidTr="00C25744">
        <w:trPr>
          <w:trHeight w:val="315"/>
          <w:jc w:val="center"/>
        </w:trPr>
        <w:tc>
          <w:tcPr>
            <w:tcW w:w="160" w:type="pct"/>
            <w:tcBorders>
              <w:top w:val="nil"/>
              <w:left w:val="single" w:sz="8" w:space="0" w:color="auto"/>
              <w:bottom w:val="single" w:sz="8" w:space="0" w:color="auto"/>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1510" w:type="pct"/>
            <w:tcBorders>
              <w:top w:val="nil"/>
              <w:left w:val="nil"/>
              <w:bottom w:val="single" w:sz="8" w:space="0" w:color="auto"/>
              <w:right w:val="nil"/>
            </w:tcBorders>
            <w:shd w:val="clear" w:color="000000" w:fill="FFFFFF"/>
            <w:noWrap/>
            <w:vAlign w:val="bottom"/>
            <w:hideMark/>
          </w:tcPr>
          <w:p w:rsidR="00C25744" w:rsidRPr="00A438A0" w:rsidRDefault="00C25744" w:rsidP="00C25744">
            <w:pPr>
              <w:rPr>
                <w:b/>
                <w:bCs/>
                <w:sz w:val="20"/>
                <w:szCs w:val="20"/>
              </w:rPr>
            </w:pPr>
            <w:r w:rsidRPr="00A438A0">
              <w:rPr>
                <w:b/>
                <w:bCs/>
                <w:sz w:val="20"/>
                <w:szCs w:val="20"/>
              </w:rPr>
              <w:t>Description</w:t>
            </w:r>
          </w:p>
        </w:tc>
        <w:tc>
          <w:tcPr>
            <w:tcW w:w="458" w:type="pct"/>
            <w:tcBorders>
              <w:top w:val="nil"/>
              <w:left w:val="nil"/>
              <w:bottom w:val="single" w:sz="8" w:space="0" w:color="auto"/>
              <w:right w:val="nil"/>
            </w:tcBorders>
            <w:shd w:val="clear" w:color="000000" w:fill="FFFFFF"/>
            <w:noWrap/>
            <w:vAlign w:val="bottom"/>
            <w:hideMark/>
          </w:tcPr>
          <w:p w:rsidR="00C25744" w:rsidRPr="00A438A0" w:rsidRDefault="00C25744" w:rsidP="00C25744">
            <w:pPr>
              <w:jc w:val="center"/>
              <w:rPr>
                <w:b/>
                <w:bCs/>
                <w:sz w:val="20"/>
                <w:szCs w:val="20"/>
              </w:rPr>
            </w:pPr>
            <w:r w:rsidRPr="00A438A0">
              <w:rPr>
                <w:b/>
                <w:bCs/>
                <w:sz w:val="20"/>
                <w:szCs w:val="20"/>
              </w:rPr>
              <w:t>Utility</w:t>
            </w:r>
          </w:p>
        </w:tc>
        <w:tc>
          <w:tcPr>
            <w:tcW w:w="405" w:type="pct"/>
            <w:tcBorders>
              <w:top w:val="nil"/>
              <w:left w:val="nil"/>
              <w:bottom w:val="single" w:sz="8" w:space="0" w:color="auto"/>
              <w:right w:val="nil"/>
            </w:tcBorders>
            <w:shd w:val="clear" w:color="000000" w:fill="FFFFFF"/>
            <w:noWrap/>
            <w:vAlign w:val="bottom"/>
            <w:hideMark/>
          </w:tcPr>
          <w:p w:rsidR="00C25744" w:rsidRPr="00A438A0" w:rsidRDefault="00C25744" w:rsidP="00C25744">
            <w:pPr>
              <w:jc w:val="center"/>
              <w:rPr>
                <w:b/>
                <w:bCs/>
                <w:sz w:val="20"/>
                <w:szCs w:val="20"/>
              </w:rPr>
            </w:pPr>
            <w:r w:rsidRPr="00A438A0">
              <w:rPr>
                <w:b/>
                <w:bCs/>
                <w:sz w:val="20"/>
                <w:szCs w:val="20"/>
              </w:rPr>
              <w:t>ments</w:t>
            </w:r>
          </w:p>
        </w:tc>
        <w:tc>
          <w:tcPr>
            <w:tcW w:w="490" w:type="pct"/>
            <w:tcBorders>
              <w:top w:val="nil"/>
              <w:left w:val="nil"/>
              <w:bottom w:val="single" w:sz="8" w:space="0" w:color="auto"/>
              <w:right w:val="nil"/>
            </w:tcBorders>
            <w:shd w:val="clear" w:color="000000" w:fill="FFFFFF"/>
            <w:noWrap/>
            <w:vAlign w:val="bottom"/>
            <w:hideMark/>
          </w:tcPr>
          <w:p w:rsidR="00C25744" w:rsidRPr="00A438A0" w:rsidRDefault="00C25744" w:rsidP="00C25744">
            <w:pPr>
              <w:jc w:val="center"/>
              <w:rPr>
                <w:b/>
                <w:bCs/>
                <w:sz w:val="20"/>
                <w:szCs w:val="20"/>
              </w:rPr>
            </w:pPr>
            <w:r w:rsidRPr="00A438A0">
              <w:rPr>
                <w:b/>
                <w:bCs/>
                <w:sz w:val="20"/>
                <w:szCs w:val="20"/>
              </w:rPr>
              <w:t>Per Utility</w:t>
            </w:r>
          </w:p>
        </w:tc>
        <w:tc>
          <w:tcPr>
            <w:tcW w:w="464" w:type="pct"/>
            <w:tcBorders>
              <w:top w:val="nil"/>
              <w:left w:val="nil"/>
              <w:bottom w:val="single" w:sz="8" w:space="0" w:color="auto"/>
              <w:right w:val="nil"/>
            </w:tcBorders>
            <w:shd w:val="clear" w:color="000000" w:fill="FFFFFF"/>
            <w:noWrap/>
            <w:vAlign w:val="bottom"/>
            <w:hideMark/>
          </w:tcPr>
          <w:p w:rsidR="00C25744" w:rsidRPr="00A438A0" w:rsidRDefault="00C25744" w:rsidP="00C25744">
            <w:pPr>
              <w:jc w:val="center"/>
              <w:rPr>
                <w:b/>
                <w:bCs/>
                <w:sz w:val="20"/>
                <w:szCs w:val="20"/>
              </w:rPr>
            </w:pPr>
            <w:r w:rsidRPr="00A438A0">
              <w:rPr>
                <w:b/>
                <w:bCs/>
                <w:sz w:val="20"/>
                <w:szCs w:val="20"/>
              </w:rPr>
              <w:t>ments</w:t>
            </w:r>
          </w:p>
        </w:tc>
        <w:tc>
          <w:tcPr>
            <w:tcW w:w="465" w:type="pct"/>
            <w:tcBorders>
              <w:top w:val="nil"/>
              <w:left w:val="nil"/>
              <w:bottom w:val="single" w:sz="8" w:space="0" w:color="auto"/>
              <w:right w:val="nil"/>
            </w:tcBorders>
            <w:shd w:val="clear" w:color="000000" w:fill="FFFFFF"/>
            <w:noWrap/>
            <w:vAlign w:val="bottom"/>
            <w:hideMark/>
          </w:tcPr>
          <w:p w:rsidR="00C25744" w:rsidRPr="00A438A0" w:rsidRDefault="00C25744" w:rsidP="00C25744">
            <w:pPr>
              <w:jc w:val="center"/>
              <w:rPr>
                <w:b/>
                <w:bCs/>
                <w:sz w:val="20"/>
                <w:szCs w:val="20"/>
              </w:rPr>
            </w:pPr>
            <w:r w:rsidRPr="00A438A0">
              <w:rPr>
                <w:b/>
                <w:bCs/>
                <w:sz w:val="20"/>
                <w:szCs w:val="20"/>
              </w:rPr>
              <w:t>Test Year</w:t>
            </w:r>
          </w:p>
        </w:tc>
        <w:tc>
          <w:tcPr>
            <w:tcW w:w="406" w:type="pct"/>
            <w:tcBorders>
              <w:top w:val="nil"/>
              <w:left w:val="nil"/>
              <w:bottom w:val="single" w:sz="8" w:space="0" w:color="auto"/>
              <w:right w:val="nil"/>
            </w:tcBorders>
            <w:shd w:val="clear" w:color="000000" w:fill="FFFFFF"/>
            <w:noWrap/>
            <w:vAlign w:val="bottom"/>
            <w:hideMark/>
          </w:tcPr>
          <w:p w:rsidR="00C25744" w:rsidRPr="00A438A0" w:rsidRDefault="00C25744" w:rsidP="00C25744">
            <w:pPr>
              <w:jc w:val="center"/>
              <w:rPr>
                <w:b/>
                <w:bCs/>
                <w:sz w:val="20"/>
                <w:szCs w:val="20"/>
              </w:rPr>
            </w:pPr>
            <w:r w:rsidRPr="00A438A0">
              <w:rPr>
                <w:b/>
                <w:bCs/>
                <w:sz w:val="20"/>
                <w:szCs w:val="20"/>
              </w:rPr>
              <w:t>Increase</w:t>
            </w:r>
          </w:p>
        </w:tc>
        <w:tc>
          <w:tcPr>
            <w:tcW w:w="642" w:type="pct"/>
            <w:tcBorders>
              <w:top w:val="nil"/>
              <w:left w:val="nil"/>
              <w:bottom w:val="single" w:sz="8" w:space="0" w:color="auto"/>
              <w:right w:val="single" w:sz="8" w:space="0" w:color="auto"/>
            </w:tcBorders>
            <w:shd w:val="clear" w:color="000000" w:fill="FFFFFF"/>
            <w:noWrap/>
            <w:vAlign w:val="bottom"/>
            <w:hideMark/>
          </w:tcPr>
          <w:p w:rsidR="00C25744" w:rsidRPr="00A438A0" w:rsidRDefault="00C25744" w:rsidP="00C25744">
            <w:pPr>
              <w:jc w:val="center"/>
              <w:rPr>
                <w:b/>
                <w:bCs/>
                <w:sz w:val="20"/>
                <w:szCs w:val="20"/>
              </w:rPr>
            </w:pPr>
            <w:r w:rsidRPr="00A438A0">
              <w:rPr>
                <w:b/>
                <w:bCs/>
                <w:sz w:val="20"/>
                <w:szCs w:val="20"/>
              </w:rPr>
              <w:t>Requirement</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1</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b/>
                <w:bCs/>
                <w:sz w:val="20"/>
                <w:szCs w:val="20"/>
              </w:rPr>
            </w:pPr>
            <w:r w:rsidRPr="00A438A0">
              <w:rPr>
                <w:b/>
                <w:bCs/>
                <w:sz w:val="20"/>
                <w:szCs w:val="20"/>
              </w:rPr>
              <w:t>Operating Revenues:</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r w:rsidRPr="00A438A0">
              <w:rPr>
                <w:sz w:val="20"/>
                <w:szCs w:val="20"/>
                <w:u w:val="single"/>
              </w:rPr>
              <w:t xml:space="preserve">$668,757 </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r w:rsidRPr="00A438A0">
              <w:rPr>
                <w:sz w:val="20"/>
                <w:szCs w:val="20"/>
                <w:u w:val="single"/>
              </w:rPr>
              <w:t xml:space="preserve">$951,993 </w:t>
            </w: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r w:rsidRPr="00A438A0">
              <w:rPr>
                <w:sz w:val="20"/>
                <w:szCs w:val="20"/>
                <w:u w:val="single"/>
              </w:rPr>
              <w:t xml:space="preserve">$1,620,750 </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r w:rsidRPr="00A438A0">
              <w:rPr>
                <w:sz w:val="20"/>
                <w:szCs w:val="20"/>
                <w:u w:val="single"/>
              </w:rPr>
              <w:t>($954,628)</w:t>
            </w: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r w:rsidRPr="00A438A0">
              <w:rPr>
                <w:sz w:val="20"/>
                <w:szCs w:val="20"/>
                <w:u w:val="single"/>
              </w:rPr>
              <w:t xml:space="preserve">$666,122 </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r w:rsidRPr="00A438A0">
              <w:rPr>
                <w:sz w:val="20"/>
                <w:szCs w:val="20"/>
                <w:u w:val="single"/>
              </w:rPr>
              <w:t xml:space="preserve">$626,375 </w:t>
            </w: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u w:val="single"/>
              </w:rPr>
            </w:pPr>
            <w:r w:rsidRPr="00A438A0">
              <w:rPr>
                <w:sz w:val="20"/>
                <w:szCs w:val="20"/>
                <w:u w:val="single"/>
              </w:rPr>
              <w:t xml:space="preserve">$1,292,497 </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94.03%</w:t>
            </w: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b/>
                <w:bCs/>
                <w:sz w:val="20"/>
                <w:szCs w:val="20"/>
              </w:rPr>
            </w:pPr>
            <w:r w:rsidRPr="00A438A0">
              <w:rPr>
                <w:b/>
                <w:bCs/>
                <w:sz w:val="20"/>
                <w:szCs w:val="20"/>
              </w:rPr>
              <w:t>Operating Expenses</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2</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xml:space="preserve">    Operation &amp; Maintenance</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$581,100 </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$116,957 </w:t>
            </w: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$698,057 </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($132,877)</w:t>
            </w: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$565,180 </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$0 </w:t>
            </w: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$565,180 </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3</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xml:space="preserve">    Depreciation</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264,739 </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(71,698)</w:t>
            </w: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193,041 </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(5,558)</w:t>
            </w: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187,483 </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0 </w:t>
            </w: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187,483 </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4</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xml:space="preserve">    Amortization</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0 </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10,412 </w:t>
            </w: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10,412 </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(642)</w:t>
            </w: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9,770 </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0 </w:t>
            </w: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9,770 </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5</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xml:space="preserve">    Taxes Other Than Income</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113,952 </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57,013 </w:t>
            </w: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170,965 </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(55,253)</w:t>
            </w: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115,712 </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28,187 </w:t>
            </w: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143,899 </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6</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xml:space="preserve">    Income Taxes</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r w:rsidRPr="00A438A0">
              <w:rPr>
                <w:sz w:val="20"/>
                <w:szCs w:val="20"/>
                <w:u w:val="single"/>
              </w:rPr>
              <w:t>(118,083)</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r w:rsidRPr="00A438A0">
              <w:rPr>
                <w:sz w:val="20"/>
                <w:szCs w:val="20"/>
                <w:u w:val="single"/>
              </w:rPr>
              <w:t xml:space="preserve">265,055 </w:t>
            </w: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r w:rsidRPr="00A438A0">
              <w:rPr>
                <w:sz w:val="20"/>
                <w:szCs w:val="20"/>
                <w:u w:val="single"/>
              </w:rPr>
              <w:t xml:space="preserve">146,972 </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r w:rsidRPr="00A438A0">
              <w:rPr>
                <w:sz w:val="20"/>
                <w:szCs w:val="20"/>
                <w:u w:val="single"/>
              </w:rPr>
              <w:t>(268,114)</w:t>
            </w: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r w:rsidRPr="00A438A0">
              <w:rPr>
                <w:sz w:val="20"/>
                <w:szCs w:val="20"/>
                <w:u w:val="single"/>
              </w:rPr>
              <w:t>(121,142)</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r w:rsidRPr="00A438A0">
              <w:rPr>
                <w:sz w:val="20"/>
                <w:szCs w:val="20"/>
                <w:u w:val="single"/>
              </w:rPr>
              <w:t xml:space="preserve">225,098 </w:t>
            </w: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u w:val="single"/>
              </w:rPr>
            </w:pPr>
            <w:r w:rsidRPr="00A438A0">
              <w:rPr>
                <w:sz w:val="20"/>
                <w:szCs w:val="20"/>
                <w:u w:val="single"/>
              </w:rPr>
              <w:t xml:space="preserve">103,956 </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7</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b/>
                <w:bCs/>
                <w:sz w:val="20"/>
                <w:szCs w:val="20"/>
              </w:rPr>
            </w:pPr>
            <w:r w:rsidRPr="00A438A0">
              <w:rPr>
                <w:b/>
                <w:bCs/>
                <w:sz w:val="20"/>
                <w:szCs w:val="20"/>
              </w:rPr>
              <w:t>Total Operating Expense</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r w:rsidRPr="00A438A0">
              <w:rPr>
                <w:sz w:val="20"/>
                <w:szCs w:val="20"/>
                <w:u w:val="single"/>
              </w:rPr>
              <w:t xml:space="preserve">841,708 </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r w:rsidRPr="00A438A0">
              <w:rPr>
                <w:sz w:val="20"/>
                <w:szCs w:val="20"/>
                <w:u w:val="single"/>
              </w:rPr>
              <w:t xml:space="preserve">377,739 </w:t>
            </w: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r w:rsidRPr="00A438A0">
              <w:rPr>
                <w:sz w:val="20"/>
                <w:szCs w:val="20"/>
                <w:u w:val="single"/>
              </w:rPr>
              <w:t xml:space="preserve">1,219,447 </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r w:rsidRPr="00A438A0">
              <w:rPr>
                <w:sz w:val="20"/>
                <w:szCs w:val="20"/>
                <w:u w:val="single"/>
              </w:rPr>
              <w:t>(462,443)</w:t>
            </w: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r w:rsidRPr="00A438A0">
              <w:rPr>
                <w:sz w:val="20"/>
                <w:szCs w:val="20"/>
                <w:u w:val="single"/>
              </w:rPr>
              <w:t xml:space="preserve">757,004 </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r w:rsidRPr="00A438A0">
              <w:rPr>
                <w:sz w:val="20"/>
                <w:szCs w:val="20"/>
                <w:u w:val="single"/>
              </w:rPr>
              <w:t xml:space="preserve">253,285 </w:t>
            </w: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u w:val="single"/>
              </w:rPr>
            </w:pPr>
            <w:r w:rsidRPr="00A438A0">
              <w:rPr>
                <w:sz w:val="20"/>
                <w:szCs w:val="20"/>
                <w:u w:val="single"/>
              </w:rPr>
              <w:t xml:space="preserve">1,010,288 </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8</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b/>
                <w:bCs/>
                <w:sz w:val="20"/>
                <w:szCs w:val="20"/>
              </w:rPr>
            </w:pPr>
            <w:r w:rsidRPr="00A438A0">
              <w:rPr>
                <w:b/>
                <w:bCs/>
                <w:sz w:val="20"/>
                <w:szCs w:val="20"/>
              </w:rPr>
              <w:t>Operating Income</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r w:rsidRPr="00A438A0">
              <w:rPr>
                <w:sz w:val="20"/>
                <w:szCs w:val="20"/>
                <w:u w:val="double"/>
              </w:rPr>
              <w:t>($172,951)</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r w:rsidRPr="00A438A0">
              <w:rPr>
                <w:sz w:val="20"/>
                <w:szCs w:val="20"/>
                <w:u w:val="double"/>
              </w:rPr>
              <w:t xml:space="preserve">$574,254 </w:t>
            </w: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r w:rsidRPr="00A438A0">
              <w:rPr>
                <w:sz w:val="20"/>
                <w:szCs w:val="20"/>
                <w:u w:val="double"/>
              </w:rPr>
              <w:t xml:space="preserve">$401,303 </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r w:rsidRPr="00A438A0">
              <w:rPr>
                <w:sz w:val="20"/>
                <w:szCs w:val="20"/>
                <w:u w:val="double"/>
              </w:rPr>
              <w:t>($492,185)</w:t>
            </w: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r w:rsidRPr="00A438A0">
              <w:rPr>
                <w:sz w:val="20"/>
                <w:szCs w:val="20"/>
                <w:u w:val="double"/>
              </w:rPr>
              <w:t>($90,882)</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r w:rsidRPr="00A438A0">
              <w:rPr>
                <w:sz w:val="20"/>
                <w:szCs w:val="20"/>
                <w:u w:val="double"/>
              </w:rPr>
              <w:t xml:space="preserve">$373,090 </w:t>
            </w: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u w:val="double"/>
              </w:rPr>
            </w:pPr>
            <w:r w:rsidRPr="00A438A0">
              <w:rPr>
                <w:sz w:val="20"/>
                <w:szCs w:val="20"/>
                <w:u w:val="double"/>
              </w:rPr>
              <w:t xml:space="preserve">$282,208 </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9</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b/>
                <w:bCs/>
                <w:sz w:val="20"/>
                <w:szCs w:val="20"/>
              </w:rPr>
            </w:pPr>
            <w:r w:rsidRPr="00A438A0">
              <w:rPr>
                <w:b/>
                <w:bCs/>
                <w:sz w:val="20"/>
                <w:szCs w:val="20"/>
              </w:rPr>
              <w:t>Rate Base</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r w:rsidRPr="00A438A0">
              <w:rPr>
                <w:sz w:val="20"/>
                <w:szCs w:val="20"/>
                <w:u w:val="double"/>
              </w:rPr>
              <w:t xml:space="preserve">$3,468,701 </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r w:rsidRPr="00A438A0">
              <w:rPr>
                <w:sz w:val="20"/>
                <w:szCs w:val="20"/>
                <w:u w:val="double"/>
              </w:rPr>
              <w:t xml:space="preserve">$4,721,217 </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r w:rsidRPr="00A438A0">
              <w:rPr>
                <w:sz w:val="20"/>
                <w:szCs w:val="20"/>
                <w:u w:val="double"/>
              </w:rPr>
              <w:t xml:space="preserve">$3,561,327 </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u w:val="double"/>
              </w:rPr>
            </w:pPr>
            <w:r w:rsidRPr="00A438A0">
              <w:rPr>
                <w:sz w:val="20"/>
                <w:szCs w:val="20"/>
                <w:u w:val="double"/>
              </w:rPr>
              <w:t xml:space="preserve">$3,561,327 </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r>
      <w:tr w:rsidR="00C25744" w:rsidRPr="00A438A0" w:rsidTr="00C25744">
        <w:trPr>
          <w:trHeight w:val="300"/>
          <w:jc w:val="center"/>
        </w:trPr>
        <w:tc>
          <w:tcPr>
            <w:tcW w:w="160"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10</w:t>
            </w:r>
          </w:p>
        </w:tc>
        <w:tc>
          <w:tcPr>
            <w:tcW w:w="1510" w:type="pct"/>
            <w:tcBorders>
              <w:top w:val="nil"/>
              <w:left w:val="nil"/>
              <w:bottom w:val="nil"/>
              <w:right w:val="nil"/>
            </w:tcBorders>
            <w:shd w:val="clear" w:color="000000" w:fill="FFFFFF"/>
            <w:noWrap/>
            <w:vAlign w:val="bottom"/>
            <w:hideMark/>
          </w:tcPr>
          <w:p w:rsidR="00C25744" w:rsidRPr="00A438A0" w:rsidRDefault="00C25744" w:rsidP="00C25744">
            <w:pPr>
              <w:rPr>
                <w:b/>
                <w:bCs/>
                <w:sz w:val="20"/>
                <w:szCs w:val="20"/>
              </w:rPr>
            </w:pPr>
            <w:r w:rsidRPr="00A438A0">
              <w:rPr>
                <w:b/>
                <w:bCs/>
                <w:sz w:val="20"/>
                <w:szCs w:val="20"/>
              </w:rPr>
              <w:t>Rate of Return</w:t>
            </w:r>
          </w:p>
        </w:tc>
        <w:tc>
          <w:tcPr>
            <w:tcW w:w="458"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r w:rsidRPr="00A438A0">
              <w:rPr>
                <w:sz w:val="20"/>
                <w:szCs w:val="20"/>
                <w:u w:val="double"/>
              </w:rPr>
              <w:t>-4.99%</w:t>
            </w:r>
          </w:p>
        </w:tc>
        <w:tc>
          <w:tcPr>
            <w:tcW w:w="40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p>
        </w:tc>
        <w:tc>
          <w:tcPr>
            <w:tcW w:w="490"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r w:rsidRPr="00A438A0">
              <w:rPr>
                <w:sz w:val="20"/>
                <w:szCs w:val="20"/>
                <w:u w:val="double"/>
              </w:rPr>
              <w:t>8.50%</w:t>
            </w:r>
          </w:p>
        </w:tc>
        <w:tc>
          <w:tcPr>
            <w:tcW w:w="464"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p>
        </w:tc>
        <w:tc>
          <w:tcPr>
            <w:tcW w:w="465"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r w:rsidRPr="00A438A0">
              <w:rPr>
                <w:sz w:val="20"/>
                <w:szCs w:val="20"/>
                <w:u w:val="double"/>
              </w:rPr>
              <w:t>-2.52%</w:t>
            </w:r>
          </w:p>
        </w:tc>
        <w:tc>
          <w:tcPr>
            <w:tcW w:w="406"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p>
        </w:tc>
        <w:tc>
          <w:tcPr>
            <w:tcW w:w="642"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u w:val="double"/>
              </w:rPr>
            </w:pPr>
            <w:r w:rsidRPr="00A438A0">
              <w:rPr>
                <w:sz w:val="20"/>
                <w:szCs w:val="20"/>
                <w:u w:val="double"/>
              </w:rPr>
              <w:t>7.92%</w:t>
            </w:r>
          </w:p>
        </w:tc>
      </w:tr>
      <w:tr w:rsidR="00C25744" w:rsidRPr="00A438A0" w:rsidTr="00C25744">
        <w:trPr>
          <w:trHeight w:val="315"/>
          <w:jc w:val="center"/>
        </w:trPr>
        <w:tc>
          <w:tcPr>
            <w:tcW w:w="160" w:type="pct"/>
            <w:tcBorders>
              <w:top w:val="nil"/>
              <w:left w:val="single" w:sz="8" w:space="0" w:color="auto"/>
              <w:bottom w:val="single" w:sz="8" w:space="0" w:color="auto"/>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1510" w:type="pct"/>
            <w:tcBorders>
              <w:top w:val="nil"/>
              <w:left w:val="nil"/>
              <w:bottom w:val="single" w:sz="8" w:space="0" w:color="auto"/>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58" w:type="pct"/>
            <w:tcBorders>
              <w:top w:val="nil"/>
              <w:left w:val="nil"/>
              <w:bottom w:val="single" w:sz="8" w:space="0" w:color="auto"/>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05" w:type="pct"/>
            <w:tcBorders>
              <w:top w:val="nil"/>
              <w:left w:val="nil"/>
              <w:bottom w:val="single" w:sz="8" w:space="0" w:color="auto"/>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90" w:type="pct"/>
            <w:tcBorders>
              <w:top w:val="nil"/>
              <w:left w:val="nil"/>
              <w:bottom w:val="single" w:sz="8" w:space="0" w:color="auto"/>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64" w:type="pct"/>
            <w:tcBorders>
              <w:top w:val="nil"/>
              <w:left w:val="nil"/>
              <w:bottom w:val="single" w:sz="8" w:space="0" w:color="auto"/>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65" w:type="pct"/>
            <w:tcBorders>
              <w:top w:val="nil"/>
              <w:left w:val="nil"/>
              <w:bottom w:val="single" w:sz="8" w:space="0" w:color="auto"/>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406" w:type="pct"/>
            <w:tcBorders>
              <w:top w:val="nil"/>
              <w:left w:val="nil"/>
              <w:bottom w:val="single" w:sz="8" w:space="0" w:color="auto"/>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642" w:type="pct"/>
            <w:tcBorders>
              <w:top w:val="nil"/>
              <w:left w:val="nil"/>
              <w:bottom w:val="single" w:sz="8" w:space="0" w:color="auto"/>
              <w:right w:val="single" w:sz="8" w:space="0" w:color="auto"/>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r>
    </w:tbl>
    <w:p w:rsidR="00FA307D" w:rsidRPr="00A438A0" w:rsidRDefault="00FA307D">
      <w:pPr>
        <w:rPr>
          <w:sz w:val="20"/>
          <w:szCs w:val="20"/>
        </w:rPr>
        <w:sectPr w:rsidR="00FA307D" w:rsidRPr="00A438A0" w:rsidSect="00FA307D">
          <w:headerReference w:type="default" r:id="rId18"/>
          <w:pgSz w:w="15840" w:h="12240" w:orient="landscape" w:code="1"/>
          <w:pgMar w:top="1440" w:right="1584" w:bottom="1440" w:left="1440" w:header="720" w:footer="720" w:gutter="0"/>
          <w:cols w:space="720"/>
          <w:formProt w:val="0"/>
          <w:docGrid w:linePitch="360"/>
        </w:sectPr>
      </w:pPr>
    </w:p>
    <w:tbl>
      <w:tblPr>
        <w:tblW w:w="6355" w:type="pct"/>
        <w:tblLook w:val="04A0" w:firstRow="1" w:lastRow="0" w:firstColumn="1" w:lastColumn="0" w:noHBand="0" w:noVBand="1"/>
      </w:tblPr>
      <w:tblGrid>
        <w:gridCol w:w="530"/>
        <w:gridCol w:w="6166"/>
        <w:gridCol w:w="285"/>
        <w:gridCol w:w="2595"/>
        <w:gridCol w:w="2595"/>
      </w:tblGrid>
      <w:tr w:rsidR="00C25744" w:rsidRPr="00A438A0" w:rsidTr="00C25744">
        <w:trPr>
          <w:gridAfter w:val="1"/>
          <w:wAfter w:w="1066" w:type="pct"/>
          <w:trHeight w:val="315"/>
        </w:trPr>
        <w:tc>
          <w:tcPr>
            <w:tcW w:w="218" w:type="pct"/>
            <w:tcBorders>
              <w:top w:val="single" w:sz="8" w:space="0" w:color="auto"/>
              <w:left w:val="single" w:sz="8" w:space="0" w:color="auto"/>
              <w:bottom w:val="nil"/>
              <w:right w:val="nil"/>
            </w:tcBorders>
            <w:shd w:val="clear" w:color="000000" w:fill="FFFFFF"/>
            <w:noWrap/>
            <w:vAlign w:val="bottom"/>
            <w:hideMark/>
          </w:tcPr>
          <w:p w:rsidR="00C25744" w:rsidRPr="00A438A0" w:rsidRDefault="00C25744" w:rsidP="00C25744">
            <w:pPr>
              <w:rPr>
                <w:sz w:val="20"/>
                <w:szCs w:val="20"/>
              </w:rPr>
            </w:pPr>
            <w:bookmarkStart w:id="49" w:name="RANGE!A126:D167"/>
            <w:r w:rsidRPr="00A438A0">
              <w:rPr>
                <w:sz w:val="20"/>
                <w:szCs w:val="20"/>
              </w:rPr>
              <w:lastRenderedPageBreak/>
              <w:t> </w:t>
            </w:r>
            <w:bookmarkEnd w:id="49"/>
          </w:p>
        </w:tc>
        <w:tc>
          <w:tcPr>
            <w:tcW w:w="2533" w:type="pct"/>
            <w:tcBorders>
              <w:top w:val="single" w:sz="8" w:space="0" w:color="auto"/>
              <w:left w:val="nil"/>
              <w:bottom w:val="nil"/>
              <w:right w:val="nil"/>
            </w:tcBorders>
            <w:shd w:val="clear" w:color="auto" w:fill="auto"/>
            <w:noWrap/>
            <w:vAlign w:val="bottom"/>
            <w:hideMark/>
          </w:tcPr>
          <w:p w:rsidR="00C25744" w:rsidRPr="00A438A0" w:rsidRDefault="00C25744" w:rsidP="00C25744">
            <w:pPr>
              <w:rPr>
                <w:rFonts w:ascii="Arial" w:hAnsi="Arial" w:cs="Arial"/>
                <w:b/>
                <w:bCs/>
              </w:rPr>
            </w:pPr>
            <w:r w:rsidRPr="00A438A0">
              <w:rPr>
                <w:rFonts w:ascii="Arial" w:hAnsi="Arial" w:cs="Arial"/>
                <w:b/>
                <w:bCs/>
              </w:rPr>
              <w:t>Utilities, Inc. of Sandalhaven</w:t>
            </w:r>
          </w:p>
        </w:tc>
        <w:tc>
          <w:tcPr>
            <w:tcW w:w="1183" w:type="pct"/>
            <w:gridSpan w:val="2"/>
            <w:tcBorders>
              <w:top w:val="single" w:sz="8" w:space="0" w:color="auto"/>
              <w:left w:val="nil"/>
              <w:bottom w:val="nil"/>
              <w:right w:val="single" w:sz="8" w:space="0" w:color="000000"/>
            </w:tcBorders>
            <w:shd w:val="clear" w:color="000000" w:fill="FFFFFF"/>
            <w:noWrap/>
            <w:vAlign w:val="bottom"/>
            <w:hideMark/>
          </w:tcPr>
          <w:p w:rsidR="00C25744" w:rsidRPr="00A438A0" w:rsidRDefault="00C25744" w:rsidP="00C25744">
            <w:pPr>
              <w:jc w:val="right"/>
              <w:rPr>
                <w:rFonts w:ascii="Arial" w:hAnsi="Arial" w:cs="Arial"/>
                <w:b/>
                <w:bCs/>
              </w:rPr>
            </w:pPr>
            <w:r w:rsidRPr="00A438A0">
              <w:rPr>
                <w:rFonts w:ascii="Arial" w:hAnsi="Arial" w:cs="Arial"/>
                <w:b/>
                <w:bCs/>
              </w:rPr>
              <w:t>Schedule No. 3-A</w:t>
            </w:r>
            <w:r w:rsidRPr="00A438A0">
              <w:fldChar w:fldCharType="begin"/>
            </w:r>
            <w:r w:rsidRPr="00A438A0">
              <w:instrText xml:space="preserve"> TC "</w:instrText>
            </w:r>
            <w:bookmarkStart w:id="50" w:name="_Toc435607964"/>
            <w:r w:rsidRPr="00A438A0">
              <w:tab/>
              <w:instrText>Schedule No. 3-A Adjustments to NOI</w:instrText>
            </w:r>
            <w:bookmarkEnd w:id="50"/>
            <w:r w:rsidRPr="00A438A0">
              <w:instrText xml:space="preserve">" \l 1 </w:instrText>
            </w:r>
            <w:r w:rsidRPr="00A438A0">
              <w:fldChar w:fldCharType="end"/>
            </w:r>
          </w:p>
        </w:tc>
      </w:tr>
      <w:tr w:rsidR="00C25744" w:rsidRPr="00A438A0" w:rsidTr="00C25744">
        <w:trPr>
          <w:gridAfter w:val="1"/>
          <w:wAfter w:w="1066" w:type="pct"/>
          <w:trHeight w:val="315"/>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rFonts w:ascii="Arial" w:hAnsi="Arial" w:cs="Arial"/>
                <w:b/>
                <w:bCs/>
              </w:rPr>
            </w:pPr>
            <w:r w:rsidRPr="00A438A0">
              <w:rPr>
                <w:rFonts w:ascii="Arial" w:hAnsi="Arial" w:cs="Arial"/>
                <w:b/>
                <w:bCs/>
              </w:rPr>
              <w:t>Adjustment to Operating Income</w:t>
            </w:r>
          </w:p>
        </w:tc>
        <w:tc>
          <w:tcPr>
            <w:tcW w:w="1183" w:type="pct"/>
            <w:gridSpan w:val="2"/>
            <w:tcBorders>
              <w:top w:val="nil"/>
              <w:left w:val="nil"/>
              <w:bottom w:val="nil"/>
              <w:right w:val="single" w:sz="8" w:space="0" w:color="000000"/>
            </w:tcBorders>
            <w:shd w:val="clear" w:color="auto" w:fill="auto"/>
            <w:noWrap/>
            <w:vAlign w:val="bottom"/>
            <w:hideMark/>
          </w:tcPr>
          <w:p w:rsidR="00C25744" w:rsidRPr="00A438A0" w:rsidRDefault="00C25744" w:rsidP="00C25744">
            <w:pPr>
              <w:jc w:val="right"/>
              <w:rPr>
                <w:rFonts w:ascii="Arial" w:hAnsi="Arial" w:cs="Arial"/>
                <w:b/>
                <w:bCs/>
              </w:rPr>
            </w:pPr>
            <w:r w:rsidRPr="00A438A0">
              <w:rPr>
                <w:rFonts w:ascii="Arial" w:hAnsi="Arial" w:cs="Arial"/>
                <w:b/>
                <w:bCs/>
              </w:rPr>
              <w:t>Docket No. 150102-SU</w:t>
            </w:r>
          </w:p>
        </w:tc>
      </w:tr>
      <w:tr w:rsidR="00C25744" w:rsidRPr="00A438A0" w:rsidTr="00C25744">
        <w:trPr>
          <w:gridAfter w:val="1"/>
          <w:wAfter w:w="1066" w:type="pct"/>
          <w:trHeight w:val="330"/>
        </w:trPr>
        <w:tc>
          <w:tcPr>
            <w:tcW w:w="218" w:type="pct"/>
            <w:tcBorders>
              <w:top w:val="nil"/>
              <w:left w:val="single" w:sz="8" w:space="0" w:color="auto"/>
              <w:bottom w:val="single" w:sz="8" w:space="0" w:color="auto"/>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2533" w:type="pct"/>
            <w:tcBorders>
              <w:top w:val="nil"/>
              <w:left w:val="nil"/>
              <w:bottom w:val="single" w:sz="8" w:space="0" w:color="auto"/>
              <w:right w:val="nil"/>
            </w:tcBorders>
            <w:shd w:val="clear" w:color="000000" w:fill="FFFFFF"/>
            <w:noWrap/>
            <w:vAlign w:val="bottom"/>
            <w:hideMark/>
          </w:tcPr>
          <w:p w:rsidR="00C25744" w:rsidRPr="00A438A0" w:rsidRDefault="00C25744" w:rsidP="00C25744">
            <w:pPr>
              <w:rPr>
                <w:rFonts w:ascii="Arial" w:hAnsi="Arial" w:cs="Arial"/>
                <w:b/>
                <w:bCs/>
              </w:rPr>
            </w:pPr>
            <w:r w:rsidRPr="00A438A0">
              <w:rPr>
                <w:rFonts w:ascii="Arial" w:hAnsi="Arial" w:cs="Arial"/>
                <w:b/>
                <w:bCs/>
              </w:rPr>
              <w:t>Test Year Ended 12/31/14</w:t>
            </w:r>
          </w:p>
        </w:tc>
        <w:tc>
          <w:tcPr>
            <w:tcW w:w="117" w:type="pct"/>
            <w:tcBorders>
              <w:top w:val="nil"/>
              <w:left w:val="nil"/>
              <w:bottom w:val="single" w:sz="8" w:space="0" w:color="auto"/>
              <w:right w:val="nil"/>
            </w:tcBorders>
            <w:shd w:val="clear" w:color="000000" w:fill="FFFFFF"/>
            <w:noWrap/>
            <w:vAlign w:val="bottom"/>
            <w:hideMark/>
          </w:tcPr>
          <w:p w:rsidR="00C25744" w:rsidRPr="00A438A0" w:rsidRDefault="00C25744" w:rsidP="00C25744">
            <w:pPr>
              <w:jc w:val="right"/>
              <w:rPr>
                <w:rFonts w:ascii="Arial" w:hAnsi="Arial" w:cs="Arial"/>
                <w:b/>
                <w:bCs/>
              </w:rPr>
            </w:pPr>
            <w:r w:rsidRPr="00A438A0">
              <w:rPr>
                <w:rFonts w:ascii="Arial" w:hAnsi="Arial" w:cs="Arial"/>
                <w:b/>
                <w:bCs/>
              </w:rPr>
              <w:t> </w:t>
            </w:r>
          </w:p>
        </w:tc>
        <w:tc>
          <w:tcPr>
            <w:tcW w:w="1066" w:type="pct"/>
            <w:tcBorders>
              <w:top w:val="nil"/>
              <w:left w:val="nil"/>
              <w:bottom w:val="single" w:sz="8" w:space="0" w:color="auto"/>
              <w:right w:val="single" w:sz="8" w:space="0" w:color="auto"/>
            </w:tcBorders>
            <w:shd w:val="clear" w:color="000000" w:fill="FFFFFF"/>
            <w:noWrap/>
            <w:vAlign w:val="bottom"/>
            <w:hideMark/>
          </w:tcPr>
          <w:p w:rsidR="00C25744" w:rsidRPr="00A438A0" w:rsidRDefault="00C25744" w:rsidP="00C25744">
            <w:pPr>
              <w:rPr>
                <w:rFonts w:ascii="Arial" w:hAnsi="Arial" w:cs="Arial"/>
                <w:b/>
                <w:bCs/>
              </w:rPr>
            </w:pPr>
            <w:r w:rsidRPr="00A438A0">
              <w:rPr>
                <w:rFonts w:ascii="Arial" w:hAnsi="Arial" w:cs="Arial"/>
                <w:b/>
                <w:bCs/>
              </w:rPr>
              <w:t> </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b/>
                <w:bCs/>
                <w:sz w:val="20"/>
                <w:szCs w:val="20"/>
              </w:rPr>
            </w:pPr>
            <w:r w:rsidRPr="00A438A0">
              <w:rPr>
                <w:b/>
                <w:bCs/>
                <w:sz w:val="20"/>
                <w:szCs w:val="20"/>
              </w:rPr>
              <w:t>Explanation</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jc w:val="center"/>
              <w:rPr>
                <w:b/>
                <w:bCs/>
                <w:sz w:val="20"/>
                <w:szCs w:val="20"/>
              </w:rPr>
            </w:pPr>
            <w:r w:rsidRPr="00A438A0">
              <w:rPr>
                <w:b/>
                <w:bCs/>
                <w:sz w:val="20"/>
                <w:szCs w:val="20"/>
              </w:rPr>
              <w:t> </w:t>
            </w: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center"/>
              <w:rPr>
                <w:b/>
                <w:bCs/>
                <w:sz w:val="20"/>
                <w:szCs w:val="20"/>
              </w:rPr>
            </w:pPr>
            <w:r w:rsidRPr="00A438A0">
              <w:rPr>
                <w:b/>
                <w:bCs/>
                <w:sz w:val="20"/>
                <w:szCs w:val="20"/>
              </w:rPr>
              <w:t>Wastewater</w:t>
            </w:r>
          </w:p>
        </w:tc>
      </w:tr>
      <w:tr w:rsidR="00C25744" w:rsidRPr="00A438A0" w:rsidTr="00C25744">
        <w:trPr>
          <w:gridAfter w:val="1"/>
          <w:wAfter w:w="1066" w:type="pct"/>
          <w:trHeight w:val="315"/>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r>
      <w:tr w:rsidR="00C25744" w:rsidRPr="00A438A0" w:rsidTr="00C25744">
        <w:trPr>
          <w:gridAfter w:val="1"/>
          <w:wAfter w:w="1066" w:type="pct"/>
          <w:trHeight w:val="300"/>
        </w:trPr>
        <w:tc>
          <w:tcPr>
            <w:tcW w:w="218" w:type="pct"/>
            <w:tcBorders>
              <w:top w:val="single" w:sz="8" w:space="0" w:color="000000"/>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2533" w:type="pct"/>
            <w:tcBorders>
              <w:top w:val="single" w:sz="8" w:space="0" w:color="000000"/>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117" w:type="pct"/>
            <w:tcBorders>
              <w:top w:val="single" w:sz="8" w:space="0" w:color="000000"/>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1066" w:type="pct"/>
            <w:tcBorders>
              <w:top w:val="single" w:sz="8" w:space="0" w:color="000000"/>
              <w:left w:val="nil"/>
              <w:bottom w:val="nil"/>
              <w:right w:val="single" w:sz="8" w:space="0" w:color="auto"/>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b/>
                <w:sz w:val="20"/>
                <w:szCs w:val="20"/>
              </w:rPr>
            </w:pPr>
            <w:r w:rsidRPr="00A438A0">
              <w:rPr>
                <w:b/>
                <w:sz w:val="20"/>
                <w:szCs w:val="20"/>
              </w:rPr>
              <w:t>Operating Revenues</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1</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xml:space="preserve">Remove requested final revenue increase </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($939,514)</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2</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xml:space="preserve">Reflect appropriate test year revenue </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2,825 </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tcPr>
          <w:p w:rsidR="00C25744" w:rsidRPr="00A438A0" w:rsidRDefault="00C25744" w:rsidP="00C25744">
            <w:pPr>
              <w:jc w:val="center"/>
              <w:rPr>
                <w:sz w:val="20"/>
                <w:szCs w:val="20"/>
              </w:rPr>
            </w:pPr>
            <w:r w:rsidRPr="00A438A0">
              <w:rPr>
                <w:sz w:val="20"/>
                <w:szCs w:val="20"/>
              </w:rPr>
              <w:t>3</w:t>
            </w:r>
          </w:p>
        </w:tc>
        <w:tc>
          <w:tcPr>
            <w:tcW w:w="2533" w:type="pct"/>
            <w:tcBorders>
              <w:top w:val="nil"/>
              <w:left w:val="nil"/>
              <w:bottom w:val="nil"/>
              <w:right w:val="nil"/>
            </w:tcBorders>
            <w:shd w:val="clear" w:color="000000" w:fill="FFFFFF"/>
            <w:noWrap/>
            <w:vAlign w:val="bottom"/>
          </w:tcPr>
          <w:p w:rsidR="00C25744" w:rsidRPr="00A438A0" w:rsidRDefault="00C25744" w:rsidP="00C25744">
            <w:pPr>
              <w:rPr>
                <w:sz w:val="20"/>
                <w:szCs w:val="20"/>
              </w:rPr>
            </w:pPr>
            <w:r w:rsidRPr="00A438A0">
              <w:rPr>
                <w:sz w:val="20"/>
                <w:szCs w:val="20"/>
              </w:rPr>
              <w:t>Reflect agreed upon audit adjustments (Issue 2)</w:t>
            </w:r>
          </w:p>
        </w:tc>
        <w:tc>
          <w:tcPr>
            <w:tcW w:w="117" w:type="pct"/>
            <w:tcBorders>
              <w:top w:val="nil"/>
              <w:left w:val="nil"/>
              <w:bottom w:val="nil"/>
              <w:right w:val="nil"/>
            </w:tcBorders>
            <w:shd w:val="clear" w:color="000000" w:fill="FFFFFF"/>
            <w:noWrap/>
            <w:vAlign w:val="bottom"/>
          </w:tcPr>
          <w:p w:rsidR="00C25744" w:rsidRPr="00A438A0" w:rsidRDefault="00C25744" w:rsidP="00C25744">
            <w:pPr>
              <w:jc w:val="right"/>
              <w:rPr>
                <w:sz w:val="20"/>
                <w:szCs w:val="20"/>
                <w:u w:val="single"/>
              </w:rPr>
            </w:pPr>
          </w:p>
        </w:tc>
        <w:tc>
          <w:tcPr>
            <w:tcW w:w="1066" w:type="pct"/>
            <w:tcBorders>
              <w:top w:val="nil"/>
              <w:left w:val="nil"/>
              <w:bottom w:val="nil"/>
              <w:right w:val="single" w:sz="8" w:space="0" w:color="auto"/>
            </w:tcBorders>
            <w:shd w:val="clear" w:color="000000" w:fill="FFFFFF"/>
            <w:noWrap/>
            <w:vAlign w:val="bottom"/>
          </w:tcPr>
          <w:p w:rsidR="00C25744" w:rsidRPr="00A438A0" w:rsidRDefault="00C25744" w:rsidP="00C25744">
            <w:pPr>
              <w:jc w:val="right"/>
              <w:rPr>
                <w:sz w:val="20"/>
                <w:szCs w:val="20"/>
                <w:u w:val="single"/>
              </w:rPr>
            </w:pPr>
            <w:r w:rsidRPr="00A438A0">
              <w:rPr>
                <w:sz w:val="20"/>
                <w:szCs w:val="20"/>
              </w:rPr>
              <w:t>(</w:t>
            </w:r>
            <w:r w:rsidRPr="00A438A0">
              <w:rPr>
                <w:sz w:val="20"/>
                <w:szCs w:val="20"/>
                <w:u w:val="single"/>
              </w:rPr>
              <w:t>17,939)</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b/>
                <w:sz w:val="20"/>
                <w:szCs w:val="20"/>
              </w:rPr>
            </w:pPr>
            <w:r w:rsidRPr="00A438A0">
              <w:rPr>
                <w:b/>
                <w:sz w:val="20"/>
                <w:szCs w:val="20"/>
              </w:rPr>
              <w:t>Total</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u w:val="double"/>
              </w:rPr>
            </w:pPr>
            <w:r w:rsidRPr="00A438A0">
              <w:rPr>
                <w:sz w:val="20"/>
                <w:szCs w:val="20"/>
                <w:u w:val="double"/>
              </w:rPr>
              <w:t>($954,628)</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u w:val="single"/>
              </w:rPr>
            </w:pP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b/>
                <w:sz w:val="20"/>
                <w:szCs w:val="20"/>
              </w:rPr>
            </w:pPr>
            <w:r w:rsidRPr="00A438A0">
              <w:rPr>
                <w:b/>
                <w:sz w:val="20"/>
                <w:szCs w:val="20"/>
              </w:rPr>
              <w:t>Operation and Maintenance Expense</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u w:val="single"/>
              </w:rPr>
            </w:pP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tcPr>
          <w:p w:rsidR="00C25744" w:rsidRPr="00A438A0" w:rsidRDefault="00C25744" w:rsidP="00C25744">
            <w:pPr>
              <w:jc w:val="center"/>
              <w:rPr>
                <w:sz w:val="20"/>
                <w:szCs w:val="20"/>
              </w:rPr>
            </w:pPr>
            <w:r w:rsidRPr="00A438A0">
              <w:rPr>
                <w:sz w:val="20"/>
                <w:szCs w:val="20"/>
              </w:rPr>
              <w:t>1</w:t>
            </w:r>
          </w:p>
        </w:tc>
        <w:tc>
          <w:tcPr>
            <w:tcW w:w="2650" w:type="pct"/>
            <w:gridSpan w:val="2"/>
            <w:tcBorders>
              <w:top w:val="nil"/>
              <w:left w:val="nil"/>
              <w:bottom w:val="nil"/>
              <w:right w:val="nil"/>
            </w:tcBorders>
            <w:shd w:val="clear" w:color="000000" w:fill="FFFFFF"/>
            <w:noWrap/>
            <w:vAlign w:val="bottom"/>
          </w:tcPr>
          <w:p w:rsidR="00C25744" w:rsidRPr="00A438A0" w:rsidRDefault="00C25744" w:rsidP="00C25744">
            <w:pPr>
              <w:rPr>
                <w:sz w:val="20"/>
                <w:szCs w:val="20"/>
              </w:rPr>
            </w:pPr>
            <w:r w:rsidRPr="00A438A0">
              <w:rPr>
                <w:sz w:val="20"/>
                <w:szCs w:val="20"/>
              </w:rPr>
              <w:t>Reflect agreed upon audit adjustments (Issue 2)</w:t>
            </w:r>
          </w:p>
        </w:tc>
        <w:tc>
          <w:tcPr>
            <w:tcW w:w="1066" w:type="pct"/>
            <w:tcBorders>
              <w:top w:val="nil"/>
              <w:left w:val="nil"/>
              <w:bottom w:val="nil"/>
              <w:right w:val="single" w:sz="8" w:space="0" w:color="auto"/>
            </w:tcBorders>
            <w:shd w:val="clear" w:color="000000" w:fill="FFFFFF"/>
            <w:noWrap/>
            <w:vAlign w:val="bottom"/>
          </w:tcPr>
          <w:p w:rsidR="00C25744" w:rsidRPr="00A438A0" w:rsidRDefault="00C25744" w:rsidP="00C25744">
            <w:pPr>
              <w:jc w:val="right"/>
              <w:rPr>
                <w:sz w:val="20"/>
                <w:szCs w:val="20"/>
              </w:rPr>
            </w:pPr>
            <w:r w:rsidRPr="00A438A0">
              <w:rPr>
                <w:sz w:val="20"/>
                <w:szCs w:val="20"/>
              </w:rPr>
              <w:t>$21,499</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tcPr>
          <w:p w:rsidR="00C25744" w:rsidRPr="00A438A0" w:rsidRDefault="00C25744" w:rsidP="00C25744">
            <w:pPr>
              <w:jc w:val="center"/>
              <w:rPr>
                <w:sz w:val="20"/>
                <w:szCs w:val="20"/>
              </w:rPr>
            </w:pPr>
            <w:r w:rsidRPr="00A438A0">
              <w:rPr>
                <w:sz w:val="20"/>
                <w:szCs w:val="20"/>
              </w:rPr>
              <w:t>2</w:t>
            </w:r>
          </w:p>
        </w:tc>
        <w:tc>
          <w:tcPr>
            <w:tcW w:w="2650" w:type="pct"/>
            <w:gridSpan w:val="2"/>
            <w:tcBorders>
              <w:top w:val="nil"/>
              <w:left w:val="nil"/>
              <w:bottom w:val="nil"/>
              <w:right w:val="nil"/>
            </w:tcBorders>
            <w:shd w:val="clear" w:color="000000" w:fill="FFFFFF"/>
            <w:noWrap/>
            <w:vAlign w:val="bottom"/>
          </w:tcPr>
          <w:p w:rsidR="00C25744" w:rsidRPr="00A438A0" w:rsidRDefault="00C25744" w:rsidP="00C25744">
            <w:pPr>
              <w:rPr>
                <w:sz w:val="20"/>
                <w:szCs w:val="20"/>
              </w:rPr>
            </w:pPr>
            <w:r w:rsidRPr="00A438A0">
              <w:rPr>
                <w:sz w:val="20"/>
                <w:szCs w:val="20"/>
              </w:rPr>
              <w:t>Reflect the appropriate Salaries &amp; Wages expense (Issue 12)</w:t>
            </w:r>
          </w:p>
        </w:tc>
        <w:tc>
          <w:tcPr>
            <w:tcW w:w="1066" w:type="pct"/>
            <w:tcBorders>
              <w:top w:val="nil"/>
              <w:left w:val="nil"/>
              <w:bottom w:val="nil"/>
              <w:right w:val="single" w:sz="8" w:space="0" w:color="auto"/>
            </w:tcBorders>
            <w:shd w:val="clear" w:color="000000" w:fill="FFFFFF"/>
            <w:noWrap/>
            <w:vAlign w:val="bottom"/>
          </w:tcPr>
          <w:p w:rsidR="00C25744" w:rsidRPr="00A438A0" w:rsidRDefault="00C25744" w:rsidP="00C25744">
            <w:pPr>
              <w:jc w:val="right"/>
              <w:rPr>
                <w:sz w:val="20"/>
                <w:szCs w:val="20"/>
              </w:rPr>
            </w:pPr>
            <w:r w:rsidRPr="00A438A0">
              <w:rPr>
                <w:sz w:val="20"/>
                <w:szCs w:val="20"/>
              </w:rPr>
              <w:t>(67,362)</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tcPr>
          <w:p w:rsidR="00C25744" w:rsidRPr="00A438A0" w:rsidRDefault="00C25744" w:rsidP="00C25744">
            <w:pPr>
              <w:jc w:val="center"/>
              <w:rPr>
                <w:sz w:val="20"/>
                <w:szCs w:val="20"/>
              </w:rPr>
            </w:pPr>
            <w:r w:rsidRPr="00A438A0">
              <w:rPr>
                <w:sz w:val="20"/>
                <w:szCs w:val="20"/>
              </w:rPr>
              <w:t>3</w:t>
            </w:r>
          </w:p>
        </w:tc>
        <w:tc>
          <w:tcPr>
            <w:tcW w:w="2650" w:type="pct"/>
            <w:gridSpan w:val="2"/>
            <w:tcBorders>
              <w:top w:val="nil"/>
              <w:left w:val="nil"/>
              <w:bottom w:val="nil"/>
              <w:right w:val="nil"/>
            </w:tcBorders>
            <w:shd w:val="clear" w:color="000000" w:fill="FFFFFF"/>
            <w:noWrap/>
            <w:vAlign w:val="bottom"/>
          </w:tcPr>
          <w:p w:rsidR="00C25744" w:rsidRPr="00A438A0" w:rsidRDefault="00C25744" w:rsidP="00C25744">
            <w:pPr>
              <w:rPr>
                <w:sz w:val="20"/>
                <w:szCs w:val="20"/>
              </w:rPr>
            </w:pPr>
            <w:r w:rsidRPr="00A438A0">
              <w:rPr>
                <w:sz w:val="20"/>
                <w:szCs w:val="20"/>
              </w:rPr>
              <w:t>Reflect the appropriate Employee Pensions &amp; Benefits Expense (Issue 12)</w:t>
            </w:r>
          </w:p>
        </w:tc>
        <w:tc>
          <w:tcPr>
            <w:tcW w:w="1066" w:type="pct"/>
            <w:tcBorders>
              <w:top w:val="nil"/>
              <w:left w:val="nil"/>
              <w:bottom w:val="nil"/>
              <w:right w:val="single" w:sz="8" w:space="0" w:color="auto"/>
            </w:tcBorders>
            <w:shd w:val="clear" w:color="000000" w:fill="FFFFFF"/>
            <w:noWrap/>
            <w:vAlign w:val="bottom"/>
          </w:tcPr>
          <w:p w:rsidR="00C25744" w:rsidRPr="00A438A0" w:rsidRDefault="00C25744" w:rsidP="00C25744">
            <w:pPr>
              <w:jc w:val="right"/>
              <w:rPr>
                <w:sz w:val="20"/>
                <w:szCs w:val="20"/>
                <w:u w:val="single"/>
              </w:rPr>
            </w:pPr>
            <w:r w:rsidRPr="00A438A0">
              <w:rPr>
                <w:sz w:val="20"/>
                <w:szCs w:val="20"/>
              </w:rPr>
              <w:t>(897</w:t>
            </w:r>
            <w:r w:rsidRPr="00A438A0">
              <w:rPr>
                <w:sz w:val="20"/>
                <w:szCs w:val="20"/>
                <w:u w:val="single"/>
              </w:rPr>
              <w:t>)</w:t>
            </w:r>
          </w:p>
        </w:tc>
      </w:tr>
      <w:tr w:rsidR="00C25744" w:rsidRPr="00A438A0" w:rsidTr="00C25744">
        <w:trPr>
          <w:trHeight w:val="300"/>
        </w:trPr>
        <w:tc>
          <w:tcPr>
            <w:tcW w:w="218" w:type="pct"/>
            <w:tcBorders>
              <w:top w:val="nil"/>
              <w:left w:val="single" w:sz="8" w:space="0" w:color="auto"/>
              <w:bottom w:val="nil"/>
              <w:right w:val="nil"/>
            </w:tcBorders>
            <w:shd w:val="clear" w:color="000000" w:fill="FFFFFF"/>
            <w:noWrap/>
            <w:vAlign w:val="bottom"/>
          </w:tcPr>
          <w:p w:rsidR="00C25744" w:rsidRPr="00A438A0" w:rsidRDefault="00C25744" w:rsidP="00C25744">
            <w:pPr>
              <w:jc w:val="center"/>
              <w:rPr>
                <w:sz w:val="20"/>
                <w:szCs w:val="20"/>
              </w:rPr>
            </w:pPr>
            <w:r w:rsidRPr="00A438A0">
              <w:rPr>
                <w:sz w:val="20"/>
                <w:szCs w:val="20"/>
              </w:rPr>
              <w:t>4</w:t>
            </w:r>
          </w:p>
        </w:tc>
        <w:tc>
          <w:tcPr>
            <w:tcW w:w="2650" w:type="pct"/>
            <w:gridSpan w:val="2"/>
            <w:tcBorders>
              <w:top w:val="nil"/>
              <w:left w:val="nil"/>
              <w:bottom w:val="nil"/>
              <w:right w:val="nil"/>
            </w:tcBorders>
            <w:shd w:val="clear" w:color="000000" w:fill="FFFFFF"/>
            <w:noWrap/>
            <w:vAlign w:val="bottom"/>
          </w:tcPr>
          <w:p w:rsidR="00C25744" w:rsidRPr="00A438A0" w:rsidRDefault="00C25744" w:rsidP="00C25744">
            <w:pPr>
              <w:rPr>
                <w:sz w:val="20"/>
                <w:szCs w:val="20"/>
              </w:rPr>
            </w:pPr>
            <w:r w:rsidRPr="00A438A0">
              <w:rPr>
                <w:sz w:val="20"/>
                <w:szCs w:val="20"/>
              </w:rPr>
              <w:t>Reflect the appropriate amount for purchased sewage treatment (Issue 13)</w:t>
            </w:r>
          </w:p>
        </w:tc>
        <w:tc>
          <w:tcPr>
            <w:tcW w:w="1066" w:type="pct"/>
            <w:tcBorders>
              <w:top w:val="nil"/>
              <w:left w:val="nil"/>
              <w:bottom w:val="nil"/>
              <w:right w:val="single" w:sz="8" w:space="0" w:color="auto"/>
            </w:tcBorders>
            <w:shd w:val="clear" w:color="000000" w:fill="FFFFFF"/>
            <w:noWrap/>
            <w:vAlign w:val="bottom"/>
          </w:tcPr>
          <w:p w:rsidR="00C25744" w:rsidRPr="00A438A0" w:rsidRDefault="00C25744" w:rsidP="00C25744">
            <w:pPr>
              <w:jc w:val="right"/>
              <w:rPr>
                <w:sz w:val="20"/>
                <w:szCs w:val="20"/>
              </w:rPr>
            </w:pPr>
            <w:r w:rsidRPr="00A438A0">
              <w:rPr>
                <w:sz w:val="20"/>
                <w:szCs w:val="20"/>
              </w:rPr>
              <w:t>22,447</w:t>
            </w:r>
          </w:p>
        </w:tc>
        <w:tc>
          <w:tcPr>
            <w:tcW w:w="1066" w:type="pct"/>
            <w:vAlign w:val="bottom"/>
          </w:tcPr>
          <w:p w:rsidR="00C25744" w:rsidRPr="00A438A0" w:rsidRDefault="00C25744" w:rsidP="00C25744">
            <w:pPr>
              <w:jc w:val="right"/>
              <w:rPr>
                <w:sz w:val="20"/>
                <w:szCs w:val="20"/>
              </w:rPr>
            </w:pPr>
            <w:r w:rsidRPr="00A438A0">
              <w:rPr>
                <w:sz w:val="20"/>
                <w:szCs w:val="20"/>
              </w:rPr>
              <w:t xml:space="preserve">22,447 </w:t>
            </w:r>
          </w:p>
        </w:tc>
      </w:tr>
      <w:tr w:rsidR="00C25744" w:rsidRPr="00A438A0" w:rsidTr="00C25744">
        <w:trPr>
          <w:trHeight w:val="300"/>
        </w:trPr>
        <w:tc>
          <w:tcPr>
            <w:tcW w:w="218" w:type="pct"/>
            <w:tcBorders>
              <w:top w:val="nil"/>
              <w:left w:val="single" w:sz="8" w:space="0" w:color="auto"/>
              <w:bottom w:val="nil"/>
              <w:right w:val="nil"/>
            </w:tcBorders>
            <w:shd w:val="clear" w:color="000000" w:fill="FFFFFF"/>
            <w:noWrap/>
            <w:vAlign w:val="bottom"/>
          </w:tcPr>
          <w:p w:rsidR="00C25744" w:rsidRPr="00A438A0" w:rsidRDefault="00C25744" w:rsidP="00C25744">
            <w:pPr>
              <w:jc w:val="center"/>
              <w:rPr>
                <w:sz w:val="20"/>
                <w:szCs w:val="20"/>
              </w:rPr>
            </w:pPr>
            <w:r w:rsidRPr="00A438A0">
              <w:rPr>
                <w:sz w:val="20"/>
                <w:szCs w:val="20"/>
              </w:rPr>
              <w:t>5</w:t>
            </w:r>
          </w:p>
        </w:tc>
        <w:tc>
          <w:tcPr>
            <w:tcW w:w="2650" w:type="pct"/>
            <w:gridSpan w:val="2"/>
            <w:tcBorders>
              <w:top w:val="nil"/>
              <w:left w:val="nil"/>
              <w:bottom w:val="nil"/>
              <w:right w:val="nil"/>
            </w:tcBorders>
            <w:shd w:val="clear" w:color="000000" w:fill="FFFFFF"/>
            <w:noWrap/>
            <w:vAlign w:val="bottom"/>
          </w:tcPr>
          <w:p w:rsidR="00C25744" w:rsidRPr="00A438A0" w:rsidRDefault="00C25744" w:rsidP="00C25744">
            <w:pPr>
              <w:rPr>
                <w:sz w:val="20"/>
                <w:szCs w:val="20"/>
              </w:rPr>
            </w:pPr>
            <w:r w:rsidRPr="00A438A0">
              <w:rPr>
                <w:sz w:val="20"/>
                <w:szCs w:val="20"/>
              </w:rPr>
              <w:t>Excessive I&amp;I adjustment (Issue 13)</w:t>
            </w:r>
          </w:p>
        </w:tc>
        <w:tc>
          <w:tcPr>
            <w:tcW w:w="1066" w:type="pct"/>
            <w:tcBorders>
              <w:top w:val="nil"/>
              <w:left w:val="nil"/>
              <w:bottom w:val="nil"/>
              <w:right w:val="single" w:sz="8" w:space="0" w:color="auto"/>
            </w:tcBorders>
            <w:shd w:val="clear" w:color="000000" w:fill="FFFFFF"/>
            <w:noWrap/>
            <w:vAlign w:val="bottom"/>
          </w:tcPr>
          <w:p w:rsidR="00C25744" w:rsidRPr="00A438A0" w:rsidRDefault="00C25744" w:rsidP="00C25744">
            <w:pPr>
              <w:jc w:val="right"/>
              <w:rPr>
                <w:sz w:val="20"/>
                <w:szCs w:val="20"/>
              </w:rPr>
            </w:pPr>
            <w:r w:rsidRPr="00A438A0">
              <w:rPr>
                <w:sz w:val="20"/>
                <w:szCs w:val="20"/>
              </w:rPr>
              <w:t>(98,149)</w:t>
            </w:r>
          </w:p>
        </w:tc>
        <w:tc>
          <w:tcPr>
            <w:tcW w:w="1066" w:type="pct"/>
            <w:vAlign w:val="bottom"/>
          </w:tcPr>
          <w:p w:rsidR="00C25744" w:rsidRPr="00A438A0" w:rsidRDefault="00C25744" w:rsidP="00C25744">
            <w:pPr>
              <w:jc w:val="right"/>
              <w:rPr>
                <w:sz w:val="20"/>
                <w:szCs w:val="20"/>
              </w:rPr>
            </w:pPr>
          </w:p>
        </w:tc>
      </w:tr>
      <w:tr w:rsidR="00C25744" w:rsidRPr="00A438A0" w:rsidTr="00C25744">
        <w:trPr>
          <w:trHeight w:val="300"/>
        </w:trPr>
        <w:tc>
          <w:tcPr>
            <w:tcW w:w="218" w:type="pct"/>
            <w:tcBorders>
              <w:top w:val="nil"/>
              <w:left w:val="single" w:sz="8" w:space="0" w:color="auto"/>
              <w:bottom w:val="nil"/>
              <w:right w:val="nil"/>
            </w:tcBorders>
            <w:shd w:val="clear" w:color="000000" w:fill="FFFFFF"/>
            <w:noWrap/>
            <w:vAlign w:val="bottom"/>
          </w:tcPr>
          <w:p w:rsidR="00C25744" w:rsidRPr="00A438A0" w:rsidRDefault="00C25744" w:rsidP="00C25744">
            <w:pPr>
              <w:jc w:val="center"/>
              <w:rPr>
                <w:sz w:val="20"/>
                <w:szCs w:val="20"/>
              </w:rPr>
            </w:pPr>
            <w:r w:rsidRPr="00A438A0">
              <w:rPr>
                <w:sz w:val="20"/>
                <w:szCs w:val="20"/>
              </w:rPr>
              <w:t>6</w:t>
            </w:r>
          </w:p>
        </w:tc>
        <w:tc>
          <w:tcPr>
            <w:tcW w:w="2650" w:type="pct"/>
            <w:gridSpan w:val="2"/>
            <w:tcBorders>
              <w:top w:val="nil"/>
              <w:left w:val="nil"/>
              <w:bottom w:val="nil"/>
              <w:right w:val="nil"/>
            </w:tcBorders>
            <w:shd w:val="clear" w:color="000000" w:fill="FFFFFF"/>
            <w:noWrap/>
            <w:vAlign w:val="bottom"/>
          </w:tcPr>
          <w:p w:rsidR="00C25744" w:rsidRPr="00A438A0" w:rsidRDefault="00C25744" w:rsidP="00C25744">
            <w:pPr>
              <w:rPr>
                <w:sz w:val="20"/>
                <w:szCs w:val="20"/>
              </w:rPr>
            </w:pPr>
            <w:r w:rsidRPr="00A438A0">
              <w:rPr>
                <w:sz w:val="20"/>
                <w:szCs w:val="20"/>
              </w:rPr>
              <w:t>Reflect the appropriate sludge hauling expense (Issue 13)</w:t>
            </w:r>
          </w:p>
        </w:tc>
        <w:tc>
          <w:tcPr>
            <w:tcW w:w="1066" w:type="pct"/>
            <w:tcBorders>
              <w:top w:val="nil"/>
              <w:left w:val="nil"/>
              <w:bottom w:val="nil"/>
              <w:right w:val="single" w:sz="8" w:space="0" w:color="auto"/>
            </w:tcBorders>
            <w:shd w:val="clear" w:color="000000" w:fill="FFFFFF"/>
            <w:noWrap/>
            <w:vAlign w:val="bottom"/>
          </w:tcPr>
          <w:p w:rsidR="00C25744" w:rsidRPr="00A438A0" w:rsidRDefault="00C25744" w:rsidP="00C25744">
            <w:pPr>
              <w:jc w:val="right"/>
              <w:rPr>
                <w:sz w:val="20"/>
                <w:szCs w:val="20"/>
              </w:rPr>
            </w:pPr>
            <w:r w:rsidRPr="00A438A0">
              <w:rPr>
                <w:sz w:val="20"/>
                <w:szCs w:val="20"/>
              </w:rPr>
              <w:t>(2,490)</w:t>
            </w:r>
          </w:p>
        </w:tc>
        <w:tc>
          <w:tcPr>
            <w:tcW w:w="1066" w:type="pct"/>
            <w:vAlign w:val="bottom"/>
          </w:tcPr>
          <w:p w:rsidR="00C25744" w:rsidRPr="00A438A0" w:rsidRDefault="00C25744" w:rsidP="00C25744">
            <w:pPr>
              <w:jc w:val="right"/>
              <w:rPr>
                <w:sz w:val="20"/>
                <w:szCs w:val="20"/>
              </w:rPr>
            </w:pPr>
            <w:r w:rsidRPr="00A438A0">
              <w:rPr>
                <w:sz w:val="20"/>
                <w:szCs w:val="20"/>
              </w:rPr>
              <w:t>(2,490)</w:t>
            </w:r>
          </w:p>
        </w:tc>
      </w:tr>
      <w:tr w:rsidR="00C25744" w:rsidRPr="00A438A0" w:rsidTr="00C25744">
        <w:trPr>
          <w:trHeight w:val="300"/>
        </w:trPr>
        <w:tc>
          <w:tcPr>
            <w:tcW w:w="218" w:type="pct"/>
            <w:tcBorders>
              <w:top w:val="nil"/>
              <w:left w:val="single" w:sz="8" w:space="0" w:color="auto"/>
              <w:bottom w:val="nil"/>
              <w:right w:val="nil"/>
            </w:tcBorders>
            <w:shd w:val="clear" w:color="000000" w:fill="FFFFFF"/>
            <w:noWrap/>
            <w:vAlign w:val="bottom"/>
          </w:tcPr>
          <w:p w:rsidR="00C25744" w:rsidRPr="00A438A0" w:rsidRDefault="00C25744" w:rsidP="00C25744">
            <w:pPr>
              <w:jc w:val="center"/>
              <w:rPr>
                <w:sz w:val="20"/>
                <w:szCs w:val="20"/>
              </w:rPr>
            </w:pPr>
            <w:r w:rsidRPr="00A438A0">
              <w:rPr>
                <w:sz w:val="20"/>
                <w:szCs w:val="20"/>
              </w:rPr>
              <w:t>7</w:t>
            </w:r>
          </w:p>
        </w:tc>
        <w:tc>
          <w:tcPr>
            <w:tcW w:w="2650" w:type="pct"/>
            <w:gridSpan w:val="2"/>
            <w:tcBorders>
              <w:top w:val="nil"/>
              <w:left w:val="nil"/>
              <w:bottom w:val="nil"/>
              <w:right w:val="nil"/>
            </w:tcBorders>
            <w:shd w:val="clear" w:color="000000" w:fill="FFFFFF"/>
            <w:noWrap/>
            <w:vAlign w:val="bottom"/>
          </w:tcPr>
          <w:p w:rsidR="00C25744" w:rsidRPr="00A438A0" w:rsidRDefault="00C25744" w:rsidP="00C25744">
            <w:pPr>
              <w:rPr>
                <w:sz w:val="20"/>
                <w:szCs w:val="20"/>
              </w:rPr>
            </w:pPr>
            <w:r w:rsidRPr="00A438A0">
              <w:rPr>
                <w:sz w:val="20"/>
                <w:szCs w:val="20"/>
              </w:rPr>
              <w:t>Reflect the appropriate amount of Bad Debt Expense (Issue 13)</w:t>
            </w:r>
          </w:p>
        </w:tc>
        <w:tc>
          <w:tcPr>
            <w:tcW w:w="1066" w:type="pct"/>
            <w:tcBorders>
              <w:top w:val="nil"/>
              <w:left w:val="nil"/>
              <w:bottom w:val="nil"/>
              <w:right w:val="single" w:sz="8" w:space="0" w:color="auto"/>
            </w:tcBorders>
            <w:shd w:val="clear" w:color="000000" w:fill="FFFFFF"/>
            <w:noWrap/>
            <w:vAlign w:val="bottom"/>
          </w:tcPr>
          <w:p w:rsidR="00C25744" w:rsidRPr="00A438A0" w:rsidRDefault="00C25744" w:rsidP="00C25744">
            <w:pPr>
              <w:jc w:val="right"/>
              <w:rPr>
                <w:sz w:val="20"/>
                <w:szCs w:val="20"/>
              </w:rPr>
            </w:pPr>
            <w:r w:rsidRPr="00A438A0">
              <w:rPr>
                <w:sz w:val="20"/>
                <w:szCs w:val="20"/>
              </w:rPr>
              <w:t>(3,802)</w:t>
            </w:r>
          </w:p>
        </w:tc>
        <w:tc>
          <w:tcPr>
            <w:tcW w:w="1066" w:type="pct"/>
            <w:vAlign w:val="bottom"/>
          </w:tcPr>
          <w:p w:rsidR="00C25744" w:rsidRPr="00A438A0" w:rsidRDefault="00C25744" w:rsidP="00C25744">
            <w:pPr>
              <w:jc w:val="right"/>
              <w:rPr>
                <w:sz w:val="20"/>
                <w:szCs w:val="20"/>
              </w:rPr>
            </w:pPr>
            <w:r w:rsidRPr="00A438A0">
              <w:rPr>
                <w:sz w:val="20"/>
                <w:szCs w:val="20"/>
              </w:rPr>
              <w:t>(3,802)</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8</w:t>
            </w:r>
          </w:p>
        </w:tc>
        <w:tc>
          <w:tcPr>
            <w:tcW w:w="2650" w:type="pct"/>
            <w:gridSpan w:val="2"/>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Reflect the appropriate amount of regulatory expense – other (Issue 13)</w:t>
            </w: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(1,293)</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9</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Reflect the appropriate rate case expense (Issue 14)</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single"/>
              </w:rPr>
            </w:pP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w:t>
            </w:r>
            <w:r w:rsidRPr="00A438A0">
              <w:rPr>
                <w:sz w:val="20"/>
                <w:szCs w:val="20"/>
                <w:u w:val="single"/>
              </w:rPr>
              <w:t>2,830</w:t>
            </w:r>
            <w:r w:rsidRPr="00A438A0">
              <w:rPr>
                <w:sz w:val="20"/>
                <w:szCs w:val="20"/>
              </w:rPr>
              <w:t>)</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b/>
                <w:sz w:val="20"/>
                <w:szCs w:val="20"/>
              </w:rPr>
            </w:pPr>
            <w:r w:rsidRPr="00A438A0">
              <w:rPr>
                <w:b/>
                <w:sz w:val="20"/>
                <w:szCs w:val="20"/>
              </w:rPr>
              <w:t>Total</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u w:val="double"/>
              </w:rPr>
            </w:pPr>
            <w:r w:rsidRPr="00A438A0">
              <w:rPr>
                <w:sz w:val="20"/>
                <w:szCs w:val="20"/>
                <w:u w:val="double"/>
              </w:rPr>
              <w:t>($132,877)</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b/>
                <w:sz w:val="20"/>
                <w:szCs w:val="20"/>
              </w:rPr>
            </w:pPr>
            <w:r w:rsidRPr="00A438A0">
              <w:rPr>
                <w:b/>
                <w:sz w:val="20"/>
                <w:szCs w:val="20"/>
              </w:rPr>
              <w:t>Depreciation Expense - Net</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u w:val="double"/>
              </w:rPr>
            </w:pP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1</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Reflect agreed upon audit adjustments (Issue 2)</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$18,603 </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2</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Reflect appropriate adjustment for WWTP retirement (Issue 3)</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xml:space="preserve">6,160 </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tcPr>
          <w:p w:rsidR="00C25744" w:rsidRPr="00A438A0" w:rsidRDefault="00C25744" w:rsidP="00C25744">
            <w:pPr>
              <w:jc w:val="center"/>
              <w:rPr>
                <w:sz w:val="20"/>
                <w:szCs w:val="20"/>
              </w:rPr>
            </w:pPr>
            <w:r w:rsidRPr="00A438A0">
              <w:rPr>
                <w:sz w:val="20"/>
                <w:szCs w:val="20"/>
              </w:rPr>
              <w:t>3</w:t>
            </w:r>
          </w:p>
        </w:tc>
        <w:tc>
          <w:tcPr>
            <w:tcW w:w="2533" w:type="pct"/>
            <w:tcBorders>
              <w:top w:val="nil"/>
              <w:left w:val="nil"/>
              <w:bottom w:val="nil"/>
              <w:right w:val="nil"/>
            </w:tcBorders>
            <w:shd w:val="clear" w:color="000000" w:fill="FFFFFF"/>
            <w:noWrap/>
            <w:vAlign w:val="bottom"/>
          </w:tcPr>
          <w:p w:rsidR="00C25744" w:rsidRPr="00A438A0" w:rsidRDefault="00C25744" w:rsidP="00C25744">
            <w:pPr>
              <w:rPr>
                <w:sz w:val="20"/>
                <w:szCs w:val="20"/>
              </w:rPr>
            </w:pPr>
            <w:r w:rsidRPr="00A438A0">
              <w:rPr>
                <w:sz w:val="20"/>
                <w:szCs w:val="20"/>
              </w:rPr>
              <w:t>Reflect depreciation expense on pro forma plant adjustment (Issue 4)</w:t>
            </w:r>
          </w:p>
        </w:tc>
        <w:tc>
          <w:tcPr>
            <w:tcW w:w="117" w:type="pct"/>
            <w:tcBorders>
              <w:top w:val="nil"/>
              <w:left w:val="nil"/>
              <w:bottom w:val="nil"/>
              <w:right w:val="nil"/>
            </w:tcBorders>
            <w:shd w:val="clear" w:color="000000" w:fill="FFFFFF"/>
            <w:noWrap/>
            <w:vAlign w:val="bottom"/>
          </w:tcPr>
          <w:p w:rsidR="00C25744" w:rsidRPr="00A438A0" w:rsidRDefault="00C25744" w:rsidP="00C25744">
            <w:pPr>
              <w:jc w:val="right"/>
              <w:rPr>
                <w:sz w:val="20"/>
                <w:szCs w:val="20"/>
                <w:u w:val="double"/>
              </w:rPr>
            </w:pPr>
          </w:p>
        </w:tc>
        <w:tc>
          <w:tcPr>
            <w:tcW w:w="1066" w:type="pct"/>
            <w:tcBorders>
              <w:top w:val="nil"/>
              <w:left w:val="nil"/>
              <w:bottom w:val="nil"/>
              <w:right w:val="single" w:sz="8" w:space="0" w:color="auto"/>
            </w:tcBorders>
            <w:shd w:val="clear" w:color="000000" w:fill="FFFFFF"/>
            <w:noWrap/>
            <w:vAlign w:val="bottom"/>
          </w:tcPr>
          <w:p w:rsidR="00C25744" w:rsidRPr="00A438A0" w:rsidRDefault="00C25744" w:rsidP="00C25744">
            <w:pPr>
              <w:jc w:val="right"/>
              <w:rPr>
                <w:sz w:val="20"/>
                <w:szCs w:val="20"/>
              </w:rPr>
            </w:pPr>
            <w:r w:rsidRPr="00A438A0">
              <w:rPr>
                <w:sz w:val="20"/>
                <w:szCs w:val="20"/>
              </w:rPr>
              <w:t>(4,870)</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4</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Remove net depreciation on non-U&amp;U adjustment (Issue 5)</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w:t>
            </w:r>
            <w:r w:rsidRPr="00A438A0">
              <w:rPr>
                <w:sz w:val="20"/>
                <w:szCs w:val="20"/>
                <w:u w:val="single"/>
              </w:rPr>
              <w:t>25,451</w:t>
            </w:r>
            <w:r w:rsidRPr="00A438A0">
              <w:rPr>
                <w:sz w:val="20"/>
                <w:szCs w:val="20"/>
              </w:rPr>
              <w:t>)</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b/>
                <w:sz w:val="20"/>
                <w:szCs w:val="20"/>
              </w:rPr>
            </w:pPr>
            <w:r w:rsidRPr="00A438A0">
              <w:rPr>
                <w:b/>
                <w:sz w:val="20"/>
                <w:szCs w:val="20"/>
              </w:rPr>
              <w:t>Total</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u w:val="double"/>
              </w:rPr>
            </w:pPr>
            <w:r w:rsidRPr="00A438A0">
              <w:rPr>
                <w:sz w:val="20"/>
                <w:szCs w:val="20"/>
                <w:u w:val="double"/>
              </w:rPr>
              <w:t>($5,558)</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u w:val="double"/>
              </w:rPr>
            </w:pP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b/>
                <w:sz w:val="20"/>
                <w:szCs w:val="20"/>
              </w:rPr>
            </w:pPr>
            <w:r w:rsidRPr="00A438A0">
              <w:rPr>
                <w:b/>
                <w:sz w:val="20"/>
                <w:szCs w:val="20"/>
              </w:rPr>
              <w:t>Amortization-Other Expense</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u w:val="double"/>
              </w:rPr>
            </w:pP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u w:val="double"/>
              </w:rPr>
            </w:pP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2650" w:type="pct"/>
            <w:gridSpan w:val="2"/>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Reflect appropriate net loss related to retirement of WWTP (Issue 3)</w:t>
            </w: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u w:val="double"/>
              </w:rPr>
            </w:pPr>
            <w:r w:rsidRPr="00A438A0">
              <w:rPr>
                <w:sz w:val="20"/>
                <w:szCs w:val="20"/>
                <w:u w:val="double"/>
              </w:rPr>
              <w:t>($642)</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b/>
                <w:sz w:val="20"/>
                <w:szCs w:val="20"/>
              </w:rPr>
            </w:pPr>
            <w:r w:rsidRPr="00A438A0">
              <w:rPr>
                <w:b/>
                <w:sz w:val="20"/>
                <w:szCs w:val="20"/>
              </w:rPr>
              <w:t>Taxes Other Than Income</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1</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xml:space="preserve">RAFs on revenue adjustments above. </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($42,958)</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2</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Reflect agreed upon audit adjustments (Issue 2)</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(807)</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3</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Reflect appropriate property taxes related to U&amp;U adjustment (Issue 5)</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(7,460)</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4</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Reflect appropriate payroll taxes (Issue 15)</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w:t>
            </w:r>
            <w:r w:rsidRPr="00A438A0">
              <w:rPr>
                <w:sz w:val="20"/>
                <w:szCs w:val="20"/>
                <w:u w:val="single"/>
              </w:rPr>
              <w:t>4,027</w:t>
            </w:r>
            <w:r w:rsidRPr="00A438A0">
              <w:rPr>
                <w:sz w:val="20"/>
                <w:szCs w:val="20"/>
              </w:rPr>
              <w:t>)</w:t>
            </w:r>
          </w:p>
        </w:tc>
      </w:tr>
      <w:tr w:rsidR="00C25744" w:rsidRPr="00A438A0" w:rsidTr="00C25744">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2533" w:type="pct"/>
            <w:tcBorders>
              <w:top w:val="nil"/>
              <w:left w:val="nil"/>
              <w:bottom w:val="nil"/>
              <w:right w:val="nil"/>
            </w:tcBorders>
            <w:shd w:val="clear" w:color="000000" w:fill="FFFFFF"/>
            <w:noWrap/>
            <w:vAlign w:val="bottom"/>
            <w:hideMark/>
          </w:tcPr>
          <w:p w:rsidR="00C25744" w:rsidRPr="00A438A0" w:rsidRDefault="00C25744" w:rsidP="00C25744">
            <w:pPr>
              <w:rPr>
                <w:b/>
                <w:sz w:val="20"/>
                <w:szCs w:val="20"/>
              </w:rPr>
            </w:pPr>
            <w:r w:rsidRPr="00A438A0">
              <w:rPr>
                <w:b/>
                <w:sz w:val="20"/>
                <w:szCs w:val="20"/>
              </w:rPr>
              <w:t>Total</w:t>
            </w:r>
          </w:p>
        </w:tc>
        <w:tc>
          <w:tcPr>
            <w:tcW w:w="117" w:type="pct"/>
            <w:tcBorders>
              <w:top w:val="nil"/>
              <w:left w:val="nil"/>
              <w:bottom w:val="nil"/>
              <w:right w:val="nil"/>
            </w:tcBorders>
            <w:shd w:val="clear" w:color="000000" w:fill="FFFFFF"/>
            <w:noWrap/>
            <w:vAlign w:val="bottom"/>
            <w:hideMark/>
          </w:tcPr>
          <w:p w:rsidR="00C25744" w:rsidRPr="00A438A0" w:rsidRDefault="00C25744" w:rsidP="00C25744">
            <w:pPr>
              <w:jc w:val="right"/>
              <w:rPr>
                <w:sz w:val="20"/>
                <w:szCs w:val="20"/>
              </w:rPr>
            </w:pPr>
            <w:r w:rsidRPr="00A438A0">
              <w:rPr>
                <w:sz w:val="20"/>
                <w:szCs w:val="20"/>
              </w:rPr>
              <w:t> </w:t>
            </w:r>
          </w:p>
        </w:tc>
        <w:tc>
          <w:tcPr>
            <w:tcW w:w="1066" w:type="pct"/>
            <w:tcBorders>
              <w:top w:val="nil"/>
              <w:left w:val="nil"/>
              <w:bottom w:val="nil"/>
              <w:right w:val="single" w:sz="8" w:space="0" w:color="auto"/>
            </w:tcBorders>
            <w:shd w:val="clear" w:color="000000" w:fill="FFFFFF"/>
            <w:noWrap/>
            <w:vAlign w:val="bottom"/>
            <w:hideMark/>
          </w:tcPr>
          <w:p w:rsidR="00C25744" w:rsidRPr="00A438A0" w:rsidRDefault="00C25744" w:rsidP="00C25744">
            <w:pPr>
              <w:jc w:val="right"/>
              <w:rPr>
                <w:sz w:val="20"/>
                <w:szCs w:val="20"/>
                <w:u w:val="double"/>
              </w:rPr>
            </w:pPr>
            <w:r w:rsidRPr="00A438A0">
              <w:rPr>
                <w:sz w:val="20"/>
                <w:szCs w:val="20"/>
                <w:u w:val="double"/>
              </w:rPr>
              <w:t>($55,253)</w:t>
            </w:r>
          </w:p>
        </w:tc>
      </w:tr>
      <w:tr w:rsidR="00C25744" w:rsidRPr="00A438A0" w:rsidTr="00C25744">
        <w:trPr>
          <w:gridAfter w:val="1"/>
          <w:wAfter w:w="1066" w:type="pct"/>
          <w:trHeight w:val="80"/>
        </w:trPr>
        <w:tc>
          <w:tcPr>
            <w:tcW w:w="218" w:type="pct"/>
            <w:tcBorders>
              <w:top w:val="nil"/>
              <w:left w:val="single" w:sz="8" w:space="0" w:color="auto"/>
              <w:bottom w:val="single" w:sz="8" w:space="0" w:color="auto"/>
              <w:right w:val="nil"/>
            </w:tcBorders>
            <w:shd w:val="clear" w:color="000000" w:fill="FFFFFF"/>
            <w:noWrap/>
            <w:vAlign w:val="bottom"/>
            <w:hideMark/>
          </w:tcPr>
          <w:p w:rsidR="00C25744" w:rsidRPr="00A438A0" w:rsidRDefault="00C25744" w:rsidP="00C25744">
            <w:pPr>
              <w:jc w:val="center"/>
              <w:rPr>
                <w:sz w:val="20"/>
                <w:szCs w:val="20"/>
              </w:rPr>
            </w:pPr>
            <w:r w:rsidRPr="00A438A0">
              <w:rPr>
                <w:sz w:val="20"/>
                <w:szCs w:val="20"/>
              </w:rPr>
              <w:t> </w:t>
            </w:r>
          </w:p>
        </w:tc>
        <w:tc>
          <w:tcPr>
            <w:tcW w:w="2533" w:type="pct"/>
            <w:tcBorders>
              <w:top w:val="nil"/>
              <w:left w:val="nil"/>
              <w:bottom w:val="single" w:sz="8" w:space="0" w:color="auto"/>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117" w:type="pct"/>
            <w:tcBorders>
              <w:top w:val="nil"/>
              <w:left w:val="nil"/>
              <w:bottom w:val="single" w:sz="8" w:space="0" w:color="auto"/>
              <w:right w:val="nil"/>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c>
          <w:tcPr>
            <w:tcW w:w="1066" w:type="pct"/>
            <w:tcBorders>
              <w:top w:val="nil"/>
              <w:left w:val="nil"/>
              <w:bottom w:val="single" w:sz="8" w:space="0" w:color="auto"/>
              <w:right w:val="single" w:sz="8" w:space="0" w:color="auto"/>
            </w:tcBorders>
            <w:shd w:val="clear" w:color="000000" w:fill="FFFFFF"/>
            <w:noWrap/>
            <w:vAlign w:val="bottom"/>
            <w:hideMark/>
          </w:tcPr>
          <w:p w:rsidR="00C25744" w:rsidRPr="00A438A0" w:rsidRDefault="00C25744" w:rsidP="00C25744">
            <w:pPr>
              <w:rPr>
                <w:sz w:val="20"/>
                <w:szCs w:val="20"/>
              </w:rPr>
            </w:pPr>
            <w:r w:rsidRPr="00A438A0">
              <w:rPr>
                <w:sz w:val="20"/>
                <w:szCs w:val="20"/>
              </w:rPr>
              <w:t> </w:t>
            </w:r>
          </w:p>
        </w:tc>
      </w:tr>
    </w:tbl>
    <w:p w:rsidR="00EB5ED0" w:rsidRPr="00A438A0" w:rsidRDefault="00EB5ED0" w:rsidP="00EB5ED0">
      <w:pPr>
        <w:rPr>
          <w:sz w:val="20"/>
          <w:szCs w:val="20"/>
        </w:rPr>
        <w:sectPr w:rsidR="00EB5ED0" w:rsidRPr="00A438A0" w:rsidSect="00FA307D">
          <w:headerReference w:type="default" r:id="rId19"/>
          <w:pgSz w:w="12240" w:h="15840" w:code="1"/>
          <w:pgMar w:top="1584" w:right="1440" w:bottom="1440" w:left="1440" w:header="720" w:footer="720" w:gutter="0"/>
          <w:cols w:space="720"/>
          <w:formProt w:val="0"/>
          <w:docGrid w:linePitch="360"/>
        </w:sectPr>
      </w:pPr>
    </w:p>
    <w:tbl>
      <w:tblPr>
        <w:tblW w:w="14737" w:type="dxa"/>
        <w:jc w:val="center"/>
        <w:tblLook w:val="04A0" w:firstRow="1" w:lastRow="0" w:firstColumn="1" w:lastColumn="0" w:noHBand="0" w:noVBand="1"/>
      </w:tblPr>
      <w:tblGrid>
        <w:gridCol w:w="1156"/>
        <w:gridCol w:w="2114"/>
        <w:gridCol w:w="1780"/>
        <w:gridCol w:w="1513"/>
        <w:gridCol w:w="1424"/>
        <w:gridCol w:w="1780"/>
        <w:gridCol w:w="1801"/>
        <w:gridCol w:w="288"/>
        <w:gridCol w:w="1253"/>
        <w:gridCol w:w="1826"/>
      </w:tblGrid>
      <w:tr w:rsidR="00EB5ED0" w:rsidRPr="00A438A0" w:rsidTr="00B236EC">
        <w:trPr>
          <w:trHeight w:val="273"/>
          <w:jc w:val="center"/>
        </w:trPr>
        <w:tc>
          <w:tcPr>
            <w:tcW w:w="6563" w:type="dxa"/>
            <w:gridSpan w:val="4"/>
            <w:tcBorders>
              <w:top w:val="single" w:sz="8" w:space="0" w:color="000000"/>
              <w:left w:val="single" w:sz="8" w:space="0" w:color="000000"/>
              <w:bottom w:val="nil"/>
              <w:right w:val="nil"/>
            </w:tcBorders>
            <w:shd w:val="clear" w:color="auto" w:fill="auto"/>
            <w:noWrap/>
            <w:vAlign w:val="bottom"/>
            <w:hideMark/>
          </w:tcPr>
          <w:p w:rsidR="00EB5ED0" w:rsidRPr="00A438A0" w:rsidRDefault="00EB5ED0" w:rsidP="00EB5ED0">
            <w:pPr>
              <w:rPr>
                <w:rFonts w:ascii="SWISS" w:hAnsi="SWISS"/>
                <w:b/>
                <w:bCs/>
                <w:color w:val="000000"/>
                <w:sz w:val="16"/>
                <w:szCs w:val="16"/>
              </w:rPr>
            </w:pPr>
            <w:r w:rsidRPr="00A438A0">
              <w:rPr>
                <w:rFonts w:ascii="SWISS" w:hAnsi="SWISS"/>
                <w:b/>
                <w:bCs/>
                <w:color w:val="000000"/>
                <w:sz w:val="16"/>
                <w:szCs w:val="16"/>
              </w:rPr>
              <w:lastRenderedPageBreak/>
              <w:t>UTILITIES, INC. OF SANDALHAVEN </w:t>
            </w:r>
          </w:p>
        </w:tc>
        <w:tc>
          <w:tcPr>
            <w:tcW w:w="1424" w:type="dxa"/>
            <w:tcBorders>
              <w:top w:val="single" w:sz="8" w:space="0" w:color="000000"/>
              <w:left w:val="nil"/>
              <w:bottom w:val="nil"/>
              <w:right w:val="nil"/>
            </w:tcBorders>
            <w:shd w:val="clear" w:color="auto" w:fill="auto"/>
            <w:noWrap/>
            <w:vAlign w:val="bottom"/>
            <w:hideMark/>
          </w:tcPr>
          <w:p w:rsidR="00EB5ED0" w:rsidRPr="00A438A0" w:rsidRDefault="00EB5ED0">
            <w:pPr>
              <w:rPr>
                <w:rFonts w:ascii="SWISS" w:hAnsi="SWISS"/>
                <w:b/>
                <w:bCs/>
                <w:color w:val="000000"/>
                <w:sz w:val="16"/>
                <w:szCs w:val="16"/>
              </w:rPr>
            </w:pPr>
            <w:r w:rsidRPr="00A438A0">
              <w:rPr>
                <w:rFonts w:ascii="SWISS" w:hAnsi="SWISS"/>
                <w:b/>
                <w:bCs/>
                <w:color w:val="000000"/>
                <w:sz w:val="16"/>
                <w:szCs w:val="16"/>
              </w:rPr>
              <w:t> </w:t>
            </w:r>
          </w:p>
        </w:tc>
        <w:tc>
          <w:tcPr>
            <w:tcW w:w="1780" w:type="dxa"/>
            <w:tcBorders>
              <w:top w:val="single" w:sz="8" w:space="0" w:color="000000"/>
              <w:left w:val="nil"/>
              <w:bottom w:val="nil"/>
              <w:right w:val="nil"/>
            </w:tcBorders>
            <w:shd w:val="clear" w:color="auto" w:fill="auto"/>
            <w:noWrap/>
            <w:vAlign w:val="bottom"/>
            <w:hideMark/>
          </w:tcPr>
          <w:p w:rsidR="00EB5ED0" w:rsidRPr="00A438A0" w:rsidRDefault="00EB5ED0">
            <w:pPr>
              <w:rPr>
                <w:rFonts w:ascii="SWISS" w:hAnsi="SWISS"/>
                <w:b/>
                <w:bCs/>
                <w:color w:val="000000"/>
                <w:sz w:val="16"/>
                <w:szCs w:val="16"/>
              </w:rPr>
            </w:pPr>
            <w:r w:rsidRPr="00A438A0">
              <w:rPr>
                <w:rFonts w:ascii="SWISS" w:hAnsi="SWISS"/>
                <w:b/>
                <w:bCs/>
                <w:color w:val="000000"/>
                <w:sz w:val="16"/>
                <w:szCs w:val="16"/>
              </w:rPr>
              <w:t> </w:t>
            </w:r>
          </w:p>
        </w:tc>
        <w:tc>
          <w:tcPr>
            <w:tcW w:w="1801" w:type="dxa"/>
            <w:tcBorders>
              <w:top w:val="single" w:sz="8" w:space="0" w:color="000000"/>
              <w:left w:val="nil"/>
              <w:bottom w:val="nil"/>
              <w:right w:val="nil"/>
            </w:tcBorders>
            <w:shd w:val="clear" w:color="auto" w:fill="auto"/>
            <w:noWrap/>
            <w:vAlign w:val="bottom"/>
            <w:hideMark/>
          </w:tcPr>
          <w:p w:rsidR="00EB5ED0" w:rsidRPr="00A438A0" w:rsidRDefault="00EB5ED0">
            <w:pPr>
              <w:rPr>
                <w:rFonts w:ascii="SWISS" w:hAnsi="SWISS"/>
                <w:b/>
                <w:bCs/>
                <w:color w:val="000000"/>
                <w:sz w:val="16"/>
                <w:szCs w:val="16"/>
              </w:rPr>
            </w:pPr>
            <w:r w:rsidRPr="00A438A0">
              <w:rPr>
                <w:rFonts w:ascii="SWISS" w:hAnsi="SWISS"/>
                <w:b/>
                <w:bCs/>
                <w:color w:val="000000"/>
                <w:sz w:val="16"/>
                <w:szCs w:val="16"/>
              </w:rPr>
              <w:t> </w:t>
            </w:r>
          </w:p>
        </w:tc>
        <w:tc>
          <w:tcPr>
            <w:tcW w:w="253" w:type="dxa"/>
            <w:tcBorders>
              <w:top w:val="single" w:sz="8" w:space="0" w:color="000000"/>
              <w:left w:val="nil"/>
              <w:bottom w:val="nil"/>
              <w:right w:val="nil"/>
            </w:tcBorders>
            <w:shd w:val="clear" w:color="auto" w:fill="auto"/>
            <w:noWrap/>
            <w:vAlign w:val="bottom"/>
            <w:hideMark/>
          </w:tcPr>
          <w:p w:rsidR="00EB5ED0" w:rsidRPr="00A438A0" w:rsidRDefault="00EB5ED0">
            <w:pPr>
              <w:rPr>
                <w:rFonts w:ascii="Calibri" w:hAnsi="Calibri"/>
                <w:color w:val="000000"/>
                <w:sz w:val="16"/>
                <w:szCs w:val="16"/>
              </w:rPr>
            </w:pPr>
            <w:r w:rsidRPr="00A438A0">
              <w:rPr>
                <w:rFonts w:ascii="Calibri" w:hAnsi="Calibri"/>
                <w:color w:val="000000"/>
                <w:sz w:val="16"/>
                <w:szCs w:val="16"/>
              </w:rPr>
              <w:t> </w:t>
            </w:r>
          </w:p>
        </w:tc>
        <w:tc>
          <w:tcPr>
            <w:tcW w:w="2916" w:type="dxa"/>
            <w:gridSpan w:val="2"/>
            <w:tcBorders>
              <w:top w:val="single" w:sz="8" w:space="0" w:color="000000"/>
              <w:left w:val="nil"/>
              <w:bottom w:val="nil"/>
              <w:right w:val="single" w:sz="8" w:space="0" w:color="000000"/>
            </w:tcBorders>
            <w:shd w:val="clear" w:color="auto" w:fill="auto"/>
            <w:noWrap/>
            <w:vAlign w:val="bottom"/>
            <w:hideMark/>
          </w:tcPr>
          <w:p w:rsidR="00EB5ED0" w:rsidRPr="00A438A0" w:rsidRDefault="00EB5ED0" w:rsidP="005B5701">
            <w:pPr>
              <w:jc w:val="right"/>
              <w:rPr>
                <w:rFonts w:ascii="SWISS" w:hAnsi="SWISS"/>
                <w:b/>
                <w:bCs/>
                <w:sz w:val="16"/>
                <w:szCs w:val="16"/>
              </w:rPr>
            </w:pPr>
            <w:r w:rsidRPr="00A438A0">
              <w:rPr>
                <w:rFonts w:ascii="SWISS" w:hAnsi="SWISS"/>
                <w:b/>
                <w:bCs/>
                <w:sz w:val="16"/>
                <w:szCs w:val="16"/>
              </w:rPr>
              <w:t>SCHEDULE NO. 4</w:t>
            </w:r>
            <w:r w:rsidR="005B5701" w:rsidRPr="00A438A0">
              <w:fldChar w:fldCharType="begin"/>
            </w:r>
            <w:r w:rsidR="005B5701" w:rsidRPr="00A438A0">
              <w:instrText xml:space="preserve"> TC "</w:instrText>
            </w:r>
            <w:bookmarkStart w:id="51" w:name="_Toc433269949"/>
            <w:bookmarkStart w:id="52" w:name="_Toc435607965"/>
            <w:r w:rsidR="005B5701" w:rsidRPr="00A438A0">
              <w:tab/>
            </w:r>
            <w:bookmarkStart w:id="53" w:name="_Toc432759881"/>
            <w:r w:rsidR="005B5701" w:rsidRPr="00A438A0">
              <w:instrText>Schedule No. 4 Monthly Wastewater Rates</w:instrText>
            </w:r>
            <w:bookmarkEnd w:id="51"/>
            <w:bookmarkEnd w:id="53"/>
            <w:bookmarkEnd w:id="52"/>
            <w:r w:rsidR="005B5701" w:rsidRPr="00A438A0">
              <w:instrText xml:space="preserve">" \l 1 </w:instrText>
            </w:r>
            <w:r w:rsidR="005B5701" w:rsidRPr="00A438A0">
              <w:fldChar w:fldCharType="end"/>
            </w:r>
          </w:p>
        </w:tc>
      </w:tr>
      <w:tr w:rsidR="002F2AF2" w:rsidRPr="00A438A0" w:rsidTr="00B236EC">
        <w:trPr>
          <w:trHeight w:val="273"/>
          <w:jc w:val="center"/>
        </w:trPr>
        <w:tc>
          <w:tcPr>
            <w:tcW w:w="5050" w:type="dxa"/>
            <w:gridSpan w:val="3"/>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b/>
                <w:bCs/>
                <w:color w:val="000000"/>
                <w:sz w:val="16"/>
                <w:szCs w:val="16"/>
              </w:rPr>
            </w:pPr>
            <w:r w:rsidRPr="00A438A0">
              <w:rPr>
                <w:rFonts w:ascii="SWISS" w:hAnsi="SWISS"/>
                <w:b/>
                <w:bCs/>
                <w:color w:val="000000"/>
                <w:sz w:val="16"/>
                <w:szCs w:val="16"/>
              </w:rPr>
              <w:t>DOCKET NO. 150102-SU</w:t>
            </w:r>
          </w:p>
        </w:tc>
        <w:tc>
          <w:tcPr>
            <w:tcW w:w="1513" w:type="dxa"/>
            <w:tcBorders>
              <w:top w:val="nil"/>
              <w:left w:val="nil"/>
              <w:bottom w:val="nil"/>
              <w:right w:val="nil"/>
            </w:tcBorders>
            <w:shd w:val="clear" w:color="auto" w:fill="auto"/>
            <w:noWrap/>
            <w:vAlign w:val="bottom"/>
            <w:hideMark/>
          </w:tcPr>
          <w:p w:rsidR="00EB5ED0" w:rsidRPr="00A438A0" w:rsidRDefault="00EB5ED0">
            <w:pPr>
              <w:rPr>
                <w:rFonts w:ascii="SWISS" w:hAnsi="SWISS"/>
                <w:b/>
                <w:bCs/>
                <w:color w:val="000000"/>
                <w:sz w:val="16"/>
                <w:szCs w:val="16"/>
              </w:rPr>
            </w:pPr>
          </w:p>
        </w:tc>
        <w:tc>
          <w:tcPr>
            <w:tcW w:w="1424" w:type="dxa"/>
            <w:tcBorders>
              <w:top w:val="nil"/>
              <w:left w:val="nil"/>
              <w:bottom w:val="nil"/>
              <w:right w:val="nil"/>
            </w:tcBorders>
            <w:shd w:val="clear" w:color="auto" w:fill="auto"/>
            <w:noWrap/>
            <w:vAlign w:val="bottom"/>
            <w:hideMark/>
          </w:tcPr>
          <w:p w:rsidR="00EB5ED0" w:rsidRPr="00A438A0" w:rsidRDefault="00EB5ED0">
            <w:pPr>
              <w:rPr>
                <w:rFonts w:ascii="SWISS" w:hAnsi="SWISS"/>
                <w:b/>
                <w:bCs/>
                <w:color w:val="000000"/>
                <w:sz w:val="16"/>
                <w:szCs w:val="16"/>
              </w:rPr>
            </w:pPr>
          </w:p>
        </w:tc>
        <w:tc>
          <w:tcPr>
            <w:tcW w:w="1780" w:type="dxa"/>
            <w:tcBorders>
              <w:top w:val="nil"/>
              <w:left w:val="nil"/>
              <w:bottom w:val="nil"/>
              <w:right w:val="nil"/>
            </w:tcBorders>
            <w:shd w:val="clear" w:color="auto" w:fill="auto"/>
            <w:noWrap/>
            <w:vAlign w:val="bottom"/>
            <w:hideMark/>
          </w:tcPr>
          <w:p w:rsidR="00EB5ED0" w:rsidRPr="00A438A0" w:rsidRDefault="00EB5ED0">
            <w:pPr>
              <w:rPr>
                <w:rFonts w:ascii="SWISS" w:hAnsi="SWISS"/>
                <w:b/>
                <w:bCs/>
                <w:color w:val="000000"/>
                <w:sz w:val="16"/>
                <w:szCs w:val="16"/>
              </w:rPr>
            </w:pPr>
          </w:p>
        </w:tc>
        <w:tc>
          <w:tcPr>
            <w:tcW w:w="1801" w:type="dxa"/>
            <w:tcBorders>
              <w:top w:val="nil"/>
              <w:left w:val="nil"/>
              <w:bottom w:val="nil"/>
              <w:right w:val="nil"/>
            </w:tcBorders>
            <w:shd w:val="clear" w:color="auto" w:fill="auto"/>
            <w:noWrap/>
            <w:vAlign w:val="bottom"/>
            <w:hideMark/>
          </w:tcPr>
          <w:p w:rsidR="00EB5ED0" w:rsidRPr="00A438A0" w:rsidRDefault="00EB5ED0">
            <w:pPr>
              <w:rPr>
                <w:rFonts w:ascii="SWISS" w:hAnsi="SWISS"/>
                <w:b/>
                <w:bCs/>
                <w:color w:val="000000"/>
                <w:sz w:val="16"/>
                <w:szCs w:val="16"/>
              </w:rPr>
            </w:pPr>
          </w:p>
        </w:tc>
        <w:tc>
          <w:tcPr>
            <w:tcW w:w="3169" w:type="dxa"/>
            <w:gridSpan w:val="3"/>
            <w:tcBorders>
              <w:top w:val="nil"/>
              <w:left w:val="nil"/>
              <w:bottom w:val="nil"/>
              <w:right w:val="single" w:sz="8" w:space="0" w:color="000000"/>
            </w:tcBorders>
            <w:shd w:val="clear" w:color="auto" w:fill="auto"/>
            <w:noWrap/>
            <w:vAlign w:val="bottom"/>
            <w:hideMark/>
          </w:tcPr>
          <w:p w:rsidR="00EB5ED0" w:rsidRPr="00A438A0" w:rsidRDefault="00EB5ED0">
            <w:pPr>
              <w:jc w:val="right"/>
              <w:rPr>
                <w:rFonts w:ascii="SWISS" w:hAnsi="SWISS"/>
                <w:b/>
                <w:bCs/>
                <w:sz w:val="16"/>
                <w:szCs w:val="16"/>
              </w:rPr>
            </w:pPr>
            <w:r w:rsidRPr="00A438A0">
              <w:rPr>
                <w:rFonts w:ascii="SWISS" w:hAnsi="SWISS"/>
                <w:b/>
                <w:bCs/>
                <w:sz w:val="16"/>
                <w:szCs w:val="16"/>
              </w:rPr>
              <w:t>DOCKET NO. 150102-SU</w:t>
            </w:r>
          </w:p>
        </w:tc>
      </w:tr>
      <w:tr w:rsidR="00EB5ED0" w:rsidRPr="00A438A0" w:rsidTr="00B236EC">
        <w:trPr>
          <w:trHeight w:val="285"/>
          <w:jc w:val="center"/>
        </w:trPr>
        <w:tc>
          <w:tcPr>
            <w:tcW w:w="6563" w:type="dxa"/>
            <w:gridSpan w:val="4"/>
            <w:tcBorders>
              <w:top w:val="nil"/>
              <w:left w:val="single" w:sz="8" w:space="0" w:color="000000"/>
              <w:bottom w:val="single" w:sz="8" w:space="0" w:color="000000"/>
              <w:right w:val="nil"/>
            </w:tcBorders>
            <w:shd w:val="clear" w:color="auto" w:fill="auto"/>
            <w:noWrap/>
            <w:vAlign w:val="bottom"/>
            <w:hideMark/>
          </w:tcPr>
          <w:p w:rsidR="00EB5ED0" w:rsidRPr="00A438A0" w:rsidRDefault="00EB5ED0">
            <w:pPr>
              <w:rPr>
                <w:rFonts w:ascii="SWISS" w:hAnsi="SWISS"/>
                <w:b/>
                <w:bCs/>
                <w:sz w:val="16"/>
                <w:szCs w:val="16"/>
              </w:rPr>
            </w:pPr>
            <w:r w:rsidRPr="00A438A0">
              <w:rPr>
                <w:rFonts w:ascii="SWISS" w:hAnsi="SWISS"/>
                <w:b/>
                <w:bCs/>
                <w:color w:val="000000"/>
                <w:sz w:val="16"/>
                <w:szCs w:val="16"/>
              </w:rPr>
              <w:t>MONTHLY WASTEWATER RATES</w:t>
            </w:r>
          </w:p>
        </w:tc>
        <w:tc>
          <w:tcPr>
            <w:tcW w:w="1424" w:type="dxa"/>
            <w:tcBorders>
              <w:top w:val="nil"/>
              <w:left w:val="nil"/>
              <w:bottom w:val="nil"/>
              <w:right w:val="nil"/>
            </w:tcBorders>
            <w:shd w:val="clear" w:color="auto" w:fill="auto"/>
            <w:noWrap/>
            <w:vAlign w:val="bottom"/>
            <w:hideMark/>
          </w:tcPr>
          <w:p w:rsidR="00EB5ED0" w:rsidRPr="00A438A0" w:rsidRDefault="00EB5ED0">
            <w:pPr>
              <w:rPr>
                <w:rFonts w:ascii="SWISS" w:hAnsi="SWISS"/>
                <w:b/>
                <w:bCs/>
                <w:sz w:val="16"/>
                <w:szCs w:val="16"/>
              </w:rPr>
            </w:pPr>
          </w:p>
        </w:tc>
        <w:tc>
          <w:tcPr>
            <w:tcW w:w="1780" w:type="dxa"/>
            <w:tcBorders>
              <w:top w:val="nil"/>
              <w:left w:val="nil"/>
              <w:bottom w:val="nil"/>
              <w:right w:val="nil"/>
            </w:tcBorders>
            <w:shd w:val="clear" w:color="auto" w:fill="auto"/>
            <w:noWrap/>
            <w:vAlign w:val="bottom"/>
            <w:hideMark/>
          </w:tcPr>
          <w:p w:rsidR="00EB5ED0" w:rsidRPr="00A438A0" w:rsidRDefault="00EB5ED0">
            <w:pPr>
              <w:rPr>
                <w:rFonts w:ascii="SWISS" w:hAnsi="SWISS"/>
                <w:b/>
                <w:bCs/>
                <w:sz w:val="16"/>
                <w:szCs w:val="16"/>
              </w:rPr>
            </w:pPr>
          </w:p>
        </w:tc>
        <w:tc>
          <w:tcPr>
            <w:tcW w:w="1801" w:type="dxa"/>
            <w:tcBorders>
              <w:top w:val="nil"/>
              <w:left w:val="nil"/>
              <w:bottom w:val="nil"/>
              <w:right w:val="nil"/>
            </w:tcBorders>
            <w:shd w:val="clear" w:color="auto" w:fill="auto"/>
            <w:noWrap/>
            <w:vAlign w:val="bottom"/>
            <w:hideMark/>
          </w:tcPr>
          <w:p w:rsidR="00EB5ED0" w:rsidRPr="00A438A0" w:rsidRDefault="00EB5ED0">
            <w:pPr>
              <w:rPr>
                <w:rFonts w:ascii="SWISS" w:hAnsi="SWISS"/>
                <w:b/>
                <w:bCs/>
                <w:sz w:val="16"/>
                <w:szCs w:val="16"/>
              </w:rPr>
            </w:pPr>
          </w:p>
        </w:tc>
        <w:tc>
          <w:tcPr>
            <w:tcW w:w="1355" w:type="dxa"/>
            <w:gridSpan w:val="2"/>
            <w:tcBorders>
              <w:top w:val="nil"/>
              <w:left w:val="nil"/>
              <w:bottom w:val="nil"/>
              <w:right w:val="nil"/>
            </w:tcBorders>
            <w:shd w:val="clear" w:color="auto" w:fill="auto"/>
            <w:noWrap/>
            <w:vAlign w:val="bottom"/>
            <w:hideMark/>
          </w:tcPr>
          <w:p w:rsidR="00EB5ED0" w:rsidRPr="00A438A0" w:rsidRDefault="00EB5ED0">
            <w:pPr>
              <w:rPr>
                <w:rFonts w:ascii="SWISS" w:hAnsi="SWISS"/>
                <w:b/>
                <w:bCs/>
                <w:sz w:val="16"/>
                <w:szCs w:val="16"/>
              </w:rPr>
            </w:pPr>
          </w:p>
        </w:tc>
        <w:tc>
          <w:tcPr>
            <w:tcW w:w="1814" w:type="dxa"/>
            <w:tcBorders>
              <w:top w:val="nil"/>
              <w:left w:val="nil"/>
              <w:bottom w:val="nil"/>
              <w:right w:val="single" w:sz="8" w:space="0" w:color="000000"/>
            </w:tcBorders>
            <w:shd w:val="clear" w:color="auto" w:fill="auto"/>
            <w:noWrap/>
            <w:vAlign w:val="bottom"/>
            <w:hideMark/>
          </w:tcPr>
          <w:p w:rsidR="00EB5ED0" w:rsidRPr="00A438A0" w:rsidRDefault="00EB5ED0">
            <w:pPr>
              <w:rPr>
                <w:rFonts w:ascii="SWISS" w:hAnsi="SWISS"/>
                <w:b/>
                <w:bCs/>
                <w:sz w:val="16"/>
                <w:szCs w:val="16"/>
              </w:rPr>
            </w:pPr>
            <w:r w:rsidRPr="00A438A0">
              <w:rPr>
                <w:rFonts w:ascii="SWISS" w:hAnsi="SWISS"/>
                <w:b/>
                <w:bCs/>
                <w:sz w:val="16"/>
                <w:szCs w:val="16"/>
              </w:rPr>
              <w:t> </w:t>
            </w:r>
          </w:p>
        </w:tc>
      </w:tr>
      <w:tr w:rsidR="002F2AF2" w:rsidRPr="00A438A0" w:rsidTr="00B236EC">
        <w:trPr>
          <w:trHeight w:val="273"/>
          <w:jc w:val="center"/>
        </w:trPr>
        <w:tc>
          <w:tcPr>
            <w:tcW w:w="3270" w:type="dxa"/>
            <w:gridSpan w:val="2"/>
            <w:tcBorders>
              <w:top w:val="nil"/>
              <w:left w:val="single" w:sz="8" w:space="0" w:color="000000"/>
              <w:bottom w:val="nil"/>
              <w:right w:val="nil"/>
            </w:tcBorders>
            <w:shd w:val="clear" w:color="000000" w:fill="D9D9D9"/>
            <w:noWrap/>
            <w:vAlign w:val="bottom"/>
            <w:hideMark/>
          </w:tcPr>
          <w:p w:rsidR="00EB5ED0" w:rsidRPr="00A438A0" w:rsidRDefault="00EB5ED0">
            <w:pPr>
              <w:rPr>
                <w:rFonts w:ascii="SWISS" w:hAnsi="SWISS"/>
                <w:b/>
                <w:bCs/>
                <w:sz w:val="16"/>
                <w:szCs w:val="16"/>
              </w:rPr>
            </w:pPr>
            <w:r w:rsidRPr="00A438A0">
              <w:rPr>
                <w:rFonts w:ascii="SWISS" w:hAnsi="SWISS"/>
                <w:b/>
                <w:bCs/>
                <w:sz w:val="16"/>
                <w:szCs w:val="16"/>
              </w:rPr>
              <w:t> </w:t>
            </w:r>
          </w:p>
        </w:tc>
        <w:tc>
          <w:tcPr>
            <w:tcW w:w="1780" w:type="dxa"/>
            <w:tcBorders>
              <w:top w:val="single" w:sz="8" w:space="0" w:color="000000"/>
              <w:left w:val="nil"/>
              <w:bottom w:val="nil"/>
              <w:right w:val="nil"/>
            </w:tcBorders>
            <w:shd w:val="clear" w:color="000000" w:fill="D9D9D9"/>
            <w:noWrap/>
            <w:vAlign w:val="bottom"/>
            <w:hideMark/>
          </w:tcPr>
          <w:p w:rsidR="00EB5ED0" w:rsidRPr="00A438A0" w:rsidRDefault="00EB5ED0">
            <w:pPr>
              <w:rPr>
                <w:rFonts w:ascii="Arial" w:hAnsi="Arial" w:cs="Arial"/>
                <w:sz w:val="16"/>
                <w:szCs w:val="16"/>
              </w:rPr>
            </w:pPr>
            <w:r w:rsidRPr="00A438A0">
              <w:rPr>
                <w:rFonts w:ascii="Arial" w:hAnsi="Arial" w:cs="Arial"/>
                <w:sz w:val="16"/>
                <w:szCs w:val="16"/>
              </w:rPr>
              <w:t> </w:t>
            </w:r>
          </w:p>
        </w:tc>
        <w:tc>
          <w:tcPr>
            <w:tcW w:w="1513" w:type="dxa"/>
            <w:tcBorders>
              <w:top w:val="single" w:sz="8" w:space="0" w:color="000000"/>
              <w:left w:val="nil"/>
              <w:bottom w:val="nil"/>
              <w:right w:val="nil"/>
            </w:tcBorders>
            <w:shd w:val="clear" w:color="000000" w:fill="D9D9D9"/>
            <w:noWrap/>
            <w:vAlign w:val="bottom"/>
            <w:hideMark/>
          </w:tcPr>
          <w:p w:rsidR="00EB5ED0" w:rsidRPr="00A438A0" w:rsidRDefault="00EB5ED0">
            <w:pPr>
              <w:rPr>
                <w:rFonts w:ascii="Arial" w:hAnsi="Arial" w:cs="Arial"/>
                <w:sz w:val="16"/>
                <w:szCs w:val="16"/>
              </w:rPr>
            </w:pPr>
            <w:r w:rsidRPr="00A438A0">
              <w:rPr>
                <w:rFonts w:ascii="Arial" w:hAnsi="Arial" w:cs="Arial"/>
                <w:sz w:val="16"/>
                <w:szCs w:val="16"/>
              </w:rPr>
              <w:t> </w:t>
            </w:r>
          </w:p>
        </w:tc>
        <w:tc>
          <w:tcPr>
            <w:tcW w:w="1424" w:type="dxa"/>
            <w:tcBorders>
              <w:top w:val="single" w:sz="8" w:space="0" w:color="000000"/>
              <w:left w:val="nil"/>
              <w:bottom w:val="nil"/>
              <w:right w:val="nil"/>
            </w:tcBorders>
            <w:shd w:val="clear" w:color="000000" w:fill="D9D9D9"/>
            <w:noWrap/>
            <w:vAlign w:val="bottom"/>
            <w:hideMark/>
          </w:tcPr>
          <w:p w:rsidR="00EB5ED0" w:rsidRPr="00A438A0" w:rsidRDefault="00EB5ED0">
            <w:pPr>
              <w:rPr>
                <w:rFonts w:ascii="Arial" w:hAnsi="Arial" w:cs="Arial"/>
                <w:sz w:val="16"/>
                <w:szCs w:val="16"/>
              </w:rPr>
            </w:pPr>
            <w:r w:rsidRPr="00A438A0">
              <w:rPr>
                <w:rFonts w:ascii="Arial" w:hAnsi="Arial" w:cs="Arial"/>
                <w:sz w:val="16"/>
                <w:szCs w:val="16"/>
              </w:rPr>
              <w:t> </w:t>
            </w:r>
          </w:p>
        </w:tc>
        <w:tc>
          <w:tcPr>
            <w:tcW w:w="1780" w:type="dxa"/>
            <w:tcBorders>
              <w:top w:val="single" w:sz="8" w:space="0" w:color="000000"/>
              <w:left w:val="nil"/>
              <w:bottom w:val="nil"/>
              <w:right w:val="nil"/>
            </w:tcBorders>
            <w:shd w:val="clear" w:color="000000" w:fill="D9D9D9"/>
            <w:noWrap/>
            <w:vAlign w:val="bottom"/>
            <w:hideMark/>
          </w:tcPr>
          <w:p w:rsidR="00EB5ED0" w:rsidRPr="00A438A0" w:rsidRDefault="00EB5ED0">
            <w:pPr>
              <w:jc w:val="center"/>
              <w:rPr>
                <w:rFonts w:ascii="SWISS" w:hAnsi="SWISS"/>
                <w:b/>
                <w:bCs/>
                <w:color w:val="000000"/>
                <w:sz w:val="16"/>
                <w:szCs w:val="16"/>
              </w:rPr>
            </w:pPr>
            <w:r w:rsidRPr="00A438A0">
              <w:rPr>
                <w:rFonts w:ascii="SWISS" w:hAnsi="SWISS"/>
                <w:b/>
                <w:bCs/>
                <w:color w:val="000000"/>
                <w:sz w:val="16"/>
                <w:szCs w:val="16"/>
              </w:rPr>
              <w:t> </w:t>
            </w:r>
          </w:p>
        </w:tc>
        <w:tc>
          <w:tcPr>
            <w:tcW w:w="1801" w:type="dxa"/>
            <w:tcBorders>
              <w:top w:val="single" w:sz="8" w:space="0" w:color="000000"/>
              <w:left w:val="nil"/>
              <w:bottom w:val="nil"/>
              <w:right w:val="nil"/>
            </w:tcBorders>
            <w:shd w:val="clear" w:color="000000" w:fill="D9D9D9"/>
            <w:noWrap/>
            <w:vAlign w:val="bottom"/>
            <w:hideMark/>
          </w:tcPr>
          <w:p w:rsidR="00EB5ED0" w:rsidRPr="00A438A0" w:rsidRDefault="00EB5ED0">
            <w:pPr>
              <w:jc w:val="center"/>
              <w:rPr>
                <w:b/>
                <w:bCs/>
                <w:color w:val="000000"/>
                <w:sz w:val="16"/>
                <w:szCs w:val="16"/>
              </w:rPr>
            </w:pPr>
            <w:r w:rsidRPr="00A438A0">
              <w:rPr>
                <w:b/>
                <w:bCs/>
                <w:color w:val="000000"/>
                <w:sz w:val="16"/>
                <w:szCs w:val="16"/>
              </w:rPr>
              <w:t>CHARLOTTE</w:t>
            </w:r>
          </w:p>
        </w:tc>
        <w:tc>
          <w:tcPr>
            <w:tcW w:w="1355" w:type="dxa"/>
            <w:gridSpan w:val="2"/>
            <w:tcBorders>
              <w:top w:val="single" w:sz="8" w:space="0" w:color="000000"/>
              <w:left w:val="nil"/>
              <w:bottom w:val="nil"/>
              <w:right w:val="nil"/>
            </w:tcBorders>
            <w:shd w:val="clear" w:color="000000" w:fill="D9D9D9"/>
            <w:noWrap/>
            <w:vAlign w:val="bottom"/>
            <w:hideMark/>
          </w:tcPr>
          <w:p w:rsidR="00EB5ED0" w:rsidRPr="00A438A0" w:rsidRDefault="00635771" w:rsidP="00635771">
            <w:pPr>
              <w:jc w:val="center"/>
              <w:rPr>
                <w:b/>
                <w:sz w:val="16"/>
                <w:szCs w:val="16"/>
              </w:rPr>
            </w:pPr>
            <w:r w:rsidRPr="00A438A0">
              <w:rPr>
                <w:b/>
                <w:sz w:val="16"/>
                <w:szCs w:val="16"/>
              </w:rPr>
              <w:t>STAFF RECOMMENDED</w:t>
            </w:r>
          </w:p>
        </w:tc>
        <w:tc>
          <w:tcPr>
            <w:tcW w:w="1814" w:type="dxa"/>
            <w:tcBorders>
              <w:top w:val="single" w:sz="8" w:space="0" w:color="auto"/>
              <w:left w:val="nil"/>
              <w:bottom w:val="nil"/>
              <w:right w:val="single" w:sz="8" w:space="0" w:color="auto"/>
            </w:tcBorders>
            <w:shd w:val="clear" w:color="000000" w:fill="D9D9D9"/>
            <w:noWrap/>
            <w:vAlign w:val="bottom"/>
            <w:hideMark/>
          </w:tcPr>
          <w:p w:rsidR="00EB5ED0" w:rsidRPr="00A438A0" w:rsidRDefault="00EB5ED0">
            <w:pPr>
              <w:jc w:val="center"/>
              <w:rPr>
                <w:b/>
                <w:bCs/>
                <w:sz w:val="16"/>
                <w:szCs w:val="16"/>
              </w:rPr>
            </w:pPr>
            <w:r w:rsidRPr="00A438A0">
              <w:rPr>
                <w:b/>
                <w:bCs/>
                <w:sz w:val="16"/>
                <w:szCs w:val="16"/>
              </w:rPr>
              <w:t>10 YEAR</w:t>
            </w:r>
          </w:p>
        </w:tc>
      </w:tr>
      <w:tr w:rsidR="002F2AF2" w:rsidRPr="00A438A0" w:rsidTr="00B236EC">
        <w:trPr>
          <w:trHeight w:val="273"/>
          <w:jc w:val="center"/>
        </w:trPr>
        <w:tc>
          <w:tcPr>
            <w:tcW w:w="3270" w:type="dxa"/>
            <w:gridSpan w:val="2"/>
            <w:tcBorders>
              <w:top w:val="nil"/>
              <w:left w:val="single" w:sz="8" w:space="0" w:color="000000"/>
              <w:bottom w:val="nil"/>
              <w:right w:val="nil"/>
            </w:tcBorders>
            <w:shd w:val="clear" w:color="000000" w:fill="D9D9D9"/>
            <w:noWrap/>
            <w:vAlign w:val="bottom"/>
            <w:hideMark/>
          </w:tcPr>
          <w:p w:rsidR="00EB5ED0" w:rsidRPr="00A438A0" w:rsidRDefault="00EB5ED0">
            <w:pPr>
              <w:rPr>
                <w:rFonts w:ascii="SWISS" w:hAnsi="SWISS"/>
                <w:b/>
                <w:bCs/>
                <w:sz w:val="16"/>
                <w:szCs w:val="16"/>
              </w:rPr>
            </w:pPr>
            <w:r w:rsidRPr="00A438A0">
              <w:rPr>
                <w:rFonts w:ascii="SWISS" w:hAnsi="SWISS"/>
                <w:b/>
                <w:bCs/>
                <w:sz w:val="16"/>
                <w:szCs w:val="16"/>
              </w:rPr>
              <w:t> </w:t>
            </w:r>
          </w:p>
        </w:tc>
        <w:tc>
          <w:tcPr>
            <w:tcW w:w="1780" w:type="dxa"/>
            <w:tcBorders>
              <w:top w:val="nil"/>
              <w:left w:val="nil"/>
              <w:bottom w:val="nil"/>
              <w:right w:val="nil"/>
            </w:tcBorders>
            <w:shd w:val="clear" w:color="000000" w:fill="D9D9D9"/>
            <w:noWrap/>
            <w:vAlign w:val="bottom"/>
            <w:hideMark/>
          </w:tcPr>
          <w:p w:rsidR="00EB5ED0" w:rsidRPr="00A438A0" w:rsidRDefault="00EB5ED0">
            <w:pPr>
              <w:jc w:val="center"/>
              <w:rPr>
                <w:b/>
                <w:bCs/>
                <w:color w:val="000000"/>
                <w:sz w:val="16"/>
                <w:szCs w:val="16"/>
              </w:rPr>
            </w:pPr>
            <w:r w:rsidRPr="00A438A0">
              <w:rPr>
                <w:b/>
                <w:bCs/>
                <w:color w:val="000000"/>
                <w:sz w:val="16"/>
                <w:szCs w:val="16"/>
              </w:rPr>
              <w:t>RATES AT</w:t>
            </w:r>
          </w:p>
        </w:tc>
        <w:tc>
          <w:tcPr>
            <w:tcW w:w="1513" w:type="dxa"/>
            <w:tcBorders>
              <w:top w:val="nil"/>
              <w:left w:val="nil"/>
              <w:bottom w:val="nil"/>
              <w:right w:val="nil"/>
            </w:tcBorders>
            <w:shd w:val="clear" w:color="000000" w:fill="D9D9D9"/>
            <w:noWrap/>
            <w:vAlign w:val="bottom"/>
            <w:hideMark/>
          </w:tcPr>
          <w:p w:rsidR="00EB5ED0" w:rsidRPr="00A438A0" w:rsidRDefault="00EB5ED0">
            <w:pPr>
              <w:jc w:val="center"/>
              <w:rPr>
                <w:b/>
                <w:bCs/>
                <w:color w:val="000000"/>
                <w:sz w:val="16"/>
                <w:szCs w:val="16"/>
              </w:rPr>
            </w:pPr>
            <w:r w:rsidRPr="00A438A0">
              <w:rPr>
                <w:b/>
                <w:bCs/>
                <w:color w:val="000000"/>
                <w:sz w:val="16"/>
                <w:szCs w:val="16"/>
              </w:rPr>
              <w:t>COMMISSION</w:t>
            </w:r>
          </w:p>
        </w:tc>
        <w:tc>
          <w:tcPr>
            <w:tcW w:w="1424" w:type="dxa"/>
            <w:tcBorders>
              <w:top w:val="nil"/>
              <w:left w:val="nil"/>
              <w:bottom w:val="nil"/>
              <w:right w:val="nil"/>
            </w:tcBorders>
            <w:shd w:val="clear" w:color="000000" w:fill="D9D9D9"/>
            <w:noWrap/>
            <w:vAlign w:val="bottom"/>
            <w:hideMark/>
          </w:tcPr>
          <w:p w:rsidR="00EB5ED0" w:rsidRPr="00A438A0" w:rsidRDefault="00EB5ED0">
            <w:pPr>
              <w:jc w:val="center"/>
              <w:rPr>
                <w:b/>
                <w:bCs/>
                <w:color w:val="000000"/>
                <w:sz w:val="16"/>
                <w:szCs w:val="16"/>
              </w:rPr>
            </w:pPr>
            <w:r w:rsidRPr="00A438A0">
              <w:rPr>
                <w:b/>
                <w:bCs/>
                <w:color w:val="000000"/>
                <w:sz w:val="16"/>
                <w:szCs w:val="16"/>
              </w:rPr>
              <w:t xml:space="preserve">UTILITY </w:t>
            </w:r>
          </w:p>
        </w:tc>
        <w:tc>
          <w:tcPr>
            <w:tcW w:w="1780" w:type="dxa"/>
            <w:tcBorders>
              <w:top w:val="nil"/>
              <w:left w:val="nil"/>
              <w:bottom w:val="nil"/>
              <w:right w:val="nil"/>
            </w:tcBorders>
            <w:shd w:val="clear" w:color="000000" w:fill="D9D9D9"/>
            <w:noWrap/>
            <w:vAlign w:val="bottom"/>
            <w:hideMark/>
          </w:tcPr>
          <w:p w:rsidR="00EB5ED0" w:rsidRPr="00A438A0" w:rsidRDefault="00EB5ED0">
            <w:pPr>
              <w:jc w:val="center"/>
              <w:rPr>
                <w:b/>
                <w:bCs/>
                <w:color w:val="000000"/>
                <w:sz w:val="16"/>
                <w:szCs w:val="16"/>
              </w:rPr>
            </w:pPr>
            <w:r w:rsidRPr="00A438A0">
              <w:rPr>
                <w:b/>
                <w:bCs/>
                <w:color w:val="000000"/>
                <w:sz w:val="16"/>
                <w:szCs w:val="16"/>
              </w:rPr>
              <w:t>STAFF</w:t>
            </w:r>
          </w:p>
        </w:tc>
        <w:tc>
          <w:tcPr>
            <w:tcW w:w="1801" w:type="dxa"/>
            <w:tcBorders>
              <w:top w:val="nil"/>
              <w:left w:val="nil"/>
              <w:bottom w:val="nil"/>
              <w:right w:val="nil"/>
            </w:tcBorders>
            <w:shd w:val="clear" w:color="000000" w:fill="D9D9D9"/>
            <w:noWrap/>
            <w:vAlign w:val="bottom"/>
            <w:hideMark/>
          </w:tcPr>
          <w:p w:rsidR="00EB5ED0" w:rsidRPr="00A438A0" w:rsidRDefault="00EB5ED0">
            <w:pPr>
              <w:jc w:val="center"/>
              <w:rPr>
                <w:b/>
                <w:bCs/>
                <w:color w:val="000000"/>
                <w:sz w:val="16"/>
                <w:szCs w:val="16"/>
              </w:rPr>
            </w:pPr>
            <w:r w:rsidRPr="00A438A0">
              <w:rPr>
                <w:b/>
                <w:bCs/>
                <w:color w:val="000000"/>
                <w:sz w:val="16"/>
                <w:szCs w:val="16"/>
              </w:rPr>
              <w:t>COUNTY</w:t>
            </w:r>
          </w:p>
        </w:tc>
        <w:tc>
          <w:tcPr>
            <w:tcW w:w="1355" w:type="dxa"/>
            <w:gridSpan w:val="2"/>
            <w:tcBorders>
              <w:top w:val="nil"/>
              <w:left w:val="nil"/>
              <w:bottom w:val="nil"/>
              <w:right w:val="nil"/>
            </w:tcBorders>
            <w:shd w:val="clear" w:color="000000" w:fill="D9D9D9"/>
            <w:noWrap/>
            <w:vAlign w:val="bottom"/>
            <w:hideMark/>
          </w:tcPr>
          <w:p w:rsidR="00EB5ED0" w:rsidRPr="00A438A0" w:rsidRDefault="00EB5ED0">
            <w:pPr>
              <w:jc w:val="center"/>
              <w:rPr>
                <w:b/>
                <w:bCs/>
                <w:color w:val="000000"/>
                <w:sz w:val="16"/>
                <w:szCs w:val="16"/>
              </w:rPr>
            </w:pPr>
            <w:r w:rsidRPr="00A438A0">
              <w:rPr>
                <w:b/>
                <w:bCs/>
                <w:color w:val="000000"/>
                <w:sz w:val="16"/>
                <w:szCs w:val="16"/>
              </w:rPr>
              <w:t>4 YEAR</w:t>
            </w:r>
          </w:p>
        </w:tc>
        <w:tc>
          <w:tcPr>
            <w:tcW w:w="1814" w:type="dxa"/>
            <w:tcBorders>
              <w:top w:val="nil"/>
              <w:left w:val="nil"/>
              <w:bottom w:val="nil"/>
              <w:right w:val="single" w:sz="8" w:space="0" w:color="auto"/>
            </w:tcBorders>
            <w:shd w:val="clear" w:color="000000" w:fill="D9D9D9"/>
            <w:noWrap/>
            <w:vAlign w:val="bottom"/>
            <w:hideMark/>
          </w:tcPr>
          <w:p w:rsidR="00EB5ED0" w:rsidRPr="00A438A0" w:rsidRDefault="00EB5ED0">
            <w:pPr>
              <w:jc w:val="center"/>
              <w:rPr>
                <w:b/>
                <w:bCs/>
                <w:sz w:val="16"/>
                <w:szCs w:val="16"/>
              </w:rPr>
            </w:pPr>
            <w:r w:rsidRPr="00A438A0">
              <w:rPr>
                <w:b/>
                <w:bCs/>
                <w:sz w:val="16"/>
                <w:szCs w:val="16"/>
              </w:rPr>
              <w:t>WWTP</w:t>
            </w:r>
          </w:p>
        </w:tc>
      </w:tr>
      <w:tr w:rsidR="002F2AF2" w:rsidRPr="00A438A0" w:rsidTr="00B236EC">
        <w:trPr>
          <w:trHeight w:val="273"/>
          <w:jc w:val="center"/>
        </w:trPr>
        <w:tc>
          <w:tcPr>
            <w:tcW w:w="3270" w:type="dxa"/>
            <w:gridSpan w:val="2"/>
            <w:tcBorders>
              <w:top w:val="nil"/>
              <w:left w:val="single" w:sz="8" w:space="0" w:color="000000"/>
              <w:bottom w:val="nil"/>
              <w:right w:val="nil"/>
            </w:tcBorders>
            <w:shd w:val="clear" w:color="000000" w:fill="D9D9D9"/>
            <w:noWrap/>
            <w:vAlign w:val="bottom"/>
            <w:hideMark/>
          </w:tcPr>
          <w:p w:rsidR="00EB5ED0" w:rsidRPr="00A438A0" w:rsidRDefault="00EB5ED0">
            <w:pPr>
              <w:rPr>
                <w:rFonts w:ascii="SWISS" w:hAnsi="SWISS"/>
                <w:b/>
                <w:bCs/>
                <w:sz w:val="16"/>
                <w:szCs w:val="16"/>
                <w:u w:val="single"/>
              </w:rPr>
            </w:pPr>
          </w:p>
        </w:tc>
        <w:tc>
          <w:tcPr>
            <w:tcW w:w="1780" w:type="dxa"/>
            <w:tcBorders>
              <w:top w:val="nil"/>
              <w:left w:val="nil"/>
              <w:bottom w:val="nil"/>
              <w:right w:val="nil"/>
            </w:tcBorders>
            <w:shd w:val="clear" w:color="000000" w:fill="D9D9D9"/>
            <w:noWrap/>
            <w:vAlign w:val="bottom"/>
            <w:hideMark/>
          </w:tcPr>
          <w:p w:rsidR="00EB5ED0" w:rsidRPr="00A438A0" w:rsidRDefault="00EB5ED0">
            <w:pPr>
              <w:jc w:val="center"/>
              <w:rPr>
                <w:b/>
                <w:bCs/>
                <w:color w:val="000000"/>
                <w:sz w:val="16"/>
                <w:szCs w:val="16"/>
              </w:rPr>
            </w:pPr>
            <w:r w:rsidRPr="00A438A0">
              <w:rPr>
                <w:b/>
                <w:bCs/>
                <w:color w:val="000000"/>
                <w:sz w:val="16"/>
                <w:szCs w:val="16"/>
              </w:rPr>
              <w:t>TIME OF</w:t>
            </w:r>
          </w:p>
        </w:tc>
        <w:tc>
          <w:tcPr>
            <w:tcW w:w="1513" w:type="dxa"/>
            <w:tcBorders>
              <w:top w:val="nil"/>
              <w:left w:val="nil"/>
              <w:bottom w:val="nil"/>
              <w:right w:val="nil"/>
            </w:tcBorders>
            <w:shd w:val="clear" w:color="000000" w:fill="D9D9D9"/>
            <w:noWrap/>
            <w:vAlign w:val="bottom"/>
            <w:hideMark/>
          </w:tcPr>
          <w:p w:rsidR="00EB5ED0" w:rsidRPr="00A438A0" w:rsidRDefault="00EB5ED0">
            <w:pPr>
              <w:jc w:val="center"/>
              <w:rPr>
                <w:b/>
                <w:bCs/>
                <w:color w:val="000000"/>
                <w:sz w:val="16"/>
                <w:szCs w:val="16"/>
              </w:rPr>
            </w:pPr>
            <w:r w:rsidRPr="00A438A0">
              <w:rPr>
                <w:b/>
                <w:bCs/>
                <w:color w:val="000000"/>
                <w:sz w:val="16"/>
                <w:szCs w:val="16"/>
              </w:rPr>
              <w:t>APPROVED</w:t>
            </w:r>
          </w:p>
        </w:tc>
        <w:tc>
          <w:tcPr>
            <w:tcW w:w="1424" w:type="dxa"/>
            <w:tcBorders>
              <w:top w:val="nil"/>
              <w:left w:val="nil"/>
              <w:bottom w:val="nil"/>
              <w:right w:val="nil"/>
            </w:tcBorders>
            <w:shd w:val="clear" w:color="000000" w:fill="D9D9D9"/>
            <w:noWrap/>
            <w:vAlign w:val="bottom"/>
            <w:hideMark/>
          </w:tcPr>
          <w:p w:rsidR="00EB5ED0" w:rsidRPr="00A438A0" w:rsidRDefault="00EB5ED0">
            <w:pPr>
              <w:jc w:val="center"/>
              <w:rPr>
                <w:b/>
                <w:bCs/>
                <w:color w:val="000000"/>
                <w:sz w:val="16"/>
                <w:szCs w:val="16"/>
              </w:rPr>
            </w:pPr>
            <w:r w:rsidRPr="00A438A0">
              <w:rPr>
                <w:b/>
                <w:bCs/>
                <w:color w:val="000000"/>
                <w:sz w:val="16"/>
                <w:szCs w:val="16"/>
              </w:rPr>
              <w:t>REQUESTED</w:t>
            </w:r>
          </w:p>
        </w:tc>
        <w:tc>
          <w:tcPr>
            <w:tcW w:w="1780" w:type="dxa"/>
            <w:tcBorders>
              <w:top w:val="nil"/>
              <w:left w:val="nil"/>
              <w:bottom w:val="nil"/>
              <w:right w:val="nil"/>
            </w:tcBorders>
            <w:shd w:val="clear" w:color="000000" w:fill="D9D9D9"/>
            <w:noWrap/>
            <w:vAlign w:val="bottom"/>
            <w:hideMark/>
          </w:tcPr>
          <w:p w:rsidR="00EB5ED0" w:rsidRPr="00A438A0" w:rsidRDefault="00EB5ED0">
            <w:pPr>
              <w:jc w:val="center"/>
              <w:rPr>
                <w:b/>
                <w:bCs/>
                <w:color w:val="000000"/>
                <w:sz w:val="16"/>
                <w:szCs w:val="16"/>
              </w:rPr>
            </w:pPr>
            <w:r w:rsidRPr="00A438A0">
              <w:rPr>
                <w:b/>
                <w:bCs/>
                <w:color w:val="000000"/>
                <w:sz w:val="16"/>
                <w:szCs w:val="16"/>
              </w:rPr>
              <w:t>RECOMMENDED</w:t>
            </w:r>
          </w:p>
        </w:tc>
        <w:tc>
          <w:tcPr>
            <w:tcW w:w="1801" w:type="dxa"/>
            <w:tcBorders>
              <w:top w:val="nil"/>
              <w:left w:val="nil"/>
              <w:bottom w:val="nil"/>
              <w:right w:val="nil"/>
            </w:tcBorders>
            <w:shd w:val="clear" w:color="000000" w:fill="D9D9D9"/>
            <w:noWrap/>
            <w:vAlign w:val="bottom"/>
            <w:hideMark/>
          </w:tcPr>
          <w:p w:rsidR="00EB5ED0" w:rsidRPr="00A438A0" w:rsidRDefault="00EB5ED0">
            <w:pPr>
              <w:jc w:val="center"/>
              <w:rPr>
                <w:b/>
                <w:bCs/>
                <w:color w:val="000000"/>
                <w:sz w:val="16"/>
                <w:szCs w:val="16"/>
              </w:rPr>
            </w:pPr>
            <w:r w:rsidRPr="00A438A0">
              <w:rPr>
                <w:b/>
                <w:bCs/>
                <w:color w:val="000000"/>
                <w:sz w:val="16"/>
                <w:szCs w:val="16"/>
              </w:rPr>
              <w:t>4 YEAR</w:t>
            </w:r>
          </w:p>
        </w:tc>
        <w:tc>
          <w:tcPr>
            <w:tcW w:w="1355" w:type="dxa"/>
            <w:gridSpan w:val="2"/>
            <w:tcBorders>
              <w:top w:val="nil"/>
              <w:left w:val="nil"/>
              <w:bottom w:val="nil"/>
              <w:right w:val="nil"/>
            </w:tcBorders>
            <w:shd w:val="clear" w:color="000000" w:fill="D9D9D9"/>
            <w:noWrap/>
            <w:vAlign w:val="bottom"/>
            <w:hideMark/>
          </w:tcPr>
          <w:p w:rsidR="00EB5ED0" w:rsidRPr="00A438A0" w:rsidRDefault="00EB5ED0">
            <w:pPr>
              <w:jc w:val="center"/>
              <w:rPr>
                <w:b/>
                <w:bCs/>
                <w:color w:val="000000"/>
                <w:sz w:val="16"/>
                <w:szCs w:val="16"/>
              </w:rPr>
            </w:pPr>
            <w:r w:rsidRPr="00A438A0">
              <w:rPr>
                <w:b/>
                <w:bCs/>
                <w:color w:val="000000"/>
                <w:sz w:val="16"/>
                <w:szCs w:val="16"/>
              </w:rPr>
              <w:t>RATE</w:t>
            </w:r>
          </w:p>
        </w:tc>
        <w:tc>
          <w:tcPr>
            <w:tcW w:w="1814" w:type="dxa"/>
            <w:tcBorders>
              <w:top w:val="nil"/>
              <w:left w:val="nil"/>
              <w:bottom w:val="nil"/>
              <w:right w:val="single" w:sz="8" w:space="0" w:color="auto"/>
            </w:tcBorders>
            <w:shd w:val="clear" w:color="000000" w:fill="D9D9D9"/>
            <w:noWrap/>
            <w:vAlign w:val="bottom"/>
            <w:hideMark/>
          </w:tcPr>
          <w:p w:rsidR="00EB5ED0" w:rsidRPr="00A438A0" w:rsidRDefault="00EB5ED0">
            <w:pPr>
              <w:jc w:val="center"/>
              <w:rPr>
                <w:b/>
                <w:bCs/>
                <w:sz w:val="16"/>
                <w:szCs w:val="16"/>
              </w:rPr>
            </w:pPr>
            <w:r w:rsidRPr="00A438A0">
              <w:rPr>
                <w:b/>
                <w:bCs/>
                <w:sz w:val="16"/>
                <w:szCs w:val="16"/>
              </w:rPr>
              <w:t>DECOMMISSIONING</w:t>
            </w:r>
          </w:p>
        </w:tc>
      </w:tr>
      <w:tr w:rsidR="002F2AF2" w:rsidRPr="00A438A0" w:rsidTr="00B236EC">
        <w:trPr>
          <w:trHeight w:val="285"/>
          <w:jc w:val="center"/>
        </w:trPr>
        <w:tc>
          <w:tcPr>
            <w:tcW w:w="3270" w:type="dxa"/>
            <w:gridSpan w:val="2"/>
            <w:tcBorders>
              <w:top w:val="nil"/>
              <w:left w:val="single" w:sz="8" w:space="0" w:color="000000"/>
              <w:bottom w:val="single" w:sz="8" w:space="0" w:color="000000"/>
              <w:right w:val="nil"/>
            </w:tcBorders>
            <w:shd w:val="clear" w:color="000000" w:fill="D9D9D9"/>
            <w:noWrap/>
            <w:vAlign w:val="bottom"/>
            <w:hideMark/>
          </w:tcPr>
          <w:p w:rsidR="00EB5ED0" w:rsidRPr="00A438A0" w:rsidRDefault="00EB5ED0">
            <w:pPr>
              <w:rPr>
                <w:rFonts w:ascii="SWISS" w:hAnsi="SWISS"/>
                <w:b/>
                <w:bCs/>
                <w:sz w:val="16"/>
                <w:szCs w:val="16"/>
                <w:u w:val="single"/>
              </w:rPr>
            </w:pPr>
          </w:p>
        </w:tc>
        <w:tc>
          <w:tcPr>
            <w:tcW w:w="1780" w:type="dxa"/>
            <w:tcBorders>
              <w:top w:val="nil"/>
              <w:left w:val="nil"/>
              <w:bottom w:val="single" w:sz="8" w:space="0" w:color="000000"/>
              <w:right w:val="nil"/>
            </w:tcBorders>
            <w:shd w:val="clear" w:color="000000" w:fill="D9D9D9"/>
            <w:noWrap/>
            <w:vAlign w:val="bottom"/>
            <w:hideMark/>
          </w:tcPr>
          <w:p w:rsidR="00EB5ED0" w:rsidRPr="00A438A0" w:rsidRDefault="00EB5ED0">
            <w:pPr>
              <w:jc w:val="center"/>
              <w:rPr>
                <w:b/>
                <w:bCs/>
                <w:color w:val="000000"/>
                <w:sz w:val="16"/>
                <w:szCs w:val="16"/>
              </w:rPr>
            </w:pPr>
            <w:r w:rsidRPr="00A438A0">
              <w:rPr>
                <w:b/>
                <w:bCs/>
                <w:color w:val="000000"/>
                <w:sz w:val="16"/>
                <w:szCs w:val="16"/>
              </w:rPr>
              <w:t>FILING</w:t>
            </w:r>
          </w:p>
        </w:tc>
        <w:tc>
          <w:tcPr>
            <w:tcW w:w="1513" w:type="dxa"/>
            <w:tcBorders>
              <w:top w:val="nil"/>
              <w:left w:val="nil"/>
              <w:bottom w:val="single" w:sz="8" w:space="0" w:color="000000"/>
              <w:right w:val="nil"/>
            </w:tcBorders>
            <w:shd w:val="clear" w:color="000000" w:fill="D9D9D9"/>
            <w:noWrap/>
            <w:vAlign w:val="bottom"/>
            <w:hideMark/>
          </w:tcPr>
          <w:p w:rsidR="00EB5ED0" w:rsidRPr="00A438A0" w:rsidRDefault="00EB5ED0">
            <w:pPr>
              <w:jc w:val="center"/>
              <w:rPr>
                <w:b/>
                <w:bCs/>
                <w:color w:val="000000"/>
                <w:sz w:val="16"/>
                <w:szCs w:val="16"/>
              </w:rPr>
            </w:pPr>
            <w:r w:rsidRPr="00A438A0">
              <w:rPr>
                <w:b/>
                <w:bCs/>
                <w:color w:val="000000"/>
                <w:sz w:val="16"/>
                <w:szCs w:val="16"/>
              </w:rPr>
              <w:t>INTERIM RATES</w:t>
            </w:r>
          </w:p>
        </w:tc>
        <w:tc>
          <w:tcPr>
            <w:tcW w:w="1424" w:type="dxa"/>
            <w:tcBorders>
              <w:top w:val="nil"/>
              <w:left w:val="nil"/>
              <w:bottom w:val="single" w:sz="8" w:space="0" w:color="000000"/>
              <w:right w:val="nil"/>
            </w:tcBorders>
            <w:shd w:val="clear" w:color="000000" w:fill="D9D9D9"/>
            <w:noWrap/>
            <w:vAlign w:val="bottom"/>
            <w:hideMark/>
          </w:tcPr>
          <w:p w:rsidR="00EB5ED0" w:rsidRPr="00A438A0" w:rsidRDefault="00EB5ED0">
            <w:pPr>
              <w:jc w:val="center"/>
              <w:rPr>
                <w:b/>
                <w:bCs/>
                <w:color w:val="000000"/>
                <w:sz w:val="16"/>
                <w:szCs w:val="16"/>
              </w:rPr>
            </w:pPr>
            <w:r w:rsidRPr="00A438A0">
              <w:rPr>
                <w:b/>
                <w:bCs/>
                <w:color w:val="000000"/>
                <w:sz w:val="16"/>
                <w:szCs w:val="16"/>
              </w:rPr>
              <w:t>RATES</w:t>
            </w:r>
          </w:p>
        </w:tc>
        <w:tc>
          <w:tcPr>
            <w:tcW w:w="1780" w:type="dxa"/>
            <w:tcBorders>
              <w:top w:val="nil"/>
              <w:left w:val="nil"/>
              <w:bottom w:val="single" w:sz="8" w:space="0" w:color="000000"/>
              <w:right w:val="nil"/>
            </w:tcBorders>
            <w:shd w:val="clear" w:color="000000" w:fill="D9D9D9"/>
            <w:noWrap/>
            <w:vAlign w:val="bottom"/>
            <w:hideMark/>
          </w:tcPr>
          <w:p w:rsidR="00EB5ED0" w:rsidRPr="00A438A0" w:rsidRDefault="00EB5ED0">
            <w:pPr>
              <w:jc w:val="center"/>
              <w:rPr>
                <w:b/>
                <w:bCs/>
                <w:color w:val="000000"/>
                <w:sz w:val="16"/>
                <w:szCs w:val="16"/>
              </w:rPr>
            </w:pPr>
            <w:r w:rsidRPr="00A438A0">
              <w:rPr>
                <w:b/>
                <w:bCs/>
                <w:color w:val="000000"/>
                <w:sz w:val="16"/>
                <w:szCs w:val="16"/>
              </w:rPr>
              <w:t>RATES</w:t>
            </w:r>
          </w:p>
        </w:tc>
        <w:tc>
          <w:tcPr>
            <w:tcW w:w="1801" w:type="dxa"/>
            <w:tcBorders>
              <w:top w:val="nil"/>
              <w:left w:val="nil"/>
              <w:bottom w:val="single" w:sz="8" w:space="0" w:color="000000"/>
              <w:right w:val="nil"/>
            </w:tcBorders>
            <w:shd w:val="clear" w:color="000000" w:fill="D9D9D9"/>
            <w:noWrap/>
            <w:vAlign w:val="bottom"/>
            <w:hideMark/>
          </w:tcPr>
          <w:p w:rsidR="00EB5ED0" w:rsidRPr="00A438A0" w:rsidRDefault="00EB5ED0">
            <w:pPr>
              <w:jc w:val="center"/>
              <w:rPr>
                <w:b/>
                <w:bCs/>
                <w:color w:val="000000"/>
                <w:sz w:val="16"/>
                <w:szCs w:val="16"/>
              </w:rPr>
            </w:pPr>
            <w:r w:rsidRPr="00A438A0">
              <w:rPr>
                <w:b/>
                <w:bCs/>
                <w:color w:val="000000"/>
                <w:sz w:val="16"/>
                <w:szCs w:val="16"/>
              </w:rPr>
              <w:t>RATE REDUCTION</w:t>
            </w:r>
          </w:p>
        </w:tc>
        <w:tc>
          <w:tcPr>
            <w:tcW w:w="1355" w:type="dxa"/>
            <w:gridSpan w:val="2"/>
            <w:tcBorders>
              <w:top w:val="nil"/>
              <w:left w:val="nil"/>
              <w:bottom w:val="single" w:sz="8" w:space="0" w:color="000000"/>
              <w:right w:val="nil"/>
            </w:tcBorders>
            <w:shd w:val="clear" w:color="000000" w:fill="D9D9D9"/>
            <w:noWrap/>
            <w:vAlign w:val="bottom"/>
            <w:hideMark/>
          </w:tcPr>
          <w:p w:rsidR="00EB5ED0" w:rsidRPr="00A438A0" w:rsidRDefault="00EB5ED0">
            <w:pPr>
              <w:jc w:val="center"/>
              <w:rPr>
                <w:b/>
                <w:bCs/>
                <w:color w:val="000000"/>
                <w:sz w:val="16"/>
                <w:szCs w:val="16"/>
              </w:rPr>
            </w:pPr>
            <w:r w:rsidRPr="00A438A0">
              <w:rPr>
                <w:b/>
                <w:bCs/>
                <w:color w:val="000000"/>
                <w:sz w:val="16"/>
                <w:szCs w:val="16"/>
              </w:rPr>
              <w:t>REDUCTION</w:t>
            </w:r>
          </w:p>
        </w:tc>
        <w:tc>
          <w:tcPr>
            <w:tcW w:w="1814" w:type="dxa"/>
            <w:tcBorders>
              <w:top w:val="nil"/>
              <w:left w:val="nil"/>
              <w:bottom w:val="single" w:sz="8" w:space="0" w:color="auto"/>
              <w:right w:val="single" w:sz="8" w:space="0" w:color="auto"/>
            </w:tcBorders>
            <w:shd w:val="clear" w:color="000000" w:fill="D9D9D9"/>
            <w:noWrap/>
            <w:vAlign w:val="bottom"/>
            <w:hideMark/>
          </w:tcPr>
          <w:p w:rsidR="00EB5ED0" w:rsidRPr="00A438A0" w:rsidRDefault="00EB5ED0">
            <w:pPr>
              <w:jc w:val="center"/>
              <w:rPr>
                <w:b/>
                <w:bCs/>
                <w:sz w:val="16"/>
                <w:szCs w:val="16"/>
              </w:rPr>
            </w:pPr>
            <w:r w:rsidRPr="00A438A0">
              <w:rPr>
                <w:b/>
                <w:bCs/>
                <w:sz w:val="16"/>
                <w:szCs w:val="16"/>
              </w:rPr>
              <w:t>REDUCTION</w:t>
            </w:r>
          </w:p>
        </w:tc>
      </w:tr>
      <w:tr w:rsidR="002F2AF2" w:rsidRPr="00A438A0" w:rsidTr="00B236EC">
        <w:trPr>
          <w:trHeight w:val="273"/>
          <w:jc w:val="center"/>
        </w:trPr>
        <w:tc>
          <w:tcPr>
            <w:tcW w:w="3270" w:type="dxa"/>
            <w:gridSpan w:val="2"/>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sz w:val="16"/>
                <w:szCs w:val="16"/>
              </w:rPr>
            </w:pPr>
            <w:r w:rsidRPr="00A438A0">
              <w:rPr>
                <w:rFonts w:ascii="SWISS" w:hAnsi="SWISS"/>
                <w:sz w:val="16"/>
                <w:szCs w:val="16"/>
              </w:rPr>
              <w:t> </w:t>
            </w: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513"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424"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780" w:type="dxa"/>
            <w:tcBorders>
              <w:top w:val="nil"/>
              <w:left w:val="nil"/>
              <w:bottom w:val="nil"/>
              <w:right w:val="nil"/>
            </w:tcBorders>
            <w:shd w:val="clear" w:color="auto" w:fill="auto"/>
            <w:noWrap/>
            <w:vAlign w:val="bottom"/>
            <w:hideMark/>
          </w:tcPr>
          <w:p w:rsidR="00EB5ED0" w:rsidRPr="00A438A0" w:rsidRDefault="00EB5ED0">
            <w:pPr>
              <w:rPr>
                <w:rFonts w:ascii="SWISS" w:hAnsi="SWISS"/>
                <w:color w:val="000000"/>
                <w:sz w:val="16"/>
                <w:szCs w:val="16"/>
              </w:rPr>
            </w:pPr>
          </w:p>
        </w:tc>
        <w:tc>
          <w:tcPr>
            <w:tcW w:w="1801" w:type="dxa"/>
            <w:tcBorders>
              <w:top w:val="nil"/>
              <w:left w:val="nil"/>
              <w:bottom w:val="nil"/>
              <w:right w:val="nil"/>
            </w:tcBorders>
            <w:shd w:val="clear" w:color="auto" w:fill="auto"/>
            <w:noWrap/>
            <w:vAlign w:val="bottom"/>
            <w:hideMark/>
          </w:tcPr>
          <w:p w:rsidR="00EB5ED0" w:rsidRPr="00A438A0" w:rsidRDefault="00EB5ED0">
            <w:pPr>
              <w:rPr>
                <w:rFonts w:ascii="SWISS" w:hAnsi="SWISS"/>
                <w:color w:val="000000"/>
                <w:sz w:val="16"/>
                <w:szCs w:val="16"/>
              </w:rPr>
            </w:pPr>
          </w:p>
        </w:tc>
        <w:tc>
          <w:tcPr>
            <w:tcW w:w="1355" w:type="dxa"/>
            <w:gridSpan w:val="2"/>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814" w:type="dxa"/>
            <w:tcBorders>
              <w:top w:val="nil"/>
              <w:left w:val="nil"/>
              <w:bottom w:val="nil"/>
              <w:right w:val="single" w:sz="8" w:space="0" w:color="000000"/>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w:t>
            </w:r>
          </w:p>
        </w:tc>
      </w:tr>
      <w:tr w:rsidR="002F2AF2" w:rsidRPr="00A438A0" w:rsidTr="00B236EC">
        <w:trPr>
          <w:trHeight w:val="273"/>
          <w:jc w:val="center"/>
        </w:trPr>
        <w:tc>
          <w:tcPr>
            <w:tcW w:w="3270" w:type="dxa"/>
            <w:gridSpan w:val="2"/>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b/>
                <w:bCs/>
                <w:sz w:val="16"/>
                <w:szCs w:val="16"/>
                <w:u w:val="single"/>
              </w:rPr>
            </w:pPr>
            <w:r w:rsidRPr="00A438A0">
              <w:rPr>
                <w:rFonts w:ascii="SWISS" w:hAnsi="SWISS"/>
                <w:b/>
                <w:bCs/>
                <w:sz w:val="16"/>
                <w:szCs w:val="16"/>
                <w:u w:val="single"/>
              </w:rPr>
              <w:t>Residential</w:t>
            </w: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513"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424"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780" w:type="dxa"/>
            <w:tcBorders>
              <w:top w:val="nil"/>
              <w:left w:val="nil"/>
              <w:bottom w:val="nil"/>
              <w:right w:val="nil"/>
            </w:tcBorders>
            <w:shd w:val="clear" w:color="auto" w:fill="auto"/>
            <w:noWrap/>
            <w:vAlign w:val="bottom"/>
            <w:hideMark/>
          </w:tcPr>
          <w:p w:rsidR="00EB5ED0" w:rsidRPr="00A438A0" w:rsidRDefault="00EB5ED0">
            <w:pPr>
              <w:rPr>
                <w:rFonts w:ascii="SWISS" w:hAnsi="SWISS"/>
                <w:color w:val="000000"/>
                <w:sz w:val="16"/>
                <w:szCs w:val="16"/>
              </w:rPr>
            </w:pPr>
          </w:p>
        </w:tc>
        <w:tc>
          <w:tcPr>
            <w:tcW w:w="1801" w:type="dxa"/>
            <w:tcBorders>
              <w:top w:val="nil"/>
              <w:left w:val="nil"/>
              <w:bottom w:val="nil"/>
              <w:right w:val="nil"/>
            </w:tcBorders>
            <w:shd w:val="clear" w:color="auto" w:fill="auto"/>
            <w:noWrap/>
            <w:vAlign w:val="bottom"/>
            <w:hideMark/>
          </w:tcPr>
          <w:p w:rsidR="00EB5ED0" w:rsidRPr="00A438A0" w:rsidRDefault="00EB5ED0">
            <w:pPr>
              <w:rPr>
                <w:rFonts w:ascii="SWISS" w:hAnsi="SWISS"/>
                <w:color w:val="000000"/>
                <w:sz w:val="16"/>
                <w:szCs w:val="16"/>
              </w:rPr>
            </w:pPr>
          </w:p>
        </w:tc>
        <w:tc>
          <w:tcPr>
            <w:tcW w:w="1355" w:type="dxa"/>
            <w:gridSpan w:val="2"/>
            <w:tcBorders>
              <w:top w:val="nil"/>
              <w:left w:val="nil"/>
              <w:bottom w:val="nil"/>
              <w:right w:val="nil"/>
            </w:tcBorders>
            <w:shd w:val="clear" w:color="auto" w:fill="auto"/>
            <w:noWrap/>
            <w:vAlign w:val="bottom"/>
            <w:hideMark/>
          </w:tcPr>
          <w:p w:rsidR="00EB5ED0" w:rsidRPr="00A438A0" w:rsidRDefault="00EB5ED0">
            <w:pPr>
              <w:rPr>
                <w:rFonts w:ascii="SWISS" w:hAnsi="SWISS"/>
                <w:color w:val="000000"/>
                <w:sz w:val="16"/>
                <w:szCs w:val="16"/>
              </w:rPr>
            </w:pPr>
          </w:p>
        </w:tc>
        <w:tc>
          <w:tcPr>
            <w:tcW w:w="1814" w:type="dxa"/>
            <w:tcBorders>
              <w:top w:val="nil"/>
              <w:left w:val="nil"/>
              <w:bottom w:val="nil"/>
              <w:right w:val="single" w:sz="8" w:space="0" w:color="000000"/>
            </w:tcBorders>
            <w:shd w:val="clear" w:color="auto" w:fill="auto"/>
            <w:noWrap/>
            <w:vAlign w:val="bottom"/>
            <w:hideMark/>
          </w:tcPr>
          <w:p w:rsidR="00EB5ED0" w:rsidRPr="00A438A0" w:rsidRDefault="00EB5ED0">
            <w:pPr>
              <w:rPr>
                <w:rFonts w:ascii="SWISS" w:hAnsi="SWISS"/>
                <w:color w:val="000000"/>
                <w:sz w:val="16"/>
                <w:szCs w:val="16"/>
              </w:rPr>
            </w:pPr>
            <w:r w:rsidRPr="00A438A0">
              <w:rPr>
                <w:rFonts w:ascii="SWISS" w:hAnsi="SWISS"/>
                <w:color w:val="000000"/>
                <w:sz w:val="16"/>
                <w:szCs w:val="16"/>
              </w:rPr>
              <w:t> </w:t>
            </w:r>
          </w:p>
        </w:tc>
      </w:tr>
      <w:tr w:rsidR="002F2AF2" w:rsidRPr="00A438A0" w:rsidTr="00B236EC">
        <w:trPr>
          <w:trHeight w:val="273"/>
          <w:jc w:val="center"/>
        </w:trPr>
        <w:tc>
          <w:tcPr>
            <w:tcW w:w="3270" w:type="dxa"/>
            <w:gridSpan w:val="2"/>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sz w:val="16"/>
                <w:szCs w:val="16"/>
              </w:rPr>
            </w:pPr>
            <w:r w:rsidRPr="00A438A0">
              <w:rPr>
                <w:rFonts w:ascii="SWISS" w:hAnsi="SWISS"/>
                <w:sz w:val="16"/>
                <w:szCs w:val="16"/>
              </w:rPr>
              <w:t>Base Facility Charge - All Meter Sizes</w:t>
            </w: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xml:space="preserve">$29.34 </w:t>
            </w:r>
          </w:p>
        </w:tc>
        <w:tc>
          <w:tcPr>
            <w:tcW w:w="1513"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xml:space="preserve">$34.60 </w:t>
            </w:r>
          </w:p>
        </w:tc>
        <w:tc>
          <w:tcPr>
            <w:tcW w:w="1424"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xml:space="preserve">$70.12 </w:t>
            </w:r>
          </w:p>
        </w:tc>
        <w:tc>
          <w:tcPr>
            <w:tcW w:w="1780" w:type="dxa"/>
            <w:tcBorders>
              <w:top w:val="nil"/>
              <w:left w:val="nil"/>
              <w:bottom w:val="nil"/>
              <w:right w:val="nil"/>
            </w:tcBorders>
            <w:shd w:val="clear" w:color="auto" w:fill="auto"/>
            <w:noWrap/>
            <w:vAlign w:val="bottom"/>
            <w:hideMark/>
          </w:tcPr>
          <w:p w:rsidR="00EB5ED0" w:rsidRPr="00A438A0" w:rsidRDefault="00EB5ED0" w:rsidP="00DF0941">
            <w:pPr>
              <w:jc w:val="right"/>
              <w:rPr>
                <w:rFonts w:ascii="SWISS" w:hAnsi="SWISS"/>
                <w:color w:val="000000"/>
                <w:sz w:val="16"/>
                <w:szCs w:val="16"/>
              </w:rPr>
            </w:pPr>
            <w:r w:rsidRPr="00A438A0">
              <w:rPr>
                <w:rFonts w:ascii="SWISS" w:hAnsi="SWISS"/>
                <w:color w:val="000000"/>
                <w:sz w:val="16"/>
                <w:szCs w:val="16"/>
              </w:rPr>
              <w:t>$50.</w:t>
            </w:r>
            <w:r w:rsidR="00DF0941" w:rsidRPr="00A438A0">
              <w:rPr>
                <w:rFonts w:ascii="SWISS" w:hAnsi="SWISS"/>
                <w:color w:val="000000"/>
                <w:sz w:val="16"/>
                <w:szCs w:val="16"/>
              </w:rPr>
              <w:t>31</w:t>
            </w:r>
          </w:p>
        </w:tc>
        <w:tc>
          <w:tcPr>
            <w:tcW w:w="1801"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$1.39</w:t>
            </w:r>
          </w:p>
        </w:tc>
        <w:tc>
          <w:tcPr>
            <w:tcW w:w="1355" w:type="dxa"/>
            <w:gridSpan w:val="2"/>
            <w:tcBorders>
              <w:top w:val="nil"/>
              <w:left w:val="nil"/>
              <w:bottom w:val="nil"/>
              <w:right w:val="nil"/>
            </w:tcBorders>
            <w:shd w:val="clear" w:color="auto" w:fill="auto"/>
            <w:noWrap/>
            <w:vAlign w:val="bottom"/>
            <w:hideMark/>
          </w:tcPr>
          <w:p w:rsidR="00EB5ED0" w:rsidRPr="00A438A0" w:rsidRDefault="00087FAD">
            <w:pPr>
              <w:jc w:val="right"/>
              <w:rPr>
                <w:rFonts w:ascii="SWISS" w:hAnsi="SWISS"/>
                <w:color w:val="000000"/>
                <w:sz w:val="16"/>
                <w:szCs w:val="16"/>
              </w:rPr>
            </w:pPr>
            <w:r w:rsidRPr="00A438A0">
              <w:rPr>
                <w:rFonts w:ascii="SWISS" w:hAnsi="SWISS"/>
                <w:color w:val="000000"/>
                <w:sz w:val="16"/>
                <w:szCs w:val="16"/>
              </w:rPr>
              <w:t>$1.26</w:t>
            </w:r>
          </w:p>
        </w:tc>
        <w:tc>
          <w:tcPr>
            <w:tcW w:w="1814" w:type="dxa"/>
            <w:tcBorders>
              <w:top w:val="nil"/>
              <w:left w:val="nil"/>
              <w:bottom w:val="nil"/>
              <w:right w:val="single" w:sz="8" w:space="0" w:color="000000"/>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$0.40</w:t>
            </w:r>
          </w:p>
        </w:tc>
      </w:tr>
      <w:tr w:rsidR="002F2AF2" w:rsidRPr="00A438A0" w:rsidTr="00B236EC">
        <w:trPr>
          <w:trHeight w:val="273"/>
          <w:jc w:val="center"/>
        </w:trPr>
        <w:tc>
          <w:tcPr>
            <w:tcW w:w="3270" w:type="dxa"/>
            <w:gridSpan w:val="2"/>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sz w:val="16"/>
                <w:szCs w:val="16"/>
              </w:rPr>
            </w:pPr>
            <w:r w:rsidRPr="00A438A0">
              <w:rPr>
                <w:rFonts w:ascii="SWISS" w:hAnsi="SWISS"/>
                <w:sz w:val="16"/>
                <w:szCs w:val="16"/>
              </w:rPr>
              <w:t> </w:t>
            </w: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513"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424"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801"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355" w:type="dxa"/>
            <w:gridSpan w:val="2"/>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814" w:type="dxa"/>
            <w:tcBorders>
              <w:top w:val="nil"/>
              <w:left w:val="nil"/>
              <w:bottom w:val="nil"/>
              <w:right w:val="single" w:sz="8" w:space="0" w:color="000000"/>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w:t>
            </w:r>
          </w:p>
        </w:tc>
      </w:tr>
      <w:tr w:rsidR="002F2AF2" w:rsidRPr="00A438A0" w:rsidTr="00B236EC">
        <w:trPr>
          <w:trHeight w:val="273"/>
          <w:jc w:val="center"/>
        </w:trPr>
        <w:tc>
          <w:tcPr>
            <w:tcW w:w="3270" w:type="dxa"/>
            <w:gridSpan w:val="2"/>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sz w:val="16"/>
                <w:szCs w:val="16"/>
              </w:rPr>
            </w:pPr>
            <w:r w:rsidRPr="00A438A0">
              <w:rPr>
                <w:rFonts w:ascii="SWISS" w:hAnsi="SWISS"/>
                <w:sz w:val="16"/>
                <w:szCs w:val="16"/>
              </w:rPr>
              <w:t>Charge per 1,000 Gallons - Residential</w:t>
            </w: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513"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424"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801"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355" w:type="dxa"/>
            <w:gridSpan w:val="2"/>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814" w:type="dxa"/>
            <w:tcBorders>
              <w:top w:val="nil"/>
              <w:left w:val="nil"/>
              <w:bottom w:val="nil"/>
              <w:right w:val="single" w:sz="8" w:space="0" w:color="000000"/>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w:t>
            </w:r>
          </w:p>
        </w:tc>
      </w:tr>
      <w:tr w:rsidR="002F2AF2" w:rsidRPr="00A438A0" w:rsidTr="00B236EC">
        <w:trPr>
          <w:trHeight w:val="273"/>
          <w:jc w:val="center"/>
        </w:trPr>
        <w:tc>
          <w:tcPr>
            <w:tcW w:w="3270" w:type="dxa"/>
            <w:gridSpan w:val="2"/>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sz w:val="16"/>
                <w:szCs w:val="16"/>
              </w:rPr>
            </w:pPr>
            <w:r w:rsidRPr="00A438A0">
              <w:rPr>
                <w:rFonts w:ascii="SWISS" w:hAnsi="SWISS"/>
                <w:sz w:val="16"/>
                <w:szCs w:val="16"/>
              </w:rPr>
              <w:t xml:space="preserve">8,000 gallon cap </w:t>
            </w: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xml:space="preserve">$6.59 </w:t>
            </w:r>
          </w:p>
        </w:tc>
        <w:tc>
          <w:tcPr>
            <w:tcW w:w="1513"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xml:space="preserve">$7.77 </w:t>
            </w:r>
          </w:p>
        </w:tc>
        <w:tc>
          <w:tcPr>
            <w:tcW w:w="1424"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xml:space="preserve">$15.75 </w:t>
            </w:r>
          </w:p>
        </w:tc>
        <w:tc>
          <w:tcPr>
            <w:tcW w:w="1780" w:type="dxa"/>
            <w:tcBorders>
              <w:top w:val="nil"/>
              <w:left w:val="nil"/>
              <w:bottom w:val="nil"/>
              <w:right w:val="nil"/>
            </w:tcBorders>
            <w:shd w:val="clear" w:color="auto" w:fill="auto"/>
            <w:noWrap/>
            <w:vAlign w:val="bottom"/>
            <w:hideMark/>
          </w:tcPr>
          <w:p w:rsidR="00EB5ED0" w:rsidRPr="00A438A0" w:rsidRDefault="00EB5ED0">
            <w:pPr>
              <w:rPr>
                <w:rFonts w:ascii="SWISS" w:hAnsi="SWISS"/>
                <w:color w:val="000000"/>
                <w:sz w:val="16"/>
                <w:szCs w:val="16"/>
              </w:rPr>
            </w:pPr>
          </w:p>
        </w:tc>
        <w:tc>
          <w:tcPr>
            <w:tcW w:w="1801" w:type="dxa"/>
            <w:tcBorders>
              <w:top w:val="nil"/>
              <w:left w:val="nil"/>
              <w:bottom w:val="nil"/>
              <w:right w:val="nil"/>
            </w:tcBorders>
            <w:shd w:val="clear" w:color="auto" w:fill="auto"/>
            <w:noWrap/>
            <w:vAlign w:val="bottom"/>
            <w:hideMark/>
          </w:tcPr>
          <w:p w:rsidR="00EB5ED0" w:rsidRPr="00A438A0" w:rsidRDefault="00EB5ED0">
            <w:pPr>
              <w:rPr>
                <w:rFonts w:ascii="SWISS" w:hAnsi="SWISS"/>
                <w:color w:val="000000"/>
                <w:sz w:val="16"/>
                <w:szCs w:val="16"/>
              </w:rPr>
            </w:pPr>
          </w:p>
        </w:tc>
        <w:tc>
          <w:tcPr>
            <w:tcW w:w="1355" w:type="dxa"/>
            <w:gridSpan w:val="2"/>
            <w:tcBorders>
              <w:top w:val="nil"/>
              <w:left w:val="nil"/>
              <w:bottom w:val="nil"/>
              <w:right w:val="nil"/>
            </w:tcBorders>
            <w:shd w:val="clear" w:color="auto" w:fill="auto"/>
            <w:noWrap/>
            <w:vAlign w:val="bottom"/>
            <w:hideMark/>
          </w:tcPr>
          <w:p w:rsidR="00EB5ED0" w:rsidRPr="00A438A0" w:rsidRDefault="00EB5ED0">
            <w:pPr>
              <w:rPr>
                <w:rFonts w:ascii="Calibri" w:hAnsi="Calibri"/>
                <w:color w:val="000000"/>
                <w:sz w:val="16"/>
                <w:szCs w:val="16"/>
              </w:rPr>
            </w:pPr>
          </w:p>
        </w:tc>
        <w:tc>
          <w:tcPr>
            <w:tcW w:w="1814" w:type="dxa"/>
            <w:tcBorders>
              <w:top w:val="nil"/>
              <w:left w:val="nil"/>
              <w:bottom w:val="nil"/>
              <w:right w:val="single" w:sz="8" w:space="0" w:color="auto"/>
            </w:tcBorders>
            <w:shd w:val="clear" w:color="auto" w:fill="auto"/>
            <w:noWrap/>
            <w:vAlign w:val="bottom"/>
            <w:hideMark/>
          </w:tcPr>
          <w:p w:rsidR="00EB5ED0" w:rsidRPr="00A438A0" w:rsidRDefault="00EB5ED0">
            <w:pPr>
              <w:rPr>
                <w:rFonts w:ascii="Calibri" w:hAnsi="Calibri"/>
                <w:color w:val="000000"/>
                <w:sz w:val="16"/>
                <w:szCs w:val="16"/>
              </w:rPr>
            </w:pPr>
            <w:r w:rsidRPr="00A438A0">
              <w:rPr>
                <w:rFonts w:ascii="Calibri" w:hAnsi="Calibri"/>
                <w:color w:val="000000"/>
                <w:sz w:val="16"/>
                <w:szCs w:val="16"/>
              </w:rPr>
              <w:t> </w:t>
            </w:r>
          </w:p>
        </w:tc>
      </w:tr>
      <w:tr w:rsidR="002F2AF2" w:rsidRPr="00A438A0" w:rsidTr="00B236EC">
        <w:trPr>
          <w:trHeight w:val="273"/>
          <w:jc w:val="center"/>
        </w:trPr>
        <w:tc>
          <w:tcPr>
            <w:tcW w:w="3270" w:type="dxa"/>
            <w:gridSpan w:val="2"/>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sz w:val="16"/>
                <w:szCs w:val="16"/>
              </w:rPr>
            </w:pPr>
            <w:r w:rsidRPr="00A438A0">
              <w:rPr>
                <w:rFonts w:ascii="SWISS" w:hAnsi="SWISS"/>
                <w:sz w:val="16"/>
                <w:szCs w:val="16"/>
              </w:rPr>
              <w:t>6,000 gallon cap</w:t>
            </w: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513"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424"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780" w:type="dxa"/>
            <w:tcBorders>
              <w:top w:val="nil"/>
              <w:left w:val="nil"/>
              <w:bottom w:val="nil"/>
              <w:right w:val="nil"/>
            </w:tcBorders>
            <w:shd w:val="clear" w:color="auto" w:fill="auto"/>
            <w:noWrap/>
            <w:vAlign w:val="bottom"/>
            <w:hideMark/>
          </w:tcPr>
          <w:p w:rsidR="00EB5ED0" w:rsidRPr="00A438A0" w:rsidRDefault="00EB5ED0" w:rsidP="008648C7">
            <w:pPr>
              <w:jc w:val="right"/>
              <w:rPr>
                <w:rFonts w:ascii="SWISS" w:hAnsi="SWISS"/>
                <w:color w:val="000000"/>
                <w:sz w:val="16"/>
                <w:szCs w:val="16"/>
              </w:rPr>
            </w:pPr>
            <w:r w:rsidRPr="00A438A0">
              <w:rPr>
                <w:rFonts w:ascii="SWISS" w:hAnsi="SWISS"/>
                <w:color w:val="000000"/>
                <w:sz w:val="16"/>
                <w:szCs w:val="16"/>
              </w:rPr>
              <w:t>$15.</w:t>
            </w:r>
            <w:r w:rsidR="008648C7">
              <w:rPr>
                <w:rFonts w:ascii="SWISS" w:hAnsi="SWISS"/>
                <w:color w:val="000000"/>
                <w:sz w:val="16"/>
                <w:szCs w:val="16"/>
              </w:rPr>
              <w:t>58</w:t>
            </w:r>
            <w:r w:rsidRPr="00A438A0">
              <w:rPr>
                <w:rFonts w:ascii="SWISS" w:hAnsi="SWISS"/>
                <w:color w:val="000000"/>
                <w:sz w:val="16"/>
                <w:szCs w:val="16"/>
              </w:rPr>
              <w:t xml:space="preserve"> </w:t>
            </w:r>
          </w:p>
        </w:tc>
        <w:tc>
          <w:tcPr>
            <w:tcW w:w="1801"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xml:space="preserve">$0.43 </w:t>
            </w:r>
          </w:p>
        </w:tc>
        <w:tc>
          <w:tcPr>
            <w:tcW w:w="1355" w:type="dxa"/>
            <w:gridSpan w:val="2"/>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$0.39</w:t>
            </w:r>
          </w:p>
        </w:tc>
        <w:tc>
          <w:tcPr>
            <w:tcW w:w="1814" w:type="dxa"/>
            <w:tcBorders>
              <w:top w:val="nil"/>
              <w:left w:val="nil"/>
              <w:bottom w:val="nil"/>
              <w:right w:val="single" w:sz="8" w:space="0" w:color="000000"/>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$0.12</w:t>
            </w:r>
          </w:p>
        </w:tc>
      </w:tr>
      <w:tr w:rsidR="002F2AF2" w:rsidRPr="00A438A0" w:rsidTr="00B236EC">
        <w:trPr>
          <w:trHeight w:val="273"/>
          <w:jc w:val="center"/>
        </w:trPr>
        <w:tc>
          <w:tcPr>
            <w:tcW w:w="3270" w:type="dxa"/>
            <w:gridSpan w:val="2"/>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sz w:val="16"/>
                <w:szCs w:val="16"/>
              </w:rPr>
            </w:pPr>
            <w:r w:rsidRPr="00A438A0">
              <w:rPr>
                <w:rFonts w:ascii="SWISS" w:hAnsi="SWISS"/>
                <w:sz w:val="16"/>
                <w:szCs w:val="16"/>
              </w:rPr>
              <w:t> </w:t>
            </w: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513"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424"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780" w:type="dxa"/>
            <w:tcBorders>
              <w:top w:val="nil"/>
              <w:left w:val="nil"/>
              <w:bottom w:val="nil"/>
              <w:right w:val="nil"/>
            </w:tcBorders>
            <w:shd w:val="clear" w:color="auto" w:fill="auto"/>
            <w:noWrap/>
            <w:vAlign w:val="bottom"/>
            <w:hideMark/>
          </w:tcPr>
          <w:p w:rsidR="00EB5ED0" w:rsidRPr="00A438A0" w:rsidRDefault="00EB5ED0">
            <w:pPr>
              <w:rPr>
                <w:rFonts w:ascii="SWISS" w:hAnsi="SWISS"/>
                <w:color w:val="000000"/>
                <w:sz w:val="16"/>
                <w:szCs w:val="16"/>
              </w:rPr>
            </w:pPr>
          </w:p>
        </w:tc>
        <w:tc>
          <w:tcPr>
            <w:tcW w:w="1801" w:type="dxa"/>
            <w:tcBorders>
              <w:top w:val="nil"/>
              <w:left w:val="nil"/>
              <w:bottom w:val="nil"/>
              <w:right w:val="nil"/>
            </w:tcBorders>
            <w:shd w:val="clear" w:color="auto" w:fill="auto"/>
            <w:noWrap/>
            <w:vAlign w:val="bottom"/>
            <w:hideMark/>
          </w:tcPr>
          <w:p w:rsidR="00EB5ED0" w:rsidRPr="00A438A0" w:rsidRDefault="00EB5ED0">
            <w:pPr>
              <w:rPr>
                <w:rFonts w:ascii="SWISS" w:hAnsi="SWISS"/>
                <w:color w:val="000000"/>
                <w:sz w:val="16"/>
                <w:szCs w:val="16"/>
              </w:rPr>
            </w:pPr>
          </w:p>
        </w:tc>
        <w:tc>
          <w:tcPr>
            <w:tcW w:w="1355" w:type="dxa"/>
            <w:gridSpan w:val="2"/>
            <w:tcBorders>
              <w:top w:val="nil"/>
              <w:left w:val="nil"/>
              <w:bottom w:val="nil"/>
              <w:right w:val="nil"/>
            </w:tcBorders>
            <w:shd w:val="clear" w:color="auto" w:fill="auto"/>
            <w:noWrap/>
            <w:vAlign w:val="bottom"/>
            <w:hideMark/>
          </w:tcPr>
          <w:p w:rsidR="00EB5ED0" w:rsidRPr="00A438A0" w:rsidRDefault="00EB5ED0">
            <w:pPr>
              <w:rPr>
                <w:rFonts w:ascii="SWISS" w:hAnsi="SWISS"/>
                <w:color w:val="000000"/>
                <w:sz w:val="16"/>
                <w:szCs w:val="16"/>
              </w:rPr>
            </w:pPr>
          </w:p>
        </w:tc>
        <w:tc>
          <w:tcPr>
            <w:tcW w:w="1814" w:type="dxa"/>
            <w:tcBorders>
              <w:top w:val="nil"/>
              <w:left w:val="nil"/>
              <w:bottom w:val="nil"/>
              <w:right w:val="single" w:sz="8" w:space="0" w:color="000000"/>
            </w:tcBorders>
            <w:shd w:val="clear" w:color="auto" w:fill="auto"/>
            <w:noWrap/>
            <w:vAlign w:val="bottom"/>
            <w:hideMark/>
          </w:tcPr>
          <w:p w:rsidR="00EB5ED0" w:rsidRPr="00A438A0" w:rsidRDefault="00EB5ED0">
            <w:pPr>
              <w:rPr>
                <w:rFonts w:ascii="SWISS" w:hAnsi="SWISS"/>
                <w:color w:val="000000"/>
                <w:sz w:val="16"/>
                <w:szCs w:val="16"/>
              </w:rPr>
            </w:pPr>
            <w:r w:rsidRPr="00A438A0">
              <w:rPr>
                <w:rFonts w:ascii="SWISS" w:hAnsi="SWISS"/>
                <w:color w:val="000000"/>
                <w:sz w:val="16"/>
                <w:szCs w:val="16"/>
              </w:rPr>
              <w:t> </w:t>
            </w:r>
          </w:p>
        </w:tc>
      </w:tr>
      <w:tr w:rsidR="002F2AF2" w:rsidRPr="00A438A0" w:rsidTr="00B236EC">
        <w:trPr>
          <w:trHeight w:val="273"/>
          <w:jc w:val="center"/>
        </w:trPr>
        <w:tc>
          <w:tcPr>
            <w:tcW w:w="3270" w:type="dxa"/>
            <w:gridSpan w:val="2"/>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b/>
                <w:bCs/>
                <w:sz w:val="16"/>
                <w:szCs w:val="16"/>
                <w:u w:val="single"/>
              </w:rPr>
            </w:pPr>
            <w:r w:rsidRPr="00A438A0">
              <w:rPr>
                <w:rFonts w:ascii="SWISS" w:hAnsi="SWISS"/>
                <w:b/>
                <w:bCs/>
                <w:sz w:val="16"/>
                <w:szCs w:val="16"/>
                <w:u w:val="single"/>
              </w:rPr>
              <w:t>General Service</w:t>
            </w:r>
          </w:p>
        </w:tc>
        <w:tc>
          <w:tcPr>
            <w:tcW w:w="1780" w:type="dxa"/>
            <w:tcBorders>
              <w:top w:val="nil"/>
              <w:left w:val="nil"/>
              <w:bottom w:val="nil"/>
              <w:right w:val="nil"/>
            </w:tcBorders>
            <w:shd w:val="clear" w:color="auto" w:fill="auto"/>
            <w:noWrap/>
            <w:vAlign w:val="bottom"/>
            <w:hideMark/>
          </w:tcPr>
          <w:p w:rsidR="00EB5ED0" w:rsidRPr="00A438A0" w:rsidRDefault="00EB5ED0">
            <w:pPr>
              <w:rPr>
                <w:rFonts w:ascii="SWISS" w:hAnsi="SWISS"/>
                <w:color w:val="000000"/>
                <w:sz w:val="16"/>
                <w:szCs w:val="16"/>
              </w:rPr>
            </w:pPr>
          </w:p>
        </w:tc>
        <w:tc>
          <w:tcPr>
            <w:tcW w:w="1513" w:type="dxa"/>
            <w:tcBorders>
              <w:top w:val="nil"/>
              <w:left w:val="nil"/>
              <w:bottom w:val="nil"/>
              <w:right w:val="nil"/>
            </w:tcBorders>
            <w:shd w:val="clear" w:color="auto" w:fill="auto"/>
            <w:noWrap/>
            <w:vAlign w:val="bottom"/>
            <w:hideMark/>
          </w:tcPr>
          <w:p w:rsidR="00EB5ED0" w:rsidRPr="00A438A0" w:rsidRDefault="00EB5ED0">
            <w:pPr>
              <w:rPr>
                <w:rFonts w:ascii="SWISS" w:hAnsi="SWISS"/>
                <w:color w:val="000000"/>
                <w:sz w:val="16"/>
                <w:szCs w:val="16"/>
              </w:rPr>
            </w:pPr>
          </w:p>
        </w:tc>
        <w:tc>
          <w:tcPr>
            <w:tcW w:w="1424" w:type="dxa"/>
            <w:tcBorders>
              <w:top w:val="nil"/>
              <w:left w:val="nil"/>
              <w:bottom w:val="nil"/>
              <w:right w:val="nil"/>
            </w:tcBorders>
            <w:shd w:val="clear" w:color="auto" w:fill="auto"/>
            <w:noWrap/>
            <w:vAlign w:val="bottom"/>
            <w:hideMark/>
          </w:tcPr>
          <w:p w:rsidR="00EB5ED0" w:rsidRPr="00A438A0" w:rsidRDefault="00EB5ED0">
            <w:pPr>
              <w:rPr>
                <w:rFonts w:ascii="SWISS" w:hAnsi="SWISS"/>
                <w:color w:val="000000"/>
                <w:sz w:val="16"/>
                <w:szCs w:val="16"/>
              </w:rPr>
            </w:pPr>
          </w:p>
        </w:tc>
        <w:tc>
          <w:tcPr>
            <w:tcW w:w="1780" w:type="dxa"/>
            <w:tcBorders>
              <w:top w:val="nil"/>
              <w:left w:val="nil"/>
              <w:bottom w:val="nil"/>
              <w:right w:val="nil"/>
            </w:tcBorders>
            <w:shd w:val="clear" w:color="auto" w:fill="auto"/>
            <w:noWrap/>
            <w:vAlign w:val="bottom"/>
            <w:hideMark/>
          </w:tcPr>
          <w:p w:rsidR="00EB5ED0" w:rsidRPr="00A438A0" w:rsidRDefault="00EB5ED0">
            <w:pPr>
              <w:rPr>
                <w:rFonts w:ascii="SWISS" w:hAnsi="SWISS"/>
                <w:color w:val="000000"/>
                <w:sz w:val="16"/>
                <w:szCs w:val="16"/>
              </w:rPr>
            </w:pPr>
          </w:p>
        </w:tc>
        <w:tc>
          <w:tcPr>
            <w:tcW w:w="1801" w:type="dxa"/>
            <w:tcBorders>
              <w:top w:val="nil"/>
              <w:left w:val="nil"/>
              <w:bottom w:val="nil"/>
              <w:right w:val="nil"/>
            </w:tcBorders>
            <w:shd w:val="clear" w:color="auto" w:fill="auto"/>
            <w:noWrap/>
            <w:vAlign w:val="bottom"/>
            <w:hideMark/>
          </w:tcPr>
          <w:p w:rsidR="00EB5ED0" w:rsidRPr="00A438A0" w:rsidRDefault="00EB5ED0">
            <w:pPr>
              <w:rPr>
                <w:rFonts w:ascii="SWISS" w:hAnsi="SWISS"/>
                <w:color w:val="000000"/>
                <w:sz w:val="16"/>
                <w:szCs w:val="16"/>
              </w:rPr>
            </w:pPr>
          </w:p>
        </w:tc>
        <w:tc>
          <w:tcPr>
            <w:tcW w:w="1355" w:type="dxa"/>
            <w:gridSpan w:val="2"/>
            <w:tcBorders>
              <w:top w:val="nil"/>
              <w:left w:val="nil"/>
              <w:bottom w:val="nil"/>
              <w:right w:val="nil"/>
            </w:tcBorders>
            <w:shd w:val="clear" w:color="auto" w:fill="auto"/>
            <w:noWrap/>
            <w:vAlign w:val="bottom"/>
            <w:hideMark/>
          </w:tcPr>
          <w:p w:rsidR="00EB5ED0" w:rsidRPr="00A438A0" w:rsidRDefault="00EB5ED0">
            <w:pPr>
              <w:rPr>
                <w:rFonts w:ascii="SWISS" w:hAnsi="SWISS"/>
                <w:color w:val="000000"/>
                <w:sz w:val="16"/>
                <w:szCs w:val="16"/>
              </w:rPr>
            </w:pPr>
          </w:p>
        </w:tc>
        <w:tc>
          <w:tcPr>
            <w:tcW w:w="1814" w:type="dxa"/>
            <w:tcBorders>
              <w:top w:val="nil"/>
              <w:left w:val="nil"/>
              <w:bottom w:val="nil"/>
              <w:right w:val="single" w:sz="8" w:space="0" w:color="000000"/>
            </w:tcBorders>
            <w:shd w:val="clear" w:color="auto" w:fill="auto"/>
            <w:noWrap/>
            <w:vAlign w:val="bottom"/>
            <w:hideMark/>
          </w:tcPr>
          <w:p w:rsidR="00EB5ED0" w:rsidRPr="00A438A0" w:rsidRDefault="00EB5ED0">
            <w:pPr>
              <w:rPr>
                <w:rFonts w:ascii="SWISS" w:hAnsi="SWISS"/>
                <w:color w:val="000000"/>
                <w:sz w:val="16"/>
                <w:szCs w:val="16"/>
              </w:rPr>
            </w:pPr>
            <w:r w:rsidRPr="00A438A0">
              <w:rPr>
                <w:rFonts w:ascii="SWISS" w:hAnsi="SWISS"/>
                <w:color w:val="000000"/>
                <w:sz w:val="16"/>
                <w:szCs w:val="16"/>
              </w:rPr>
              <w:t> </w:t>
            </w:r>
          </w:p>
        </w:tc>
      </w:tr>
      <w:tr w:rsidR="002F2AF2" w:rsidRPr="00A438A0" w:rsidTr="00B236EC">
        <w:trPr>
          <w:trHeight w:val="261"/>
          <w:jc w:val="center"/>
        </w:trPr>
        <w:tc>
          <w:tcPr>
            <w:tcW w:w="3270" w:type="dxa"/>
            <w:gridSpan w:val="2"/>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sz w:val="16"/>
                <w:szCs w:val="16"/>
              </w:rPr>
            </w:pPr>
            <w:r w:rsidRPr="00A438A0">
              <w:rPr>
                <w:rFonts w:ascii="SWISS" w:hAnsi="SWISS"/>
                <w:sz w:val="16"/>
                <w:szCs w:val="16"/>
              </w:rPr>
              <w:t>Base Facility Charge by Meter Size</w:t>
            </w:r>
          </w:p>
        </w:tc>
        <w:tc>
          <w:tcPr>
            <w:tcW w:w="1780" w:type="dxa"/>
            <w:tcBorders>
              <w:top w:val="nil"/>
              <w:left w:val="nil"/>
              <w:bottom w:val="nil"/>
              <w:right w:val="nil"/>
            </w:tcBorders>
            <w:shd w:val="clear" w:color="auto" w:fill="auto"/>
            <w:noWrap/>
            <w:vAlign w:val="bottom"/>
            <w:hideMark/>
          </w:tcPr>
          <w:p w:rsidR="00EB5ED0" w:rsidRPr="00A438A0" w:rsidRDefault="00EB5ED0">
            <w:pPr>
              <w:rPr>
                <w:rFonts w:ascii="SWISS" w:hAnsi="SWISS"/>
                <w:color w:val="000000"/>
                <w:sz w:val="16"/>
                <w:szCs w:val="16"/>
              </w:rPr>
            </w:pPr>
          </w:p>
        </w:tc>
        <w:tc>
          <w:tcPr>
            <w:tcW w:w="1513" w:type="dxa"/>
            <w:tcBorders>
              <w:top w:val="nil"/>
              <w:left w:val="nil"/>
              <w:bottom w:val="nil"/>
              <w:right w:val="nil"/>
            </w:tcBorders>
            <w:shd w:val="clear" w:color="auto" w:fill="auto"/>
            <w:noWrap/>
            <w:vAlign w:val="bottom"/>
            <w:hideMark/>
          </w:tcPr>
          <w:p w:rsidR="00EB5ED0" w:rsidRPr="00A438A0" w:rsidRDefault="00EB5ED0">
            <w:pPr>
              <w:rPr>
                <w:rFonts w:ascii="SWISS" w:hAnsi="SWISS"/>
                <w:color w:val="000000"/>
                <w:sz w:val="16"/>
                <w:szCs w:val="16"/>
              </w:rPr>
            </w:pPr>
          </w:p>
        </w:tc>
        <w:tc>
          <w:tcPr>
            <w:tcW w:w="1424" w:type="dxa"/>
            <w:tcBorders>
              <w:top w:val="nil"/>
              <w:left w:val="nil"/>
              <w:bottom w:val="nil"/>
              <w:right w:val="nil"/>
            </w:tcBorders>
            <w:shd w:val="clear" w:color="auto" w:fill="auto"/>
            <w:noWrap/>
            <w:vAlign w:val="bottom"/>
            <w:hideMark/>
          </w:tcPr>
          <w:p w:rsidR="00EB5ED0" w:rsidRPr="00A438A0" w:rsidRDefault="00EB5ED0">
            <w:pPr>
              <w:rPr>
                <w:rFonts w:ascii="SWISS" w:hAnsi="SWISS"/>
                <w:color w:val="000000"/>
                <w:sz w:val="16"/>
                <w:szCs w:val="16"/>
              </w:rPr>
            </w:pPr>
          </w:p>
        </w:tc>
        <w:tc>
          <w:tcPr>
            <w:tcW w:w="1780" w:type="dxa"/>
            <w:tcBorders>
              <w:top w:val="nil"/>
              <w:left w:val="nil"/>
              <w:bottom w:val="nil"/>
              <w:right w:val="nil"/>
            </w:tcBorders>
            <w:shd w:val="clear" w:color="auto" w:fill="auto"/>
            <w:noWrap/>
            <w:vAlign w:val="bottom"/>
            <w:hideMark/>
          </w:tcPr>
          <w:p w:rsidR="00EB5ED0" w:rsidRPr="00A438A0" w:rsidRDefault="00EB5ED0">
            <w:pPr>
              <w:rPr>
                <w:rFonts w:ascii="SWISS" w:hAnsi="SWISS"/>
                <w:color w:val="000000"/>
                <w:sz w:val="16"/>
                <w:szCs w:val="16"/>
              </w:rPr>
            </w:pPr>
          </w:p>
        </w:tc>
        <w:tc>
          <w:tcPr>
            <w:tcW w:w="1801" w:type="dxa"/>
            <w:tcBorders>
              <w:top w:val="nil"/>
              <w:left w:val="nil"/>
              <w:bottom w:val="nil"/>
              <w:right w:val="nil"/>
            </w:tcBorders>
            <w:shd w:val="clear" w:color="auto" w:fill="auto"/>
            <w:noWrap/>
            <w:vAlign w:val="bottom"/>
            <w:hideMark/>
          </w:tcPr>
          <w:p w:rsidR="00EB5ED0" w:rsidRPr="00A438A0" w:rsidRDefault="00EB5ED0">
            <w:pPr>
              <w:rPr>
                <w:rFonts w:ascii="SWISS" w:hAnsi="SWISS"/>
                <w:color w:val="000000"/>
                <w:sz w:val="16"/>
                <w:szCs w:val="16"/>
              </w:rPr>
            </w:pPr>
          </w:p>
        </w:tc>
        <w:tc>
          <w:tcPr>
            <w:tcW w:w="1355" w:type="dxa"/>
            <w:gridSpan w:val="2"/>
            <w:tcBorders>
              <w:top w:val="nil"/>
              <w:left w:val="nil"/>
              <w:bottom w:val="nil"/>
              <w:right w:val="nil"/>
            </w:tcBorders>
            <w:shd w:val="clear" w:color="auto" w:fill="auto"/>
            <w:noWrap/>
            <w:vAlign w:val="bottom"/>
            <w:hideMark/>
          </w:tcPr>
          <w:p w:rsidR="00EB5ED0" w:rsidRPr="00A438A0" w:rsidRDefault="00EB5ED0">
            <w:pPr>
              <w:rPr>
                <w:rFonts w:ascii="SWISS" w:hAnsi="SWISS"/>
                <w:color w:val="000000"/>
                <w:sz w:val="16"/>
                <w:szCs w:val="16"/>
              </w:rPr>
            </w:pPr>
          </w:p>
        </w:tc>
        <w:tc>
          <w:tcPr>
            <w:tcW w:w="1814" w:type="dxa"/>
            <w:tcBorders>
              <w:top w:val="nil"/>
              <w:left w:val="nil"/>
              <w:bottom w:val="nil"/>
              <w:right w:val="single" w:sz="8" w:space="0" w:color="000000"/>
            </w:tcBorders>
            <w:shd w:val="clear" w:color="auto" w:fill="auto"/>
            <w:noWrap/>
            <w:vAlign w:val="bottom"/>
            <w:hideMark/>
          </w:tcPr>
          <w:p w:rsidR="00EB5ED0" w:rsidRPr="00A438A0" w:rsidRDefault="00EB5ED0">
            <w:pPr>
              <w:rPr>
                <w:rFonts w:ascii="SWISS" w:hAnsi="SWISS"/>
                <w:color w:val="000000"/>
                <w:sz w:val="16"/>
                <w:szCs w:val="16"/>
              </w:rPr>
            </w:pPr>
            <w:r w:rsidRPr="00A438A0">
              <w:rPr>
                <w:rFonts w:ascii="SWISS" w:hAnsi="SWISS"/>
                <w:color w:val="000000"/>
                <w:sz w:val="16"/>
                <w:szCs w:val="16"/>
              </w:rPr>
              <w:t> </w:t>
            </w:r>
          </w:p>
        </w:tc>
      </w:tr>
      <w:tr w:rsidR="002F2AF2" w:rsidRPr="00A438A0" w:rsidTr="00B236EC">
        <w:trPr>
          <w:trHeight w:val="261"/>
          <w:jc w:val="center"/>
        </w:trPr>
        <w:tc>
          <w:tcPr>
            <w:tcW w:w="3270" w:type="dxa"/>
            <w:gridSpan w:val="2"/>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color w:val="000000"/>
                <w:sz w:val="16"/>
                <w:szCs w:val="16"/>
              </w:rPr>
            </w:pPr>
            <w:r w:rsidRPr="00A438A0">
              <w:rPr>
                <w:rFonts w:ascii="SWISS" w:hAnsi="SWISS"/>
                <w:color w:val="000000"/>
                <w:sz w:val="16"/>
                <w:szCs w:val="16"/>
              </w:rPr>
              <w:t>5/8"X3/4"</w:t>
            </w: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$29.34</w:t>
            </w:r>
          </w:p>
        </w:tc>
        <w:tc>
          <w:tcPr>
            <w:tcW w:w="1513"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$34.60</w:t>
            </w:r>
          </w:p>
        </w:tc>
        <w:tc>
          <w:tcPr>
            <w:tcW w:w="1424"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$70.12</w:t>
            </w:r>
          </w:p>
        </w:tc>
        <w:tc>
          <w:tcPr>
            <w:tcW w:w="1780" w:type="dxa"/>
            <w:tcBorders>
              <w:top w:val="nil"/>
              <w:left w:val="nil"/>
              <w:bottom w:val="nil"/>
              <w:right w:val="nil"/>
            </w:tcBorders>
            <w:shd w:val="clear" w:color="auto" w:fill="auto"/>
            <w:noWrap/>
            <w:vAlign w:val="bottom"/>
            <w:hideMark/>
          </w:tcPr>
          <w:p w:rsidR="00EB5ED0" w:rsidRPr="00A438A0" w:rsidRDefault="00DF0941">
            <w:pPr>
              <w:jc w:val="right"/>
              <w:rPr>
                <w:rFonts w:ascii="SWISS" w:hAnsi="SWISS"/>
                <w:color w:val="000000"/>
                <w:sz w:val="16"/>
                <w:szCs w:val="16"/>
              </w:rPr>
            </w:pPr>
            <w:r w:rsidRPr="00A438A0">
              <w:rPr>
                <w:rFonts w:ascii="SWISS" w:hAnsi="SWISS"/>
                <w:color w:val="000000"/>
                <w:sz w:val="16"/>
                <w:szCs w:val="16"/>
              </w:rPr>
              <w:t>$50.31</w:t>
            </w:r>
          </w:p>
        </w:tc>
        <w:tc>
          <w:tcPr>
            <w:tcW w:w="1801"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$1.39</w:t>
            </w:r>
          </w:p>
        </w:tc>
        <w:tc>
          <w:tcPr>
            <w:tcW w:w="1355" w:type="dxa"/>
            <w:gridSpan w:val="2"/>
            <w:tcBorders>
              <w:top w:val="nil"/>
              <w:left w:val="nil"/>
              <w:bottom w:val="nil"/>
              <w:right w:val="nil"/>
            </w:tcBorders>
            <w:shd w:val="clear" w:color="auto" w:fill="auto"/>
            <w:noWrap/>
            <w:vAlign w:val="bottom"/>
            <w:hideMark/>
          </w:tcPr>
          <w:p w:rsidR="00EB5ED0" w:rsidRPr="00A438A0" w:rsidRDefault="00087FAD">
            <w:pPr>
              <w:jc w:val="right"/>
              <w:rPr>
                <w:rFonts w:ascii="SWISS" w:hAnsi="SWISS"/>
                <w:color w:val="000000"/>
                <w:sz w:val="16"/>
                <w:szCs w:val="16"/>
              </w:rPr>
            </w:pPr>
            <w:r w:rsidRPr="00A438A0">
              <w:rPr>
                <w:rFonts w:ascii="SWISS" w:hAnsi="SWISS"/>
                <w:color w:val="000000"/>
                <w:sz w:val="16"/>
                <w:szCs w:val="16"/>
              </w:rPr>
              <w:t>$1.26</w:t>
            </w:r>
          </w:p>
        </w:tc>
        <w:tc>
          <w:tcPr>
            <w:tcW w:w="1814" w:type="dxa"/>
            <w:tcBorders>
              <w:top w:val="nil"/>
              <w:left w:val="nil"/>
              <w:bottom w:val="nil"/>
              <w:right w:val="single" w:sz="8" w:space="0" w:color="000000"/>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$0.40</w:t>
            </w:r>
          </w:p>
        </w:tc>
      </w:tr>
      <w:tr w:rsidR="002F2AF2" w:rsidRPr="00A438A0" w:rsidTr="00B236EC">
        <w:trPr>
          <w:trHeight w:val="261"/>
          <w:jc w:val="center"/>
        </w:trPr>
        <w:tc>
          <w:tcPr>
            <w:tcW w:w="3270" w:type="dxa"/>
            <w:gridSpan w:val="2"/>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color w:val="000000"/>
                <w:sz w:val="16"/>
                <w:szCs w:val="16"/>
              </w:rPr>
            </w:pPr>
            <w:r w:rsidRPr="00A438A0">
              <w:rPr>
                <w:rFonts w:ascii="SWISS" w:hAnsi="SWISS"/>
                <w:color w:val="000000"/>
                <w:sz w:val="16"/>
                <w:szCs w:val="16"/>
              </w:rPr>
              <w:t>1"</w:t>
            </w: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$73.35</w:t>
            </w:r>
          </w:p>
        </w:tc>
        <w:tc>
          <w:tcPr>
            <w:tcW w:w="1513"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$86.50</w:t>
            </w:r>
          </w:p>
        </w:tc>
        <w:tc>
          <w:tcPr>
            <w:tcW w:w="1424"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$175.31</w:t>
            </w:r>
          </w:p>
        </w:tc>
        <w:tc>
          <w:tcPr>
            <w:tcW w:w="1780" w:type="dxa"/>
            <w:tcBorders>
              <w:top w:val="nil"/>
              <w:left w:val="nil"/>
              <w:bottom w:val="nil"/>
              <w:right w:val="nil"/>
            </w:tcBorders>
            <w:shd w:val="clear" w:color="auto" w:fill="auto"/>
            <w:noWrap/>
            <w:vAlign w:val="bottom"/>
            <w:hideMark/>
          </w:tcPr>
          <w:p w:rsidR="00EB5ED0" w:rsidRPr="00A438A0" w:rsidRDefault="00DF0941">
            <w:pPr>
              <w:jc w:val="right"/>
              <w:rPr>
                <w:rFonts w:ascii="SWISS" w:hAnsi="SWISS"/>
                <w:color w:val="000000"/>
                <w:sz w:val="16"/>
                <w:szCs w:val="16"/>
              </w:rPr>
            </w:pPr>
            <w:r w:rsidRPr="00A438A0">
              <w:rPr>
                <w:rFonts w:ascii="SWISS" w:hAnsi="SWISS"/>
                <w:color w:val="000000"/>
                <w:sz w:val="16"/>
                <w:szCs w:val="16"/>
              </w:rPr>
              <w:t>$125.78</w:t>
            </w:r>
          </w:p>
        </w:tc>
        <w:tc>
          <w:tcPr>
            <w:tcW w:w="1801"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$3.48</w:t>
            </w:r>
          </w:p>
        </w:tc>
        <w:tc>
          <w:tcPr>
            <w:tcW w:w="1355" w:type="dxa"/>
            <w:gridSpan w:val="2"/>
            <w:tcBorders>
              <w:top w:val="nil"/>
              <w:left w:val="nil"/>
              <w:bottom w:val="nil"/>
              <w:right w:val="nil"/>
            </w:tcBorders>
            <w:shd w:val="clear" w:color="auto" w:fill="auto"/>
            <w:noWrap/>
            <w:vAlign w:val="bottom"/>
            <w:hideMark/>
          </w:tcPr>
          <w:p w:rsidR="00EB5ED0" w:rsidRPr="00A438A0" w:rsidRDefault="00087FAD">
            <w:pPr>
              <w:jc w:val="right"/>
              <w:rPr>
                <w:rFonts w:ascii="SWISS" w:hAnsi="SWISS"/>
                <w:color w:val="000000"/>
                <w:sz w:val="16"/>
                <w:szCs w:val="16"/>
              </w:rPr>
            </w:pPr>
            <w:r w:rsidRPr="00A438A0">
              <w:rPr>
                <w:rFonts w:ascii="SWISS" w:hAnsi="SWISS"/>
                <w:color w:val="000000"/>
                <w:sz w:val="16"/>
                <w:szCs w:val="16"/>
              </w:rPr>
              <w:t>$3.14</w:t>
            </w:r>
          </w:p>
        </w:tc>
        <w:tc>
          <w:tcPr>
            <w:tcW w:w="1814" w:type="dxa"/>
            <w:tcBorders>
              <w:top w:val="nil"/>
              <w:left w:val="nil"/>
              <w:bottom w:val="nil"/>
              <w:right w:val="single" w:sz="8" w:space="0" w:color="000000"/>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$0.99</w:t>
            </w:r>
          </w:p>
        </w:tc>
      </w:tr>
      <w:tr w:rsidR="002F2AF2" w:rsidRPr="00A438A0" w:rsidTr="00B236EC">
        <w:trPr>
          <w:trHeight w:val="261"/>
          <w:jc w:val="center"/>
        </w:trPr>
        <w:tc>
          <w:tcPr>
            <w:tcW w:w="3270" w:type="dxa"/>
            <w:gridSpan w:val="2"/>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color w:val="000000"/>
                <w:sz w:val="16"/>
                <w:szCs w:val="16"/>
              </w:rPr>
            </w:pPr>
            <w:r w:rsidRPr="00A438A0">
              <w:rPr>
                <w:rFonts w:ascii="SWISS" w:hAnsi="SWISS"/>
                <w:color w:val="000000"/>
                <w:sz w:val="16"/>
                <w:szCs w:val="16"/>
              </w:rPr>
              <w:t>1-1/2"</w:t>
            </w: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$146.69</w:t>
            </w:r>
          </w:p>
        </w:tc>
        <w:tc>
          <w:tcPr>
            <w:tcW w:w="1513"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$173.00</w:t>
            </w:r>
          </w:p>
        </w:tc>
        <w:tc>
          <w:tcPr>
            <w:tcW w:w="1424"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$350.59</w:t>
            </w:r>
          </w:p>
        </w:tc>
        <w:tc>
          <w:tcPr>
            <w:tcW w:w="1780" w:type="dxa"/>
            <w:tcBorders>
              <w:top w:val="nil"/>
              <w:left w:val="nil"/>
              <w:bottom w:val="nil"/>
              <w:right w:val="nil"/>
            </w:tcBorders>
            <w:shd w:val="clear" w:color="auto" w:fill="auto"/>
            <w:noWrap/>
            <w:vAlign w:val="bottom"/>
            <w:hideMark/>
          </w:tcPr>
          <w:p w:rsidR="00EB5ED0" w:rsidRPr="00A438A0" w:rsidRDefault="00DF0941">
            <w:pPr>
              <w:jc w:val="right"/>
              <w:rPr>
                <w:rFonts w:ascii="SWISS" w:hAnsi="SWISS"/>
                <w:color w:val="000000"/>
                <w:sz w:val="16"/>
                <w:szCs w:val="16"/>
              </w:rPr>
            </w:pPr>
            <w:r w:rsidRPr="00A438A0">
              <w:rPr>
                <w:rFonts w:ascii="SWISS" w:hAnsi="SWISS"/>
                <w:color w:val="000000"/>
                <w:sz w:val="16"/>
                <w:szCs w:val="16"/>
              </w:rPr>
              <w:t>$251.55</w:t>
            </w:r>
          </w:p>
        </w:tc>
        <w:tc>
          <w:tcPr>
            <w:tcW w:w="1801"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$6.95</w:t>
            </w:r>
          </w:p>
        </w:tc>
        <w:tc>
          <w:tcPr>
            <w:tcW w:w="1355" w:type="dxa"/>
            <w:gridSpan w:val="2"/>
            <w:tcBorders>
              <w:top w:val="nil"/>
              <w:left w:val="nil"/>
              <w:bottom w:val="nil"/>
              <w:right w:val="nil"/>
            </w:tcBorders>
            <w:shd w:val="clear" w:color="auto" w:fill="auto"/>
            <w:noWrap/>
            <w:vAlign w:val="bottom"/>
            <w:hideMark/>
          </w:tcPr>
          <w:p w:rsidR="00EB5ED0" w:rsidRPr="00A438A0" w:rsidRDefault="00087FAD">
            <w:pPr>
              <w:jc w:val="right"/>
              <w:rPr>
                <w:rFonts w:ascii="SWISS" w:hAnsi="SWISS"/>
                <w:color w:val="000000"/>
                <w:sz w:val="16"/>
                <w:szCs w:val="16"/>
              </w:rPr>
            </w:pPr>
            <w:r w:rsidRPr="00A438A0">
              <w:rPr>
                <w:rFonts w:ascii="SWISS" w:hAnsi="SWISS"/>
                <w:color w:val="000000"/>
                <w:sz w:val="16"/>
                <w:szCs w:val="16"/>
              </w:rPr>
              <w:t>$6.29</w:t>
            </w:r>
          </w:p>
        </w:tc>
        <w:tc>
          <w:tcPr>
            <w:tcW w:w="1814" w:type="dxa"/>
            <w:tcBorders>
              <w:top w:val="nil"/>
              <w:left w:val="nil"/>
              <w:bottom w:val="nil"/>
              <w:right w:val="single" w:sz="8" w:space="0" w:color="000000"/>
            </w:tcBorders>
            <w:shd w:val="clear" w:color="auto" w:fill="auto"/>
            <w:noWrap/>
            <w:vAlign w:val="bottom"/>
            <w:hideMark/>
          </w:tcPr>
          <w:p w:rsidR="00EB5ED0" w:rsidRPr="00A438A0" w:rsidRDefault="00087FAD">
            <w:pPr>
              <w:jc w:val="right"/>
              <w:rPr>
                <w:rFonts w:ascii="SWISS" w:hAnsi="SWISS"/>
                <w:color w:val="000000"/>
                <w:sz w:val="16"/>
                <w:szCs w:val="16"/>
              </w:rPr>
            </w:pPr>
            <w:r w:rsidRPr="00A438A0">
              <w:rPr>
                <w:rFonts w:ascii="SWISS" w:hAnsi="SWISS"/>
                <w:color w:val="000000"/>
                <w:sz w:val="16"/>
                <w:szCs w:val="16"/>
              </w:rPr>
              <w:t>$1.99</w:t>
            </w:r>
          </w:p>
        </w:tc>
      </w:tr>
      <w:tr w:rsidR="002F2AF2" w:rsidRPr="00A438A0" w:rsidTr="00B236EC">
        <w:trPr>
          <w:trHeight w:val="261"/>
          <w:jc w:val="center"/>
        </w:trPr>
        <w:tc>
          <w:tcPr>
            <w:tcW w:w="3270" w:type="dxa"/>
            <w:gridSpan w:val="2"/>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color w:val="000000"/>
                <w:sz w:val="16"/>
                <w:szCs w:val="16"/>
              </w:rPr>
            </w:pPr>
            <w:r w:rsidRPr="00A438A0">
              <w:rPr>
                <w:rFonts w:ascii="SWISS" w:hAnsi="SWISS"/>
                <w:color w:val="000000"/>
                <w:sz w:val="16"/>
                <w:szCs w:val="16"/>
              </w:rPr>
              <w:t>2"</w:t>
            </w: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$234.71</w:t>
            </w:r>
          </w:p>
        </w:tc>
        <w:tc>
          <w:tcPr>
            <w:tcW w:w="1513"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$276.80</w:t>
            </w:r>
          </w:p>
        </w:tc>
        <w:tc>
          <w:tcPr>
            <w:tcW w:w="1424"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$560.96</w:t>
            </w:r>
          </w:p>
        </w:tc>
        <w:tc>
          <w:tcPr>
            <w:tcW w:w="1780" w:type="dxa"/>
            <w:tcBorders>
              <w:top w:val="nil"/>
              <w:left w:val="nil"/>
              <w:bottom w:val="nil"/>
              <w:right w:val="nil"/>
            </w:tcBorders>
            <w:shd w:val="clear" w:color="auto" w:fill="auto"/>
            <w:noWrap/>
            <w:vAlign w:val="bottom"/>
            <w:hideMark/>
          </w:tcPr>
          <w:p w:rsidR="00EB5ED0" w:rsidRPr="00A438A0" w:rsidRDefault="00DF0941">
            <w:pPr>
              <w:jc w:val="right"/>
              <w:rPr>
                <w:rFonts w:ascii="SWISS" w:hAnsi="SWISS"/>
                <w:color w:val="000000"/>
                <w:sz w:val="16"/>
                <w:szCs w:val="16"/>
              </w:rPr>
            </w:pPr>
            <w:r w:rsidRPr="00A438A0">
              <w:rPr>
                <w:rFonts w:ascii="SWISS" w:hAnsi="SWISS"/>
                <w:color w:val="000000"/>
                <w:sz w:val="16"/>
                <w:szCs w:val="16"/>
              </w:rPr>
              <w:t>$402.48</w:t>
            </w:r>
          </w:p>
        </w:tc>
        <w:tc>
          <w:tcPr>
            <w:tcW w:w="1801"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$11.12</w:t>
            </w:r>
          </w:p>
        </w:tc>
        <w:tc>
          <w:tcPr>
            <w:tcW w:w="1355" w:type="dxa"/>
            <w:gridSpan w:val="2"/>
            <w:tcBorders>
              <w:top w:val="nil"/>
              <w:left w:val="nil"/>
              <w:bottom w:val="nil"/>
              <w:right w:val="nil"/>
            </w:tcBorders>
            <w:shd w:val="clear" w:color="auto" w:fill="auto"/>
            <w:noWrap/>
            <w:vAlign w:val="bottom"/>
            <w:hideMark/>
          </w:tcPr>
          <w:p w:rsidR="00EB5ED0" w:rsidRPr="00A438A0" w:rsidRDefault="00087FAD">
            <w:pPr>
              <w:jc w:val="right"/>
              <w:rPr>
                <w:rFonts w:ascii="SWISS" w:hAnsi="SWISS"/>
                <w:color w:val="000000"/>
                <w:sz w:val="16"/>
                <w:szCs w:val="16"/>
              </w:rPr>
            </w:pPr>
            <w:r w:rsidRPr="00A438A0">
              <w:rPr>
                <w:rFonts w:ascii="SWISS" w:hAnsi="SWISS"/>
                <w:color w:val="000000"/>
                <w:sz w:val="16"/>
                <w:szCs w:val="16"/>
              </w:rPr>
              <w:t>$10.06</w:t>
            </w:r>
          </w:p>
        </w:tc>
        <w:tc>
          <w:tcPr>
            <w:tcW w:w="1814" w:type="dxa"/>
            <w:tcBorders>
              <w:top w:val="nil"/>
              <w:left w:val="nil"/>
              <w:bottom w:val="nil"/>
              <w:right w:val="single" w:sz="8" w:space="0" w:color="000000"/>
            </w:tcBorders>
            <w:shd w:val="clear" w:color="auto" w:fill="auto"/>
            <w:noWrap/>
            <w:vAlign w:val="bottom"/>
            <w:hideMark/>
          </w:tcPr>
          <w:p w:rsidR="00EB5ED0" w:rsidRPr="00A438A0" w:rsidRDefault="00087FAD">
            <w:pPr>
              <w:jc w:val="right"/>
              <w:rPr>
                <w:rFonts w:ascii="SWISS" w:hAnsi="SWISS"/>
                <w:color w:val="000000"/>
                <w:sz w:val="16"/>
                <w:szCs w:val="16"/>
              </w:rPr>
            </w:pPr>
            <w:r w:rsidRPr="00A438A0">
              <w:rPr>
                <w:rFonts w:ascii="SWISS" w:hAnsi="SWISS"/>
                <w:color w:val="000000"/>
                <w:sz w:val="16"/>
                <w:szCs w:val="16"/>
              </w:rPr>
              <w:t>$3.18</w:t>
            </w:r>
          </w:p>
        </w:tc>
      </w:tr>
      <w:tr w:rsidR="002F2AF2" w:rsidRPr="00A438A0" w:rsidTr="00B236EC">
        <w:trPr>
          <w:trHeight w:val="261"/>
          <w:jc w:val="center"/>
        </w:trPr>
        <w:tc>
          <w:tcPr>
            <w:tcW w:w="3270" w:type="dxa"/>
            <w:gridSpan w:val="2"/>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color w:val="000000"/>
                <w:sz w:val="16"/>
                <w:szCs w:val="16"/>
              </w:rPr>
            </w:pPr>
            <w:r w:rsidRPr="00A438A0">
              <w:rPr>
                <w:rFonts w:ascii="SWISS" w:hAnsi="SWISS"/>
                <w:color w:val="000000"/>
                <w:sz w:val="16"/>
                <w:szCs w:val="16"/>
              </w:rPr>
              <w:t>3"</w:t>
            </w: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$469.43</w:t>
            </w:r>
          </w:p>
        </w:tc>
        <w:tc>
          <w:tcPr>
            <w:tcW w:w="1513"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$553.60</w:t>
            </w:r>
          </w:p>
        </w:tc>
        <w:tc>
          <w:tcPr>
            <w:tcW w:w="1424"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$1,121.94</w:t>
            </w:r>
          </w:p>
        </w:tc>
        <w:tc>
          <w:tcPr>
            <w:tcW w:w="1780" w:type="dxa"/>
            <w:tcBorders>
              <w:top w:val="nil"/>
              <w:left w:val="nil"/>
              <w:bottom w:val="nil"/>
              <w:right w:val="nil"/>
            </w:tcBorders>
            <w:shd w:val="clear" w:color="auto" w:fill="auto"/>
            <w:noWrap/>
            <w:vAlign w:val="bottom"/>
            <w:hideMark/>
          </w:tcPr>
          <w:p w:rsidR="00EB5ED0" w:rsidRPr="00A438A0" w:rsidRDefault="00DF0941">
            <w:pPr>
              <w:jc w:val="right"/>
              <w:rPr>
                <w:rFonts w:ascii="SWISS" w:hAnsi="SWISS"/>
                <w:color w:val="000000"/>
                <w:sz w:val="16"/>
                <w:szCs w:val="16"/>
              </w:rPr>
            </w:pPr>
            <w:r w:rsidRPr="00A438A0">
              <w:rPr>
                <w:rFonts w:ascii="SWISS" w:hAnsi="SWISS"/>
                <w:color w:val="000000"/>
                <w:sz w:val="16"/>
                <w:szCs w:val="16"/>
              </w:rPr>
              <w:t>$804.96</w:t>
            </w:r>
          </w:p>
        </w:tc>
        <w:tc>
          <w:tcPr>
            <w:tcW w:w="1801"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$22.24</w:t>
            </w:r>
          </w:p>
        </w:tc>
        <w:tc>
          <w:tcPr>
            <w:tcW w:w="1355" w:type="dxa"/>
            <w:gridSpan w:val="2"/>
            <w:tcBorders>
              <w:top w:val="nil"/>
              <w:left w:val="nil"/>
              <w:bottom w:val="nil"/>
              <w:right w:val="nil"/>
            </w:tcBorders>
            <w:shd w:val="clear" w:color="auto" w:fill="auto"/>
            <w:noWrap/>
            <w:vAlign w:val="bottom"/>
            <w:hideMark/>
          </w:tcPr>
          <w:p w:rsidR="00EB5ED0" w:rsidRPr="00A438A0" w:rsidRDefault="00087FAD">
            <w:pPr>
              <w:jc w:val="right"/>
              <w:rPr>
                <w:rFonts w:ascii="SWISS" w:hAnsi="SWISS"/>
                <w:color w:val="000000"/>
                <w:sz w:val="16"/>
                <w:szCs w:val="16"/>
              </w:rPr>
            </w:pPr>
            <w:r w:rsidRPr="00A438A0">
              <w:rPr>
                <w:rFonts w:ascii="SWISS" w:hAnsi="SWISS"/>
                <w:color w:val="000000"/>
                <w:sz w:val="16"/>
                <w:szCs w:val="16"/>
              </w:rPr>
              <w:t>$20.12</w:t>
            </w:r>
          </w:p>
        </w:tc>
        <w:tc>
          <w:tcPr>
            <w:tcW w:w="1814" w:type="dxa"/>
            <w:tcBorders>
              <w:top w:val="nil"/>
              <w:left w:val="nil"/>
              <w:bottom w:val="nil"/>
              <w:right w:val="single" w:sz="8" w:space="0" w:color="000000"/>
            </w:tcBorders>
            <w:shd w:val="clear" w:color="auto" w:fill="auto"/>
            <w:noWrap/>
            <w:vAlign w:val="bottom"/>
            <w:hideMark/>
          </w:tcPr>
          <w:p w:rsidR="00EB5ED0" w:rsidRPr="00A438A0" w:rsidRDefault="00087FAD">
            <w:pPr>
              <w:jc w:val="right"/>
              <w:rPr>
                <w:rFonts w:ascii="SWISS" w:hAnsi="SWISS"/>
                <w:color w:val="000000"/>
                <w:sz w:val="16"/>
                <w:szCs w:val="16"/>
              </w:rPr>
            </w:pPr>
            <w:r w:rsidRPr="00A438A0">
              <w:rPr>
                <w:rFonts w:ascii="SWISS" w:hAnsi="SWISS"/>
                <w:color w:val="000000"/>
                <w:sz w:val="16"/>
                <w:szCs w:val="16"/>
              </w:rPr>
              <w:t>$6.36</w:t>
            </w:r>
          </w:p>
        </w:tc>
      </w:tr>
      <w:tr w:rsidR="002F2AF2" w:rsidRPr="00A438A0" w:rsidTr="00B236EC">
        <w:trPr>
          <w:trHeight w:val="261"/>
          <w:jc w:val="center"/>
        </w:trPr>
        <w:tc>
          <w:tcPr>
            <w:tcW w:w="3270" w:type="dxa"/>
            <w:gridSpan w:val="2"/>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color w:val="000000"/>
                <w:sz w:val="16"/>
                <w:szCs w:val="16"/>
              </w:rPr>
            </w:pPr>
            <w:r w:rsidRPr="00A438A0">
              <w:rPr>
                <w:rFonts w:ascii="SWISS" w:hAnsi="SWISS"/>
                <w:color w:val="000000"/>
                <w:sz w:val="16"/>
                <w:szCs w:val="16"/>
              </w:rPr>
              <w:t>4"</w:t>
            </w: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$733.47</w:t>
            </w:r>
          </w:p>
        </w:tc>
        <w:tc>
          <w:tcPr>
            <w:tcW w:w="1513"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$865.00</w:t>
            </w:r>
          </w:p>
        </w:tc>
        <w:tc>
          <w:tcPr>
            <w:tcW w:w="1424"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$1,752.99</w:t>
            </w:r>
          </w:p>
        </w:tc>
        <w:tc>
          <w:tcPr>
            <w:tcW w:w="1780" w:type="dxa"/>
            <w:tcBorders>
              <w:top w:val="nil"/>
              <w:left w:val="nil"/>
              <w:bottom w:val="nil"/>
              <w:right w:val="nil"/>
            </w:tcBorders>
            <w:shd w:val="clear" w:color="auto" w:fill="auto"/>
            <w:noWrap/>
            <w:vAlign w:val="bottom"/>
            <w:hideMark/>
          </w:tcPr>
          <w:p w:rsidR="00EB5ED0" w:rsidRPr="00A438A0" w:rsidRDefault="00DF0941">
            <w:pPr>
              <w:jc w:val="right"/>
              <w:rPr>
                <w:rFonts w:ascii="SWISS" w:hAnsi="SWISS"/>
                <w:color w:val="000000"/>
                <w:sz w:val="16"/>
                <w:szCs w:val="16"/>
              </w:rPr>
            </w:pPr>
            <w:r w:rsidRPr="00A438A0">
              <w:rPr>
                <w:rFonts w:ascii="SWISS" w:hAnsi="SWISS"/>
                <w:color w:val="000000"/>
                <w:sz w:val="16"/>
                <w:szCs w:val="16"/>
              </w:rPr>
              <w:t>$1,257.75</w:t>
            </w:r>
          </w:p>
        </w:tc>
        <w:tc>
          <w:tcPr>
            <w:tcW w:w="1801"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$34.75</w:t>
            </w:r>
          </w:p>
        </w:tc>
        <w:tc>
          <w:tcPr>
            <w:tcW w:w="1355" w:type="dxa"/>
            <w:gridSpan w:val="2"/>
            <w:tcBorders>
              <w:top w:val="nil"/>
              <w:left w:val="nil"/>
              <w:bottom w:val="nil"/>
              <w:right w:val="nil"/>
            </w:tcBorders>
            <w:shd w:val="clear" w:color="auto" w:fill="auto"/>
            <w:noWrap/>
            <w:vAlign w:val="bottom"/>
            <w:hideMark/>
          </w:tcPr>
          <w:p w:rsidR="00EB5ED0" w:rsidRPr="00A438A0" w:rsidRDefault="00087FAD">
            <w:pPr>
              <w:jc w:val="right"/>
              <w:rPr>
                <w:rFonts w:ascii="SWISS" w:hAnsi="SWISS"/>
                <w:color w:val="000000"/>
                <w:sz w:val="16"/>
                <w:szCs w:val="16"/>
              </w:rPr>
            </w:pPr>
            <w:r w:rsidRPr="00A438A0">
              <w:rPr>
                <w:rFonts w:ascii="SWISS" w:hAnsi="SWISS"/>
                <w:color w:val="000000"/>
                <w:sz w:val="16"/>
                <w:szCs w:val="16"/>
              </w:rPr>
              <w:t>$31.44</w:t>
            </w:r>
          </w:p>
        </w:tc>
        <w:tc>
          <w:tcPr>
            <w:tcW w:w="1814" w:type="dxa"/>
            <w:tcBorders>
              <w:top w:val="nil"/>
              <w:left w:val="nil"/>
              <w:bottom w:val="nil"/>
              <w:right w:val="single" w:sz="8" w:space="0" w:color="000000"/>
            </w:tcBorders>
            <w:shd w:val="clear" w:color="auto" w:fill="auto"/>
            <w:noWrap/>
            <w:vAlign w:val="bottom"/>
            <w:hideMark/>
          </w:tcPr>
          <w:p w:rsidR="00EB5ED0" w:rsidRPr="00A438A0" w:rsidRDefault="00087FAD">
            <w:pPr>
              <w:jc w:val="right"/>
              <w:rPr>
                <w:rFonts w:ascii="SWISS" w:hAnsi="SWISS"/>
                <w:color w:val="000000"/>
                <w:sz w:val="16"/>
                <w:szCs w:val="16"/>
              </w:rPr>
            </w:pPr>
            <w:r w:rsidRPr="00A438A0">
              <w:rPr>
                <w:rFonts w:ascii="SWISS" w:hAnsi="SWISS"/>
                <w:color w:val="000000"/>
                <w:sz w:val="16"/>
                <w:szCs w:val="16"/>
              </w:rPr>
              <w:t>$9.94</w:t>
            </w:r>
          </w:p>
        </w:tc>
      </w:tr>
      <w:tr w:rsidR="002F2AF2" w:rsidRPr="00A438A0" w:rsidTr="00B236EC">
        <w:trPr>
          <w:trHeight w:val="261"/>
          <w:jc w:val="center"/>
        </w:trPr>
        <w:tc>
          <w:tcPr>
            <w:tcW w:w="3270" w:type="dxa"/>
            <w:gridSpan w:val="2"/>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color w:val="000000"/>
                <w:sz w:val="16"/>
                <w:szCs w:val="16"/>
              </w:rPr>
            </w:pPr>
            <w:r w:rsidRPr="00A438A0">
              <w:rPr>
                <w:rFonts w:ascii="SWISS" w:hAnsi="SWISS"/>
                <w:color w:val="000000"/>
                <w:sz w:val="16"/>
                <w:szCs w:val="16"/>
              </w:rPr>
              <w:t>6"</w:t>
            </w: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$1,466.94</w:t>
            </w:r>
          </w:p>
        </w:tc>
        <w:tc>
          <w:tcPr>
            <w:tcW w:w="1513"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$1,730.00</w:t>
            </w:r>
          </w:p>
        </w:tc>
        <w:tc>
          <w:tcPr>
            <w:tcW w:w="1424"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$3,505.99</w:t>
            </w:r>
          </w:p>
        </w:tc>
        <w:tc>
          <w:tcPr>
            <w:tcW w:w="1780" w:type="dxa"/>
            <w:tcBorders>
              <w:top w:val="nil"/>
              <w:left w:val="nil"/>
              <w:bottom w:val="nil"/>
              <w:right w:val="nil"/>
            </w:tcBorders>
            <w:shd w:val="clear" w:color="auto" w:fill="auto"/>
            <w:noWrap/>
            <w:vAlign w:val="bottom"/>
            <w:hideMark/>
          </w:tcPr>
          <w:p w:rsidR="00EB5ED0" w:rsidRPr="00A438A0" w:rsidRDefault="00DF0941">
            <w:pPr>
              <w:jc w:val="right"/>
              <w:rPr>
                <w:rFonts w:ascii="SWISS" w:hAnsi="SWISS"/>
                <w:color w:val="000000"/>
                <w:sz w:val="16"/>
                <w:szCs w:val="16"/>
              </w:rPr>
            </w:pPr>
            <w:r w:rsidRPr="00A438A0">
              <w:rPr>
                <w:rFonts w:ascii="SWISS" w:hAnsi="SWISS"/>
                <w:color w:val="000000"/>
                <w:sz w:val="16"/>
                <w:szCs w:val="16"/>
              </w:rPr>
              <w:t>$2,515.50</w:t>
            </w:r>
          </w:p>
        </w:tc>
        <w:tc>
          <w:tcPr>
            <w:tcW w:w="1801"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$69.50</w:t>
            </w:r>
          </w:p>
        </w:tc>
        <w:tc>
          <w:tcPr>
            <w:tcW w:w="1355" w:type="dxa"/>
            <w:gridSpan w:val="2"/>
            <w:tcBorders>
              <w:top w:val="nil"/>
              <w:left w:val="nil"/>
              <w:bottom w:val="nil"/>
              <w:right w:val="nil"/>
            </w:tcBorders>
            <w:shd w:val="clear" w:color="auto" w:fill="auto"/>
            <w:noWrap/>
            <w:vAlign w:val="bottom"/>
            <w:hideMark/>
          </w:tcPr>
          <w:p w:rsidR="00EB5ED0" w:rsidRPr="00A438A0" w:rsidRDefault="00087FAD">
            <w:pPr>
              <w:jc w:val="right"/>
              <w:rPr>
                <w:rFonts w:ascii="SWISS" w:hAnsi="SWISS"/>
                <w:color w:val="000000"/>
                <w:sz w:val="16"/>
                <w:szCs w:val="16"/>
              </w:rPr>
            </w:pPr>
            <w:r w:rsidRPr="00A438A0">
              <w:rPr>
                <w:rFonts w:ascii="SWISS" w:hAnsi="SWISS"/>
                <w:color w:val="000000"/>
                <w:sz w:val="16"/>
                <w:szCs w:val="16"/>
              </w:rPr>
              <w:t>$62.89</w:t>
            </w:r>
          </w:p>
        </w:tc>
        <w:tc>
          <w:tcPr>
            <w:tcW w:w="1814" w:type="dxa"/>
            <w:tcBorders>
              <w:top w:val="nil"/>
              <w:left w:val="nil"/>
              <w:bottom w:val="nil"/>
              <w:right w:val="single" w:sz="8" w:space="0" w:color="000000"/>
            </w:tcBorders>
            <w:shd w:val="clear" w:color="auto" w:fill="auto"/>
            <w:noWrap/>
            <w:vAlign w:val="bottom"/>
            <w:hideMark/>
          </w:tcPr>
          <w:p w:rsidR="00EB5ED0" w:rsidRPr="00A438A0" w:rsidRDefault="00087FAD">
            <w:pPr>
              <w:jc w:val="right"/>
              <w:rPr>
                <w:rFonts w:ascii="SWISS" w:hAnsi="SWISS"/>
                <w:color w:val="000000"/>
                <w:sz w:val="16"/>
                <w:szCs w:val="16"/>
              </w:rPr>
            </w:pPr>
            <w:r w:rsidRPr="00A438A0">
              <w:rPr>
                <w:rFonts w:ascii="SWISS" w:hAnsi="SWISS"/>
                <w:color w:val="000000"/>
                <w:sz w:val="16"/>
                <w:szCs w:val="16"/>
              </w:rPr>
              <w:t>$19.87</w:t>
            </w:r>
          </w:p>
        </w:tc>
      </w:tr>
      <w:tr w:rsidR="002F2AF2" w:rsidRPr="00A438A0" w:rsidTr="00B236EC">
        <w:trPr>
          <w:trHeight w:val="261"/>
          <w:jc w:val="center"/>
        </w:trPr>
        <w:tc>
          <w:tcPr>
            <w:tcW w:w="3270" w:type="dxa"/>
            <w:gridSpan w:val="2"/>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color w:val="000000"/>
                <w:sz w:val="16"/>
                <w:szCs w:val="16"/>
              </w:rPr>
            </w:pPr>
            <w:r w:rsidRPr="00A438A0">
              <w:rPr>
                <w:rFonts w:ascii="SWISS" w:hAnsi="SWISS"/>
                <w:color w:val="000000"/>
                <w:sz w:val="16"/>
                <w:szCs w:val="16"/>
              </w:rPr>
              <w:t> </w:t>
            </w: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513"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424"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801"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355" w:type="dxa"/>
            <w:gridSpan w:val="2"/>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814" w:type="dxa"/>
            <w:tcBorders>
              <w:top w:val="nil"/>
              <w:left w:val="nil"/>
              <w:bottom w:val="nil"/>
              <w:right w:val="single" w:sz="8" w:space="0" w:color="000000"/>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w:t>
            </w:r>
          </w:p>
        </w:tc>
      </w:tr>
      <w:tr w:rsidR="002F2AF2" w:rsidRPr="00A438A0" w:rsidTr="00B236EC">
        <w:trPr>
          <w:trHeight w:val="261"/>
          <w:jc w:val="center"/>
        </w:trPr>
        <w:tc>
          <w:tcPr>
            <w:tcW w:w="3270" w:type="dxa"/>
            <w:gridSpan w:val="2"/>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color w:val="000000"/>
                <w:sz w:val="16"/>
                <w:szCs w:val="16"/>
              </w:rPr>
            </w:pPr>
            <w:r w:rsidRPr="00A438A0">
              <w:rPr>
                <w:rFonts w:ascii="SWISS" w:hAnsi="SWISS"/>
                <w:color w:val="000000"/>
                <w:sz w:val="16"/>
                <w:szCs w:val="16"/>
              </w:rPr>
              <w:t>Charge per 1,000 Gallons - General Service</w:t>
            </w: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$7.92</w:t>
            </w:r>
          </w:p>
        </w:tc>
        <w:tc>
          <w:tcPr>
            <w:tcW w:w="1513"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$9.34</w:t>
            </w:r>
          </w:p>
        </w:tc>
        <w:tc>
          <w:tcPr>
            <w:tcW w:w="1424"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$18.93</w:t>
            </w:r>
          </w:p>
        </w:tc>
        <w:tc>
          <w:tcPr>
            <w:tcW w:w="1780" w:type="dxa"/>
            <w:tcBorders>
              <w:top w:val="nil"/>
              <w:left w:val="nil"/>
              <w:bottom w:val="nil"/>
              <w:right w:val="nil"/>
            </w:tcBorders>
            <w:shd w:val="clear" w:color="auto" w:fill="auto"/>
            <w:noWrap/>
            <w:vAlign w:val="bottom"/>
            <w:hideMark/>
          </w:tcPr>
          <w:p w:rsidR="00EB5ED0" w:rsidRPr="00A438A0" w:rsidRDefault="00EB5ED0" w:rsidP="008648C7">
            <w:pPr>
              <w:jc w:val="right"/>
              <w:rPr>
                <w:rFonts w:ascii="SWISS" w:hAnsi="SWISS"/>
                <w:color w:val="000000"/>
                <w:sz w:val="16"/>
                <w:szCs w:val="16"/>
              </w:rPr>
            </w:pPr>
            <w:r w:rsidRPr="00A438A0">
              <w:rPr>
                <w:rFonts w:ascii="SWISS" w:hAnsi="SWISS"/>
                <w:color w:val="000000"/>
                <w:sz w:val="16"/>
                <w:szCs w:val="16"/>
              </w:rPr>
              <w:t>$18.7</w:t>
            </w:r>
            <w:r w:rsidR="008648C7">
              <w:rPr>
                <w:rFonts w:ascii="SWISS" w:hAnsi="SWISS"/>
                <w:color w:val="000000"/>
                <w:sz w:val="16"/>
                <w:szCs w:val="16"/>
              </w:rPr>
              <w:t>0</w:t>
            </w:r>
          </w:p>
        </w:tc>
        <w:tc>
          <w:tcPr>
            <w:tcW w:w="1801"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$0.52</w:t>
            </w:r>
          </w:p>
        </w:tc>
        <w:tc>
          <w:tcPr>
            <w:tcW w:w="1355" w:type="dxa"/>
            <w:gridSpan w:val="2"/>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$0.47</w:t>
            </w:r>
          </w:p>
        </w:tc>
        <w:tc>
          <w:tcPr>
            <w:tcW w:w="1814" w:type="dxa"/>
            <w:tcBorders>
              <w:top w:val="nil"/>
              <w:left w:val="nil"/>
              <w:bottom w:val="nil"/>
              <w:right w:val="single" w:sz="8" w:space="0" w:color="000000"/>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$0.15</w:t>
            </w:r>
          </w:p>
        </w:tc>
      </w:tr>
      <w:tr w:rsidR="002F2AF2" w:rsidRPr="00A438A0" w:rsidTr="00B236EC">
        <w:trPr>
          <w:trHeight w:val="261"/>
          <w:jc w:val="center"/>
        </w:trPr>
        <w:tc>
          <w:tcPr>
            <w:tcW w:w="3270" w:type="dxa"/>
            <w:gridSpan w:val="2"/>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color w:val="000000"/>
                <w:sz w:val="16"/>
                <w:szCs w:val="16"/>
              </w:rPr>
            </w:pPr>
            <w:r w:rsidRPr="00A438A0">
              <w:rPr>
                <w:rFonts w:ascii="SWISS" w:hAnsi="SWISS"/>
                <w:color w:val="000000"/>
                <w:sz w:val="16"/>
                <w:szCs w:val="16"/>
              </w:rPr>
              <w:t> </w:t>
            </w: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513"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424"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801"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355" w:type="dxa"/>
            <w:gridSpan w:val="2"/>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814" w:type="dxa"/>
            <w:tcBorders>
              <w:top w:val="nil"/>
              <w:left w:val="nil"/>
              <w:bottom w:val="nil"/>
              <w:right w:val="single" w:sz="8" w:space="0" w:color="000000"/>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w:t>
            </w:r>
          </w:p>
        </w:tc>
      </w:tr>
      <w:tr w:rsidR="002F2AF2" w:rsidRPr="00A438A0" w:rsidTr="00B236EC">
        <w:trPr>
          <w:trHeight w:val="261"/>
          <w:jc w:val="center"/>
        </w:trPr>
        <w:tc>
          <w:tcPr>
            <w:tcW w:w="6563" w:type="dxa"/>
            <w:gridSpan w:val="4"/>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b/>
                <w:bCs/>
                <w:color w:val="000000"/>
                <w:sz w:val="16"/>
                <w:szCs w:val="16"/>
                <w:u w:val="single"/>
              </w:rPr>
            </w:pPr>
            <w:r w:rsidRPr="00A438A0">
              <w:rPr>
                <w:rFonts w:ascii="SWISS" w:hAnsi="SWISS"/>
                <w:b/>
                <w:bCs/>
                <w:color w:val="000000"/>
                <w:sz w:val="16"/>
                <w:szCs w:val="16"/>
                <w:u w:val="single"/>
              </w:rPr>
              <w:t>Typical Residential 5/8" x 3/4" Meter Bill Comparison</w:t>
            </w:r>
          </w:p>
        </w:tc>
        <w:tc>
          <w:tcPr>
            <w:tcW w:w="1424"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780"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801"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355" w:type="dxa"/>
            <w:gridSpan w:val="2"/>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814" w:type="dxa"/>
            <w:tcBorders>
              <w:top w:val="nil"/>
              <w:left w:val="nil"/>
              <w:bottom w:val="nil"/>
              <w:right w:val="single" w:sz="8" w:space="0" w:color="000000"/>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w:t>
            </w:r>
          </w:p>
        </w:tc>
      </w:tr>
      <w:tr w:rsidR="00EB5ED0" w:rsidRPr="00A438A0" w:rsidTr="00B236EC">
        <w:trPr>
          <w:trHeight w:val="261"/>
          <w:jc w:val="center"/>
        </w:trPr>
        <w:tc>
          <w:tcPr>
            <w:tcW w:w="1156" w:type="dxa"/>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color w:val="000000"/>
                <w:sz w:val="16"/>
                <w:szCs w:val="16"/>
              </w:rPr>
            </w:pPr>
            <w:r w:rsidRPr="00A438A0">
              <w:rPr>
                <w:rFonts w:ascii="SWISS" w:hAnsi="SWISS"/>
                <w:color w:val="000000"/>
                <w:sz w:val="16"/>
                <w:szCs w:val="16"/>
              </w:rPr>
              <w:t>2,000 Gallons</w:t>
            </w:r>
          </w:p>
        </w:tc>
        <w:tc>
          <w:tcPr>
            <w:tcW w:w="3894" w:type="dxa"/>
            <w:gridSpan w:val="2"/>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xml:space="preserve">$42.52 </w:t>
            </w:r>
          </w:p>
        </w:tc>
        <w:tc>
          <w:tcPr>
            <w:tcW w:w="1513"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xml:space="preserve">$50.14 </w:t>
            </w:r>
          </w:p>
        </w:tc>
        <w:tc>
          <w:tcPr>
            <w:tcW w:w="1424"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xml:space="preserve">$101.62 </w:t>
            </w:r>
          </w:p>
        </w:tc>
        <w:tc>
          <w:tcPr>
            <w:tcW w:w="1780" w:type="dxa"/>
            <w:tcBorders>
              <w:top w:val="nil"/>
              <w:left w:val="nil"/>
              <w:bottom w:val="nil"/>
              <w:right w:val="nil"/>
            </w:tcBorders>
            <w:shd w:val="clear" w:color="auto" w:fill="auto"/>
            <w:noWrap/>
            <w:vAlign w:val="bottom"/>
            <w:hideMark/>
          </w:tcPr>
          <w:p w:rsidR="00EB5ED0" w:rsidRPr="00A438A0" w:rsidRDefault="00DF0941" w:rsidP="008648C7">
            <w:pPr>
              <w:jc w:val="right"/>
              <w:rPr>
                <w:rFonts w:ascii="SWISS" w:hAnsi="SWISS"/>
                <w:color w:val="000000"/>
                <w:sz w:val="16"/>
                <w:szCs w:val="16"/>
              </w:rPr>
            </w:pPr>
            <w:r w:rsidRPr="00A438A0">
              <w:rPr>
                <w:rFonts w:ascii="SWISS" w:hAnsi="SWISS"/>
                <w:color w:val="000000"/>
                <w:sz w:val="16"/>
                <w:szCs w:val="16"/>
              </w:rPr>
              <w:t>$81.</w:t>
            </w:r>
            <w:r w:rsidR="008648C7">
              <w:rPr>
                <w:rFonts w:ascii="SWISS" w:hAnsi="SWISS"/>
                <w:color w:val="000000"/>
                <w:sz w:val="16"/>
                <w:szCs w:val="16"/>
              </w:rPr>
              <w:t>47</w:t>
            </w:r>
          </w:p>
        </w:tc>
        <w:tc>
          <w:tcPr>
            <w:tcW w:w="1801"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355" w:type="dxa"/>
            <w:gridSpan w:val="2"/>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814" w:type="dxa"/>
            <w:tcBorders>
              <w:top w:val="nil"/>
              <w:left w:val="nil"/>
              <w:bottom w:val="nil"/>
              <w:right w:val="single" w:sz="8" w:space="0" w:color="000000"/>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w:t>
            </w:r>
          </w:p>
        </w:tc>
      </w:tr>
      <w:tr w:rsidR="00EB5ED0" w:rsidRPr="00A438A0" w:rsidTr="00B236EC">
        <w:trPr>
          <w:trHeight w:val="261"/>
          <w:jc w:val="center"/>
        </w:trPr>
        <w:tc>
          <w:tcPr>
            <w:tcW w:w="1156" w:type="dxa"/>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color w:val="000000"/>
                <w:sz w:val="16"/>
                <w:szCs w:val="16"/>
              </w:rPr>
            </w:pPr>
            <w:r w:rsidRPr="00A438A0">
              <w:rPr>
                <w:rFonts w:ascii="SWISS" w:hAnsi="SWISS"/>
                <w:color w:val="000000"/>
                <w:sz w:val="16"/>
                <w:szCs w:val="16"/>
              </w:rPr>
              <w:t>6,000 Gallons</w:t>
            </w:r>
          </w:p>
        </w:tc>
        <w:tc>
          <w:tcPr>
            <w:tcW w:w="3894" w:type="dxa"/>
            <w:gridSpan w:val="2"/>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xml:space="preserve">$68.88 </w:t>
            </w:r>
          </w:p>
        </w:tc>
        <w:tc>
          <w:tcPr>
            <w:tcW w:w="1513"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xml:space="preserve">$81.22 </w:t>
            </w:r>
          </w:p>
        </w:tc>
        <w:tc>
          <w:tcPr>
            <w:tcW w:w="1424"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xml:space="preserve">$164.62 </w:t>
            </w:r>
          </w:p>
        </w:tc>
        <w:tc>
          <w:tcPr>
            <w:tcW w:w="1780" w:type="dxa"/>
            <w:tcBorders>
              <w:top w:val="nil"/>
              <w:left w:val="nil"/>
              <w:bottom w:val="nil"/>
              <w:right w:val="nil"/>
            </w:tcBorders>
            <w:shd w:val="clear" w:color="auto" w:fill="auto"/>
            <w:noWrap/>
            <w:vAlign w:val="bottom"/>
            <w:hideMark/>
          </w:tcPr>
          <w:p w:rsidR="00EB5ED0" w:rsidRPr="00A438A0" w:rsidRDefault="008648C7">
            <w:pPr>
              <w:jc w:val="right"/>
              <w:rPr>
                <w:rFonts w:ascii="SWISS" w:hAnsi="SWISS"/>
                <w:color w:val="000000"/>
                <w:sz w:val="16"/>
                <w:szCs w:val="16"/>
              </w:rPr>
            </w:pPr>
            <w:r>
              <w:rPr>
                <w:rFonts w:ascii="SWISS" w:hAnsi="SWISS"/>
                <w:color w:val="000000"/>
                <w:sz w:val="16"/>
                <w:szCs w:val="16"/>
              </w:rPr>
              <w:t>$143.79</w:t>
            </w:r>
          </w:p>
        </w:tc>
        <w:tc>
          <w:tcPr>
            <w:tcW w:w="1801"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355" w:type="dxa"/>
            <w:gridSpan w:val="2"/>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p>
        </w:tc>
        <w:tc>
          <w:tcPr>
            <w:tcW w:w="1814" w:type="dxa"/>
            <w:tcBorders>
              <w:top w:val="nil"/>
              <w:left w:val="nil"/>
              <w:bottom w:val="nil"/>
              <w:right w:val="single" w:sz="8" w:space="0" w:color="000000"/>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w:t>
            </w:r>
          </w:p>
        </w:tc>
      </w:tr>
      <w:tr w:rsidR="00EB5ED0" w:rsidRPr="002F2AF2" w:rsidTr="00B236EC">
        <w:trPr>
          <w:trHeight w:val="261"/>
          <w:jc w:val="center"/>
        </w:trPr>
        <w:tc>
          <w:tcPr>
            <w:tcW w:w="1156" w:type="dxa"/>
            <w:tcBorders>
              <w:top w:val="nil"/>
              <w:left w:val="single" w:sz="8" w:space="0" w:color="000000"/>
              <w:bottom w:val="nil"/>
              <w:right w:val="nil"/>
            </w:tcBorders>
            <w:shd w:val="clear" w:color="auto" w:fill="auto"/>
            <w:noWrap/>
            <w:vAlign w:val="bottom"/>
            <w:hideMark/>
          </w:tcPr>
          <w:p w:rsidR="00EB5ED0" w:rsidRPr="00A438A0" w:rsidRDefault="00EB5ED0">
            <w:pPr>
              <w:rPr>
                <w:rFonts w:ascii="SWISS" w:hAnsi="SWISS"/>
                <w:color w:val="000000"/>
                <w:sz w:val="16"/>
                <w:szCs w:val="16"/>
              </w:rPr>
            </w:pPr>
            <w:r w:rsidRPr="00A438A0">
              <w:rPr>
                <w:rFonts w:ascii="SWISS" w:hAnsi="SWISS"/>
                <w:color w:val="000000"/>
                <w:sz w:val="16"/>
                <w:szCs w:val="16"/>
              </w:rPr>
              <w:t>8,000 Gallons</w:t>
            </w:r>
          </w:p>
        </w:tc>
        <w:tc>
          <w:tcPr>
            <w:tcW w:w="3894" w:type="dxa"/>
            <w:gridSpan w:val="2"/>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xml:space="preserve">$82.06 </w:t>
            </w:r>
          </w:p>
        </w:tc>
        <w:tc>
          <w:tcPr>
            <w:tcW w:w="1513"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xml:space="preserve">$96.76 </w:t>
            </w:r>
          </w:p>
        </w:tc>
        <w:tc>
          <w:tcPr>
            <w:tcW w:w="1424" w:type="dxa"/>
            <w:tcBorders>
              <w:top w:val="nil"/>
              <w:left w:val="nil"/>
              <w:bottom w:val="nil"/>
              <w:right w:val="nil"/>
            </w:tcBorders>
            <w:shd w:val="clear" w:color="auto" w:fill="auto"/>
            <w:noWrap/>
            <w:vAlign w:val="bottom"/>
            <w:hideMark/>
          </w:tcPr>
          <w:p w:rsidR="00EB5ED0" w:rsidRPr="00A438A0" w:rsidRDefault="00EB5ED0">
            <w:pPr>
              <w:jc w:val="right"/>
              <w:rPr>
                <w:rFonts w:ascii="SWISS" w:hAnsi="SWISS"/>
                <w:color w:val="000000"/>
                <w:sz w:val="16"/>
                <w:szCs w:val="16"/>
              </w:rPr>
            </w:pPr>
            <w:r w:rsidRPr="00A438A0">
              <w:rPr>
                <w:rFonts w:ascii="SWISS" w:hAnsi="SWISS"/>
                <w:color w:val="000000"/>
                <w:sz w:val="16"/>
                <w:szCs w:val="16"/>
              </w:rPr>
              <w:t xml:space="preserve">$196.12 </w:t>
            </w:r>
          </w:p>
        </w:tc>
        <w:tc>
          <w:tcPr>
            <w:tcW w:w="1780" w:type="dxa"/>
            <w:tcBorders>
              <w:top w:val="nil"/>
              <w:left w:val="nil"/>
              <w:bottom w:val="nil"/>
              <w:right w:val="nil"/>
            </w:tcBorders>
            <w:shd w:val="clear" w:color="auto" w:fill="auto"/>
            <w:noWrap/>
            <w:vAlign w:val="bottom"/>
            <w:hideMark/>
          </w:tcPr>
          <w:p w:rsidR="00EB5ED0" w:rsidRPr="002F2AF2" w:rsidRDefault="008648C7">
            <w:pPr>
              <w:jc w:val="right"/>
              <w:rPr>
                <w:rFonts w:ascii="SWISS" w:hAnsi="SWISS"/>
                <w:color w:val="000000"/>
                <w:sz w:val="16"/>
                <w:szCs w:val="16"/>
              </w:rPr>
            </w:pPr>
            <w:r>
              <w:rPr>
                <w:rFonts w:ascii="SWISS" w:hAnsi="SWISS"/>
                <w:color w:val="000000"/>
                <w:sz w:val="16"/>
                <w:szCs w:val="16"/>
              </w:rPr>
              <w:t>$143.79</w:t>
            </w:r>
          </w:p>
        </w:tc>
        <w:tc>
          <w:tcPr>
            <w:tcW w:w="1801" w:type="dxa"/>
            <w:tcBorders>
              <w:top w:val="nil"/>
              <w:left w:val="nil"/>
              <w:bottom w:val="nil"/>
              <w:right w:val="nil"/>
            </w:tcBorders>
            <w:shd w:val="clear" w:color="auto" w:fill="auto"/>
            <w:noWrap/>
            <w:vAlign w:val="bottom"/>
            <w:hideMark/>
          </w:tcPr>
          <w:p w:rsidR="00EB5ED0" w:rsidRPr="002F2AF2" w:rsidRDefault="00EB5ED0">
            <w:pPr>
              <w:jc w:val="right"/>
              <w:rPr>
                <w:rFonts w:ascii="SWISS" w:hAnsi="SWISS"/>
                <w:color w:val="000000"/>
                <w:sz w:val="16"/>
                <w:szCs w:val="16"/>
              </w:rPr>
            </w:pPr>
          </w:p>
        </w:tc>
        <w:tc>
          <w:tcPr>
            <w:tcW w:w="1355" w:type="dxa"/>
            <w:gridSpan w:val="2"/>
            <w:tcBorders>
              <w:top w:val="nil"/>
              <w:left w:val="nil"/>
              <w:bottom w:val="nil"/>
              <w:right w:val="nil"/>
            </w:tcBorders>
            <w:shd w:val="clear" w:color="auto" w:fill="auto"/>
            <w:noWrap/>
            <w:vAlign w:val="bottom"/>
            <w:hideMark/>
          </w:tcPr>
          <w:p w:rsidR="00EB5ED0" w:rsidRPr="002F2AF2" w:rsidRDefault="00EB5ED0">
            <w:pPr>
              <w:jc w:val="right"/>
              <w:rPr>
                <w:rFonts w:ascii="SWISS" w:hAnsi="SWISS"/>
                <w:color w:val="000000"/>
                <w:sz w:val="16"/>
                <w:szCs w:val="16"/>
              </w:rPr>
            </w:pPr>
          </w:p>
        </w:tc>
        <w:tc>
          <w:tcPr>
            <w:tcW w:w="1814" w:type="dxa"/>
            <w:tcBorders>
              <w:top w:val="nil"/>
              <w:left w:val="nil"/>
              <w:bottom w:val="nil"/>
              <w:right w:val="single" w:sz="8" w:space="0" w:color="000000"/>
            </w:tcBorders>
            <w:shd w:val="clear" w:color="auto" w:fill="auto"/>
            <w:noWrap/>
            <w:vAlign w:val="bottom"/>
            <w:hideMark/>
          </w:tcPr>
          <w:p w:rsidR="00EB5ED0" w:rsidRPr="002F2AF2" w:rsidRDefault="00EB5ED0">
            <w:pPr>
              <w:jc w:val="right"/>
              <w:rPr>
                <w:rFonts w:ascii="SWISS" w:hAnsi="SWISS"/>
                <w:color w:val="000000"/>
                <w:sz w:val="16"/>
                <w:szCs w:val="16"/>
              </w:rPr>
            </w:pPr>
            <w:r w:rsidRPr="002F2AF2">
              <w:rPr>
                <w:rFonts w:ascii="SWISS" w:hAnsi="SWISS"/>
                <w:color w:val="000000"/>
                <w:sz w:val="16"/>
                <w:szCs w:val="16"/>
              </w:rPr>
              <w:t> </w:t>
            </w:r>
          </w:p>
        </w:tc>
      </w:tr>
      <w:tr w:rsidR="00EB5ED0" w:rsidRPr="002F2AF2" w:rsidTr="00B236EC">
        <w:trPr>
          <w:trHeight w:val="273"/>
          <w:jc w:val="center"/>
        </w:trPr>
        <w:tc>
          <w:tcPr>
            <w:tcW w:w="1156" w:type="dxa"/>
            <w:tcBorders>
              <w:top w:val="nil"/>
              <w:left w:val="single" w:sz="8" w:space="0" w:color="000000"/>
              <w:bottom w:val="single" w:sz="8" w:space="0" w:color="000000"/>
              <w:right w:val="nil"/>
            </w:tcBorders>
            <w:shd w:val="clear" w:color="auto" w:fill="auto"/>
            <w:noWrap/>
            <w:vAlign w:val="bottom"/>
            <w:hideMark/>
          </w:tcPr>
          <w:p w:rsidR="00EB5ED0" w:rsidRPr="002F2AF2" w:rsidRDefault="00EB5ED0">
            <w:pPr>
              <w:rPr>
                <w:rFonts w:ascii="Arial" w:hAnsi="Arial" w:cs="Arial"/>
                <w:sz w:val="16"/>
                <w:szCs w:val="16"/>
              </w:rPr>
            </w:pPr>
            <w:r w:rsidRPr="002F2AF2">
              <w:rPr>
                <w:rFonts w:ascii="Arial" w:hAnsi="Arial" w:cs="Arial"/>
                <w:sz w:val="16"/>
                <w:szCs w:val="16"/>
              </w:rPr>
              <w:t> </w:t>
            </w:r>
          </w:p>
        </w:tc>
        <w:tc>
          <w:tcPr>
            <w:tcW w:w="3894" w:type="dxa"/>
            <w:gridSpan w:val="2"/>
            <w:tcBorders>
              <w:top w:val="nil"/>
              <w:left w:val="nil"/>
              <w:bottom w:val="single" w:sz="8" w:space="0" w:color="000000"/>
              <w:right w:val="nil"/>
            </w:tcBorders>
            <w:shd w:val="clear" w:color="auto" w:fill="auto"/>
            <w:noWrap/>
            <w:vAlign w:val="bottom"/>
            <w:hideMark/>
          </w:tcPr>
          <w:p w:rsidR="00EB5ED0" w:rsidRPr="002F2AF2" w:rsidRDefault="00EB5ED0">
            <w:pPr>
              <w:rPr>
                <w:rFonts w:ascii="Arial" w:hAnsi="Arial" w:cs="Arial"/>
                <w:sz w:val="16"/>
                <w:szCs w:val="16"/>
              </w:rPr>
            </w:pPr>
            <w:r w:rsidRPr="002F2AF2">
              <w:rPr>
                <w:rFonts w:ascii="Arial" w:hAnsi="Arial" w:cs="Arial"/>
                <w:sz w:val="16"/>
                <w:szCs w:val="16"/>
              </w:rPr>
              <w:t> </w:t>
            </w:r>
          </w:p>
        </w:tc>
        <w:tc>
          <w:tcPr>
            <w:tcW w:w="1513" w:type="dxa"/>
            <w:tcBorders>
              <w:top w:val="nil"/>
              <w:left w:val="nil"/>
              <w:bottom w:val="single" w:sz="8" w:space="0" w:color="000000"/>
              <w:right w:val="nil"/>
            </w:tcBorders>
            <w:shd w:val="clear" w:color="auto" w:fill="auto"/>
            <w:noWrap/>
            <w:vAlign w:val="bottom"/>
            <w:hideMark/>
          </w:tcPr>
          <w:p w:rsidR="00EB5ED0" w:rsidRPr="002F2AF2" w:rsidRDefault="00EB5ED0">
            <w:pPr>
              <w:rPr>
                <w:rFonts w:ascii="Arial" w:hAnsi="Arial" w:cs="Arial"/>
                <w:sz w:val="16"/>
                <w:szCs w:val="16"/>
              </w:rPr>
            </w:pPr>
            <w:r w:rsidRPr="002F2AF2">
              <w:rPr>
                <w:rFonts w:ascii="Arial" w:hAnsi="Arial" w:cs="Arial"/>
                <w:sz w:val="16"/>
                <w:szCs w:val="16"/>
              </w:rPr>
              <w:t> </w:t>
            </w:r>
          </w:p>
        </w:tc>
        <w:tc>
          <w:tcPr>
            <w:tcW w:w="1424" w:type="dxa"/>
            <w:tcBorders>
              <w:top w:val="nil"/>
              <w:left w:val="nil"/>
              <w:bottom w:val="single" w:sz="8" w:space="0" w:color="000000"/>
              <w:right w:val="nil"/>
            </w:tcBorders>
            <w:shd w:val="clear" w:color="auto" w:fill="auto"/>
            <w:noWrap/>
            <w:vAlign w:val="bottom"/>
            <w:hideMark/>
          </w:tcPr>
          <w:p w:rsidR="00EB5ED0" w:rsidRPr="002F2AF2" w:rsidRDefault="00EB5ED0">
            <w:pPr>
              <w:rPr>
                <w:rFonts w:ascii="Arial" w:hAnsi="Arial" w:cs="Arial"/>
                <w:sz w:val="16"/>
                <w:szCs w:val="16"/>
              </w:rPr>
            </w:pPr>
            <w:r w:rsidRPr="002F2AF2">
              <w:rPr>
                <w:rFonts w:ascii="Arial" w:hAnsi="Arial" w:cs="Arial"/>
                <w:sz w:val="16"/>
                <w:szCs w:val="16"/>
              </w:rPr>
              <w:t> </w:t>
            </w:r>
          </w:p>
        </w:tc>
        <w:tc>
          <w:tcPr>
            <w:tcW w:w="1780" w:type="dxa"/>
            <w:tcBorders>
              <w:top w:val="nil"/>
              <w:left w:val="nil"/>
              <w:bottom w:val="single" w:sz="8" w:space="0" w:color="000000"/>
              <w:right w:val="nil"/>
            </w:tcBorders>
            <w:shd w:val="clear" w:color="auto" w:fill="auto"/>
            <w:noWrap/>
            <w:vAlign w:val="bottom"/>
            <w:hideMark/>
          </w:tcPr>
          <w:p w:rsidR="00EB5ED0" w:rsidRPr="002F2AF2" w:rsidRDefault="00EB5ED0">
            <w:pPr>
              <w:rPr>
                <w:rFonts w:ascii="Arial" w:hAnsi="Arial" w:cs="Arial"/>
                <w:sz w:val="16"/>
                <w:szCs w:val="16"/>
              </w:rPr>
            </w:pPr>
            <w:r w:rsidRPr="002F2AF2">
              <w:rPr>
                <w:rFonts w:ascii="Arial" w:hAnsi="Arial" w:cs="Arial"/>
                <w:sz w:val="16"/>
                <w:szCs w:val="16"/>
              </w:rPr>
              <w:t> </w:t>
            </w:r>
          </w:p>
        </w:tc>
        <w:tc>
          <w:tcPr>
            <w:tcW w:w="1801" w:type="dxa"/>
            <w:tcBorders>
              <w:top w:val="nil"/>
              <w:left w:val="nil"/>
              <w:bottom w:val="single" w:sz="8" w:space="0" w:color="000000"/>
              <w:right w:val="nil"/>
            </w:tcBorders>
            <w:shd w:val="clear" w:color="auto" w:fill="auto"/>
            <w:noWrap/>
            <w:vAlign w:val="bottom"/>
            <w:hideMark/>
          </w:tcPr>
          <w:p w:rsidR="00EB5ED0" w:rsidRPr="002F2AF2" w:rsidRDefault="00EB5ED0">
            <w:pPr>
              <w:rPr>
                <w:rFonts w:ascii="Arial" w:hAnsi="Arial" w:cs="Arial"/>
                <w:sz w:val="16"/>
                <w:szCs w:val="16"/>
              </w:rPr>
            </w:pPr>
            <w:r w:rsidRPr="002F2AF2">
              <w:rPr>
                <w:rFonts w:ascii="Arial" w:hAnsi="Arial" w:cs="Arial"/>
                <w:sz w:val="16"/>
                <w:szCs w:val="16"/>
              </w:rPr>
              <w:t> </w:t>
            </w:r>
          </w:p>
        </w:tc>
        <w:tc>
          <w:tcPr>
            <w:tcW w:w="1355" w:type="dxa"/>
            <w:gridSpan w:val="2"/>
            <w:tcBorders>
              <w:top w:val="nil"/>
              <w:left w:val="nil"/>
              <w:bottom w:val="single" w:sz="8" w:space="0" w:color="000000"/>
              <w:right w:val="nil"/>
            </w:tcBorders>
            <w:shd w:val="clear" w:color="auto" w:fill="auto"/>
            <w:noWrap/>
            <w:vAlign w:val="bottom"/>
            <w:hideMark/>
          </w:tcPr>
          <w:p w:rsidR="00EB5ED0" w:rsidRPr="002F2AF2" w:rsidRDefault="00EB5ED0">
            <w:pPr>
              <w:rPr>
                <w:rFonts w:ascii="Arial" w:hAnsi="Arial" w:cs="Arial"/>
                <w:sz w:val="16"/>
                <w:szCs w:val="16"/>
              </w:rPr>
            </w:pPr>
            <w:r w:rsidRPr="002F2AF2">
              <w:rPr>
                <w:rFonts w:ascii="Arial" w:hAnsi="Arial" w:cs="Arial"/>
                <w:sz w:val="16"/>
                <w:szCs w:val="16"/>
              </w:rPr>
              <w:t> </w:t>
            </w:r>
          </w:p>
        </w:tc>
        <w:tc>
          <w:tcPr>
            <w:tcW w:w="1814" w:type="dxa"/>
            <w:tcBorders>
              <w:top w:val="nil"/>
              <w:left w:val="nil"/>
              <w:bottom w:val="single" w:sz="8" w:space="0" w:color="000000"/>
              <w:right w:val="single" w:sz="8" w:space="0" w:color="000000"/>
            </w:tcBorders>
            <w:shd w:val="clear" w:color="auto" w:fill="auto"/>
            <w:noWrap/>
            <w:vAlign w:val="bottom"/>
            <w:hideMark/>
          </w:tcPr>
          <w:p w:rsidR="00EB5ED0" w:rsidRPr="002F2AF2" w:rsidRDefault="00EB5ED0">
            <w:pPr>
              <w:rPr>
                <w:rFonts w:ascii="Arial" w:hAnsi="Arial" w:cs="Arial"/>
                <w:sz w:val="16"/>
                <w:szCs w:val="16"/>
              </w:rPr>
            </w:pPr>
            <w:r w:rsidRPr="002F2AF2">
              <w:rPr>
                <w:rFonts w:ascii="Arial" w:hAnsi="Arial" w:cs="Arial"/>
                <w:sz w:val="16"/>
                <w:szCs w:val="16"/>
              </w:rPr>
              <w:t> </w:t>
            </w:r>
          </w:p>
        </w:tc>
      </w:tr>
    </w:tbl>
    <w:p w:rsidR="00B30B7D" w:rsidRDefault="00B30B7D" w:rsidP="00EB5ED0">
      <w:pPr>
        <w:rPr>
          <w:sz w:val="20"/>
          <w:szCs w:val="20"/>
        </w:rPr>
      </w:pPr>
    </w:p>
    <w:sectPr w:rsidR="00B30B7D" w:rsidSect="00EB5ED0">
      <w:headerReference w:type="default" r:id="rId20"/>
      <w:pgSz w:w="15840" w:h="12240" w:orient="landscape" w:code="1"/>
      <w:pgMar w:top="1440" w:right="1584"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AD7" w:rsidRDefault="00C74AD7">
      <w:r>
        <w:separator/>
      </w:r>
    </w:p>
  </w:endnote>
  <w:endnote w:type="continuationSeparator" w:id="0">
    <w:p w:rsidR="00C74AD7" w:rsidRDefault="00C7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D7" w:rsidRDefault="00C74AD7" w:rsidP="002F2AF2">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6D42F5">
      <w:rPr>
        <w:rStyle w:val="PageNumber"/>
        <w:noProof/>
      </w:rPr>
      <w:t>52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D7" w:rsidRDefault="00C74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AD7" w:rsidRDefault="00C74AD7">
      <w:r>
        <w:separator/>
      </w:r>
    </w:p>
  </w:footnote>
  <w:footnote w:type="continuationSeparator" w:id="0">
    <w:p w:rsidR="00C74AD7" w:rsidRDefault="00C74AD7">
      <w:r>
        <w:continuationSeparator/>
      </w:r>
    </w:p>
  </w:footnote>
  <w:footnote w:id="1">
    <w:p w:rsidR="00C74AD7" w:rsidRPr="004A415E" w:rsidRDefault="00C74AD7" w:rsidP="00331D4D">
      <w:pPr>
        <w:pStyle w:val="FootnoteText"/>
        <w:rPr>
          <w:i/>
        </w:rPr>
      </w:pPr>
      <w:r>
        <w:rPr>
          <w:rStyle w:val="FootnoteReference"/>
        </w:rPr>
        <w:footnoteRef/>
      </w:r>
      <w:r>
        <w:t xml:space="preserve">Order No. PSC-95-0478-FOF-SU, issued April 13, 1995, in Docket No. 941341-SU, In re: </w:t>
      </w:r>
      <w:r w:rsidRPr="004A415E">
        <w:rPr>
          <w:i/>
        </w:rPr>
        <w:t>Application for certificate to provide wastewater service in Charlotte County by Sandalhaven Utility, Inc.</w:t>
      </w:r>
    </w:p>
  </w:footnote>
  <w:footnote w:id="2">
    <w:p w:rsidR="00C74AD7" w:rsidRPr="00121D0A" w:rsidRDefault="00C74AD7" w:rsidP="00331D4D">
      <w:pPr>
        <w:pStyle w:val="FootnoteText"/>
      </w:pPr>
      <w:r>
        <w:rPr>
          <w:rStyle w:val="FootnoteReference"/>
        </w:rPr>
        <w:footnoteRef/>
      </w:r>
      <w:r>
        <w:t>Order No. PSC-07-0984-FOF-WS, issued December 10, 2007, in Docket No. 070643-WS, In re:</w:t>
      </w:r>
      <w:r w:rsidRPr="004A415E">
        <w:rPr>
          <w:i/>
        </w:rPr>
        <w:t xml:space="preserve"> Resolution No. 2007-143 by Charlotte County Board of Commissioners, in accordance with Section 367.171, F.S., rescinding Florida Public Service Commission jurisdiction over private water and wastewater systems in Charlotte County</w:t>
      </w:r>
      <w:r w:rsidRPr="00121D0A">
        <w:t xml:space="preserve">. </w:t>
      </w:r>
    </w:p>
  </w:footnote>
  <w:footnote w:id="3">
    <w:p w:rsidR="00C74AD7" w:rsidRPr="00121D0A" w:rsidRDefault="00C74AD7" w:rsidP="00331D4D">
      <w:pPr>
        <w:pStyle w:val="FootnoteText"/>
      </w:pPr>
      <w:r w:rsidRPr="00121D0A">
        <w:rPr>
          <w:rStyle w:val="FootnoteReference"/>
        </w:rPr>
        <w:footnoteRef/>
      </w:r>
      <w:r w:rsidRPr="00121D0A">
        <w:t xml:space="preserve">Order No. PSC-13-0178-FOF-SU, issued April 29, 2013, in Docket No. 130053-SU, In re: </w:t>
      </w:r>
      <w:r w:rsidRPr="004A415E">
        <w:rPr>
          <w:i/>
        </w:rPr>
        <w:t>Application for grandfather certificate to operate wastewater utility in Charlotte County by Utilities, Inc. of Sandalhaven.</w:t>
      </w:r>
    </w:p>
  </w:footnote>
  <w:footnote w:id="4">
    <w:p w:rsidR="00C74AD7" w:rsidRPr="004A415E" w:rsidRDefault="00C74AD7" w:rsidP="00331D4D">
      <w:pPr>
        <w:pStyle w:val="FootnoteText"/>
        <w:rPr>
          <w:i/>
        </w:rPr>
      </w:pPr>
      <w:r w:rsidRPr="00121D0A">
        <w:rPr>
          <w:rStyle w:val="FootnoteReference"/>
        </w:rPr>
        <w:footnoteRef/>
      </w:r>
      <w:r w:rsidRPr="00121D0A">
        <w:t xml:space="preserve">Order No. PSC-07-0865-PAA-SU, issued October 29, 2007, in Docket No. 060285-SU, In re: </w:t>
      </w:r>
      <w:r w:rsidRPr="004A415E">
        <w:rPr>
          <w:i/>
        </w:rPr>
        <w:t>Application for rates in Charlotte County by Utilities, Inc. of Sandalhaven.</w:t>
      </w:r>
    </w:p>
  </w:footnote>
  <w:footnote w:id="5">
    <w:p w:rsidR="00C74AD7" w:rsidRDefault="00C74AD7" w:rsidP="00583542">
      <w:pPr>
        <w:pStyle w:val="FootnoteText"/>
      </w:pPr>
      <w:r>
        <w:rPr>
          <w:rStyle w:val="FootnoteReference"/>
        </w:rPr>
        <w:footnoteRef/>
      </w:r>
      <w:r>
        <w:t xml:space="preserve"> Found not to be the Utility’s issue.</w:t>
      </w:r>
    </w:p>
  </w:footnote>
  <w:footnote w:id="6">
    <w:p w:rsidR="00C74AD7" w:rsidRPr="00432C1F" w:rsidRDefault="00C74AD7" w:rsidP="00AF0535">
      <w:pPr>
        <w:pStyle w:val="FootnoteText"/>
        <w:rPr>
          <w:i/>
        </w:rPr>
      </w:pPr>
      <w:r>
        <w:rPr>
          <w:rStyle w:val="FootnoteReference"/>
        </w:rPr>
        <w:footnoteRef/>
      </w:r>
      <w:r>
        <w:t xml:space="preserve"> Docket No. 140239-WS, </w:t>
      </w:r>
      <w:r w:rsidRPr="0072589C">
        <w:rPr>
          <w:i/>
        </w:rPr>
        <w:t xml:space="preserve">In re: </w:t>
      </w:r>
      <w:r w:rsidRPr="00432C1F">
        <w:rPr>
          <w:i/>
        </w:rPr>
        <w:t>Application for staff-assisted rate case in Polk County by Orchid Springs Development Corporation.</w:t>
      </w:r>
    </w:p>
  </w:footnote>
  <w:footnote w:id="7">
    <w:p w:rsidR="00C74AD7" w:rsidRPr="00DA029B" w:rsidRDefault="00C74AD7" w:rsidP="00ED471C">
      <w:pPr>
        <w:pStyle w:val="FootnoteText"/>
        <w:rPr>
          <w:i/>
        </w:rPr>
      </w:pPr>
      <w:r>
        <w:rPr>
          <w:rStyle w:val="FootnoteReference"/>
        </w:rPr>
        <w:footnoteRef/>
      </w:r>
      <w:r>
        <w:t xml:space="preserve"> </w:t>
      </w:r>
      <w:r w:rsidRPr="00DA029B">
        <w:t>Order No. PSC-</w:t>
      </w:r>
      <w:r>
        <w:t>07</w:t>
      </w:r>
      <w:r w:rsidRPr="00DA029B">
        <w:t>-0</w:t>
      </w:r>
      <w:r>
        <w:t>865</w:t>
      </w:r>
      <w:r w:rsidRPr="00DA029B">
        <w:t xml:space="preserve">-PAA-WS, issued </w:t>
      </w:r>
      <w:r>
        <w:t>October 29</w:t>
      </w:r>
      <w:r w:rsidRPr="00DA029B">
        <w:t>, 20</w:t>
      </w:r>
      <w:r>
        <w:t>07</w:t>
      </w:r>
      <w:r w:rsidRPr="00DA029B">
        <w:t xml:space="preserve">, in Docket No. </w:t>
      </w:r>
      <w:r>
        <w:t>060285</w:t>
      </w:r>
      <w:r w:rsidRPr="00DA029B">
        <w:t xml:space="preserve">-WS, </w:t>
      </w:r>
      <w:r w:rsidRPr="00DA029B">
        <w:rPr>
          <w:i/>
        </w:rPr>
        <w:t>In re: Application for increase in wastewater rates in Charlotte County by Utilities, Inc. of Sandalhaven, pages 23-26.</w:t>
      </w:r>
    </w:p>
  </w:footnote>
  <w:footnote w:id="8">
    <w:p w:rsidR="00C74AD7" w:rsidRDefault="00C74AD7" w:rsidP="00ED471C">
      <w:pPr>
        <w:pStyle w:val="FootnoteText"/>
      </w:pPr>
      <w:r>
        <w:rPr>
          <w:rStyle w:val="FootnoteReference"/>
        </w:rPr>
        <w:footnoteRef/>
      </w:r>
      <w:r>
        <w:t xml:space="preserve"> Order No. PSC-15-0208-PAA-WS, issued May 26, 2015, in Docket No. 140135-WS, </w:t>
      </w:r>
      <w:r w:rsidRPr="00DA029B">
        <w:rPr>
          <w:i/>
        </w:rPr>
        <w:t>In re: Application for increase in water and wastewater rates in Pasco County by Labrador Utilities, Inc., pages 14-15.</w:t>
      </w:r>
    </w:p>
  </w:footnote>
  <w:footnote w:id="9">
    <w:p w:rsidR="00C74AD7" w:rsidRDefault="00C74AD7">
      <w:pPr>
        <w:pStyle w:val="FootnoteText"/>
      </w:pPr>
      <w:r>
        <w:rPr>
          <w:rStyle w:val="FootnoteReference"/>
        </w:rPr>
        <w:footnoteRef/>
      </w:r>
      <w:r>
        <w:t xml:space="preserve"> Id.</w:t>
      </w:r>
    </w:p>
  </w:footnote>
  <w:footnote w:id="10">
    <w:p w:rsidR="00C74AD7" w:rsidRDefault="00C74AD7">
      <w:pPr>
        <w:pStyle w:val="FootnoteText"/>
      </w:pPr>
      <w:r>
        <w:rPr>
          <w:rStyle w:val="FootnoteReference"/>
        </w:rPr>
        <w:footnoteRef/>
      </w:r>
      <w:r>
        <w:t xml:space="preserve"> Id</w:t>
      </w:r>
    </w:p>
  </w:footnote>
  <w:footnote w:id="11">
    <w:p w:rsidR="00C74AD7" w:rsidRPr="00DA029B" w:rsidRDefault="00C74AD7" w:rsidP="003E4A0F">
      <w:pPr>
        <w:pStyle w:val="FootnoteText"/>
        <w:rPr>
          <w:i/>
        </w:rPr>
      </w:pPr>
      <w:r>
        <w:rPr>
          <w:rStyle w:val="FootnoteReference"/>
        </w:rPr>
        <w:footnoteRef/>
      </w:r>
      <w:r>
        <w:t xml:space="preserve"> </w:t>
      </w:r>
      <w:r w:rsidRPr="00DA029B">
        <w:t xml:space="preserve">Order No. PSC-15-0208-PAA-WS, issued May 26, 2015, in Docket No. 140135-WS, </w:t>
      </w:r>
      <w:r w:rsidRPr="00DA029B">
        <w:rPr>
          <w:i/>
        </w:rPr>
        <w:t>In re: Application for increase in water and wastewater rates in Pasco County by Labrador Utilities, Inc.</w:t>
      </w:r>
    </w:p>
  </w:footnote>
  <w:footnote w:id="12">
    <w:p w:rsidR="00C74AD7" w:rsidRPr="00281A51" w:rsidRDefault="00C74AD7" w:rsidP="003E4A0F">
      <w:pPr>
        <w:pStyle w:val="FootnoteText"/>
        <w:rPr>
          <w:i/>
        </w:rPr>
      </w:pPr>
      <w:r>
        <w:rPr>
          <w:rStyle w:val="FootnoteReference"/>
        </w:rPr>
        <w:footnoteRef/>
      </w:r>
      <w:r>
        <w:t xml:space="preserve"> </w:t>
      </w:r>
      <w:r w:rsidRPr="00281A51">
        <w:t xml:space="preserve">Order No. PSC-14-0521-FOF-WS, issued Sept. 30, 2014, in Docket 120161-WS, </w:t>
      </w:r>
      <w:r w:rsidRPr="00281A51">
        <w:rPr>
          <w:i/>
        </w:rPr>
        <w:t>In re: Analysis of Utilities, Inc.’s financial accounting and customer service computer system, p. 19.</w:t>
      </w:r>
    </w:p>
  </w:footnote>
  <w:footnote w:id="13">
    <w:p w:rsidR="00C74AD7" w:rsidRDefault="00C74AD7" w:rsidP="00286698">
      <w:pPr>
        <w:pStyle w:val="FootnoteText"/>
      </w:pPr>
      <w:r>
        <w:rPr>
          <w:rStyle w:val="FootnoteReference"/>
        </w:rPr>
        <w:footnoteRef/>
      </w:r>
      <w:r>
        <w:t xml:space="preserve"> Order Nos. PSC-05-0624-PAA-WS, issued June 7, 2005, in Docket No. 040450-WS, </w:t>
      </w:r>
      <w:r w:rsidRPr="00EF7D95">
        <w:rPr>
          <w:i/>
        </w:rPr>
        <w:t>In re:  Application for rate increase in Martin County by Indiantown Company, Inc.;</w:t>
      </w:r>
      <w:r>
        <w:t xml:space="preserve"> and PSC-01-0326-FOF-SU, issued February 6, 2001, in Docket No. 991643-SU, </w:t>
      </w:r>
      <w:r w:rsidRPr="00EF7D95">
        <w:rPr>
          <w:i/>
        </w:rPr>
        <w:t>In re: Application for increase in wastewater rates in Seven Springs System in Pasco County by Aloha Utilities, Inc.</w:t>
      </w:r>
    </w:p>
  </w:footnote>
  <w:footnote w:id="14">
    <w:p w:rsidR="00C74AD7" w:rsidRDefault="00C74AD7" w:rsidP="00286698">
      <w:pPr>
        <w:pStyle w:val="FootnoteText"/>
      </w:pPr>
      <w:r>
        <w:rPr>
          <w:rStyle w:val="FootnoteReference"/>
        </w:rPr>
        <w:footnoteRef/>
      </w:r>
      <w:r>
        <w:t xml:space="preserve"> Beginning January 1, 2015, the hourly rate increased based upon the application of the Price Index since hourly rates were last adjusted. This results in a new hourly rate of $360.</w:t>
      </w:r>
    </w:p>
  </w:footnote>
  <w:footnote w:id="15">
    <w:p w:rsidR="00C74AD7" w:rsidRPr="00DD3D5C" w:rsidRDefault="00C74AD7" w:rsidP="00286698">
      <w:pPr>
        <w:pStyle w:val="FootnoteText"/>
      </w:pPr>
      <w:r>
        <w:rPr>
          <w:rStyle w:val="FootnoteReference"/>
        </w:rPr>
        <w:footnoteRef/>
      </w:r>
      <w:r>
        <w:t xml:space="preserve"> Order No. PSC-15-0233-PAA-WS, issued June 3, 2015, in Docket No. 140060-WS, </w:t>
      </w:r>
      <w:r w:rsidRPr="00DD3D5C">
        <w:rPr>
          <w:i/>
        </w:rPr>
        <w:t>In re: Application for increase in water and wastewater rates in Seminole County by Sanlando Utilities Company</w:t>
      </w:r>
      <w:r>
        <w:t xml:space="preserve">; and PSC-15-0208-PAA-WS, issued May 26, 2015, in Docket No. 140135-WS, </w:t>
      </w:r>
      <w:r w:rsidRPr="00767A28">
        <w:rPr>
          <w:i/>
        </w:rPr>
        <w:t>In re: Application for increase in water/wastewater rates in Pasco County by Labrador Utilities, Inc.</w:t>
      </w:r>
    </w:p>
  </w:footnote>
  <w:footnote w:id="16">
    <w:p w:rsidR="00C74AD7" w:rsidRPr="001948FF" w:rsidRDefault="00C74AD7" w:rsidP="00286698">
      <w:pPr>
        <w:pStyle w:val="FootnoteText"/>
        <w:rPr>
          <w:i/>
        </w:rPr>
      </w:pPr>
      <w:r>
        <w:rPr>
          <w:rStyle w:val="FootnoteReference"/>
        </w:rPr>
        <w:footnoteRef/>
      </w:r>
      <w:r>
        <w:t xml:space="preserve"> Order No. PSC-14-0025-PAA-WS issued January 10, 2014, in Docket No. 120209-WS, </w:t>
      </w:r>
      <w:r w:rsidRPr="001948FF">
        <w:rPr>
          <w:i/>
        </w:rPr>
        <w:t>In re: Application for increase in water and wastewater rates in Marion, Orange, Pasco, Pinellas, and Seminole Counties by Utilities, Inc. of Florida.</w:t>
      </w:r>
    </w:p>
  </w:footnote>
  <w:footnote w:id="17">
    <w:p w:rsidR="00C74AD7" w:rsidRDefault="00C74AD7" w:rsidP="00286698">
      <w:pPr>
        <w:pStyle w:val="FootnoteText"/>
      </w:pPr>
      <w:r>
        <w:rPr>
          <w:rStyle w:val="FootnoteReference"/>
        </w:rPr>
        <w:footnoteRef/>
      </w:r>
      <w:r>
        <w:t xml:space="preserve"> Order No. PSC-14-0521-FOF-WS, issued Sept. 30, 2014, in Docket 120161-WS, </w:t>
      </w:r>
      <w:r w:rsidRPr="003676FF">
        <w:rPr>
          <w:i/>
        </w:rPr>
        <w:t>In re: Analysis of Utilities, Inc.’s financial accounting and customer service computer system</w:t>
      </w:r>
      <w:r w:rsidRPr="003676FF">
        <w:t>,</w:t>
      </w:r>
      <w:r>
        <w:t xml:space="preserve"> p. 19.</w:t>
      </w:r>
    </w:p>
  </w:footnote>
  <w:footnote w:id="18">
    <w:p w:rsidR="00C74AD7" w:rsidRDefault="00C74AD7" w:rsidP="00286698">
      <w:pPr>
        <w:pStyle w:val="FootnoteText"/>
      </w:pPr>
      <w:r>
        <w:rPr>
          <w:rStyle w:val="FootnoteReference"/>
        </w:rPr>
        <w:footnoteRef/>
      </w:r>
      <w:r w:rsidRPr="00F32F2A">
        <w:t xml:space="preserve"> </w:t>
      </w:r>
      <w:r>
        <w:t>Id</w:t>
      </w:r>
      <w:r w:rsidRPr="00C317E0">
        <w:t>.</w:t>
      </w:r>
    </w:p>
  </w:footnote>
  <w:footnote w:id="19">
    <w:p w:rsidR="00C74AD7" w:rsidRPr="00316C75" w:rsidRDefault="00C74AD7" w:rsidP="00876620">
      <w:pPr>
        <w:pStyle w:val="FootnoteText"/>
        <w:rPr>
          <w:i/>
        </w:rPr>
      </w:pPr>
      <w:r>
        <w:rPr>
          <w:rStyle w:val="FootnoteReference"/>
        </w:rPr>
        <w:footnoteRef/>
      </w:r>
      <w:r>
        <w:t xml:space="preserve"> Resolution 2012-209 before the Board of County Commissioners of Charlotte County, Florida, adopted November 13, 2012, </w:t>
      </w:r>
      <w:r w:rsidRPr="00316C75">
        <w:rPr>
          <w:i/>
        </w:rPr>
        <w:t>In re: Application of Utilities, Inc. of Sandalhaven for in increase in wastewater rates and charges.</w:t>
      </w:r>
    </w:p>
  </w:footnote>
  <w:footnote w:id="20">
    <w:p w:rsidR="00C74AD7" w:rsidRPr="00640DCA" w:rsidRDefault="00C74AD7" w:rsidP="005B21D3">
      <w:pPr>
        <w:pStyle w:val="FootnoteText"/>
      </w:pPr>
      <w:r w:rsidRPr="00AF69BF">
        <w:rPr>
          <w:rStyle w:val="FootnoteReference"/>
          <w:rFonts w:ascii="Arial" w:hAnsi="Arial" w:cs="Arial"/>
        </w:rPr>
        <w:footnoteRef/>
      </w:r>
      <w:r w:rsidRPr="007006B5">
        <w:t>Order No</w:t>
      </w:r>
      <w:r>
        <w:t>s</w:t>
      </w:r>
      <w:r w:rsidRPr="007006B5">
        <w:t xml:space="preserve">. PSC-13-0611-PAA-WS, issued November 19, 2013, in Docket No. 130010-WS, </w:t>
      </w:r>
      <w:r w:rsidRPr="007006B5">
        <w:rPr>
          <w:i/>
        </w:rPr>
        <w:t>In re: Application for increase in water rates in Lee County and wastewater rates in Pasco County by Ni Florida, LLC</w:t>
      </w:r>
      <w:r>
        <w:rPr>
          <w:i/>
        </w:rPr>
        <w:t xml:space="preserve">. </w:t>
      </w:r>
      <w:r>
        <w:t xml:space="preserve">and </w:t>
      </w:r>
      <w:r w:rsidRPr="007006B5">
        <w:t xml:space="preserve">PSC-14-0016-TRF-WU, issued January 6, 2014, in Docket No. 130251-WU,  </w:t>
      </w:r>
      <w:r w:rsidRPr="007006B5">
        <w:rPr>
          <w:i/>
        </w:rPr>
        <w:t>In re: Application for approval of miscellaneous service charges in Pasco County, by Crestridge Utility Corporation</w:t>
      </w:r>
      <w:r w:rsidRPr="00D16BAA">
        <w:t>.</w:t>
      </w:r>
    </w:p>
  </w:footnote>
  <w:footnote w:id="21">
    <w:p w:rsidR="00C74AD7" w:rsidRPr="00AB2F2C" w:rsidRDefault="00C74AD7" w:rsidP="00581D71">
      <w:pPr>
        <w:pStyle w:val="FootnoteText"/>
        <w:rPr>
          <w:i/>
        </w:rPr>
      </w:pPr>
      <w:r>
        <w:rPr>
          <w:rStyle w:val="FootnoteReference"/>
        </w:rPr>
        <w:footnoteRef/>
      </w:r>
      <w:r>
        <w:t xml:space="preserve"> Order No. PSC-99-2114-PAA-SU, issued in October 25, 1999, in Docket No. 981221-SU, </w:t>
      </w:r>
      <w:r>
        <w:rPr>
          <w:i/>
        </w:rPr>
        <w:t xml:space="preserve">In re:  Application for transfer of Certificate No. 495-S in Charlotte County from Sandalhaven Utility, Inc. to Utilities, Inc. of Sandalhaven; </w:t>
      </w:r>
      <w:r>
        <w:t xml:space="preserve">Order No. PSC-02-0658-PAA-SU, issued in May 14, 2002, in Docket Nos. 931111-SU and 991812-SU, </w:t>
      </w:r>
      <w:r>
        <w:rPr>
          <w:i/>
        </w:rPr>
        <w:t>In re: Application for Certificate to operate wastewater utility in Franklin County by Resort Village Utility, Inc. and Application for transfer of Certificate No. 492-S in Franklin County from Resort Village Utility, Inc. to SGI Utility, LLC.</w:t>
      </w:r>
    </w:p>
  </w:footnote>
  <w:footnote w:id="22">
    <w:p w:rsidR="00C74AD7" w:rsidRDefault="00C74AD7" w:rsidP="00581D71">
      <w:pPr>
        <w:pStyle w:val="FootnoteText"/>
      </w:pPr>
      <w:r>
        <w:rPr>
          <w:rStyle w:val="FootnoteReference"/>
        </w:rPr>
        <w:footnoteRef/>
      </w:r>
      <w:r>
        <w:t xml:space="preserve"> Order No. 16625, issued, September 23, 1986, in Docket No. 861771-WS, </w:t>
      </w:r>
      <w:r w:rsidRPr="00D715F8">
        <w:rPr>
          <w:i/>
        </w:rPr>
        <w:t>In re: Petition of Edward Keohane for Declaratory Statement.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D7" w:rsidRDefault="00C74AD7" w:rsidP="00220732">
    <w:pPr>
      <w:pStyle w:val="Header"/>
      <w:tabs>
        <w:tab w:val="clear" w:pos="4320"/>
        <w:tab w:val="clear" w:pos="8640"/>
        <w:tab w:val="right" w:pos="9360"/>
      </w:tabs>
    </w:pPr>
    <w:bookmarkStart w:id="13" w:name="DocketLabel"/>
    <w:r>
      <w:t>Docket No.</w:t>
    </w:r>
    <w:bookmarkEnd w:id="13"/>
    <w:r>
      <w:t xml:space="preserve"> </w:t>
    </w:r>
    <w:bookmarkStart w:id="14" w:name="DocketList"/>
    <w:r>
      <w:t>150102-SU</w:t>
    </w:r>
    <w:bookmarkEnd w:id="14"/>
  </w:p>
  <w:p w:rsidR="00C74AD7" w:rsidRDefault="00C74AD7">
    <w:pPr>
      <w:pStyle w:val="Header"/>
    </w:pPr>
    <w:r>
      <w:t xml:space="preserve">Date: </w:t>
    </w:r>
    <w:r w:rsidR="006D42F5">
      <w:fldChar w:fldCharType="begin"/>
    </w:r>
    <w:r w:rsidR="006D42F5">
      <w:instrText xml:space="preserve"> REF FilingDate </w:instrText>
    </w:r>
    <w:r w:rsidR="006D42F5">
      <w:fldChar w:fldCharType="separate"/>
    </w:r>
    <w:r w:rsidR="00A05B79" w:rsidRPr="00A438A0">
      <w:t>November 18, 2015</w:t>
    </w:r>
    <w:r w:rsidR="006D42F5">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D7" w:rsidRDefault="00C74AD7" w:rsidP="00220732">
    <w:pPr>
      <w:pStyle w:val="Header"/>
      <w:tabs>
        <w:tab w:val="clear" w:pos="4320"/>
        <w:tab w:val="clear" w:pos="8640"/>
        <w:tab w:val="right" w:pos="9360"/>
      </w:tabs>
    </w:pPr>
    <w:r>
      <w:fldChar w:fldCharType="begin"/>
    </w:r>
    <w:r>
      <w:instrText xml:space="preserve"> REF DocketLabel</w:instrText>
    </w:r>
    <w:r>
      <w:fldChar w:fldCharType="separate"/>
    </w:r>
    <w:r w:rsidR="00A05B79">
      <w:t>Docket No.</w:t>
    </w:r>
    <w:r>
      <w:fldChar w:fldCharType="end"/>
    </w:r>
    <w:r>
      <w:t xml:space="preserve"> </w:t>
    </w:r>
    <w:r>
      <w:fldChar w:fldCharType="begin"/>
    </w:r>
    <w:r>
      <w:instrText xml:space="preserve"> REF DocketList</w:instrText>
    </w:r>
    <w:r>
      <w:fldChar w:fldCharType="separate"/>
    </w:r>
    <w:r w:rsidR="00A05B79">
      <w:t>150102-SU</w:t>
    </w:r>
    <w:r>
      <w:fldChar w:fldCharType="end"/>
    </w:r>
    <w:r>
      <w:tab/>
      <w:t xml:space="preserve">Issue </w:t>
    </w:r>
    <w:r w:rsidR="006D42F5">
      <w:fldChar w:fldCharType="begin"/>
    </w:r>
    <w:r w:rsidR="006D42F5">
      <w:instrText xml:space="preserve"> Seq Issue \c \* Arabic </w:instrText>
    </w:r>
    <w:r w:rsidR="006D42F5">
      <w:fldChar w:fldCharType="separate"/>
    </w:r>
    <w:r w:rsidR="006D42F5">
      <w:rPr>
        <w:noProof/>
      </w:rPr>
      <w:t>23</w:t>
    </w:r>
    <w:r w:rsidR="006D42F5">
      <w:rPr>
        <w:noProof/>
      </w:rPr>
      <w:fldChar w:fldCharType="end"/>
    </w:r>
  </w:p>
  <w:p w:rsidR="00C74AD7" w:rsidRDefault="00C74AD7">
    <w:pPr>
      <w:pStyle w:val="Header"/>
    </w:pPr>
    <w:r>
      <w:t xml:space="preserve">Date: </w:t>
    </w:r>
    <w:r w:rsidR="006D42F5">
      <w:fldChar w:fldCharType="begin"/>
    </w:r>
    <w:r w:rsidR="006D42F5">
      <w:instrText xml:space="preserve"> REF FilingDate </w:instrText>
    </w:r>
    <w:r w:rsidR="006D42F5">
      <w:fldChar w:fldCharType="separate"/>
    </w:r>
    <w:r w:rsidR="00A05B79" w:rsidRPr="00A438A0">
      <w:t>November 18, 2015</w:t>
    </w:r>
    <w:r w:rsidR="006D42F5">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D7" w:rsidRDefault="00C74A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D7" w:rsidRDefault="00C74AD7" w:rsidP="00194C74">
    <w:pPr>
      <w:pStyle w:val="Header"/>
      <w:tabs>
        <w:tab w:val="clear" w:pos="4320"/>
        <w:tab w:val="clear" w:pos="8640"/>
        <w:tab w:val="right" w:pos="9360"/>
        <w:tab w:val="left" w:pos="11160"/>
      </w:tabs>
    </w:pPr>
    <w:r>
      <w:fldChar w:fldCharType="begin"/>
    </w:r>
    <w:r>
      <w:instrText xml:space="preserve"> REF DocketLabel</w:instrText>
    </w:r>
    <w:r>
      <w:fldChar w:fldCharType="separate"/>
    </w:r>
    <w:r w:rsidR="00A05B79">
      <w:t>Docket No.</w:t>
    </w:r>
    <w:r>
      <w:fldChar w:fldCharType="end"/>
    </w:r>
    <w:r>
      <w:t xml:space="preserve"> </w:t>
    </w:r>
    <w:r>
      <w:fldChar w:fldCharType="begin"/>
    </w:r>
    <w:r>
      <w:instrText xml:space="preserve"> REF DocketList</w:instrText>
    </w:r>
    <w:r>
      <w:fldChar w:fldCharType="separate"/>
    </w:r>
    <w:r w:rsidR="00A05B79">
      <w:t>150102-SU</w:t>
    </w:r>
    <w:r>
      <w:fldChar w:fldCharType="end"/>
    </w:r>
    <w:r>
      <w:tab/>
    </w:r>
    <w:r>
      <w:tab/>
      <w:t>Schedule No. 1</w:t>
    </w:r>
  </w:p>
  <w:p w:rsidR="00C74AD7" w:rsidRDefault="00C74AD7">
    <w:pPr>
      <w:pStyle w:val="Header"/>
    </w:pPr>
    <w:r>
      <w:t xml:space="preserve">Date: </w:t>
    </w:r>
    <w:r w:rsidR="006D42F5">
      <w:fldChar w:fldCharType="begin"/>
    </w:r>
    <w:r w:rsidR="006D42F5">
      <w:instrText xml:space="preserve"> REF FilingDate </w:instrText>
    </w:r>
    <w:r w:rsidR="006D42F5">
      <w:fldChar w:fldCharType="separate"/>
    </w:r>
    <w:r w:rsidR="00A05B79" w:rsidRPr="00A438A0">
      <w:t>November 18, 2015</w:t>
    </w:r>
    <w:r w:rsidR="006D42F5">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D7" w:rsidRDefault="00C74AD7" w:rsidP="00194C74">
    <w:pPr>
      <w:pStyle w:val="Header"/>
      <w:tabs>
        <w:tab w:val="clear" w:pos="4320"/>
        <w:tab w:val="clear" w:pos="8640"/>
        <w:tab w:val="right" w:pos="9360"/>
        <w:tab w:val="left" w:pos="11160"/>
      </w:tabs>
    </w:pPr>
    <w:r>
      <w:fldChar w:fldCharType="begin"/>
    </w:r>
    <w:r>
      <w:instrText xml:space="preserve"> REF DocketLabel</w:instrText>
    </w:r>
    <w:r>
      <w:fldChar w:fldCharType="separate"/>
    </w:r>
    <w:r w:rsidR="00A05B79">
      <w:t>Docket No.</w:t>
    </w:r>
    <w:r>
      <w:fldChar w:fldCharType="end"/>
    </w:r>
    <w:r>
      <w:t xml:space="preserve"> </w:t>
    </w:r>
    <w:r>
      <w:fldChar w:fldCharType="begin"/>
    </w:r>
    <w:r>
      <w:instrText xml:space="preserve"> REF DocketList</w:instrText>
    </w:r>
    <w:r>
      <w:fldChar w:fldCharType="separate"/>
    </w:r>
    <w:r w:rsidR="00A05B79">
      <w:t>150102-SU</w:t>
    </w:r>
    <w:r>
      <w:fldChar w:fldCharType="end"/>
    </w:r>
    <w:r>
      <w:tab/>
      <w:t>Schedule No. 1-A</w:t>
    </w:r>
  </w:p>
  <w:p w:rsidR="00C74AD7" w:rsidRDefault="00C74AD7">
    <w:pPr>
      <w:pStyle w:val="Header"/>
    </w:pPr>
    <w:r>
      <w:t xml:space="preserve">Date: </w:t>
    </w:r>
    <w:r w:rsidR="006D42F5">
      <w:fldChar w:fldCharType="begin"/>
    </w:r>
    <w:r w:rsidR="006D42F5">
      <w:instrText xml:space="preserve"> REF FilingDate </w:instrText>
    </w:r>
    <w:r w:rsidR="006D42F5">
      <w:fldChar w:fldCharType="separate"/>
    </w:r>
    <w:r w:rsidR="00A05B79" w:rsidRPr="00A438A0">
      <w:t>November 18, 2015</w:t>
    </w:r>
    <w:r w:rsidR="006D42F5">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D7" w:rsidRDefault="00C74AD7" w:rsidP="00194C74">
    <w:pPr>
      <w:pStyle w:val="Header"/>
      <w:tabs>
        <w:tab w:val="clear" w:pos="4320"/>
        <w:tab w:val="clear" w:pos="8640"/>
        <w:tab w:val="right" w:pos="9360"/>
        <w:tab w:val="left" w:pos="11160"/>
      </w:tabs>
    </w:pPr>
    <w:r>
      <w:fldChar w:fldCharType="begin"/>
    </w:r>
    <w:r>
      <w:instrText xml:space="preserve"> REF DocketLabel</w:instrText>
    </w:r>
    <w:r>
      <w:fldChar w:fldCharType="separate"/>
    </w:r>
    <w:r w:rsidR="00A05B79">
      <w:t>Docket No.</w:t>
    </w:r>
    <w:r>
      <w:fldChar w:fldCharType="end"/>
    </w:r>
    <w:r>
      <w:t xml:space="preserve"> </w:t>
    </w:r>
    <w:r>
      <w:fldChar w:fldCharType="begin"/>
    </w:r>
    <w:r>
      <w:instrText xml:space="preserve"> REF DocketList</w:instrText>
    </w:r>
    <w:r>
      <w:fldChar w:fldCharType="separate"/>
    </w:r>
    <w:r w:rsidR="00A05B79">
      <w:t>150102-SU</w:t>
    </w:r>
    <w:r>
      <w:fldChar w:fldCharType="end"/>
    </w:r>
    <w:r>
      <w:tab/>
    </w:r>
    <w:r>
      <w:tab/>
      <w:t>Schedule No. 2</w:t>
    </w:r>
  </w:p>
  <w:p w:rsidR="00C74AD7" w:rsidRDefault="00C74AD7">
    <w:pPr>
      <w:pStyle w:val="Header"/>
    </w:pPr>
    <w:r>
      <w:t xml:space="preserve">Date: </w:t>
    </w:r>
    <w:r w:rsidR="006D42F5">
      <w:fldChar w:fldCharType="begin"/>
    </w:r>
    <w:r w:rsidR="006D42F5">
      <w:instrText xml:space="preserve"> REF FilingDate </w:instrText>
    </w:r>
    <w:r w:rsidR="006D42F5">
      <w:fldChar w:fldCharType="separate"/>
    </w:r>
    <w:r w:rsidR="00A05B79" w:rsidRPr="00A438A0">
      <w:t>November 18, 2015</w:t>
    </w:r>
    <w:r w:rsidR="006D42F5">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D7" w:rsidRDefault="00C74AD7" w:rsidP="00194C74">
    <w:pPr>
      <w:pStyle w:val="Header"/>
      <w:tabs>
        <w:tab w:val="clear" w:pos="4320"/>
        <w:tab w:val="clear" w:pos="8640"/>
        <w:tab w:val="right" w:pos="9360"/>
        <w:tab w:val="left" w:pos="11160"/>
      </w:tabs>
    </w:pPr>
    <w:r>
      <w:fldChar w:fldCharType="begin"/>
    </w:r>
    <w:r>
      <w:instrText xml:space="preserve"> REF DocketLabel</w:instrText>
    </w:r>
    <w:r>
      <w:fldChar w:fldCharType="separate"/>
    </w:r>
    <w:r w:rsidR="00A05B79">
      <w:t>Docket No.</w:t>
    </w:r>
    <w:r>
      <w:fldChar w:fldCharType="end"/>
    </w:r>
    <w:r>
      <w:t xml:space="preserve"> </w:t>
    </w:r>
    <w:r>
      <w:fldChar w:fldCharType="begin"/>
    </w:r>
    <w:r>
      <w:instrText xml:space="preserve"> REF DocketList</w:instrText>
    </w:r>
    <w:r>
      <w:fldChar w:fldCharType="separate"/>
    </w:r>
    <w:r w:rsidR="00A05B79">
      <w:t>150102-SU</w:t>
    </w:r>
    <w:r>
      <w:fldChar w:fldCharType="end"/>
    </w:r>
    <w:r>
      <w:tab/>
    </w:r>
    <w:r>
      <w:tab/>
      <w:t>Schedule No. 3</w:t>
    </w:r>
  </w:p>
  <w:p w:rsidR="00C74AD7" w:rsidRDefault="00C74AD7">
    <w:pPr>
      <w:pStyle w:val="Header"/>
    </w:pPr>
    <w:r>
      <w:t xml:space="preserve">Date: </w:t>
    </w:r>
    <w:r w:rsidR="006D42F5">
      <w:fldChar w:fldCharType="begin"/>
    </w:r>
    <w:r w:rsidR="006D42F5">
      <w:instrText xml:space="preserve"> REF FilingDate </w:instrText>
    </w:r>
    <w:r w:rsidR="006D42F5">
      <w:fldChar w:fldCharType="separate"/>
    </w:r>
    <w:r w:rsidR="00A05B79" w:rsidRPr="00A438A0">
      <w:t>November 18, 2015</w:t>
    </w:r>
    <w:r w:rsidR="006D42F5">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D7" w:rsidRDefault="00C74AD7" w:rsidP="00194C74">
    <w:pPr>
      <w:pStyle w:val="Header"/>
      <w:tabs>
        <w:tab w:val="clear" w:pos="4320"/>
        <w:tab w:val="clear" w:pos="8640"/>
        <w:tab w:val="left" w:pos="6930"/>
        <w:tab w:val="right" w:pos="9360"/>
      </w:tabs>
    </w:pPr>
    <w:r>
      <w:fldChar w:fldCharType="begin"/>
    </w:r>
    <w:r>
      <w:instrText xml:space="preserve"> REF DocketLabel</w:instrText>
    </w:r>
    <w:r>
      <w:fldChar w:fldCharType="separate"/>
    </w:r>
    <w:r w:rsidR="00A05B79">
      <w:t>Docket No.</w:t>
    </w:r>
    <w:r>
      <w:fldChar w:fldCharType="end"/>
    </w:r>
    <w:r>
      <w:t xml:space="preserve"> </w:t>
    </w:r>
    <w:r>
      <w:fldChar w:fldCharType="begin"/>
    </w:r>
    <w:r>
      <w:instrText xml:space="preserve"> REF DocketList</w:instrText>
    </w:r>
    <w:r>
      <w:fldChar w:fldCharType="separate"/>
    </w:r>
    <w:r w:rsidR="00A05B79">
      <w:t>150102-SU</w:t>
    </w:r>
    <w:r>
      <w:fldChar w:fldCharType="end"/>
    </w:r>
    <w:r>
      <w:tab/>
      <w:t>Schedule No. 3-A</w:t>
    </w:r>
  </w:p>
  <w:p w:rsidR="00C74AD7" w:rsidRDefault="00C74AD7">
    <w:pPr>
      <w:pStyle w:val="Header"/>
    </w:pPr>
    <w:r>
      <w:t xml:space="preserve">Date: </w:t>
    </w:r>
    <w:r w:rsidR="006D42F5">
      <w:fldChar w:fldCharType="begin"/>
    </w:r>
    <w:r w:rsidR="006D42F5">
      <w:instrText xml:space="preserve"> REF FilingDate </w:instrText>
    </w:r>
    <w:r w:rsidR="006D42F5">
      <w:fldChar w:fldCharType="separate"/>
    </w:r>
    <w:r w:rsidR="00A05B79" w:rsidRPr="00A438A0">
      <w:t>November 18, 2015</w:t>
    </w:r>
    <w:r w:rsidR="006D42F5">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D7" w:rsidRDefault="00C74AD7" w:rsidP="00194C74">
    <w:pPr>
      <w:pStyle w:val="Header"/>
      <w:tabs>
        <w:tab w:val="clear" w:pos="4320"/>
        <w:tab w:val="clear" w:pos="8640"/>
        <w:tab w:val="left" w:pos="11340"/>
        <w:tab w:val="right" w:pos="12420"/>
      </w:tabs>
    </w:pPr>
    <w:r>
      <w:fldChar w:fldCharType="begin"/>
    </w:r>
    <w:r>
      <w:instrText xml:space="preserve"> REF DocketLabel</w:instrText>
    </w:r>
    <w:r>
      <w:fldChar w:fldCharType="separate"/>
    </w:r>
    <w:r w:rsidR="00A05B79">
      <w:t>Docket No.</w:t>
    </w:r>
    <w:r>
      <w:fldChar w:fldCharType="end"/>
    </w:r>
    <w:r>
      <w:t xml:space="preserve"> </w:t>
    </w:r>
    <w:r>
      <w:fldChar w:fldCharType="begin"/>
    </w:r>
    <w:r>
      <w:instrText xml:space="preserve"> REF DocketList</w:instrText>
    </w:r>
    <w:r>
      <w:fldChar w:fldCharType="separate"/>
    </w:r>
    <w:r w:rsidR="00A05B79">
      <w:t>150102-SU</w:t>
    </w:r>
    <w:r>
      <w:fldChar w:fldCharType="end"/>
    </w:r>
    <w:r>
      <w:tab/>
      <w:t>Schedule No. 4</w:t>
    </w:r>
  </w:p>
  <w:p w:rsidR="00C74AD7" w:rsidRDefault="00C74AD7">
    <w:pPr>
      <w:pStyle w:val="Header"/>
    </w:pPr>
    <w:r>
      <w:t xml:space="preserve">Date: </w:t>
    </w:r>
    <w:r w:rsidR="006D42F5">
      <w:fldChar w:fldCharType="begin"/>
    </w:r>
    <w:r w:rsidR="006D42F5">
      <w:instrText xml:space="preserve"> REF FilingDate </w:instrText>
    </w:r>
    <w:r w:rsidR="006D42F5">
      <w:fldChar w:fldCharType="separate"/>
    </w:r>
    <w:r w:rsidR="00A05B79" w:rsidRPr="00A438A0">
      <w:t>November 18, 2015</w:t>
    </w:r>
    <w:r w:rsidR="006D42F5">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DoubleSpaceTOC" w:val="False"/>
    <w:docVar w:name="NumberOfIssues" w:val="0"/>
    <w:docVar w:name="StaffInToC" w:val="True"/>
  </w:docVars>
  <w:rsids>
    <w:rsidRoot w:val="00F1477D"/>
    <w:rsid w:val="00010E37"/>
    <w:rsid w:val="0002452D"/>
    <w:rsid w:val="000277C2"/>
    <w:rsid w:val="00027835"/>
    <w:rsid w:val="00030F19"/>
    <w:rsid w:val="00035188"/>
    <w:rsid w:val="00035B48"/>
    <w:rsid w:val="00036CE2"/>
    <w:rsid w:val="000437FE"/>
    <w:rsid w:val="00043B28"/>
    <w:rsid w:val="00050298"/>
    <w:rsid w:val="0005252B"/>
    <w:rsid w:val="0005408E"/>
    <w:rsid w:val="00065A06"/>
    <w:rsid w:val="000666F3"/>
    <w:rsid w:val="00070618"/>
    <w:rsid w:val="00070DCB"/>
    <w:rsid w:val="00073120"/>
    <w:rsid w:val="000828D3"/>
    <w:rsid w:val="00083B7F"/>
    <w:rsid w:val="00084F97"/>
    <w:rsid w:val="00087FAD"/>
    <w:rsid w:val="000979DC"/>
    <w:rsid w:val="000A166F"/>
    <w:rsid w:val="000A2B57"/>
    <w:rsid w:val="000A418B"/>
    <w:rsid w:val="000B7F66"/>
    <w:rsid w:val="000C2850"/>
    <w:rsid w:val="000C4431"/>
    <w:rsid w:val="000C4E2A"/>
    <w:rsid w:val="000D0CBC"/>
    <w:rsid w:val="000D1B65"/>
    <w:rsid w:val="000D4319"/>
    <w:rsid w:val="000E0A9A"/>
    <w:rsid w:val="000E6F90"/>
    <w:rsid w:val="000F374A"/>
    <w:rsid w:val="000F4434"/>
    <w:rsid w:val="00101DB3"/>
    <w:rsid w:val="001068E7"/>
    <w:rsid w:val="00117C8C"/>
    <w:rsid w:val="00124E2E"/>
    <w:rsid w:val="00125ED4"/>
    <w:rsid w:val="001305E9"/>
    <w:rsid w:val="001307AF"/>
    <w:rsid w:val="00131423"/>
    <w:rsid w:val="001325F2"/>
    <w:rsid w:val="0013271C"/>
    <w:rsid w:val="00135687"/>
    <w:rsid w:val="00145E74"/>
    <w:rsid w:val="00146CA1"/>
    <w:rsid w:val="001716E0"/>
    <w:rsid w:val="00174270"/>
    <w:rsid w:val="00180254"/>
    <w:rsid w:val="00183DCF"/>
    <w:rsid w:val="00190094"/>
    <w:rsid w:val="00191E1F"/>
    <w:rsid w:val="00192943"/>
    <w:rsid w:val="00194C74"/>
    <w:rsid w:val="001977F3"/>
    <w:rsid w:val="00197909"/>
    <w:rsid w:val="001A7406"/>
    <w:rsid w:val="001B3731"/>
    <w:rsid w:val="001B3EF1"/>
    <w:rsid w:val="001B4558"/>
    <w:rsid w:val="001B4FEE"/>
    <w:rsid w:val="001B51C5"/>
    <w:rsid w:val="001B6F3F"/>
    <w:rsid w:val="001B6F77"/>
    <w:rsid w:val="001C52B5"/>
    <w:rsid w:val="001D0D3E"/>
    <w:rsid w:val="001D72B7"/>
    <w:rsid w:val="001E5CEA"/>
    <w:rsid w:val="001E6F78"/>
    <w:rsid w:val="001F2245"/>
    <w:rsid w:val="001F6DA1"/>
    <w:rsid w:val="002044E6"/>
    <w:rsid w:val="00205C82"/>
    <w:rsid w:val="00205DC2"/>
    <w:rsid w:val="002163B6"/>
    <w:rsid w:val="00220604"/>
    <w:rsid w:val="00220732"/>
    <w:rsid w:val="00221D32"/>
    <w:rsid w:val="00225C3F"/>
    <w:rsid w:val="00225F77"/>
    <w:rsid w:val="00232AAA"/>
    <w:rsid w:val="002347FA"/>
    <w:rsid w:val="00242BC7"/>
    <w:rsid w:val="00254FC7"/>
    <w:rsid w:val="00260E0A"/>
    <w:rsid w:val="00263D44"/>
    <w:rsid w:val="00264739"/>
    <w:rsid w:val="00283725"/>
    <w:rsid w:val="00286698"/>
    <w:rsid w:val="0028795C"/>
    <w:rsid w:val="00292D82"/>
    <w:rsid w:val="002963CB"/>
    <w:rsid w:val="002A1B55"/>
    <w:rsid w:val="002A37C8"/>
    <w:rsid w:val="002A7BA3"/>
    <w:rsid w:val="002C06F9"/>
    <w:rsid w:val="002C1F29"/>
    <w:rsid w:val="002C5CF6"/>
    <w:rsid w:val="002D08BD"/>
    <w:rsid w:val="002D226D"/>
    <w:rsid w:val="002D2AC6"/>
    <w:rsid w:val="002D4B21"/>
    <w:rsid w:val="002D642C"/>
    <w:rsid w:val="002D65F7"/>
    <w:rsid w:val="002D668C"/>
    <w:rsid w:val="002E2C87"/>
    <w:rsid w:val="002E462D"/>
    <w:rsid w:val="002E769D"/>
    <w:rsid w:val="002E7BB6"/>
    <w:rsid w:val="002F2AF2"/>
    <w:rsid w:val="002F6030"/>
    <w:rsid w:val="00301343"/>
    <w:rsid w:val="003037E1"/>
    <w:rsid w:val="00307E51"/>
    <w:rsid w:val="003103EC"/>
    <w:rsid w:val="00311D19"/>
    <w:rsid w:val="003144EF"/>
    <w:rsid w:val="00315DBB"/>
    <w:rsid w:val="00315E6E"/>
    <w:rsid w:val="003213E3"/>
    <w:rsid w:val="00322F74"/>
    <w:rsid w:val="00323787"/>
    <w:rsid w:val="00323E4B"/>
    <w:rsid w:val="00331D4D"/>
    <w:rsid w:val="00340073"/>
    <w:rsid w:val="00342E57"/>
    <w:rsid w:val="00347357"/>
    <w:rsid w:val="00360C88"/>
    <w:rsid w:val="00361054"/>
    <w:rsid w:val="00363C24"/>
    <w:rsid w:val="00372805"/>
    <w:rsid w:val="00373180"/>
    <w:rsid w:val="00375AB9"/>
    <w:rsid w:val="003821A0"/>
    <w:rsid w:val="00385B04"/>
    <w:rsid w:val="003862F9"/>
    <w:rsid w:val="003A22A6"/>
    <w:rsid w:val="003A5494"/>
    <w:rsid w:val="003A6BE6"/>
    <w:rsid w:val="003A7ACA"/>
    <w:rsid w:val="003B0ACE"/>
    <w:rsid w:val="003B2510"/>
    <w:rsid w:val="003B3B8F"/>
    <w:rsid w:val="003C2CC4"/>
    <w:rsid w:val="003D3701"/>
    <w:rsid w:val="003E0EFC"/>
    <w:rsid w:val="003E1F60"/>
    <w:rsid w:val="003E4A0F"/>
    <w:rsid w:val="003E4A2B"/>
    <w:rsid w:val="003E59F9"/>
    <w:rsid w:val="003E76C2"/>
    <w:rsid w:val="003F1679"/>
    <w:rsid w:val="003F4A35"/>
    <w:rsid w:val="003F4C6F"/>
    <w:rsid w:val="003F7163"/>
    <w:rsid w:val="003F725F"/>
    <w:rsid w:val="003F7AA5"/>
    <w:rsid w:val="003F7FDD"/>
    <w:rsid w:val="00400BA4"/>
    <w:rsid w:val="00401AB0"/>
    <w:rsid w:val="00402481"/>
    <w:rsid w:val="004042B4"/>
    <w:rsid w:val="00405281"/>
    <w:rsid w:val="004062F7"/>
    <w:rsid w:val="00410D81"/>
    <w:rsid w:val="00412DAE"/>
    <w:rsid w:val="00413269"/>
    <w:rsid w:val="00423DCC"/>
    <w:rsid w:val="00431598"/>
    <w:rsid w:val="00444432"/>
    <w:rsid w:val="00465337"/>
    <w:rsid w:val="00467811"/>
    <w:rsid w:val="00471860"/>
    <w:rsid w:val="00474448"/>
    <w:rsid w:val="004852F5"/>
    <w:rsid w:val="0049159A"/>
    <w:rsid w:val="004923C2"/>
    <w:rsid w:val="004A0232"/>
    <w:rsid w:val="004A3A9E"/>
    <w:rsid w:val="004A428F"/>
    <w:rsid w:val="004B275C"/>
    <w:rsid w:val="004B50E5"/>
    <w:rsid w:val="004B5F83"/>
    <w:rsid w:val="004C1ED9"/>
    <w:rsid w:val="004C3150"/>
    <w:rsid w:val="004C3172"/>
    <w:rsid w:val="004C3641"/>
    <w:rsid w:val="004C4390"/>
    <w:rsid w:val="004C4AF7"/>
    <w:rsid w:val="004D1D60"/>
    <w:rsid w:val="004D2881"/>
    <w:rsid w:val="004D385F"/>
    <w:rsid w:val="004D446E"/>
    <w:rsid w:val="004D5B39"/>
    <w:rsid w:val="004E5147"/>
    <w:rsid w:val="004F34CE"/>
    <w:rsid w:val="00500A32"/>
    <w:rsid w:val="00504DDC"/>
    <w:rsid w:val="00505DA1"/>
    <w:rsid w:val="00506C03"/>
    <w:rsid w:val="005125E7"/>
    <w:rsid w:val="00514D60"/>
    <w:rsid w:val="00517CD1"/>
    <w:rsid w:val="0052572A"/>
    <w:rsid w:val="00525E30"/>
    <w:rsid w:val="00535AF4"/>
    <w:rsid w:val="00540649"/>
    <w:rsid w:val="00543CB3"/>
    <w:rsid w:val="00543D28"/>
    <w:rsid w:val="005527E3"/>
    <w:rsid w:val="00554AAE"/>
    <w:rsid w:val="005614BD"/>
    <w:rsid w:val="005628AB"/>
    <w:rsid w:val="00567134"/>
    <w:rsid w:val="0057154F"/>
    <w:rsid w:val="00574262"/>
    <w:rsid w:val="00581CA3"/>
    <w:rsid w:val="00581D71"/>
    <w:rsid w:val="00583542"/>
    <w:rsid w:val="00585270"/>
    <w:rsid w:val="00595C61"/>
    <w:rsid w:val="00597730"/>
    <w:rsid w:val="00597DE7"/>
    <w:rsid w:val="005A0289"/>
    <w:rsid w:val="005A246D"/>
    <w:rsid w:val="005A3E45"/>
    <w:rsid w:val="005A4AA2"/>
    <w:rsid w:val="005A7B84"/>
    <w:rsid w:val="005B0C85"/>
    <w:rsid w:val="005B21D3"/>
    <w:rsid w:val="005B34B6"/>
    <w:rsid w:val="005B5701"/>
    <w:rsid w:val="005B6C8F"/>
    <w:rsid w:val="005B6D34"/>
    <w:rsid w:val="005B7BD1"/>
    <w:rsid w:val="005C153D"/>
    <w:rsid w:val="005C2661"/>
    <w:rsid w:val="005C36E9"/>
    <w:rsid w:val="005C38E7"/>
    <w:rsid w:val="005C6789"/>
    <w:rsid w:val="005D0F74"/>
    <w:rsid w:val="005D2E7D"/>
    <w:rsid w:val="005D39B1"/>
    <w:rsid w:val="005D4A8F"/>
    <w:rsid w:val="005D561B"/>
    <w:rsid w:val="005D5829"/>
    <w:rsid w:val="005F468D"/>
    <w:rsid w:val="005F69A3"/>
    <w:rsid w:val="00600907"/>
    <w:rsid w:val="0061118C"/>
    <w:rsid w:val="00615423"/>
    <w:rsid w:val="006165B2"/>
    <w:rsid w:val="00617276"/>
    <w:rsid w:val="006243EC"/>
    <w:rsid w:val="00625D97"/>
    <w:rsid w:val="00625F1C"/>
    <w:rsid w:val="00630CEB"/>
    <w:rsid w:val="00632264"/>
    <w:rsid w:val="00635771"/>
    <w:rsid w:val="0064327D"/>
    <w:rsid w:val="006470BC"/>
    <w:rsid w:val="006506D7"/>
    <w:rsid w:val="00655B4A"/>
    <w:rsid w:val="00663891"/>
    <w:rsid w:val="006643CE"/>
    <w:rsid w:val="00666E3D"/>
    <w:rsid w:val="00667036"/>
    <w:rsid w:val="006707B0"/>
    <w:rsid w:val="00673BDB"/>
    <w:rsid w:val="006758FE"/>
    <w:rsid w:val="00675969"/>
    <w:rsid w:val="006770EF"/>
    <w:rsid w:val="006771B8"/>
    <w:rsid w:val="006805CB"/>
    <w:rsid w:val="0068481F"/>
    <w:rsid w:val="00686198"/>
    <w:rsid w:val="006870DF"/>
    <w:rsid w:val="006943E6"/>
    <w:rsid w:val="00694ECB"/>
    <w:rsid w:val="00695E15"/>
    <w:rsid w:val="00696F5D"/>
    <w:rsid w:val="00697249"/>
    <w:rsid w:val="006A37FB"/>
    <w:rsid w:val="006B20BB"/>
    <w:rsid w:val="006B3947"/>
    <w:rsid w:val="006B4293"/>
    <w:rsid w:val="006B5382"/>
    <w:rsid w:val="006C2052"/>
    <w:rsid w:val="006C2FCB"/>
    <w:rsid w:val="006C31E3"/>
    <w:rsid w:val="006C5F85"/>
    <w:rsid w:val="006C7E5C"/>
    <w:rsid w:val="006D42F5"/>
    <w:rsid w:val="006F1308"/>
    <w:rsid w:val="006F190A"/>
    <w:rsid w:val="006F1BCD"/>
    <w:rsid w:val="006F2614"/>
    <w:rsid w:val="006F7DAE"/>
    <w:rsid w:val="007006B5"/>
    <w:rsid w:val="007033B7"/>
    <w:rsid w:val="00705B04"/>
    <w:rsid w:val="00706032"/>
    <w:rsid w:val="007100C5"/>
    <w:rsid w:val="0071342D"/>
    <w:rsid w:val="0072266F"/>
    <w:rsid w:val="007227BF"/>
    <w:rsid w:val="00723BF8"/>
    <w:rsid w:val="00724098"/>
    <w:rsid w:val="00725F4D"/>
    <w:rsid w:val="00727494"/>
    <w:rsid w:val="00732631"/>
    <w:rsid w:val="00732A9C"/>
    <w:rsid w:val="00732F49"/>
    <w:rsid w:val="00734820"/>
    <w:rsid w:val="007349DC"/>
    <w:rsid w:val="007359C4"/>
    <w:rsid w:val="00741E22"/>
    <w:rsid w:val="00742F8C"/>
    <w:rsid w:val="0074365E"/>
    <w:rsid w:val="007515FD"/>
    <w:rsid w:val="00754228"/>
    <w:rsid w:val="00760D80"/>
    <w:rsid w:val="007673BF"/>
    <w:rsid w:val="00767A45"/>
    <w:rsid w:val="00773483"/>
    <w:rsid w:val="007766DE"/>
    <w:rsid w:val="007808C8"/>
    <w:rsid w:val="00780C09"/>
    <w:rsid w:val="00780DDF"/>
    <w:rsid w:val="007834E9"/>
    <w:rsid w:val="00784071"/>
    <w:rsid w:val="00787DBC"/>
    <w:rsid w:val="00792FF5"/>
    <w:rsid w:val="007A04A1"/>
    <w:rsid w:val="007A1051"/>
    <w:rsid w:val="007A1840"/>
    <w:rsid w:val="007A1A81"/>
    <w:rsid w:val="007A2F22"/>
    <w:rsid w:val="007B03DA"/>
    <w:rsid w:val="007B185D"/>
    <w:rsid w:val="007B73D1"/>
    <w:rsid w:val="007C0528"/>
    <w:rsid w:val="007C2B5F"/>
    <w:rsid w:val="007C2CC9"/>
    <w:rsid w:val="007C3D38"/>
    <w:rsid w:val="007C3DFA"/>
    <w:rsid w:val="007C6260"/>
    <w:rsid w:val="007C6D21"/>
    <w:rsid w:val="007D0F35"/>
    <w:rsid w:val="007D4FEB"/>
    <w:rsid w:val="007D52AF"/>
    <w:rsid w:val="007D6146"/>
    <w:rsid w:val="007E0CE7"/>
    <w:rsid w:val="007E2664"/>
    <w:rsid w:val="007E5915"/>
    <w:rsid w:val="007E614C"/>
    <w:rsid w:val="007F417F"/>
    <w:rsid w:val="00816624"/>
    <w:rsid w:val="00822562"/>
    <w:rsid w:val="00823663"/>
    <w:rsid w:val="00823899"/>
    <w:rsid w:val="00832DDC"/>
    <w:rsid w:val="0084124D"/>
    <w:rsid w:val="008446E1"/>
    <w:rsid w:val="00850BAC"/>
    <w:rsid w:val="0085389A"/>
    <w:rsid w:val="00854A3E"/>
    <w:rsid w:val="00855D08"/>
    <w:rsid w:val="008570F9"/>
    <w:rsid w:val="00861AD6"/>
    <w:rsid w:val="008648C7"/>
    <w:rsid w:val="00870335"/>
    <w:rsid w:val="008723EF"/>
    <w:rsid w:val="00874298"/>
    <w:rsid w:val="00874337"/>
    <w:rsid w:val="00874344"/>
    <w:rsid w:val="00875672"/>
    <w:rsid w:val="00876620"/>
    <w:rsid w:val="00882155"/>
    <w:rsid w:val="0088233B"/>
    <w:rsid w:val="00882861"/>
    <w:rsid w:val="0088599E"/>
    <w:rsid w:val="00886C37"/>
    <w:rsid w:val="00896A40"/>
    <w:rsid w:val="008A242F"/>
    <w:rsid w:val="008B3AB3"/>
    <w:rsid w:val="008B62AE"/>
    <w:rsid w:val="008C04B5"/>
    <w:rsid w:val="008C14FA"/>
    <w:rsid w:val="008C1B32"/>
    <w:rsid w:val="008D4057"/>
    <w:rsid w:val="008E3212"/>
    <w:rsid w:val="008E5C28"/>
    <w:rsid w:val="008F2262"/>
    <w:rsid w:val="008F41CC"/>
    <w:rsid w:val="008F7736"/>
    <w:rsid w:val="0090019E"/>
    <w:rsid w:val="00901086"/>
    <w:rsid w:val="00901C8A"/>
    <w:rsid w:val="0090445F"/>
    <w:rsid w:val="00905886"/>
    <w:rsid w:val="00905EF8"/>
    <w:rsid w:val="009070D6"/>
    <w:rsid w:val="009076C6"/>
    <w:rsid w:val="0091019E"/>
    <w:rsid w:val="009106F1"/>
    <w:rsid w:val="00910863"/>
    <w:rsid w:val="00912636"/>
    <w:rsid w:val="00912D59"/>
    <w:rsid w:val="00913AC2"/>
    <w:rsid w:val="009145D6"/>
    <w:rsid w:val="00916CFB"/>
    <w:rsid w:val="00920E64"/>
    <w:rsid w:val="00922002"/>
    <w:rsid w:val="00922D0F"/>
    <w:rsid w:val="00924020"/>
    <w:rsid w:val="00925784"/>
    <w:rsid w:val="009271A7"/>
    <w:rsid w:val="0093658B"/>
    <w:rsid w:val="00937F28"/>
    <w:rsid w:val="00940E9A"/>
    <w:rsid w:val="009429FF"/>
    <w:rsid w:val="00945BD6"/>
    <w:rsid w:val="00945F06"/>
    <w:rsid w:val="00946F37"/>
    <w:rsid w:val="009479FB"/>
    <w:rsid w:val="00951C45"/>
    <w:rsid w:val="00954AB4"/>
    <w:rsid w:val="009551E2"/>
    <w:rsid w:val="009553D1"/>
    <w:rsid w:val="00957CDC"/>
    <w:rsid w:val="00960E1F"/>
    <w:rsid w:val="009666A8"/>
    <w:rsid w:val="00966A08"/>
    <w:rsid w:val="00971207"/>
    <w:rsid w:val="00971519"/>
    <w:rsid w:val="00971D84"/>
    <w:rsid w:val="00971FE7"/>
    <w:rsid w:val="00975CB4"/>
    <w:rsid w:val="009762C1"/>
    <w:rsid w:val="009814DB"/>
    <w:rsid w:val="0098218C"/>
    <w:rsid w:val="009863B0"/>
    <w:rsid w:val="00986A03"/>
    <w:rsid w:val="00987DE1"/>
    <w:rsid w:val="00990571"/>
    <w:rsid w:val="0099673A"/>
    <w:rsid w:val="00996A1E"/>
    <w:rsid w:val="009A3330"/>
    <w:rsid w:val="009A6084"/>
    <w:rsid w:val="009A7C96"/>
    <w:rsid w:val="009C096A"/>
    <w:rsid w:val="009C3DB9"/>
    <w:rsid w:val="009C5B77"/>
    <w:rsid w:val="009D1004"/>
    <w:rsid w:val="009D29AF"/>
    <w:rsid w:val="009D46E5"/>
    <w:rsid w:val="009D4A3E"/>
    <w:rsid w:val="009D568A"/>
    <w:rsid w:val="009E0225"/>
    <w:rsid w:val="009E35F6"/>
    <w:rsid w:val="009E37D3"/>
    <w:rsid w:val="009F04EC"/>
    <w:rsid w:val="009F3B36"/>
    <w:rsid w:val="00A019B9"/>
    <w:rsid w:val="00A05B79"/>
    <w:rsid w:val="00A12508"/>
    <w:rsid w:val="00A1282B"/>
    <w:rsid w:val="00A13A27"/>
    <w:rsid w:val="00A175B6"/>
    <w:rsid w:val="00A214CA"/>
    <w:rsid w:val="00A21835"/>
    <w:rsid w:val="00A22DC7"/>
    <w:rsid w:val="00A261B6"/>
    <w:rsid w:val="00A27641"/>
    <w:rsid w:val="00A328EC"/>
    <w:rsid w:val="00A33A51"/>
    <w:rsid w:val="00A40CF8"/>
    <w:rsid w:val="00A41CA6"/>
    <w:rsid w:val="00A438A0"/>
    <w:rsid w:val="00A47927"/>
    <w:rsid w:val="00A47FFC"/>
    <w:rsid w:val="00A5442F"/>
    <w:rsid w:val="00A54FF9"/>
    <w:rsid w:val="00A56765"/>
    <w:rsid w:val="00A5710F"/>
    <w:rsid w:val="00A6410D"/>
    <w:rsid w:val="00A675AC"/>
    <w:rsid w:val="00A67C52"/>
    <w:rsid w:val="00A7581F"/>
    <w:rsid w:val="00A82E18"/>
    <w:rsid w:val="00A87D4B"/>
    <w:rsid w:val="00A91F11"/>
    <w:rsid w:val="00A92FB1"/>
    <w:rsid w:val="00A95A0C"/>
    <w:rsid w:val="00A97E2F"/>
    <w:rsid w:val="00AA0690"/>
    <w:rsid w:val="00AA2765"/>
    <w:rsid w:val="00AA4013"/>
    <w:rsid w:val="00AA77B5"/>
    <w:rsid w:val="00AB12A6"/>
    <w:rsid w:val="00AB2F2C"/>
    <w:rsid w:val="00AB6C5D"/>
    <w:rsid w:val="00AB7988"/>
    <w:rsid w:val="00AC0A04"/>
    <w:rsid w:val="00AC5145"/>
    <w:rsid w:val="00AC51A7"/>
    <w:rsid w:val="00AC57BC"/>
    <w:rsid w:val="00AD64BB"/>
    <w:rsid w:val="00AE4036"/>
    <w:rsid w:val="00AF0535"/>
    <w:rsid w:val="00AF0847"/>
    <w:rsid w:val="00AF2BA8"/>
    <w:rsid w:val="00AF3858"/>
    <w:rsid w:val="00AF3D8B"/>
    <w:rsid w:val="00AF4236"/>
    <w:rsid w:val="00AF5F89"/>
    <w:rsid w:val="00AF69BF"/>
    <w:rsid w:val="00AF73CB"/>
    <w:rsid w:val="00AF73E1"/>
    <w:rsid w:val="00B002D6"/>
    <w:rsid w:val="00B00F86"/>
    <w:rsid w:val="00B02EC1"/>
    <w:rsid w:val="00B03BBD"/>
    <w:rsid w:val="00B05B51"/>
    <w:rsid w:val="00B07855"/>
    <w:rsid w:val="00B15370"/>
    <w:rsid w:val="00B17BEB"/>
    <w:rsid w:val="00B21A3C"/>
    <w:rsid w:val="00B223C0"/>
    <w:rsid w:val="00B234ED"/>
    <w:rsid w:val="00B236EC"/>
    <w:rsid w:val="00B25CA3"/>
    <w:rsid w:val="00B30B7D"/>
    <w:rsid w:val="00B37DBA"/>
    <w:rsid w:val="00B42A14"/>
    <w:rsid w:val="00B42F0C"/>
    <w:rsid w:val="00B43076"/>
    <w:rsid w:val="00B50257"/>
    <w:rsid w:val="00B57A6A"/>
    <w:rsid w:val="00B60679"/>
    <w:rsid w:val="00B60BD2"/>
    <w:rsid w:val="00B61E98"/>
    <w:rsid w:val="00B72805"/>
    <w:rsid w:val="00B760F1"/>
    <w:rsid w:val="00B7669E"/>
    <w:rsid w:val="00B77D02"/>
    <w:rsid w:val="00B77DA1"/>
    <w:rsid w:val="00B80365"/>
    <w:rsid w:val="00B81B16"/>
    <w:rsid w:val="00B83066"/>
    <w:rsid w:val="00B91055"/>
    <w:rsid w:val="00B92DC3"/>
    <w:rsid w:val="00B93958"/>
    <w:rsid w:val="00B947DB"/>
    <w:rsid w:val="00B95763"/>
    <w:rsid w:val="00B96842"/>
    <w:rsid w:val="00BA0D55"/>
    <w:rsid w:val="00BA291C"/>
    <w:rsid w:val="00BA37B3"/>
    <w:rsid w:val="00BA41C9"/>
    <w:rsid w:val="00BA4CC6"/>
    <w:rsid w:val="00BB0359"/>
    <w:rsid w:val="00BB18B0"/>
    <w:rsid w:val="00BB3493"/>
    <w:rsid w:val="00BB7A23"/>
    <w:rsid w:val="00BC03B1"/>
    <w:rsid w:val="00BC188A"/>
    <w:rsid w:val="00BC6CAA"/>
    <w:rsid w:val="00BD2E22"/>
    <w:rsid w:val="00BD6217"/>
    <w:rsid w:val="00BE728D"/>
    <w:rsid w:val="00BF5010"/>
    <w:rsid w:val="00C026F4"/>
    <w:rsid w:val="00C033A2"/>
    <w:rsid w:val="00C13791"/>
    <w:rsid w:val="00C14EDD"/>
    <w:rsid w:val="00C25744"/>
    <w:rsid w:val="00C26FFE"/>
    <w:rsid w:val="00C31BB3"/>
    <w:rsid w:val="00C32EEB"/>
    <w:rsid w:val="00C36977"/>
    <w:rsid w:val="00C372F5"/>
    <w:rsid w:val="00C400E0"/>
    <w:rsid w:val="00C46F68"/>
    <w:rsid w:val="00C477D9"/>
    <w:rsid w:val="00C533EC"/>
    <w:rsid w:val="00C60BA3"/>
    <w:rsid w:val="00C6169F"/>
    <w:rsid w:val="00C623F7"/>
    <w:rsid w:val="00C7292E"/>
    <w:rsid w:val="00C74AD7"/>
    <w:rsid w:val="00C81773"/>
    <w:rsid w:val="00C86896"/>
    <w:rsid w:val="00C907A8"/>
    <w:rsid w:val="00C93211"/>
    <w:rsid w:val="00C942EC"/>
    <w:rsid w:val="00C96047"/>
    <w:rsid w:val="00C979D0"/>
    <w:rsid w:val="00CA0818"/>
    <w:rsid w:val="00CA20C3"/>
    <w:rsid w:val="00CA2C8F"/>
    <w:rsid w:val="00CA30DA"/>
    <w:rsid w:val="00CA3A24"/>
    <w:rsid w:val="00CA3A42"/>
    <w:rsid w:val="00CA3EA8"/>
    <w:rsid w:val="00CB1777"/>
    <w:rsid w:val="00CB1CFA"/>
    <w:rsid w:val="00CB33E9"/>
    <w:rsid w:val="00CB4301"/>
    <w:rsid w:val="00CB65D8"/>
    <w:rsid w:val="00CB6B6C"/>
    <w:rsid w:val="00CC10A9"/>
    <w:rsid w:val="00CC7A3E"/>
    <w:rsid w:val="00CD017F"/>
    <w:rsid w:val="00CD3669"/>
    <w:rsid w:val="00CE1BF0"/>
    <w:rsid w:val="00CE2BF8"/>
    <w:rsid w:val="00CE344B"/>
    <w:rsid w:val="00CE484E"/>
    <w:rsid w:val="00CE490B"/>
    <w:rsid w:val="00CF0DA8"/>
    <w:rsid w:val="00CF2E25"/>
    <w:rsid w:val="00CF2E67"/>
    <w:rsid w:val="00CF330F"/>
    <w:rsid w:val="00CF4453"/>
    <w:rsid w:val="00D00790"/>
    <w:rsid w:val="00D018EF"/>
    <w:rsid w:val="00D034D7"/>
    <w:rsid w:val="00D04BE4"/>
    <w:rsid w:val="00D054C6"/>
    <w:rsid w:val="00D11C73"/>
    <w:rsid w:val="00D14127"/>
    <w:rsid w:val="00D15429"/>
    <w:rsid w:val="00D213E0"/>
    <w:rsid w:val="00D251A7"/>
    <w:rsid w:val="00D30253"/>
    <w:rsid w:val="00D31629"/>
    <w:rsid w:val="00D41218"/>
    <w:rsid w:val="00D4326F"/>
    <w:rsid w:val="00D47585"/>
    <w:rsid w:val="00D52680"/>
    <w:rsid w:val="00D53389"/>
    <w:rsid w:val="00D539D4"/>
    <w:rsid w:val="00D55F13"/>
    <w:rsid w:val="00D60F02"/>
    <w:rsid w:val="00D66E49"/>
    <w:rsid w:val="00D715F8"/>
    <w:rsid w:val="00D72F74"/>
    <w:rsid w:val="00D73747"/>
    <w:rsid w:val="00D74AEA"/>
    <w:rsid w:val="00D756EF"/>
    <w:rsid w:val="00D76A8B"/>
    <w:rsid w:val="00D81563"/>
    <w:rsid w:val="00D85125"/>
    <w:rsid w:val="00D85EA2"/>
    <w:rsid w:val="00D9073E"/>
    <w:rsid w:val="00D9221D"/>
    <w:rsid w:val="00D958DF"/>
    <w:rsid w:val="00D96C94"/>
    <w:rsid w:val="00D96DA1"/>
    <w:rsid w:val="00DA0631"/>
    <w:rsid w:val="00DA51E7"/>
    <w:rsid w:val="00DA751B"/>
    <w:rsid w:val="00DB0A40"/>
    <w:rsid w:val="00DB1C78"/>
    <w:rsid w:val="00DB400D"/>
    <w:rsid w:val="00DB7501"/>
    <w:rsid w:val="00DB7D96"/>
    <w:rsid w:val="00DC23FE"/>
    <w:rsid w:val="00DC59E6"/>
    <w:rsid w:val="00DD150B"/>
    <w:rsid w:val="00DD415D"/>
    <w:rsid w:val="00DD4AD3"/>
    <w:rsid w:val="00DD5025"/>
    <w:rsid w:val="00DF0941"/>
    <w:rsid w:val="00DF59A6"/>
    <w:rsid w:val="00E007D3"/>
    <w:rsid w:val="00E008AB"/>
    <w:rsid w:val="00E06484"/>
    <w:rsid w:val="00E06599"/>
    <w:rsid w:val="00E07955"/>
    <w:rsid w:val="00E15973"/>
    <w:rsid w:val="00E15CC7"/>
    <w:rsid w:val="00E16658"/>
    <w:rsid w:val="00E16C42"/>
    <w:rsid w:val="00E20865"/>
    <w:rsid w:val="00E20A7D"/>
    <w:rsid w:val="00E24204"/>
    <w:rsid w:val="00E26086"/>
    <w:rsid w:val="00E275D8"/>
    <w:rsid w:val="00E30FB8"/>
    <w:rsid w:val="00E31EDC"/>
    <w:rsid w:val="00E34944"/>
    <w:rsid w:val="00E375CA"/>
    <w:rsid w:val="00E420AF"/>
    <w:rsid w:val="00E53C57"/>
    <w:rsid w:val="00E567E8"/>
    <w:rsid w:val="00E62E89"/>
    <w:rsid w:val="00E64679"/>
    <w:rsid w:val="00E65EBC"/>
    <w:rsid w:val="00E73432"/>
    <w:rsid w:val="00E76F8B"/>
    <w:rsid w:val="00E77B0C"/>
    <w:rsid w:val="00E77FB8"/>
    <w:rsid w:val="00E838B0"/>
    <w:rsid w:val="00E83DB6"/>
    <w:rsid w:val="00E86A7C"/>
    <w:rsid w:val="00E86EA7"/>
    <w:rsid w:val="00E878E1"/>
    <w:rsid w:val="00E90C91"/>
    <w:rsid w:val="00E91360"/>
    <w:rsid w:val="00E91C01"/>
    <w:rsid w:val="00E91E06"/>
    <w:rsid w:val="00E95278"/>
    <w:rsid w:val="00E96D8F"/>
    <w:rsid w:val="00E97FF9"/>
    <w:rsid w:val="00EA2273"/>
    <w:rsid w:val="00EA6AB9"/>
    <w:rsid w:val="00EA7409"/>
    <w:rsid w:val="00EB2DB3"/>
    <w:rsid w:val="00EB5ED0"/>
    <w:rsid w:val="00EB7E38"/>
    <w:rsid w:val="00EC3FBB"/>
    <w:rsid w:val="00EC6B7A"/>
    <w:rsid w:val="00ED3A87"/>
    <w:rsid w:val="00ED471C"/>
    <w:rsid w:val="00ED5B67"/>
    <w:rsid w:val="00EF3FEE"/>
    <w:rsid w:val="00EF73D6"/>
    <w:rsid w:val="00EF7D6C"/>
    <w:rsid w:val="00F01DF2"/>
    <w:rsid w:val="00F04B59"/>
    <w:rsid w:val="00F06D9D"/>
    <w:rsid w:val="00F103C7"/>
    <w:rsid w:val="00F11741"/>
    <w:rsid w:val="00F12B1C"/>
    <w:rsid w:val="00F13CF8"/>
    <w:rsid w:val="00F1477D"/>
    <w:rsid w:val="00F15855"/>
    <w:rsid w:val="00F22B1B"/>
    <w:rsid w:val="00F24D62"/>
    <w:rsid w:val="00F25EDF"/>
    <w:rsid w:val="00F32978"/>
    <w:rsid w:val="00F34855"/>
    <w:rsid w:val="00F35108"/>
    <w:rsid w:val="00F413CD"/>
    <w:rsid w:val="00F430A4"/>
    <w:rsid w:val="00F45CB2"/>
    <w:rsid w:val="00F45D1F"/>
    <w:rsid w:val="00F50595"/>
    <w:rsid w:val="00F544C0"/>
    <w:rsid w:val="00F55332"/>
    <w:rsid w:val="00F556CE"/>
    <w:rsid w:val="00F62793"/>
    <w:rsid w:val="00F65519"/>
    <w:rsid w:val="00F713C0"/>
    <w:rsid w:val="00F75C5B"/>
    <w:rsid w:val="00F75DDC"/>
    <w:rsid w:val="00F76168"/>
    <w:rsid w:val="00F853E1"/>
    <w:rsid w:val="00F965C0"/>
    <w:rsid w:val="00FA17AC"/>
    <w:rsid w:val="00FA307D"/>
    <w:rsid w:val="00FA32DE"/>
    <w:rsid w:val="00FA3382"/>
    <w:rsid w:val="00FA3A01"/>
    <w:rsid w:val="00FA4CE3"/>
    <w:rsid w:val="00FA4FD4"/>
    <w:rsid w:val="00FA59CD"/>
    <w:rsid w:val="00FB1740"/>
    <w:rsid w:val="00FB68CB"/>
    <w:rsid w:val="00FC0FD1"/>
    <w:rsid w:val="00FC5296"/>
    <w:rsid w:val="00FC616A"/>
    <w:rsid w:val="00FC6D7D"/>
    <w:rsid w:val="00FD16B0"/>
    <w:rsid w:val="00FD4FED"/>
    <w:rsid w:val="00FD6D96"/>
    <w:rsid w:val="00FE59EC"/>
    <w:rsid w:val="00FE5C61"/>
    <w:rsid w:val="00FE6D3B"/>
    <w:rsid w:val="00FF08CF"/>
    <w:rsid w:val="00FF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Address"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uiPriority w:val="99"/>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nhideWhenUsed/>
    <w:rsid w:val="00331D4D"/>
    <w:rPr>
      <w:vertAlign w:val="superscript"/>
    </w:rPr>
  </w:style>
  <w:style w:type="character" w:customStyle="1" w:styleId="FootnoteTextChar">
    <w:name w:val="Footnote Text Char"/>
    <w:basedOn w:val="DefaultParagraphFont"/>
    <w:link w:val="FootnoteText"/>
    <w:rsid w:val="00331D4D"/>
  </w:style>
  <w:style w:type="numbering" w:styleId="111111">
    <w:name w:val="Outline List 2"/>
    <w:basedOn w:val="NoList"/>
    <w:rsid w:val="00655B4A"/>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Address"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uiPriority w:val="99"/>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nhideWhenUsed/>
    <w:rsid w:val="00331D4D"/>
    <w:rPr>
      <w:vertAlign w:val="superscript"/>
    </w:rPr>
  </w:style>
  <w:style w:type="character" w:customStyle="1" w:styleId="FootnoteTextChar">
    <w:name w:val="Footnote Text Char"/>
    <w:basedOn w:val="DefaultParagraphFont"/>
    <w:link w:val="FootnoteText"/>
    <w:rsid w:val="00331D4D"/>
  </w:style>
  <w:style w:type="numbering" w:styleId="111111">
    <w:name w:val="Outline List 2"/>
    <w:basedOn w:val="NoList"/>
    <w:rsid w:val="00655B4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252000">
      <w:bodyDiv w:val="1"/>
      <w:marLeft w:val="0"/>
      <w:marRight w:val="0"/>
      <w:marTop w:val="0"/>
      <w:marBottom w:val="0"/>
      <w:divBdr>
        <w:top w:val="none" w:sz="0" w:space="0" w:color="auto"/>
        <w:left w:val="none" w:sz="0" w:space="0" w:color="auto"/>
        <w:bottom w:val="none" w:sz="0" w:space="0" w:color="auto"/>
        <w:right w:val="none" w:sz="0" w:space="0" w:color="auto"/>
      </w:divBdr>
    </w:div>
    <w:div w:id="917055784">
      <w:bodyDiv w:val="1"/>
      <w:marLeft w:val="0"/>
      <w:marRight w:val="0"/>
      <w:marTop w:val="0"/>
      <w:marBottom w:val="0"/>
      <w:divBdr>
        <w:top w:val="none" w:sz="0" w:space="0" w:color="auto"/>
        <w:left w:val="none" w:sz="0" w:space="0" w:color="auto"/>
        <w:bottom w:val="none" w:sz="0" w:space="0" w:color="auto"/>
        <w:right w:val="none" w:sz="0" w:space="0" w:color="auto"/>
      </w:divBdr>
    </w:div>
    <w:div w:id="930891733">
      <w:bodyDiv w:val="1"/>
      <w:marLeft w:val="0"/>
      <w:marRight w:val="0"/>
      <w:marTop w:val="0"/>
      <w:marBottom w:val="0"/>
      <w:divBdr>
        <w:top w:val="none" w:sz="0" w:space="0" w:color="auto"/>
        <w:left w:val="none" w:sz="0" w:space="0" w:color="auto"/>
        <w:bottom w:val="none" w:sz="0" w:space="0" w:color="auto"/>
        <w:right w:val="none" w:sz="0" w:space="0" w:color="auto"/>
      </w:divBdr>
    </w:div>
    <w:div w:id="1029910382">
      <w:bodyDiv w:val="1"/>
      <w:marLeft w:val="0"/>
      <w:marRight w:val="0"/>
      <w:marTop w:val="0"/>
      <w:marBottom w:val="0"/>
      <w:divBdr>
        <w:top w:val="none" w:sz="0" w:space="0" w:color="auto"/>
        <w:left w:val="none" w:sz="0" w:space="0" w:color="auto"/>
        <w:bottom w:val="none" w:sz="0" w:space="0" w:color="auto"/>
        <w:right w:val="none" w:sz="0" w:space="0" w:color="auto"/>
      </w:divBdr>
    </w:div>
    <w:div w:id="1438718445">
      <w:bodyDiv w:val="1"/>
      <w:marLeft w:val="0"/>
      <w:marRight w:val="0"/>
      <w:marTop w:val="0"/>
      <w:marBottom w:val="0"/>
      <w:divBdr>
        <w:top w:val="none" w:sz="0" w:space="0" w:color="auto"/>
        <w:left w:val="none" w:sz="0" w:space="0" w:color="auto"/>
        <w:bottom w:val="none" w:sz="0" w:space="0" w:color="auto"/>
        <w:right w:val="none" w:sz="0" w:space="0" w:color="auto"/>
      </w:divBdr>
    </w:div>
    <w:div w:id="1488784002">
      <w:bodyDiv w:val="1"/>
      <w:marLeft w:val="0"/>
      <w:marRight w:val="0"/>
      <w:marTop w:val="0"/>
      <w:marBottom w:val="0"/>
      <w:divBdr>
        <w:top w:val="none" w:sz="0" w:space="0" w:color="auto"/>
        <w:left w:val="none" w:sz="0" w:space="0" w:color="auto"/>
        <w:bottom w:val="none" w:sz="0" w:space="0" w:color="auto"/>
        <w:right w:val="none" w:sz="0" w:space="0" w:color="auto"/>
      </w:divBdr>
    </w:div>
    <w:div w:id="1693797037">
      <w:bodyDiv w:val="1"/>
      <w:marLeft w:val="0"/>
      <w:marRight w:val="0"/>
      <w:marTop w:val="0"/>
      <w:marBottom w:val="0"/>
      <w:divBdr>
        <w:top w:val="none" w:sz="0" w:space="0" w:color="auto"/>
        <w:left w:val="none" w:sz="0" w:space="0" w:color="auto"/>
        <w:bottom w:val="none" w:sz="0" w:space="0" w:color="auto"/>
        <w:right w:val="none" w:sz="0" w:space="0" w:color="auto"/>
      </w:divBdr>
    </w:div>
    <w:div w:id="187014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CA96A-FFEA-49FA-A9AD-9AAB43145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61</Pages>
  <Words>19938</Words>
  <Characters>113653</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133325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Sonica Bruce</dc:creator>
  <cp:lastModifiedBy>Carlotta Stauffer</cp:lastModifiedBy>
  <cp:revision>3</cp:revision>
  <cp:lastPrinted>2015-11-18T18:11:00Z</cp:lastPrinted>
  <dcterms:created xsi:type="dcterms:W3CDTF">2015-11-18T18:27:00Z</dcterms:created>
  <dcterms:modified xsi:type="dcterms:W3CDTF">2015-11-19T18:06:00Z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150102-SU</vt:lpwstr>
  </property>
  <property fmtid="{D5CDD505-2E9C-101B-9397-08002B2CF9AE}" pid="3" name="MasterDocument">
    <vt:bool>false</vt:bool>
  </property>
</Properties>
</file>