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D6616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1D3714">
            <w:pPr>
              <w:pStyle w:val="MemoHeading"/>
            </w:pPr>
            <w:bookmarkStart w:id="1" w:name="FilingDate"/>
            <w:r>
              <w:t>December 22, 2015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1D3714" w:rsidRDefault="001D3714">
            <w:pPr>
              <w:pStyle w:val="MemoHeading"/>
            </w:pPr>
            <w:bookmarkStart w:id="2" w:name="From"/>
            <w:r>
              <w:t>Division of Economics (Ollila)</w:t>
            </w:r>
          </w:p>
          <w:p w:rsidR="007C0528" w:rsidRDefault="001D3714">
            <w:pPr>
              <w:pStyle w:val="MemoHeading"/>
            </w:pPr>
            <w:r>
              <w:t>Office of the General Counsel (Villafrate)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1D3714">
            <w:pPr>
              <w:pStyle w:val="MemoHeadingRe"/>
            </w:pPr>
            <w:bookmarkStart w:id="3" w:name="Re"/>
            <w:r>
              <w:t>Docket No. 150234-EU – Joint petition for approval of amendment to territorial agreement in Manatee County, by Florida Power &amp; Light Company and Peace River Electric Cooperative, Inc.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1D3714">
            <w:pPr>
              <w:pStyle w:val="MemoHeading"/>
            </w:pPr>
            <w:bookmarkStart w:id="4" w:name="AgendaDate"/>
            <w:r>
              <w:t>01/05/16</w:t>
            </w:r>
            <w:bookmarkEnd w:id="4"/>
            <w:r w:rsidR="007C0528">
              <w:t xml:space="preserve"> – </w:t>
            </w:r>
            <w:bookmarkStart w:id="5" w:name="PermittedStatus"/>
            <w:r>
              <w:t>Regular Agenda – Proposed Agency Action – 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1D3714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1D3714">
            <w:pPr>
              <w:pStyle w:val="MemoHeading"/>
            </w:pPr>
            <w:bookmarkStart w:id="7" w:name="PrehearingOfficer"/>
            <w:r>
              <w:t>Patronis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1D3714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1D3714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7C0528" w:rsidRDefault="001D3714" w:rsidP="00B12664">
      <w:pPr>
        <w:pStyle w:val="BodyText"/>
      </w:pPr>
      <w:r>
        <w:t>On October 30,</w:t>
      </w:r>
      <w:r w:rsidR="00D66163">
        <w:t xml:space="preserve"> </w:t>
      </w:r>
      <w:r w:rsidR="00D27BDE">
        <w:t xml:space="preserve">2015, </w:t>
      </w:r>
      <w:r>
        <w:t>Florida Power and Light</w:t>
      </w:r>
      <w:r w:rsidR="00F0747E">
        <w:t xml:space="preserve"> Company</w:t>
      </w:r>
      <w:r>
        <w:t xml:space="preserve"> (FPL) </w:t>
      </w:r>
      <w:r w:rsidR="00D27BDE">
        <w:t xml:space="preserve">and Peace River Electric Cooperative, Inc. (Peace River) </w:t>
      </w:r>
      <w:r>
        <w:t xml:space="preserve">filed a joint petition </w:t>
      </w:r>
      <w:r w:rsidR="00D66163">
        <w:t>for</w:t>
      </w:r>
      <w:r>
        <w:t xml:space="preserve"> approval of an amendment to their</w:t>
      </w:r>
      <w:r w:rsidR="00B12664">
        <w:t xml:space="preserve"> existing territorial agreement</w:t>
      </w:r>
      <w:r w:rsidR="00D82C0E">
        <w:t xml:space="preserve"> in Manatee County.</w:t>
      </w:r>
      <w:r w:rsidR="00D02632">
        <w:rPr>
          <w:rStyle w:val="FootnoteReference"/>
        </w:rPr>
        <w:footnoteReference w:id="1"/>
      </w:r>
      <w:r w:rsidR="00B12664">
        <w:t xml:space="preserve"> </w:t>
      </w:r>
      <w:r w:rsidR="002930A5">
        <w:t xml:space="preserve">The proposed amendment would alter the territory </w:t>
      </w:r>
      <w:r w:rsidR="00B12664">
        <w:t>so</w:t>
      </w:r>
      <w:r w:rsidR="002930A5">
        <w:t xml:space="preserve"> that a new housing development would lie entirely within P</w:t>
      </w:r>
      <w:r w:rsidR="00D27BDE">
        <w:t>eace River</w:t>
      </w:r>
      <w:r w:rsidR="002930A5">
        <w:t xml:space="preserve">’s territory rather than be divided between </w:t>
      </w:r>
      <w:r w:rsidR="00D27BDE">
        <w:t>FPL and Peace River’s</w:t>
      </w:r>
      <w:r w:rsidR="002930A5">
        <w:t xml:space="preserve"> service territories</w:t>
      </w:r>
      <w:r w:rsidR="00D27BDE">
        <w:t>,</w:t>
      </w:r>
      <w:r w:rsidR="009F78CE">
        <w:t xml:space="preserve"> as it is now</w:t>
      </w:r>
      <w:r w:rsidR="002930A5">
        <w:t xml:space="preserve">. </w:t>
      </w:r>
      <w:r w:rsidR="003269BC">
        <w:t xml:space="preserve">The proposed amendment is </w:t>
      </w:r>
      <w:r w:rsidR="002930A5">
        <w:t>Exhibit</w:t>
      </w:r>
      <w:r w:rsidR="003269BC">
        <w:t xml:space="preserve"> A to the petition</w:t>
      </w:r>
      <w:r w:rsidR="009E3DA5">
        <w:t>, w</w:t>
      </w:r>
      <w:r w:rsidR="003269BC">
        <w:t xml:space="preserve">hile the maps and written description are provided in </w:t>
      </w:r>
      <w:r w:rsidR="002930A5">
        <w:t>Attachments</w:t>
      </w:r>
      <w:r w:rsidR="003269BC">
        <w:t xml:space="preserve"> A-C</w:t>
      </w:r>
      <w:r w:rsidR="009E3DA5">
        <w:t xml:space="preserve"> to the petition.</w:t>
      </w:r>
      <w:r w:rsidR="00CB1ED2">
        <w:t xml:space="preserve"> </w:t>
      </w:r>
      <w:r w:rsidR="00D02632">
        <w:t>The p</w:t>
      </w:r>
      <w:r w:rsidR="00EB0750">
        <w:t>etitioners</w:t>
      </w:r>
      <w:r w:rsidR="00D02632">
        <w:t xml:space="preserve"> responded to </w:t>
      </w:r>
      <w:r w:rsidR="009F78CE">
        <w:t>S</w:t>
      </w:r>
      <w:r w:rsidR="00D02632">
        <w:t xml:space="preserve">taff’s </w:t>
      </w:r>
      <w:r w:rsidR="009F78CE">
        <w:t>F</w:t>
      </w:r>
      <w:r w:rsidR="00D02632">
        <w:t xml:space="preserve">irst </w:t>
      </w:r>
      <w:r w:rsidR="009F78CE">
        <w:t>D</w:t>
      </w:r>
      <w:r w:rsidR="00D02632">
        <w:t xml:space="preserve">ata </w:t>
      </w:r>
      <w:r w:rsidR="009F78CE">
        <w:t>R</w:t>
      </w:r>
      <w:r w:rsidR="00D02632">
        <w:t>equest on November 25, 2015. The Commission has jurisdiction over this matter pursuant to Section 366.04, Florida Statutes</w:t>
      </w:r>
      <w:r w:rsidR="006C42F4">
        <w:t xml:space="preserve"> (F.S.)</w:t>
      </w:r>
      <w:r w:rsidR="00D02632">
        <w:t>.</w:t>
      </w:r>
    </w:p>
    <w:bookmarkEnd w:id="12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1D3714" w:rsidRDefault="001D3714">
      <w:pPr>
        <w:pStyle w:val="IssueHeading"/>
        <w:rPr>
          <w:vanish/>
          <w:specVanish/>
        </w:rPr>
      </w:pPr>
      <w:r w:rsidRPr="004C3641">
        <w:t xml:space="preserve">Issue </w:t>
      </w:r>
      <w:r w:rsidR="00791D6A">
        <w:fldChar w:fldCharType="begin"/>
      </w:r>
      <w:r w:rsidR="00791D6A">
        <w:instrText xml:space="preserve"> SEQ Issue \* MERGEFORMAT </w:instrText>
      </w:r>
      <w:r w:rsidR="00791D6A">
        <w:fldChar w:fldCharType="separate"/>
      </w:r>
      <w:r w:rsidR="003C2400">
        <w:rPr>
          <w:noProof/>
        </w:rPr>
        <w:t>1</w:t>
      </w:r>
      <w:r w:rsidR="00791D6A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3C2400">
        <w:rPr>
          <w:noProof/>
        </w:rPr>
        <w:instrText>1</w:instrText>
      </w:r>
      <w:r>
        <w:fldChar w:fldCharType="end"/>
      </w:r>
      <w:r>
        <w:tab/>
        <w:instrText xml:space="preserve">(Ollila)" \l 1 </w:instrText>
      </w:r>
      <w:r>
        <w:fldChar w:fldCharType="end"/>
      </w:r>
      <w:r>
        <w:t> </w:t>
      </w:r>
    </w:p>
    <w:p w:rsidR="001D3714" w:rsidRDefault="001D3714">
      <w:pPr>
        <w:pStyle w:val="BodyText"/>
      </w:pPr>
      <w:r>
        <w:t> Should the Commission approve the proposed amendment?</w:t>
      </w:r>
    </w:p>
    <w:p w:rsidR="001D3714" w:rsidRPr="004C3641" w:rsidRDefault="001D3714">
      <w:pPr>
        <w:pStyle w:val="IssueSubsectionHeading"/>
        <w:rPr>
          <w:vanish/>
          <w:specVanish/>
        </w:rPr>
      </w:pPr>
      <w:r w:rsidRPr="004C3641">
        <w:t>Recommendation: </w:t>
      </w:r>
    </w:p>
    <w:p w:rsidR="001D3714" w:rsidRDefault="001D3714">
      <w:pPr>
        <w:pStyle w:val="BodyText"/>
      </w:pPr>
      <w:r>
        <w:t> Yes, the Commission should approve the proposed amendment. (Ollila)</w:t>
      </w:r>
    </w:p>
    <w:p w:rsidR="001D3714" w:rsidRPr="004C3641" w:rsidRDefault="001D3714">
      <w:pPr>
        <w:pStyle w:val="IssueSubsectionHeading"/>
        <w:rPr>
          <w:vanish/>
          <w:specVanish/>
        </w:rPr>
      </w:pPr>
      <w:r w:rsidRPr="004C3641">
        <w:t>Staff Analysis: </w:t>
      </w:r>
    </w:p>
    <w:p w:rsidR="001D3714" w:rsidRDefault="001D3714">
      <w:pPr>
        <w:pStyle w:val="BodyText"/>
      </w:pPr>
      <w:r>
        <w:t> Pursuant to</w:t>
      </w:r>
      <w:r w:rsidR="00943675">
        <w:t xml:space="preserve"> Section 366.04(2)(d), F.S., the Commission has the jurisdiction to approve territorial agreements between and among rural electric cooperatives, municipal electric utilities, and other electric utilities. Rule 25-6.0440(2), F</w:t>
      </w:r>
      <w:r w:rsidR="00F0747E">
        <w:t>lorida Administrative Code</w:t>
      </w:r>
      <w:r w:rsidR="00943675">
        <w:t>, states that in approving territorial agreements, the Commission may consider:</w:t>
      </w:r>
    </w:p>
    <w:p w:rsidR="00943675" w:rsidRDefault="00943675" w:rsidP="00943675">
      <w:pPr>
        <w:pStyle w:val="BodyText"/>
        <w:numPr>
          <w:ilvl w:val="0"/>
          <w:numId w:val="11"/>
        </w:numPr>
      </w:pPr>
      <w:r>
        <w:t>The reasonableness of the purchase price of any facilities being transferred;</w:t>
      </w:r>
    </w:p>
    <w:p w:rsidR="00943675" w:rsidRDefault="00943675" w:rsidP="00943675">
      <w:pPr>
        <w:pStyle w:val="BodyText"/>
        <w:numPr>
          <w:ilvl w:val="0"/>
          <w:numId w:val="11"/>
        </w:numPr>
      </w:pPr>
      <w:r>
        <w:t>The reasonable likelihood that the agreement, in and of itself, will not cause a decrease in the reliability of electrical service to the existing or future ratepayers of any utility party to the agreement; and</w:t>
      </w:r>
    </w:p>
    <w:p w:rsidR="00943675" w:rsidRDefault="00943675" w:rsidP="00943675">
      <w:pPr>
        <w:pStyle w:val="BodyText"/>
        <w:numPr>
          <w:ilvl w:val="0"/>
          <w:numId w:val="11"/>
        </w:numPr>
      </w:pPr>
      <w:r>
        <w:t>The reasonable likelihood that the agreement will eliminate existing or potential uneconomic duplication of facilities.</w:t>
      </w:r>
    </w:p>
    <w:p w:rsidR="00943675" w:rsidRDefault="00943675">
      <w:pPr>
        <w:pStyle w:val="BodyText"/>
      </w:pPr>
      <w:r>
        <w:t>Unless the Commission determines that the agreement will cause a detriment to the public interest, the agreement should be approved.</w:t>
      </w:r>
      <w:r>
        <w:rPr>
          <w:rStyle w:val="FootnoteReference"/>
        </w:rPr>
        <w:footnoteReference w:id="2"/>
      </w:r>
    </w:p>
    <w:p w:rsidR="00D02632" w:rsidRDefault="00D02632">
      <w:pPr>
        <w:pStyle w:val="BodyText"/>
      </w:pPr>
      <w:r>
        <w:t xml:space="preserve">Under the current agreement, a new private development is divided between the </w:t>
      </w:r>
      <w:r w:rsidR="002A0199">
        <w:t xml:space="preserve">petitioners’ </w:t>
      </w:r>
      <w:r>
        <w:t>service territories, with the larger portion</w:t>
      </w:r>
      <w:r w:rsidR="00D82C0E">
        <w:t xml:space="preserve"> located</w:t>
      </w:r>
      <w:r>
        <w:t xml:space="preserve"> in </w:t>
      </w:r>
      <w:r w:rsidR="00D27BDE">
        <w:t>Peace River</w:t>
      </w:r>
      <w:r>
        <w:t>’s existing territory.</w:t>
      </w:r>
      <w:r w:rsidR="00B657F2">
        <w:t xml:space="preserve"> </w:t>
      </w:r>
      <w:r w:rsidR="00D27BDE">
        <w:t>FPL and Peace River</w:t>
      </w:r>
      <w:r w:rsidR="00A03347">
        <w:t xml:space="preserve"> jointly request that the Commission approve a realignment of their existing territorial boundary so that the new development will lie entirely within P</w:t>
      </w:r>
      <w:r w:rsidR="00D27BDE">
        <w:t>eace River</w:t>
      </w:r>
      <w:r w:rsidR="00A03347">
        <w:t>’s service territory.</w:t>
      </w:r>
      <w:r w:rsidR="00B657F2">
        <w:t xml:space="preserve"> The petitioners state that</w:t>
      </w:r>
      <w:r w:rsidR="00DB2CC6">
        <w:t xml:space="preserve"> </w:t>
      </w:r>
      <w:r w:rsidR="00B657F2">
        <w:t>the area is currently under development</w:t>
      </w:r>
      <w:r w:rsidR="00F0747E">
        <w:t xml:space="preserve">. There are no facilities providing service </w:t>
      </w:r>
      <w:r w:rsidR="00DB2CC6">
        <w:t xml:space="preserve">and </w:t>
      </w:r>
      <w:r w:rsidR="00B657F2">
        <w:t>no custo</w:t>
      </w:r>
      <w:r w:rsidR="000B7224">
        <w:t xml:space="preserve">mer accounts </w:t>
      </w:r>
      <w:r w:rsidR="00DB2CC6">
        <w:t>to</w:t>
      </w:r>
      <w:r w:rsidR="000B7224">
        <w:t xml:space="preserve"> be transferred.</w:t>
      </w:r>
    </w:p>
    <w:p w:rsidR="000B7224" w:rsidRDefault="00D27BDE">
      <w:pPr>
        <w:pStyle w:val="BodyText"/>
      </w:pPr>
      <w:r>
        <w:t>FPL and Peace River</w:t>
      </w:r>
      <w:r w:rsidR="00453B33">
        <w:t xml:space="preserve"> represent that approval o</w:t>
      </w:r>
      <w:r w:rsidR="000B7224">
        <w:t xml:space="preserve">f their petition </w:t>
      </w:r>
      <w:r w:rsidR="00FD53AE">
        <w:t>is in the public interest</w:t>
      </w:r>
      <w:r w:rsidR="00842314">
        <w:t xml:space="preserve">. According to the petitioners, </w:t>
      </w:r>
      <w:r w:rsidR="007B54EA">
        <w:t>t</w:t>
      </w:r>
      <w:r w:rsidR="00FD53AE">
        <w:t xml:space="preserve">he proposed amendment </w:t>
      </w:r>
      <w:r w:rsidR="000B7224">
        <w:t>will not cause a decrease in the reliability of electrical service to existing or future members of either utilit</w:t>
      </w:r>
      <w:r w:rsidR="00453B33">
        <w:t>y</w:t>
      </w:r>
      <w:r w:rsidR="000B7224">
        <w:t xml:space="preserve">, </w:t>
      </w:r>
      <w:r w:rsidR="00FD53AE">
        <w:t xml:space="preserve">it will likely </w:t>
      </w:r>
      <w:r w:rsidR="000B7224">
        <w:t xml:space="preserve">eliminate or prevent uneconomic duplication of facilities, </w:t>
      </w:r>
      <w:r w:rsidR="00FD53AE">
        <w:t xml:space="preserve">and it </w:t>
      </w:r>
      <w:r w:rsidR="000B7224">
        <w:t>will promote the Commission’s stated policy of encouraging territorial agreements between and among Florida’s electric utilities.</w:t>
      </w:r>
    </w:p>
    <w:p w:rsidR="001D3714" w:rsidRDefault="002A0199">
      <w:pPr>
        <w:pStyle w:val="BodyText"/>
      </w:pPr>
      <w:r>
        <w:t xml:space="preserve">After review of the petition and the petitioners’ response to its data request, staff believes that the proposed amendment will enable </w:t>
      </w:r>
      <w:r w:rsidR="00D27BDE">
        <w:t>FPL and Peace River</w:t>
      </w:r>
      <w:r>
        <w:t xml:space="preserve"> to better serve their current and future customers. It appears that the proposed amendment </w:t>
      </w:r>
      <w:r w:rsidR="00453B33">
        <w:t>will serve</w:t>
      </w:r>
      <w:r>
        <w:t xml:space="preserve"> to eliminate any potential uneconomic duplication of facilities and will not cause a decrease in the reliability of electric service. As such, staff believes that the proposed amendment between </w:t>
      </w:r>
      <w:r w:rsidR="00D27BDE">
        <w:t>FPL and Peace River</w:t>
      </w:r>
      <w:r>
        <w:t xml:space="preserve"> will not cause a detriment to the public interest and recommends that the Commission approve it.</w:t>
      </w:r>
    </w:p>
    <w:p w:rsidR="001D3714" w:rsidRDefault="001D3714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791D6A">
        <w:fldChar w:fldCharType="begin"/>
      </w:r>
      <w:r w:rsidR="00791D6A">
        <w:instrText xml:space="preserve"> SEQ Issue \* MERGEFORMAT </w:instrText>
      </w:r>
      <w:r w:rsidR="00791D6A">
        <w:fldChar w:fldCharType="separate"/>
      </w:r>
      <w:r w:rsidR="003C2400">
        <w:rPr>
          <w:noProof/>
        </w:rPr>
        <w:t>2</w:t>
      </w:r>
      <w:r w:rsidR="00791D6A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3C2400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1D3714" w:rsidRDefault="001D3714">
      <w:pPr>
        <w:pStyle w:val="BodyText"/>
      </w:pPr>
      <w:r>
        <w:t> Should this docket be closed?</w:t>
      </w:r>
    </w:p>
    <w:p w:rsidR="001D3714" w:rsidRPr="004C3641" w:rsidRDefault="001D3714">
      <w:pPr>
        <w:pStyle w:val="IssueSubsectionHeading"/>
        <w:rPr>
          <w:vanish/>
          <w:specVanish/>
        </w:rPr>
      </w:pPr>
      <w:r w:rsidRPr="004C3641">
        <w:t>Recommendation: </w:t>
      </w:r>
    </w:p>
    <w:p w:rsidR="001D3714" w:rsidRDefault="001D3714">
      <w:pPr>
        <w:pStyle w:val="BodyText"/>
      </w:pPr>
      <w:r>
        <w:t> </w:t>
      </w:r>
      <w:r w:rsidR="00D66163">
        <w:t>If no protest is filed by a person whose substantial interests are affected within 2</w:t>
      </w:r>
      <w:r w:rsidR="009E3DA5">
        <w:t>1</w:t>
      </w:r>
      <w:r w:rsidR="00D66163">
        <w:t xml:space="preserve"> days of the issuance of the Order, this docket should be closed upon the issuance of a Consummating Order. (Villafrate)</w:t>
      </w:r>
      <w:r>
        <w:t xml:space="preserve"> </w:t>
      </w:r>
    </w:p>
    <w:p w:rsidR="001D3714" w:rsidRPr="004C3641" w:rsidRDefault="001D3714">
      <w:pPr>
        <w:pStyle w:val="IssueSubsectionHeading"/>
        <w:rPr>
          <w:vanish/>
          <w:specVanish/>
        </w:rPr>
      </w:pPr>
      <w:r w:rsidRPr="004C3641">
        <w:t>Staff Analysis: </w:t>
      </w:r>
    </w:p>
    <w:p w:rsidR="001D3714" w:rsidRDefault="001D3714">
      <w:pPr>
        <w:pStyle w:val="BodyText"/>
      </w:pPr>
      <w:r>
        <w:t> </w:t>
      </w:r>
      <w:r w:rsidR="00D66163">
        <w:t>If no protest is filed by a person whose substantial interests are affected within 21 days of the issuance of the Order, this docket should be closed upon the issuance of a Consummating Order.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2"/>
      <w:headerReference w:type="first" r:id="rId13"/>
      <w:footerReference w:type="first" r:id="rId14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714" w:rsidRDefault="001D3714">
      <w:r>
        <w:separator/>
      </w:r>
    </w:p>
  </w:endnote>
  <w:endnote w:type="continuationSeparator" w:id="0">
    <w:p w:rsidR="001D3714" w:rsidRDefault="001D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C436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714" w:rsidRDefault="001D3714">
      <w:r>
        <w:separator/>
      </w:r>
    </w:p>
  </w:footnote>
  <w:footnote w:type="continuationSeparator" w:id="0">
    <w:p w:rsidR="001D3714" w:rsidRDefault="001D3714">
      <w:r>
        <w:continuationSeparator/>
      </w:r>
    </w:p>
  </w:footnote>
  <w:footnote w:id="1">
    <w:p w:rsidR="00D02632" w:rsidRDefault="00D02632" w:rsidP="00D02632">
      <w:pPr>
        <w:pStyle w:val="FootnoteText"/>
      </w:pPr>
      <w:r>
        <w:rPr>
          <w:rStyle w:val="FootnoteReference"/>
        </w:rPr>
        <w:footnoteRef/>
      </w:r>
      <w:r>
        <w:t xml:space="preserve"> Order No. 18322, issued October 22, 1987, in Docket No. 870816-EU, </w:t>
      </w:r>
      <w:r w:rsidRPr="002E6AA7">
        <w:rPr>
          <w:i/>
        </w:rPr>
        <w:t>In re: Joint petition for approval of territorial agreement between Florida Power &amp; Light Company and Peace River Electric Cooperative, Inc</w:t>
      </w:r>
      <w:r>
        <w:t>.</w:t>
      </w:r>
    </w:p>
  </w:footnote>
  <w:footnote w:id="2">
    <w:p w:rsidR="00943675" w:rsidRDefault="009436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3675">
        <w:rPr>
          <w:u w:val="single"/>
        </w:rPr>
        <w:t>Utilities Commission of the City of New Smyrna v. Florida Public Service Commission</w:t>
      </w:r>
      <w:r>
        <w:t>, 469 So. 2d 731 (Fla. 1985).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1D3714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B3493">
      <w:t xml:space="preserve"> </w:t>
    </w:r>
    <w:bookmarkStart w:id="15" w:name="DocketList"/>
    <w:r>
      <w:t>150234-EU</w:t>
    </w:r>
    <w:bookmarkEnd w:id="15"/>
  </w:p>
  <w:p w:rsidR="00BB3493" w:rsidRDefault="00BB3493">
    <w:pPr>
      <w:pStyle w:val="Header"/>
    </w:pPr>
    <w:r>
      <w:t xml:space="preserve">Date: </w:t>
    </w:r>
    <w:r w:rsidR="00791D6A">
      <w:fldChar w:fldCharType="begin"/>
    </w:r>
    <w:r w:rsidR="00791D6A">
      <w:instrText xml:space="preserve"> REF FilingDate </w:instrText>
    </w:r>
    <w:r w:rsidR="00791D6A">
      <w:fldChar w:fldCharType="separate"/>
    </w:r>
    <w:r w:rsidR="003C2400">
      <w:t>December 22, 2015</w:t>
    </w:r>
    <w:r w:rsidR="00791D6A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3C2400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3C2400">
      <w:t>150234-EU</w:t>
    </w:r>
    <w:r>
      <w:fldChar w:fldCharType="end"/>
    </w:r>
    <w:r>
      <w:tab/>
      <w:t xml:space="preserve">Issue </w:t>
    </w:r>
    <w:r w:rsidR="00791D6A">
      <w:fldChar w:fldCharType="begin"/>
    </w:r>
    <w:r w:rsidR="00791D6A">
      <w:instrText xml:space="preserve"> Seq Issue \c</w:instrText>
    </w:r>
    <w:r w:rsidR="00791D6A">
      <w:instrText xml:space="preserve"> \* Arabic </w:instrText>
    </w:r>
    <w:r w:rsidR="00791D6A">
      <w:fldChar w:fldCharType="separate"/>
    </w:r>
    <w:r w:rsidR="003C436F">
      <w:rPr>
        <w:noProof/>
      </w:rPr>
      <w:t>2</w:t>
    </w:r>
    <w:r w:rsidR="00791D6A">
      <w:rPr>
        <w:noProof/>
      </w:rPr>
      <w:fldChar w:fldCharType="end"/>
    </w:r>
  </w:p>
  <w:p w:rsidR="00BB3493" w:rsidRDefault="00BB3493">
    <w:pPr>
      <w:pStyle w:val="Header"/>
    </w:pPr>
    <w:r>
      <w:t xml:space="preserve">Date: </w:t>
    </w:r>
    <w:r w:rsidR="00791D6A">
      <w:fldChar w:fldCharType="begin"/>
    </w:r>
    <w:r w:rsidR="00791D6A">
      <w:instrText xml:space="preserve"> REF FilingDate </w:instrText>
    </w:r>
    <w:r w:rsidR="00791D6A">
      <w:fldChar w:fldCharType="separate"/>
    </w:r>
    <w:r w:rsidR="003C2400">
      <w:t>December 22, 2015</w:t>
    </w:r>
    <w:r w:rsidR="00791D6A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BF6F51"/>
    <w:multiLevelType w:val="hybridMultilevel"/>
    <w:tmpl w:val="7E82BCA6"/>
    <w:lvl w:ilvl="0" w:tplc="ED72B9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5E939B7-A965-484E-BA19-E98EC73B167F}"/>
    <w:docVar w:name="dgnword-eventsink" w:val="255766216"/>
    <w:docVar w:name="NumberOfIssues" w:val="0"/>
    <w:docVar w:name="StaffInToC" w:val="True"/>
  </w:docVars>
  <w:rsids>
    <w:rsidRoot w:val="001D3714"/>
    <w:rsid w:val="00010E37"/>
    <w:rsid w:val="000277C2"/>
    <w:rsid w:val="00035B48"/>
    <w:rsid w:val="00036CE2"/>
    <w:rsid w:val="000437FE"/>
    <w:rsid w:val="00065A06"/>
    <w:rsid w:val="000666F3"/>
    <w:rsid w:val="00070DCB"/>
    <w:rsid w:val="00073120"/>
    <w:rsid w:val="000828D3"/>
    <w:rsid w:val="000A2B57"/>
    <w:rsid w:val="000A418B"/>
    <w:rsid w:val="000B7224"/>
    <w:rsid w:val="000C4431"/>
    <w:rsid w:val="000D4319"/>
    <w:rsid w:val="000F374A"/>
    <w:rsid w:val="00117C8C"/>
    <w:rsid w:val="00124E2E"/>
    <w:rsid w:val="00125ED4"/>
    <w:rsid w:val="001305E9"/>
    <w:rsid w:val="001307AF"/>
    <w:rsid w:val="00135687"/>
    <w:rsid w:val="00180254"/>
    <w:rsid w:val="00191E1F"/>
    <w:rsid w:val="00192943"/>
    <w:rsid w:val="001A7406"/>
    <w:rsid w:val="001B4FEE"/>
    <w:rsid w:val="001B51C5"/>
    <w:rsid w:val="001B6F3F"/>
    <w:rsid w:val="001C52B5"/>
    <w:rsid w:val="001D0D3E"/>
    <w:rsid w:val="001D3714"/>
    <w:rsid w:val="001F2245"/>
    <w:rsid w:val="001F6DA1"/>
    <w:rsid w:val="002044E6"/>
    <w:rsid w:val="00205C82"/>
    <w:rsid w:val="00205DC2"/>
    <w:rsid w:val="002163B6"/>
    <w:rsid w:val="00220732"/>
    <w:rsid w:val="00221D32"/>
    <w:rsid w:val="00225C3F"/>
    <w:rsid w:val="00263D44"/>
    <w:rsid w:val="00272D5C"/>
    <w:rsid w:val="00292D82"/>
    <w:rsid w:val="002930A5"/>
    <w:rsid w:val="002963CB"/>
    <w:rsid w:val="002973FA"/>
    <w:rsid w:val="002A0199"/>
    <w:rsid w:val="002D226D"/>
    <w:rsid w:val="002E6AA7"/>
    <w:rsid w:val="002F6030"/>
    <w:rsid w:val="002F78BF"/>
    <w:rsid w:val="003037E1"/>
    <w:rsid w:val="00307E51"/>
    <w:rsid w:val="003103EC"/>
    <w:rsid w:val="003144EF"/>
    <w:rsid w:val="00322F74"/>
    <w:rsid w:val="003269BC"/>
    <w:rsid w:val="00340073"/>
    <w:rsid w:val="00372805"/>
    <w:rsid w:val="00373180"/>
    <w:rsid w:val="00375AB9"/>
    <w:rsid w:val="003821A0"/>
    <w:rsid w:val="00385B04"/>
    <w:rsid w:val="003A22A6"/>
    <w:rsid w:val="003A5494"/>
    <w:rsid w:val="003B2510"/>
    <w:rsid w:val="003C2400"/>
    <w:rsid w:val="003C2CC4"/>
    <w:rsid w:val="003C436F"/>
    <w:rsid w:val="003E0EFC"/>
    <w:rsid w:val="003E4A2B"/>
    <w:rsid w:val="003E76C2"/>
    <w:rsid w:val="003F1679"/>
    <w:rsid w:val="003F4A35"/>
    <w:rsid w:val="003F7FDD"/>
    <w:rsid w:val="00402481"/>
    <w:rsid w:val="004042B4"/>
    <w:rsid w:val="00412DAE"/>
    <w:rsid w:val="00431598"/>
    <w:rsid w:val="00444432"/>
    <w:rsid w:val="00453B33"/>
    <w:rsid w:val="00471860"/>
    <w:rsid w:val="004C3150"/>
    <w:rsid w:val="004C3641"/>
    <w:rsid w:val="004C4390"/>
    <w:rsid w:val="004C4AF7"/>
    <w:rsid w:val="004D2881"/>
    <w:rsid w:val="004D385F"/>
    <w:rsid w:val="004D5B39"/>
    <w:rsid w:val="004E5147"/>
    <w:rsid w:val="00506C03"/>
    <w:rsid w:val="0052572A"/>
    <w:rsid w:val="00543CB3"/>
    <w:rsid w:val="005614BD"/>
    <w:rsid w:val="00561CC9"/>
    <w:rsid w:val="0057154F"/>
    <w:rsid w:val="00581CA3"/>
    <w:rsid w:val="00597730"/>
    <w:rsid w:val="00597DE7"/>
    <w:rsid w:val="005A4AA2"/>
    <w:rsid w:val="005B34B6"/>
    <w:rsid w:val="005B6C8F"/>
    <w:rsid w:val="005D0F74"/>
    <w:rsid w:val="005D2E7D"/>
    <w:rsid w:val="005D4A8F"/>
    <w:rsid w:val="005D561B"/>
    <w:rsid w:val="005F468D"/>
    <w:rsid w:val="005F69A3"/>
    <w:rsid w:val="00615423"/>
    <w:rsid w:val="006165B2"/>
    <w:rsid w:val="00617276"/>
    <w:rsid w:val="00625D97"/>
    <w:rsid w:val="00625F1C"/>
    <w:rsid w:val="00630CEB"/>
    <w:rsid w:val="00632264"/>
    <w:rsid w:val="006470BC"/>
    <w:rsid w:val="00667036"/>
    <w:rsid w:val="00673BDB"/>
    <w:rsid w:val="006771B8"/>
    <w:rsid w:val="0068481F"/>
    <w:rsid w:val="00696F5D"/>
    <w:rsid w:val="00697249"/>
    <w:rsid w:val="006B3947"/>
    <w:rsid w:val="006B4293"/>
    <w:rsid w:val="006C31E3"/>
    <w:rsid w:val="006C42F4"/>
    <w:rsid w:val="006F03AF"/>
    <w:rsid w:val="00705B04"/>
    <w:rsid w:val="00734820"/>
    <w:rsid w:val="007349DC"/>
    <w:rsid w:val="0074040B"/>
    <w:rsid w:val="0074365E"/>
    <w:rsid w:val="007515FD"/>
    <w:rsid w:val="00760D80"/>
    <w:rsid w:val="00780C09"/>
    <w:rsid w:val="00780DDF"/>
    <w:rsid w:val="007834E9"/>
    <w:rsid w:val="00787DBC"/>
    <w:rsid w:val="007A04A1"/>
    <w:rsid w:val="007A1840"/>
    <w:rsid w:val="007B54EA"/>
    <w:rsid w:val="007C0528"/>
    <w:rsid w:val="007C3D38"/>
    <w:rsid w:val="007D0F35"/>
    <w:rsid w:val="007D4FEB"/>
    <w:rsid w:val="007D6146"/>
    <w:rsid w:val="007E0CE7"/>
    <w:rsid w:val="007F34B9"/>
    <w:rsid w:val="007F417F"/>
    <w:rsid w:val="00816624"/>
    <w:rsid w:val="00822562"/>
    <w:rsid w:val="00823663"/>
    <w:rsid w:val="00832DDC"/>
    <w:rsid w:val="00842314"/>
    <w:rsid w:val="00850BAC"/>
    <w:rsid w:val="00854A3E"/>
    <w:rsid w:val="00855D08"/>
    <w:rsid w:val="00874344"/>
    <w:rsid w:val="00882155"/>
    <w:rsid w:val="0088233B"/>
    <w:rsid w:val="0088599E"/>
    <w:rsid w:val="00886C37"/>
    <w:rsid w:val="008B62AE"/>
    <w:rsid w:val="008C04B5"/>
    <w:rsid w:val="008C14FA"/>
    <w:rsid w:val="008D4057"/>
    <w:rsid w:val="008F2262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45D6"/>
    <w:rsid w:val="00920E64"/>
    <w:rsid w:val="00922002"/>
    <w:rsid w:val="00924020"/>
    <w:rsid w:val="009271A7"/>
    <w:rsid w:val="0093658B"/>
    <w:rsid w:val="009429FF"/>
    <w:rsid w:val="00943675"/>
    <w:rsid w:val="00945BD6"/>
    <w:rsid w:val="009479FB"/>
    <w:rsid w:val="00951C45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C3DB9"/>
    <w:rsid w:val="009D46E5"/>
    <w:rsid w:val="009D568A"/>
    <w:rsid w:val="009E3DA5"/>
    <w:rsid w:val="009F04EC"/>
    <w:rsid w:val="009F3B36"/>
    <w:rsid w:val="009F78CE"/>
    <w:rsid w:val="00A0114A"/>
    <w:rsid w:val="00A019B9"/>
    <w:rsid w:val="00A03347"/>
    <w:rsid w:val="00A12508"/>
    <w:rsid w:val="00A1282B"/>
    <w:rsid w:val="00A13A27"/>
    <w:rsid w:val="00A175B6"/>
    <w:rsid w:val="00A21835"/>
    <w:rsid w:val="00A328EC"/>
    <w:rsid w:val="00A33A51"/>
    <w:rsid w:val="00A41CA6"/>
    <w:rsid w:val="00A47927"/>
    <w:rsid w:val="00A47D77"/>
    <w:rsid w:val="00A47FFC"/>
    <w:rsid w:val="00A5442F"/>
    <w:rsid w:val="00A54FF9"/>
    <w:rsid w:val="00A56765"/>
    <w:rsid w:val="00A60D0E"/>
    <w:rsid w:val="00A675AC"/>
    <w:rsid w:val="00A7581F"/>
    <w:rsid w:val="00A92FB1"/>
    <w:rsid w:val="00A95A0C"/>
    <w:rsid w:val="00AA2765"/>
    <w:rsid w:val="00AA77B5"/>
    <w:rsid w:val="00AB6C5D"/>
    <w:rsid w:val="00AC51A7"/>
    <w:rsid w:val="00AF5F89"/>
    <w:rsid w:val="00AF73CB"/>
    <w:rsid w:val="00B002D6"/>
    <w:rsid w:val="00B05B51"/>
    <w:rsid w:val="00B12664"/>
    <w:rsid w:val="00B15370"/>
    <w:rsid w:val="00B1663E"/>
    <w:rsid w:val="00B17BEB"/>
    <w:rsid w:val="00B21A3C"/>
    <w:rsid w:val="00B223C0"/>
    <w:rsid w:val="00B234ED"/>
    <w:rsid w:val="00B25CA3"/>
    <w:rsid w:val="00B26E03"/>
    <w:rsid w:val="00B57A6A"/>
    <w:rsid w:val="00B63769"/>
    <w:rsid w:val="00B657F2"/>
    <w:rsid w:val="00B760F1"/>
    <w:rsid w:val="00B7669E"/>
    <w:rsid w:val="00B77DA1"/>
    <w:rsid w:val="00BA0D55"/>
    <w:rsid w:val="00BA37B3"/>
    <w:rsid w:val="00BA4CC6"/>
    <w:rsid w:val="00BB3493"/>
    <w:rsid w:val="00BC188A"/>
    <w:rsid w:val="00BF5010"/>
    <w:rsid w:val="00BF6F9F"/>
    <w:rsid w:val="00C054BC"/>
    <w:rsid w:val="00C13791"/>
    <w:rsid w:val="00C31BB3"/>
    <w:rsid w:val="00C36977"/>
    <w:rsid w:val="00C477D9"/>
    <w:rsid w:val="00C60BA3"/>
    <w:rsid w:val="00C623F7"/>
    <w:rsid w:val="00C81773"/>
    <w:rsid w:val="00C86896"/>
    <w:rsid w:val="00C907A8"/>
    <w:rsid w:val="00C93211"/>
    <w:rsid w:val="00C942EC"/>
    <w:rsid w:val="00C96047"/>
    <w:rsid w:val="00C979D0"/>
    <w:rsid w:val="00CA0818"/>
    <w:rsid w:val="00CA2C8F"/>
    <w:rsid w:val="00CA30DA"/>
    <w:rsid w:val="00CA3A24"/>
    <w:rsid w:val="00CB1777"/>
    <w:rsid w:val="00CB1ED2"/>
    <w:rsid w:val="00CB33E9"/>
    <w:rsid w:val="00CB5B6B"/>
    <w:rsid w:val="00CC10A9"/>
    <w:rsid w:val="00CE2BF8"/>
    <w:rsid w:val="00CE484E"/>
    <w:rsid w:val="00CF0DA8"/>
    <w:rsid w:val="00CF2E25"/>
    <w:rsid w:val="00CF4453"/>
    <w:rsid w:val="00D02632"/>
    <w:rsid w:val="00D034D7"/>
    <w:rsid w:val="00D04BE4"/>
    <w:rsid w:val="00D14127"/>
    <w:rsid w:val="00D27BDE"/>
    <w:rsid w:val="00D60F02"/>
    <w:rsid w:val="00D66163"/>
    <w:rsid w:val="00D66E49"/>
    <w:rsid w:val="00D72F74"/>
    <w:rsid w:val="00D81563"/>
    <w:rsid w:val="00D82C0E"/>
    <w:rsid w:val="00D9073E"/>
    <w:rsid w:val="00D9221D"/>
    <w:rsid w:val="00D958DF"/>
    <w:rsid w:val="00D96DA1"/>
    <w:rsid w:val="00DA51E7"/>
    <w:rsid w:val="00DB1C78"/>
    <w:rsid w:val="00DB2CC6"/>
    <w:rsid w:val="00DB7D96"/>
    <w:rsid w:val="00DC23FE"/>
    <w:rsid w:val="00DC59E6"/>
    <w:rsid w:val="00DD150B"/>
    <w:rsid w:val="00DD5025"/>
    <w:rsid w:val="00E06484"/>
    <w:rsid w:val="00E20A7D"/>
    <w:rsid w:val="00E275D8"/>
    <w:rsid w:val="00E375CA"/>
    <w:rsid w:val="00E567E8"/>
    <w:rsid w:val="00E64679"/>
    <w:rsid w:val="00E65EBC"/>
    <w:rsid w:val="00E73432"/>
    <w:rsid w:val="00E77B0C"/>
    <w:rsid w:val="00E77FB8"/>
    <w:rsid w:val="00E838B0"/>
    <w:rsid w:val="00E86A7C"/>
    <w:rsid w:val="00E878E1"/>
    <w:rsid w:val="00E95278"/>
    <w:rsid w:val="00EA2273"/>
    <w:rsid w:val="00EB0750"/>
    <w:rsid w:val="00EB2DB3"/>
    <w:rsid w:val="00EC3FBB"/>
    <w:rsid w:val="00EC6B7A"/>
    <w:rsid w:val="00ED3A87"/>
    <w:rsid w:val="00ED5B67"/>
    <w:rsid w:val="00EF3FEE"/>
    <w:rsid w:val="00F04B59"/>
    <w:rsid w:val="00F0747E"/>
    <w:rsid w:val="00F11741"/>
    <w:rsid w:val="00F12B1C"/>
    <w:rsid w:val="00F13CF8"/>
    <w:rsid w:val="00F15855"/>
    <w:rsid w:val="00F32978"/>
    <w:rsid w:val="00F45CB2"/>
    <w:rsid w:val="00F544C0"/>
    <w:rsid w:val="00F55332"/>
    <w:rsid w:val="00F65519"/>
    <w:rsid w:val="00F713C0"/>
    <w:rsid w:val="00F75DDC"/>
    <w:rsid w:val="00F853E1"/>
    <w:rsid w:val="00FA17AC"/>
    <w:rsid w:val="00FA32DE"/>
    <w:rsid w:val="00FA3382"/>
    <w:rsid w:val="00FA59CD"/>
    <w:rsid w:val="00FB1740"/>
    <w:rsid w:val="00FC6D7D"/>
    <w:rsid w:val="00FD16B0"/>
    <w:rsid w:val="00FD4FED"/>
    <w:rsid w:val="00FD53AE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pPr>
      <w:tabs>
        <w:tab w:val="left" w:pos="864"/>
        <w:tab w:val="right" w:pos="9360"/>
      </w:tabs>
    </w:pPr>
    <w:rPr>
      <w:u w:val="words"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rsid w:val="009436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pPr>
      <w:tabs>
        <w:tab w:val="left" w:pos="864"/>
        <w:tab w:val="right" w:pos="9360"/>
      </w:tabs>
    </w:pPr>
    <w:rPr>
      <w:u w:val="words"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rsid w:val="00943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330C7-76E7-4B81-89A2-4DD54585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1</TotalTime>
  <Pages>3</Pages>
  <Words>679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Sue Ollila</dc:creator>
  <cp:lastModifiedBy>Jackie Colson</cp:lastModifiedBy>
  <cp:revision>2</cp:revision>
  <cp:lastPrinted>2015-12-14T15:12:00Z</cp:lastPrinted>
  <dcterms:created xsi:type="dcterms:W3CDTF">2015-12-22T14:50:00Z</dcterms:created>
  <dcterms:modified xsi:type="dcterms:W3CDTF">2015-12-22T14:50:00Z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150234-EU</vt:lpwstr>
  </property>
  <property fmtid="{D5CDD505-2E9C-101B-9397-08002B2CF9AE}" pid="3" name="MasterDocument">
    <vt:bool>false</vt:bool>
  </property>
</Properties>
</file>