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14CCA" w:rsidP="00814CCA">
      <w:pPr>
        <w:pStyle w:val="OrderHeading"/>
      </w:pPr>
      <w:r>
        <w:t>BEFORE THE FLORIDA PUBLIC SERVICE COMMISSION</w:t>
      </w:r>
    </w:p>
    <w:p w:rsidR="00814CCA" w:rsidRDefault="00814CCA" w:rsidP="00814CCA">
      <w:pPr>
        <w:pStyle w:val="OrderHeading"/>
      </w:pPr>
    </w:p>
    <w:p w:rsidR="00814CCA" w:rsidRDefault="00814CCA" w:rsidP="00814C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4CCA" w:rsidRPr="00C63FCF" w:rsidTr="002C128A">
        <w:trPr>
          <w:trHeight w:val="828"/>
        </w:trPr>
        <w:tc>
          <w:tcPr>
            <w:tcW w:w="4788" w:type="dxa"/>
            <w:tcBorders>
              <w:bottom w:val="single" w:sz="8" w:space="0" w:color="auto"/>
              <w:right w:val="double" w:sz="6" w:space="0" w:color="auto"/>
            </w:tcBorders>
            <w:shd w:val="clear" w:color="auto" w:fill="auto"/>
          </w:tcPr>
          <w:p w:rsidR="00814CCA" w:rsidRDefault="00814CCA" w:rsidP="002C128A">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14CCA" w:rsidRDefault="00814CCA" w:rsidP="00814CCA">
            <w:pPr>
              <w:pStyle w:val="OrderBody"/>
            </w:pPr>
            <w:r>
              <w:t xml:space="preserve">DOCKET NO. </w:t>
            </w:r>
            <w:bookmarkStart w:id="1" w:name="SSDocketNo"/>
            <w:bookmarkEnd w:id="1"/>
            <w:r>
              <w:t>150001-EI</w:t>
            </w:r>
          </w:p>
          <w:p w:rsidR="00814CCA" w:rsidRDefault="00814CCA" w:rsidP="002C128A">
            <w:pPr>
              <w:pStyle w:val="OrderBody"/>
              <w:tabs>
                <w:tab w:val="center" w:pos="4320"/>
                <w:tab w:val="right" w:pos="8640"/>
              </w:tabs>
              <w:jc w:val="left"/>
            </w:pPr>
            <w:r>
              <w:t xml:space="preserve">ORDER NO. </w:t>
            </w:r>
            <w:bookmarkStart w:id="2" w:name="OrderNo0586"/>
            <w:r w:rsidR="008E1791">
              <w:t>PSC-15-0586-FOF-EI</w:t>
            </w:r>
            <w:bookmarkEnd w:id="2"/>
          </w:p>
          <w:p w:rsidR="00814CCA" w:rsidRDefault="00814CCA" w:rsidP="002C128A">
            <w:pPr>
              <w:pStyle w:val="OrderBody"/>
              <w:tabs>
                <w:tab w:val="center" w:pos="4320"/>
                <w:tab w:val="right" w:pos="8640"/>
              </w:tabs>
              <w:jc w:val="left"/>
            </w:pPr>
            <w:r>
              <w:t xml:space="preserve">ISSUED: </w:t>
            </w:r>
            <w:r w:rsidR="008E1791">
              <w:t>December 23, 2015</w:t>
            </w:r>
          </w:p>
        </w:tc>
      </w:tr>
    </w:tbl>
    <w:p w:rsidR="00814CCA" w:rsidRDefault="00814CCA" w:rsidP="00814CCA"/>
    <w:p w:rsidR="00814CCA" w:rsidRPr="00E46E1F" w:rsidRDefault="00814CCA">
      <w:pPr>
        <w:ind w:firstLine="720"/>
        <w:jc w:val="both"/>
      </w:pPr>
      <w:bookmarkStart w:id="3" w:name="Commissioners"/>
      <w:bookmarkEnd w:id="3"/>
      <w:r w:rsidRPr="00E46E1F">
        <w:t>The following Commissioners participated in the disposition of this matter:</w:t>
      </w:r>
    </w:p>
    <w:p w:rsidR="00814CCA" w:rsidRPr="00E46E1F" w:rsidRDefault="00814CCA"/>
    <w:p w:rsidR="00814CCA" w:rsidRDefault="00814CCA">
      <w:pPr>
        <w:jc w:val="center"/>
      </w:pPr>
      <w:r>
        <w:t>ART GRAHAM</w:t>
      </w:r>
      <w:r w:rsidRPr="00E46E1F">
        <w:t>, Chairman</w:t>
      </w:r>
    </w:p>
    <w:p w:rsidR="00814CCA" w:rsidRPr="00E46E1F" w:rsidRDefault="00814CCA">
      <w:pPr>
        <w:jc w:val="center"/>
      </w:pPr>
      <w:r w:rsidRPr="00E46E1F">
        <w:t>LISA POLAK EDGAR</w:t>
      </w:r>
    </w:p>
    <w:p w:rsidR="00814CCA" w:rsidRDefault="00814CCA">
      <w:pPr>
        <w:jc w:val="center"/>
      </w:pPr>
      <w:r>
        <w:t>RONALD A. BRISÉ</w:t>
      </w:r>
    </w:p>
    <w:p w:rsidR="00814CCA" w:rsidRDefault="00814CCA">
      <w:pPr>
        <w:jc w:val="center"/>
      </w:pPr>
      <w:r>
        <w:t>JULIE I. BROWN</w:t>
      </w:r>
    </w:p>
    <w:p w:rsidR="00814CCA" w:rsidRDefault="00814CCA">
      <w:pPr>
        <w:jc w:val="center"/>
      </w:pPr>
      <w:r>
        <w:t>JIMMY PATRONIS</w:t>
      </w:r>
    </w:p>
    <w:p w:rsidR="00CB5276" w:rsidRDefault="00CB5276">
      <w:pPr>
        <w:pStyle w:val="OrderBody"/>
      </w:pPr>
    </w:p>
    <w:p w:rsidR="00934AB6" w:rsidRPr="00934AB6" w:rsidRDefault="00814CCA" w:rsidP="00934AB6">
      <w:pPr>
        <w:pStyle w:val="BodyText"/>
        <w:jc w:val="center"/>
        <w:rPr>
          <w:u w:val="single"/>
        </w:rPr>
      </w:pPr>
      <w:bookmarkStart w:id="4" w:name="OrderTitle"/>
      <w:r w:rsidRPr="00934AB6">
        <w:rPr>
          <w:u w:val="single"/>
        </w:rPr>
        <w:t>FINAL ORDER APPROVING EXPENDITURES AND TRUE-UP AMOUNTS FOR FUEL ADJUSTMENT FACTORS; GPIF TARGETS, RANGES, AND REWARDS; AND PROJECTED EXPENDITURES AND TRUE-UP AMOUNTS FOR CAPACITY COST RECOVERY FACTORS</w:t>
      </w:r>
      <w:bookmarkStart w:id="5" w:name="OrderText"/>
      <w:bookmarkEnd w:id="5"/>
    </w:p>
    <w:p w:rsidR="00814CCA" w:rsidRDefault="00814CCA" w:rsidP="00814CCA">
      <w:pPr>
        <w:pStyle w:val="CenterUnderline"/>
      </w:pPr>
    </w:p>
    <w:bookmarkEnd w:id="4"/>
    <w:p w:rsidR="00814CCA" w:rsidRPr="00701945" w:rsidRDefault="00814CCA" w:rsidP="00814CCA">
      <w:pPr>
        <w:jc w:val="both"/>
      </w:pPr>
      <w:r w:rsidRPr="00701945">
        <w:t>APPEARANCES:</w:t>
      </w:r>
    </w:p>
    <w:p w:rsidR="00814CCA" w:rsidRPr="00701945" w:rsidRDefault="00814CCA" w:rsidP="00814CCA">
      <w:pPr>
        <w:jc w:val="both"/>
      </w:pPr>
    </w:p>
    <w:p w:rsidR="00814CCA" w:rsidRPr="00EE7F55" w:rsidRDefault="00814CCA" w:rsidP="00814CCA">
      <w:pPr>
        <w:ind w:left="1440"/>
        <w:jc w:val="both"/>
      </w:pPr>
      <w:r>
        <w:rPr>
          <w:caps/>
        </w:rPr>
        <w:t>R. WADE LITCHFIELD</w:t>
      </w:r>
      <w:r>
        <w:t>,</w:t>
      </w:r>
      <w:r w:rsidRPr="00900721">
        <w:t xml:space="preserve"> </w:t>
      </w:r>
      <w:r w:rsidRPr="00EE7F55">
        <w:rPr>
          <w:caps/>
        </w:rPr>
        <w:t>JOHN T. BUTLER</w:t>
      </w:r>
      <w:r>
        <w:rPr>
          <w:caps/>
        </w:rPr>
        <w:t>,</w:t>
      </w:r>
      <w:r w:rsidRPr="00EE7F55">
        <w:t xml:space="preserve"> </w:t>
      </w:r>
      <w:r>
        <w:t xml:space="preserve">and </w:t>
      </w:r>
      <w:r w:rsidRPr="000E0FDA">
        <w:t>MARIA J. MONCADA</w:t>
      </w:r>
      <w:r>
        <w:t xml:space="preserve">, </w:t>
      </w:r>
      <w:r w:rsidRPr="00EE7F55">
        <w:t>ESQUIRES, Florida Power &amp; Light Company, 700 Universe Boulevard, Juno Beach, Florida 33408-0420</w:t>
      </w:r>
    </w:p>
    <w:p w:rsidR="00814CCA" w:rsidRPr="00EE7F55" w:rsidRDefault="00814CCA" w:rsidP="00814CCA">
      <w:pPr>
        <w:ind w:left="1440"/>
        <w:jc w:val="both"/>
      </w:pPr>
      <w:r w:rsidRPr="00EE7F55">
        <w:rPr>
          <w:u w:val="single"/>
        </w:rPr>
        <w:t>On behalf of Florida Power &amp; Light Company (FPL)</w:t>
      </w:r>
    </w:p>
    <w:p w:rsidR="00814CCA" w:rsidRPr="00EE7F55" w:rsidRDefault="00814CCA" w:rsidP="00814CCA">
      <w:pPr>
        <w:jc w:val="both"/>
      </w:pPr>
    </w:p>
    <w:p w:rsidR="00814CCA" w:rsidRPr="00EE7F55" w:rsidRDefault="00814CCA" w:rsidP="00814CCA">
      <w:pPr>
        <w:ind w:left="1440"/>
        <w:jc w:val="both"/>
      </w:pPr>
      <w:r w:rsidRPr="00EE7F55">
        <w:t>JOHN T. BURNETT, DIANNE M. TRIPLETT,</w:t>
      </w:r>
      <w:r>
        <w:t xml:space="preserve"> and MATTHEW BERNIER,</w:t>
      </w:r>
      <w:r w:rsidRPr="00EE7F55">
        <w:t xml:space="preserve"> ESQUIRES, 106 East Colle</w:t>
      </w:r>
      <w:r>
        <w:t>ge Avenue, Tallahassee, Florida</w:t>
      </w:r>
      <w:r w:rsidRPr="00EE7F55">
        <w:t xml:space="preserve"> 32301-7740 </w:t>
      </w:r>
    </w:p>
    <w:p w:rsidR="00814CCA" w:rsidRPr="00EE7F55" w:rsidRDefault="00814CCA" w:rsidP="00814CCA">
      <w:pPr>
        <w:ind w:left="720" w:firstLine="720"/>
        <w:jc w:val="both"/>
      </w:pPr>
      <w:r w:rsidRPr="00EE7F55">
        <w:rPr>
          <w:u w:val="single"/>
        </w:rPr>
        <w:t xml:space="preserve">On behalf of Duke Energy Florida, </w:t>
      </w:r>
      <w:r w:rsidR="00BD27A8">
        <w:rPr>
          <w:u w:val="single"/>
        </w:rPr>
        <w:t>LLC</w:t>
      </w:r>
      <w:r w:rsidRPr="00EE7F55">
        <w:rPr>
          <w:u w:val="single"/>
        </w:rPr>
        <w:t xml:space="preserve"> (DEF)</w:t>
      </w:r>
    </w:p>
    <w:p w:rsidR="00814CCA" w:rsidRPr="00EE7F55" w:rsidRDefault="00814CCA" w:rsidP="00814CCA">
      <w:pPr>
        <w:ind w:left="720" w:firstLine="720"/>
        <w:jc w:val="both"/>
      </w:pPr>
    </w:p>
    <w:p w:rsidR="00814CCA" w:rsidRPr="00EE7F55" w:rsidRDefault="00814CCA" w:rsidP="00814CCA">
      <w:pPr>
        <w:ind w:left="1440"/>
        <w:jc w:val="both"/>
      </w:pPr>
      <w:r w:rsidRPr="00EE7F55">
        <w:t xml:space="preserve">BETH KEATING, ESQUIRE, Gunster, Yoakley &amp; Stewart, P.A., 215 South Monroe St., </w:t>
      </w:r>
      <w:r>
        <w:t>Suite 601, Tallahassee, Florida</w:t>
      </w:r>
      <w:r w:rsidRPr="00EE7F55">
        <w:t xml:space="preserve"> 32301</w:t>
      </w:r>
    </w:p>
    <w:p w:rsidR="00814CCA" w:rsidRPr="00EE7F55" w:rsidRDefault="00814CCA" w:rsidP="00814CCA">
      <w:pPr>
        <w:jc w:val="both"/>
      </w:pPr>
      <w:r w:rsidRPr="00EE7F55">
        <w:tab/>
      </w:r>
      <w:r w:rsidRPr="00EE7F55">
        <w:tab/>
      </w:r>
      <w:r w:rsidRPr="00EE7F55">
        <w:rPr>
          <w:u w:val="single"/>
        </w:rPr>
        <w:t>On behalf of Florida Public Utilities Company (FPUC)</w:t>
      </w:r>
    </w:p>
    <w:p w:rsidR="00814CCA" w:rsidRPr="00EE7F55" w:rsidRDefault="00814CCA" w:rsidP="00814CCA">
      <w:pPr>
        <w:jc w:val="both"/>
      </w:pPr>
    </w:p>
    <w:p w:rsidR="00814CCA" w:rsidRPr="00EE7F55" w:rsidRDefault="00814CCA" w:rsidP="00814CCA">
      <w:pPr>
        <w:ind w:left="1440" w:hanging="1440"/>
        <w:jc w:val="both"/>
      </w:pPr>
      <w:r w:rsidRPr="00EE7F55">
        <w:tab/>
        <w:t>JEFFREY A. STONE, RUSSELL A. BADDERS, and STEVEN R. GRIFFIN, ESQUIRES, Beggs &amp; Lane, Post Office Box 12950, Pensacola, Florida 32591</w:t>
      </w:r>
      <w:r w:rsidRPr="00EE7F55">
        <w:noBreakHyphen/>
        <w:t>2950</w:t>
      </w:r>
    </w:p>
    <w:p w:rsidR="00814CCA" w:rsidRPr="00EE7F55" w:rsidRDefault="00814CCA" w:rsidP="00814CCA">
      <w:pPr>
        <w:ind w:left="1440" w:hanging="1440"/>
        <w:jc w:val="both"/>
      </w:pPr>
      <w:r w:rsidRPr="00EE7F55">
        <w:tab/>
      </w:r>
      <w:r w:rsidRPr="00EE7F55">
        <w:rPr>
          <w:u w:val="single"/>
        </w:rPr>
        <w:t>On behalf of Gulf Power Company (G</w:t>
      </w:r>
      <w:r>
        <w:rPr>
          <w:u w:val="single"/>
        </w:rPr>
        <w:t>ULF</w:t>
      </w:r>
      <w:r w:rsidRPr="00EE7F55">
        <w:rPr>
          <w:u w:val="single"/>
        </w:rPr>
        <w:t>)</w:t>
      </w:r>
    </w:p>
    <w:p w:rsidR="00814CCA" w:rsidRPr="00EE7F55" w:rsidRDefault="00814CCA" w:rsidP="00814CCA">
      <w:pPr>
        <w:jc w:val="both"/>
      </w:pPr>
    </w:p>
    <w:p w:rsidR="00814CCA" w:rsidRPr="00EE7F55" w:rsidRDefault="00814CCA" w:rsidP="00814CCA">
      <w:pPr>
        <w:ind w:left="1440" w:hanging="1440"/>
        <w:jc w:val="both"/>
        <w:rPr>
          <w:rFonts w:cs="Arial"/>
          <w:spacing w:val="-3"/>
        </w:rPr>
      </w:pPr>
      <w:r w:rsidRPr="00EE7F55">
        <w:tab/>
      </w:r>
      <w:r>
        <w:rPr>
          <w:rFonts w:cs="Arial"/>
          <w:spacing w:val="-3"/>
        </w:rPr>
        <w:t xml:space="preserve">JAMES D. BEASLEY, </w:t>
      </w:r>
      <w:r w:rsidRPr="00EE7F55">
        <w:rPr>
          <w:rFonts w:cs="Arial"/>
          <w:spacing w:val="-3"/>
        </w:rPr>
        <w:t>J. JEFFRY WAHLEN</w:t>
      </w:r>
      <w:r>
        <w:rPr>
          <w:rFonts w:cs="Arial"/>
          <w:spacing w:val="-3"/>
        </w:rPr>
        <w:t xml:space="preserve">, and </w:t>
      </w:r>
      <w:r w:rsidRPr="00EE7F55">
        <w:rPr>
          <w:rFonts w:cs="Arial"/>
          <w:spacing w:val="-3"/>
        </w:rPr>
        <w:t>ASHLEY M. DANIELS, ESQUIRES, Ausley &amp; McMullen, Post Office Box 391, Tallahassee, Florida 32302</w:t>
      </w:r>
    </w:p>
    <w:p w:rsidR="00814CCA" w:rsidRPr="00EE7F55" w:rsidRDefault="00814CCA" w:rsidP="00814CCA">
      <w:pPr>
        <w:ind w:left="1440" w:hanging="1440"/>
        <w:jc w:val="both"/>
        <w:rPr>
          <w:rFonts w:cs="Arial"/>
          <w:spacing w:val="-3"/>
        </w:rPr>
      </w:pPr>
      <w:r w:rsidRPr="00EE7F55">
        <w:rPr>
          <w:rFonts w:cs="Arial"/>
          <w:spacing w:val="-3"/>
        </w:rPr>
        <w:tab/>
      </w:r>
      <w:r w:rsidRPr="00EE7F55">
        <w:rPr>
          <w:rFonts w:cs="Arial"/>
          <w:spacing w:val="-3"/>
          <w:u w:val="single"/>
        </w:rPr>
        <w:t>On behalf of Tampa Electric Company (TECO)</w:t>
      </w:r>
    </w:p>
    <w:p w:rsidR="00814CCA" w:rsidRPr="00EE7F55" w:rsidRDefault="00814CCA" w:rsidP="00814CCA">
      <w:pPr>
        <w:ind w:left="1440" w:hanging="1440"/>
        <w:jc w:val="both"/>
        <w:rPr>
          <w:rFonts w:cs="Arial"/>
          <w:spacing w:val="-3"/>
        </w:rPr>
      </w:pPr>
    </w:p>
    <w:p w:rsidR="00814CCA" w:rsidRPr="00EE7F55" w:rsidRDefault="00814CCA" w:rsidP="00814CCA">
      <w:pPr>
        <w:ind w:left="1440" w:hanging="1440"/>
        <w:jc w:val="both"/>
      </w:pPr>
      <w:r w:rsidRPr="00EE7F55">
        <w:rPr>
          <w:rFonts w:cs="Arial"/>
          <w:spacing w:val="-3"/>
        </w:rPr>
        <w:lastRenderedPageBreak/>
        <w:tab/>
        <w:t xml:space="preserve">J.R. KELLY, </w:t>
      </w:r>
      <w:r w:rsidRPr="00EE7F55">
        <w:t>PATRICIA A. CHRISTENSEN, CHARLES REHWINKEL,</w:t>
      </w:r>
      <w:r w:rsidRPr="00EE7F55">
        <w:rPr>
          <w:rFonts w:cs="Arial"/>
          <w:spacing w:val="-3"/>
        </w:rPr>
        <w:t xml:space="preserve"> </w:t>
      </w:r>
      <w:r>
        <w:rPr>
          <w:rFonts w:cs="Arial"/>
          <w:spacing w:val="-3"/>
        </w:rPr>
        <w:t xml:space="preserve">and </w:t>
      </w:r>
      <w:r>
        <w:t>ERIK SAYLER</w:t>
      </w:r>
      <w:r w:rsidRPr="00EE7F55">
        <w:t>, ESQUIRES, Office of Public Counsel, c/o The Florida Legislature, 111 West Madison Street, Room 812, Tallahassee, Florida 32399-1400</w:t>
      </w:r>
    </w:p>
    <w:p w:rsidR="00814CCA" w:rsidRPr="00EE7F55" w:rsidRDefault="00814CCA" w:rsidP="00814CCA">
      <w:pPr>
        <w:ind w:left="1440" w:hanging="1440"/>
        <w:jc w:val="both"/>
      </w:pPr>
      <w:r w:rsidRPr="00EE7F55">
        <w:tab/>
      </w:r>
      <w:r w:rsidRPr="00EE7F55">
        <w:rPr>
          <w:u w:val="single"/>
        </w:rPr>
        <w:t>On behalf of the Citizens of the State of Florida (OPC)</w:t>
      </w:r>
    </w:p>
    <w:p w:rsidR="00814CCA" w:rsidRPr="00EE7F55" w:rsidRDefault="00814CCA" w:rsidP="00814CCA"/>
    <w:p w:rsidR="00814CCA" w:rsidRPr="00EE7F55" w:rsidRDefault="00814CCA" w:rsidP="00814CCA">
      <w:pPr>
        <w:ind w:left="1440" w:hanging="1440"/>
        <w:jc w:val="both"/>
        <w:rPr>
          <w:bCs/>
        </w:rPr>
      </w:pPr>
      <w:r w:rsidRPr="00EE7F55">
        <w:tab/>
      </w:r>
      <w:r>
        <w:rPr>
          <w:bCs/>
        </w:rPr>
        <w:t>JON C. MOYLE, JR.</w:t>
      </w:r>
      <w:r w:rsidR="00D06B0E">
        <w:rPr>
          <w:bCs/>
        </w:rPr>
        <w:t xml:space="preserve"> and</w:t>
      </w:r>
      <w:r>
        <w:rPr>
          <w:bCs/>
        </w:rPr>
        <w:t xml:space="preserve"> </w:t>
      </w:r>
      <w:r w:rsidRPr="00EE7F55">
        <w:rPr>
          <w:bCs/>
        </w:rPr>
        <w:t>KAREN PUTNAL, ESQUIRES, Moyle Law Firm, PA, The Perkins House, 118 North Gadsden Street, Tallahassee, Florida 32301</w:t>
      </w:r>
    </w:p>
    <w:p w:rsidR="00814CCA" w:rsidRPr="00EE7F55" w:rsidRDefault="00814CCA" w:rsidP="00814CCA">
      <w:pPr>
        <w:ind w:left="1440" w:hanging="1440"/>
        <w:jc w:val="both"/>
        <w:rPr>
          <w:u w:val="single"/>
        </w:rPr>
      </w:pPr>
      <w:r w:rsidRPr="00EE7F55">
        <w:rPr>
          <w:bCs/>
        </w:rPr>
        <w:tab/>
      </w:r>
      <w:r w:rsidRPr="00EE7F55">
        <w:rPr>
          <w:bCs/>
          <w:u w:val="single"/>
        </w:rPr>
        <w:t>On behalf of the Florida Industrial Power Users Group (FIPUG)</w:t>
      </w:r>
    </w:p>
    <w:p w:rsidR="00814CCA" w:rsidRPr="00EE7F55" w:rsidRDefault="00814CCA" w:rsidP="00814CCA">
      <w:pPr>
        <w:jc w:val="both"/>
      </w:pPr>
    </w:p>
    <w:p w:rsidR="00814CCA" w:rsidRPr="00EE7F55" w:rsidRDefault="00814CCA" w:rsidP="00814CCA">
      <w:pPr>
        <w:ind w:left="1440" w:hanging="1440"/>
        <w:jc w:val="both"/>
      </w:pPr>
      <w:r w:rsidRPr="00EE7F55">
        <w:tab/>
        <w:t>R</w:t>
      </w:r>
      <w:r>
        <w:rPr>
          <w:caps/>
        </w:rPr>
        <w:t>obert Scheffel Wright</w:t>
      </w:r>
      <w:r w:rsidRPr="00EE7F55">
        <w:rPr>
          <w:caps/>
        </w:rPr>
        <w:t xml:space="preserve"> </w:t>
      </w:r>
      <w:r w:rsidRPr="00EE7F55">
        <w:t>and</w:t>
      </w:r>
      <w:r w:rsidRPr="00EE7F55">
        <w:rPr>
          <w:caps/>
        </w:rPr>
        <w:t xml:space="preserve"> </w:t>
      </w:r>
      <w:r w:rsidRPr="00EE7F55">
        <w:rPr>
          <w:caps/>
          <w:sz w:val="25"/>
          <w:szCs w:val="25"/>
        </w:rPr>
        <w:t xml:space="preserve">John </w:t>
      </w:r>
      <w:r w:rsidRPr="00EE7F55">
        <w:rPr>
          <w:caps/>
        </w:rPr>
        <w:t xml:space="preserve">T. LaVia, III, ESQUIRES, </w:t>
      </w:r>
      <w:r w:rsidRPr="00EE7F55">
        <w:t>Gardner, Bist, Wiener, Bowden, Bush, Dee, LaVia &amp; Wright, P.A., 1300 Thomaswood Drive, Tallahassee, Florida 32308</w:t>
      </w:r>
    </w:p>
    <w:p w:rsidR="00814CCA" w:rsidRPr="00EE7F55" w:rsidRDefault="00814CCA" w:rsidP="00814CCA">
      <w:pPr>
        <w:ind w:left="1440" w:hanging="1440"/>
        <w:jc w:val="both"/>
        <w:rPr>
          <w:caps/>
        </w:rPr>
      </w:pPr>
      <w:r w:rsidRPr="00EE7F55">
        <w:tab/>
      </w:r>
      <w:r w:rsidRPr="00EE7F55">
        <w:rPr>
          <w:u w:val="single"/>
        </w:rPr>
        <w:t>On behalf of the Florida Retail Federation (FRF)</w:t>
      </w:r>
    </w:p>
    <w:p w:rsidR="00814CCA" w:rsidRPr="00EE7F55" w:rsidRDefault="00814CCA" w:rsidP="00814CCA">
      <w:pPr>
        <w:jc w:val="both"/>
      </w:pPr>
      <w:r w:rsidRPr="00EE7F55">
        <w:tab/>
      </w:r>
      <w:r w:rsidRPr="00EE7F55">
        <w:tab/>
      </w:r>
    </w:p>
    <w:p w:rsidR="00814CCA" w:rsidRDefault="00814CCA" w:rsidP="00814CCA">
      <w:pPr>
        <w:ind w:left="1440" w:hanging="1440"/>
        <w:jc w:val="both"/>
      </w:pPr>
      <w:r w:rsidRPr="00EE7F55">
        <w:tab/>
        <w:t>JAMES W. BREW and</w:t>
      </w:r>
      <w:r w:rsidRPr="00DE5C9E">
        <w:rPr>
          <w:caps/>
        </w:rPr>
        <w:t xml:space="preserve"> Owen J. Kopon</w:t>
      </w:r>
      <w:r w:rsidRPr="00EE7F55">
        <w:t xml:space="preserve">, ESQUIRES, </w:t>
      </w:r>
      <w:r w:rsidR="00D06B0E">
        <w:t>Xenopoulos &amp; Brew, P.C.</w:t>
      </w:r>
      <w:r w:rsidRPr="00EE7F55">
        <w:t>, 1025 Thomas Jefferson St., NW, Eighth Floor, W</w:t>
      </w:r>
      <w:r>
        <w:t>est Tower, Washington, DC 20007</w:t>
      </w:r>
    </w:p>
    <w:p w:rsidR="00814CCA" w:rsidRPr="00EE7F55" w:rsidRDefault="00814CCA" w:rsidP="00814CCA">
      <w:pPr>
        <w:ind w:left="1440" w:hanging="1440"/>
        <w:jc w:val="both"/>
      </w:pPr>
      <w:r w:rsidRPr="00EE7F55">
        <w:tab/>
      </w:r>
      <w:r w:rsidRPr="00EE7F55">
        <w:rPr>
          <w:u w:val="single"/>
        </w:rPr>
        <w:t>On behalf of White Springs Agricultural Chemicals, Inc. d/b/a PCS Phosphate – White Springs (PCS Phosphate)</w:t>
      </w:r>
    </w:p>
    <w:p w:rsidR="00814CCA" w:rsidRPr="00EE7F55" w:rsidRDefault="00814CCA" w:rsidP="00814CCA">
      <w:pPr>
        <w:jc w:val="both"/>
      </w:pPr>
    </w:p>
    <w:p w:rsidR="00814CCA" w:rsidRPr="00EE7F55" w:rsidRDefault="00D06B0E" w:rsidP="00814CCA">
      <w:pPr>
        <w:ind w:left="1440"/>
        <w:jc w:val="both"/>
      </w:pPr>
      <w:r>
        <w:t>SUZANNE BROWNLESS, DANIJELA JAN</w:t>
      </w:r>
      <w:r w:rsidR="002C128A">
        <w:t>J</w:t>
      </w:r>
      <w:r>
        <w:t>IC</w:t>
      </w:r>
      <w:r w:rsidR="00814CCA">
        <w:t>,</w:t>
      </w:r>
      <w:r>
        <w:t xml:space="preserve"> and JOHN VILLAFRATE,</w:t>
      </w:r>
      <w:r w:rsidR="00814CCA" w:rsidRPr="00EE7F55">
        <w:t xml:space="preserve"> ESQUIRES, Florida Public Service Commission, 2540 Shumard Oak Boulevard, Tallahassee, Florida 32399-0850</w:t>
      </w:r>
    </w:p>
    <w:p w:rsidR="00814CCA" w:rsidRPr="00EE7F55" w:rsidRDefault="00814CCA" w:rsidP="00814CCA">
      <w:pPr>
        <w:ind w:left="720" w:firstLine="720"/>
        <w:jc w:val="both"/>
      </w:pPr>
      <w:r w:rsidRPr="00EE7F55">
        <w:rPr>
          <w:u w:val="single"/>
        </w:rPr>
        <w:t>On behalf of the Florida Public Service Commission (Staff)</w:t>
      </w:r>
    </w:p>
    <w:p w:rsidR="00814CCA" w:rsidRPr="00EE7F55" w:rsidRDefault="00814CCA" w:rsidP="00814CCA">
      <w:pPr>
        <w:jc w:val="both"/>
      </w:pPr>
    </w:p>
    <w:p w:rsidR="00814CCA" w:rsidRPr="00EE7F55" w:rsidRDefault="00D06B0E" w:rsidP="00814CCA">
      <w:pPr>
        <w:ind w:left="1440"/>
        <w:jc w:val="both"/>
      </w:pPr>
      <w:r>
        <w:rPr>
          <w:caps/>
        </w:rPr>
        <w:t xml:space="preserve">charlie beck, </w:t>
      </w:r>
      <w:r>
        <w:t xml:space="preserve">General Counsel, and </w:t>
      </w:r>
      <w:r w:rsidR="00814CCA" w:rsidRPr="00EE7F55">
        <w:rPr>
          <w:caps/>
        </w:rPr>
        <w:t>Mary Anne Helton</w:t>
      </w:r>
      <w:r w:rsidR="00814CCA" w:rsidRPr="00EE7F55">
        <w:t xml:space="preserve">, </w:t>
      </w:r>
      <w:r w:rsidR="00814CCA">
        <w:t xml:space="preserve">ESQUIRE, </w:t>
      </w:r>
      <w:r w:rsidR="00814CCA" w:rsidRPr="00EE7F55">
        <w:t>Deputy General Counsel, Florida Public Service Commission, 2540 Shumard Oak Boulevard, Tallahassee, Florida 32399-0850</w:t>
      </w:r>
    </w:p>
    <w:p w:rsidR="00814CCA" w:rsidRDefault="00814CCA" w:rsidP="00814CCA">
      <w:pPr>
        <w:ind w:left="720" w:firstLine="720"/>
        <w:jc w:val="both"/>
        <w:rPr>
          <w:u w:val="single"/>
        </w:rPr>
      </w:pPr>
      <w:r w:rsidRPr="00EE7F55">
        <w:rPr>
          <w:u w:val="single"/>
        </w:rPr>
        <w:t>Advisor</w:t>
      </w:r>
      <w:r w:rsidR="00D06B0E">
        <w:rPr>
          <w:u w:val="single"/>
        </w:rPr>
        <w:t>s</w:t>
      </w:r>
      <w:r w:rsidRPr="00EE7F55">
        <w:rPr>
          <w:u w:val="single"/>
        </w:rPr>
        <w:t xml:space="preserve"> to the Florida Public Service Commission</w:t>
      </w:r>
    </w:p>
    <w:p w:rsidR="00814CCA" w:rsidRDefault="00814CCA" w:rsidP="00814CCA">
      <w:pPr>
        <w:pStyle w:val="OrderBody"/>
      </w:pPr>
    </w:p>
    <w:p w:rsidR="002C128A" w:rsidRDefault="002C128A" w:rsidP="002C128A">
      <w:pPr>
        <w:pStyle w:val="OrderBody"/>
      </w:pPr>
      <w:r>
        <w:t>BY THE COMMISSION:</w:t>
      </w:r>
    </w:p>
    <w:p w:rsidR="002C128A" w:rsidRDefault="002C128A" w:rsidP="002C128A">
      <w:pPr>
        <w:pStyle w:val="OrderBody"/>
      </w:pPr>
    </w:p>
    <w:p w:rsidR="002C128A" w:rsidRPr="006D535E" w:rsidRDefault="002C128A" w:rsidP="00BD27A8">
      <w:pPr>
        <w:pStyle w:val="OrderBody"/>
        <w:jc w:val="center"/>
        <w:rPr>
          <w:u w:val="single"/>
        </w:rPr>
      </w:pPr>
      <w:r w:rsidRPr="006D535E">
        <w:rPr>
          <w:u w:val="single"/>
        </w:rPr>
        <w:t>Background</w:t>
      </w:r>
    </w:p>
    <w:p w:rsidR="00934AB6" w:rsidRDefault="00934AB6" w:rsidP="00934AB6">
      <w:pPr>
        <w:pStyle w:val="BodyText"/>
      </w:pPr>
    </w:p>
    <w:p w:rsidR="00934AB6" w:rsidRDefault="002C128A" w:rsidP="00D25C7E">
      <w:pPr>
        <w:pStyle w:val="BodyText"/>
        <w:jc w:val="both"/>
      </w:pPr>
      <w:r>
        <w:tab/>
        <w:t xml:space="preserve">As part of the continuing fuel and purchased power adjustment and generating performance incentive factor clause proceedings, an administrative hearing was held on November 2-3, 2015.  At the hearing, </w:t>
      </w:r>
      <w:r w:rsidR="00934AB6">
        <w:t>we approved</w:t>
      </w:r>
      <w:r w:rsidR="00C55293">
        <w:t>,</w:t>
      </w:r>
      <w:r w:rsidR="00934AB6">
        <w:t xml:space="preserve"> </w:t>
      </w:r>
      <w:r w:rsidR="00D25C7E">
        <w:t xml:space="preserve">with modifications, </w:t>
      </w:r>
      <w:r>
        <w:t>certain stipulated issues for Tampa Electric Company (TECO), Gulf Power Company (Gulf), Florida Power &amp; Light Company (FPL), Florida Public Utilities Company (FPUC), and Duke Energy Florida, LLC. (DEF) by bench decision.</w:t>
      </w:r>
      <w:r w:rsidR="00C55293">
        <w:t xml:space="preserve">  These stipulations, as modified, are found in Attachment A.  </w:t>
      </w:r>
      <w:r w:rsidR="00D25C7E">
        <w:t>A</w:t>
      </w:r>
      <w:r>
        <w:t xml:space="preserve">lthough </w:t>
      </w:r>
      <w:r w:rsidR="00934AB6">
        <w:t xml:space="preserve">we </w:t>
      </w:r>
      <w:r>
        <w:t>approved some stipulated issues for each of these investor-owned utilities (IOUs), testimony and other evidence was presented at the November 2-3, 2015 hearing o</w:t>
      </w:r>
      <w:r w:rsidR="00934AB6">
        <w:t>n</w:t>
      </w:r>
      <w:r>
        <w:t xml:space="preserve"> hedging-related issues for the generating IOUs, and also for company-specific issues for FPUC.</w:t>
      </w:r>
      <w:r w:rsidR="00934AB6">
        <w:t xml:space="preserve">  TECO, Gulf, FPL, </w:t>
      </w:r>
      <w:r w:rsidR="00934AB6">
        <w:lastRenderedPageBreak/>
        <w:t xml:space="preserve">FPUC, DEF, </w:t>
      </w:r>
      <w:r w:rsidR="00934AB6" w:rsidRPr="00382621">
        <w:t>Florida Industrial Power Users Group</w:t>
      </w:r>
      <w:r w:rsidR="00934AB6">
        <w:t xml:space="preserve"> (FIPUG), the </w:t>
      </w:r>
      <w:r w:rsidR="00934AB6" w:rsidRPr="00382621">
        <w:t>Office of Public Counse</w:t>
      </w:r>
      <w:r w:rsidR="00934AB6">
        <w:t>l (OPC), and PCS Phosphate (PCS) filed briefs on November 13, 2015.</w:t>
      </w:r>
      <w:r w:rsidR="00934AB6">
        <w:rPr>
          <w:rStyle w:val="FootnoteReference"/>
        </w:rPr>
        <w:footnoteReference w:id="1"/>
      </w:r>
    </w:p>
    <w:p w:rsidR="00934AB6" w:rsidRDefault="00934AB6" w:rsidP="00D25C7E">
      <w:pPr>
        <w:pStyle w:val="BodyText"/>
        <w:jc w:val="both"/>
      </w:pPr>
      <w:r>
        <w:tab/>
        <w:t>We have jurisdiction over this subject matter pursuant to the provisions of Chapter 366, Florida Statutes (F.S.), including Sections 366.04, 366.05, and 366.06, F.S.</w:t>
      </w:r>
    </w:p>
    <w:p w:rsidR="00F64A5A" w:rsidRPr="006F4022" w:rsidRDefault="006F4022" w:rsidP="00810D4E">
      <w:pPr>
        <w:pStyle w:val="BodyText"/>
        <w:jc w:val="center"/>
        <w:rPr>
          <w:color w:val="000000" w:themeColor="text1"/>
          <w:u w:val="single"/>
        </w:rPr>
      </w:pPr>
      <w:r w:rsidRPr="006F4022">
        <w:rPr>
          <w:color w:val="000000" w:themeColor="text1"/>
          <w:u w:val="single"/>
        </w:rPr>
        <w:t>Hedging</w:t>
      </w:r>
    </w:p>
    <w:p w:rsidR="00F64A5A" w:rsidRDefault="00841F54" w:rsidP="00F64A5A">
      <w:pPr>
        <w:jc w:val="both"/>
      </w:pPr>
      <w:r>
        <w:tab/>
      </w:r>
      <w:r w:rsidR="00F64A5A">
        <w:t xml:space="preserve">Our analysis of this issue will begin by providing a background on how our policy on hedging has </w:t>
      </w:r>
      <w:r>
        <w:t xml:space="preserve">been </w:t>
      </w:r>
      <w:r w:rsidR="00F64A5A">
        <w:t xml:space="preserve">developed and </w:t>
      </w:r>
      <w:r>
        <w:t xml:space="preserve">the </w:t>
      </w:r>
      <w:r w:rsidR="00F64A5A">
        <w:t xml:space="preserve">key actions we have taken regarding the hedging programs that Florida’s four largest IOUs use today.  </w:t>
      </w:r>
    </w:p>
    <w:p w:rsidR="00810D4E" w:rsidRDefault="00810D4E" w:rsidP="00F64A5A">
      <w:pPr>
        <w:jc w:val="both"/>
      </w:pPr>
    </w:p>
    <w:p w:rsidR="00810D4E" w:rsidRPr="00810D4E" w:rsidRDefault="00810D4E" w:rsidP="00F64A5A">
      <w:pPr>
        <w:jc w:val="both"/>
        <w:rPr>
          <w:u w:val="single"/>
        </w:rPr>
      </w:pPr>
      <w:r w:rsidRPr="00810D4E">
        <w:rPr>
          <w:u w:val="single"/>
        </w:rPr>
        <w:t>Background</w:t>
      </w:r>
    </w:p>
    <w:p w:rsidR="00810D4E" w:rsidRDefault="00810D4E" w:rsidP="00F64A5A">
      <w:pPr>
        <w:jc w:val="both"/>
      </w:pPr>
    </w:p>
    <w:p w:rsidR="00F64A5A" w:rsidRDefault="00841F54" w:rsidP="00841F54">
      <w:pPr>
        <w:pStyle w:val="BodyText"/>
        <w:jc w:val="both"/>
      </w:pPr>
      <w:r>
        <w:tab/>
      </w:r>
      <w:r w:rsidR="00F64A5A">
        <w:t xml:space="preserve">Hedging allows utilities to manage the risk of volatile swings in the price of fuel. </w:t>
      </w:r>
      <w:r>
        <w:t xml:space="preserve"> </w:t>
      </w:r>
      <w:r w:rsidR="00F64A5A">
        <w:t>Prior to 2001, IOUs had carried out a small number of financial hedging transactions.</w:t>
      </w:r>
      <w:r w:rsidR="007B2C1B">
        <w:t xml:space="preserve">  </w:t>
      </w:r>
      <w:r>
        <w:t>I</w:t>
      </w:r>
      <w:r w:rsidR="00F64A5A">
        <w:t>n</w:t>
      </w:r>
      <w:r w:rsidR="007B2C1B">
        <w:t xml:space="preserve"> </w:t>
      </w:r>
      <w:r w:rsidR="00F64A5A">
        <w:t>response to significant fluctuations in the price of natural gas and fuel oil during 2000 and 2001, th</w:t>
      </w:r>
      <w:r w:rsidR="00BD27A8">
        <w:t>is</w:t>
      </w:r>
      <w:r w:rsidR="00F64A5A">
        <w:t xml:space="preserve"> Commission raised issues regarding the utilities’ management of fuel price risk as part of the 2001 fuel clause proceeding.</w:t>
      </w:r>
      <w:r w:rsidR="007B2C1B">
        <w:t xml:space="preserve">  </w:t>
      </w:r>
      <w:r w:rsidR="00F64A5A">
        <w:t>The specific issues raised involved the reasonableness of hedging as a tool to manage fuel price risk and the appropriate regulatory treatment of hedging gains and losses. These issues were spun off to Docket No. 011605-EI for further investigation.</w:t>
      </w:r>
    </w:p>
    <w:p w:rsidR="00F64A5A" w:rsidRDefault="00841F54" w:rsidP="00841F54">
      <w:pPr>
        <w:pStyle w:val="BodyText"/>
        <w:jc w:val="both"/>
      </w:pPr>
      <w:r>
        <w:tab/>
      </w:r>
      <w:r w:rsidR="00F64A5A">
        <w:t xml:space="preserve">At the hearing for Docket No. 011605-EI, parties reached a settlement of all issues. </w:t>
      </w:r>
      <w:r>
        <w:t xml:space="preserve"> </w:t>
      </w:r>
      <w:r w:rsidR="00F64A5A">
        <w:t>By Order No. PSC-02-1484-FOF-EI (“Hedging Order”),</w:t>
      </w:r>
      <w:r w:rsidR="00F64A5A">
        <w:rPr>
          <w:rStyle w:val="FootnoteReference"/>
        </w:rPr>
        <w:footnoteReference w:id="2"/>
      </w:r>
      <w:r w:rsidR="00F64A5A">
        <w:t xml:space="preserve"> </w:t>
      </w:r>
      <w:r w:rsidR="00BD27A8">
        <w:t xml:space="preserve">we </w:t>
      </w:r>
      <w:r w:rsidR="00F64A5A">
        <w:t xml:space="preserve">approved the settlement of the issues. </w:t>
      </w:r>
      <w:r>
        <w:t xml:space="preserve"> </w:t>
      </w:r>
      <w:r w:rsidR="00F64A5A">
        <w:t xml:space="preserve">Specifically, the settlement provided a framework that incorporated hedging activities into fuel procurement activities. </w:t>
      </w:r>
      <w:r>
        <w:t xml:space="preserve"> </w:t>
      </w:r>
      <w:r w:rsidR="00F64A5A">
        <w:t xml:space="preserve">For natural gas, fuel oil, and purchased power, the settlement allowed Florida’s generating IOUs to charge prudently incurred hedging gains and losses to the fuel clause. </w:t>
      </w:r>
      <w:r>
        <w:t xml:space="preserve"> </w:t>
      </w:r>
      <w:r w:rsidR="00F64A5A">
        <w:t>The Hedging Order specified that th</w:t>
      </w:r>
      <w:r w:rsidR="00BD27A8">
        <w:t>is</w:t>
      </w:r>
      <w:r w:rsidR="00F64A5A">
        <w:t xml:space="preserve"> Commission will review each IOU’s hedging activities as part of the annual fuel proceeding.  </w:t>
      </w:r>
    </w:p>
    <w:p w:rsidR="00F64A5A" w:rsidRDefault="00841F54" w:rsidP="00841F54">
      <w:pPr>
        <w:pStyle w:val="BodyText"/>
        <w:jc w:val="both"/>
      </w:pPr>
      <w:r>
        <w:tab/>
      </w:r>
      <w:r w:rsidR="00F64A5A">
        <w:t xml:space="preserve">The Hedging Order required utilities to file risk management plans as part of true-up filings. </w:t>
      </w:r>
      <w:r>
        <w:t xml:space="preserve"> </w:t>
      </w:r>
      <w:r w:rsidR="00F64A5A">
        <w:t>The intent of this requirement was to allow th</w:t>
      </w:r>
      <w:r w:rsidR="00BD27A8">
        <w:t>is</w:t>
      </w:r>
      <w:r w:rsidR="00F64A5A">
        <w:t xml:space="preserve"> Commission and parties to the fuel docket to monitor utility hedging activities. </w:t>
      </w:r>
      <w:r>
        <w:t xml:space="preserve"> </w:t>
      </w:r>
      <w:r w:rsidR="00F64A5A">
        <w:t>As part of the annual final true-up filings in the fuel docket, utilities were required to state the volumes of fuel hedged, the type of hedging instruments, the average length of the term of the hedge positions, and fees associated with hedging transactions.</w:t>
      </w:r>
    </w:p>
    <w:p w:rsidR="00F64A5A" w:rsidRDefault="00841F54" w:rsidP="00841F54">
      <w:pPr>
        <w:pStyle w:val="BodyText"/>
        <w:jc w:val="both"/>
      </w:pPr>
      <w:r>
        <w:tab/>
      </w:r>
      <w:r w:rsidR="00F64A5A">
        <w:t>Although the Hedging Order allowed utilities flexibility in the development of risk management plans, the order also set forth guidelines utilities were to follow.</w:t>
      </w:r>
      <w:r>
        <w:t xml:space="preserve">  </w:t>
      </w:r>
      <w:r w:rsidR="00F64A5A">
        <w:t xml:space="preserve">For example, the order required that risk management plans identify the objectives of the hedging programs and the minimum quantities to be hedged. </w:t>
      </w:r>
      <w:r>
        <w:t xml:space="preserve"> </w:t>
      </w:r>
      <w:r w:rsidR="00F64A5A">
        <w:t>The order also required that plans provide mechanisms and controls for the proper oversight within the utility of hedging activities, as well as include the method for assessing and monitoring fuel price risk.</w:t>
      </w:r>
    </w:p>
    <w:p w:rsidR="00F64A5A" w:rsidRDefault="00841F54" w:rsidP="00841F54">
      <w:pPr>
        <w:pStyle w:val="BodyText"/>
        <w:jc w:val="both"/>
      </w:pPr>
      <w:r>
        <w:tab/>
      </w:r>
      <w:r w:rsidR="00F64A5A">
        <w:t xml:space="preserve">In tandem with Docket No. 011605-EI, </w:t>
      </w:r>
      <w:r>
        <w:t xml:space="preserve">Commission </w:t>
      </w:r>
      <w:r w:rsidR="00F64A5A" w:rsidRPr="00307A5C">
        <w:t xml:space="preserve">staff conducted a review of Internal Controls of Florida’s Investor-Owned Utilities for Fuel and </w:t>
      </w:r>
      <w:r w:rsidR="00F64A5A">
        <w:t xml:space="preserve">Wholesale Energy Transactions. </w:t>
      </w:r>
      <w:r>
        <w:t xml:space="preserve"> </w:t>
      </w:r>
      <w:r w:rsidR="00F64A5A" w:rsidRPr="00307A5C">
        <w:lastRenderedPageBreak/>
        <w:t>This study examined the practices, procedures, controls, and policies these companies followed when purchasing foss</w:t>
      </w:r>
      <w:r w:rsidR="00F64A5A">
        <w:t xml:space="preserve">il fuels and wholesale energy. </w:t>
      </w:r>
      <w:r>
        <w:t xml:space="preserve"> </w:t>
      </w:r>
      <w:r w:rsidR="00F64A5A" w:rsidRPr="00307A5C">
        <w:t>The study period looked at data from 1998 through 2001.</w:t>
      </w:r>
      <w:r w:rsidR="00F64A5A">
        <w:t xml:space="preserve"> </w:t>
      </w:r>
      <w:r>
        <w:t xml:space="preserve"> </w:t>
      </w:r>
      <w:r w:rsidR="00F64A5A">
        <w:t xml:space="preserve">The study concluded that Florida IOUs had engaged in physical hedging in fuel procurement but very limited financial hedging. </w:t>
      </w:r>
      <w:r>
        <w:t xml:space="preserve"> </w:t>
      </w:r>
      <w:r w:rsidR="00F64A5A">
        <w:t xml:space="preserve">At the time, the IOUs had not set up the proper controls to engage in extensive financial hedging. </w:t>
      </w:r>
      <w:r>
        <w:t xml:space="preserve"> </w:t>
      </w:r>
      <w:r w:rsidR="00F64A5A">
        <w:t>Also, for the period studied, TECO and Gulf had little exposure to the volatility of natural gas prices.</w:t>
      </w:r>
    </w:p>
    <w:p w:rsidR="00F64A5A" w:rsidRPr="00307A5C" w:rsidRDefault="00841F54" w:rsidP="00841F54">
      <w:pPr>
        <w:pStyle w:val="BodyText"/>
        <w:jc w:val="both"/>
      </w:pPr>
      <w:r>
        <w:tab/>
      </w:r>
      <w:r w:rsidR="00F64A5A">
        <w:t xml:space="preserve">The next time </w:t>
      </w:r>
      <w:r>
        <w:t xml:space="preserve">we </w:t>
      </w:r>
      <w:r w:rsidR="00F64A5A">
        <w:t xml:space="preserve">reviewed </w:t>
      </w:r>
      <w:r>
        <w:t>our</w:t>
      </w:r>
      <w:r w:rsidR="00F64A5A">
        <w:t xml:space="preserve"> policy on hedging was at the 2007 fuel hearing. </w:t>
      </w:r>
      <w:r>
        <w:t xml:space="preserve"> </w:t>
      </w:r>
      <w:r w:rsidR="00F64A5A">
        <w:t xml:space="preserve">Parties raised questions regarding the period for which </w:t>
      </w:r>
      <w:r w:rsidR="00BD27A8">
        <w:t xml:space="preserve">we were </w:t>
      </w:r>
      <w:r w:rsidR="00F64A5A">
        <w:t xml:space="preserve">determining the prudent costs of hedging activities. </w:t>
      </w:r>
      <w:r>
        <w:t xml:space="preserve"> </w:t>
      </w:r>
      <w:r w:rsidR="00BD27A8">
        <w:t xml:space="preserve">We </w:t>
      </w:r>
      <w:r w:rsidR="00F64A5A">
        <w:t xml:space="preserve">deferred </w:t>
      </w:r>
      <w:r w:rsidR="00BD27A8">
        <w:t xml:space="preserve">our </w:t>
      </w:r>
      <w:r w:rsidR="00F64A5A">
        <w:t>decision on the prudence of 2007 hedging activity costs to 2008 in order to allow for sufficient de</w:t>
      </w:r>
      <w:r>
        <w:t>velopment of data</w:t>
      </w:r>
      <w:r w:rsidR="00F64A5A">
        <w:t xml:space="preserve"> and review of the matter.</w:t>
      </w:r>
    </w:p>
    <w:p w:rsidR="00F64A5A" w:rsidRDefault="00841F54" w:rsidP="00841F54">
      <w:pPr>
        <w:pStyle w:val="BodyText"/>
        <w:jc w:val="both"/>
      </w:pPr>
      <w:r>
        <w:tab/>
      </w:r>
      <w:r w:rsidR="00F64A5A">
        <w:t>Following the 2007 fuel hearing, two audits of the IOU</w:t>
      </w:r>
      <w:r w:rsidR="004C22CF">
        <w:t>’</w:t>
      </w:r>
      <w:r w:rsidR="00F64A5A">
        <w:t>s hedging programs</w:t>
      </w:r>
      <w:r>
        <w:t xml:space="preserve"> were conducted by </w:t>
      </w:r>
      <w:r w:rsidR="00BD27A8">
        <w:t xml:space="preserve">Commission </w:t>
      </w:r>
      <w:r>
        <w:t>staff</w:t>
      </w:r>
      <w:r w:rsidR="00F64A5A">
        <w:t>.</w:t>
      </w:r>
      <w:r w:rsidR="00B630C6">
        <w:t xml:space="preserve">  First, s</w:t>
      </w:r>
      <w:r w:rsidR="00F64A5A">
        <w:t>taff conducted a management audit review</w:t>
      </w:r>
      <w:r w:rsidR="00B630C6">
        <w:t xml:space="preserve">ing the </w:t>
      </w:r>
      <w:r w:rsidR="00F64A5A">
        <w:t>IOUs</w:t>
      </w:r>
      <w:r w:rsidR="00B630C6">
        <w:t>’</w:t>
      </w:r>
      <w:r w:rsidR="00F64A5A">
        <w:t xml:space="preserve"> hedging programs to assess the costs and benefits realized since the </w:t>
      </w:r>
      <w:r w:rsidR="00B630C6">
        <w:t xml:space="preserve">entry of the </w:t>
      </w:r>
      <w:r w:rsidR="00F64A5A">
        <w:t xml:space="preserve">Hedging Order. </w:t>
      </w:r>
      <w:r w:rsidR="00B630C6">
        <w:t xml:space="preserve"> Also reviewed was the I</w:t>
      </w:r>
      <w:r w:rsidR="00F64A5A">
        <w:t>OUs</w:t>
      </w:r>
      <w:r w:rsidR="00B630C6">
        <w:t>’</w:t>
      </w:r>
      <w:r w:rsidR="00F64A5A">
        <w:t xml:space="preserve"> accounting treatment of 2007 hedging activities to determine compliance with </w:t>
      </w:r>
      <w:r w:rsidR="00B630C6">
        <w:t xml:space="preserve">their </w:t>
      </w:r>
      <w:r w:rsidR="00F64A5A">
        <w:t>risk management plans filed in 2006.</w:t>
      </w:r>
    </w:p>
    <w:p w:rsidR="00F64A5A" w:rsidRPr="00D551F6" w:rsidRDefault="00B630C6" w:rsidP="00841F54">
      <w:pPr>
        <w:pStyle w:val="BodyText"/>
        <w:jc w:val="both"/>
      </w:pPr>
      <w:r>
        <w:tab/>
      </w:r>
      <w:r w:rsidR="00F64A5A" w:rsidRPr="00D551F6">
        <w:t>Th</w:t>
      </w:r>
      <w:r w:rsidR="00F64A5A">
        <w:t xml:space="preserve">e management audit </w:t>
      </w:r>
      <w:r w:rsidR="00F64A5A" w:rsidRPr="00D551F6">
        <w:t xml:space="preserve">assessed the current and historical strategies of the fuel procurement hedging programs within each company at that time, evaluated hedging objectives set forth in each company’s </w:t>
      </w:r>
      <w:r w:rsidR="00F64A5A">
        <w:t>r</w:t>
      </w:r>
      <w:r w:rsidR="00F64A5A" w:rsidRPr="00D551F6">
        <w:t xml:space="preserve">isk </w:t>
      </w:r>
      <w:r w:rsidR="00F64A5A">
        <w:t>m</w:t>
      </w:r>
      <w:r w:rsidR="00F64A5A" w:rsidRPr="00D551F6">
        <w:t xml:space="preserve">anagement </w:t>
      </w:r>
      <w:r w:rsidR="00F64A5A">
        <w:t>p</w:t>
      </w:r>
      <w:r w:rsidR="00F64A5A" w:rsidRPr="00D551F6">
        <w:t>lan, and quantified the net costs and benefits of</w:t>
      </w:r>
      <w:r w:rsidR="00F64A5A">
        <w:t xml:space="preserve"> each company’s hedging program</w:t>
      </w:r>
      <w:r w:rsidR="00F64A5A" w:rsidRPr="00D551F6">
        <w:t>.</w:t>
      </w:r>
      <w:r w:rsidR="00A27741">
        <w:t xml:space="preserve">  </w:t>
      </w:r>
      <w:r w:rsidR="00F64A5A" w:rsidRPr="00D551F6">
        <w:t>Specifically, the structure and performance of hedging natural gas and fuel oil through the use of physical purchases and/or financial instruments for the years 2003 through 2007</w:t>
      </w:r>
      <w:r>
        <w:t xml:space="preserve"> was examined</w:t>
      </w:r>
      <w:r w:rsidR="00F64A5A" w:rsidRPr="00D551F6">
        <w:t>.</w:t>
      </w:r>
      <w:r w:rsidR="00A27741">
        <w:t xml:space="preserve">  </w:t>
      </w:r>
      <w:r>
        <w:t>I</w:t>
      </w:r>
      <w:r w:rsidR="00F64A5A" w:rsidRPr="00D551F6">
        <w:t xml:space="preserve">nformation </w:t>
      </w:r>
      <w:r>
        <w:t xml:space="preserve">was collected regarding </w:t>
      </w:r>
      <w:r w:rsidR="00F64A5A" w:rsidRPr="00D551F6">
        <w:t xml:space="preserve">each company’s policies and procedures, organizational charts, </w:t>
      </w:r>
      <w:r w:rsidR="00F64A5A">
        <w:t>r</w:t>
      </w:r>
      <w:r w:rsidR="00F64A5A" w:rsidRPr="00D551F6">
        <w:t xml:space="preserve">isk </w:t>
      </w:r>
      <w:r w:rsidR="00F64A5A">
        <w:t>m</w:t>
      </w:r>
      <w:r w:rsidR="00F64A5A" w:rsidRPr="00D551F6">
        <w:t xml:space="preserve">anagement </w:t>
      </w:r>
      <w:r w:rsidR="00F64A5A">
        <w:t>p</w:t>
      </w:r>
      <w:r w:rsidR="00F64A5A" w:rsidRPr="00D551F6">
        <w:t>lans, and historical hedging transactions</w:t>
      </w:r>
      <w:r w:rsidR="00F64A5A">
        <w:t>,</w:t>
      </w:r>
      <w:r w:rsidR="00F64A5A" w:rsidRPr="00D551F6">
        <w:t xml:space="preserve"> and an analysis </w:t>
      </w:r>
      <w:r>
        <w:t xml:space="preserve">conducted for </w:t>
      </w:r>
      <w:r w:rsidR="00F64A5A" w:rsidRPr="00D551F6">
        <w:t>each company.</w:t>
      </w:r>
      <w:r>
        <w:t xml:space="preserve"> </w:t>
      </w:r>
      <w:r w:rsidR="00F64A5A">
        <w:t xml:space="preserve"> </w:t>
      </w:r>
      <w:r w:rsidR="00F64A5A" w:rsidRPr="00D551F6">
        <w:t xml:space="preserve">In June 2008, </w:t>
      </w:r>
      <w:r w:rsidR="00F64A5A">
        <w:t xml:space="preserve">a report </w:t>
      </w:r>
      <w:r>
        <w:t xml:space="preserve">was issued </w:t>
      </w:r>
      <w:r w:rsidR="00F64A5A">
        <w:t xml:space="preserve">entitled </w:t>
      </w:r>
      <w:r w:rsidR="00F64A5A" w:rsidRPr="00D551F6">
        <w:t>Fuel Procurement Hedging Practices of Florida’s Investor-Owned Electric Utilities.</w:t>
      </w:r>
    </w:p>
    <w:p w:rsidR="00F64A5A" w:rsidRDefault="00B630C6" w:rsidP="00841F54">
      <w:pPr>
        <w:pStyle w:val="BodyText"/>
        <w:jc w:val="both"/>
      </w:pPr>
      <w:r>
        <w:tab/>
      </w:r>
      <w:r w:rsidR="00F64A5A" w:rsidRPr="00D551F6">
        <w:t>In its 2008 re</w:t>
      </w:r>
      <w:r w:rsidR="00F64A5A">
        <w:t>port</w:t>
      </w:r>
      <w:r w:rsidR="00F64A5A" w:rsidRPr="00D551F6">
        <w:t xml:space="preserve">, </w:t>
      </w:r>
      <w:r w:rsidR="00BD27A8">
        <w:t xml:space="preserve">Commission </w:t>
      </w:r>
      <w:r w:rsidR="00F64A5A" w:rsidRPr="00D551F6">
        <w:t>staff found that each company shared a universal goal in purchasing financial hedges for its fuel procurement; that is, to reduce the impacts of the price extremes that can occur in the natural gas and fuel markets.</w:t>
      </w:r>
      <w:r w:rsidR="007B2C1B">
        <w:t xml:space="preserve">  </w:t>
      </w:r>
      <w:r w:rsidR="00F64A5A" w:rsidRPr="00D551F6">
        <w:t xml:space="preserve">In their hedging activities, the companies were not attempting to </w:t>
      </w:r>
      <w:r w:rsidR="00F64A5A">
        <w:t xml:space="preserve">speculate on price movements in the market. </w:t>
      </w:r>
      <w:r>
        <w:t xml:space="preserve"> </w:t>
      </w:r>
      <w:r w:rsidR="00F64A5A" w:rsidRPr="00D551F6">
        <w:t>Rather each was working to stabilize its annual fuel costs by initializing and settling financial hedging transactions through authorized financial counterparties.</w:t>
      </w:r>
      <w:r w:rsidR="00F64A5A">
        <w:t xml:space="preserve"> </w:t>
      </w:r>
      <w:r>
        <w:t xml:space="preserve"> </w:t>
      </w:r>
      <w:r w:rsidR="00F64A5A">
        <w:t>The volumes of gas and fuel oil hedged w</w:t>
      </w:r>
      <w:r>
        <w:t>ere</w:t>
      </w:r>
      <w:r w:rsidR="00F64A5A">
        <w:t xml:space="preserve"> less than the total volumes expected to be purchased. </w:t>
      </w:r>
      <w:r>
        <w:t xml:space="preserve"> </w:t>
      </w:r>
      <w:r w:rsidR="00F64A5A" w:rsidRPr="00D551F6">
        <w:t>Overall, staff believed that the use of financial hedges for fuel purchases provided a benefit to utility customers.</w:t>
      </w:r>
    </w:p>
    <w:p w:rsidR="00F64A5A" w:rsidRDefault="00B630C6" w:rsidP="00841F54">
      <w:pPr>
        <w:pStyle w:val="BodyText"/>
        <w:jc w:val="both"/>
      </w:pPr>
      <w:r>
        <w:tab/>
      </w:r>
      <w:r w:rsidR="00F64A5A">
        <w:t xml:space="preserve">In response to the deferral of the determination of the prudent costs in the 2007 fuel hearing, on January 31, 2008, FPL filed a petition requesting that </w:t>
      </w:r>
      <w:r w:rsidR="00BD27A8">
        <w:t xml:space="preserve">we </w:t>
      </w:r>
      <w:r w:rsidR="00F64A5A">
        <w:t xml:space="preserve">approve FPL’s proposed volatility mitigation mechanism (VMM) as an alternative to FPL’s hedging program. </w:t>
      </w:r>
      <w:r>
        <w:t xml:space="preserve"> </w:t>
      </w:r>
      <w:r w:rsidR="00F64A5A">
        <w:t xml:space="preserve">The VMM proposal involved FPL collecting under recoveries of fuel costs over two years instead of one year, as is the current practice. </w:t>
      </w:r>
      <w:r>
        <w:t xml:space="preserve"> </w:t>
      </w:r>
      <w:r w:rsidR="00F64A5A">
        <w:t xml:space="preserve">On March 11, 2008, a workshop </w:t>
      </w:r>
      <w:r>
        <w:t xml:space="preserve">was held </w:t>
      </w:r>
      <w:r w:rsidR="00F64A5A">
        <w:t xml:space="preserve">to get stakeholder input on this proposal. </w:t>
      </w:r>
      <w:r>
        <w:t xml:space="preserve"> </w:t>
      </w:r>
      <w:r w:rsidR="00F64A5A">
        <w:t>All parties to the 2002 settlement attended.</w:t>
      </w:r>
    </w:p>
    <w:p w:rsidR="00F64A5A" w:rsidRDefault="00B630C6" w:rsidP="00841F54">
      <w:pPr>
        <w:pStyle w:val="BodyText"/>
        <w:jc w:val="both"/>
      </w:pPr>
      <w:r>
        <w:tab/>
      </w:r>
      <w:r w:rsidR="00F64A5A">
        <w:t>By Order No. PSC-08-0316-PAA-EI,</w:t>
      </w:r>
      <w:r w:rsidR="00F64A5A">
        <w:rPr>
          <w:rStyle w:val="FootnoteReference"/>
        </w:rPr>
        <w:footnoteReference w:id="3"/>
      </w:r>
      <w:r w:rsidR="00F64A5A">
        <w:t xml:space="preserve"> </w:t>
      </w:r>
      <w:r>
        <w:t xml:space="preserve">we </w:t>
      </w:r>
      <w:r w:rsidR="00F64A5A">
        <w:t xml:space="preserve">clarified the Hedging Order in several areas. </w:t>
      </w:r>
      <w:r>
        <w:t xml:space="preserve"> </w:t>
      </w:r>
      <w:r w:rsidR="00F64A5A">
        <w:t>IOUs were required to file a Hedging Information Report by August 15</w:t>
      </w:r>
      <w:r w:rsidR="00F64A5A" w:rsidRPr="000A4ACB">
        <w:rPr>
          <w:vertAlign w:val="superscript"/>
        </w:rPr>
        <w:t>th</w:t>
      </w:r>
      <w:r w:rsidR="00F64A5A">
        <w:t xml:space="preserve"> of each year. </w:t>
      </w:r>
      <w:r>
        <w:t xml:space="preserve"> </w:t>
      </w:r>
      <w:r w:rsidR="00A27741">
        <w:t xml:space="preserve">We </w:t>
      </w:r>
      <w:r w:rsidR="00F64A5A">
        <w:t xml:space="preserve">also </w:t>
      </w:r>
      <w:r w:rsidR="00F64A5A">
        <w:lastRenderedPageBreak/>
        <w:t>specified that it would make a determination of prudence of hedging results for the twelve month period ending July 31</w:t>
      </w:r>
      <w:r w:rsidR="00F64A5A" w:rsidRPr="00CF3814">
        <w:rPr>
          <w:vertAlign w:val="superscript"/>
        </w:rPr>
        <w:t>st</w:t>
      </w:r>
      <w:r w:rsidR="00F64A5A">
        <w:t xml:space="preserve"> of the current year. </w:t>
      </w:r>
      <w:r>
        <w:t xml:space="preserve"> A</w:t>
      </w:r>
      <w:r w:rsidR="00F64A5A">
        <w:t xml:space="preserve">dditional workshops </w:t>
      </w:r>
      <w:r>
        <w:t xml:space="preserve">were held </w:t>
      </w:r>
      <w:r w:rsidR="00F64A5A">
        <w:t>on June 9, 2008</w:t>
      </w:r>
      <w:r w:rsidR="004C22CF">
        <w:t>,</w:t>
      </w:r>
      <w:r w:rsidR="00F64A5A">
        <w:t xml:space="preserve"> and June 24, 2008, regarding FPL’s VMM petition and guidelines for hedging programs. </w:t>
      </w:r>
      <w:r>
        <w:t xml:space="preserve"> </w:t>
      </w:r>
      <w:r w:rsidR="00F64A5A">
        <w:t>FPL withdrew its VMM petition on August 5, 2008.</w:t>
      </w:r>
    </w:p>
    <w:p w:rsidR="00F64A5A" w:rsidRDefault="00B630C6" w:rsidP="00841F54">
      <w:pPr>
        <w:pStyle w:val="BodyText"/>
        <w:jc w:val="both"/>
      </w:pPr>
      <w:r>
        <w:tab/>
      </w:r>
      <w:r w:rsidR="00F64A5A">
        <w:t xml:space="preserve">Following the workshops, </w:t>
      </w:r>
      <w:r>
        <w:t xml:space="preserve">we </w:t>
      </w:r>
      <w:r w:rsidR="00F64A5A">
        <w:t>established guidelines for risk management plans by Order No. PSC-08-0667-PAA-EI.</w:t>
      </w:r>
      <w:r w:rsidR="00F64A5A">
        <w:rPr>
          <w:rStyle w:val="FootnoteReference"/>
        </w:rPr>
        <w:footnoteReference w:id="4"/>
      </w:r>
      <w:r w:rsidR="00F64A5A">
        <w:t xml:space="preserve"> </w:t>
      </w:r>
      <w:r>
        <w:t xml:space="preserve"> At that time we </w:t>
      </w:r>
      <w:r w:rsidR="00F64A5A">
        <w:t xml:space="preserve">determined that utility hedging programs provide benefits to customers. </w:t>
      </w:r>
      <w:r>
        <w:t xml:space="preserve"> </w:t>
      </w:r>
      <w:r w:rsidR="00F64A5A">
        <w:t xml:space="preserve">The guidelines clarified the timing and content of regulatory filings for hedging activities, but allowed the IOUs flexibility in creating and implementing risk management plans. </w:t>
      </w:r>
      <w:r>
        <w:t xml:space="preserve"> </w:t>
      </w:r>
      <w:r w:rsidR="00F64A5A">
        <w:t xml:space="preserve">Each year in the fuel clause, </w:t>
      </w:r>
      <w:r>
        <w:t xml:space="preserve">our </w:t>
      </w:r>
      <w:r w:rsidR="00F64A5A">
        <w:t xml:space="preserve">auditors review utility hedging results for the twelve month period ending July 31 of the current year. </w:t>
      </w:r>
      <w:r>
        <w:t xml:space="preserve"> </w:t>
      </w:r>
      <w:r w:rsidR="00F64A5A">
        <w:t xml:space="preserve">In addition, each year </w:t>
      </w:r>
      <w:r>
        <w:t>w</w:t>
      </w:r>
      <w:r w:rsidR="00F64A5A">
        <w:t>e approve the IOUs’ risk management plans for hedging transactions the utility will enter the following year and beyond.</w:t>
      </w:r>
    </w:p>
    <w:p w:rsidR="00F64A5A" w:rsidRDefault="00B630C6" w:rsidP="00841F54">
      <w:pPr>
        <w:pStyle w:val="BodyText"/>
        <w:jc w:val="both"/>
      </w:pPr>
      <w:r>
        <w:tab/>
      </w:r>
      <w:r w:rsidR="00F64A5A">
        <w:t>No other hedging-related orders have been issued to</w:t>
      </w:r>
      <w:r w:rsidR="00A27741">
        <w:t xml:space="preserve"> </w:t>
      </w:r>
      <w:r w:rsidR="00F64A5A">
        <w:t xml:space="preserve">date, although on </w:t>
      </w:r>
      <w:r w:rsidR="00A27741">
        <w:t xml:space="preserve">several occasions </w:t>
      </w:r>
      <w:r w:rsidR="00F64A5A">
        <w:t xml:space="preserve"> since the issuance of these three orders, </w:t>
      </w:r>
      <w:r w:rsidR="00BD27A8">
        <w:t xml:space="preserve">Commission </w:t>
      </w:r>
      <w:r w:rsidR="00F64A5A">
        <w:t xml:space="preserve">staff has presented hedging-related information to </w:t>
      </w:r>
      <w:r>
        <w:t xml:space="preserve">us </w:t>
      </w:r>
      <w:r w:rsidR="00F64A5A">
        <w:t xml:space="preserve">at </w:t>
      </w:r>
      <w:r w:rsidR="00BD27A8">
        <w:t xml:space="preserve">our publically noticed </w:t>
      </w:r>
      <w:r w:rsidR="00F64A5A">
        <w:t>Internal Affairs meetings.</w:t>
      </w:r>
    </w:p>
    <w:p w:rsidR="00F64A5A" w:rsidRPr="0050486D" w:rsidRDefault="00B630C6" w:rsidP="00841F54">
      <w:pPr>
        <w:pStyle w:val="BodyText"/>
        <w:jc w:val="both"/>
      </w:pPr>
      <w:r>
        <w:tab/>
      </w:r>
      <w:r w:rsidR="00F64A5A">
        <w:t xml:space="preserve">Since the 1990s, natural gas-fired generation has become a large part of the generation mix for Florida IOUs, and the increasing role for natural gas is expected to continue. </w:t>
      </w:r>
      <w:r>
        <w:t xml:space="preserve"> </w:t>
      </w:r>
      <w:r w:rsidR="00F64A5A">
        <w:t xml:space="preserve">Natural gas prices have been volatile over the years, with significant price spikes in 2000, 2003, 2005, and 2008. </w:t>
      </w:r>
      <w:r>
        <w:t xml:space="preserve"> </w:t>
      </w:r>
      <w:r w:rsidR="00F64A5A">
        <w:t xml:space="preserve">Since 2008, natural gas supply has increased significantly due to shale gas production.  </w:t>
      </w:r>
    </w:p>
    <w:p w:rsidR="00F64A5A" w:rsidRDefault="00810D4E" w:rsidP="00810D4E">
      <w:pPr>
        <w:jc w:val="both"/>
        <w:rPr>
          <w:u w:val="single"/>
        </w:rPr>
      </w:pPr>
      <w:r>
        <w:rPr>
          <w:u w:val="single"/>
        </w:rPr>
        <w:t xml:space="preserve">Analysis </w:t>
      </w:r>
    </w:p>
    <w:p w:rsidR="00810D4E" w:rsidRPr="00810D4E" w:rsidRDefault="00810D4E" w:rsidP="00810D4E">
      <w:pPr>
        <w:jc w:val="both"/>
        <w:rPr>
          <w:u w:val="single"/>
        </w:rPr>
      </w:pPr>
    </w:p>
    <w:p w:rsidR="00810D4E" w:rsidRDefault="00810D4E" w:rsidP="00810D4E">
      <w:pPr>
        <w:jc w:val="both"/>
      </w:pPr>
      <w:r>
        <w:tab/>
        <w:t>This issue focuses on three</w:t>
      </w:r>
      <w:r w:rsidR="003F488C">
        <w:t xml:space="preserve"> </w:t>
      </w:r>
      <w:r>
        <w:t>somewhat overlapping arguments: (1) the significant opportunity costs of hedging programs that IOUs incurred as part of fuel costs paid by customers; (2) whether the volatility of natural gas prices has declined to the point where hedging is no longer effective or necessary; and (3) whether conditions in the natural gas market are stable and eliminate the need for hedging.</w:t>
      </w:r>
    </w:p>
    <w:p w:rsidR="00810D4E" w:rsidRDefault="00810D4E" w:rsidP="00810D4E">
      <w:pPr>
        <w:jc w:val="both"/>
      </w:pPr>
    </w:p>
    <w:p w:rsidR="00810D4E" w:rsidRDefault="00810D4E" w:rsidP="00810D4E">
      <w:pPr>
        <w:jc w:val="both"/>
      </w:pPr>
      <w:r>
        <w:tab/>
      </w:r>
      <w:r w:rsidR="003F488C">
        <w:t>T</w:t>
      </w:r>
      <w:r>
        <w:t xml:space="preserve">he intervenors </w:t>
      </w:r>
      <w:r w:rsidR="003F488C">
        <w:t>have argued in their briefs, supported by tes</w:t>
      </w:r>
      <w:r>
        <w:t>t</w:t>
      </w:r>
      <w:r w:rsidR="003F488C">
        <w:t>imony of record, t</w:t>
      </w:r>
      <w:r>
        <w:t xml:space="preserve">hat hedging should be discontinued due to the large cumulative </w:t>
      </w:r>
      <w:r w:rsidR="003F488C">
        <w:t xml:space="preserve">actual and projected </w:t>
      </w:r>
      <w:r>
        <w:t>net losses</w:t>
      </w:r>
      <w:r w:rsidR="003F488C">
        <w:t xml:space="preserve"> for each IOU from 2002 until 2015.</w:t>
      </w:r>
      <w:r w:rsidR="00634726">
        <w:t xml:space="preserve"> </w:t>
      </w:r>
      <w:r w:rsidR="003F488C">
        <w:t xml:space="preserve"> T</w:t>
      </w:r>
      <w:r>
        <w:t xml:space="preserve">he IOUs </w:t>
      </w:r>
      <w:r w:rsidR="003F488C">
        <w:t xml:space="preserve">counter in their testimony and briefs that </w:t>
      </w:r>
      <w:r>
        <w:t>the purpose of hedging</w:t>
      </w:r>
      <w:r w:rsidR="00A27741">
        <w:t>,</w:t>
      </w:r>
      <w:r>
        <w:t xml:space="preserve"> </w:t>
      </w:r>
      <w:r w:rsidR="003F488C">
        <w:t>as recognized in our previous hedging orders</w:t>
      </w:r>
      <w:r w:rsidR="00A27741">
        <w:t>,</w:t>
      </w:r>
      <w:r w:rsidR="003F488C">
        <w:t xml:space="preserve"> </w:t>
      </w:r>
      <w:r>
        <w:t>is to reduce price volatility</w:t>
      </w:r>
      <w:r w:rsidR="003F488C">
        <w:t>.  While</w:t>
      </w:r>
      <w:r>
        <w:t xml:space="preserve"> gains and losses can occur, </w:t>
      </w:r>
      <w:r w:rsidR="00634726">
        <w:t xml:space="preserve">the IOUs contend that </w:t>
      </w:r>
      <w:r w:rsidR="003F488C">
        <w:t>a</w:t>
      </w:r>
      <w:r>
        <w:t xml:space="preserve">ssessing the </w:t>
      </w:r>
      <w:r w:rsidR="003F488C">
        <w:t xml:space="preserve">merits of retaining </w:t>
      </w:r>
      <w:r>
        <w:t xml:space="preserve">hedging programs based on </w:t>
      </w:r>
      <w:r w:rsidR="003F488C">
        <w:t xml:space="preserve">resultant </w:t>
      </w:r>
      <w:r>
        <w:t xml:space="preserve">gains </w:t>
      </w:r>
      <w:r w:rsidR="003F488C">
        <w:t>or</w:t>
      </w:r>
      <w:r>
        <w:t xml:space="preserve"> losses </w:t>
      </w:r>
      <w:r w:rsidR="003F488C">
        <w:t xml:space="preserve">simply </w:t>
      </w:r>
      <w:r>
        <w:t>encourage</w:t>
      </w:r>
      <w:r w:rsidR="003F488C">
        <w:t>s</w:t>
      </w:r>
      <w:r>
        <w:t xml:space="preserve"> </w:t>
      </w:r>
      <w:r w:rsidR="00634726">
        <w:t xml:space="preserve">price </w:t>
      </w:r>
      <w:r>
        <w:t>speculation</w:t>
      </w:r>
      <w:r w:rsidR="00634726">
        <w:t xml:space="preserve">, a </w:t>
      </w:r>
      <w:r w:rsidR="003F488C">
        <w:t>practice that n</w:t>
      </w:r>
      <w:r w:rsidR="00FE0167">
        <w:t>either party</w:t>
      </w:r>
      <w:r w:rsidR="003F488C">
        <w:t xml:space="preserve"> believes to be </w:t>
      </w:r>
      <w:r w:rsidR="00FE0167">
        <w:t xml:space="preserve">in the </w:t>
      </w:r>
      <w:r w:rsidR="003F488C">
        <w:t>ratepayers</w:t>
      </w:r>
      <w:r w:rsidR="00FE0167">
        <w:t>’ best interests</w:t>
      </w:r>
      <w:r>
        <w:t xml:space="preserve">. </w:t>
      </w:r>
    </w:p>
    <w:p w:rsidR="00BD27A8" w:rsidRDefault="00BD27A8" w:rsidP="00810D4E">
      <w:pPr>
        <w:jc w:val="both"/>
      </w:pPr>
    </w:p>
    <w:p w:rsidR="00810D4E" w:rsidRDefault="00FE0167" w:rsidP="00810D4E">
      <w:pPr>
        <w:jc w:val="both"/>
      </w:pPr>
      <w:r>
        <w:tab/>
      </w:r>
      <w:r w:rsidR="00810D4E">
        <w:t xml:space="preserve">IOU witnesses acknowledged </w:t>
      </w:r>
      <w:r>
        <w:t xml:space="preserve">that there </w:t>
      </w:r>
      <w:r w:rsidR="00634726">
        <w:t xml:space="preserve">have been </w:t>
      </w:r>
      <w:r w:rsidR="00810D4E">
        <w:t xml:space="preserve">significant net cumulative hedging losses for natural gas. </w:t>
      </w:r>
      <w:r>
        <w:t xml:space="preserve"> </w:t>
      </w:r>
      <w:r w:rsidR="00810D4E">
        <w:t xml:space="preserve">FPL had losses of $3.5 billion for the period 2002 to 2014 for natural gas ($3.162 billion when fuel oil hedging gains are included) and </w:t>
      </w:r>
      <w:r w:rsidR="00CB3DB7">
        <w:t xml:space="preserve">projects hedging losses of </w:t>
      </w:r>
      <w:r w:rsidR="00810D4E">
        <w:t>$490 million for 2015.</w:t>
      </w:r>
      <w:r>
        <w:t xml:space="preserve">  </w:t>
      </w:r>
      <w:r w:rsidR="00810D4E">
        <w:t>DEF incurred $1.2 billion in losses for the period 2002 to 2014 and estimates $196 million in losses for 2015.</w:t>
      </w:r>
      <w:r>
        <w:t xml:space="preserve">  </w:t>
      </w:r>
      <w:r w:rsidR="00810D4E">
        <w:t xml:space="preserve">Gulf Power incurred $127 million in losses from 2002 to 2014 and estimates $44 million for 2015. </w:t>
      </w:r>
      <w:r>
        <w:t xml:space="preserve"> </w:t>
      </w:r>
      <w:r w:rsidR="00810D4E">
        <w:t xml:space="preserve">Tampa Electric incurred losses of $381 million for the </w:t>
      </w:r>
      <w:r w:rsidR="00810D4E">
        <w:lastRenderedPageBreak/>
        <w:t xml:space="preserve">period 2002 to 2014 and estimates $40 million for 2015. </w:t>
      </w:r>
      <w:r w:rsidR="004C248C">
        <w:t xml:space="preserve"> </w:t>
      </w:r>
      <w:r w:rsidR="00810D4E">
        <w:t xml:space="preserve">FPL’s recently approved Woodford project is </w:t>
      </w:r>
      <w:r w:rsidR="004C248C">
        <w:t xml:space="preserve">also </w:t>
      </w:r>
      <w:r w:rsidR="00810D4E">
        <w:t xml:space="preserve">estimated to experience hedging losses for 2015. </w:t>
      </w:r>
      <w:r w:rsidR="004C248C">
        <w:t xml:space="preserve"> </w:t>
      </w:r>
      <w:r w:rsidR="00810D4E">
        <w:t xml:space="preserve">OPC witness Lawton </w:t>
      </w:r>
      <w:r w:rsidR="004C248C">
        <w:t xml:space="preserve">testified that this </w:t>
      </w:r>
      <w:r w:rsidR="00810D4E">
        <w:t xml:space="preserve">prolonged period of losses should signal a re-evaluation of </w:t>
      </w:r>
      <w:r w:rsidR="007B2C1B">
        <w:t xml:space="preserve">the </w:t>
      </w:r>
      <w:r w:rsidR="004C248C">
        <w:t xml:space="preserve">necessity for </w:t>
      </w:r>
      <w:r w:rsidR="00810D4E">
        <w:t xml:space="preserve">hedging programs. </w:t>
      </w:r>
      <w:r w:rsidR="004C248C">
        <w:t>However, t</w:t>
      </w:r>
      <w:r w:rsidR="00810D4E">
        <w:t xml:space="preserve">here </w:t>
      </w:r>
      <w:r w:rsidR="004C248C">
        <w:t xml:space="preserve">were </w:t>
      </w:r>
      <w:r w:rsidR="00810D4E">
        <w:t xml:space="preserve">earlier periods before 2008 when gains </w:t>
      </w:r>
      <w:r w:rsidR="004C248C">
        <w:t xml:space="preserve">did </w:t>
      </w:r>
      <w:r w:rsidR="00810D4E">
        <w:t>offset losses.</w:t>
      </w:r>
      <w:r w:rsidR="004C248C">
        <w:t xml:space="preserve">  </w:t>
      </w:r>
      <w:r w:rsidR="00810D4E">
        <w:t xml:space="preserve">Customers </w:t>
      </w:r>
      <w:r w:rsidR="004C248C">
        <w:t xml:space="preserve">have </w:t>
      </w:r>
      <w:r w:rsidR="00634726">
        <w:t xml:space="preserve">consistently </w:t>
      </w:r>
      <w:r w:rsidR="00810D4E">
        <w:t>benefit</w:t>
      </w:r>
      <w:r w:rsidR="004C248C">
        <w:t>ed</w:t>
      </w:r>
      <w:r w:rsidR="00810D4E">
        <w:t xml:space="preserve"> from falling prices for the unhedged portion of </w:t>
      </w:r>
      <w:r w:rsidR="004C248C">
        <w:t>the IOUs’</w:t>
      </w:r>
      <w:r w:rsidR="00810D4E">
        <w:t xml:space="preserve"> gas supply portfolio</w:t>
      </w:r>
      <w:r w:rsidR="004C248C">
        <w:t>s</w:t>
      </w:r>
      <w:r w:rsidR="001631FB">
        <w:t xml:space="preserve"> which fluctuates year to year based upon each IOU’s approved Risk Management Plan</w:t>
      </w:r>
      <w:r w:rsidR="00810D4E">
        <w:t>.</w:t>
      </w:r>
      <w:r w:rsidR="00BD27A8">
        <w:t xml:space="preserve">  </w:t>
      </w:r>
      <w:r w:rsidR="004C248C">
        <w:t xml:space="preserve">Each </w:t>
      </w:r>
      <w:r w:rsidR="00810D4E">
        <w:t xml:space="preserve">IOU witness </w:t>
      </w:r>
      <w:r w:rsidR="004C248C">
        <w:t xml:space="preserve">testified </w:t>
      </w:r>
      <w:r w:rsidR="00810D4E">
        <w:t>that</w:t>
      </w:r>
      <w:r w:rsidR="00634726">
        <w:t xml:space="preserve"> </w:t>
      </w:r>
      <w:r w:rsidR="00810D4E">
        <w:t xml:space="preserve">the goal of </w:t>
      </w:r>
      <w:r w:rsidR="007B2C1B">
        <w:t>its</w:t>
      </w:r>
      <w:r w:rsidR="00810D4E">
        <w:t xml:space="preserve"> hedging program </w:t>
      </w:r>
      <w:r w:rsidR="00634726">
        <w:t>was</w:t>
      </w:r>
      <w:r w:rsidR="00810D4E">
        <w:t xml:space="preserve"> to reduce </w:t>
      </w:r>
      <w:r w:rsidR="00634726">
        <w:t xml:space="preserve">price </w:t>
      </w:r>
      <w:r w:rsidR="00810D4E">
        <w:t>volatility</w:t>
      </w:r>
      <w:r w:rsidR="00634726">
        <w:t xml:space="preserve"> and that our previously </w:t>
      </w:r>
      <w:r w:rsidR="00810D4E">
        <w:t xml:space="preserve">approved hedging guidelines </w:t>
      </w:r>
      <w:r w:rsidR="00634726">
        <w:t xml:space="preserve">and procedures </w:t>
      </w:r>
      <w:r w:rsidR="00810D4E">
        <w:t>provide reasonable tradeoffs for mitigating volatility.</w:t>
      </w:r>
    </w:p>
    <w:p w:rsidR="00F64A5A" w:rsidRDefault="00F64A5A" w:rsidP="00841F54">
      <w:pPr>
        <w:jc w:val="both"/>
      </w:pPr>
    </w:p>
    <w:p w:rsidR="003F488C" w:rsidRDefault="00634726" w:rsidP="003F488C">
      <w:pPr>
        <w:jc w:val="both"/>
      </w:pPr>
      <w:r>
        <w:tab/>
        <w:t xml:space="preserve">We agree that </w:t>
      </w:r>
      <w:r w:rsidR="003F488C">
        <w:t xml:space="preserve">the level of opportunity savings and costs – hedging gains and losses – should not be a chief consideration in deciding whether to continue fuel price hedging. </w:t>
      </w:r>
      <w:r>
        <w:t xml:space="preserve"> </w:t>
      </w:r>
      <w:r w:rsidR="003F488C">
        <w:t xml:space="preserve">When gas prices are falling, losses will occur. </w:t>
      </w:r>
      <w:r>
        <w:t xml:space="preserve"> </w:t>
      </w:r>
      <w:r w:rsidR="003F488C">
        <w:t xml:space="preserve">Conversely, when gas prices are rising, gains will occur. </w:t>
      </w:r>
      <w:r>
        <w:t xml:space="preserve"> </w:t>
      </w:r>
      <w:r w:rsidR="003F488C">
        <w:t xml:space="preserve">The main objective of IOU hedging programs is to reduce the customer’s exposure to fuel price volatility, not to reduce fuel costs. </w:t>
      </w:r>
      <w:r>
        <w:t xml:space="preserve"> </w:t>
      </w:r>
      <w:r w:rsidR="003F488C">
        <w:t>Therefore, these programs should be well disciplined to accomplish this objective and to be non-speculative.</w:t>
      </w:r>
    </w:p>
    <w:p w:rsidR="003F488C" w:rsidRDefault="003F488C" w:rsidP="003F488C">
      <w:pPr>
        <w:jc w:val="both"/>
      </w:pPr>
    </w:p>
    <w:p w:rsidR="003F488C" w:rsidRDefault="00634726" w:rsidP="003F488C">
      <w:pPr>
        <w:jc w:val="both"/>
      </w:pPr>
      <w:r>
        <w:tab/>
      </w:r>
      <w:r w:rsidR="003F488C">
        <w:t xml:space="preserve">As emphasized by intervenors, the cumulative losses are currently large. </w:t>
      </w:r>
      <w:r>
        <w:t xml:space="preserve"> </w:t>
      </w:r>
      <w:r w:rsidR="003F488C">
        <w:t xml:space="preserve">These losses </w:t>
      </w:r>
      <w:r w:rsidR="00CB3DB7">
        <w:t xml:space="preserve">are the result of </w:t>
      </w:r>
      <w:r w:rsidR="003F488C">
        <w:t>steadily falling natural gas prices</w:t>
      </w:r>
      <w:r w:rsidR="00CB3DB7">
        <w:t xml:space="preserve"> in the open market</w:t>
      </w:r>
      <w:r w:rsidR="003F488C">
        <w:t xml:space="preserve">. </w:t>
      </w:r>
      <w:r>
        <w:t xml:space="preserve"> </w:t>
      </w:r>
      <w:r w:rsidR="003F488C">
        <w:t xml:space="preserve">Customers </w:t>
      </w:r>
      <w:r>
        <w:t xml:space="preserve">continue to </w:t>
      </w:r>
      <w:r w:rsidR="003F488C">
        <w:t>experience the benefits of th</w:t>
      </w:r>
      <w:r w:rsidR="00CB3DB7">
        <w:t>e current</w:t>
      </w:r>
      <w:r w:rsidR="003F488C">
        <w:t xml:space="preserve"> downward trend in prices for the unhedged portions of the IOU</w:t>
      </w:r>
      <w:r w:rsidR="002E358B">
        <w:t>s’</w:t>
      </w:r>
      <w:r w:rsidR="003F488C">
        <w:t xml:space="preserve"> natural gas purchases. </w:t>
      </w:r>
      <w:r>
        <w:t xml:space="preserve"> </w:t>
      </w:r>
      <w:r w:rsidR="003F488C">
        <w:t xml:space="preserve">Should </w:t>
      </w:r>
      <w:r w:rsidR="002E358B">
        <w:t xml:space="preserve">the market price of </w:t>
      </w:r>
      <w:r w:rsidR="003F488C">
        <w:t>natural gas</w:t>
      </w:r>
      <w:r w:rsidR="002E358B">
        <w:t xml:space="preserve"> </w:t>
      </w:r>
      <w:r w:rsidR="003F488C">
        <w:t>trend or spike upward, hedging savings will occur but, overall, fuel costs will increase.</w:t>
      </w:r>
    </w:p>
    <w:p w:rsidR="003F488C" w:rsidRDefault="003F488C" w:rsidP="003F488C">
      <w:pPr>
        <w:jc w:val="both"/>
      </w:pPr>
    </w:p>
    <w:p w:rsidR="00410E81" w:rsidRDefault="00634726" w:rsidP="00410E81">
      <w:pPr>
        <w:jc w:val="both"/>
      </w:pPr>
      <w:r>
        <w:tab/>
      </w:r>
      <w:r w:rsidR="003F488C">
        <w:t xml:space="preserve">OPC witness Lawton </w:t>
      </w:r>
      <w:r>
        <w:t xml:space="preserve">testified </w:t>
      </w:r>
      <w:r w:rsidR="003F488C">
        <w:t xml:space="preserve">that </w:t>
      </w:r>
      <w:r>
        <w:t xml:space="preserve">since </w:t>
      </w:r>
      <w:r w:rsidR="003F488C">
        <w:t>price volatility has decreased</w:t>
      </w:r>
      <w:r w:rsidR="00410E81">
        <w:t xml:space="preserve"> and is trending downward</w:t>
      </w:r>
      <w:r>
        <w:t xml:space="preserve">, </w:t>
      </w:r>
      <w:r w:rsidR="003F488C">
        <w:t xml:space="preserve">hedging </w:t>
      </w:r>
      <w:r>
        <w:t xml:space="preserve">is </w:t>
      </w:r>
      <w:r w:rsidR="003F488C">
        <w:t>unnecessary.</w:t>
      </w:r>
      <w:r w:rsidR="00410E81">
        <w:t xml:space="preserve">  </w:t>
      </w:r>
      <w:r w:rsidR="00493A1D">
        <w:t>IOU witnesses both agreed and disagreed that price volatility had decreased since 2001.</w:t>
      </w:r>
      <w:r w:rsidR="00BC206A">
        <w:t xml:space="preserve">  </w:t>
      </w:r>
      <w:r w:rsidR="00410E81">
        <w:t xml:space="preserve">DEF witness McAllister agreed </w:t>
      </w:r>
      <w:r w:rsidR="00623E36">
        <w:t xml:space="preserve">with witness Lawton </w:t>
      </w:r>
      <w:r w:rsidR="00410E81">
        <w:t xml:space="preserve">that </w:t>
      </w:r>
      <w:r w:rsidR="00623E36">
        <w:t xml:space="preserve">natural gas </w:t>
      </w:r>
      <w:r w:rsidR="00410E81">
        <w:t>prices are less volatile.</w:t>
      </w:r>
      <w:r w:rsidR="00623E36">
        <w:t xml:space="preserve">  </w:t>
      </w:r>
      <w:r w:rsidR="00410E81">
        <w:t>Gulf witness Ball stated that Gulf does not forecast price volatility and suggests such a forecast is not possible.</w:t>
      </w:r>
      <w:r w:rsidR="00493A1D">
        <w:t xml:space="preserve">  However, witness Ball </w:t>
      </w:r>
      <w:r w:rsidR="00BC206A">
        <w:t xml:space="preserve">also </w:t>
      </w:r>
      <w:r w:rsidR="00493A1D">
        <w:t>testified t</w:t>
      </w:r>
      <w:r w:rsidR="00410E81">
        <w:t>hat</w:t>
      </w:r>
      <w:r w:rsidR="00493A1D">
        <w:t xml:space="preserve">, with a few exceptions, </w:t>
      </w:r>
      <w:r w:rsidR="00410E81">
        <w:t xml:space="preserve">in recent history </w:t>
      </w:r>
      <w:r w:rsidR="00493A1D">
        <w:t xml:space="preserve">price </w:t>
      </w:r>
      <w:r w:rsidR="00410E81">
        <w:t xml:space="preserve">volatility </w:t>
      </w:r>
      <w:r w:rsidR="00493A1D">
        <w:t xml:space="preserve">has been </w:t>
      </w:r>
      <w:r w:rsidR="00410E81">
        <w:t xml:space="preserve">lower. </w:t>
      </w:r>
      <w:r w:rsidR="00BC206A">
        <w:t xml:space="preserve"> </w:t>
      </w:r>
      <w:r w:rsidR="00493A1D">
        <w:t>TECO w</w:t>
      </w:r>
      <w:r w:rsidR="00410E81">
        <w:t xml:space="preserve">itness Caldwell agreed that fuel price volatility decreased during the period 1997 to 2015. </w:t>
      </w:r>
    </w:p>
    <w:p w:rsidR="00BC206A" w:rsidRDefault="00BC206A" w:rsidP="00410E81">
      <w:pPr>
        <w:jc w:val="both"/>
      </w:pPr>
    </w:p>
    <w:p w:rsidR="00B71590" w:rsidRDefault="00BC206A" w:rsidP="003F488C">
      <w:pPr>
        <w:jc w:val="both"/>
      </w:pPr>
      <w:r>
        <w:tab/>
        <w:t>FPL witness Yupp strongly disagree</w:t>
      </w:r>
      <w:r w:rsidR="007B2C1B">
        <w:t>d with OPC’s conclusion</w:t>
      </w:r>
      <w:r>
        <w:t>.</w:t>
      </w:r>
      <w:r w:rsidR="007B2C1B">
        <w:t xml:space="preserve">  </w:t>
      </w:r>
      <w:r>
        <w:t xml:space="preserve">While the price of natural gas has trended downward over the last several years, and the trend line in natural gas volatility has done the same, witness Yupp testified that the volatility of natural gas prices has varied considerably year to year.  Thus, while the trend line for natural gas volatility shows a decline, there is a very low correlation of the trend line with the yearly data.  That being the case, the trend line in price volatility is not a statistically valid predictor of </w:t>
      </w:r>
      <w:r w:rsidR="00B71590">
        <w:t xml:space="preserve">next year’s </w:t>
      </w:r>
      <w:r>
        <w:t>price volatility point.  Based on this analysis, witness Yupp conclude</w:t>
      </w:r>
      <w:r w:rsidR="007B2C1B">
        <w:t>d</w:t>
      </w:r>
      <w:r>
        <w:t xml:space="preserve"> that one cannot reasonably conclude that natural gas price volatility has decreased as natural gas prices have fallen or will decrease in the future.  Witness Yupp testified that hedging had been successful in reducing price volatility as measured by the </w:t>
      </w:r>
      <w:r w:rsidR="001631FB">
        <w:t xml:space="preserve">fact that </w:t>
      </w:r>
      <w:r>
        <w:t xml:space="preserve">FPL </w:t>
      </w:r>
      <w:r w:rsidR="001631FB">
        <w:t xml:space="preserve">only </w:t>
      </w:r>
      <w:r>
        <w:t xml:space="preserve">met </w:t>
      </w:r>
      <w:r w:rsidR="002F1D85">
        <w:t>th</w:t>
      </w:r>
      <w:r>
        <w:t>e</w:t>
      </w:r>
      <w:r w:rsidR="002F1D85">
        <w:t xml:space="preserve"> plus or minus ten</w:t>
      </w:r>
      <w:r>
        <w:t xml:space="preserve"> percent mid-course correction threshold established by Rule </w:t>
      </w:r>
      <w:r w:rsidR="002F1D85">
        <w:t>25-6.0424, F.A.C., once for the period 2002 to 2014 with hedging</w:t>
      </w:r>
      <w:r w:rsidR="00B71590">
        <w:t>.  Had FPL not hedged</w:t>
      </w:r>
      <w:r w:rsidR="002F1D85">
        <w:t>, this threshold would have been exceeded nine times.  Witness Yupp also testified that the current EIA forecasts</w:t>
      </w:r>
      <w:r w:rsidR="003F488C">
        <w:t xml:space="preserve"> for natural gas prices show a confidence interval </w:t>
      </w:r>
      <w:r w:rsidR="00B71590">
        <w:t xml:space="preserve">of ranging more toward </w:t>
      </w:r>
      <w:r w:rsidR="003F488C">
        <w:t xml:space="preserve">higher prices than lower prices. </w:t>
      </w:r>
      <w:r w:rsidR="00B71590">
        <w:t xml:space="preserve">Gulf witness Ball affirmed this aspect of </w:t>
      </w:r>
      <w:r w:rsidR="00B71590">
        <w:lastRenderedPageBreak/>
        <w:t>the EIA forecast and OPC witness Lawton acknowledged this fact.  The confidence interval</w:t>
      </w:r>
      <w:r w:rsidR="00FE1AD6">
        <w:t>s</w:t>
      </w:r>
      <w:r w:rsidR="00B71590">
        <w:t xml:space="preserve"> for natural gas prices included in EIA’s forecast </w:t>
      </w:r>
      <w:r w:rsidR="00A27741">
        <w:t xml:space="preserve">are </w:t>
      </w:r>
      <w:r w:rsidR="00B71590">
        <w:t xml:space="preserve">consistent with the economic reality that gas prices cannot indefinitely continue to decrease as the price of any commodity cannot fall below the price of production for sustained periods of time.  </w:t>
      </w:r>
    </w:p>
    <w:p w:rsidR="00B71590" w:rsidRDefault="00B71590" w:rsidP="003F488C">
      <w:pPr>
        <w:jc w:val="both"/>
      </w:pPr>
    </w:p>
    <w:p w:rsidR="003F488C" w:rsidRDefault="00FE1AD6" w:rsidP="003F488C">
      <w:pPr>
        <w:jc w:val="both"/>
      </w:pPr>
      <w:r>
        <w:tab/>
      </w:r>
      <w:r w:rsidR="003F488C">
        <w:t xml:space="preserve">OPC </w:t>
      </w:r>
      <w:r>
        <w:t xml:space="preserve">has </w:t>
      </w:r>
      <w:r w:rsidR="003F488C">
        <w:t>argued that the annual fuel factor smoothes out price volatility and is a cost-free alternative to hedging.</w:t>
      </w:r>
      <w:r>
        <w:t xml:space="preserve">  </w:t>
      </w:r>
      <w:r w:rsidR="003F488C">
        <w:t xml:space="preserve">Witness Lawton stated that the annual or level fuel factor </w:t>
      </w:r>
      <w:r>
        <w:t xml:space="preserve">effectively </w:t>
      </w:r>
      <w:r w:rsidR="003F488C">
        <w:t>shields customers from day-to-day changes in market prices.</w:t>
      </w:r>
      <w:r>
        <w:t xml:space="preserve"> </w:t>
      </w:r>
      <w:r w:rsidR="003F488C">
        <w:t xml:space="preserve"> </w:t>
      </w:r>
      <w:r>
        <w:t xml:space="preserve">However, witness Lawton </w:t>
      </w:r>
      <w:r w:rsidR="003F488C">
        <w:t xml:space="preserve">acknowledges </w:t>
      </w:r>
      <w:r>
        <w:t xml:space="preserve">that </w:t>
      </w:r>
      <w:r w:rsidR="003F488C">
        <w:t>the cumulative effect of unexpected changes in market prices could lead to a mid-course correction to fuel factors.</w:t>
      </w:r>
      <w:r>
        <w:t xml:space="preserve">  </w:t>
      </w:r>
      <w:r w:rsidR="00BD27A8">
        <w:t>DEF w</w:t>
      </w:r>
      <w:r w:rsidR="003F488C">
        <w:t>itness Mc</w:t>
      </w:r>
      <w:r>
        <w:t>Ca</w:t>
      </w:r>
      <w:r w:rsidR="003F488C">
        <w:t xml:space="preserve">llister agreed that the level fuel factor can reduce the customer’s exposure to price volatility within </w:t>
      </w:r>
      <w:r>
        <w:t xml:space="preserve">any given </w:t>
      </w:r>
      <w:r w:rsidR="003F488C">
        <w:t>year, assuming no mid-course correction.</w:t>
      </w:r>
      <w:r>
        <w:t xml:space="preserve"> </w:t>
      </w:r>
      <w:r w:rsidR="003F488C">
        <w:t xml:space="preserve"> However, without hedging</w:t>
      </w:r>
      <w:r>
        <w:t xml:space="preserve"> </w:t>
      </w:r>
      <w:r w:rsidR="003F488C">
        <w:t xml:space="preserve">true-up amounts </w:t>
      </w:r>
      <w:r w:rsidR="009C6684">
        <w:t>in subsequent years could</w:t>
      </w:r>
      <w:r w:rsidR="003F488C">
        <w:t xml:space="preserve"> be significant. </w:t>
      </w:r>
      <w:r w:rsidR="00BD27A8">
        <w:t>TECO w</w:t>
      </w:r>
      <w:r w:rsidR="003F488C">
        <w:t>itness Caldwell testified that</w:t>
      </w:r>
      <w:r w:rsidR="009C6684">
        <w:t xml:space="preserve"> </w:t>
      </w:r>
      <w:r w:rsidR="003F488C">
        <w:t xml:space="preserve">while the annual fuel factor provides some smoothing over </w:t>
      </w:r>
      <w:r w:rsidR="009C6684">
        <w:t xml:space="preserve">a </w:t>
      </w:r>
      <w:r w:rsidR="003F488C">
        <w:t>twelve month</w:t>
      </w:r>
      <w:r w:rsidR="009C6684">
        <w:t xml:space="preserve"> period</w:t>
      </w:r>
      <w:r w:rsidR="003F488C">
        <w:t>, it does not limit the potential for fuel costs to increase or decrease</w:t>
      </w:r>
      <w:r w:rsidR="009C6684">
        <w:t>, i.e., fuel price volatility</w:t>
      </w:r>
      <w:r w:rsidR="003F488C">
        <w:t>.</w:t>
      </w:r>
      <w:r w:rsidR="009C6684">
        <w:t xml:space="preserve"> </w:t>
      </w:r>
      <w:r w:rsidR="003F488C">
        <w:t xml:space="preserve"> </w:t>
      </w:r>
      <w:r w:rsidR="003B013D">
        <w:t>Witness Caldwell also testified that s</w:t>
      </w:r>
      <w:r w:rsidR="003F488C">
        <w:t>preading an under-recovery over more time</w:t>
      </w:r>
      <w:r w:rsidR="009C6684">
        <w:t>, as suggested by FPL in 2008 by its validation mitigation mechanism (VMM),</w:t>
      </w:r>
      <w:r w:rsidR="003F488C">
        <w:t xml:space="preserve"> </w:t>
      </w:r>
      <w:r w:rsidR="003B013D">
        <w:t>without hedging any portion of the natural gas portfolio</w:t>
      </w:r>
      <w:r w:rsidR="004C22CF">
        <w:t xml:space="preserve"> </w:t>
      </w:r>
      <w:r w:rsidR="003F488C">
        <w:t>presents a risk of stacking under-recoveries if prices rise</w:t>
      </w:r>
      <w:r w:rsidR="003B013D">
        <w:t xml:space="preserve"> making the rate impact on ratepayers even greater</w:t>
      </w:r>
      <w:r w:rsidR="003F488C">
        <w:t xml:space="preserve">. </w:t>
      </w:r>
    </w:p>
    <w:p w:rsidR="003F488C" w:rsidRDefault="003F488C" w:rsidP="003F488C">
      <w:pPr>
        <w:jc w:val="both"/>
      </w:pPr>
    </w:p>
    <w:p w:rsidR="003F488C" w:rsidRDefault="003B013D" w:rsidP="003F488C">
      <w:pPr>
        <w:jc w:val="both"/>
      </w:pPr>
      <w:r>
        <w:tab/>
      </w:r>
      <w:r w:rsidR="00852246">
        <w:t xml:space="preserve">The record is </w:t>
      </w:r>
      <w:r>
        <w:t xml:space="preserve">clear that </w:t>
      </w:r>
      <w:r w:rsidR="00852246">
        <w:t xml:space="preserve">setting a </w:t>
      </w:r>
      <w:r w:rsidR="003F488C">
        <w:t xml:space="preserve">level or annual factor has some smoothing effect within </w:t>
      </w:r>
      <w:r>
        <w:t xml:space="preserve">any given </w:t>
      </w:r>
      <w:r w:rsidR="003F488C">
        <w:t>year assuming no mid-course corrections.</w:t>
      </w:r>
      <w:r w:rsidR="00852246">
        <w:t xml:space="preserve">  The record is also clear that b</w:t>
      </w:r>
      <w:r w:rsidR="003F488C">
        <w:t>y providing certainty to a portion of expected gas consumption, hedging reduce</w:t>
      </w:r>
      <w:r w:rsidR="00975BD8">
        <w:t>s</w:t>
      </w:r>
      <w:r w:rsidR="003F488C">
        <w:t xml:space="preserve"> </w:t>
      </w:r>
      <w:r w:rsidR="00852246">
        <w:t xml:space="preserve">annual </w:t>
      </w:r>
      <w:r w:rsidR="003F488C">
        <w:t xml:space="preserve">true-up amounts and </w:t>
      </w:r>
      <w:r w:rsidR="00852246">
        <w:t xml:space="preserve">the number of </w:t>
      </w:r>
      <w:r w:rsidR="003F488C">
        <w:t>mid-course corrections</w:t>
      </w:r>
      <w:r w:rsidR="00852246">
        <w:t xml:space="preserve"> required by our rules</w:t>
      </w:r>
      <w:r w:rsidR="003F488C">
        <w:t xml:space="preserve">. </w:t>
      </w:r>
    </w:p>
    <w:p w:rsidR="00852246" w:rsidRDefault="00852246" w:rsidP="003F488C">
      <w:pPr>
        <w:jc w:val="both"/>
      </w:pPr>
    </w:p>
    <w:p w:rsidR="003F488C" w:rsidRDefault="00852246" w:rsidP="003F488C">
      <w:pPr>
        <w:jc w:val="both"/>
      </w:pPr>
      <w:r>
        <w:tab/>
        <w:t xml:space="preserve">A review of the testimony reveals that both intervenor and IOU </w:t>
      </w:r>
      <w:r w:rsidR="003F488C">
        <w:t xml:space="preserve">witnesses generally agree that price volatility cannot be accurately </w:t>
      </w:r>
      <w:r>
        <w:t xml:space="preserve">or </w:t>
      </w:r>
      <w:r w:rsidR="003F488C">
        <w:t xml:space="preserve">consistently forecasted. </w:t>
      </w:r>
      <w:r>
        <w:t xml:space="preserve"> The record before us indicates that from 2002 to date natural gas </w:t>
      </w:r>
      <w:r w:rsidR="003F488C">
        <w:t xml:space="preserve">price volatility </w:t>
      </w:r>
      <w:r>
        <w:t xml:space="preserve">has </w:t>
      </w:r>
      <w:r w:rsidR="003F488C">
        <w:t>varie</w:t>
      </w:r>
      <w:r>
        <w:t>d</w:t>
      </w:r>
      <w:r w:rsidR="003F488C">
        <w:t xml:space="preserve"> up and down significantly</w:t>
      </w:r>
      <w:r w:rsidR="004C22CF">
        <w:t>,</w:t>
      </w:r>
      <w:r w:rsidR="003E34A7">
        <w:t xml:space="preserve">  </w:t>
      </w:r>
      <w:r w:rsidR="004C22CF">
        <w:t xml:space="preserve">with </w:t>
      </w:r>
      <w:r w:rsidR="003E34A7">
        <w:t>2009 and 2014 reaching levels of 99.6 percent and 96.7 percent, respectively</w:t>
      </w:r>
      <w:r w:rsidR="003F488C">
        <w:t>.</w:t>
      </w:r>
      <w:r w:rsidR="003E34A7">
        <w:t xml:space="preserve">  </w:t>
      </w:r>
      <w:r w:rsidR="003F488C">
        <w:t xml:space="preserve">Therefore, while natural gas prices have trended downward in the last few years, the level of price volatility </w:t>
      </w:r>
      <w:r w:rsidR="005369D4">
        <w:t>cannot be predicted w</w:t>
      </w:r>
      <w:r w:rsidR="00877ECF">
        <w:t>ith</w:t>
      </w:r>
      <w:r w:rsidR="005369D4">
        <w:t xml:space="preserve"> any certainty</w:t>
      </w:r>
      <w:r w:rsidR="003F488C">
        <w:t>.</w:t>
      </w:r>
      <w:r w:rsidR="003E34A7">
        <w:t xml:space="preserve">  </w:t>
      </w:r>
      <w:r w:rsidR="00A27741">
        <w:t>It is important to remember that the impact on ratepayers of even small variations in the price of natural gas is significant, e.g.</w:t>
      </w:r>
      <w:r w:rsidR="00636A72">
        <w:t>,</w:t>
      </w:r>
      <w:r w:rsidR="00A27741">
        <w:t xml:space="preserve"> a</w:t>
      </w:r>
      <w:r w:rsidR="003F488C">
        <w:t xml:space="preserve"> one cent change in natural gas prices </w:t>
      </w:r>
      <w:r w:rsidR="00A27741">
        <w:t>results in</w:t>
      </w:r>
      <w:r w:rsidR="003F488C">
        <w:t xml:space="preserve"> $6 million </w:t>
      </w:r>
      <w:r w:rsidR="00A27741">
        <w:t xml:space="preserve">in additional fuel expense </w:t>
      </w:r>
      <w:r w:rsidR="003F488C">
        <w:t>for FPL</w:t>
      </w:r>
      <w:r w:rsidR="00A27741">
        <w:t>’s customers</w:t>
      </w:r>
      <w:r w:rsidR="003F488C">
        <w:t>.</w:t>
      </w:r>
      <w:r w:rsidR="003E34A7">
        <w:t xml:space="preserve">  </w:t>
      </w:r>
      <w:r w:rsidR="005369D4">
        <w:t>T</w:t>
      </w:r>
      <w:r w:rsidR="003F488C">
        <w:t xml:space="preserve">he increased dependence on natural gas </w:t>
      </w:r>
      <w:r w:rsidR="005369D4">
        <w:t xml:space="preserve">for each of Florida’s IOUs </w:t>
      </w:r>
      <w:r w:rsidR="003F488C">
        <w:t xml:space="preserve">means customers </w:t>
      </w:r>
      <w:r w:rsidR="00A27741">
        <w:t xml:space="preserve">will have </w:t>
      </w:r>
      <w:r w:rsidR="003F488C">
        <w:t xml:space="preserve">significant exposure to the uncertainties of natural gas prices if hedging were </w:t>
      </w:r>
      <w:r w:rsidR="005369D4">
        <w:t xml:space="preserve">completely </w:t>
      </w:r>
      <w:r w:rsidR="003F488C">
        <w:t>discontinued.</w:t>
      </w:r>
    </w:p>
    <w:p w:rsidR="003F488C" w:rsidRDefault="003F488C" w:rsidP="003F488C">
      <w:pPr>
        <w:jc w:val="both"/>
      </w:pPr>
    </w:p>
    <w:p w:rsidR="003F488C" w:rsidRDefault="005369D4" w:rsidP="003F488C">
      <w:pPr>
        <w:jc w:val="both"/>
      </w:pPr>
      <w:r>
        <w:tab/>
        <w:t>As stated in our past decision</w:t>
      </w:r>
      <w:r w:rsidR="00A27741">
        <w:t>s</w:t>
      </w:r>
      <w:r>
        <w:t>, t</w:t>
      </w:r>
      <w:r w:rsidR="003F488C">
        <w:t>he objective of the IOUs’ hedging programs is to reduce the customers’ exposure to price volatility.</w:t>
      </w:r>
      <w:r>
        <w:t xml:space="preserve">  </w:t>
      </w:r>
      <w:r w:rsidR="003F488C">
        <w:t xml:space="preserve">Currently, natural gas prices are low compared to prices since 2008. One could reasonably assume that prices are more likely to rise than to continue downward, and FPL witness Yupp provides calculations, reasons, and an opinion supporting this possibility. That prices may be approaching or going below the variable cost of production is a noteworthy consideration. However, </w:t>
      </w:r>
      <w:r w:rsidR="00C535BE">
        <w:t>t</w:t>
      </w:r>
      <w:r w:rsidR="003F488C">
        <w:t xml:space="preserve">he low prices and possible price direction should not be a chief consideration since it would </w:t>
      </w:r>
      <w:r w:rsidR="00C535BE">
        <w:t xml:space="preserve">necessarily </w:t>
      </w:r>
      <w:r w:rsidR="003F488C">
        <w:t>involve some degree of speculation about the future direction of prices.</w:t>
      </w:r>
    </w:p>
    <w:p w:rsidR="003F488C" w:rsidRDefault="003F488C" w:rsidP="003F488C">
      <w:pPr>
        <w:jc w:val="both"/>
      </w:pPr>
    </w:p>
    <w:p w:rsidR="003F488C" w:rsidRDefault="00C535BE" w:rsidP="003F488C">
      <w:pPr>
        <w:jc w:val="both"/>
      </w:pPr>
      <w:r>
        <w:lastRenderedPageBreak/>
        <w:tab/>
      </w:r>
      <w:r w:rsidR="003F488C">
        <w:t xml:space="preserve">Intertwined with price volatility are the supply and demand conditions of the natural gas market. </w:t>
      </w:r>
      <w:r>
        <w:t xml:space="preserve"> </w:t>
      </w:r>
      <w:r w:rsidR="003F488C">
        <w:t xml:space="preserve">All witnesses agreed that natural gas market conditions in 2015 are different from those of 2002. </w:t>
      </w:r>
      <w:r>
        <w:t xml:space="preserve"> </w:t>
      </w:r>
      <w:r w:rsidR="003F488C">
        <w:t>All witnesses agreed that the growth of shale gas production has increased the supply of natural gas.</w:t>
      </w:r>
      <w:r>
        <w:t xml:space="preserve">  </w:t>
      </w:r>
      <w:r w:rsidR="00636A72">
        <w:t>TECO w</w:t>
      </w:r>
      <w:r w:rsidR="003F488C">
        <w:t>itness Caldwell note</w:t>
      </w:r>
      <w:r w:rsidR="007B2C1B">
        <w:t>d</w:t>
      </w:r>
      <w:r w:rsidR="003F488C">
        <w:t xml:space="preserve"> that the natural gas market seems to move in cycles of significant production increases, due to new sources, followed by increases in demand </w:t>
      </w:r>
    </w:p>
    <w:p w:rsidR="00C535BE" w:rsidRDefault="00C535BE" w:rsidP="003F488C">
      <w:pPr>
        <w:jc w:val="both"/>
      </w:pPr>
    </w:p>
    <w:p w:rsidR="003F488C" w:rsidRDefault="00C535BE" w:rsidP="003F488C">
      <w:pPr>
        <w:jc w:val="both"/>
      </w:pPr>
      <w:r>
        <w:tab/>
      </w:r>
      <w:r w:rsidR="003F488C">
        <w:t>Natural gas prices are more volatile when weather events affect supply or demand.</w:t>
      </w:r>
      <w:r>
        <w:t xml:space="preserve"> </w:t>
      </w:r>
      <w:r w:rsidR="003F488C">
        <w:t xml:space="preserve"> In January 2014, the polar vortex had a significant effect on natural gas prices. </w:t>
      </w:r>
      <w:r>
        <w:t xml:space="preserve"> </w:t>
      </w:r>
      <w:r w:rsidR="003F488C">
        <w:t>Weather events, such as very cold periods during the winter, can increase demand, prices, and volatility.</w:t>
      </w:r>
      <w:r>
        <w:t xml:space="preserve"> </w:t>
      </w:r>
      <w:r w:rsidR="003F488C">
        <w:t xml:space="preserve"> </w:t>
      </w:r>
      <w:r>
        <w:t>However, a</w:t>
      </w:r>
      <w:r w:rsidR="003F488C">
        <w:t xml:space="preserve">dditional pipelines under construction that connect the Marcellus Shale to northeastern states may diminish this effect. </w:t>
      </w:r>
    </w:p>
    <w:p w:rsidR="00C535BE" w:rsidRDefault="00C535BE" w:rsidP="003F488C">
      <w:pPr>
        <w:jc w:val="both"/>
      </w:pPr>
    </w:p>
    <w:p w:rsidR="00877ECF" w:rsidRDefault="00C535BE" w:rsidP="003F488C">
      <w:pPr>
        <w:jc w:val="both"/>
      </w:pPr>
      <w:r>
        <w:tab/>
      </w:r>
      <w:r w:rsidR="003F488C">
        <w:t xml:space="preserve">Regarding shale gas production and the current abundant supply of natural gas, </w:t>
      </w:r>
      <w:r w:rsidR="00636A72">
        <w:t xml:space="preserve">FPL </w:t>
      </w:r>
      <w:r w:rsidR="003F488C">
        <w:t xml:space="preserve">witness Yupp noted that the market price may be below the cost of production for many producers. </w:t>
      </w:r>
      <w:r>
        <w:t xml:space="preserve"> </w:t>
      </w:r>
      <w:r w:rsidR="003F488C">
        <w:t xml:space="preserve">The market price cannot be below the cost of production for any extended period of time. </w:t>
      </w:r>
      <w:r>
        <w:t xml:space="preserve"> </w:t>
      </w:r>
      <w:r w:rsidR="003F488C">
        <w:t xml:space="preserve">He further noted that production costs vary among producers. </w:t>
      </w:r>
      <w:r>
        <w:t xml:space="preserve"> </w:t>
      </w:r>
      <w:r w:rsidR="003F488C">
        <w:t>Rig counts are down and this could impact gas supply</w:t>
      </w:r>
      <w:r w:rsidR="00877ECF">
        <w:t>,</w:t>
      </w:r>
      <w:r w:rsidR="003F488C">
        <w:t xml:space="preserve"> but this </w:t>
      </w:r>
      <w:r>
        <w:t xml:space="preserve">too </w:t>
      </w:r>
      <w:r w:rsidR="003F488C">
        <w:t>may not be a complete indicator of future gas production.</w:t>
      </w:r>
    </w:p>
    <w:p w:rsidR="00877ECF" w:rsidRDefault="00877ECF" w:rsidP="003F488C">
      <w:pPr>
        <w:jc w:val="both"/>
      </w:pPr>
    </w:p>
    <w:p w:rsidR="003F488C" w:rsidRDefault="00877ECF" w:rsidP="003F488C">
      <w:pPr>
        <w:jc w:val="both"/>
      </w:pPr>
      <w:r>
        <w:tab/>
      </w:r>
      <w:r w:rsidR="00636A72">
        <w:t>Gulf w</w:t>
      </w:r>
      <w:r w:rsidR="003F488C">
        <w:t>itness Ball alluded to future events that could disrupt shale gas production</w:t>
      </w:r>
      <w:r w:rsidR="00C535BE">
        <w:t xml:space="preserve">, e.g., existing or proposed local, state, or federal environmental regulations </w:t>
      </w:r>
      <w:r w:rsidR="006438A5">
        <w:t xml:space="preserve">either banning or restricting </w:t>
      </w:r>
      <w:r w:rsidR="00C535BE">
        <w:t>shale gas production</w:t>
      </w:r>
      <w:r>
        <w:t>,</w:t>
      </w:r>
      <w:r w:rsidR="00C535BE">
        <w:t xml:space="preserve"> or increased demand for natural gas based upon federal power plant regulations reducing carbon emissions</w:t>
      </w:r>
      <w:r w:rsidR="003F488C">
        <w:t>.</w:t>
      </w:r>
      <w:r w:rsidR="006438A5">
        <w:t xml:space="preserve">  </w:t>
      </w:r>
      <w:r>
        <w:t xml:space="preserve">He testified that </w:t>
      </w:r>
      <w:r w:rsidR="006438A5">
        <w:t>O</w:t>
      </w:r>
      <w:r w:rsidR="003F488C">
        <w:t xml:space="preserve">PC </w:t>
      </w:r>
      <w:r w:rsidR="006438A5">
        <w:t xml:space="preserve">has </w:t>
      </w:r>
      <w:r w:rsidR="003F488C">
        <w:t xml:space="preserve">minimized </w:t>
      </w:r>
      <w:r w:rsidR="006438A5">
        <w:t>any</w:t>
      </w:r>
      <w:r w:rsidR="003F488C">
        <w:t xml:space="preserve"> potential threats to shale gas production. </w:t>
      </w:r>
      <w:r w:rsidR="006438A5">
        <w:t xml:space="preserve"> However, while opining that </w:t>
      </w:r>
      <w:r w:rsidR="003F488C">
        <w:t>environmental concerns have largely been put to rest</w:t>
      </w:r>
      <w:r w:rsidR="00E91C51">
        <w:t>,</w:t>
      </w:r>
      <w:r w:rsidR="006438A5">
        <w:t xml:space="preserve"> </w:t>
      </w:r>
      <w:r w:rsidR="00636A72">
        <w:t xml:space="preserve">OPC </w:t>
      </w:r>
      <w:r w:rsidR="006438A5">
        <w:t xml:space="preserve">witness Lawton  </w:t>
      </w:r>
      <w:r w:rsidR="003F488C">
        <w:t>acknowledg</w:t>
      </w:r>
      <w:r w:rsidR="006438A5">
        <w:t>ed</w:t>
      </w:r>
      <w:r w:rsidR="003F488C">
        <w:t xml:space="preserve"> that New York currently bans </w:t>
      </w:r>
      <w:r w:rsidR="007B2C1B">
        <w:t xml:space="preserve">hydraulic </w:t>
      </w:r>
      <w:r w:rsidR="003F488C">
        <w:t xml:space="preserve">fracking. </w:t>
      </w:r>
    </w:p>
    <w:p w:rsidR="003F488C" w:rsidRDefault="003F488C" w:rsidP="003F488C">
      <w:pPr>
        <w:jc w:val="both"/>
      </w:pPr>
    </w:p>
    <w:p w:rsidR="003F488C" w:rsidRDefault="006438A5" w:rsidP="007E09F6">
      <w:pPr>
        <w:jc w:val="both"/>
      </w:pPr>
      <w:r>
        <w:tab/>
      </w:r>
      <w:r w:rsidR="003F488C">
        <w:t xml:space="preserve">Demand for natural gas, particularly for electric generation, </w:t>
      </w:r>
      <w:r>
        <w:t xml:space="preserve">for both Florida and the country as a whole </w:t>
      </w:r>
      <w:r w:rsidR="003F488C">
        <w:t>is increasing.</w:t>
      </w:r>
      <w:r>
        <w:t xml:space="preserve"> </w:t>
      </w:r>
      <w:r w:rsidR="003F488C">
        <w:t xml:space="preserve"> In 2016, DEF</w:t>
      </w:r>
      <w:r w:rsidR="007E09F6">
        <w:t>, FPL, TECO and Gulf</w:t>
      </w:r>
      <w:r w:rsidR="003F488C">
        <w:t xml:space="preserve"> estimate 73</w:t>
      </w:r>
      <w:r w:rsidR="007E09F6">
        <w:t xml:space="preserve">, 72, 52 and 44 </w:t>
      </w:r>
      <w:r w:rsidR="003F488C">
        <w:t xml:space="preserve">percent of </w:t>
      </w:r>
      <w:r w:rsidR="007E09F6">
        <w:t>their</w:t>
      </w:r>
      <w:r w:rsidR="003F488C">
        <w:t xml:space="preserve"> generation</w:t>
      </w:r>
      <w:r w:rsidR="00BF708A">
        <w:t>, respectively,</w:t>
      </w:r>
      <w:r w:rsidR="003F488C">
        <w:t xml:space="preserve"> will be from natural gas</w:t>
      </w:r>
      <w:r w:rsidR="007E09F6">
        <w:t xml:space="preserve">.  </w:t>
      </w:r>
      <w:r w:rsidR="003F488C">
        <w:t>In addition, natural gas will begin to be exported in late 2015</w:t>
      </w:r>
      <w:r w:rsidR="00877ECF">
        <w:t>,</w:t>
      </w:r>
      <w:r w:rsidR="003F488C">
        <w:t xml:space="preserve"> and a number of export terminals are under construction or are planned. </w:t>
      </w:r>
      <w:r w:rsidR="007E09F6">
        <w:t xml:space="preserve">  </w:t>
      </w:r>
    </w:p>
    <w:p w:rsidR="007E09F6" w:rsidRDefault="007E09F6" w:rsidP="007E09F6">
      <w:pPr>
        <w:jc w:val="both"/>
      </w:pPr>
    </w:p>
    <w:p w:rsidR="00BF708A" w:rsidRDefault="007E09F6" w:rsidP="007E09F6">
      <w:pPr>
        <w:jc w:val="both"/>
      </w:pPr>
      <w:r>
        <w:tab/>
        <w:t xml:space="preserve">The decision of whether to continue fuel price hedging </w:t>
      </w:r>
      <w:r w:rsidR="0034561F">
        <w:t xml:space="preserve">turns on </w:t>
      </w:r>
      <w:r>
        <w:t>what one expects price volatility and natural gas market conditions to do in the future.  While natural gas prices have trended down, price volatility is uncertain and cannot be reliably forecasted.  What this record clearly establishes is that without hedging</w:t>
      </w:r>
      <w:r w:rsidR="002E358B">
        <w:t>,</w:t>
      </w:r>
      <w:r>
        <w:t xml:space="preserve"> customers have a very significant exposure to natural gas price volatility due to a very dynamic natural gas market.  Today natural gas prices are low and gas supply is forecasted to be abundant.  However, demand for natural gas is increasing and is heavily influenced by weather and uncertain supply conditions.</w:t>
      </w:r>
      <w:r w:rsidR="00975BD8">
        <w:t xml:space="preserve">  Given these factors, on balance we find that the continuation of natural gas hedging process as outlined in our previous orders is in the customers’ best interests.</w:t>
      </w:r>
      <w:r w:rsidR="00BF708A">
        <w:t xml:space="preserve">  </w:t>
      </w:r>
    </w:p>
    <w:p w:rsidR="009B05C4" w:rsidRDefault="009B05C4" w:rsidP="007E09F6">
      <w:pPr>
        <w:jc w:val="both"/>
      </w:pPr>
    </w:p>
    <w:p w:rsidR="00C511D5" w:rsidRDefault="009B05C4" w:rsidP="007E09F6">
      <w:pPr>
        <w:jc w:val="both"/>
      </w:pPr>
      <w:r>
        <w:tab/>
        <w:t xml:space="preserve">Our decision to continue hedging at this time is based on the evidence presented in this record which in large part consists of arguments to either completely eliminate hedging or to </w:t>
      </w:r>
      <w:r>
        <w:lastRenderedPageBreak/>
        <w:t xml:space="preserve">continue the procedures in place at this time.  There was </w:t>
      </w:r>
      <w:r w:rsidR="00C511D5">
        <w:t xml:space="preserve">no </w:t>
      </w:r>
      <w:r w:rsidR="006F2666">
        <w:t xml:space="preserve">written </w:t>
      </w:r>
      <w:r w:rsidR="00C511D5">
        <w:t xml:space="preserve">testimony from any party and </w:t>
      </w:r>
      <w:r>
        <w:t xml:space="preserve">very limited cross examination on </w:t>
      </w:r>
      <w:r w:rsidR="002E358B">
        <w:t xml:space="preserve">possible changes to the manner in which the IOUs conduct natural gas financial hedging activities or </w:t>
      </w:r>
      <w:r>
        <w:t xml:space="preserve">alternatives to hedging: cost sharing of hedging gains and losses between the IOUs and ratepayers, alternative accounting treatment for recovery of gains and losses (VMM program), or imposing limits on the percentage of natural gas purchases hedged.  All witnesses agreed that any changes to the hedging protocol </w:t>
      </w:r>
      <w:r w:rsidR="00C511D5">
        <w:t xml:space="preserve">should </w:t>
      </w:r>
      <w:r>
        <w:t xml:space="preserve">be prospective and that the current hedges </w:t>
      </w:r>
      <w:r w:rsidR="00C511D5">
        <w:t xml:space="preserve">should </w:t>
      </w:r>
      <w:r>
        <w:t xml:space="preserve">be </w:t>
      </w:r>
      <w:r w:rsidR="00C511D5">
        <w:t xml:space="preserve">allowed to terminate on their original contract dates.  Notwithstanding our decision on hedging, we recognize that the cost of this program is significant by any measure for each Florida IOU and deserves further analysis.  Therefore, we direct </w:t>
      </w:r>
      <w:r w:rsidR="00A27741">
        <w:t xml:space="preserve">our </w:t>
      </w:r>
      <w:r w:rsidR="00C511D5">
        <w:t>staff, in conjunction with the parties to this docket</w:t>
      </w:r>
      <w:r w:rsidR="00A27741">
        <w:t>,</w:t>
      </w:r>
      <w:r w:rsidR="00C511D5">
        <w:t xml:space="preserve"> to explore possible changes to the current hedging protocol that will minimize potential loss</w:t>
      </w:r>
      <w:r w:rsidR="00483455">
        <w:t>es</w:t>
      </w:r>
      <w:r w:rsidR="00C511D5">
        <w:t xml:space="preserve"> to customers. </w:t>
      </w:r>
    </w:p>
    <w:p w:rsidR="009B05C4" w:rsidRDefault="009B05C4" w:rsidP="007E09F6">
      <w:pPr>
        <w:jc w:val="both"/>
      </w:pPr>
    </w:p>
    <w:p w:rsidR="00C511D5" w:rsidRDefault="006F4022" w:rsidP="00C511D5">
      <w:pPr>
        <w:jc w:val="center"/>
        <w:rPr>
          <w:u w:val="single"/>
        </w:rPr>
      </w:pPr>
      <w:r w:rsidRPr="006F4022">
        <w:rPr>
          <w:u w:val="single"/>
        </w:rPr>
        <w:t>Risk Management Plans</w:t>
      </w:r>
    </w:p>
    <w:p w:rsidR="00DC5DC3" w:rsidRDefault="00DC5DC3" w:rsidP="00C511D5">
      <w:pPr>
        <w:jc w:val="center"/>
        <w:rPr>
          <w:u w:val="single"/>
        </w:rPr>
      </w:pPr>
    </w:p>
    <w:p w:rsidR="00DC5DC3" w:rsidRDefault="006F4022" w:rsidP="006F4022">
      <w:pPr>
        <w:jc w:val="both"/>
      </w:pPr>
      <w:r>
        <w:tab/>
        <w:t>Consistent with our decision above, we find that the 2016 Risk Management Plans of DEF, FPL, TECO and Gulf sh</w:t>
      </w:r>
      <w:r w:rsidR="006F2666">
        <w:t>all</w:t>
      </w:r>
      <w:r>
        <w:t xml:space="preserve"> be approved.  Each plan provides the appropriate governance for a well-disciplined and prudently managed utility hedging program and is consistent with the Hedging Guidelines.  These plans are structured to reduce price volatility risk in a structured manner and with the exception of FPL’s plan</w:t>
      </w:r>
      <w:r w:rsidR="00DC5DC3">
        <w:t>,</w:t>
      </w:r>
      <w:r>
        <w:t xml:space="preserve"> which includes </w:t>
      </w:r>
      <w:r w:rsidR="00DC5DC3">
        <w:t xml:space="preserve">participation in the Woodford Gas Reserves Project, is very similar to risk management plans approved in past years. </w:t>
      </w:r>
    </w:p>
    <w:p w:rsidR="00DC5DC3" w:rsidRDefault="00DC5DC3" w:rsidP="006F4022">
      <w:pPr>
        <w:jc w:val="both"/>
      </w:pPr>
    </w:p>
    <w:p w:rsidR="00DC5DC3" w:rsidRDefault="00DC5DC3" w:rsidP="00DC5DC3">
      <w:pPr>
        <w:jc w:val="center"/>
        <w:rPr>
          <w:u w:val="single"/>
        </w:rPr>
      </w:pPr>
      <w:r>
        <w:rPr>
          <w:u w:val="single"/>
        </w:rPr>
        <w:t>Company-Specific Fuel Adjustment Issues</w:t>
      </w:r>
    </w:p>
    <w:p w:rsidR="00DC5DC3" w:rsidRDefault="00DC5DC3" w:rsidP="00DC5DC3">
      <w:pPr>
        <w:jc w:val="center"/>
        <w:rPr>
          <w:u w:val="single"/>
        </w:rPr>
      </w:pPr>
    </w:p>
    <w:p w:rsidR="006F4022" w:rsidRDefault="00DC5DC3" w:rsidP="00DC5DC3">
      <w:pPr>
        <w:jc w:val="both"/>
        <w:rPr>
          <w:u w:val="single"/>
        </w:rPr>
      </w:pPr>
      <w:r>
        <w:rPr>
          <w:u w:val="single"/>
        </w:rPr>
        <w:t>Florida Power &amp; Light Company</w:t>
      </w:r>
    </w:p>
    <w:p w:rsidR="00DC5DC3" w:rsidRDefault="00DC5DC3" w:rsidP="00DC5DC3">
      <w:pPr>
        <w:jc w:val="both"/>
        <w:rPr>
          <w:u w:val="single"/>
        </w:rPr>
      </w:pPr>
    </w:p>
    <w:p w:rsidR="00DC5DC3" w:rsidRDefault="006F2666" w:rsidP="00DC5DC3">
      <w:pPr>
        <w:jc w:val="both"/>
      </w:pPr>
      <w:r>
        <w:tab/>
      </w:r>
      <w:r w:rsidR="00DC5DC3">
        <w:rPr>
          <w:u w:val="single"/>
        </w:rPr>
        <w:t>Woodford Gas Reserve Project</w:t>
      </w:r>
    </w:p>
    <w:p w:rsidR="00DC5DC3" w:rsidRPr="00DC5DC3" w:rsidRDefault="00DC5DC3" w:rsidP="00DC5DC3">
      <w:pPr>
        <w:jc w:val="both"/>
      </w:pPr>
    </w:p>
    <w:p w:rsidR="00DC5DC3" w:rsidRDefault="00DC5DC3" w:rsidP="00DC5DC3">
      <w:pPr>
        <w:jc w:val="both"/>
      </w:pPr>
      <w:r>
        <w:tab/>
        <w:t xml:space="preserve">On June 25, 2014, </w:t>
      </w:r>
      <w:r w:rsidRPr="00B12347">
        <w:t xml:space="preserve">FPL </w:t>
      </w:r>
      <w:r>
        <w:t xml:space="preserve">petitioned the Commission for a determination that it was prudent for FPL to acquire an interest in a natural gas reserve project (the Woodford Project) and that the revenue requirement associated with investing in and operating the gas reserve project was eligible for recovery through the Fuel Clause. </w:t>
      </w:r>
      <w:r w:rsidR="003759E6">
        <w:t xml:space="preserve"> </w:t>
      </w:r>
      <w:r>
        <w:t>In Order No. PSC-15-0038-FOF-EI</w:t>
      </w:r>
      <w:r>
        <w:rPr>
          <w:rStyle w:val="FootnoteReference"/>
        </w:rPr>
        <w:footnoteReference w:id="5"/>
      </w:r>
      <w:r>
        <w:t xml:space="preserve"> (Woodford Order), the Commission found that the Woodford Project was in the public interest and its costs were recoverable through the Fuel Clause. </w:t>
      </w:r>
      <w:r w:rsidR="003759E6">
        <w:t xml:space="preserve"> </w:t>
      </w:r>
      <w:r>
        <w:t xml:space="preserve">OPC and FIPUG have filed appeals of the Woodford Order with the Florida Supreme Court, which are pending as of the date of this </w:t>
      </w:r>
      <w:r w:rsidR="003759E6">
        <w:t>order</w:t>
      </w:r>
      <w:r>
        <w:rPr>
          <w:rStyle w:val="FootnoteReference"/>
        </w:rPr>
        <w:footnoteReference w:id="6"/>
      </w:r>
      <w:r>
        <w:t xml:space="preserve">.  </w:t>
      </w:r>
    </w:p>
    <w:p w:rsidR="00DC5DC3" w:rsidRDefault="00DC5DC3" w:rsidP="00DC5DC3">
      <w:pPr>
        <w:ind w:firstLine="720"/>
        <w:jc w:val="both"/>
      </w:pPr>
    </w:p>
    <w:p w:rsidR="00DC5DC3" w:rsidRDefault="003759E6" w:rsidP="00DC5DC3">
      <w:pPr>
        <w:jc w:val="both"/>
      </w:pPr>
      <w:r>
        <w:tab/>
      </w:r>
      <w:r w:rsidR="00DC5DC3">
        <w:t xml:space="preserve">As summarized in the Woodford Order, the Woodford Project is a capital investment by which FPL invests directly in shale gas reserves in the Woodford Shale region of Oklahoma and ratepayers pay natural gas </w:t>
      </w:r>
      <w:r w:rsidR="00DC5DC3" w:rsidRPr="00827E91">
        <w:t xml:space="preserve">production costs </w:t>
      </w:r>
      <w:r w:rsidR="00DC5DC3">
        <w:t xml:space="preserve">rather than the market price on the physical gas produced.   </w:t>
      </w:r>
      <w:r w:rsidR="00DC5DC3" w:rsidRPr="00827E91">
        <w:t xml:space="preserve"> </w:t>
      </w:r>
    </w:p>
    <w:p w:rsidR="00DC5DC3" w:rsidRDefault="00DC5DC3" w:rsidP="00DC5DC3">
      <w:pPr>
        <w:ind w:firstLine="720"/>
        <w:jc w:val="both"/>
      </w:pPr>
    </w:p>
    <w:p w:rsidR="00DC5DC3" w:rsidRDefault="00DC5DC3" w:rsidP="00DC5DC3">
      <w:pPr>
        <w:autoSpaceDE w:val="0"/>
        <w:autoSpaceDN w:val="0"/>
        <w:adjustRightInd w:val="0"/>
        <w:ind w:left="720" w:right="720"/>
        <w:jc w:val="both"/>
      </w:pPr>
      <w:r>
        <w:lastRenderedPageBreak/>
        <w:t>Historically, production costs have been less volatile than market prices. We find the Woodford Project will act as a hedge that is designed to decouple costs from market prices.</w:t>
      </w:r>
      <w:r>
        <w:rPr>
          <w:rStyle w:val="FootnoteReference"/>
        </w:rPr>
        <w:footnoteReference w:id="7"/>
      </w:r>
      <w:r>
        <w:t xml:space="preserve"> The Woodford Project costs are based solely on the operations and maintenance costs, and on the investment that is required, and is essentially fixed. </w:t>
      </w:r>
      <w:r w:rsidRPr="00827E91">
        <w:t>FPL purchases more natural gas than any other electric utility in the country</w:t>
      </w:r>
      <w:r>
        <w:t xml:space="preserve">. </w:t>
      </w:r>
      <w:r w:rsidRPr="00C77374">
        <w:t>The reality</w:t>
      </w:r>
      <w:r>
        <w:t xml:space="preserve"> is</w:t>
      </w:r>
      <w:r w:rsidRPr="00C77374">
        <w:t xml:space="preserve"> that </w:t>
      </w:r>
      <w:r>
        <w:t xml:space="preserve">in </w:t>
      </w:r>
      <w:r w:rsidRPr="00C77374">
        <w:t>this state, and nationally, we continue to grow the need for natural gas to provide electric</w:t>
      </w:r>
      <w:r>
        <w:t xml:space="preserve">ity as we move away from coal. </w:t>
      </w:r>
      <w:r w:rsidRPr="00C77374">
        <w:t>Although</w:t>
      </w:r>
      <w:r>
        <w:t xml:space="preserve"> the Woodford Project is relatively small and will have a small effect on FPL’s overall cost of natural gas and on price hedging, it will act as a long-term physical hedge (30 years or longer in duration) compared to financial hedges, which typically lock in prices for 12 – 24 months. Fuel and related costs that are subject to volatile changes are recoverable through the Fuel Clause.</w:t>
      </w:r>
      <w:r>
        <w:rPr>
          <w:rStyle w:val="FootnoteReference"/>
        </w:rPr>
        <w:footnoteReference w:id="8"/>
      </w:r>
      <w:r>
        <w:t xml:space="preserve"> W</w:t>
      </w:r>
      <w:r w:rsidRPr="0071344E">
        <w:t>e have allowed</w:t>
      </w:r>
      <w:r>
        <w:t xml:space="preserve"> </w:t>
      </w:r>
      <w:r w:rsidRPr="0071344E">
        <w:t xml:space="preserve">non-fuel items to be recovered through the </w:t>
      </w:r>
      <w:r>
        <w:t>F</w:t>
      </w:r>
      <w:r w:rsidRPr="0071344E">
        <w:t xml:space="preserve">uel </w:t>
      </w:r>
      <w:r>
        <w:t>C</w:t>
      </w:r>
      <w:r w:rsidRPr="0071344E">
        <w:t xml:space="preserve">lause as long as they are </w:t>
      </w:r>
      <w:r>
        <w:t>project</w:t>
      </w:r>
      <w:r w:rsidRPr="0071344E">
        <w:t>ed to result in fuel savings.</w:t>
      </w:r>
      <w:r w:rsidRPr="0071344E">
        <w:rPr>
          <w:rStyle w:val="FootnoteReference"/>
        </w:rPr>
        <w:footnoteReference w:id="9"/>
      </w:r>
      <w:r>
        <w:t xml:space="preserve"> FPL’s natural gas price forecasts of October 2013 and July 2014 indicate that the Woodford Project will likely produce positive customer fuel savings over the life of the Project based on combinations of two factors: well productivity and natural gas market price. Under FPL’s July 2014 natural gas price forecast, 6 of 9 sensitivities produce positive customer savings. ...</w:t>
      </w:r>
    </w:p>
    <w:p w:rsidR="00DC5DC3" w:rsidRDefault="00DC5DC3" w:rsidP="00DC5DC3">
      <w:pPr>
        <w:autoSpaceDE w:val="0"/>
        <w:autoSpaceDN w:val="0"/>
        <w:adjustRightInd w:val="0"/>
        <w:ind w:left="720" w:right="720"/>
        <w:jc w:val="both"/>
      </w:pPr>
    </w:p>
    <w:p w:rsidR="00DC5DC3" w:rsidRDefault="00DC5DC3" w:rsidP="00DC5DC3">
      <w:pPr>
        <w:jc w:val="both"/>
      </w:pPr>
      <w:r>
        <w:t>Order No. PSC-15-0038-FOF-EI</w:t>
      </w:r>
      <w:r w:rsidR="00A27741">
        <w:t xml:space="preserve"> at</w:t>
      </w:r>
      <w:r>
        <w:t xml:space="preserve"> pp. 4-5</w:t>
      </w:r>
      <w:r w:rsidR="00A27741">
        <w:t>.</w:t>
      </w:r>
    </w:p>
    <w:p w:rsidR="00DC5DC3" w:rsidRDefault="00DC5DC3" w:rsidP="00DC5DC3">
      <w:pPr>
        <w:jc w:val="both"/>
      </w:pPr>
    </w:p>
    <w:p w:rsidR="00DC5DC3" w:rsidRDefault="003759E6" w:rsidP="00DC5DC3">
      <w:pPr>
        <w:jc w:val="both"/>
      </w:pPr>
      <w:r>
        <w:tab/>
        <w:t xml:space="preserve">The </w:t>
      </w:r>
      <w:r w:rsidR="00DC5DC3">
        <w:t xml:space="preserve">Woodford Project </w:t>
      </w:r>
      <w:r>
        <w:t>order is</w:t>
      </w:r>
      <w:r w:rsidR="00DC5DC3">
        <w:t xml:space="preserve"> presently </w:t>
      </w:r>
      <w:r>
        <w:t xml:space="preserve">on </w:t>
      </w:r>
      <w:r w:rsidR="00DC5DC3">
        <w:t xml:space="preserve">appeal at the Florida Supreme Court. </w:t>
      </w:r>
      <w:r>
        <w:t xml:space="preserve"> </w:t>
      </w:r>
      <w:r w:rsidR="00DC5DC3">
        <w:t xml:space="preserve">However, no motions to stay have been filed and the Woodford Order remains in full force and effect. </w:t>
      </w:r>
      <w:r>
        <w:t xml:space="preserve"> Further, </w:t>
      </w:r>
      <w:r w:rsidR="00DC5DC3">
        <w:t xml:space="preserve">FPL has moved forward with its investment, and drilling and production activity began earlier this year. Therefore, </w:t>
      </w:r>
      <w:r>
        <w:t>we find that</w:t>
      </w:r>
      <w:r w:rsidR="00DC5DC3">
        <w:t xml:space="preserve"> FPL is entitled to recover its Woodford Project costs through the Fuel Clause</w:t>
      </w:r>
      <w:r>
        <w:t xml:space="preserve"> in the amount of $24,611,461 </w:t>
      </w:r>
      <w:r w:rsidR="00DC5DC3">
        <w:t>for the period January 2015 through December 2015.</w:t>
      </w:r>
      <w:r w:rsidR="007B2C1B">
        <w:t xml:space="preserve">  </w:t>
      </w:r>
      <w:r w:rsidR="00DC5DC3">
        <w:t xml:space="preserve">For the period January 2016 through December 2016, </w:t>
      </w:r>
      <w:r>
        <w:t xml:space="preserve">we find that </w:t>
      </w:r>
      <w:r w:rsidR="00DC5DC3">
        <w:t>the appropriate projected costs FPL sh</w:t>
      </w:r>
      <w:r>
        <w:t>all be allowed to</w:t>
      </w:r>
      <w:r w:rsidR="00DC5DC3">
        <w:t xml:space="preserve"> recover through the Fuel Clause for the </w:t>
      </w:r>
      <w:r w:rsidR="00DC5DC3" w:rsidRPr="00554A3B">
        <w:t xml:space="preserve">Woodford natural gas exploration and production project </w:t>
      </w:r>
      <w:r w:rsidR="00DC5DC3">
        <w:t>is $53,777,690.</w:t>
      </w:r>
    </w:p>
    <w:p w:rsidR="00DC5DC3" w:rsidRDefault="00DC5DC3" w:rsidP="00DC5DC3">
      <w:pPr>
        <w:jc w:val="both"/>
      </w:pPr>
    </w:p>
    <w:p w:rsidR="003759E6" w:rsidRDefault="003759E6" w:rsidP="00E149BA">
      <w:pPr>
        <w:jc w:val="both"/>
        <w:rPr>
          <w:u w:val="single"/>
        </w:rPr>
      </w:pPr>
      <w:r>
        <w:rPr>
          <w:u w:val="single"/>
        </w:rPr>
        <w:t>Florida Public Utilities Company</w:t>
      </w:r>
    </w:p>
    <w:p w:rsidR="003759E6" w:rsidRDefault="003759E6" w:rsidP="00E149BA">
      <w:pPr>
        <w:jc w:val="both"/>
        <w:rPr>
          <w:u w:val="single"/>
        </w:rPr>
      </w:pPr>
    </w:p>
    <w:p w:rsidR="002A3721" w:rsidRDefault="006F2666" w:rsidP="00E149BA">
      <w:pPr>
        <w:jc w:val="both"/>
        <w:rPr>
          <w:u w:val="single"/>
        </w:rPr>
      </w:pPr>
      <w:r>
        <w:tab/>
      </w:r>
      <w:r w:rsidR="002A3721">
        <w:rPr>
          <w:u w:val="single"/>
        </w:rPr>
        <w:t>FPL Interconnection and legal and consultant fees</w:t>
      </w:r>
    </w:p>
    <w:p w:rsidR="002A3721" w:rsidRDefault="002A3721" w:rsidP="00E149BA">
      <w:pPr>
        <w:jc w:val="both"/>
        <w:rPr>
          <w:u w:val="single"/>
        </w:rPr>
      </w:pPr>
    </w:p>
    <w:p w:rsidR="00DC221C" w:rsidRDefault="003759E6" w:rsidP="00E149BA">
      <w:pPr>
        <w:pStyle w:val="BodyText"/>
        <w:jc w:val="both"/>
        <w:rPr>
          <w:rFonts w:cstheme="minorHAnsi"/>
        </w:rPr>
      </w:pPr>
      <w:r>
        <w:tab/>
      </w:r>
      <w:r w:rsidR="00DC221C">
        <w:rPr>
          <w:rFonts w:cstheme="minorHAnsi"/>
        </w:rPr>
        <w:t xml:space="preserve">FPUC has requested that it be allowed to recover $107,333 in 2016, </w:t>
      </w:r>
      <w:r w:rsidR="007B2C1B">
        <w:rPr>
          <w:rFonts w:cstheme="minorHAnsi"/>
        </w:rPr>
        <w:t xml:space="preserve">representing the </w:t>
      </w:r>
      <w:r w:rsidR="00DC221C">
        <w:rPr>
          <w:rFonts w:cstheme="minorHAnsi"/>
        </w:rPr>
        <w:t xml:space="preserve">depreciation expense, taxes other than income taxes and a return on investment associated with the $3.5 million dollar cost of rerouting FPUC’s 138 KV transmission line to parallel an existing </w:t>
      </w:r>
      <w:r w:rsidR="00DC221C">
        <w:rPr>
          <w:rFonts w:cstheme="minorHAnsi"/>
        </w:rPr>
        <w:lastRenderedPageBreak/>
        <w:t>FPL 230 KV line and upgrading FPL’s substation to accommodate this interconnection.</w:t>
      </w:r>
      <w:r w:rsidR="00E149BA">
        <w:rPr>
          <w:rFonts w:cstheme="minorHAnsi"/>
        </w:rPr>
        <w:t xml:space="preserve">  </w:t>
      </w:r>
      <w:r w:rsidR="00DC221C">
        <w:rPr>
          <w:rFonts w:cstheme="minorHAnsi"/>
        </w:rPr>
        <w:t>At this time, FPUC’s 138 KV transmission is directly connected to the JEA 138 KV transmission network.</w:t>
      </w:r>
      <w:r w:rsidR="00E149BA">
        <w:rPr>
          <w:rFonts w:cstheme="minorHAnsi"/>
        </w:rPr>
        <w:t xml:space="preserve">  </w:t>
      </w:r>
      <w:r w:rsidR="00DC221C">
        <w:rPr>
          <w:rFonts w:cstheme="minorHAnsi"/>
        </w:rPr>
        <w:t xml:space="preserve">If construction is started in 2016, the completion date is expected during the latter half of 2017. FPUC has estimated that savings will result from this interconnection for essentially two reasons: 1) improved system reliability on FPUC’s transmission system; and 2) the ability to purchase power from other wholesale providers without incurring additional transmission wheeling costs which should result in lower purchased power costs.  FPL will be constructing the transmission line with the costs to be reimbursed by FPUC. </w:t>
      </w:r>
    </w:p>
    <w:p w:rsidR="00DC221C" w:rsidRDefault="00DC221C" w:rsidP="00E149BA">
      <w:pPr>
        <w:pStyle w:val="BodyText"/>
        <w:jc w:val="both"/>
        <w:rPr>
          <w:rFonts w:cstheme="minorHAnsi"/>
        </w:rPr>
      </w:pPr>
      <w:r>
        <w:rPr>
          <w:rFonts w:cstheme="minorHAnsi"/>
        </w:rPr>
        <w:tab/>
        <w:t>FPUC does not generate any electricity but is solely dependent on wholesale purchase power agreements to meet its capacity and energy needs.  At this time, FPUC has wholesale power purchase agreements with JEA which serv</w:t>
      </w:r>
      <w:r w:rsidR="00676920">
        <w:rPr>
          <w:rFonts w:cstheme="minorHAnsi"/>
        </w:rPr>
        <w:t>e</w:t>
      </w:r>
      <w:r>
        <w:rPr>
          <w:rFonts w:cstheme="minorHAnsi"/>
        </w:rPr>
        <w:t xml:space="preserve"> its Northeast Division (Amelia Island) and Gulf Power Company (Gulf) which serve its Northwest Division (Marianna).  Both of these wholesale purchased power contracts include payments for JEA’s and Gulf’s transmission rate base costs to provide power to FPUC.  However, FPUC does not currently recover any of its own transmission rate base costs through the fuel clause.  FPUC’s current contract with JEA is set to expire </w:t>
      </w:r>
      <w:r w:rsidR="00D86C83">
        <w:rPr>
          <w:rFonts w:cstheme="minorHAnsi"/>
        </w:rPr>
        <w:t>o</w:t>
      </w:r>
      <w:r>
        <w:rPr>
          <w:rFonts w:cstheme="minorHAnsi"/>
        </w:rPr>
        <w:t>n December 31, 2017, the same time that FPUC’s interconnection with FPL is expected to be completed.  FPUC is required to purchase all of its wholesale purchased power from JEA during the term of the current contract.  Thus, the projected $2.3 million in savings for future purchased power costs associated with the FPL interconnection can</w:t>
      </w:r>
      <w:r w:rsidR="00877ECF">
        <w:rPr>
          <w:rFonts w:cstheme="minorHAnsi"/>
        </w:rPr>
        <w:t>no</w:t>
      </w:r>
      <w:r>
        <w:rPr>
          <w:rFonts w:cstheme="minorHAnsi"/>
        </w:rPr>
        <w:t>t materialize until after January 1, 2018.</w:t>
      </w:r>
    </w:p>
    <w:p w:rsidR="00DC221C" w:rsidRDefault="00DC221C" w:rsidP="00E149BA">
      <w:pPr>
        <w:pStyle w:val="BodyText"/>
        <w:jc w:val="both"/>
        <w:rPr>
          <w:rFonts w:cstheme="minorHAnsi"/>
        </w:rPr>
      </w:pPr>
      <w:r>
        <w:rPr>
          <w:rFonts w:cstheme="minorHAnsi"/>
        </w:rPr>
        <w:tab/>
        <w:t>FPUC intends to issue a</w:t>
      </w:r>
      <w:r w:rsidR="006F2666">
        <w:rPr>
          <w:rFonts w:cstheme="minorHAnsi"/>
        </w:rPr>
        <w:t xml:space="preserve"> request for proposals (</w:t>
      </w:r>
      <w:r>
        <w:rPr>
          <w:rFonts w:cstheme="minorHAnsi"/>
        </w:rPr>
        <w:t>RFP</w:t>
      </w:r>
      <w:r w:rsidR="006F2666">
        <w:rPr>
          <w:rFonts w:cstheme="minorHAnsi"/>
        </w:rPr>
        <w:t>)</w:t>
      </w:r>
      <w:r>
        <w:rPr>
          <w:rFonts w:cstheme="minorHAnsi"/>
        </w:rPr>
        <w:t xml:space="preserve"> soliciting capacity and energy for delivery beginning </w:t>
      </w:r>
      <w:r w:rsidR="00D86C83">
        <w:rPr>
          <w:rFonts w:cstheme="minorHAnsi"/>
        </w:rPr>
        <w:t xml:space="preserve">in </w:t>
      </w:r>
      <w:r>
        <w:rPr>
          <w:rFonts w:cstheme="minorHAnsi"/>
        </w:rPr>
        <w:t xml:space="preserve">2018.  FPUC anticipates that as a result of its RFP it will be able to contract for wholesale capacity and energy at significantly lower rates once the </w:t>
      </w:r>
      <w:r w:rsidR="00A27741">
        <w:rPr>
          <w:rFonts w:cstheme="minorHAnsi"/>
        </w:rPr>
        <w:t xml:space="preserve">FPL </w:t>
      </w:r>
      <w:r>
        <w:rPr>
          <w:rFonts w:cstheme="minorHAnsi"/>
        </w:rPr>
        <w:t>interconnection is completed</w:t>
      </w:r>
      <w:r w:rsidR="00A27741">
        <w:rPr>
          <w:rFonts w:cstheme="minorHAnsi"/>
        </w:rPr>
        <w:t>.</w:t>
      </w:r>
    </w:p>
    <w:p w:rsidR="00DC221C" w:rsidRDefault="00DC221C" w:rsidP="00E149BA">
      <w:pPr>
        <w:pStyle w:val="BodyText"/>
        <w:jc w:val="both"/>
        <w:rPr>
          <w:rFonts w:cstheme="minorHAnsi"/>
        </w:rPr>
      </w:pPr>
      <w:r>
        <w:rPr>
          <w:rFonts w:cstheme="minorHAnsi"/>
        </w:rPr>
        <w:tab/>
      </w:r>
      <w:r w:rsidR="00877ECF">
        <w:rPr>
          <w:rFonts w:cstheme="minorHAnsi"/>
        </w:rPr>
        <w:t xml:space="preserve">Our </w:t>
      </w:r>
      <w:r>
        <w:rPr>
          <w:rFonts w:cstheme="minorHAnsi"/>
        </w:rPr>
        <w:t xml:space="preserve">basic guidelines for recovery of </w:t>
      </w:r>
      <w:r w:rsidR="00D86C83">
        <w:rPr>
          <w:rFonts w:cstheme="minorHAnsi"/>
        </w:rPr>
        <w:t xml:space="preserve">capital </w:t>
      </w:r>
      <w:r>
        <w:rPr>
          <w:rFonts w:cstheme="minorHAnsi"/>
        </w:rPr>
        <w:t>costs through the fuel adjustment clause are found in Order No. 14546.</w:t>
      </w:r>
      <w:r>
        <w:rPr>
          <w:rStyle w:val="FootnoteReference"/>
          <w:rFonts w:cstheme="minorHAnsi"/>
        </w:rPr>
        <w:footnoteReference w:id="10"/>
      </w:r>
      <w:r w:rsidR="00E149BA">
        <w:rPr>
          <w:rFonts w:cstheme="minorHAnsi"/>
        </w:rPr>
        <w:t xml:space="preserve">  </w:t>
      </w:r>
      <w:r>
        <w:rPr>
          <w:rFonts w:cstheme="minorHAnsi"/>
        </w:rPr>
        <w:t>Since the issuance of Order No. 14546 in 1985, we have issued 19 orders interpreting and applying these two principles to various proposed rate base capital costs for which recovery through the fuel clause was requested.</w:t>
      </w:r>
      <w:r>
        <w:rPr>
          <w:rStyle w:val="FootnoteReference"/>
          <w:rFonts w:cstheme="minorHAnsi"/>
        </w:rPr>
        <w:footnoteReference w:id="11"/>
      </w:r>
      <w:r>
        <w:rPr>
          <w:rFonts w:cstheme="minorHAnsi"/>
        </w:rPr>
        <w:t xml:space="preserve"> </w:t>
      </w:r>
      <w:r w:rsidR="00E149BA">
        <w:rPr>
          <w:rFonts w:cstheme="minorHAnsi"/>
        </w:rPr>
        <w:t xml:space="preserve"> </w:t>
      </w:r>
      <w:r>
        <w:rPr>
          <w:rFonts w:cstheme="minorHAnsi"/>
        </w:rPr>
        <w:t>FPUC’s arguments focus on why its proposed transmission project qualifies for recovery through the fuel adjustment clause.</w:t>
      </w:r>
    </w:p>
    <w:p w:rsidR="00DC221C" w:rsidRDefault="00DC221C" w:rsidP="00E149BA">
      <w:pPr>
        <w:pStyle w:val="BodyText"/>
        <w:jc w:val="both"/>
        <w:rPr>
          <w:rFonts w:cstheme="minorHAnsi"/>
        </w:rPr>
      </w:pPr>
      <w:r>
        <w:rPr>
          <w:rFonts w:cstheme="minorHAnsi"/>
        </w:rPr>
        <w:tab/>
        <w:t xml:space="preserve">However, OPC, FRF, FIPUG, and PCS all take the position that the rate case stipulation and settlement agreement entered into between OPC and FPUC on August 29, 2014 and </w:t>
      </w:r>
      <w:r>
        <w:rPr>
          <w:rFonts w:cstheme="minorHAnsi"/>
        </w:rPr>
        <w:lastRenderedPageBreak/>
        <w:t>approved by this Commission in Order No. PSC-14-0517-S-EI, issued on September 29, 2014, (Order No. PSC-14-0517)</w:t>
      </w:r>
      <w:r>
        <w:rPr>
          <w:rStyle w:val="FootnoteReference"/>
          <w:rFonts w:cstheme="minorHAnsi"/>
        </w:rPr>
        <w:footnoteReference w:id="12"/>
      </w:r>
      <w:r>
        <w:rPr>
          <w:rFonts w:cstheme="minorHAnsi"/>
        </w:rPr>
        <w:t xml:space="preserve"> prohibits the recovery of costs associated with the FPL interconnection through the fuel clause. </w:t>
      </w:r>
    </w:p>
    <w:p w:rsidR="00DC221C" w:rsidRDefault="00DC3996" w:rsidP="00E149BA">
      <w:pPr>
        <w:pStyle w:val="BodyText"/>
        <w:jc w:val="both"/>
        <w:rPr>
          <w:rFonts w:cstheme="minorHAnsi"/>
        </w:rPr>
      </w:pPr>
      <w:r>
        <w:rPr>
          <w:rFonts w:cstheme="minorHAnsi"/>
        </w:rPr>
        <w:tab/>
      </w:r>
      <w:r w:rsidR="00DC221C">
        <w:rPr>
          <w:rFonts w:cstheme="minorHAnsi"/>
        </w:rPr>
        <w:t>Section I, Term, of the settlement agreement prohibits FPUC from increasing its base rates during the minimum term of the agreement, or until after December 31, 2016.</w:t>
      </w:r>
      <w:r w:rsidR="00E149BA">
        <w:rPr>
          <w:rFonts w:cstheme="minorHAnsi"/>
        </w:rPr>
        <w:t xml:space="preserve">  </w:t>
      </w:r>
      <w:r w:rsidR="00DC221C">
        <w:rPr>
          <w:rFonts w:cstheme="minorHAnsi"/>
        </w:rPr>
        <w:t>The settlement agreement also states in Section VI, Other Cost Recovery, as follows:</w:t>
      </w:r>
    </w:p>
    <w:p w:rsidR="00DC221C" w:rsidRPr="00DC221C" w:rsidRDefault="00DC221C" w:rsidP="00E149BA">
      <w:pPr>
        <w:pStyle w:val="BodyText"/>
        <w:ind w:left="720" w:right="720"/>
        <w:jc w:val="both"/>
        <w:rPr>
          <w:rFonts w:cstheme="minorHAnsi"/>
        </w:rPr>
      </w:pPr>
      <w:r>
        <w:rPr>
          <w:rFonts w:cstheme="minorHAnsi"/>
        </w:rPr>
        <w:t xml:space="preserve">Nothing in this agreement shall preclude the Company from requesting the Commission to approve the recovery of costs that are: (a) of a type which traditionally and historically would be, have been, or are presently recovered through cost recovery clauses or surcharges or (b) incremental costs not currently recovered in base rates which the Legislature or Commission determines are clause recoverable subsequent to the approval of this settlement.  Except as provided in this Agreement, it is the intent of the Parties in this Paragraph VI that </w:t>
      </w:r>
      <w:r w:rsidRPr="00DC221C">
        <w:rPr>
          <w:rFonts w:cstheme="minorHAnsi"/>
        </w:rPr>
        <w:t>FPUC not be allowed to recover through cost recovery clauses increases in the magnitude of costs, incurred after implementation of the new base rates, of types or categories (including but not limited to, for example, investment in and maintenance of transmission assets) that have been traditionally and historically recovered through FPUC’s base rates.</w:t>
      </w:r>
    </w:p>
    <w:p w:rsidR="006472D5" w:rsidRDefault="005169B5" w:rsidP="006472D5">
      <w:pPr>
        <w:jc w:val="both"/>
        <w:rPr>
          <w:bCs/>
        </w:rPr>
      </w:pPr>
      <w:r>
        <w:rPr>
          <w:rFonts w:cstheme="minorHAnsi"/>
        </w:rPr>
        <w:tab/>
        <w:t xml:space="preserve">Additionally, </w:t>
      </w:r>
      <w:r w:rsidR="00E149BA">
        <w:rPr>
          <w:rFonts w:cstheme="minorHAnsi"/>
        </w:rPr>
        <w:t xml:space="preserve">FPUC </w:t>
      </w:r>
      <w:r w:rsidR="006472D5">
        <w:rPr>
          <w:rFonts w:cstheme="minorHAnsi"/>
        </w:rPr>
        <w:t xml:space="preserve">has </w:t>
      </w:r>
      <w:r w:rsidR="00E149BA">
        <w:rPr>
          <w:rFonts w:cstheme="minorHAnsi"/>
        </w:rPr>
        <w:t xml:space="preserve">included actual and estimated </w:t>
      </w:r>
      <w:r w:rsidR="006472D5">
        <w:rPr>
          <w:bCs/>
        </w:rPr>
        <w:t>consulting and legal fees in its fuel costs for 2014, 2015, and 2016.  Actual costs included in its 2014 true-up calculation are $122,933.  FPUC included $111,135 in its 2015 estimated/actual costs, and $387,000 its 2016 projected costs.</w:t>
      </w:r>
    </w:p>
    <w:p w:rsidR="006472D5" w:rsidRDefault="006472D5" w:rsidP="006472D5">
      <w:pPr>
        <w:jc w:val="both"/>
        <w:rPr>
          <w:bCs/>
        </w:rPr>
      </w:pPr>
      <w:r>
        <w:rPr>
          <w:bCs/>
        </w:rPr>
        <w:tab/>
      </w:r>
    </w:p>
    <w:p w:rsidR="006472D5" w:rsidRDefault="006472D5" w:rsidP="006472D5">
      <w:pPr>
        <w:jc w:val="both"/>
        <w:rPr>
          <w:bCs/>
        </w:rPr>
      </w:pPr>
      <w:r>
        <w:rPr>
          <w:bCs/>
        </w:rPr>
        <w:tab/>
        <w:t xml:space="preserve">FPUC believes that costs incurred and projected to be incurred for </w:t>
      </w:r>
      <w:r w:rsidR="00483455">
        <w:rPr>
          <w:bCs/>
        </w:rPr>
        <w:t xml:space="preserve">the FPL interconnection and </w:t>
      </w:r>
      <w:r>
        <w:rPr>
          <w:bCs/>
        </w:rPr>
        <w:t>contracted consultants and legal services are directly fuel-related and will ultimately produce fuel savings that will flow to FPUC’s customers through the fuel adjustment clause, and thus, are appropriate for recovery through the fuel cost recovery clause.  FPUC argued that th</w:t>
      </w:r>
      <w:r w:rsidR="006F2666">
        <w:rPr>
          <w:bCs/>
        </w:rPr>
        <w:t>is</w:t>
      </w:r>
      <w:r>
        <w:rPr>
          <w:bCs/>
        </w:rPr>
        <w:t xml:space="preserve"> Commission has clearly stated that the purpose of the clause proceedings is to provide for recovery of volatile costs that tend to fluctuate between rate case proceedings, which if incorporated in base rates, would unduly penalize the utility or its customers.</w:t>
      </w:r>
      <w:r>
        <w:rPr>
          <w:rStyle w:val="FootnoteReference"/>
          <w:bCs/>
        </w:rPr>
        <w:footnoteReference w:id="13"/>
      </w:r>
      <w:r>
        <w:rPr>
          <w:bCs/>
        </w:rPr>
        <w:t xml:space="preserve">  </w:t>
      </w:r>
    </w:p>
    <w:p w:rsidR="006472D5" w:rsidRDefault="006472D5" w:rsidP="006472D5">
      <w:pPr>
        <w:jc w:val="both"/>
        <w:rPr>
          <w:bCs/>
        </w:rPr>
      </w:pPr>
    </w:p>
    <w:p w:rsidR="006472D5" w:rsidRDefault="006472D5" w:rsidP="006472D5">
      <w:pPr>
        <w:jc w:val="both"/>
        <w:rPr>
          <w:bCs/>
        </w:rPr>
      </w:pPr>
      <w:r>
        <w:rPr>
          <w:bCs/>
        </w:rPr>
        <w:tab/>
        <w:t xml:space="preserve">No party filed testimony in the proceeding in opposition to FPUC’s requested legal and consulting fees.  In support of its request, FPUC witness Young argued that the consultants hired by FPUC engaged in activities related to the negotiation of a new power purchased contract with Eight Flags Energy, modification of FPUC’s existing agreement with Rayonier Performance Fibers, and analysis of FPUC’s current power purchase agreement to determine opportunities to produce fuel cost reductions.  </w:t>
      </w:r>
      <w:r w:rsidR="00D86C83">
        <w:rPr>
          <w:bCs/>
        </w:rPr>
        <w:t>FPUC w</w:t>
      </w:r>
      <w:r>
        <w:rPr>
          <w:bCs/>
        </w:rPr>
        <w:t xml:space="preserve">itness Cutshaw emphasized that the costs being requested are not associated with administrative functions associated with fuel procurement, nor associated </w:t>
      </w:r>
      <w:r>
        <w:rPr>
          <w:bCs/>
        </w:rPr>
        <w:lastRenderedPageBreak/>
        <w:t>with the Company’s internal staff responsible for fuel procurement.</w:t>
      </w:r>
      <w:r w:rsidR="00A27741">
        <w:rPr>
          <w:bCs/>
        </w:rPr>
        <w:t xml:space="preserve">  </w:t>
      </w:r>
      <w:r>
        <w:rPr>
          <w:bCs/>
        </w:rPr>
        <w:t xml:space="preserve">FPUC witness Young </w:t>
      </w:r>
      <w:r w:rsidR="00A27741">
        <w:rPr>
          <w:bCs/>
        </w:rPr>
        <w:t>sta</w:t>
      </w:r>
      <w:r>
        <w:rPr>
          <w:bCs/>
        </w:rPr>
        <w:t>t</w:t>
      </w:r>
      <w:r w:rsidR="00A27741">
        <w:rPr>
          <w:bCs/>
        </w:rPr>
        <w:t>ed</w:t>
      </w:r>
      <w:r>
        <w:rPr>
          <w:bCs/>
        </w:rPr>
        <w:t xml:space="preserve"> that the costs FPUC is seeking to recover are similar to costs </w:t>
      </w:r>
      <w:r w:rsidR="00A27741">
        <w:rPr>
          <w:bCs/>
        </w:rPr>
        <w:t xml:space="preserve">we have </w:t>
      </w:r>
      <w:r>
        <w:rPr>
          <w:bCs/>
        </w:rPr>
        <w:t xml:space="preserve">traditionally and historically allowed </w:t>
      </w:r>
      <w:r w:rsidR="00A27741">
        <w:rPr>
          <w:bCs/>
        </w:rPr>
        <w:t xml:space="preserve">to be </w:t>
      </w:r>
      <w:r>
        <w:rPr>
          <w:bCs/>
        </w:rPr>
        <w:t>recover</w:t>
      </w:r>
      <w:r w:rsidR="00A27741">
        <w:rPr>
          <w:bCs/>
        </w:rPr>
        <w:t>ed</w:t>
      </w:r>
      <w:r>
        <w:rPr>
          <w:bCs/>
        </w:rPr>
        <w:t xml:space="preserve"> through the fuel clause.  In addition, witness Young pointed out that the costs requested have not been included in FPUC’s base rates as these costs are volatile and fluctuate between rate case proceeding</w:t>
      </w:r>
      <w:r w:rsidR="00A27741">
        <w:rPr>
          <w:bCs/>
        </w:rPr>
        <w:t>s.</w:t>
      </w:r>
      <w:r>
        <w:rPr>
          <w:bCs/>
        </w:rPr>
        <w:t xml:space="preserve"> </w:t>
      </w:r>
    </w:p>
    <w:p w:rsidR="006472D5" w:rsidRDefault="006472D5" w:rsidP="006472D5">
      <w:pPr>
        <w:jc w:val="both"/>
        <w:rPr>
          <w:bCs/>
        </w:rPr>
      </w:pPr>
    </w:p>
    <w:p w:rsidR="006472D5" w:rsidRDefault="006472D5" w:rsidP="006472D5">
      <w:pPr>
        <w:jc w:val="both"/>
        <w:rPr>
          <w:bCs/>
        </w:rPr>
      </w:pPr>
      <w:r>
        <w:rPr>
          <w:bCs/>
        </w:rPr>
        <w:tab/>
        <w:t xml:space="preserve">FPUC argued that it has met its burden of proof by demonstrating that the legal and consulting fees it proposes for recovery through the fuel clause are: (1) prudent expenses associated with retaining outside expertise that the Company does not otherwise have in-house; (2) work for which these consultants were retained are associated with projects that are either currently producing fuel savings or are reasonably expected to produce savings for the Company and its customers; and (3) expenses of a type that </w:t>
      </w:r>
      <w:r w:rsidR="00877ECF">
        <w:rPr>
          <w:bCs/>
        </w:rPr>
        <w:t xml:space="preserve">we have </w:t>
      </w:r>
      <w:r>
        <w:rPr>
          <w:bCs/>
        </w:rPr>
        <w:t xml:space="preserve">traditionally allowed FPUC to recover through the fuel adjustment clause. </w:t>
      </w:r>
    </w:p>
    <w:p w:rsidR="006472D5" w:rsidRDefault="006472D5" w:rsidP="006472D5">
      <w:pPr>
        <w:rPr>
          <w:rFonts w:asciiTheme="majorHAnsi" w:hAnsiTheme="majorHAnsi" w:cstheme="majorHAnsi"/>
          <w:b/>
          <w:bCs/>
          <w:i/>
        </w:rPr>
      </w:pPr>
    </w:p>
    <w:p w:rsidR="006472D5" w:rsidRDefault="006472D5" w:rsidP="006472D5">
      <w:pPr>
        <w:jc w:val="both"/>
        <w:rPr>
          <w:bCs/>
        </w:rPr>
      </w:pPr>
      <w:r>
        <w:rPr>
          <w:bCs/>
        </w:rPr>
        <w:tab/>
        <w:t>OPC argue</w:t>
      </w:r>
      <w:r w:rsidR="00D86C83">
        <w:rPr>
          <w:bCs/>
        </w:rPr>
        <w:t>d</w:t>
      </w:r>
      <w:r>
        <w:rPr>
          <w:bCs/>
        </w:rPr>
        <w:t xml:space="preserve"> that the settlement agreement preclude</w:t>
      </w:r>
      <w:r w:rsidR="006301E5">
        <w:rPr>
          <w:bCs/>
        </w:rPr>
        <w:t>s</w:t>
      </w:r>
      <w:r>
        <w:rPr>
          <w:bCs/>
        </w:rPr>
        <w:t xml:space="preserve"> FPUC from seeking recovery in the fuel clause of its legal and consulting fees</w:t>
      </w:r>
      <w:r w:rsidR="006301E5">
        <w:rPr>
          <w:bCs/>
        </w:rPr>
        <w:t xml:space="preserve"> as does </w:t>
      </w:r>
      <w:r>
        <w:rPr>
          <w:bCs/>
        </w:rPr>
        <w:t>Order No. 14546</w:t>
      </w:r>
      <w:r w:rsidR="006301E5">
        <w:rPr>
          <w:bCs/>
        </w:rPr>
        <w:t xml:space="preserve">.  </w:t>
      </w:r>
      <w:r>
        <w:rPr>
          <w:bCs/>
        </w:rPr>
        <w:t xml:space="preserve">It is OPC’s position that FPUC is barred from seeking recovery in the fuel clause for </w:t>
      </w:r>
      <w:r w:rsidR="006301E5">
        <w:rPr>
          <w:bCs/>
        </w:rPr>
        <w:t xml:space="preserve">the </w:t>
      </w:r>
      <w:r>
        <w:rPr>
          <w:bCs/>
        </w:rPr>
        <w:t xml:space="preserve">cost of types or categories that have traditionally and historically </w:t>
      </w:r>
      <w:r w:rsidR="006301E5">
        <w:rPr>
          <w:bCs/>
        </w:rPr>
        <w:t xml:space="preserve">been </w:t>
      </w:r>
      <w:r>
        <w:rPr>
          <w:bCs/>
        </w:rPr>
        <w:t>recover</w:t>
      </w:r>
      <w:r w:rsidR="006301E5">
        <w:rPr>
          <w:bCs/>
        </w:rPr>
        <w:t>ed</w:t>
      </w:r>
      <w:r>
        <w:rPr>
          <w:bCs/>
        </w:rPr>
        <w:t xml:space="preserve"> through FPUC’s base rates. </w:t>
      </w:r>
      <w:r w:rsidR="006301E5">
        <w:rPr>
          <w:bCs/>
        </w:rPr>
        <w:t xml:space="preserve"> </w:t>
      </w:r>
      <w:r>
        <w:rPr>
          <w:bCs/>
        </w:rPr>
        <w:t>In addition, OPC argue</w:t>
      </w:r>
      <w:r w:rsidR="00D86C83">
        <w:rPr>
          <w:bCs/>
        </w:rPr>
        <w:t>d</w:t>
      </w:r>
      <w:r>
        <w:rPr>
          <w:bCs/>
        </w:rPr>
        <w:t xml:space="preserve"> that the </w:t>
      </w:r>
      <w:r w:rsidR="006301E5">
        <w:rPr>
          <w:bCs/>
        </w:rPr>
        <w:t>b</w:t>
      </w:r>
      <w:r>
        <w:rPr>
          <w:bCs/>
        </w:rPr>
        <w:t xml:space="preserve">ase rate freeze provision </w:t>
      </w:r>
      <w:r w:rsidR="006301E5">
        <w:rPr>
          <w:bCs/>
        </w:rPr>
        <w:t xml:space="preserve">in the settlement agreement </w:t>
      </w:r>
      <w:r>
        <w:rPr>
          <w:bCs/>
        </w:rPr>
        <w:t>also prohibits FPUC from recovering the</w:t>
      </w:r>
      <w:r w:rsidR="006301E5">
        <w:rPr>
          <w:bCs/>
        </w:rPr>
        <w:t>se</w:t>
      </w:r>
      <w:r>
        <w:rPr>
          <w:bCs/>
        </w:rPr>
        <w:t xml:space="preserve"> costs through cost recovery clauses. </w:t>
      </w:r>
    </w:p>
    <w:p w:rsidR="006472D5" w:rsidRDefault="006472D5" w:rsidP="006472D5">
      <w:pPr>
        <w:jc w:val="both"/>
        <w:rPr>
          <w:bCs/>
        </w:rPr>
      </w:pPr>
    </w:p>
    <w:p w:rsidR="006472D5" w:rsidRDefault="006301E5" w:rsidP="006472D5">
      <w:pPr>
        <w:jc w:val="both"/>
        <w:rPr>
          <w:bCs/>
        </w:rPr>
      </w:pPr>
      <w:r>
        <w:rPr>
          <w:bCs/>
        </w:rPr>
        <w:tab/>
      </w:r>
      <w:r w:rsidR="006472D5">
        <w:rPr>
          <w:bCs/>
        </w:rPr>
        <w:t xml:space="preserve">OPC </w:t>
      </w:r>
      <w:r w:rsidR="00D97A45">
        <w:rPr>
          <w:bCs/>
        </w:rPr>
        <w:t>contend</w:t>
      </w:r>
      <w:r w:rsidR="00D86C83">
        <w:rPr>
          <w:bCs/>
        </w:rPr>
        <w:t>ed</w:t>
      </w:r>
      <w:r w:rsidR="00D97A45">
        <w:rPr>
          <w:bCs/>
        </w:rPr>
        <w:t xml:space="preserve"> </w:t>
      </w:r>
      <w:r w:rsidR="006472D5">
        <w:rPr>
          <w:bCs/>
        </w:rPr>
        <w:t xml:space="preserve">that consulting and legal generation-related costs </w:t>
      </w:r>
      <w:r>
        <w:rPr>
          <w:bCs/>
        </w:rPr>
        <w:t xml:space="preserve">have traditionally and historically been recovered </w:t>
      </w:r>
      <w:r w:rsidR="006472D5">
        <w:rPr>
          <w:bCs/>
        </w:rPr>
        <w:t>through base rates</w:t>
      </w:r>
      <w:r>
        <w:rPr>
          <w:bCs/>
        </w:rPr>
        <w:t xml:space="preserve"> for both FPUC and other electric utilities.  </w:t>
      </w:r>
      <w:r w:rsidR="006472D5">
        <w:rPr>
          <w:bCs/>
        </w:rPr>
        <w:t>OPC a</w:t>
      </w:r>
      <w:r>
        <w:rPr>
          <w:bCs/>
        </w:rPr>
        <w:t>cknowledge</w:t>
      </w:r>
      <w:r w:rsidR="00D86C83">
        <w:rPr>
          <w:bCs/>
        </w:rPr>
        <w:t>d</w:t>
      </w:r>
      <w:r w:rsidR="006472D5">
        <w:rPr>
          <w:bCs/>
        </w:rPr>
        <w:t xml:space="preserve"> that FPUC was allowed recovery</w:t>
      </w:r>
      <w:r>
        <w:rPr>
          <w:bCs/>
        </w:rPr>
        <w:t xml:space="preserve"> </w:t>
      </w:r>
      <w:r w:rsidR="00D97A45">
        <w:rPr>
          <w:bCs/>
        </w:rPr>
        <w:t xml:space="preserve">through the fuel clause </w:t>
      </w:r>
      <w:r>
        <w:rPr>
          <w:bCs/>
        </w:rPr>
        <w:t>o</w:t>
      </w:r>
      <w:r w:rsidR="006472D5">
        <w:rPr>
          <w:bCs/>
        </w:rPr>
        <w:t xml:space="preserve">f its legal and consulting fees </w:t>
      </w:r>
      <w:r w:rsidR="00D97A45">
        <w:rPr>
          <w:bCs/>
        </w:rPr>
        <w:t xml:space="preserve">associated with the issuance </w:t>
      </w:r>
      <w:r>
        <w:rPr>
          <w:bCs/>
        </w:rPr>
        <w:t>and evaluation of R</w:t>
      </w:r>
      <w:r w:rsidR="00D86C83">
        <w:rPr>
          <w:bCs/>
        </w:rPr>
        <w:t>F</w:t>
      </w:r>
      <w:r>
        <w:rPr>
          <w:bCs/>
        </w:rPr>
        <w:t xml:space="preserve">Ps </w:t>
      </w:r>
      <w:r w:rsidR="00D97A45">
        <w:rPr>
          <w:bCs/>
        </w:rPr>
        <w:t xml:space="preserve">for </w:t>
      </w:r>
      <w:r w:rsidR="006472D5">
        <w:rPr>
          <w:bCs/>
        </w:rPr>
        <w:t>purchased power agreements</w:t>
      </w:r>
      <w:r>
        <w:rPr>
          <w:bCs/>
        </w:rPr>
        <w:t>.</w:t>
      </w:r>
      <w:r>
        <w:rPr>
          <w:rStyle w:val="FootnoteReference"/>
          <w:bCs/>
        </w:rPr>
        <w:footnoteReference w:id="14"/>
      </w:r>
      <w:r w:rsidR="006472D5">
        <w:rPr>
          <w:bCs/>
        </w:rPr>
        <w:t xml:space="preserve"> </w:t>
      </w:r>
      <w:r w:rsidR="0091752A">
        <w:rPr>
          <w:bCs/>
        </w:rPr>
        <w:t xml:space="preserve">However, </w:t>
      </w:r>
      <w:r w:rsidR="00D86C83">
        <w:rPr>
          <w:bCs/>
        </w:rPr>
        <w:t xml:space="preserve">it is </w:t>
      </w:r>
      <w:r w:rsidR="0091752A">
        <w:rPr>
          <w:bCs/>
        </w:rPr>
        <w:t>OPC</w:t>
      </w:r>
      <w:r w:rsidR="00D86C83">
        <w:rPr>
          <w:bCs/>
        </w:rPr>
        <w:t>’s</w:t>
      </w:r>
      <w:r w:rsidR="0091752A">
        <w:rPr>
          <w:bCs/>
        </w:rPr>
        <w:t xml:space="preserve"> conten</w:t>
      </w:r>
      <w:r w:rsidR="00D86C83">
        <w:rPr>
          <w:bCs/>
        </w:rPr>
        <w:t>tion</w:t>
      </w:r>
      <w:r w:rsidR="0091752A">
        <w:rPr>
          <w:bCs/>
        </w:rPr>
        <w:t xml:space="preserve"> that generic legal and consulting activities have not been specifically identified and allowed to be recovered through the fuel clause.</w:t>
      </w:r>
    </w:p>
    <w:p w:rsidR="006472D5" w:rsidRDefault="006472D5" w:rsidP="006472D5">
      <w:pPr>
        <w:jc w:val="both"/>
        <w:rPr>
          <w:bCs/>
        </w:rPr>
      </w:pPr>
    </w:p>
    <w:p w:rsidR="006472D5" w:rsidRDefault="00D97A45" w:rsidP="006472D5">
      <w:pPr>
        <w:jc w:val="both"/>
        <w:rPr>
          <w:bCs/>
        </w:rPr>
      </w:pPr>
      <w:r>
        <w:rPr>
          <w:bCs/>
        </w:rPr>
        <w:tab/>
      </w:r>
      <w:r w:rsidR="006472D5">
        <w:rPr>
          <w:bCs/>
        </w:rPr>
        <w:t>In addition, OPC argue</w:t>
      </w:r>
      <w:r w:rsidR="00D86C83">
        <w:rPr>
          <w:bCs/>
        </w:rPr>
        <w:t>d</w:t>
      </w:r>
      <w:r w:rsidR="006472D5">
        <w:rPr>
          <w:bCs/>
        </w:rPr>
        <w:t xml:space="preserve"> that Order No. 14546 sets forth </w:t>
      </w:r>
      <w:r>
        <w:rPr>
          <w:bCs/>
        </w:rPr>
        <w:t>the</w:t>
      </w:r>
      <w:r w:rsidR="006472D5">
        <w:rPr>
          <w:bCs/>
        </w:rPr>
        <w:t xml:space="preserve"> policy </w:t>
      </w:r>
      <w:r>
        <w:rPr>
          <w:bCs/>
        </w:rPr>
        <w:t xml:space="preserve">that </w:t>
      </w:r>
      <w:r w:rsidR="006472D5">
        <w:rPr>
          <w:bCs/>
        </w:rPr>
        <w:t>costs permitted for recovery through the fuel clause must produce fuel savings</w:t>
      </w:r>
      <w:r>
        <w:rPr>
          <w:bCs/>
        </w:rPr>
        <w:t xml:space="preserve"> contemporaneous with cost recovery</w:t>
      </w:r>
      <w:r w:rsidR="006472D5">
        <w:rPr>
          <w:bCs/>
        </w:rPr>
        <w:t>.</w:t>
      </w:r>
      <w:r>
        <w:rPr>
          <w:bCs/>
        </w:rPr>
        <w:t xml:space="preserve">  </w:t>
      </w:r>
      <w:r w:rsidR="006472D5">
        <w:rPr>
          <w:bCs/>
        </w:rPr>
        <w:t>OPC assert</w:t>
      </w:r>
      <w:r w:rsidR="00D86C83">
        <w:rPr>
          <w:bCs/>
        </w:rPr>
        <w:t>ed</w:t>
      </w:r>
      <w:r w:rsidR="006472D5">
        <w:rPr>
          <w:bCs/>
        </w:rPr>
        <w:t xml:space="preserve"> that </w:t>
      </w:r>
      <w:r>
        <w:rPr>
          <w:bCs/>
        </w:rPr>
        <w:t xml:space="preserve">FPUC is merely </w:t>
      </w:r>
      <w:r w:rsidR="006472D5">
        <w:rPr>
          <w:bCs/>
        </w:rPr>
        <w:t xml:space="preserve">speculating that the consulting and legal activities </w:t>
      </w:r>
      <w:r>
        <w:rPr>
          <w:bCs/>
        </w:rPr>
        <w:t xml:space="preserve">for which it is seeking recovery in 2015 and 2016 </w:t>
      </w:r>
      <w:r w:rsidR="006472D5">
        <w:rPr>
          <w:bCs/>
        </w:rPr>
        <w:t xml:space="preserve">will </w:t>
      </w:r>
      <w:r w:rsidR="002C1367">
        <w:rPr>
          <w:bCs/>
        </w:rPr>
        <w:t xml:space="preserve">actually </w:t>
      </w:r>
      <w:r w:rsidR="006472D5">
        <w:rPr>
          <w:bCs/>
        </w:rPr>
        <w:t xml:space="preserve">result in </w:t>
      </w:r>
      <w:r>
        <w:rPr>
          <w:bCs/>
        </w:rPr>
        <w:t>lower purchased power costs</w:t>
      </w:r>
      <w:r w:rsidR="006472D5">
        <w:rPr>
          <w:bCs/>
        </w:rPr>
        <w:t>.</w:t>
      </w:r>
      <w:r>
        <w:rPr>
          <w:bCs/>
        </w:rPr>
        <w:t xml:space="preserve"> </w:t>
      </w:r>
      <w:r w:rsidR="006472D5">
        <w:rPr>
          <w:bCs/>
        </w:rPr>
        <w:t xml:space="preserve"> While FPUC witness Young </w:t>
      </w:r>
      <w:r>
        <w:rPr>
          <w:bCs/>
        </w:rPr>
        <w:t>testifi</w:t>
      </w:r>
      <w:r w:rsidR="006472D5">
        <w:rPr>
          <w:bCs/>
        </w:rPr>
        <w:t xml:space="preserve">ed that some of the consultant and legal activities “produced” savings, </w:t>
      </w:r>
      <w:r w:rsidR="002B6B75">
        <w:rPr>
          <w:bCs/>
        </w:rPr>
        <w:t>OPC argue</w:t>
      </w:r>
      <w:r w:rsidR="00D86C83">
        <w:rPr>
          <w:bCs/>
        </w:rPr>
        <w:t>d</w:t>
      </w:r>
      <w:r w:rsidR="002B6B75">
        <w:rPr>
          <w:bCs/>
        </w:rPr>
        <w:t xml:space="preserve"> that </w:t>
      </w:r>
      <w:r>
        <w:rPr>
          <w:bCs/>
        </w:rPr>
        <w:t>he could identify no specific savings that were achieved</w:t>
      </w:r>
      <w:r w:rsidR="002B6B75">
        <w:rPr>
          <w:bCs/>
        </w:rPr>
        <w:t xml:space="preserve"> as a result of those activities</w:t>
      </w:r>
      <w:r>
        <w:rPr>
          <w:bCs/>
        </w:rPr>
        <w:t xml:space="preserve">.  </w:t>
      </w:r>
      <w:r w:rsidR="006472D5">
        <w:rPr>
          <w:bCs/>
        </w:rPr>
        <w:t>OPC also maintain</w:t>
      </w:r>
      <w:r w:rsidR="00D86C83">
        <w:rPr>
          <w:bCs/>
        </w:rPr>
        <w:t>ed</w:t>
      </w:r>
      <w:r w:rsidR="006472D5">
        <w:rPr>
          <w:bCs/>
        </w:rPr>
        <w:t xml:space="preserve"> that FPUC conceded that the outside consulting and legal fees are fuel procurement and administration charges or costs that Order No. 14546 specifically precludes from recovery through the fuel clause </w:t>
      </w:r>
    </w:p>
    <w:p w:rsidR="006472D5" w:rsidRDefault="006472D5" w:rsidP="006472D5">
      <w:pPr>
        <w:jc w:val="both"/>
        <w:rPr>
          <w:bCs/>
        </w:rPr>
      </w:pPr>
    </w:p>
    <w:p w:rsidR="008613F1" w:rsidRDefault="00D97A45" w:rsidP="008613F1">
      <w:pPr>
        <w:pStyle w:val="BodyText"/>
        <w:jc w:val="both"/>
        <w:rPr>
          <w:rFonts w:cstheme="minorHAnsi"/>
        </w:rPr>
      </w:pPr>
      <w:r>
        <w:rPr>
          <w:bCs/>
        </w:rPr>
        <w:lastRenderedPageBreak/>
        <w:tab/>
      </w:r>
      <w:r w:rsidR="00877ECF">
        <w:rPr>
          <w:bCs/>
        </w:rPr>
        <w:t xml:space="preserve">Our </w:t>
      </w:r>
      <w:r w:rsidR="008613F1">
        <w:rPr>
          <w:rFonts w:cstheme="minorHAnsi"/>
        </w:rPr>
        <w:t>basic guidelines for recovery of costs through the fuel adjustment clause are found in Order No. 14546.</w:t>
      </w:r>
      <w:r w:rsidR="008613F1">
        <w:rPr>
          <w:rStyle w:val="FootnoteReference"/>
          <w:rFonts w:cstheme="minorHAnsi"/>
        </w:rPr>
        <w:footnoteReference w:id="15"/>
      </w:r>
      <w:r w:rsidR="008613F1">
        <w:rPr>
          <w:rFonts w:cstheme="minorHAnsi"/>
        </w:rPr>
        <w:t xml:space="preserve">  In Order No. 14546 the parties stipulated to, and </w:t>
      </w:r>
      <w:r w:rsidR="006F2666">
        <w:rPr>
          <w:rFonts w:cstheme="minorHAnsi"/>
        </w:rPr>
        <w:t xml:space="preserve">we </w:t>
      </w:r>
      <w:r w:rsidR="008613F1">
        <w:rPr>
          <w:rFonts w:cstheme="minorHAnsi"/>
        </w:rPr>
        <w:t>approved, two basic principles for recovery of expenses through the fuel clause:</w:t>
      </w:r>
    </w:p>
    <w:p w:rsidR="008613F1" w:rsidRDefault="008613F1" w:rsidP="008613F1">
      <w:pPr>
        <w:pStyle w:val="BodyText"/>
        <w:ind w:left="720" w:right="720"/>
        <w:jc w:val="both"/>
        <w:rPr>
          <w:rFonts w:cstheme="minorHAnsi"/>
        </w:rPr>
      </w:pPr>
      <w:r>
        <w:rPr>
          <w:rFonts w:cstheme="minorHAnsi"/>
        </w:rPr>
        <w:t>1.</w:t>
      </w:r>
      <w:r>
        <w:rPr>
          <w:rFonts w:cstheme="minorHAnsi"/>
        </w:rPr>
        <w:tab/>
        <w:t>When similar circumstances exist, the Commission should attempt to treat, for cost recovery purposes, specific types of fossil fuel-related expenses in a uniform manner among the various electric utilities.  At times, however, it may be appropriate to treat similar types of expenses in dissimilar ways.</w:t>
      </w:r>
    </w:p>
    <w:p w:rsidR="008613F1" w:rsidRDefault="008613F1" w:rsidP="008613F1">
      <w:pPr>
        <w:pStyle w:val="BodyText"/>
        <w:ind w:left="720" w:right="720"/>
        <w:jc w:val="both"/>
        <w:rPr>
          <w:rFonts w:cstheme="minorHAnsi"/>
        </w:rPr>
      </w:pPr>
      <w:r>
        <w:rPr>
          <w:rFonts w:cstheme="minorHAnsi"/>
        </w:rPr>
        <w:t>2.</w:t>
      </w:r>
      <w:r>
        <w:rPr>
          <w:rFonts w:cstheme="minorHAnsi"/>
        </w:rPr>
        <w:tab/>
        <w:t>Prudently incurred fossil fuel-related expenses which are subject to volatile changes should be recovered through an electric utility’s fuel adjustment clause.  The volatility of fossil fuel-related costs may be due to a number of factors including, but not necessarily limited to: price, quantity, number of deliveries, and distance.  Except as noted below, these volatile fossil fuel-related charges are incurred by the utility for goods obtained or services provided prior to the delivery of fuel to the electric utility’s dedicated storage facilities. (Dedicated storage facilities mean storage facilities which are used solely to serve the affected electric utility.) All other fossil fuel-related costs should be recovered through base rates.</w:t>
      </w:r>
      <w:r>
        <w:rPr>
          <w:rStyle w:val="FootnoteReference"/>
          <w:rFonts w:cstheme="minorHAnsi"/>
        </w:rPr>
        <w:footnoteReference w:id="16"/>
      </w:r>
      <w:r>
        <w:rPr>
          <w:rFonts w:cstheme="minorHAnsi"/>
        </w:rPr>
        <w:t xml:space="preserve">   </w:t>
      </w:r>
    </w:p>
    <w:p w:rsidR="006472D5" w:rsidRDefault="002B6B75" w:rsidP="006472D5">
      <w:pPr>
        <w:jc w:val="both"/>
        <w:rPr>
          <w:bCs/>
        </w:rPr>
      </w:pPr>
      <w:r>
        <w:rPr>
          <w:bCs/>
        </w:rPr>
        <w:tab/>
      </w:r>
      <w:r w:rsidR="006472D5">
        <w:rPr>
          <w:bCs/>
        </w:rPr>
        <w:t xml:space="preserve">In addition, the parties recommended that the policy be flexible so that costs normally recovered through base rates could be recovered through the fuel adjustment clause where the utility took advantage of a cost-effective transaction and those costs were not recognized or anticipated in the level of costs used to establish the utility’s base rates. </w:t>
      </w:r>
      <w:r>
        <w:rPr>
          <w:bCs/>
        </w:rPr>
        <w:t>In those instances, “[t]</w:t>
      </w:r>
      <w:r w:rsidR="006472D5">
        <w:rPr>
          <w:bCs/>
        </w:rPr>
        <w:t>he Commission shall rule on the appropriate method of cost recovery based upon the merits of each individual case.”</w:t>
      </w:r>
      <w:r>
        <w:rPr>
          <w:rStyle w:val="FootnoteReference"/>
          <w:bCs/>
        </w:rPr>
        <w:footnoteReference w:id="17"/>
      </w:r>
      <w:r>
        <w:rPr>
          <w:bCs/>
        </w:rPr>
        <w:t xml:space="preserve">  </w:t>
      </w:r>
      <w:r w:rsidR="006472D5">
        <w:rPr>
          <w:bCs/>
        </w:rPr>
        <w:t>Order No. 14546</w:t>
      </w:r>
      <w:r>
        <w:rPr>
          <w:bCs/>
        </w:rPr>
        <w:t xml:space="preserve"> </w:t>
      </w:r>
      <w:r w:rsidR="006472D5">
        <w:rPr>
          <w:bCs/>
        </w:rPr>
        <w:t xml:space="preserve">was intended to identify costs that were appropriate for cost recovery yet recognize that </w:t>
      </w:r>
      <w:r w:rsidR="006F2666">
        <w:rPr>
          <w:bCs/>
        </w:rPr>
        <w:t xml:space="preserve">we </w:t>
      </w:r>
      <w:r>
        <w:rPr>
          <w:bCs/>
        </w:rPr>
        <w:t xml:space="preserve">retain </w:t>
      </w:r>
      <w:r w:rsidR="006472D5">
        <w:rPr>
          <w:bCs/>
        </w:rPr>
        <w:t>the a</w:t>
      </w:r>
      <w:r w:rsidR="00CC6080">
        <w:rPr>
          <w:bCs/>
        </w:rPr>
        <w:t>bility</w:t>
      </w:r>
      <w:r w:rsidR="006472D5">
        <w:rPr>
          <w:bCs/>
        </w:rPr>
        <w:t xml:space="preserve"> </w:t>
      </w:r>
      <w:r>
        <w:rPr>
          <w:bCs/>
        </w:rPr>
        <w:t xml:space="preserve">in </w:t>
      </w:r>
      <w:r w:rsidR="00CC6080">
        <w:rPr>
          <w:bCs/>
        </w:rPr>
        <w:t xml:space="preserve">individual </w:t>
      </w:r>
      <w:r>
        <w:rPr>
          <w:bCs/>
        </w:rPr>
        <w:t xml:space="preserve">cases </w:t>
      </w:r>
      <w:r w:rsidR="006472D5">
        <w:rPr>
          <w:bCs/>
        </w:rPr>
        <w:t>to rule on the method of cost recovery.</w:t>
      </w:r>
    </w:p>
    <w:p w:rsidR="006472D5" w:rsidRDefault="006472D5" w:rsidP="006472D5">
      <w:pPr>
        <w:jc w:val="both"/>
        <w:rPr>
          <w:bCs/>
        </w:rPr>
      </w:pPr>
    </w:p>
    <w:p w:rsidR="00B746F0" w:rsidRDefault="00CC6080" w:rsidP="006472D5">
      <w:pPr>
        <w:jc w:val="both"/>
        <w:rPr>
          <w:bCs/>
        </w:rPr>
      </w:pPr>
      <w:r>
        <w:rPr>
          <w:bCs/>
        </w:rPr>
        <w:tab/>
        <w:t>As the starting point of our analysis</w:t>
      </w:r>
      <w:r w:rsidR="008A1910">
        <w:rPr>
          <w:bCs/>
        </w:rPr>
        <w:t>,</w:t>
      </w:r>
      <w:r>
        <w:rPr>
          <w:bCs/>
        </w:rPr>
        <w:t xml:space="preserve"> we disagree with OPC that FPUC has not   “</w:t>
      </w:r>
      <w:r>
        <w:rPr>
          <w:rFonts w:cstheme="minorHAnsi"/>
        </w:rPr>
        <w:t xml:space="preserve">traditionally and historically” recovered consulting and legal fees through the fuel clause.  </w:t>
      </w:r>
      <w:r>
        <w:rPr>
          <w:bCs/>
        </w:rPr>
        <w:t xml:space="preserve"> </w:t>
      </w:r>
      <w:r w:rsidR="006472D5">
        <w:rPr>
          <w:bCs/>
        </w:rPr>
        <w:t>In Docket Nos. 060001-EI</w:t>
      </w:r>
      <w:r w:rsidR="00877ECF">
        <w:rPr>
          <w:bCs/>
        </w:rPr>
        <w:t>,</w:t>
      </w:r>
      <w:r w:rsidR="006472D5">
        <w:rPr>
          <w:bCs/>
        </w:rPr>
        <w:t xml:space="preserve"> 070001-EI, 080001-EI, 090001-EI, 10001-EI, 110001-EI, 120001-EI, 130001-EI, and 140001-EI, legal and consulting fees associated with fuel-related work </w:t>
      </w:r>
      <w:r>
        <w:rPr>
          <w:bCs/>
        </w:rPr>
        <w:t xml:space="preserve">were included </w:t>
      </w:r>
      <w:r w:rsidR="006472D5">
        <w:rPr>
          <w:bCs/>
        </w:rPr>
        <w:t xml:space="preserve">in </w:t>
      </w:r>
      <w:r w:rsidR="00877ECF">
        <w:rPr>
          <w:bCs/>
        </w:rPr>
        <w:t xml:space="preserve">FPUC’s </w:t>
      </w:r>
      <w:r w:rsidR="006472D5">
        <w:rPr>
          <w:bCs/>
        </w:rPr>
        <w:t xml:space="preserve">true-up filings which </w:t>
      </w:r>
      <w:r>
        <w:rPr>
          <w:bCs/>
        </w:rPr>
        <w:t xml:space="preserve">we </w:t>
      </w:r>
      <w:r w:rsidR="006472D5">
        <w:rPr>
          <w:bCs/>
        </w:rPr>
        <w:t>approved</w:t>
      </w:r>
      <w:r w:rsidR="002D00BC">
        <w:rPr>
          <w:bCs/>
        </w:rPr>
        <w:t xml:space="preserve"> without objection</w:t>
      </w:r>
      <w:r w:rsidR="006472D5">
        <w:rPr>
          <w:bCs/>
        </w:rPr>
        <w:t>.</w:t>
      </w:r>
      <w:r>
        <w:rPr>
          <w:bCs/>
        </w:rPr>
        <w:t xml:space="preserve">  Further, in Order N</w:t>
      </w:r>
      <w:r w:rsidR="002D00BC">
        <w:rPr>
          <w:bCs/>
        </w:rPr>
        <w:t>o</w:t>
      </w:r>
      <w:r>
        <w:rPr>
          <w:bCs/>
        </w:rPr>
        <w:t xml:space="preserve">. PSC-05-1252, we approved the recovery of </w:t>
      </w:r>
      <w:r w:rsidR="002D00BC">
        <w:rPr>
          <w:bCs/>
        </w:rPr>
        <w:t xml:space="preserve">fees for </w:t>
      </w:r>
      <w:r>
        <w:rPr>
          <w:bCs/>
        </w:rPr>
        <w:t xml:space="preserve">Christensen and Associates </w:t>
      </w:r>
      <w:r w:rsidR="002D00BC">
        <w:rPr>
          <w:bCs/>
        </w:rPr>
        <w:t xml:space="preserve">related to </w:t>
      </w:r>
      <w:r>
        <w:rPr>
          <w:bCs/>
        </w:rPr>
        <w:t xml:space="preserve">the preparation and evaluation of </w:t>
      </w:r>
      <w:r w:rsidR="006F2666">
        <w:rPr>
          <w:bCs/>
        </w:rPr>
        <w:t xml:space="preserve">a </w:t>
      </w:r>
      <w:r w:rsidR="002D00BC">
        <w:rPr>
          <w:bCs/>
        </w:rPr>
        <w:t>RFP for purchased power for its Northwest Division.  In Order No. PSC-05-1252</w:t>
      </w:r>
      <w:r w:rsidR="00877ECF">
        <w:rPr>
          <w:bCs/>
        </w:rPr>
        <w:t>,</w:t>
      </w:r>
      <w:r w:rsidR="002D00BC">
        <w:rPr>
          <w:bCs/>
        </w:rPr>
        <w:t xml:space="preserve"> we cited the fact that FPUC was a small, non-generating, investor-owned electric utility </w:t>
      </w:r>
      <w:r w:rsidR="00877ECF">
        <w:rPr>
          <w:bCs/>
        </w:rPr>
        <w:t xml:space="preserve">that </w:t>
      </w:r>
      <w:r w:rsidR="002D00BC">
        <w:rPr>
          <w:bCs/>
        </w:rPr>
        <w:t xml:space="preserve">did </w:t>
      </w:r>
      <w:r w:rsidR="006472D5">
        <w:rPr>
          <w:bCs/>
        </w:rPr>
        <w:t>not have the resources internally to prepare an RFP and evaluate responses.</w:t>
      </w:r>
      <w:r w:rsidR="006472D5">
        <w:rPr>
          <w:rStyle w:val="FootnoteReference"/>
          <w:bCs/>
        </w:rPr>
        <w:footnoteReference w:id="18"/>
      </w:r>
      <w:r w:rsidR="008A1910">
        <w:rPr>
          <w:bCs/>
        </w:rPr>
        <w:t xml:space="preserve">  </w:t>
      </w:r>
      <w:r w:rsidR="00A83CAB">
        <w:rPr>
          <w:bCs/>
        </w:rPr>
        <w:t xml:space="preserve">Because FPUC has “traditionally and historically” recovered these types of costs through the fuel clause, we find that the terms of the settlement agreement do not apply and do not prohibit recovery through the fuel clause at this time. </w:t>
      </w:r>
    </w:p>
    <w:p w:rsidR="00B746F0" w:rsidRDefault="00B746F0" w:rsidP="00B746F0">
      <w:pPr>
        <w:jc w:val="both"/>
        <w:rPr>
          <w:bCs/>
        </w:rPr>
      </w:pPr>
      <w:r>
        <w:rPr>
          <w:bCs/>
        </w:rPr>
        <w:lastRenderedPageBreak/>
        <w:tab/>
        <w:t xml:space="preserve">FPUC has been aggressively seeking opportunities to reduce fuel costs to its consumers. To properly and thoroughly explore fuel-saving opportunities, FPUC engages legal and consulting assistance as it continues to lack in-house expertise.  The costs that FPUC is requesting to be recovered in this proceeding are associated with legal and consulting fees incurred in the development and enactment of projects designed to reduce fuel rates to FPUC’s customers, costs associated with the development and negotiations of power supply contracts, and costs to consultants engaged in performing due diligence in review and analysis of the Renewable Energy Agreement between FPUC and Rayonier. </w:t>
      </w:r>
    </w:p>
    <w:p w:rsidR="00B746F0" w:rsidRDefault="00B746F0" w:rsidP="00B746F0">
      <w:pPr>
        <w:rPr>
          <w:bCs/>
        </w:rPr>
      </w:pPr>
    </w:p>
    <w:p w:rsidR="006472D5" w:rsidRDefault="00B746F0" w:rsidP="006472D5">
      <w:pPr>
        <w:jc w:val="both"/>
        <w:rPr>
          <w:bCs/>
        </w:rPr>
      </w:pPr>
      <w:r>
        <w:rPr>
          <w:bCs/>
        </w:rPr>
        <w:tab/>
      </w:r>
      <w:r w:rsidR="00D23B8E">
        <w:rPr>
          <w:bCs/>
        </w:rPr>
        <w:t>In 2016</w:t>
      </w:r>
      <w:r w:rsidR="00877ECF">
        <w:rPr>
          <w:bCs/>
        </w:rPr>
        <w:t>,</w:t>
      </w:r>
      <w:r w:rsidR="00D23B8E">
        <w:rPr>
          <w:bCs/>
        </w:rPr>
        <w:t xml:space="preserve"> </w:t>
      </w:r>
      <w:r>
        <w:rPr>
          <w:bCs/>
        </w:rPr>
        <w:t xml:space="preserve">FPUC will begin discussions with various purchased power providers in preparation for the 2017 expiration of its Northeast </w:t>
      </w:r>
      <w:r w:rsidR="008A1910">
        <w:rPr>
          <w:bCs/>
        </w:rPr>
        <w:t xml:space="preserve">Division </w:t>
      </w:r>
      <w:r>
        <w:rPr>
          <w:bCs/>
        </w:rPr>
        <w:t xml:space="preserve">wholesale power contract with JEA. FPUC is </w:t>
      </w:r>
      <w:r w:rsidR="00D23B8E">
        <w:rPr>
          <w:bCs/>
        </w:rPr>
        <w:t xml:space="preserve">presently </w:t>
      </w:r>
      <w:r>
        <w:rPr>
          <w:bCs/>
        </w:rPr>
        <w:t>reliant upon JEA for all its power needs in its N</w:t>
      </w:r>
      <w:r w:rsidR="008A1910">
        <w:rPr>
          <w:bCs/>
        </w:rPr>
        <w:t>ortheast</w:t>
      </w:r>
      <w:r>
        <w:rPr>
          <w:bCs/>
        </w:rPr>
        <w:t xml:space="preserve"> </w:t>
      </w:r>
      <w:r w:rsidR="008A1910">
        <w:rPr>
          <w:bCs/>
        </w:rPr>
        <w:t>D</w:t>
      </w:r>
      <w:r>
        <w:rPr>
          <w:bCs/>
        </w:rPr>
        <w:t>ivision and is prohibited from taking power from another wholesale power provider</w:t>
      </w:r>
      <w:r w:rsidR="00D23B8E">
        <w:rPr>
          <w:bCs/>
        </w:rPr>
        <w:t xml:space="preserve"> until the expiration of its wholesale power purchase agreement in December 2016.  In order to obtain the lowest price and most favorable terms in its wholesale power contract to serve its Northeast </w:t>
      </w:r>
      <w:r w:rsidR="008A1910">
        <w:rPr>
          <w:bCs/>
        </w:rPr>
        <w:t>D</w:t>
      </w:r>
      <w:r w:rsidR="00D23B8E">
        <w:rPr>
          <w:bCs/>
        </w:rPr>
        <w:t xml:space="preserve">ivision, </w:t>
      </w:r>
      <w:r>
        <w:rPr>
          <w:bCs/>
        </w:rPr>
        <w:t xml:space="preserve">FPUC </w:t>
      </w:r>
      <w:r w:rsidR="00D23B8E">
        <w:rPr>
          <w:bCs/>
        </w:rPr>
        <w:t xml:space="preserve">needs significant </w:t>
      </w:r>
      <w:r>
        <w:rPr>
          <w:bCs/>
        </w:rPr>
        <w:t>research, analysis, and negotiation</w:t>
      </w:r>
      <w:r w:rsidR="00D23B8E">
        <w:rPr>
          <w:bCs/>
        </w:rPr>
        <w:t xml:space="preserve"> unavailable in-house.  </w:t>
      </w:r>
      <w:r>
        <w:rPr>
          <w:bCs/>
        </w:rPr>
        <w:t>T</w:t>
      </w:r>
      <w:r w:rsidR="006472D5">
        <w:rPr>
          <w:bCs/>
        </w:rPr>
        <w:t>he</w:t>
      </w:r>
      <w:r w:rsidR="00D23B8E">
        <w:rPr>
          <w:bCs/>
        </w:rPr>
        <w:t>se</w:t>
      </w:r>
      <w:r w:rsidR="006472D5">
        <w:rPr>
          <w:bCs/>
        </w:rPr>
        <w:t xml:space="preserve"> consulting and legal fees</w:t>
      </w:r>
      <w:r>
        <w:rPr>
          <w:bCs/>
        </w:rPr>
        <w:t xml:space="preserve"> </w:t>
      </w:r>
      <w:r w:rsidR="006472D5">
        <w:rPr>
          <w:bCs/>
        </w:rPr>
        <w:t xml:space="preserve">are not </w:t>
      </w:r>
      <w:r>
        <w:rPr>
          <w:bCs/>
        </w:rPr>
        <w:t xml:space="preserve">currently </w:t>
      </w:r>
      <w:r w:rsidR="006472D5">
        <w:rPr>
          <w:bCs/>
        </w:rPr>
        <w:t xml:space="preserve">being recovered in </w:t>
      </w:r>
      <w:r w:rsidR="00D23B8E">
        <w:rPr>
          <w:bCs/>
        </w:rPr>
        <w:t xml:space="preserve">FPUC’s </w:t>
      </w:r>
      <w:r w:rsidR="006472D5">
        <w:rPr>
          <w:bCs/>
        </w:rPr>
        <w:t xml:space="preserve">base rates. </w:t>
      </w:r>
      <w:r>
        <w:rPr>
          <w:bCs/>
        </w:rPr>
        <w:t xml:space="preserve"> </w:t>
      </w:r>
      <w:r w:rsidR="00D23B8E">
        <w:rPr>
          <w:bCs/>
        </w:rPr>
        <w:t>Nor were t</w:t>
      </w:r>
      <w:r>
        <w:rPr>
          <w:bCs/>
        </w:rPr>
        <w:t xml:space="preserve">hese fees </w:t>
      </w:r>
      <w:r w:rsidR="006472D5">
        <w:rPr>
          <w:bCs/>
        </w:rPr>
        <w:t xml:space="preserve">anticipated in </w:t>
      </w:r>
      <w:r>
        <w:rPr>
          <w:bCs/>
        </w:rPr>
        <w:t xml:space="preserve">FPUC’s </w:t>
      </w:r>
      <w:r w:rsidR="006472D5">
        <w:rPr>
          <w:bCs/>
        </w:rPr>
        <w:t xml:space="preserve">last rate case, as these types of costs fluctuate significantly from year to year. </w:t>
      </w:r>
    </w:p>
    <w:p w:rsidR="006472D5" w:rsidRDefault="006472D5" w:rsidP="006472D5">
      <w:pPr>
        <w:jc w:val="both"/>
        <w:rPr>
          <w:rFonts w:asciiTheme="majorHAnsi" w:hAnsiTheme="majorHAnsi" w:cstheme="majorHAnsi"/>
          <w:bCs/>
        </w:rPr>
      </w:pPr>
    </w:p>
    <w:p w:rsidR="006472D5" w:rsidRPr="00D3064E" w:rsidRDefault="00D23B8E" w:rsidP="006472D5">
      <w:pPr>
        <w:jc w:val="both"/>
        <w:rPr>
          <w:bCs/>
        </w:rPr>
      </w:pPr>
      <w:r>
        <w:rPr>
          <w:bCs/>
        </w:rPr>
        <w:tab/>
        <w:t xml:space="preserve">We find that </w:t>
      </w:r>
      <w:r w:rsidR="006472D5" w:rsidRPr="00D3064E">
        <w:rPr>
          <w:bCs/>
        </w:rPr>
        <w:t xml:space="preserve">there is no compelling reason to deviate from </w:t>
      </w:r>
      <w:r>
        <w:rPr>
          <w:bCs/>
        </w:rPr>
        <w:t xml:space="preserve">our </w:t>
      </w:r>
      <w:r w:rsidR="006472D5" w:rsidRPr="00D3064E">
        <w:rPr>
          <w:bCs/>
        </w:rPr>
        <w:t xml:space="preserve">past decisions. </w:t>
      </w:r>
      <w:r>
        <w:rPr>
          <w:bCs/>
        </w:rPr>
        <w:t xml:space="preserve"> </w:t>
      </w:r>
      <w:r w:rsidR="006472D5" w:rsidRPr="00D3064E">
        <w:rPr>
          <w:bCs/>
        </w:rPr>
        <w:t xml:space="preserve">FPUC </w:t>
      </w:r>
      <w:r>
        <w:rPr>
          <w:bCs/>
        </w:rPr>
        <w:t xml:space="preserve">remains </w:t>
      </w:r>
      <w:r w:rsidR="006472D5" w:rsidRPr="00D3064E">
        <w:rPr>
          <w:bCs/>
        </w:rPr>
        <w:t>a small, non-generating electric utility lack</w:t>
      </w:r>
      <w:r>
        <w:rPr>
          <w:bCs/>
        </w:rPr>
        <w:t>ing</w:t>
      </w:r>
      <w:r w:rsidR="006472D5" w:rsidRPr="00D3064E">
        <w:rPr>
          <w:bCs/>
        </w:rPr>
        <w:t xml:space="preserve"> the in-house expertise to find and evaluate potential opportunities for fuel savings and craft and evaluate requests for proposals for generation needs. </w:t>
      </w:r>
      <w:r>
        <w:rPr>
          <w:bCs/>
        </w:rPr>
        <w:t xml:space="preserve"> </w:t>
      </w:r>
      <w:r w:rsidR="00A83CAB">
        <w:rPr>
          <w:bCs/>
        </w:rPr>
        <w:t xml:space="preserve">These </w:t>
      </w:r>
      <w:r w:rsidR="006472D5" w:rsidRPr="00D3064E">
        <w:rPr>
          <w:bCs/>
        </w:rPr>
        <w:t xml:space="preserve">costs </w:t>
      </w:r>
      <w:r w:rsidR="00A83CAB">
        <w:rPr>
          <w:bCs/>
        </w:rPr>
        <w:t xml:space="preserve">were not included </w:t>
      </w:r>
      <w:r w:rsidR="006472D5" w:rsidRPr="00D3064E">
        <w:rPr>
          <w:bCs/>
        </w:rPr>
        <w:t>in its last rate case</w:t>
      </w:r>
      <w:r w:rsidR="003A4E3C">
        <w:rPr>
          <w:bCs/>
        </w:rPr>
        <w:t xml:space="preserve">. </w:t>
      </w:r>
      <w:r>
        <w:rPr>
          <w:bCs/>
        </w:rPr>
        <w:t xml:space="preserve"> </w:t>
      </w:r>
      <w:r w:rsidR="006472D5" w:rsidRPr="00D3064E">
        <w:rPr>
          <w:bCs/>
        </w:rPr>
        <w:t>At the time of its last rate case, similar costs were being recovered through the fuel clause.</w:t>
      </w:r>
      <w:r w:rsidR="003A4E3C">
        <w:rPr>
          <w:bCs/>
        </w:rPr>
        <w:t xml:space="preserve">  </w:t>
      </w:r>
      <w:r w:rsidR="006472D5" w:rsidRPr="00D3064E">
        <w:rPr>
          <w:bCs/>
        </w:rPr>
        <w:t xml:space="preserve">The costs FPUC is requesting for recovery through the fuel clause are not related to FPUC’s internal staff for </w:t>
      </w:r>
      <w:r w:rsidR="000E42ED">
        <w:rPr>
          <w:bCs/>
        </w:rPr>
        <w:t xml:space="preserve">routine </w:t>
      </w:r>
      <w:r w:rsidR="006472D5" w:rsidRPr="00D3064E">
        <w:rPr>
          <w:bCs/>
        </w:rPr>
        <w:t>fuel and purchased power procurement and administration.</w:t>
      </w:r>
      <w:r w:rsidR="003A4E3C">
        <w:rPr>
          <w:bCs/>
        </w:rPr>
        <w:t xml:space="preserve">  </w:t>
      </w:r>
      <w:r w:rsidR="006472D5" w:rsidRPr="00D3064E">
        <w:rPr>
          <w:bCs/>
        </w:rPr>
        <w:t>FPUC projects that the opportunities being evaluated by its contracted consultants and legal professionals will resul</w:t>
      </w:r>
      <w:r w:rsidR="006472D5">
        <w:rPr>
          <w:bCs/>
        </w:rPr>
        <w:t xml:space="preserve">t in fuel savings. </w:t>
      </w:r>
    </w:p>
    <w:p w:rsidR="006472D5" w:rsidRDefault="006472D5" w:rsidP="006472D5">
      <w:pPr>
        <w:jc w:val="both"/>
        <w:rPr>
          <w:bCs/>
        </w:rPr>
      </w:pPr>
    </w:p>
    <w:p w:rsidR="008C0ED8" w:rsidRDefault="000E42ED" w:rsidP="006472D5">
      <w:pPr>
        <w:jc w:val="both"/>
        <w:rPr>
          <w:bCs/>
        </w:rPr>
      </w:pPr>
      <w:r>
        <w:rPr>
          <w:bCs/>
        </w:rPr>
        <w:tab/>
      </w:r>
      <w:r w:rsidR="00877ECF">
        <w:rPr>
          <w:bCs/>
        </w:rPr>
        <w:t>A</w:t>
      </w:r>
      <w:r>
        <w:rPr>
          <w:bCs/>
        </w:rPr>
        <w:t>ll parties agree that</w:t>
      </w:r>
      <w:r w:rsidR="00877ECF">
        <w:rPr>
          <w:bCs/>
        </w:rPr>
        <w:t xml:space="preserve"> the proposed interconnection with FPL </w:t>
      </w:r>
      <w:r>
        <w:rPr>
          <w:bCs/>
        </w:rPr>
        <w:t>will result in improved system reliability for Amelia Island.</w:t>
      </w:r>
      <w:r w:rsidR="008A1910">
        <w:rPr>
          <w:bCs/>
        </w:rPr>
        <w:t xml:space="preserve">  </w:t>
      </w:r>
      <w:r>
        <w:rPr>
          <w:bCs/>
        </w:rPr>
        <w:t>Nor is there disagreement that interconnection with FPL will offer wholesale power purchase options not currently available to FPUC when its wholesale power agreement with JEA expires in December 2016.</w:t>
      </w:r>
      <w:r w:rsidR="008A1910">
        <w:rPr>
          <w:bCs/>
        </w:rPr>
        <w:t xml:space="preserve">  </w:t>
      </w:r>
      <w:r>
        <w:rPr>
          <w:bCs/>
        </w:rPr>
        <w:t xml:space="preserve">The disagreement rests with OPC’s conclusion that Order </w:t>
      </w:r>
      <w:r w:rsidR="008C0ED8">
        <w:rPr>
          <w:bCs/>
        </w:rPr>
        <w:t xml:space="preserve">No. </w:t>
      </w:r>
      <w:r>
        <w:rPr>
          <w:bCs/>
        </w:rPr>
        <w:t xml:space="preserve">14546 </w:t>
      </w:r>
      <w:r w:rsidR="00877ECF">
        <w:rPr>
          <w:bCs/>
        </w:rPr>
        <w:t xml:space="preserve">prohibits </w:t>
      </w:r>
      <w:r w:rsidR="008C0ED8">
        <w:rPr>
          <w:bCs/>
        </w:rPr>
        <w:t xml:space="preserve">cost recovery until </w:t>
      </w:r>
      <w:r>
        <w:rPr>
          <w:bCs/>
        </w:rPr>
        <w:t xml:space="preserve">cost savings </w:t>
      </w:r>
      <w:r w:rsidR="008C0ED8">
        <w:rPr>
          <w:bCs/>
        </w:rPr>
        <w:t xml:space="preserve">are </w:t>
      </w:r>
      <w:r>
        <w:rPr>
          <w:bCs/>
        </w:rPr>
        <w:t>received by ratepayers</w:t>
      </w:r>
      <w:r w:rsidR="008C0ED8">
        <w:rPr>
          <w:bCs/>
        </w:rPr>
        <w:t>.  We do not read Order No. 14546 that restrictively.</w:t>
      </w:r>
    </w:p>
    <w:p w:rsidR="000E42ED" w:rsidRDefault="008C0ED8" w:rsidP="006472D5">
      <w:pPr>
        <w:jc w:val="both"/>
        <w:rPr>
          <w:bCs/>
        </w:rPr>
      </w:pPr>
      <w:r>
        <w:rPr>
          <w:bCs/>
        </w:rPr>
        <w:t xml:space="preserve"> </w:t>
      </w:r>
      <w:r w:rsidR="000E42ED">
        <w:rPr>
          <w:bCs/>
        </w:rPr>
        <w:t xml:space="preserve"> </w:t>
      </w:r>
    </w:p>
    <w:p w:rsidR="00DC221C" w:rsidRDefault="006472D5" w:rsidP="006472D5">
      <w:pPr>
        <w:pStyle w:val="BodyText"/>
        <w:jc w:val="both"/>
        <w:rPr>
          <w:rFonts w:cstheme="minorHAnsi"/>
        </w:rPr>
      </w:pPr>
      <w:r w:rsidRPr="00D3064E">
        <w:rPr>
          <w:bCs/>
        </w:rPr>
        <w:t xml:space="preserve"> </w:t>
      </w:r>
      <w:r w:rsidR="000E42ED">
        <w:rPr>
          <w:bCs/>
        </w:rPr>
        <w:tab/>
      </w:r>
      <w:r w:rsidR="008C0ED8">
        <w:rPr>
          <w:bCs/>
        </w:rPr>
        <w:t xml:space="preserve">Therefore, we find </w:t>
      </w:r>
      <w:r w:rsidRPr="00D3064E">
        <w:rPr>
          <w:bCs/>
        </w:rPr>
        <w:t xml:space="preserve">that </w:t>
      </w:r>
      <w:r w:rsidR="008C0ED8">
        <w:rPr>
          <w:bCs/>
        </w:rPr>
        <w:t xml:space="preserve">the interconnection with FPL and the </w:t>
      </w:r>
      <w:r w:rsidRPr="00D3064E">
        <w:rPr>
          <w:bCs/>
        </w:rPr>
        <w:t xml:space="preserve">consulting and legal fees associated with the development and enactment of projects designed to reduce fuel rates to FPUC’s customers, costs associated with the development and negotiations of power supply contracts, and costs to consultants engaged in performing due diligence in review and analysis of the Renewable Energy Agreement between FPUC and Rayonier </w:t>
      </w:r>
      <w:r w:rsidR="008C0ED8">
        <w:rPr>
          <w:bCs/>
        </w:rPr>
        <w:t xml:space="preserve">shall </w:t>
      </w:r>
      <w:r w:rsidRPr="00D3064E">
        <w:rPr>
          <w:bCs/>
        </w:rPr>
        <w:t>be recovered through the fuel cost recovery clause.</w:t>
      </w:r>
      <w:r w:rsidR="008C0ED8">
        <w:rPr>
          <w:bCs/>
        </w:rPr>
        <w:t xml:space="preserve">  </w:t>
      </w:r>
      <w:r w:rsidRPr="00D3064E">
        <w:rPr>
          <w:bCs/>
        </w:rPr>
        <w:t xml:space="preserve">Further, </w:t>
      </w:r>
      <w:r w:rsidR="008C0ED8">
        <w:rPr>
          <w:bCs/>
        </w:rPr>
        <w:t>as agreed to by FPUC at hearing, the consultant’s c</w:t>
      </w:r>
      <w:r w:rsidRPr="00D3064E">
        <w:rPr>
          <w:bCs/>
        </w:rPr>
        <w:t xml:space="preserve">osts </w:t>
      </w:r>
      <w:r w:rsidR="008C0ED8">
        <w:rPr>
          <w:bCs/>
        </w:rPr>
        <w:t>for the preparation of</w:t>
      </w:r>
      <w:r w:rsidRPr="00D3064E">
        <w:rPr>
          <w:bCs/>
        </w:rPr>
        <w:t xml:space="preserve"> Commission filings for the consolidation of FPUC’s fuel divisions sh</w:t>
      </w:r>
      <w:r w:rsidR="008C0ED8">
        <w:rPr>
          <w:bCs/>
        </w:rPr>
        <w:t>all</w:t>
      </w:r>
      <w:r w:rsidRPr="00D3064E">
        <w:rPr>
          <w:bCs/>
        </w:rPr>
        <w:t xml:space="preserve"> be removed from its requested costs included in its true-up and projected filings.</w:t>
      </w:r>
      <w:r w:rsidR="008C0ED8">
        <w:rPr>
          <w:bCs/>
        </w:rPr>
        <w:t xml:space="preserve">  </w:t>
      </w:r>
      <w:r w:rsidR="00F5548A">
        <w:rPr>
          <w:bCs/>
        </w:rPr>
        <w:t>In order to facilitate that adjustment, w</w:t>
      </w:r>
      <w:r w:rsidR="008C0ED8">
        <w:rPr>
          <w:bCs/>
        </w:rPr>
        <w:t xml:space="preserve">e </w:t>
      </w:r>
      <w:r w:rsidR="00F5548A">
        <w:rPr>
          <w:bCs/>
        </w:rPr>
        <w:t xml:space="preserve">direct FPUC to file revised true-up and projection schedules </w:t>
      </w:r>
      <w:r w:rsidR="00F5548A">
        <w:rPr>
          <w:bCs/>
        </w:rPr>
        <w:lastRenderedPageBreak/>
        <w:t xml:space="preserve">reflecting removal of the costs associated with the preparation of Commission filings within 20 days of our vote.  </w:t>
      </w:r>
    </w:p>
    <w:p w:rsidR="003759E6" w:rsidRDefault="006F2666" w:rsidP="00E149BA">
      <w:pPr>
        <w:jc w:val="both"/>
        <w:rPr>
          <w:u w:val="single"/>
        </w:rPr>
      </w:pPr>
      <w:r>
        <w:tab/>
      </w:r>
      <w:r w:rsidR="002A3721">
        <w:rPr>
          <w:u w:val="single"/>
        </w:rPr>
        <w:t xml:space="preserve">Final fuel true-up amounts </w:t>
      </w:r>
    </w:p>
    <w:p w:rsidR="002A3721" w:rsidRDefault="002A3721" w:rsidP="00E149BA">
      <w:pPr>
        <w:jc w:val="both"/>
        <w:rPr>
          <w:u w:val="single"/>
        </w:rPr>
      </w:pPr>
    </w:p>
    <w:p w:rsidR="002A3721" w:rsidRDefault="002A3721" w:rsidP="00221C97">
      <w:pPr>
        <w:shd w:val="clear" w:color="auto" w:fill="FFFFFF" w:themeFill="background1"/>
        <w:jc w:val="both"/>
      </w:pPr>
      <w:r>
        <w:tab/>
      </w:r>
      <w:r w:rsidR="00221C97">
        <w:t>FPUC has removed $2,046 in expenses associated with consultant fees from its request for cost recovery</w:t>
      </w:r>
      <w:r w:rsidR="00221C97" w:rsidRPr="005D17E1">
        <w:t xml:space="preserve"> </w:t>
      </w:r>
      <w:r w:rsidR="00221C97">
        <w:t>of the final</w:t>
      </w:r>
      <w:r w:rsidR="00221C97" w:rsidRPr="00AB305C">
        <w:t xml:space="preserve"> true-up amounts for the period Jan</w:t>
      </w:r>
      <w:r w:rsidR="00221C97">
        <w:t>uary 2014 through December 2014.  T</w:t>
      </w:r>
      <w:r w:rsidR="00221C97" w:rsidRPr="00BC7ED6">
        <w:t xml:space="preserve">he </w:t>
      </w:r>
      <w:r w:rsidR="00221C97">
        <w:t xml:space="preserve">expenses were for work performed to restructure FPUC’s Fuel schedules (A-Schedules and E-Schedules), when the Northeast and Northwest Divisions were consolidated. The </w:t>
      </w:r>
      <w:r w:rsidR="00221C97" w:rsidRPr="00BC7ED6">
        <w:t>appropriate final fuel adjustment true-up amount for the period January 2014 through December 2014 is properly reflected in the brief FPUC filed on November 13, 2015.</w:t>
      </w:r>
      <w:r w:rsidR="00221C97">
        <w:t xml:space="preserve"> </w:t>
      </w:r>
      <w:r w:rsidR="00F15D63">
        <w:t xml:space="preserve">Therefore, we find </w:t>
      </w:r>
      <w:r w:rsidR="00221C97">
        <w:t>that t</w:t>
      </w:r>
      <w:r w:rsidR="00221C97" w:rsidRPr="00AB305C">
        <w:t>he appropriate final fuel adjustment true-up amount for the period Jan</w:t>
      </w:r>
      <w:r w:rsidR="00221C97">
        <w:t>uary 2014 through December 2014 is an under-recovery of</w:t>
      </w:r>
      <w:r w:rsidR="00F15D63">
        <w:t xml:space="preserve"> $1,474,307.  </w:t>
      </w:r>
    </w:p>
    <w:p w:rsidR="00F15D63" w:rsidRDefault="00F15D63" w:rsidP="00221C97">
      <w:pPr>
        <w:shd w:val="clear" w:color="auto" w:fill="FFFFFF" w:themeFill="background1"/>
        <w:jc w:val="both"/>
      </w:pPr>
    </w:p>
    <w:p w:rsidR="00F15D63" w:rsidRDefault="00F15D63" w:rsidP="00F15D63">
      <w:pPr>
        <w:jc w:val="both"/>
      </w:pPr>
      <w:r>
        <w:tab/>
        <w:t>FPUC has removed $4,532 in expenses from its request for cost recovery</w:t>
      </w:r>
      <w:r w:rsidRPr="005D17E1">
        <w:t xml:space="preserve"> </w:t>
      </w:r>
      <w:r>
        <w:t>of the final</w:t>
      </w:r>
      <w:r w:rsidRPr="00AB305C">
        <w:t xml:space="preserve"> true-up amounts for the period Jan</w:t>
      </w:r>
      <w:r>
        <w:t>uary 2015 through December 2015.  T</w:t>
      </w:r>
      <w:r w:rsidRPr="00BC7ED6">
        <w:t xml:space="preserve">he </w:t>
      </w:r>
      <w:r>
        <w:t>expenses were for work performed to restructure FPUC’s Fuel schedules (A-Schedules and E-Schedules), when the respective divisions were consolidated.  T</w:t>
      </w:r>
      <w:r w:rsidRPr="008273FB">
        <w:t xml:space="preserve">he appropriate fuel adjustment actual/estimated true-up amount for the period January 2015 through December 2015 </w:t>
      </w:r>
      <w:r>
        <w:t>is</w:t>
      </w:r>
      <w:r w:rsidRPr="008273FB">
        <w:t xml:space="preserve"> properly reflected in the brief FPUC filed on November 13, 2015.</w:t>
      </w:r>
      <w:r>
        <w:t xml:space="preserve">  Therefore, we find that the appropriate </w:t>
      </w:r>
      <w:r w:rsidRPr="00AB305C">
        <w:t xml:space="preserve">fuel adjustment </w:t>
      </w:r>
      <w:r>
        <w:t xml:space="preserve">actual/estimated </w:t>
      </w:r>
      <w:r w:rsidRPr="00AB305C">
        <w:t>true-up amount for the period Jan</w:t>
      </w:r>
      <w:r>
        <w:t>uary 2015 through December 2015 is an under-recovery of $107,841.</w:t>
      </w:r>
    </w:p>
    <w:p w:rsidR="00F15D63" w:rsidRDefault="00F15D63" w:rsidP="00221C97">
      <w:pPr>
        <w:shd w:val="clear" w:color="auto" w:fill="FFFFFF" w:themeFill="background1"/>
        <w:jc w:val="both"/>
      </w:pPr>
    </w:p>
    <w:p w:rsidR="00F15D63" w:rsidRDefault="00F15D63" w:rsidP="00F15D63">
      <w:pPr>
        <w:jc w:val="both"/>
      </w:pPr>
      <w:r>
        <w:tab/>
        <w:t>FPUC has removed $6,578 from its request for cost recovery</w:t>
      </w:r>
      <w:r w:rsidRPr="005D17E1">
        <w:t xml:space="preserve"> </w:t>
      </w:r>
      <w:r>
        <w:t>of 2014 and 2015</w:t>
      </w:r>
      <w:r w:rsidRPr="00AB305C">
        <w:t xml:space="preserve"> true-up amounts</w:t>
      </w:r>
      <w:r>
        <w:t>.</w:t>
      </w:r>
      <w:r w:rsidR="008A1910">
        <w:t xml:space="preserve">  </w:t>
      </w:r>
      <w:r>
        <w:t>This amount is t</w:t>
      </w:r>
      <w:r w:rsidRPr="009D630A">
        <w:t>he</w:t>
      </w:r>
      <w:r w:rsidRPr="009D630A">
        <w:rPr>
          <w:bCs/>
        </w:rPr>
        <w:t xml:space="preserve"> sum of the expense amounts referenced </w:t>
      </w:r>
      <w:r>
        <w:rPr>
          <w:bCs/>
        </w:rPr>
        <w:t>above and</w:t>
      </w:r>
      <w:r w:rsidRPr="009D630A">
        <w:rPr>
          <w:bCs/>
        </w:rPr>
        <w:t xml:space="preserve"> </w:t>
      </w:r>
      <w:r w:rsidRPr="009D630A">
        <w:t>properly reflected in the brief FPUC filed on November 13, 2015.</w:t>
      </w:r>
      <w:r>
        <w:t xml:space="preserve">  Therefore, we find that the appropriate total </w:t>
      </w:r>
      <w:r w:rsidRPr="00AB305C">
        <w:t>fuel adjustment true-up amo</w:t>
      </w:r>
      <w:r>
        <w:t>unt to be collected from January 2016 through December 2016 is an under-recovery of $1,582,148.</w:t>
      </w:r>
    </w:p>
    <w:p w:rsidR="00F15D63" w:rsidRDefault="00F15D63" w:rsidP="00221C97">
      <w:pPr>
        <w:shd w:val="clear" w:color="auto" w:fill="FFFFFF" w:themeFill="background1"/>
        <w:jc w:val="both"/>
      </w:pPr>
    </w:p>
    <w:p w:rsidR="00BE7960" w:rsidRDefault="00BE7960" w:rsidP="00BE7960">
      <w:pPr>
        <w:jc w:val="both"/>
      </w:pPr>
      <w:r>
        <w:tab/>
        <w:t>Consistent with our decision including the FPL interconnection and legal and consulting fees, the appropriate</w:t>
      </w:r>
      <w:r w:rsidRPr="00AB305C">
        <w:t xml:space="preserve"> </w:t>
      </w:r>
      <w:r>
        <w:t xml:space="preserve">projected total fuel and purchased power cost recovery amounts </w:t>
      </w:r>
      <w:r w:rsidR="006F4FE9">
        <w:t xml:space="preserve">for FPUC </w:t>
      </w:r>
      <w:r>
        <w:t>for the period January 2016 through December 2016 is $6</w:t>
      </w:r>
      <w:r w:rsidR="000B1E79">
        <w:t>7,488,997</w:t>
      </w:r>
      <w:r>
        <w:t>.</w:t>
      </w:r>
    </w:p>
    <w:p w:rsidR="00BE7960" w:rsidRDefault="00BE7960" w:rsidP="00BE7960">
      <w:pPr>
        <w:jc w:val="both"/>
      </w:pPr>
    </w:p>
    <w:p w:rsidR="008251E1" w:rsidRDefault="00BE7960" w:rsidP="008251E1">
      <w:pPr>
        <w:jc w:val="both"/>
      </w:pPr>
      <w:r>
        <w:tab/>
      </w:r>
      <w:r w:rsidR="008251E1">
        <w:t>FPUC has removed expenses associated with the preparation of Commission filings from its request for cost recovery</w:t>
      </w:r>
      <w:r w:rsidR="008251E1" w:rsidRPr="005D17E1">
        <w:t xml:space="preserve"> </w:t>
      </w:r>
      <w:r w:rsidR="008251E1">
        <w:t>of 2014 and 2015</w:t>
      </w:r>
      <w:r w:rsidR="008251E1" w:rsidRPr="00AB305C">
        <w:t xml:space="preserve"> true-up amounts</w:t>
      </w:r>
      <w:r w:rsidR="008251E1">
        <w:t xml:space="preserve">.  Therefore, we find that the appropriate </w:t>
      </w:r>
      <w:r w:rsidR="008251E1" w:rsidRPr="008D4695">
        <w:t>projected net fuel and purchased power cost recovery and Generating Performance Incentive amounts to be included in the recovery factor for the period January 2016 through December 2016</w:t>
      </w:r>
      <w:r w:rsidR="008251E1">
        <w:t xml:space="preserve"> is $68,971,145.</w:t>
      </w:r>
    </w:p>
    <w:p w:rsidR="00BE7960" w:rsidRDefault="00BE7960" w:rsidP="00BE7960">
      <w:pPr>
        <w:jc w:val="both"/>
      </w:pPr>
    </w:p>
    <w:p w:rsidR="00BE7960" w:rsidRDefault="008251E1" w:rsidP="00221C97">
      <w:pPr>
        <w:shd w:val="clear" w:color="auto" w:fill="FFFFFF" w:themeFill="background1"/>
        <w:jc w:val="both"/>
      </w:pPr>
      <w:r>
        <w:tab/>
        <w:t xml:space="preserve">Based on previous adjustments made we find that the appropriate levelized fuel cost recovery factor </w:t>
      </w:r>
      <w:r w:rsidR="006F4FE9">
        <w:t xml:space="preserve">for FPUC </w:t>
      </w:r>
      <w:r>
        <w:t>for the period January 2016 through December 20</w:t>
      </w:r>
      <w:r w:rsidRPr="00B304D1">
        <w:t xml:space="preserve">16 is </w:t>
      </w:r>
      <w:r>
        <w:t>6.692 cents</w:t>
      </w:r>
      <w:r w:rsidRPr="00B304D1">
        <w:t xml:space="preserve"> p</w:t>
      </w:r>
      <w:r>
        <w:t>er kilowatt hour.</w:t>
      </w:r>
    </w:p>
    <w:p w:rsidR="006C3BE2" w:rsidRDefault="006C3BE2">
      <w:r>
        <w:br w:type="page"/>
      </w:r>
    </w:p>
    <w:p w:rsidR="002F2637" w:rsidRDefault="008251E1" w:rsidP="006C3BE2">
      <w:pPr>
        <w:jc w:val="both"/>
      </w:pPr>
      <w:r>
        <w:lastRenderedPageBreak/>
        <w:tab/>
      </w:r>
      <w:r w:rsidR="006C3BE2">
        <w:t>Based on the previous adjustments made</w:t>
      </w:r>
      <w:r w:rsidR="006F2666">
        <w:t>,</w:t>
      </w:r>
      <w:r w:rsidR="006C3BE2">
        <w:t xml:space="preserve"> we find that the appropriate fuel cost recovery factors for </w:t>
      </w:r>
      <w:r w:rsidR="006F4FE9">
        <w:t xml:space="preserve">FPUC for </w:t>
      </w:r>
      <w:r w:rsidR="006C3BE2">
        <w:t xml:space="preserve">each rate class/delivery voltage level class adjusted for line losses is as stated below: </w:t>
      </w:r>
    </w:p>
    <w:p w:rsidR="002F2637" w:rsidRDefault="002F2637" w:rsidP="006C3BE2">
      <w:pPr>
        <w:jc w:val="both"/>
      </w:pPr>
    </w:p>
    <w:p w:rsidR="006C3BE2" w:rsidRDefault="002F2637" w:rsidP="006C3BE2">
      <w:pPr>
        <w:jc w:val="both"/>
      </w:pPr>
      <w:r>
        <w:t xml:space="preserve">                    Rate Schedule                                                           Adjustment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C3BE2" w:rsidRPr="00CB0192" w:rsidTr="007F2B0B">
        <w:tc>
          <w:tcPr>
            <w:tcW w:w="4428" w:type="dxa"/>
          </w:tcPr>
          <w:p w:rsidR="006C3BE2" w:rsidRPr="00CB0192" w:rsidRDefault="006C3BE2" w:rsidP="007F2B0B">
            <w:pPr>
              <w:spacing w:line="480" w:lineRule="auto"/>
              <w:jc w:val="both"/>
            </w:pPr>
            <w:r w:rsidRPr="00CB0192">
              <w:t>RS</w:t>
            </w:r>
          </w:p>
        </w:tc>
        <w:tc>
          <w:tcPr>
            <w:tcW w:w="4428" w:type="dxa"/>
          </w:tcPr>
          <w:p w:rsidR="006C3BE2" w:rsidRPr="00CB0192" w:rsidRDefault="006C3BE2" w:rsidP="007F2B0B">
            <w:pPr>
              <w:spacing w:line="480" w:lineRule="auto"/>
              <w:jc w:val="both"/>
            </w:pPr>
            <w:r w:rsidRPr="00CB0192">
              <w:t>$0.10</w:t>
            </w:r>
            <w:r>
              <w:t>619</w:t>
            </w:r>
          </w:p>
        </w:tc>
      </w:tr>
      <w:tr w:rsidR="006C3BE2" w:rsidRPr="00CB0192" w:rsidTr="007F2B0B">
        <w:tc>
          <w:tcPr>
            <w:tcW w:w="4428" w:type="dxa"/>
          </w:tcPr>
          <w:p w:rsidR="006C3BE2" w:rsidRPr="00CB0192" w:rsidRDefault="006C3BE2" w:rsidP="007F2B0B">
            <w:pPr>
              <w:spacing w:line="480" w:lineRule="auto"/>
              <w:jc w:val="both"/>
            </w:pPr>
            <w:r w:rsidRPr="00CB0192">
              <w:t>GS</w:t>
            </w:r>
          </w:p>
        </w:tc>
        <w:tc>
          <w:tcPr>
            <w:tcW w:w="4428" w:type="dxa"/>
          </w:tcPr>
          <w:p w:rsidR="006C3BE2" w:rsidRPr="007D1FE6" w:rsidRDefault="006C3BE2" w:rsidP="007F2B0B">
            <w:pPr>
              <w:spacing w:line="480" w:lineRule="auto"/>
              <w:jc w:val="both"/>
            </w:pPr>
            <w:r>
              <w:t>$0.10169</w:t>
            </w:r>
          </w:p>
        </w:tc>
      </w:tr>
      <w:tr w:rsidR="006C3BE2" w:rsidRPr="00CB0192" w:rsidTr="007F2B0B">
        <w:tc>
          <w:tcPr>
            <w:tcW w:w="4428" w:type="dxa"/>
          </w:tcPr>
          <w:p w:rsidR="006C3BE2" w:rsidRPr="00CB0192" w:rsidRDefault="006C3BE2" w:rsidP="007F2B0B">
            <w:pPr>
              <w:spacing w:line="480" w:lineRule="auto"/>
              <w:jc w:val="both"/>
            </w:pPr>
            <w:r w:rsidRPr="00CB0192">
              <w:t>GSD</w:t>
            </w:r>
          </w:p>
        </w:tc>
        <w:tc>
          <w:tcPr>
            <w:tcW w:w="4428" w:type="dxa"/>
          </w:tcPr>
          <w:p w:rsidR="006C3BE2" w:rsidRPr="007D1FE6" w:rsidRDefault="006C3BE2" w:rsidP="007F2B0B">
            <w:pPr>
              <w:spacing w:line="480" w:lineRule="auto"/>
              <w:jc w:val="both"/>
            </w:pPr>
            <w:r>
              <w:t>$0.09709</w:t>
            </w:r>
          </w:p>
        </w:tc>
      </w:tr>
      <w:tr w:rsidR="006C3BE2" w:rsidRPr="00CB0192" w:rsidTr="007F2B0B">
        <w:tc>
          <w:tcPr>
            <w:tcW w:w="4428" w:type="dxa"/>
          </w:tcPr>
          <w:p w:rsidR="006C3BE2" w:rsidRPr="00CB0192" w:rsidRDefault="006C3BE2" w:rsidP="007F2B0B">
            <w:pPr>
              <w:spacing w:line="480" w:lineRule="auto"/>
              <w:jc w:val="both"/>
            </w:pPr>
            <w:r w:rsidRPr="00CB0192">
              <w:t>GSLD</w:t>
            </w:r>
          </w:p>
        </w:tc>
        <w:tc>
          <w:tcPr>
            <w:tcW w:w="4428" w:type="dxa"/>
          </w:tcPr>
          <w:p w:rsidR="006C3BE2" w:rsidRPr="007D1FE6" w:rsidRDefault="006C3BE2" w:rsidP="007F2B0B">
            <w:pPr>
              <w:spacing w:line="480" w:lineRule="auto"/>
              <w:jc w:val="both"/>
            </w:pPr>
            <w:r>
              <w:t>$0.09407</w:t>
            </w:r>
          </w:p>
        </w:tc>
      </w:tr>
      <w:tr w:rsidR="006C3BE2" w:rsidRPr="00CB0192" w:rsidTr="007F2B0B">
        <w:tc>
          <w:tcPr>
            <w:tcW w:w="4428" w:type="dxa"/>
          </w:tcPr>
          <w:p w:rsidR="006C3BE2" w:rsidRPr="00CB0192" w:rsidRDefault="006C3BE2" w:rsidP="007F2B0B">
            <w:pPr>
              <w:spacing w:line="480" w:lineRule="auto"/>
              <w:jc w:val="both"/>
            </w:pPr>
            <w:r>
              <w:t>LS</w:t>
            </w:r>
          </w:p>
        </w:tc>
        <w:tc>
          <w:tcPr>
            <w:tcW w:w="4428" w:type="dxa"/>
          </w:tcPr>
          <w:p w:rsidR="006C3BE2" w:rsidRPr="007D1FE6" w:rsidRDefault="006C3BE2" w:rsidP="007F2B0B">
            <w:pPr>
              <w:spacing w:line="480" w:lineRule="auto"/>
              <w:jc w:val="both"/>
            </w:pPr>
            <w:r>
              <w:t>$0.07211</w:t>
            </w:r>
          </w:p>
        </w:tc>
      </w:tr>
      <w:tr w:rsidR="006C3BE2" w:rsidRPr="00CB0192" w:rsidTr="007F2B0B">
        <w:tc>
          <w:tcPr>
            <w:tcW w:w="4428" w:type="dxa"/>
          </w:tcPr>
          <w:p w:rsidR="006C3BE2" w:rsidRPr="00CB0192" w:rsidRDefault="006C3BE2" w:rsidP="007F2B0B">
            <w:pPr>
              <w:spacing w:line="480" w:lineRule="auto"/>
              <w:jc w:val="both"/>
            </w:pPr>
            <w:r w:rsidRPr="00CB0192">
              <w:t>Step rate for RS</w:t>
            </w:r>
          </w:p>
        </w:tc>
        <w:tc>
          <w:tcPr>
            <w:tcW w:w="4428" w:type="dxa"/>
          </w:tcPr>
          <w:p w:rsidR="006C3BE2" w:rsidRPr="007D1FE6" w:rsidRDefault="006C3BE2" w:rsidP="007F2B0B">
            <w:pPr>
              <w:spacing w:line="480" w:lineRule="auto"/>
              <w:jc w:val="both"/>
            </w:pPr>
          </w:p>
        </w:tc>
      </w:tr>
      <w:tr w:rsidR="006C3BE2" w:rsidRPr="00CB0192" w:rsidTr="007F2B0B">
        <w:tc>
          <w:tcPr>
            <w:tcW w:w="4428" w:type="dxa"/>
          </w:tcPr>
          <w:p w:rsidR="006C3BE2" w:rsidRPr="00CB0192" w:rsidRDefault="006C3BE2" w:rsidP="007F2B0B">
            <w:pPr>
              <w:spacing w:line="480" w:lineRule="auto"/>
              <w:jc w:val="both"/>
            </w:pPr>
            <w:r>
              <w:t>RS Sales</w:t>
            </w:r>
          </w:p>
        </w:tc>
        <w:tc>
          <w:tcPr>
            <w:tcW w:w="4428" w:type="dxa"/>
          </w:tcPr>
          <w:p w:rsidR="006C3BE2" w:rsidRPr="007D1FE6" w:rsidRDefault="006C3BE2" w:rsidP="007F2B0B">
            <w:pPr>
              <w:spacing w:line="480" w:lineRule="auto"/>
              <w:jc w:val="both"/>
            </w:pPr>
            <w:r>
              <w:t>$0.10619</w:t>
            </w:r>
          </w:p>
        </w:tc>
      </w:tr>
      <w:tr w:rsidR="006C3BE2" w:rsidRPr="00CB0192" w:rsidTr="007F2B0B">
        <w:tc>
          <w:tcPr>
            <w:tcW w:w="4428" w:type="dxa"/>
          </w:tcPr>
          <w:p w:rsidR="006C3BE2" w:rsidRPr="00CB0192" w:rsidRDefault="006C3BE2" w:rsidP="007F2B0B">
            <w:pPr>
              <w:spacing w:line="480" w:lineRule="auto"/>
              <w:jc w:val="both"/>
            </w:pPr>
            <w:r w:rsidRPr="00CB0192">
              <w:t>RS with less than 1,000 kWh/month</w:t>
            </w:r>
          </w:p>
        </w:tc>
        <w:tc>
          <w:tcPr>
            <w:tcW w:w="4428" w:type="dxa"/>
          </w:tcPr>
          <w:p w:rsidR="006C3BE2" w:rsidRPr="007D1FE6" w:rsidRDefault="006C3BE2" w:rsidP="007F2B0B">
            <w:pPr>
              <w:spacing w:line="480" w:lineRule="auto"/>
              <w:jc w:val="both"/>
            </w:pPr>
            <w:r>
              <w:t>$0.10188</w:t>
            </w:r>
          </w:p>
        </w:tc>
      </w:tr>
      <w:tr w:rsidR="006C3BE2" w:rsidRPr="00CB0192" w:rsidTr="007F2B0B">
        <w:tc>
          <w:tcPr>
            <w:tcW w:w="4428" w:type="dxa"/>
          </w:tcPr>
          <w:p w:rsidR="006C3BE2" w:rsidRPr="00CB0192" w:rsidRDefault="006C3BE2" w:rsidP="007F2B0B">
            <w:pPr>
              <w:spacing w:line="480" w:lineRule="auto"/>
              <w:jc w:val="both"/>
            </w:pPr>
            <w:r w:rsidRPr="00CB0192">
              <w:t>RS with more than 1,000 kWh/month</w:t>
            </w:r>
          </w:p>
        </w:tc>
        <w:tc>
          <w:tcPr>
            <w:tcW w:w="4428" w:type="dxa"/>
          </w:tcPr>
          <w:p w:rsidR="006C3BE2" w:rsidRPr="007D1FE6" w:rsidRDefault="006C3BE2" w:rsidP="007F2B0B">
            <w:pPr>
              <w:spacing w:line="480" w:lineRule="auto"/>
              <w:jc w:val="both"/>
            </w:pPr>
            <w:r>
              <w:t>$0.11438</w:t>
            </w:r>
          </w:p>
        </w:tc>
      </w:tr>
    </w:tbl>
    <w:p w:rsidR="006C3BE2" w:rsidRDefault="006C3BE2" w:rsidP="006C3BE2">
      <w:pPr>
        <w:spacing w:line="480" w:lineRule="auto"/>
        <w:rPr>
          <w:b/>
          <w:u w:val="single"/>
        </w:rPr>
      </w:pPr>
    </w:p>
    <w:p w:rsidR="006C3BE2" w:rsidRDefault="006C3BE2" w:rsidP="006F4FE9">
      <w:r>
        <w:t>T</w:t>
      </w:r>
      <w:r w:rsidRPr="009A110F">
        <w:t xml:space="preserve">he appropriate adjusted Time of Use (TOU) and Interruptible rates for the Northwest Division are: </w:t>
      </w:r>
    </w:p>
    <w:p w:rsidR="002F2637" w:rsidRPr="009A110F" w:rsidRDefault="002F2637" w:rsidP="002F2637">
      <w:pPr>
        <w:jc w:val="center"/>
      </w:pPr>
      <w:r w:rsidRPr="002F2637">
        <w:t>Time of Use/Interruptible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3297"/>
        <w:gridCol w:w="2937"/>
      </w:tblGrid>
      <w:tr w:rsidR="006C3BE2" w:rsidTr="007F2B0B">
        <w:trPr>
          <w:tblHeader/>
        </w:trPr>
        <w:tc>
          <w:tcPr>
            <w:tcW w:w="3342" w:type="dxa"/>
          </w:tcPr>
          <w:p w:rsidR="006C3BE2" w:rsidRPr="002F2637" w:rsidRDefault="006C3BE2" w:rsidP="007F2B0B">
            <w:pPr>
              <w:spacing w:line="480" w:lineRule="auto"/>
              <w:jc w:val="both"/>
            </w:pPr>
            <w:r w:rsidRPr="002F2637">
              <w:t>Rate Schedule</w:t>
            </w:r>
          </w:p>
        </w:tc>
        <w:tc>
          <w:tcPr>
            <w:tcW w:w="3297" w:type="dxa"/>
          </w:tcPr>
          <w:p w:rsidR="006C3BE2" w:rsidRPr="002F2637" w:rsidRDefault="006C3BE2" w:rsidP="007F2B0B">
            <w:pPr>
              <w:spacing w:line="480" w:lineRule="auto"/>
              <w:jc w:val="both"/>
            </w:pPr>
            <w:r w:rsidRPr="002F2637">
              <w:t>Adjustment On Peak</w:t>
            </w:r>
          </w:p>
        </w:tc>
        <w:tc>
          <w:tcPr>
            <w:tcW w:w="2937" w:type="dxa"/>
          </w:tcPr>
          <w:p w:rsidR="006C3BE2" w:rsidRPr="002F2637" w:rsidRDefault="006C3BE2" w:rsidP="007F2B0B">
            <w:pPr>
              <w:spacing w:line="480" w:lineRule="auto"/>
              <w:jc w:val="both"/>
            </w:pPr>
            <w:r w:rsidRPr="002F2637">
              <w:t>Adjustment Off Peak</w:t>
            </w:r>
          </w:p>
        </w:tc>
      </w:tr>
      <w:tr w:rsidR="006C3BE2" w:rsidRPr="009F3C62" w:rsidTr="007F2B0B">
        <w:tc>
          <w:tcPr>
            <w:tcW w:w="3342" w:type="dxa"/>
          </w:tcPr>
          <w:p w:rsidR="006C3BE2" w:rsidRPr="009F3C62" w:rsidRDefault="006C3BE2" w:rsidP="007F2B0B">
            <w:pPr>
              <w:spacing w:line="480" w:lineRule="auto"/>
              <w:jc w:val="both"/>
            </w:pPr>
            <w:r w:rsidRPr="009F3C62">
              <w:t>RS</w:t>
            </w:r>
          </w:p>
        </w:tc>
        <w:tc>
          <w:tcPr>
            <w:tcW w:w="3297" w:type="dxa"/>
          </w:tcPr>
          <w:p w:rsidR="006C3BE2" w:rsidRPr="009F3C62" w:rsidRDefault="006C3BE2" w:rsidP="007F2B0B">
            <w:pPr>
              <w:spacing w:line="480" w:lineRule="auto"/>
              <w:jc w:val="both"/>
            </w:pPr>
            <w:r w:rsidRPr="009F3C62">
              <w:t>$0.18</w:t>
            </w:r>
            <w:r>
              <w:t>588</w:t>
            </w:r>
          </w:p>
        </w:tc>
        <w:tc>
          <w:tcPr>
            <w:tcW w:w="2937" w:type="dxa"/>
          </w:tcPr>
          <w:p w:rsidR="006C3BE2" w:rsidRPr="009F3C62" w:rsidRDefault="006C3BE2" w:rsidP="007F2B0B">
            <w:pPr>
              <w:spacing w:line="480" w:lineRule="auto"/>
              <w:jc w:val="both"/>
            </w:pPr>
            <w:r w:rsidRPr="009F3C62">
              <w:t>$0.0</w:t>
            </w:r>
            <w:r>
              <w:t>6288</w:t>
            </w:r>
          </w:p>
        </w:tc>
      </w:tr>
      <w:tr w:rsidR="006C3BE2" w:rsidRPr="009F3C62" w:rsidTr="007F2B0B">
        <w:tc>
          <w:tcPr>
            <w:tcW w:w="3342" w:type="dxa"/>
          </w:tcPr>
          <w:p w:rsidR="006C3BE2" w:rsidRPr="009F3C62" w:rsidRDefault="006C3BE2" w:rsidP="007F2B0B">
            <w:pPr>
              <w:spacing w:line="480" w:lineRule="auto"/>
              <w:jc w:val="both"/>
            </w:pPr>
            <w:r w:rsidRPr="009F3C62">
              <w:t>GS</w:t>
            </w:r>
          </w:p>
        </w:tc>
        <w:tc>
          <w:tcPr>
            <w:tcW w:w="3297" w:type="dxa"/>
          </w:tcPr>
          <w:p w:rsidR="006C3BE2" w:rsidRPr="009F3C62" w:rsidRDefault="006C3BE2" w:rsidP="007F2B0B">
            <w:pPr>
              <w:spacing w:line="480" w:lineRule="auto"/>
              <w:jc w:val="both"/>
            </w:pPr>
            <w:r w:rsidRPr="009F3C62">
              <w:t>$0.1</w:t>
            </w:r>
            <w:r>
              <w:t>4169</w:t>
            </w:r>
          </w:p>
        </w:tc>
        <w:tc>
          <w:tcPr>
            <w:tcW w:w="2937" w:type="dxa"/>
          </w:tcPr>
          <w:p w:rsidR="006C3BE2" w:rsidRPr="009F3C62" w:rsidRDefault="006C3BE2" w:rsidP="007F2B0B">
            <w:pPr>
              <w:spacing w:line="480" w:lineRule="auto"/>
              <w:jc w:val="both"/>
            </w:pPr>
            <w:r w:rsidRPr="009F3C62">
              <w:t>$0.0</w:t>
            </w:r>
            <w:r>
              <w:t>5169</w:t>
            </w:r>
          </w:p>
        </w:tc>
      </w:tr>
      <w:tr w:rsidR="006C3BE2" w:rsidRPr="009F3C62" w:rsidTr="007F2B0B">
        <w:tc>
          <w:tcPr>
            <w:tcW w:w="3342" w:type="dxa"/>
          </w:tcPr>
          <w:p w:rsidR="006C3BE2" w:rsidRPr="009F3C62" w:rsidRDefault="006C3BE2" w:rsidP="007F2B0B">
            <w:pPr>
              <w:spacing w:line="480" w:lineRule="auto"/>
              <w:jc w:val="both"/>
            </w:pPr>
            <w:r w:rsidRPr="009F3C62">
              <w:t>GSD</w:t>
            </w:r>
          </w:p>
        </w:tc>
        <w:tc>
          <w:tcPr>
            <w:tcW w:w="3297" w:type="dxa"/>
          </w:tcPr>
          <w:p w:rsidR="006C3BE2" w:rsidRPr="009F3C62" w:rsidRDefault="006C3BE2" w:rsidP="007F2B0B">
            <w:pPr>
              <w:spacing w:line="480" w:lineRule="auto"/>
              <w:jc w:val="both"/>
            </w:pPr>
            <w:r w:rsidRPr="009F3C62">
              <w:t>$0.13</w:t>
            </w:r>
            <w:r>
              <w:t>709</w:t>
            </w:r>
          </w:p>
        </w:tc>
        <w:tc>
          <w:tcPr>
            <w:tcW w:w="2937" w:type="dxa"/>
          </w:tcPr>
          <w:p w:rsidR="006C3BE2" w:rsidRPr="009F3C62" w:rsidRDefault="006C3BE2" w:rsidP="007F2B0B">
            <w:pPr>
              <w:spacing w:line="480" w:lineRule="auto"/>
              <w:jc w:val="both"/>
            </w:pPr>
            <w:r w:rsidRPr="009F3C62">
              <w:t>$0.06</w:t>
            </w:r>
            <w:r>
              <w:t>459</w:t>
            </w:r>
          </w:p>
        </w:tc>
      </w:tr>
      <w:tr w:rsidR="006C3BE2" w:rsidRPr="009F3C62" w:rsidTr="007F2B0B">
        <w:tc>
          <w:tcPr>
            <w:tcW w:w="3342" w:type="dxa"/>
          </w:tcPr>
          <w:p w:rsidR="006C3BE2" w:rsidRPr="009F3C62" w:rsidRDefault="006C3BE2" w:rsidP="007F2B0B">
            <w:pPr>
              <w:spacing w:line="480" w:lineRule="auto"/>
              <w:jc w:val="both"/>
            </w:pPr>
            <w:r w:rsidRPr="009F3C62">
              <w:t>GSLD</w:t>
            </w:r>
          </w:p>
        </w:tc>
        <w:tc>
          <w:tcPr>
            <w:tcW w:w="3297" w:type="dxa"/>
          </w:tcPr>
          <w:p w:rsidR="006C3BE2" w:rsidRPr="009F3C62" w:rsidRDefault="006C3BE2" w:rsidP="007F2B0B">
            <w:pPr>
              <w:spacing w:line="480" w:lineRule="auto"/>
              <w:jc w:val="both"/>
            </w:pPr>
            <w:r w:rsidRPr="009F3C62">
              <w:t>$0.1</w:t>
            </w:r>
            <w:r>
              <w:t>5407</w:t>
            </w:r>
          </w:p>
        </w:tc>
        <w:tc>
          <w:tcPr>
            <w:tcW w:w="2937" w:type="dxa"/>
          </w:tcPr>
          <w:p w:rsidR="006C3BE2" w:rsidRPr="009F3C62" w:rsidRDefault="006C3BE2" w:rsidP="007F2B0B">
            <w:pPr>
              <w:spacing w:line="480" w:lineRule="auto"/>
              <w:jc w:val="both"/>
            </w:pPr>
            <w:r w:rsidRPr="009F3C62">
              <w:t>$0.0</w:t>
            </w:r>
            <w:r>
              <w:t>6407</w:t>
            </w:r>
          </w:p>
        </w:tc>
      </w:tr>
      <w:tr w:rsidR="006C3BE2" w:rsidTr="007F2B0B">
        <w:tc>
          <w:tcPr>
            <w:tcW w:w="3342" w:type="dxa"/>
          </w:tcPr>
          <w:p w:rsidR="006C3BE2" w:rsidRPr="009F3C62" w:rsidRDefault="006C3BE2" w:rsidP="007F2B0B">
            <w:pPr>
              <w:spacing w:line="480" w:lineRule="auto"/>
              <w:jc w:val="both"/>
            </w:pPr>
            <w:r w:rsidRPr="009F3C62">
              <w:t>Interruptible</w:t>
            </w:r>
          </w:p>
        </w:tc>
        <w:tc>
          <w:tcPr>
            <w:tcW w:w="3297" w:type="dxa"/>
          </w:tcPr>
          <w:p w:rsidR="006C3BE2" w:rsidRPr="009F3C62" w:rsidRDefault="006C3BE2" w:rsidP="007F2B0B">
            <w:pPr>
              <w:spacing w:line="480" w:lineRule="auto"/>
              <w:jc w:val="both"/>
            </w:pPr>
            <w:r w:rsidRPr="009F3C62">
              <w:t>$0.07</w:t>
            </w:r>
            <w:r>
              <w:t>907</w:t>
            </w:r>
          </w:p>
        </w:tc>
        <w:tc>
          <w:tcPr>
            <w:tcW w:w="2937" w:type="dxa"/>
          </w:tcPr>
          <w:p w:rsidR="006C3BE2" w:rsidRPr="009F3C62" w:rsidRDefault="006C3BE2" w:rsidP="007F2B0B">
            <w:pPr>
              <w:spacing w:line="480" w:lineRule="auto"/>
              <w:jc w:val="both"/>
            </w:pPr>
            <w:r w:rsidRPr="009F3C62">
              <w:t>$0.0</w:t>
            </w:r>
            <w:r>
              <w:t>9404</w:t>
            </w:r>
          </w:p>
        </w:tc>
      </w:tr>
    </w:tbl>
    <w:p w:rsidR="000D403D" w:rsidRDefault="000D403D" w:rsidP="00221C97">
      <w:pPr>
        <w:shd w:val="clear" w:color="auto" w:fill="FFFFFF" w:themeFill="background1"/>
        <w:jc w:val="both"/>
      </w:pPr>
    </w:p>
    <w:p w:rsidR="000D403D" w:rsidRDefault="000D403D">
      <w:r>
        <w:br w:type="page"/>
      </w:r>
    </w:p>
    <w:p w:rsidR="006C3BE2" w:rsidRDefault="000D403D" w:rsidP="000D403D">
      <w:pPr>
        <w:shd w:val="clear" w:color="auto" w:fill="FFFFFF" w:themeFill="background1"/>
        <w:jc w:val="center"/>
        <w:rPr>
          <w:u w:val="single"/>
        </w:rPr>
      </w:pPr>
      <w:r>
        <w:rPr>
          <w:u w:val="single"/>
        </w:rPr>
        <w:lastRenderedPageBreak/>
        <w:t>Effective Date</w:t>
      </w:r>
    </w:p>
    <w:p w:rsidR="000D403D" w:rsidRDefault="000D403D" w:rsidP="000D403D">
      <w:pPr>
        <w:shd w:val="clear" w:color="auto" w:fill="FFFFFF" w:themeFill="background1"/>
        <w:jc w:val="center"/>
        <w:rPr>
          <w:u w:val="single"/>
        </w:rPr>
      </w:pPr>
    </w:p>
    <w:p w:rsidR="00D52BDB" w:rsidRDefault="000D403D" w:rsidP="00D52BDB">
      <w:pPr>
        <w:jc w:val="both"/>
      </w:pPr>
      <w:r>
        <w:tab/>
      </w:r>
      <w:r w:rsidR="00D52BDB">
        <w:t>Per stipulation of</w:t>
      </w:r>
      <w:r w:rsidR="00D25C7E">
        <w:t xml:space="preserve"> </w:t>
      </w:r>
      <w:r w:rsidR="00D52BDB">
        <w:t>the parties</w:t>
      </w:r>
      <w:r w:rsidR="006F2666">
        <w:t>,</w:t>
      </w:r>
      <w:r w:rsidR="00D52BDB">
        <w:t xml:space="preserve"> the new factors sh</w:t>
      </w:r>
      <w:r w:rsidR="006F2666">
        <w:t>all</w:t>
      </w:r>
      <w:r w:rsidR="00D52BDB">
        <w:t xml:space="preserve"> be effective beginning with the first billing cycle for January 2016 through the last billing cycle for December 2016.  The first billing cycle may start before January 1, 2016, and the last cycle may be read after December 31, 2016, so that each customer is billed for twelve months regardless of when the recovery factors became effective.  The new factors shall continue in effect until modified by </w:t>
      </w:r>
      <w:r w:rsidR="00D25C7E">
        <w:t>us</w:t>
      </w:r>
      <w:r w:rsidR="00D52BDB">
        <w:t>.</w:t>
      </w:r>
    </w:p>
    <w:p w:rsidR="00D52BDB" w:rsidRDefault="00D52BDB" w:rsidP="00D52BDB">
      <w:pPr>
        <w:jc w:val="both"/>
      </w:pPr>
    </w:p>
    <w:p w:rsidR="000D403D" w:rsidRDefault="00D52BDB" w:rsidP="00D52BDB">
      <w:pPr>
        <w:jc w:val="both"/>
      </w:pPr>
      <w:r>
        <w:tab/>
      </w:r>
      <w:r w:rsidR="00D25C7E">
        <w:t>Based on the foregoing, it is</w:t>
      </w:r>
    </w:p>
    <w:p w:rsidR="00D25C7E" w:rsidRDefault="00D25C7E" w:rsidP="00D52BDB">
      <w:pPr>
        <w:jc w:val="both"/>
      </w:pPr>
    </w:p>
    <w:p w:rsidR="00D25C7E" w:rsidRDefault="00D25C7E" w:rsidP="00D52BDB">
      <w:pPr>
        <w:jc w:val="both"/>
      </w:pPr>
      <w:r>
        <w:tab/>
        <w:t>ORDERED by the Florida Public Service Commission that the findings set forth in the body of this Order are hereby approved.  It is further</w:t>
      </w:r>
    </w:p>
    <w:p w:rsidR="00D25C7E" w:rsidRDefault="00D25C7E" w:rsidP="00D52BDB">
      <w:pPr>
        <w:jc w:val="both"/>
      </w:pPr>
    </w:p>
    <w:p w:rsidR="00D25C7E" w:rsidRDefault="00D25C7E" w:rsidP="00D52BDB">
      <w:pPr>
        <w:jc w:val="both"/>
      </w:pPr>
      <w:r>
        <w:tab/>
        <w:t xml:space="preserve">ORDERED that the </w:t>
      </w:r>
      <w:r w:rsidR="007F2B0B">
        <w:t>stipulations of the parties contained in the Notice of Stipulations filed on October 30, 2015</w:t>
      </w:r>
      <w:r>
        <w:t xml:space="preserve">, as modified by our bench decision, attached hereto </w:t>
      </w:r>
      <w:r w:rsidR="003B2AEE">
        <w:t>as Attachment A</w:t>
      </w:r>
      <w:r w:rsidR="007F2B0B">
        <w:t>,</w:t>
      </w:r>
      <w:r w:rsidR="003B2AEE">
        <w:t xml:space="preserve"> </w:t>
      </w:r>
      <w:r>
        <w:t>is incorporated into and made a part of this Order.  It is further</w:t>
      </w:r>
    </w:p>
    <w:p w:rsidR="00D25C7E" w:rsidRDefault="00D25C7E" w:rsidP="00D52BDB">
      <w:pPr>
        <w:jc w:val="both"/>
      </w:pPr>
    </w:p>
    <w:p w:rsidR="003B2AEE" w:rsidRDefault="00D25C7E" w:rsidP="00D52BDB">
      <w:pPr>
        <w:jc w:val="both"/>
      </w:pPr>
      <w:r>
        <w:tab/>
        <w:t xml:space="preserve">ORDERED that Florida Power &amp; Light Company, Florida Public Utilities Company, Gulf Power Company, Duke Energy Florida, </w:t>
      </w:r>
      <w:r w:rsidR="006F2666">
        <w:t>LLC</w:t>
      </w:r>
      <w:r>
        <w:t xml:space="preserve">., and Tampa Electric Company are hereby authorized to apply the fuel cost recovery factors set forth </w:t>
      </w:r>
      <w:r w:rsidR="003B2AEE">
        <w:t>herein during the period January 2016 through December 2016.  It is further</w:t>
      </w:r>
    </w:p>
    <w:p w:rsidR="003B2AEE" w:rsidRDefault="003B2AEE" w:rsidP="00D52BDB">
      <w:pPr>
        <w:jc w:val="both"/>
      </w:pPr>
    </w:p>
    <w:p w:rsidR="003B2AEE" w:rsidRDefault="003B2AEE" w:rsidP="00D52BDB">
      <w:pPr>
        <w:jc w:val="both"/>
      </w:pPr>
      <w:r>
        <w:tab/>
        <w:t>ORDERED that the estimated true-up amounts contained in the fuel cost recovery factors approved herein are hereby authorized subject to final true-up and further subject to proof of the reasonableness and prudence of the expenditures upon which the amounts are based.  It is further</w:t>
      </w:r>
    </w:p>
    <w:p w:rsidR="003B2AEE" w:rsidRDefault="003B2AEE" w:rsidP="00D52BDB">
      <w:pPr>
        <w:jc w:val="both"/>
      </w:pPr>
    </w:p>
    <w:p w:rsidR="003B2AEE" w:rsidRDefault="003B2AEE" w:rsidP="003B2AEE">
      <w:pPr>
        <w:jc w:val="both"/>
      </w:pPr>
      <w:r>
        <w:tab/>
        <w:t xml:space="preserve">ORDERED that Florida Power &amp; Light Company, Florida Public Utilities Company, Gulf Power Company, Duke Energy Florida, </w:t>
      </w:r>
      <w:r w:rsidR="00AE1BEC">
        <w:t>LLC</w:t>
      </w:r>
      <w:r>
        <w:t>, and Tampa Electric Company are hereby authorized to apply the capacity cost recovery factors set forth herein during the period January 2016 through December 2016.  It is further</w:t>
      </w:r>
    </w:p>
    <w:p w:rsidR="003B2AEE" w:rsidRDefault="003B2AEE" w:rsidP="003B2AEE">
      <w:pPr>
        <w:jc w:val="both"/>
      </w:pPr>
    </w:p>
    <w:p w:rsidR="003B2AEE" w:rsidRDefault="003B2AEE" w:rsidP="003B2AEE">
      <w:pPr>
        <w:jc w:val="both"/>
      </w:pPr>
      <w:r>
        <w:tab/>
        <w:t>ORDERED that the estimated true-up amounts contained in the capacity cost recovery factors approved herein are hereby authorized subject to final true-up and further subject to proof of the reasonableness and prudence of the expenditures upon which the amounts are based.  It is further</w:t>
      </w:r>
    </w:p>
    <w:p w:rsidR="00D25C7E" w:rsidRDefault="003B2AEE" w:rsidP="00D52BDB">
      <w:pPr>
        <w:jc w:val="both"/>
      </w:pPr>
      <w:r>
        <w:t xml:space="preserve"> </w:t>
      </w:r>
      <w:r w:rsidR="00D25C7E">
        <w:t xml:space="preserve">     </w:t>
      </w:r>
    </w:p>
    <w:p w:rsidR="000D403D" w:rsidRDefault="003B2AEE" w:rsidP="000D403D">
      <w:pPr>
        <w:shd w:val="clear" w:color="auto" w:fill="FFFFFF" w:themeFill="background1"/>
        <w:jc w:val="both"/>
      </w:pPr>
      <w:r>
        <w:tab/>
        <w:t>ORDERED that the Fuel and Purchased Power Cost Recovery Clause With Generating Performance Incentive Factor docket is an on-going docket and shall remain open.</w:t>
      </w:r>
    </w:p>
    <w:p w:rsidR="003B2AEE" w:rsidRDefault="003B2AEE" w:rsidP="000D403D">
      <w:pPr>
        <w:shd w:val="clear" w:color="auto" w:fill="FFFFFF" w:themeFill="background1"/>
        <w:jc w:val="both"/>
      </w:pPr>
    </w:p>
    <w:p w:rsidR="003B2AEE" w:rsidRDefault="003B2AEE" w:rsidP="003B2AEE">
      <w:pPr>
        <w:keepNext/>
        <w:keepLines/>
        <w:shd w:val="clear" w:color="auto" w:fill="FFFFFF" w:themeFill="background1"/>
        <w:jc w:val="both"/>
      </w:pPr>
      <w:r>
        <w:lastRenderedPageBreak/>
        <w:tab/>
        <w:t xml:space="preserve">By ORDER of the Florida Public Service Commission this </w:t>
      </w:r>
      <w:bookmarkStart w:id="6" w:name="replaceDate"/>
      <w:bookmarkEnd w:id="6"/>
      <w:r w:rsidR="008E1791">
        <w:rPr>
          <w:u w:val="single"/>
        </w:rPr>
        <w:t>23rd</w:t>
      </w:r>
      <w:r w:rsidR="008E1791">
        <w:t xml:space="preserve"> day of </w:t>
      </w:r>
      <w:r w:rsidR="008E1791">
        <w:rPr>
          <w:u w:val="single"/>
        </w:rPr>
        <w:t>December</w:t>
      </w:r>
      <w:r w:rsidR="008E1791">
        <w:t xml:space="preserve">, </w:t>
      </w:r>
      <w:r w:rsidR="008E1791">
        <w:rPr>
          <w:u w:val="single"/>
        </w:rPr>
        <w:t>2015</w:t>
      </w:r>
      <w:r w:rsidR="008E1791">
        <w:t>.</w:t>
      </w:r>
    </w:p>
    <w:p w:rsidR="008E1791" w:rsidRDefault="008E1791" w:rsidP="003B2AEE">
      <w:pPr>
        <w:keepNext/>
        <w:keepLines/>
        <w:shd w:val="clear" w:color="auto" w:fill="FFFFFF" w:themeFill="background1"/>
        <w:jc w:val="both"/>
      </w:pPr>
    </w:p>
    <w:p w:rsidR="008E1791" w:rsidRDefault="008E1791" w:rsidP="003B2AEE">
      <w:pPr>
        <w:keepNext/>
        <w:keepLines/>
        <w:shd w:val="clear" w:color="auto" w:fill="FFFFFF" w:themeFill="background1"/>
        <w:jc w:val="both"/>
      </w:pPr>
    </w:p>
    <w:p w:rsidR="008E1791" w:rsidRPr="008E1791" w:rsidRDefault="008E1791" w:rsidP="003B2AEE">
      <w:pPr>
        <w:keepNext/>
        <w:keepLines/>
        <w:shd w:val="clear" w:color="auto" w:fill="FFFFFF" w:themeFill="background1"/>
        <w:jc w:val="both"/>
      </w:pPr>
    </w:p>
    <w:tbl>
      <w:tblPr>
        <w:tblW w:w="4720" w:type="dxa"/>
        <w:tblInd w:w="3800" w:type="dxa"/>
        <w:tblLayout w:type="fixed"/>
        <w:tblLook w:val="0000" w:firstRow="0" w:lastRow="0" w:firstColumn="0" w:lastColumn="0" w:noHBand="0" w:noVBand="0"/>
      </w:tblPr>
      <w:tblGrid>
        <w:gridCol w:w="686"/>
        <w:gridCol w:w="4034"/>
      </w:tblGrid>
      <w:tr w:rsidR="003B2AEE" w:rsidTr="003B2AEE">
        <w:tc>
          <w:tcPr>
            <w:tcW w:w="720" w:type="dxa"/>
            <w:shd w:val="clear" w:color="auto" w:fill="auto"/>
          </w:tcPr>
          <w:p w:rsidR="003B2AEE" w:rsidRDefault="003B2AEE" w:rsidP="003B2AEE">
            <w:pPr>
              <w:keepNext/>
              <w:keepLines/>
              <w:jc w:val="both"/>
            </w:pPr>
            <w:bookmarkStart w:id="7" w:name="bkmrkSignature" w:colFirst="0" w:colLast="0"/>
          </w:p>
        </w:tc>
        <w:tc>
          <w:tcPr>
            <w:tcW w:w="4320" w:type="dxa"/>
            <w:tcBorders>
              <w:bottom w:val="single" w:sz="4" w:space="0" w:color="auto"/>
            </w:tcBorders>
            <w:shd w:val="clear" w:color="auto" w:fill="auto"/>
          </w:tcPr>
          <w:p w:rsidR="003B2AEE" w:rsidRDefault="008E1791" w:rsidP="003B2AEE">
            <w:pPr>
              <w:keepNext/>
              <w:keepLines/>
              <w:jc w:val="both"/>
            </w:pPr>
            <w:r>
              <w:t>/s/ Carlotta S. Stauffer</w:t>
            </w:r>
            <w:bookmarkStart w:id="8" w:name="_GoBack"/>
            <w:bookmarkEnd w:id="8"/>
          </w:p>
        </w:tc>
      </w:tr>
      <w:bookmarkEnd w:id="7"/>
      <w:tr w:rsidR="003B2AEE" w:rsidTr="003B2AEE">
        <w:tc>
          <w:tcPr>
            <w:tcW w:w="720" w:type="dxa"/>
            <w:shd w:val="clear" w:color="auto" w:fill="auto"/>
          </w:tcPr>
          <w:p w:rsidR="003B2AEE" w:rsidRDefault="003B2AEE" w:rsidP="003B2AEE">
            <w:pPr>
              <w:keepNext/>
              <w:keepLines/>
              <w:jc w:val="both"/>
            </w:pPr>
          </w:p>
        </w:tc>
        <w:tc>
          <w:tcPr>
            <w:tcW w:w="4320" w:type="dxa"/>
            <w:tcBorders>
              <w:top w:val="single" w:sz="4" w:space="0" w:color="auto"/>
            </w:tcBorders>
            <w:shd w:val="clear" w:color="auto" w:fill="auto"/>
          </w:tcPr>
          <w:p w:rsidR="003B2AEE" w:rsidRDefault="003B2AEE" w:rsidP="003B2AEE">
            <w:pPr>
              <w:keepNext/>
              <w:keepLines/>
              <w:jc w:val="both"/>
            </w:pPr>
            <w:r>
              <w:t>CARLOTTA S. STAUFFER</w:t>
            </w:r>
          </w:p>
          <w:p w:rsidR="003B2AEE" w:rsidRDefault="003B2AEE" w:rsidP="003B2AEE">
            <w:pPr>
              <w:keepNext/>
              <w:keepLines/>
              <w:jc w:val="both"/>
            </w:pPr>
            <w:r>
              <w:t>Commission Clerk</w:t>
            </w:r>
          </w:p>
        </w:tc>
      </w:tr>
    </w:tbl>
    <w:p w:rsidR="003B2AEE" w:rsidRDefault="003B2AEE" w:rsidP="003B2AEE">
      <w:pPr>
        <w:pStyle w:val="OrderSigInfo"/>
        <w:keepNext/>
        <w:keepLines/>
      </w:pPr>
      <w:r>
        <w:t>Florida Public Service Commission</w:t>
      </w:r>
    </w:p>
    <w:p w:rsidR="003B2AEE" w:rsidRDefault="003B2AEE" w:rsidP="003B2AEE">
      <w:pPr>
        <w:pStyle w:val="OrderSigInfo"/>
        <w:keepNext/>
        <w:keepLines/>
      </w:pPr>
      <w:r>
        <w:t>2540 Shumard Oak Boulevard</w:t>
      </w:r>
    </w:p>
    <w:p w:rsidR="003B2AEE" w:rsidRDefault="003B2AEE" w:rsidP="003B2AEE">
      <w:pPr>
        <w:pStyle w:val="OrderSigInfo"/>
        <w:keepNext/>
        <w:keepLines/>
      </w:pPr>
      <w:r>
        <w:t>Tallahassee, Florida  32399</w:t>
      </w:r>
    </w:p>
    <w:p w:rsidR="003B2AEE" w:rsidRDefault="003B2AEE" w:rsidP="003B2AEE">
      <w:pPr>
        <w:pStyle w:val="OrderSigInfo"/>
        <w:keepNext/>
        <w:keepLines/>
      </w:pPr>
      <w:r>
        <w:t>(850) 413</w:t>
      </w:r>
      <w:r>
        <w:noBreakHyphen/>
        <w:t>6770</w:t>
      </w:r>
    </w:p>
    <w:p w:rsidR="003B2AEE" w:rsidRDefault="003B2AEE" w:rsidP="003B2AEE">
      <w:pPr>
        <w:pStyle w:val="OrderSigInfo"/>
        <w:keepNext/>
        <w:keepLines/>
      </w:pPr>
      <w:r>
        <w:t>www.floridapsc.com</w:t>
      </w:r>
    </w:p>
    <w:p w:rsidR="003B2AEE" w:rsidRDefault="003B2AEE" w:rsidP="003B2AEE">
      <w:pPr>
        <w:pStyle w:val="OrderSigInfo"/>
        <w:keepNext/>
        <w:keepLines/>
      </w:pPr>
    </w:p>
    <w:p w:rsidR="003B2AEE" w:rsidRDefault="003B2AEE" w:rsidP="003B2AEE">
      <w:pPr>
        <w:pStyle w:val="OrderSigInfo"/>
        <w:keepNext/>
        <w:keepLines/>
      </w:pPr>
      <w:r>
        <w:t>Copies furnished:  A copy of this document is provided to the parties of record at the time of issuance and, if applicable, interested persons.</w:t>
      </w:r>
    </w:p>
    <w:p w:rsidR="003B2AEE" w:rsidRDefault="003B2AEE" w:rsidP="003B2AEE">
      <w:pPr>
        <w:pStyle w:val="OrderBody"/>
        <w:keepNext/>
        <w:keepLines/>
      </w:pPr>
    </w:p>
    <w:p w:rsidR="003B2AEE" w:rsidRDefault="003B2AEE" w:rsidP="003B2AEE">
      <w:pPr>
        <w:keepNext/>
        <w:keepLines/>
        <w:shd w:val="clear" w:color="auto" w:fill="FFFFFF" w:themeFill="background1"/>
        <w:jc w:val="both"/>
      </w:pPr>
      <w:r>
        <w:t>SBr</w:t>
      </w:r>
    </w:p>
    <w:p w:rsidR="003B2AEE" w:rsidRDefault="003B2AEE" w:rsidP="003B2AEE">
      <w:pPr>
        <w:keepNext/>
        <w:keepLines/>
        <w:shd w:val="clear" w:color="auto" w:fill="FFFFFF" w:themeFill="background1"/>
        <w:jc w:val="both"/>
      </w:pPr>
    </w:p>
    <w:p w:rsidR="00626ADE" w:rsidRDefault="00626ADE" w:rsidP="00626ADE">
      <w:pPr>
        <w:pStyle w:val="CenterUnderline"/>
      </w:pPr>
      <w:r>
        <w:t>NOTICE OF FURTHER PROCEEDINGS OR JUDICIAL REVIEW</w:t>
      </w:r>
    </w:p>
    <w:p w:rsidR="003B2AEE" w:rsidRDefault="003B2AEE" w:rsidP="00626ADE">
      <w:pPr>
        <w:pStyle w:val="CenterUnderline"/>
      </w:pPr>
    </w:p>
    <w:p w:rsidR="00626ADE" w:rsidRDefault="00626ADE" w:rsidP="00626ADE">
      <w:pPr>
        <w:pStyle w:val="OrderBody"/>
      </w:pPr>
    </w:p>
    <w:p w:rsidR="00626ADE" w:rsidRDefault="00626ADE" w:rsidP="00626AD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26ADE" w:rsidRDefault="00626ADE" w:rsidP="00626ADE">
      <w:pPr>
        <w:pStyle w:val="OrderBody"/>
      </w:pPr>
    </w:p>
    <w:p w:rsidR="00626ADE" w:rsidRDefault="00626ADE" w:rsidP="00626AD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26ADE" w:rsidRDefault="00626ADE" w:rsidP="00626ADE">
      <w:pPr>
        <w:pStyle w:val="OrderBody"/>
      </w:pPr>
    </w:p>
    <w:p w:rsidR="00B849FF" w:rsidRDefault="00B849FF">
      <w:r>
        <w:br w:type="page"/>
      </w:r>
    </w:p>
    <w:p w:rsidR="007F2B0B" w:rsidRDefault="007F2B0B" w:rsidP="007F2B0B">
      <w:pPr>
        <w:pStyle w:val="OrderBody"/>
        <w:jc w:val="right"/>
      </w:pPr>
      <w:r>
        <w:lastRenderedPageBreak/>
        <w:t>ATTACHMENT A</w:t>
      </w:r>
    </w:p>
    <w:p w:rsidR="007F2B0B" w:rsidRDefault="007F2B0B" w:rsidP="007F2B0B">
      <w:pPr>
        <w:pStyle w:val="OrderBody"/>
        <w:jc w:val="right"/>
      </w:pPr>
    </w:p>
    <w:p w:rsidR="007F2B0B" w:rsidRPr="007F2B0B" w:rsidRDefault="007F2B0B" w:rsidP="007F2B0B">
      <w:pPr>
        <w:ind w:left="1440" w:hanging="1440"/>
        <w:jc w:val="center"/>
        <w:rPr>
          <w:u w:val="single"/>
        </w:rPr>
      </w:pPr>
      <w:r w:rsidRPr="007F2B0B">
        <w:rPr>
          <w:u w:val="single"/>
        </w:rPr>
        <w:t>STIPULATIONS</w:t>
      </w:r>
    </w:p>
    <w:p w:rsidR="007F2B0B" w:rsidRDefault="007F2B0B" w:rsidP="007F2B0B">
      <w:pPr>
        <w:ind w:left="1440" w:hanging="1440"/>
        <w:jc w:val="center"/>
      </w:pPr>
    </w:p>
    <w:p w:rsidR="007F2B0B" w:rsidRDefault="007F2B0B" w:rsidP="007F2B0B">
      <w:pPr>
        <w:ind w:left="1440" w:hanging="1440"/>
        <w:jc w:val="both"/>
      </w:pPr>
      <w:r>
        <w:t>ISSUE 2A:</w:t>
      </w:r>
      <w:r>
        <w:tab/>
      </w:r>
      <w:r w:rsidR="002F2637">
        <w:t>T</w:t>
      </w:r>
      <w:r>
        <w:t>he Commission should approve as prudent DEF’s actions to mitigate the volatility of natural gas, residual oil, fuel oil, and purchased power prices, as reported in DEF’s April 2015 and August 2015 hedging reports.</w:t>
      </w:r>
    </w:p>
    <w:p w:rsidR="007F2B0B" w:rsidRDefault="007F2B0B" w:rsidP="007F2B0B">
      <w:pPr>
        <w:jc w:val="both"/>
      </w:pPr>
    </w:p>
    <w:p w:rsidR="007F2B0B" w:rsidRDefault="007F2B0B" w:rsidP="007F2B0B">
      <w:pPr>
        <w:ind w:left="1440" w:hanging="1440"/>
        <w:jc w:val="both"/>
      </w:pPr>
      <w:r>
        <w:t>ISSUE 2C:</w:t>
      </w:r>
      <w:r>
        <w:tab/>
        <w:t>No adjustments are needed to account for replacement costs associated with the July 2014 forced outage at the Hines plant.</w:t>
      </w:r>
    </w:p>
    <w:p w:rsidR="007F2B0B" w:rsidRDefault="007F2B0B" w:rsidP="007F2B0B">
      <w:pPr>
        <w:ind w:left="1440" w:hanging="1440"/>
        <w:jc w:val="both"/>
      </w:pPr>
    </w:p>
    <w:p w:rsidR="007F2B0B" w:rsidRDefault="007F2B0B" w:rsidP="007F2B0B">
      <w:pPr>
        <w:ind w:left="1440" w:hanging="1440"/>
        <w:jc w:val="both"/>
      </w:pPr>
      <w:r>
        <w:t>ISSUE 3A:</w:t>
      </w:r>
      <w:r>
        <w:tab/>
        <w:t>Yes, the Commission should approve as prudent FPL’s actions to mitigate the volatility of natural gas, residual oil, fuel oil, and purchased power prices, as reported in FPL’s April 2015 and August 2015 hedging reports.</w:t>
      </w:r>
    </w:p>
    <w:p w:rsidR="007F2B0B" w:rsidRDefault="007F2B0B" w:rsidP="007F2B0B">
      <w:pPr>
        <w:ind w:left="720" w:hanging="720"/>
        <w:jc w:val="both"/>
      </w:pPr>
    </w:p>
    <w:p w:rsidR="007F2B0B" w:rsidRDefault="007F2B0B" w:rsidP="007F2B0B">
      <w:pPr>
        <w:ind w:left="1440" w:hanging="1440"/>
        <w:jc w:val="both"/>
      </w:pPr>
      <w:r>
        <w:t>ISSUE 3C:</w:t>
      </w:r>
      <w:r>
        <w:tab/>
        <w:t>The total gain in 2014 under the Incentive Mechanism approved in Order No. PSC-13-0023-S-EI, was $67,626,867.  This amount should be shared between FPL and its customers, with FPL retaining $12,976,120.</w:t>
      </w:r>
    </w:p>
    <w:p w:rsidR="007F2B0B" w:rsidRDefault="007F2B0B" w:rsidP="007F2B0B">
      <w:pPr>
        <w:ind w:left="1440" w:hanging="1440"/>
        <w:jc w:val="both"/>
      </w:pPr>
    </w:p>
    <w:p w:rsidR="007F2B0B" w:rsidRDefault="007F2B0B" w:rsidP="007F2B0B">
      <w:pPr>
        <w:ind w:left="1440" w:hanging="1440"/>
        <w:jc w:val="both"/>
      </w:pPr>
      <w:r>
        <w:t>ISSUE 3D:</w:t>
      </w:r>
      <w:r>
        <w:tab/>
        <w:t>The appropriate amount of Incremental Optimization Costs under the Incentive Mechanism that FPL should be allowed to recover through the fuel clause for Personnel, Software, and Hardware costs for the period January 2014 through December 2014 is $460,428.</w:t>
      </w:r>
    </w:p>
    <w:p w:rsidR="007F2B0B" w:rsidRDefault="007F2B0B" w:rsidP="007F2B0B">
      <w:pPr>
        <w:ind w:left="1440" w:hanging="1440"/>
        <w:jc w:val="both"/>
      </w:pPr>
      <w:r>
        <w:t xml:space="preserve"> </w:t>
      </w:r>
    </w:p>
    <w:p w:rsidR="007F2B0B" w:rsidRPr="00EC60CB" w:rsidRDefault="007F2B0B" w:rsidP="007F2B0B">
      <w:pPr>
        <w:keepNext/>
        <w:ind w:left="1440" w:hanging="1440"/>
        <w:jc w:val="both"/>
      </w:pPr>
      <w:r w:rsidRPr="00EC60CB">
        <w:t>ISSUE 3E:</w:t>
      </w:r>
      <w:r w:rsidRPr="00EC60CB">
        <w:tab/>
        <w:t>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2014 through December 2014 is $2,259,98</w:t>
      </w:r>
      <w:r>
        <w:t>5</w:t>
      </w:r>
      <w:r w:rsidRPr="00EC60CB">
        <w:t>.</w:t>
      </w:r>
    </w:p>
    <w:p w:rsidR="007F2B0B" w:rsidRPr="00EC60CB" w:rsidRDefault="007F2B0B" w:rsidP="007F2B0B">
      <w:pPr>
        <w:jc w:val="both"/>
      </w:pPr>
    </w:p>
    <w:p w:rsidR="006C2CC3" w:rsidRDefault="007F2B0B" w:rsidP="007F2B0B">
      <w:pPr>
        <w:ind w:left="1440" w:hanging="1440"/>
        <w:jc w:val="both"/>
      </w:pPr>
      <w:r w:rsidRPr="00EC60CB">
        <w:t>ISSUE 3F:</w:t>
      </w:r>
      <w:r w:rsidRPr="00EC60CB">
        <w:tab/>
        <w:t>The appropriate amount of Incremental Optimization Costs under the Incentive Mechanism that FPL should be allowed to recover through the fuel clause for Personnel, Software, and Hardware costs for the period January 2015 through December 2015 is $441,826.</w:t>
      </w:r>
    </w:p>
    <w:p w:rsidR="006C2CC3" w:rsidRDefault="006C2CC3" w:rsidP="007F2B0B">
      <w:pPr>
        <w:ind w:left="1440" w:hanging="1440"/>
        <w:jc w:val="both"/>
      </w:pPr>
    </w:p>
    <w:p w:rsidR="007F2B0B" w:rsidRPr="00EC60CB" w:rsidRDefault="007F2B0B" w:rsidP="007F2B0B">
      <w:pPr>
        <w:ind w:left="1440" w:hanging="1440"/>
        <w:jc w:val="both"/>
      </w:pPr>
      <w:r w:rsidRPr="00EC60CB">
        <w:t>ISSUE 3G:</w:t>
      </w:r>
      <w:r w:rsidRPr="00EC60CB">
        <w:tab/>
        <w:t>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2015 through December 2015 is $2,759,649.</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3H:</w:t>
      </w:r>
      <w:r w:rsidRPr="00EC60CB">
        <w:tab/>
        <w:t>The appropriate amount of Incremental Optimization Costs under the Incentive Mechanism that FPL should be allowed to recover through the fuel clause for Personnel, Software, and Hardware costs for the period January 2016 through December 2016 is $473,512</w:t>
      </w:r>
    </w:p>
    <w:p w:rsidR="007F2B0B" w:rsidRPr="00EC60CB" w:rsidRDefault="007F2B0B" w:rsidP="007F2B0B">
      <w:pPr>
        <w:ind w:left="1440" w:hanging="1440"/>
        <w:jc w:val="both"/>
      </w:pPr>
      <w:r w:rsidRPr="00EC60CB">
        <w:lastRenderedPageBreak/>
        <w:t>ISSUE 3I:</w:t>
      </w:r>
      <w:r w:rsidRPr="00EC60CB">
        <w:tab/>
        <w:t>The appropriate amount of Incremental Optimization Costs under the Incentive Mechanism that FPL should be allowed to recover through the fuel clause for variable power plant O&amp;M costs incurred to generate output for wholesale sales in excess of 514,000 megawatt-hours for the period January 2016 through December 2016 is $1,498,826.</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3J:</w:t>
      </w:r>
      <w:r w:rsidRPr="00EC60CB">
        <w:tab/>
        <w:t>This issue has been deferred until 2016 to allow FPL to continue negotiations for potential reimbursement of St. Lucie 2 replacement power costs associated with the extended refueling outage in 2014.</w:t>
      </w:r>
    </w:p>
    <w:p w:rsidR="007F2B0B" w:rsidRPr="00EC60CB" w:rsidRDefault="007F2B0B" w:rsidP="007F2B0B">
      <w:pPr>
        <w:ind w:left="720" w:hanging="720"/>
        <w:jc w:val="both"/>
      </w:pPr>
    </w:p>
    <w:p w:rsidR="007F2B0B" w:rsidRPr="00EC60CB" w:rsidRDefault="007F2B0B" w:rsidP="00AE1BEC">
      <w:pPr>
        <w:ind w:left="1440" w:hanging="1440"/>
        <w:jc w:val="both"/>
      </w:pPr>
      <w:r w:rsidRPr="00EC60CB">
        <w:t>ISSUE 3N:</w:t>
      </w:r>
      <w:r w:rsidR="00AE1BEC">
        <w:tab/>
        <w:t>The Commission should approve FPL’s proposed generation base rate adjustment (GBRA) factor of 3.899 percent for the Port Everglades Energy Center (PEEC) expected to go in-service on June 1, 2016.</w:t>
      </w:r>
    </w:p>
    <w:p w:rsidR="007F2B0B" w:rsidRPr="00EC60CB" w:rsidRDefault="007F2B0B" w:rsidP="007F2B0B">
      <w:pPr>
        <w:ind w:left="720" w:hanging="720"/>
        <w:jc w:val="both"/>
      </w:pPr>
    </w:p>
    <w:p w:rsidR="007F2B0B" w:rsidRPr="00EC60CB" w:rsidRDefault="007F2B0B" w:rsidP="007F2B0B">
      <w:pPr>
        <w:ind w:left="1440" w:hanging="1440"/>
        <w:jc w:val="both"/>
      </w:pPr>
      <w:r w:rsidRPr="00EC60CB">
        <w:t>ISSUE 3O:</w:t>
      </w:r>
      <w:r w:rsidRPr="00EC60CB">
        <w:tab/>
        <w:t>This issue has been dropped with the understanding that any party may raise it again in the 2016 proceeding.</w:t>
      </w:r>
    </w:p>
    <w:p w:rsidR="007F2B0B" w:rsidRPr="00EC60CB" w:rsidRDefault="007F2B0B" w:rsidP="007F2B0B">
      <w:pPr>
        <w:ind w:left="720" w:hanging="720"/>
        <w:jc w:val="both"/>
      </w:pPr>
    </w:p>
    <w:p w:rsidR="007F2B0B" w:rsidRPr="00EC60CB" w:rsidRDefault="007F2B0B" w:rsidP="007F2B0B">
      <w:pPr>
        <w:ind w:left="1440" w:hanging="1440"/>
        <w:jc w:val="both"/>
      </w:pPr>
      <w:r w:rsidRPr="00EC60CB">
        <w:t>ISSUE 3P:</w:t>
      </w:r>
      <w:r w:rsidRPr="00EC60CB">
        <w:tab/>
        <w:t>FPL has properly reflected in the fuel and purchased power cost recovery clause the effects of acquiring the Cedar Bay facility and terminating the existing Cedar Bay power purchase agreement consistent with the terms of the settlement agreement between FPL and OPC approved in Docket No. 150075-EI.</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5A:</w:t>
      </w:r>
      <w:r w:rsidRPr="00EC60CB">
        <w:tab/>
      </w:r>
      <w:r w:rsidR="00AE1BEC">
        <w:t>T</w:t>
      </w:r>
      <w:r w:rsidRPr="00EC60CB">
        <w:t>he Commission should approve as prudent Gulf’s actions to mitigate the volatility of natural gas, residual oil, fuel oil, and purchased power prices, as reported in Gulf’s April 2015 and August 2015 hedging reports.</w:t>
      </w:r>
    </w:p>
    <w:p w:rsidR="007F2B0B" w:rsidRPr="00EC60CB" w:rsidRDefault="007F2B0B" w:rsidP="007F2B0B">
      <w:pPr>
        <w:jc w:val="both"/>
      </w:pPr>
    </w:p>
    <w:p w:rsidR="007F2B0B" w:rsidRPr="00EC60CB" w:rsidRDefault="007F2B0B" w:rsidP="007F2B0B">
      <w:pPr>
        <w:ind w:left="1440" w:hanging="1440"/>
        <w:jc w:val="both"/>
      </w:pPr>
      <w:r w:rsidRPr="00EC60CB">
        <w:t>ISSUE 6A:</w:t>
      </w:r>
      <w:r w:rsidRPr="00EC60CB">
        <w:tab/>
      </w:r>
      <w:r w:rsidR="00AE1BEC">
        <w:t>T</w:t>
      </w:r>
      <w:r w:rsidRPr="00EC60CB">
        <w:t>he Commission should approve as prudent TECO’s actions to mitigate the volatility of natural gas, residual oil, fuel oil, and purchased power prices, as reported in TECO’s April 2015 and August 2015 hedging reports.</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6C:</w:t>
      </w:r>
      <w:r w:rsidRPr="00EC60CB">
        <w:tab/>
        <w:t>The appropriate amount of capital costs for the Big Bend fuel conversion project that TECO should be allowed to recover through the Fuel Clause for the period January 2015 through December 2015 is $3,744,426.</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6D:</w:t>
      </w:r>
      <w:r w:rsidRPr="00EC60CB">
        <w:tab/>
        <w:t>The appropriate amount of capital costs for the Big Bend fuel conversion project that TECO should be allowed to recover through the Fuel Clause for the period January 2016 through December 2016 is $4,894,041.</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6E:</w:t>
      </w:r>
      <w:r w:rsidRPr="00EC60CB">
        <w:tab/>
        <w:t>No adjustments are needed to account for replacement costs associated with the June 2015 forced outage at Big Bend Unit 2.</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6F:</w:t>
      </w:r>
      <w:r w:rsidRPr="00EC60CB">
        <w:tab/>
      </w:r>
      <w:r w:rsidR="00AE1BEC">
        <w:t>T</w:t>
      </w:r>
      <w:r w:rsidRPr="00EC60CB">
        <w:t>he cost of the natural gas burned during the testing of natural gas as a co-fired fuel at Big Bend Station is appropriate for recovery.</w:t>
      </w:r>
    </w:p>
    <w:p w:rsidR="007F2B0B" w:rsidRPr="00EC60CB" w:rsidRDefault="007F2B0B" w:rsidP="007F2B0B">
      <w:pPr>
        <w:ind w:left="1440" w:hanging="1440"/>
        <w:jc w:val="both"/>
      </w:pPr>
    </w:p>
    <w:p w:rsidR="007F2B0B" w:rsidRPr="00EC60CB" w:rsidRDefault="007F2B0B" w:rsidP="007F2B0B">
      <w:pPr>
        <w:ind w:left="1440" w:hanging="1440"/>
        <w:jc w:val="both"/>
      </w:pPr>
      <w:r w:rsidRPr="00EC60CB">
        <w:lastRenderedPageBreak/>
        <w:t>ISSUE 7:</w:t>
      </w:r>
      <w:r w:rsidRPr="00EC60CB">
        <w:tab/>
        <w:t>The appropriate actual benchmark levels for calendar year 2015 for gains on non-separated wholesale energy sales eligible for a shareholder incentive are as follows:</w:t>
      </w:r>
    </w:p>
    <w:p w:rsidR="007F2B0B" w:rsidRPr="00EC60CB" w:rsidRDefault="007F2B0B" w:rsidP="007F2B0B">
      <w:pPr>
        <w:ind w:left="1440" w:hanging="1440"/>
        <w:jc w:val="both"/>
      </w:pPr>
      <w:r w:rsidRPr="00EC60CB">
        <w:tab/>
        <w:t>Duke:</w:t>
      </w:r>
      <w:r w:rsidRPr="00EC60CB">
        <w:tab/>
      </w:r>
      <w:r w:rsidRPr="00EC60CB">
        <w:tab/>
        <w:t>$1,739,843</w:t>
      </w:r>
    </w:p>
    <w:p w:rsidR="007F2B0B" w:rsidRPr="00EC60CB" w:rsidRDefault="007F2B0B" w:rsidP="007F2B0B">
      <w:pPr>
        <w:ind w:left="1440" w:hanging="1440"/>
        <w:jc w:val="both"/>
      </w:pPr>
      <w:r w:rsidRPr="00EC60CB">
        <w:tab/>
        <w:t>Gulf:</w:t>
      </w:r>
      <w:r w:rsidRPr="00EC60CB">
        <w:tab/>
      </w:r>
      <w:r w:rsidRPr="00EC60CB">
        <w:tab/>
        <w:t>$   677,983</w:t>
      </w:r>
    </w:p>
    <w:p w:rsidR="007F2B0B" w:rsidRPr="00EC60CB" w:rsidRDefault="007F2B0B" w:rsidP="007F2B0B">
      <w:pPr>
        <w:ind w:left="1440" w:hanging="1440"/>
        <w:jc w:val="both"/>
      </w:pPr>
      <w:r w:rsidRPr="00EC60CB">
        <w:tab/>
        <w:t>TECO:</w:t>
      </w:r>
      <w:r w:rsidRPr="00EC60CB">
        <w:tab/>
      </w:r>
      <w:r w:rsidRPr="00EC60CB">
        <w:tab/>
        <w:t>$1,479,981</w:t>
      </w:r>
    </w:p>
    <w:p w:rsidR="007F2B0B" w:rsidRPr="00EC60CB" w:rsidRDefault="007F2B0B" w:rsidP="007F2B0B">
      <w:pPr>
        <w:ind w:left="1440" w:hanging="1440"/>
        <w:jc w:val="both"/>
      </w:pPr>
      <w:r w:rsidRPr="00EC60CB">
        <w:tab/>
        <w:t>FPL:</w:t>
      </w:r>
      <w:r w:rsidRPr="00EC60CB">
        <w:tab/>
      </w:r>
      <w:r w:rsidRPr="00EC60CB">
        <w:tab/>
        <w:t>Not applicable</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8:</w:t>
      </w:r>
      <w:r w:rsidRPr="00EC60CB">
        <w:tab/>
        <w:t>The appropriate actual benchmark levels for calendar year 2016 for gains on non-separated wholesale energy sales eligible for a shareholder incentive are as follows:</w:t>
      </w:r>
    </w:p>
    <w:p w:rsidR="007F2B0B" w:rsidRPr="00EC60CB" w:rsidRDefault="007F2B0B" w:rsidP="007F2B0B">
      <w:pPr>
        <w:ind w:left="1440" w:hanging="1440"/>
        <w:jc w:val="both"/>
      </w:pPr>
      <w:r w:rsidRPr="00EC60CB">
        <w:tab/>
        <w:t>Duke:</w:t>
      </w:r>
      <w:r w:rsidRPr="00EC60CB">
        <w:tab/>
      </w:r>
      <w:r w:rsidRPr="00EC60CB">
        <w:tab/>
        <w:t>$2,704,668</w:t>
      </w:r>
    </w:p>
    <w:p w:rsidR="007F2B0B" w:rsidRPr="00EC60CB" w:rsidRDefault="007F2B0B" w:rsidP="007F2B0B">
      <w:pPr>
        <w:ind w:left="1440" w:hanging="1440"/>
        <w:jc w:val="both"/>
      </w:pPr>
      <w:r w:rsidRPr="00EC60CB">
        <w:tab/>
        <w:t>Gulf:</w:t>
      </w:r>
      <w:r w:rsidRPr="00EC60CB">
        <w:tab/>
      </w:r>
      <w:r w:rsidRPr="00EC60CB">
        <w:tab/>
        <w:t>$   752,900</w:t>
      </w:r>
    </w:p>
    <w:p w:rsidR="007F2B0B" w:rsidRPr="00EC60CB" w:rsidRDefault="007F2B0B" w:rsidP="007F2B0B">
      <w:pPr>
        <w:ind w:left="1440" w:hanging="1440"/>
        <w:jc w:val="both"/>
      </w:pPr>
      <w:r w:rsidRPr="00EC60CB">
        <w:tab/>
        <w:t>TECO:</w:t>
      </w:r>
      <w:r w:rsidRPr="00EC60CB">
        <w:tab/>
      </w:r>
      <w:r w:rsidRPr="00EC60CB">
        <w:tab/>
        <w:t>$1,532,270</w:t>
      </w:r>
    </w:p>
    <w:p w:rsidR="007F2B0B" w:rsidRPr="00EC60CB" w:rsidRDefault="007F2B0B" w:rsidP="007F2B0B">
      <w:pPr>
        <w:ind w:left="1440" w:hanging="1440"/>
        <w:jc w:val="both"/>
      </w:pPr>
      <w:r w:rsidRPr="00EC60CB">
        <w:tab/>
        <w:t>FPL:</w:t>
      </w:r>
      <w:r w:rsidRPr="00EC60CB">
        <w:tab/>
      </w:r>
      <w:r w:rsidRPr="00EC60CB">
        <w:tab/>
        <w:t>Not applicable</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9:</w:t>
      </w:r>
      <w:r w:rsidRPr="00EC60CB">
        <w:tab/>
        <w:t>The appropriate final fuel adjustment true-up amounts for the period January 2014 through December 2014 are as follows:</w:t>
      </w:r>
    </w:p>
    <w:p w:rsidR="007F2B0B" w:rsidRPr="00EC60CB" w:rsidRDefault="007F2B0B" w:rsidP="007F2B0B">
      <w:pPr>
        <w:ind w:left="1440" w:hanging="1440"/>
        <w:jc w:val="both"/>
      </w:pPr>
      <w:r w:rsidRPr="00EC60CB">
        <w:tab/>
        <w:t>FPL:</w:t>
      </w:r>
      <w:r w:rsidRPr="00EC60CB">
        <w:tab/>
      </w:r>
      <w:r w:rsidRPr="00EC60CB">
        <w:tab/>
        <w:t xml:space="preserve">$10,088,837 (over-recovery) refunded as part of mid-course </w:t>
      </w:r>
      <w:r w:rsidRPr="00EC60CB">
        <w:tab/>
      </w:r>
      <w:r w:rsidRPr="00EC60CB">
        <w:tab/>
      </w:r>
      <w:r w:rsidRPr="00EC60CB">
        <w:tab/>
        <w:t>correction approved by Order No. 15-0161-PCO-EI</w:t>
      </w:r>
    </w:p>
    <w:p w:rsidR="007F2B0B" w:rsidRPr="00EC60CB" w:rsidRDefault="007F2B0B" w:rsidP="007F2B0B">
      <w:pPr>
        <w:ind w:left="1440" w:hanging="1440"/>
        <w:jc w:val="both"/>
      </w:pPr>
      <w:r w:rsidRPr="00EC60CB">
        <w:tab/>
        <w:t>Duke:</w:t>
      </w:r>
      <w:r w:rsidRPr="00EC60CB">
        <w:tab/>
      </w:r>
      <w:r w:rsidRPr="00EC60CB">
        <w:tab/>
        <w:t>$11,604,966 (over-recovery)</w:t>
      </w:r>
    </w:p>
    <w:p w:rsidR="007F2B0B" w:rsidRPr="00EC60CB" w:rsidRDefault="007F2B0B" w:rsidP="007F2B0B">
      <w:pPr>
        <w:ind w:left="1440" w:hanging="1440"/>
        <w:jc w:val="both"/>
      </w:pPr>
      <w:r w:rsidRPr="00EC60CB">
        <w:tab/>
        <w:t>Gulf:</w:t>
      </w:r>
      <w:r w:rsidRPr="00EC60CB">
        <w:tab/>
      </w:r>
      <w:r w:rsidRPr="00EC60CB">
        <w:tab/>
        <w:t>$ 8,084,753 (over-recovery)</w:t>
      </w:r>
    </w:p>
    <w:p w:rsidR="007F2B0B" w:rsidRPr="00EC60CB" w:rsidRDefault="007F2B0B" w:rsidP="007F2B0B">
      <w:pPr>
        <w:ind w:left="1440" w:hanging="1440"/>
        <w:jc w:val="both"/>
      </w:pPr>
      <w:r w:rsidRPr="00EC60CB">
        <w:tab/>
        <w:t>TECO:</w:t>
      </w:r>
      <w:r w:rsidRPr="00EC60CB">
        <w:tab/>
      </w:r>
      <w:r w:rsidRPr="00EC60CB">
        <w:tab/>
        <w:t>$ 2,919,025 (under-recovery)</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10:</w:t>
      </w:r>
      <w:r w:rsidRPr="00EC60CB">
        <w:tab/>
        <w:t>The appropriate fuel adjustment actual/estimated true-up amounts for the period of January 2015 through December 2015 are as follows:</w:t>
      </w:r>
    </w:p>
    <w:p w:rsidR="007F2B0B" w:rsidRPr="00EC60CB" w:rsidRDefault="007F2B0B" w:rsidP="007F2B0B">
      <w:pPr>
        <w:ind w:left="1440" w:hanging="1440"/>
        <w:jc w:val="both"/>
      </w:pPr>
      <w:r w:rsidRPr="00EC60CB">
        <w:tab/>
        <w:t>FPL:</w:t>
      </w:r>
      <w:r w:rsidRPr="00EC60CB">
        <w:tab/>
      </w:r>
      <w:r w:rsidRPr="00EC60CB">
        <w:tab/>
        <w:t>$66,818,243 under-recovery</w:t>
      </w:r>
    </w:p>
    <w:p w:rsidR="007F2B0B" w:rsidRPr="00EC60CB" w:rsidRDefault="007F2B0B" w:rsidP="007F2B0B">
      <w:pPr>
        <w:ind w:left="1440" w:hanging="1440"/>
        <w:jc w:val="both"/>
      </w:pPr>
      <w:r w:rsidRPr="00EC60CB">
        <w:tab/>
        <w:t>Duke:</w:t>
      </w:r>
      <w:r w:rsidRPr="00EC60CB">
        <w:tab/>
      </w:r>
      <w:r w:rsidRPr="00EC60CB">
        <w:tab/>
        <w:t>$67,126,064 over-recovery</w:t>
      </w:r>
    </w:p>
    <w:p w:rsidR="007F2B0B" w:rsidRPr="00EC60CB" w:rsidRDefault="007F2B0B" w:rsidP="007F2B0B">
      <w:pPr>
        <w:ind w:left="1440" w:hanging="1440"/>
        <w:jc w:val="both"/>
      </w:pPr>
      <w:r w:rsidRPr="00EC60CB">
        <w:tab/>
        <w:t>Gulf:</w:t>
      </w:r>
      <w:r w:rsidRPr="00EC60CB">
        <w:tab/>
      </w:r>
      <w:r w:rsidRPr="00EC60CB">
        <w:tab/>
        <w:t>$11,285,334 over-recovery</w:t>
      </w:r>
    </w:p>
    <w:p w:rsidR="007F2B0B" w:rsidRPr="00EC60CB" w:rsidRDefault="007F2B0B" w:rsidP="007F2B0B">
      <w:pPr>
        <w:ind w:left="1440" w:hanging="1440"/>
        <w:jc w:val="both"/>
      </w:pPr>
      <w:r w:rsidRPr="00EC60CB">
        <w:tab/>
        <w:t>TECO:</w:t>
      </w:r>
      <w:r w:rsidRPr="00EC60CB">
        <w:tab/>
      </w:r>
      <w:r w:rsidRPr="00EC60CB">
        <w:tab/>
        <w:t>$30,509,575 over-recovery</w:t>
      </w:r>
    </w:p>
    <w:p w:rsidR="006C2CC3" w:rsidRDefault="006C2CC3" w:rsidP="007F2B0B">
      <w:pPr>
        <w:ind w:left="1440" w:hanging="1440"/>
        <w:jc w:val="both"/>
      </w:pPr>
    </w:p>
    <w:p w:rsidR="007F2B0B" w:rsidRPr="00EC60CB" w:rsidRDefault="007F2B0B" w:rsidP="007F2B0B">
      <w:pPr>
        <w:ind w:left="1440" w:hanging="1440"/>
        <w:jc w:val="both"/>
      </w:pPr>
      <w:r w:rsidRPr="00EC60CB">
        <w:t>ISSUE 11:</w:t>
      </w:r>
      <w:r w:rsidRPr="00EC60CB">
        <w:tab/>
        <w:t>The appropriate total fuel adjustment true-up amounts to be collected/refunded from January 2016 through December 2016 are as follows:</w:t>
      </w:r>
    </w:p>
    <w:p w:rsidR="007F2B0B" w:rsidRPr="00EC60CB" w:rsidRDefault="007F2B0B" w:rsidP="007F2B0B">
      <w:pPr>
        <w:ind w:left="1440" w:hanging="1440"/>
        <w:jc w:val="both"/>
      </w:pPr>
      <w:r w:rsidRPr="00EC60CB">
        <w:tab/>
        <w:t>FPL:</w:t>
      </w:r>
      <w:r w:rsidRPr="00EC60CB">
        <w:tab/>
      </w:r>
      <w:r w:rsidRPr="00EC60CB">
        <w:tab/>
        <w:t>$66,818,243 to be collected (under-recovery)</w:t>
      </w:r>
    </w:p>
    <w:p w:rsidR="007F2B0B" w:rsidRPr="00EC60CB" w:rsidRDefault="007F2B0B" w:rsidP="007F2B0B">
      <w:pPr>
        <w:ind w:left="1440" w:hanging="1440"/>
        <w:jc w:val="both"/>
      </w:pPr>
      <w:r w:rsidRPr="00EC60CB">
        <w:tab/>
        <w:t>Duke:</w:t>
      </w:r>
      <w:r w:rsidRPr="00EC60CB">
        <w:tab/>
      </w:r>
      <w:r w:rsidRPr="00EC60CB">
        <w:tab/>
        <w:t>$78,731,032 to be refunded (over recovery)</w:t>
      </w:r>
    </w:p>
    <w:p w:rsidR="007F2B0B" w:rsidRPr="00EC60CB" w:rsidRDefault="007F2B0B" w:rsidP="007F2B0B">
      <w:pPr>
        <w:ind w:left="1440" w:hanging="1440"/>
        <w:jc w:val="both"/>
      </w:pPr>
      <w:r w:rsidRPr="00EC60CB">
        <w:tab/>
        <w:t>Gulf:</w:t>
      </w:r>
      <w:r w:rsidRPr="00EC60CB">
        <w:tab/>
      </w:r>
      <w:r w:rsidRPr="00EC60CB">
        <w:tab/>
        <w:t>$19,370,087 to be refunded (over-recovery)</w:t>
      </w:r>
    </w:p>
    <w:p w:rsidR="007F2B0B" w:rsidRPr="00EC60CB" w:rsidRDefault="007F2B0B" w:rsidP="007F2B0B">
      <w:pPr>
        <w:ind w:left="1440" w:hanging="1440"/>
        <w:jc w:val="both"/>
      </w:pPr>
      <w:r w:rsidRPr="00EC60CB">
        <w:tab/>
        <w:t>TECO:</w:t>
      </w:r>
      <w:r w:rsidRPr="00EC60CB">
        <w:tab/>
      </w:r>
      <w:r w:rsidRPr="00EC60CB">
        <w:tab/>
        <w:t>$27,590,550 to be refunded (over-recovery)</w:t>
      </w:r>
    </w:p>
    <w:p w:rsidR="007F2B0B" w:rsidRPr="00EC60CB" w:rsidRDefault="007F2B0B" w:rsidP="007F2B0B">
      <w:pPr>
        <w:ind w:left="1440" w:hanging="1440"/>
        <w:jc w:val="both"/>
      </w:pPr>
      <w:r w:rsidRPr="00EC60CB">
        <w:tab/>
        <w:t xml:space="preserve"> </w:t>
      </w:r>
    </w:p>
    <w:p w:rsidR="007F2B0B" w:rsidRPr="00EC60CB" w:rsidRDefault="007F2B0B" w:rsidP="007F2B0B">
      <w:pPr>
        <w:ind w:left="1440" w:hanging="1440"/>
        <w:jc w:val="both"/>
      </w:pPr>
      <w:r w:rsidRPr="00EC60CB">
        <w:t>ISSUE 12:</w:t>
      </w:r>
      <w:r w:rsidRPr="00EC60CB">
        <w:tab/>
        <w:t>The appropriate projected total fuel and purchased power cost recovery amounts for the period January 2016 through December 2016 are as follows:</w:t>
      </w:r>
    </w:p>
    <w:p w:rsidR="007F2B0B" w:rsidRPr="00EC60CB" w:rsidRDefault="007F2B0B" w:rsidP="007F2B0B">
      <w:pPr>
        <w:ind w:left="1440" w:hanging="1440"/>
        <w:jc w:val="both"/>
      </w:pPr>
      <w:r w:rsidRPr="00EC60CB">
        <w:tab/>
        <w:t>FPL:</w:t>
      </w:r>
      <w:r w:rsidRPr="00EC60CB">
        <w:tab/>
      </w:r>
      <w:r w:rsidRPr="00EC60CB">
        <w:tab/>
        <w:t xml:space="preserve">$3,023,588,111, which excludes prior period true up amounts, </w:t>
      </w:r>
      <w:r w:rsidRPr="00EC60CB">
        <w:tab/>
      </w:r>
      <w:r w:rsidRPr="00EC60CB">
        <w:tab/>
      </w:r>
      <w:r w:rsidRPr="00EC60CB">
        <w:tab/>
        <w:t xml:space="preserve">revenue taxes, the GPIF reward or penalty, or FPL’s portion of the </w:t>
      </w:r>
      <w:r w:rsidRPr="00EC60CB">
        <w:tab/>
      </w:r>
      <w:r w:rsidRPr="00EC60CB">
        <w:tab/>
      </w:r>
      <w:r w:rsidRPr="00EC60CB">
        <w:tab/>
        <w:t>gains from its Incentive Mechanism.</w:t>
      </w:r>
    </w:p>
    <w:p w:rsidR="007F2B0B" w:rsidRPr="00EC60CB" w:rsidRDefault="007F2B0B" w:rsidP="007F2B0B">
      <w:pPr>
        <w:ind w:left="1440" w:hanging="1440"/>
        <w:jc w:val="both"/>
      </w:pPr>
      <w:r w:rsidRPr="00EC60CB">
        <w:tab/>
        <w:t>Duke:</w:t>
      </w:r>
      <w:r w:rsidRPr="00EC60CB">
        <w:tab/>
      </w:r>
      <w:r w:rsidRPr="00EC60CB">
        <w:tab/>
        <w:t>$1,480,800,063</w:t>
      </w:r>
    </w:p>
    <w:p w:rsidR="007F2B0B" w:rsidRPr="00EC60CB" w:rsidRDefault="007F2B0B" w:rsidP="007F2B0B">
      <w:pPr>
        <w:ind w:left="1440" w:hanging="1440"/>
        <w:jc w:val="both"/>
      </w:pPr>
      <w:r w:rsidRPr="00EC60CB">
        <w:lastRenderedPageBreak/>
        <w:tab/>
        <w:t>Gulf:</w:t>
      </w:r>
      <w:r w:rsidRPr="00EC60CB">
        <w:tab/>
      </w:r>
      <w:r w:rsidRPr="00EC60CB">
        <w:tab/>
        <w:t xml:space="preserve">$400,060,296, including prior period true up amounts and revenue </w:t>
      </w:r>
      <w:r w:rsidRPr="00EC60CB">
        <w:tab/>
      </w:r>
      <w:r w:rsidRPr="00EC60CB">
        <w:tab/>
      </w:r>
      <w:r w:rsidRPr="00EC60CB">
        <w:tab/>
        <w:t>taxes</w:t>
      </w:r>
    </w:p>
    <w:p w:rsidR="007F2B0B" w:rsidRPr="00EC60CB" w:rsidRDefault="007F2B0B" w:rsidP="007F2B0B">
      <w:pPr>
        <w:ind w:left="1440" w:hanging="1440"/>
        <w:jc w:val="both"/>
      </w:pPr>
      <w:r w:rsidRPr="00EC60CB">
        <w:tab/>
        <w:t>TECO:</w:t>
      </w:r>
      <w:r w:rsidRPr="00EC60CB">
        <w:tab/>
      </w:r>
      <w:r w:rsidRPr="00EC60CB">
        <w:tab/>
        <w:t xml:space="preserve">$668,014,513, which is adjusted by the jurisdictional separation </w:t>
      </w:r>
      <w:r w:rsidRPr="00EC60CB">
        <w:tab/>
      </w:r>
      <w:r w:rsidRPr="00EC60CB">
        <w:tab/>
      </w:r>
      <w:r w:rsidRPr="00EC60CB">
        <w:tab/>
        <w:t xml:space="preserve">factor, excluding the GPIF reward or penalty, and the revenue tax </w:t>
      </w:r>
      <w:r w:rsidRPr="00EC60CB">
        <w:tab/>
      </w:r>
      <w:r w:rsidRPr="00EC60CB">
        <w:tab/>
      </w:r>
      <w:r w:rsidRPr="00EC60CB">
        <w:tab/>
        <w:t>factor, but including the prior period true up amounts.</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14A:</w:t>
      </w:r>
      <w:r w:rsidRPr="00EC60CB">
        <w:tab/>
        <w:t>FPL has properly reflected in its 2016 GPIF targets/ranges the effects of acquiring the Cedar Bay facility and terminating the existing Cedar Bay power purchase agreement consistent with the terms of the settlement agreement between FPL and OPC approved in Docket No. 150075-EI.</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17:</w:t>
      </w:r>
      <w:r w:rsidRPr="00EC60CB">
        <w:tab/>
        <w:t>The appropriate generation performance incentive factor (GPIF) reward or penalty for performance achieved during the period January 2014 through December 2014 for each investor-owned electric utility subject to the GPIF is as follows:</w:t>
      </w:r>
    </w:p>
    <w:p w:rsidR="007F2B0B" w:rsidRPr="00EC60CB" w:rsidRDefault="007F2B0B" w:rsidP="007F2B0B">
      <w:pPr>
        <w:ind w:left="1440" w:hanging="1440"/>
        <w:jc w:val="both"/>
      </w:pPr>
      <w:r w:rsidRPr="00EC60CB">
        <w:tab/>
        <w:t>FPL:</w:t>
      </w:r>
      <w:r w:rsidRPr="00EC60CB">
        <w:tab/>
      </w:r>
      <w:r w:rsidRPr="00EC60CB">
        <w:tab/>
        <w:t>$23,303,114 reward</w:t>
      </w:r>
    </w:p>
    <w:p w:rsidR="007F2B0B" w:rsidRPr="00EC60CB" w:rsidRDefault="007F2B0B" w:rsidP="007F2B0B">
      <w:pPr>
        <w:ind w:left="1440" w:hanging="1440"/>
        <w:jc w:val="both"/>
      </w:pPr>
      <w:r w:rsidRPr="00EC60CB">
        <w:tab/>
        <w:t>DEF:</w:t>
      </w:r>
      <w:r w:rsidRPr="00EC60CB">
        <w:tab/>
      </w:r>
      <w:r w:rsidRPr="00EC60CB">
        <w:tab/>
        <w:t>$8,613,797 penalty</w:t>
      </w:r>
    </w:p>
    <w:p w:rsidR="007F2B0B" w:rsidRPr="00EC60CB" w:rsidRDefault="007F2B0B" w:rsidP="007F2B0B">
      <w:pPr>
        <w:ind w:left="1440" w:hanging="1440"/>
        <w:jc w:val="both"/>
      </w:pPr>
      <w:r w:rsidRPr="00EC60CB">
        <w:tab/>
        <w:t>Gulf:</w:t>
      </w:r>
      <w:r w:rsidRPr="00EC60CB">
        <w:tab/>
      </w:r>
      <w:r w:rsidRPr="00EC60CB">
        <w:tab/>
        <w:t>$2,648,312 reward</w:t>
      </w:r>
    </w:p>
    <w:p w:rsidR="007F2B0B" w:rsidRPr="00EC60CB" w:rsidRDefault="007F2B0B" w:rsidP="007F2B0B">
      <w:pPr>
        <w:ind w:left="1440" w:hanging="1440"/>
        <w:jc w:val="both"/>
      </w:pPr>
      <w:r w:rsidRPr="00EC60CB">
        <w:tab/>
        <w:t>TECO:</w:t>
      </w:r>
      <w:r w:rsidRPr="00EC60CB">
        <w:tab/>
      </w:r>
      <w:r w:rsidRPr="00EC60CB">
        <w:tab/>
        <w:t>$1,258,600 reward</w:t>
      </w:r>
    </w:p>
    <w:p w:rsidR="007F2B0B" w:rsidRPr="00EC60CB" w:rsidRDefault="007F2B0B" w:rsidP="007F2B0B">
      <w:pPr>
        <w:ind w:left="1440" w:hanging="1440"/>
        <w:jc w:val="both"/>
      </w:pPr>
    </w:p>
    <w:p w:rsidR="007F2B0B" w:rsidRPr="00EC60CB" w:rsidRDefault="007F2B0B" w:rsidP="007F2B0B">
      <w:pPr>
        <w:ind w:left="1440" w:hanging="1440"/>
        <w:jc w:val="both"/>
      </w:pPr>
      <w:r>
        <w:br w:type="page"/>
      </w:r>
      <w:r w:rsidRPr="00EC60CB">
        <w:lastRenderedPageBreak/>
        <w:t>ISSUE 18:</w:t>
      </w:r>
      <w:r w:rsidRPr="00EC60CB">
        <w:tab/>
        <w:t>The appropriate GPIF targets/ranges for the period January 2016 through December 2016 for each investor-owned electric utility subject to the GPIF are shown below:</w:t>
      </w:r>
    </w:p>
    <w:p w:rsidR="007F2B0B" w:rsidRDefault="007F2B0B" w:rsidP="007F2B0B">
      <w:pPr>
        <w:tabs>
          <w:tab w:val="left" w:pos="8571"/>
        </w:tabs>
        <w:autoSpaceDE w:val="0"/>
        <w:autoSpaceDN w:val="0"/>
        <w:adjustRightInd w:val="0"/>
        <w:ind w:left="1440" w:hanging="1440"/>
        <w:jc w:val="both"/>
        <w:rPr>
          <w:bCs/>
        </w:rPr>
      </w:pPr>
    </w:p>
    <w:p w:rsidR="007F2B0B" w:rsidRDefault="007F2B0B" w:rsidP="007F2B0B">
      <w:pPr>
        <w:tabs>
          <w:tab w:val="left" w:pos="8571"/>
        </w:tabs>
        <w:autoSpaceDE w:val="0"/>
        <w:autoSpaceDN w:val="0"/>
        <w:adjustRightInd w:val="0"/>
        <w:ind w:left="1440" w:hanging="1440"/>
        <w:jc w:val="both"/>
        <w:rPr>
          <w:bCs/>
        </w:rPr>
      </w:pPr>
    </w:p>
    <w:p w:rsidR="007F2B0B" w:rsidRPr="00EC60CB" w:rsidRDefault="007F2B0B" w:rsidP="007F2B0B">
      <w:pPr>
        <w:tabs>
          <w:tab w:val="left" w:pos="8571"/>
        </w:tabs>
        <w:autoSpaceDE w:val="0"/>
        <w:autoSpaceDN w:val="0"/>
        <w:adjustRightInd w:val="0"/>
        <w:ind w:left="1440" w:hanging="1440"/>
        <w:jc w:val="both"/>
        <w:rPr>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7F2B0B" w:rsidRPr="00EC60CB" w:rsidTr="007F2B0B">
        <w:trPr>
          <w:cantSplit/>
          <w:tblHeader/>
        </w:trPr>
        <w:tc>
          <w:tcPr>
            <w:tcW w:w="9360" w:type="dxa"/>
            <w:gridSpan w:val="8"/>
            <w:shd w:val="clear" w:color="auto" w:fill="auto"/>
            <w:vAlign w:val="center"/>
          </w:tcPr>
          <w:p w:rsidR="007F2B0B" w:rsidRPr="00EC60CB" w:rsidRDefault="007F2B0B" w:rsidP="007F2B0B">
            <w:pPr>
              <w:jc w:val="center"/>
              <w:rPr>
                <w:b/>
                <w:sz w:val="28"/>
                <w:szCs w:val="28"/>
              </w:rPr>
            </w:pPr>
            <w:r w:rsidRPr="00EC60CB">
              <w:rPr>
                <w:b/>
                <w:sz w:val="28"/>
                <w:szCs w:val="28"/>
              </w:rPr>
              <w:t>GPIF Targets / Ranges for the period January 2016 through December 2016</w:t>
            </w:r>
          </w:p>
        </w:tc>
      </w:tr>
      <w:tr w:rsidR="007F2B0B" w:rsidRPr="00EC60CB" w:rsidTr="007F2B0B">
        <w:trPr>
          <w:cantSplit/>
          <w:tblHeader/>
        </w:trPr>
        <w:tc>
          <w:tcPr>
            <w:tcW w:w="1170" w:type="dxa"/>
            <w:vMerge w:val="restart"/>
            <w:shd w:val="clear" w:color="auto" w:fill="auto"/>
            <w:vAlign w:val="center"/>
          </w:tcPr>
          <w:p w:rsidR="007F2B0B" w:rsidRPr="00CD5CCD" w:rsidRDefault="007F2B0B" w:rsidP="007F2B0B">
            <w:pPr>
              <w:rPr>
                <w:rFonts w:cs="Calibri"/>
                <w:color w:val="000000"/>
              </w:rPr>
            </w:pPr>
            <w:r w:rsidRPr="00CD5CCD">
              <w:rPr>
                <w:rFonts w:cs="Calibri"/>
                <w:color w:val="000000"/>
              </w:rPr>
              <w:t>Company</w:t>
            </w:r>
          </w:p>
        </w:tc>
        <w:tc>
          <w:tcPr>
            <w:tcW w:w="1440" w:type="dxa"/>
            <w:vMerge w:val="restart"/>
            <w:shd w:val="clear" w:color="auto" w:fill="auto"/>
            <w:vAlign w:val="center"/>
          </w:tcPr>
          <w:p w:rsidR="007F2B0B" w:rsidRPr="00CD5CCD" w:rsidRDefault="007F2B0B" w:rsidP="007F2B0B">
            <w:pPr>
              <w:jc w:val="center"/>
              <w:rPr>
                <w:rFonts w:cs="Calibri"/>
              </w:rPr>
            </w:pPr>
            <w:r w:rsidRPr="00CD5CCD">
              <w:rPr>
                <w:rFonts w:cs="Calibri"/>
                <w:color w:val="000000"/>
              </w:rPr>
              <w:t>Plant/Unit</w:t>
            </w:r>
          </w:p>
        </w:tc>
        <w:tc>
          <w:tcPr>
            <w:tcW w:w="2880" w:type="dxa"/>
            <w:gridSpan w:val="3"/>
            <w:shd w:val="clear" w:color="auto" w:fill="auto"/>
          </w:tcPr>
          <w:p w:rsidR="007F2B0B" w:rsidRPr="00EC60CB" w:rsidRDefault="007F2B0B" w:rsidP="007F2B0B">
            <w:pPr>
              <w:jc w:val="center"/>
            </w:pPr>
            <w:r w:rsidRPr="00EC60CB">
              <w:t>EAF</w:t>
            </w:r>
          </w:p>
        </w:tc>
        <w:tc>
          <w:tcPr>
            <w:tcW w:w="3870" w:type="dxa"/>
            <w:gridSpan w:val="3"/>
            <w:shd w:val="clear" w:color="auto" w:fill="auto"/>
            <w:vAlign w:val="center"/>
          </w:tcPr>
          <w:p w:rsidR="007F2B0B" w:rsidRPr="00EC60CB" w:rsidRDefault="007F2B0B" w:rsidP="007F2B0B">
            <w:pPr>
              <w:jc w:val="center"/>
            </w:pPr>
            <w:r w:rsidRPr="00EC60CB">
              <w:t>ANOHR</w:t>
            </w:r>
          </w:p>
        </w:tc>
      </w:tr>
      <w:tr w:rsidR="007F2B0B" w:rsidRPr="00EC60CB" w:rsidTr="007F2B0B">
        <w:trPr>
          <w:cantSplit/>
          <w:tblHeader/>
        </w:trPr>
        <w:tc>
          <w:tcPr>
            <w:tcW w:w="1170" w:type="dxa"/>
            <w:vMerge/>
            <w:shd w:val="clear" w:color="auto" w:fill="auto"/>
          </w:tcPr>
          <w:p w:rsidR="007F2B0B" w:rsidRPr="00EC60CB" w:rsidRDefault="007F2B0B" w:rsidP="007F2B0B">
            <w:pPr>
              <w:rPr>
                <w:rFonts w:ascii="Calibri" w:hAnsi="Calibri"/>
                <w:color w:val="000000"/>
                <w:sz w:val="16"/>
                <w:szCs w:val="16"/>
              </w:rPr>
            </w:pPr>
          </w:p>
        </w:tc>
        <w:tc>
          <w:tcPr>
            <w:tcW w:w="1440" w:type="dxa"/>
            <w:vMerge/>
            <w:shd w:val="clear" w:color="auto" w:fill="auto"/>
          </w:tcPr>
          <w:p w:rsidR="007F2B0B" w:rsidRPr="00EC60CB" w:rsidRDefault="007F2B0B" w:rsidP="007F2B0B">
            <w:pPr>
              <w:rPr>
                <w:rFonts w:ascii="Calibri" w:hAnsi="Calibri"/>
                <w:color w:val="000000"/>
                <w:sz w:val="22"/>
                <w:szCs w:val="22"/>
              </w:rPr>
            </w:pPr>
          </w:p>
        </w:tc>
        <w:tc>
          <w:tcPr>
            <w:tcW w:w="900" w:type="dxa"/>
            <w:shd w:val="clear" w:color="auto" w:fill="auto"/>
            <w:vAlign w:val="center"/>
          </w:tcPr>
          <w:p w:rsidR="007F2B0B" w:rsidRPr="00EC60CB" w:rsidRDefault="007F2B0B" w:rsidP="007F2B0B">
            <w:pPr>
              <w:jc w:val="center"/>
            </w:pPr>
            <w:r w:rsidRPr="00EC60CB">
              <w:t>Target</w:t>
            </w:r>
          </w:p>
        </w:tc>
        <w:tc>
          <w:tcPr>
            <w:tcW w:w="1980" w:type="dxa"/>
            <w:gridSpan w:val="2"/>
            <w:shd w:val="clear" w:color="auto" w:fill="auto"/>
            <w:vAlign w:val="center"/>
          </w:tcPr>
          <w:p w:rsidR="007F2B0B" w:rsidRPr="00EC60CB" w:rsidRDefault="007F2B0B" w:rsidP="007F2B0B">
            <w:pPr>
              <w:jc w:val="center"/>
            </w:pPr>
            <w:r w:rsidRPr="00EC60CB">
              <w:t>Maximum</w:t>
            </w:r>
          </w:p>
        </w:tc>
        <w:tc>
          <w:tcPr>
            <w:tcW w:w="1260" w:type="dxa"/>
            <w:shd w:val="clear" w:color="auto" w:fill="auto"/>
            <w:vAlign w:val="center"/>
          </w:tcPr>
          <w:p w:rsidR="007F2B0B" w:rsidRPr="00EC60CB" w:rsidRDefault="007F2B0B" w:rsidP="007F2B0B">
            <w:pPr>
              <w:jc w:val="center"/>
            </w:pPr>
            <w:r w:rsidRPr="00EC60CB">
              <w:t>Target</w:t>
            </w:r>
          </w:p>
        </w:tc>
        <w:tc>
          <w:tcPr>
            <w:tcW w:w="2610" w:type="dxa"/>
            <w:gridSpan w:val="2"/>
            <w:shd w:val="clear" w:color="auto" w:fill="auto"/>
            <w:vAlign w:val="center"/>
          </w:tcPr>
          <w:p w:rsidR="007F2B0B" w:rsidRPr="00EC60CB" w:rsidRDefault="007F2B0B" w:rsidP="007F2B0B">
            <w:pPr>
              <w:jc w:val="center"/>
            </w:pPr>
            <w:r w:rsidRPr="00EC60CB">
              <w:t>Maximum</w:t>
            </w:r>
          </w:p>
        </w:tc>
      </w:tr>
      <w:tr w:rsidR="007F2B0B" w:rsidRPr="00EC60CB" w:rsidTr="007F2B0B">
        <w:trPr>
          <w:cantSplit/>
          <w:trHeight w:val="665"/>
          <w:tblHeader/>
        </w:trPr>
        <w:tc>
          <w:tcPr>
            <w:tcW w:w="1170" w:type="dxa"/>
            <w:vMerge/>
            <w:tcBorders>
              <w:bottom w:val="single" w:sz="4" w:space="0" w:color="auto"/>
            </w:tcBorders>
            <w:shd w:val="clear" w:color="auto" w:fill="auto"/>
          </w:tcPr>
          <w:p w:rsidR="007F2B0B" w:rsidRPr="00EC60CB" w:rsidRDefault="007F2B0B" w:rsidP="007F2B0B"/>
        </w:tc>
        <w:tc>
          <w:tcPr>
            <w:tcW w:w="1440" w:type="dxa"/>
            <w:vMerge/>
            <w:tcBorders>
              <w:bottom w:val="single" w:sz="4" w:space="0" w:color="auto"/>
            </w:tcBorders>
            <w:shd w:val="clear" w:color="auto" w:fill="auto"/>
          </w:tcPr>
          <w:p w:rsidR="007F2B0B" w:rsidRPr="00EC60CB" w:rsidRDefault="007F2B0B" w:rsidP="007F2B0B"/>
        </w:tc>
        <w:tc>
          <w:tcPr>
            <w:tcW w:w="900" w:type="dxa"/>
            <w:tcBorders>
              <w:bottom w:val="single" w:sz="4" w:space="0" w:color="auto"/>
            </w:tcBorders>
            <w:shd w:val="clear" w:color="auto" w:fill="auto"/>
            <w:vAlign w:val="center"/>
          </w:tcPr>
          <w:p w:rsidR="007F2B0B" w:rsidRPr="00EC60CB" w:rsidRDefault="007F2B0B" w:rsidP="007F2B0B">
            <w:pPr>
              <w:jc w:val="center"/>
            </w:pPr>
            <w:r w:rsidRPr="00EC60CB">
              <w:t>EAF</w:t>
            </w:r>
          </w:p>
          <w:p w:rsidR="007F2B0B" w:rsidRPr="00EC60CB" w:rsidRDefault="007F2B0B" w:rsidP="007F2B0B">
            <w:pPr>
              <w:jc w:val="center"/>
            </w:pPr>
            <w:r w:rsidRPr="00EC60CB">
              <w:t>( % )</w:t>
            </w:r>
          </w:p>
        </w:tc>
        <w:tc>
          <w:tcPr>
            <w:tcW w:w="900" w:type="dxa"/>
            <w:tcBorders>
              <w:bottom w:val="single" w:sz="4" w:space="0" w:color="auto"/>
            </w:tcBorders>
            <w:shd w:val="clear" w:color="auto" w:fill="auto"/>
            <w:vAlign w:val="center"/>
          </w:tcPr>
          <w:p w:rsidR="007F2B0B" w:rsidRPr="00EC60CB" w:rsidRDefault="007F2B0B" w:rsidP="007F2B0B">
            <w:pPr>
              <w:jc w:val="center"/>
            </w:pPr>
            <w:r w:rsidRPr="00EC60CB">
              <w:t>EAF</w:t>
            </w:r>
          </w:p>
          <w:p w:rsidR="007F2B0B" w:rsidRPr="00EC60CB" w:rsidRDefault="007F2B0B" w:rsidP="007F2B0B">
            <w:pPr>
              <w:jc w:val="center"/>
            </w:pPr>
            <w:r w:rsidRPr="00EC60CB">
              <w:t>( % )</w:t>
            </w:r>
          </w:p>
        </w:tc>
        <w:tc>
          <w:tcPr>
            <w:tcW w:w="1080" w:type="dxa"/>
            <w:tcBorders>
              <w:bottom w:val="single" w:sz="4" w:space="0" w:color="auto"/>
            </w:tcBorders>
            <w:shd w:val="clear" w:color="auto" w:fill="auto"/>
            <w:vAlign w:val="center"/>
          </w:tcPr>
          <w:p w:rsidR="007F2B0B" w:rsidRPr="00EC60CB" w:rsidRDefault="007F2B0B" w:rsidP="007F2B0B">
            <w:pPr>
              <w:jc w:val="center"/>
            </w:pPr>
            <w:r w:rsidRPr="00EC60CB">
              <w:t>Savings</w:t>
            </w:r>
          </w:p>
          <w:p w:rsidR="007F2B0B" w:rsidRPr="00EC60CB" w:rsidRDefault="007F2B0B" w:rsidP="007F2B0B">
            <w:pPr>
              <w:jc w:val="center"/>
            </w:pPr>
            <w:r w:rsidRPr="00EC60CB">
              <w:t>($000's)</w:t>
            </w:r>
          </w:p>
        </w:tc>
        <w:tc>
          <w:tcPr>
            <w:tcW w:w="1260" w:type="dxa"/>
            <w:tcBorders>
              <w:bottom w:val="single" w:sz="4" w:space="0" w:color="auto"/>
            </w:tcBorders>
            <w:shd w:val="clear" w:color="auto" w:fill="auto"/>
            <w:vAlign w:val="center"/>
          </w:tcPr>
          <w:p w:rsidR="007F2B0B" w:rsidRPr="00EC60CB" w:rsidRDefault="007F2B0B" w:rsidP="007F2B0B">
            <w:pPr>
              <w:jc w:val="center"/>
              <w:rPr>
                <w:sz w:val="22"/>
                <w:szCs w:val="22"/>
              </w:rPr>
            </w:pPr>
            <w:r w:rsidRPr="00EC60CB">
              <w:rPr>
                <w:sz w:val="22"/>
                <w:szCs w:val="22"/>
              </w:rPr>
              <w:t>ANOHR</w:t>
            </w:r>
          </w:p>
          <w:p w:rsidR="007F2B0B" w:rsidRPr="00EC60CB" w:rsidRDefault="007F2B0B" w:rsidP="007F2B0B">
            <w:pPr>
              <w:jc w:val="center"/>
              <w:rPr>
                <w:sz w:val="22"/>
                <w:szCs w:val="22"/>
              </w:rPr>
            </w:pPr>
            <w:r w:rsidRPr="00EC60CB">
              <w:rPr>
                <w:sz w:val="22"/>
                <w:szCs w:val="22"/>
              </w:rPr>
              <w:t>BTU/KWH</w:t>
            </w:r>
          </w:p>
        </w:tc>
        <w:tc>
          <w:tcPr>
            <w:tcW w:w="1260" w:type="dxa"/>
            <w:tcBorders>
              <w:bottom w:val="single" w:sz="4" w:space="0" w:color="auto"/>
            </w:tcBorders>
            <w:shd w:val="clear" w:color="auto" w:fill="auto"/>
            <w:vAlign w:val="center"/>
          </w:tcPr>
          <w:p w:rsidR="007F2B0B" w:rsidRPr="00EC60CB" w:rsidRDefault="007F2B0B" w:rsidP="007F2B0B">
            <w:pPr>
              <w:jc w:val="center"/>
              <w:rPr>
                <w:sz w:val="22"/>
                <w:szCs w:val="22"/>
              </w:rPr>
            </w:pPr>
            <w:r w:rsidRPr="00EC60CB">
              <w:rPr>
                <w:sz w:val="22"/>
                <w:szCs w:val="22"/>
              </w:rPr>
              <w:t>ANOHR</w:t>
            </w:r>
          </w:p>
          <w:p w:rsidR="007F2B0B" w:rsidRPr="00EC60CB" w:rsidRDefault="007F2B0B" w:rsidP="007F2B0B">
            <w:pPr>
              <w:jc w:val="center"/>
              <w:rPr>
                <w:sz w:val="22"/>
                <w:szCs w:val="22"/>
              </w:rPr>
            </w:pPr>
            <w:r w:rsidRPr="00EC60CB">
              <w:rPr>
                <w:sz w:val="22"/>
                <w:szCs w:val="22"/>
              </w:rPr>
              <w:t>BTU/KWH</w:t>
            </w:r>
          </w:p>
        </w:tc>
        <w:tc>
          <w:tcPr>
            <w:tcW w:w="1350" w:type="dxa"/>
            <w:tcBorders>
              <w:bottom w:val="single" w:sz="4" w:space="0" w:color="auto"/>
            </w:tcBorders>
            <w:shd w:val="clear" w:color="auto" w:fill="auto"/>
            <w:vAlign w:val="center"/>
          </w:tcPr>
          <w:p w:rsidR="007F2B0B" w:rsidRPr="00EC60CB" w:rsidRDefault="007F2B0B" w:rsidP="007F2B0B">
            <w:pPr>
              <w:jc w:val="center"/>
            </w:pPr>
            <w:r w:rsidRPr="00EC60CB">
              <w:t>Savings</w:t>
            </w:r>
          </w:p>
          <w:p w:rsidR="007F2B0B" w:rsidRPr="00EC60CB" w:rsidRDefault="007F2B0B" w:rsidP="007F2B0B">
            <w:pPr>
              <w:jc w:val="center"/>
            </w:pPr>
            <w:r w:rsidRPr="00EC60CB">
              <w:t>($000's)</w:t>
            </w:r>
          </w:p>
        </w:tc>
      </w:tr>
      <w:tr w:rsidR="007F2B0B" w:rsidRPr="00EC60CB" w:rsidTr="007F2B0B">
        <w:trPr>
          <w:trHeight w:val="300"/>
        </w:trPr>
        <w:tc>
          <w:tcPr>
            <w:tcW w:w="1170" w:type="dxa"/>
            <w:vMerge w:val="restart"/>
            <w:shd w:val="clear" w:color="auto" w:fill="auto"/>
            <w:noWrap/>
            <w:vAlign w:val="center"/>
            <w:hideMark/>
          </w:tcPr>
          <w:p w:rsidR="007F2B0B" w:rsidRPr="00EC60CB" w:rsidRDefault="007F2B0B" w:rsidP="007F2B0B">
            <w:pPr>
              <w:jc w:val="center"/>
            </w:pPr>
            <w:r w:rsidRPr="00EC60CB">
              <w:t>FPL</w:t>
            </w:r>
          </w:p>
        </w:tc>
        <w:tc>
          <w:tcPr>
            <w:tcW w:w="1440" w:type="dxa"/>
            <w:shd w:val="clear" w:color="auto" w:fill="auto"/>
            <w:noWrap/>
            <w:vAlign w:val="center"/>
            <w:hideMark/>
          </w:tcPr>
          <w:p w:rsidR="007F2B0B" w:rsidRPr="00EC60CB" w:rsidRDefault="007F2B0B" w:rsidP="007F2B0B">
            <w:pPr>
              <w:jc w:val="center"/>
            </w:pPr>
            <w:r w:rsidRPr="00EC60CB">
              <w:t>Ft. Myers 2</w:t>
            </w:r>
          </w:p>
        </w:tc>
        <w:tc>
          <w:tcPr>
            <w:tcW w:w="900" w:type="dxa"/>
            <w:shd w:val="clear" w:color="auto" w:fill="auto"/>
            <w:noWrap/>
            <w:vAlign w:val="center"/>
            <w:hideMark/>
          </w:tcPr>
          <w:p w:rsidR="007F2B0B" w:rsidRPr="00EC60CB" w:rsidRDefault="007F2B0B" w:rsidP="007F2B0B">
            <w:pPr>
              <w:jc w:val="center"/>
            </w:pPr>
            <w:r w:rsidRPr="00EC60CB">
              <w:t>90.3</w:t>
            </w:r>
          </w:p>
        </w:tc>
        <w:tc>
          <w:tcPr>
            <w:tcW w:w="900" w:type="dxa"/>
            <w:shd w:val="clear" w:color="auto" w:fill="auto"/>
            <w:noWrap/>
            <w:vAlign w:val="center"/>
            <w:hideMark/>
          </w:tcPr>
          <w:p w:rsidR="007F2B0B" w:rsidRPr="00EC60CB" w:rsidRDefault="007F2B0B" w:rsidP="007F2B0B">
            <w:pPr>
              <w:jc w:val="center"/>
            </w:pPr>
            <w:r w:rsidRPr="00EC60CB">
              <w:t>92.8</w:t>
            </w:r>
          </w:p>
        </w:tc>
        <w:tc>
          <w:tcPr>
            <w:tcW w:w="1080" w:type="dxa"/>
            <w:shd w:val="clear" w:color="auto" w:fill="auto"/>
            <w:noWrap/>
            <w:vAlign w:val="center"/>
            <w:hideMark/>
          </w:tcPr>
          <w:p w:rsidR="007F2B0B" w:rsidRPr="00EC60CB" w:rsidRDefault="007F2B0B" w:rsidP="007F2B0B">
            <w:pPr>
              <w:jc w:val="center"/>
            </w:pPr>
            <w:r w:rsidRPr="00EC60CB">
              <w:t>2,696</w:t>
            </w:r>
          </w:p>
        </w:tc>
        <w:tc>
          <w:tcPr>
            <w:tcW w:w="1260" w:type="dxa"/>
            <w:shd w:val="clear" w:color="auto" w:fill="auto"/>
            <w:noWrap/>
            <w:vAlign w:val="center"/>
            <w:hideMark/>
          </w:tcPr>
          <w:p w:rsidR="007F2B0B" w:rsidRPr="00EC60CB" w:rsidRDefault="007F2B0B" w:rsidP="007F2B0B">
            <w:pPr>
              <w:jc w:val="center"/>
            </w:pPr>
            <w:r w:rsidRPr="00EC60CB">
              <w:t>7,344</w:t>
            </w:r>
          </w:p>
        </w:tc>
        <w:tc>
          <w:tcPr>
            <w:tcW w:w="1260" w:type="dxa"/>
            <w:shd w:val="clear" w:color="auto" w:fill="auto"/>
            <w:noWrap/>
            <w:vAlign w:val="center"/>
            <w:hideMark/>
          </w:tcPr>
          <w:p w:rsidR="007F2B0B" w:rsidRPr="00EC60CB" w:rsidRDefault="007F2B0B" w:rsidP="007F2B0B">
            <w:pPr>
              <w:jc w:val="center"/>
            </w:pPr>
            <w:r w:rsidRPr="00EC60CB">
              <w:t>7,190</w:t>
            </w:r>
          </w:p>
        </w:tc>
        <w:tc>
          <w:tcPr>
            <w:tcW w:w="1350" w:type="dxa"/>
            <w:shd w:val="clear" w:color="auto" w:fill="auto"/>
            <w:noWrap/>
            <w:vAlign w:val="center"/>
            <w:hideMark/>
          </w:tcPr>
          <w:p w:rsidR="007F2B0B" w:rsidRPr="00EC60CB" w:rsidRDefault="007F2B0B" w:rsidP="007F2B0B">
            <w:pPr>
              <w:jc w:val="center"/>
            </w:pPr>
            <w:r w:rsidRPr="00EC60CB">
              <w:t>6,035</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vAlign w:val="center"/>
            <w:hideMark/>
          </w:tcPr>
          <w:p w:rsidR="007F2B0B" w:rsidRPr="00EC60CB" w:rsidRDefault="007F2B0B" w:rsidP="007F2B0B">
            <w:pPr>
              <w:jc w:val="center"/>
            </w:pPr>
            <w:r w:rsidRPr="00EC60CB">
              <w:t>Martin 8</w:t>
            </w:r>
          </w:p>
        </w:tc>
        <w:tc>
          <w:tcPr>
            <w:tcW w:w="900" w:type="dxa"/>
            <w:shd w:val="clear" w:color="auto" w:fill="auto"/>
            <w:noWrap/>
            <w:vAlign w:val="center"/>
            <w:hideMark/>
          </w:tcPr>
          <w:p w:rsidR="007F2B0B" w:rsidRPr="00EC60CB" w:rsidRDefault="007F2B0B" w:rsidP="007F2B0B">
            <w:pPr>
              <w:jc w:val="center"/>
            </w:pPr>
            <w:r w:rsidRPr="00EC60CB">
              <w:t>82.3</w:t>
            </w:r>
          </w:p>
        </w:tc>
        <w:tc>
          <w:tcPr>
            <w:tcW w:w="900" w:type="dxa"/>
            <w:shd w:val="clear" w:color="auto" w:fill="auto"/>
            <w:noWrap/>
            <w:vAlign w:val="center"/>
            <w:hideMark/>
          </w:tcPr>
          <w:p w:rsidR="007F2B0B" w:rsidRPr="00EC60CB" w:rsidRDefault="007F2B0B" w:rsidP="007F2B0B">
            <w:pPr>
              <w:jc w:val="center"/>
            </w:pPr>
            <w:r w:rsidRPr="00EC60CB">
              <w:t>84.3</w:t>
            </w:r>
          </w:p>
        </w:tc>
        <w:tc>
          <w:tcPr>
            <w:tcW w:w="1080" w:type="dxa"/>
            <w:shd w:val="clear" w:color="auto" w:fill="auto"/>
            <w:noWrap/>
            <w:vAlign w:val="center"/>
            <w:hideMark/>
          </w:tcPr>
          <w:p w:rsidR="007F2B0B" w:rsidRPr="00EC60CB" w:rsidRDefault="007F2B0B" w:rsidP="007F2B0B">
            <w:pPr>
              <w:jc w:val="center"/>
            </w:pPr>
            <w:r w:rsidRPr="00EC60CB">
              <w:t>1,681</w:t>
            </w:r>
          </w:p>
        </w:tc>
        <w:tc>
          <w:tcPr>
            <w:tcW w:w="1260" w:type="dxa"/>
            <w:shd w:val="clear" w:color="auto" w:fill="auto"/>
            <w:noWrap/>
            <w:vAlign w:val="center"/>
            <w:hideMark/>
          </w:tcPr>
          <w:p w:rsidR="007F2B0B" w:rsidRPr="00EC60CB" w:rsidRDefault="007F2B0B" w:rsidP="007F2B0B">
            <w:pPr>
              <w:jc w:val="center"/>
            </w:pPr>
            <w:r w:rsidRPr="00EC60CB">
              <w:t>7,017</w:t>
            </w:r>
          </w:p>
        </w:tc>
        <w:tc>
          <w:tcPr>
            <w:tcW w:w="1260" w:type="dxa"/>
            <w:shd w:val="clear" w:color="auto" w:fill="auto"/>
            <w:noWrap/>
            <w:vAlign w:val="center"/>
            <w:hideMark/>
          </w:tcPr>
          <w:p w:rsidR="007F2B0B" w:rsidRPr="00EC60CB" w:rsidRDefault="007F2B0B" w:rsidP="007F2B0B">
            <w:pPr>
              <w:jc w:val="center"/>
            </w:pPr>
            <w:r w:rsidRPr="00EC60CB">
              <w:t>6,927</w:t>
            </w:r>
          </w:p>
        </w:tc>
        <w:tc>
          <w:tcPr>
            <w:tcW w:w="1350" w:type="dxa"/>
            <w:shd w:val="clear" w:color="auto" w:fill="auto"/>
            <w:noWrap/>
            <w:vAlign w:val="center"/>
            <w:hideMark/>
          </w:tcPr>
          <w:p w:rsidR="007F2B0B" w:rsidRPr="00EC60CB" w:rsidRDefault="007F2B0B" w:rsidP="007F2B0B">
            <w:pPr>
              <w:jc w:val="center"/>
            </w:pPr>
            <w:r w:rsidRPr="00EC60CB">
              <w:t>2,261</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vAlign w:val="center"/>
            <w:hideMark/>
          </w:tcPr>
          <w:p w:rsidR="007F2B0B" w:rsidRPr="00EC60CB" w:rsidRDefault="007F2B0B" w:rsidP="007F2B0B">
            <w:pPr>
              <w:jc w:val="center"/>
            </w:pPr>
            <w:r w:rsidRPr="00EC60CB">
              <w:t>Manatee 3</w:t>
            </w:r>
          </w:p>
        </w:tc>
        <w:tc>
          <w:tcPr>
            <w:tcW w:w="900" w:type="dxa"/>
            <w:shd w:val="clear" w:color="auto" w:fill="auto"/>
            <w:noWrap/>
            <w:vAlign w:val="center"/>
            <w:hideMark/>
          </w:tcPr>
          <w:p w:rsidR="007F2B0B" w:rsidRPr="00EC60CB" w:rsidRDefault="007F2B0B" w:rsidP="007F2B0B">
            <w:pPr>
              <w:jc w:val="center"/>
            </w:pPr>
            <w:r w:rsidRPr="00EC60CB">
              <w:t>92.6</w:t>
            </w:r>
          </w:p>
        </w:tc>
        <w:tc>
          <w:tcPr>
            <w:tcW w:w="900" w:type="dxa"/>
            <w:shd w:val="clear" w:color="auto" w:fill="auto"/>
            <w:noWrap/>
            <w:vAlign w:val="center"/>
            <w:hideMark/>
          </w:tcPr>
          <w:p w:rsidR="007F2B0B" w:rsidRPr="00EC60CB" w:rsidRDefault="007F2B0B" w:rsidP="007F2B0B">
            <w:pPr>
              <w:jc w:val="center"/>
            </w:pPr>
            <w:r w:rsidRPr="00EC60CB">
              <w:t>95.1</w:t>
            </w:r>
          </w:p>
        </w:tc>
        <w:tc>
          <w:tcPr>
            <w:tcW w:w="1080" w:type="dxa"/>
            <w:shd w:val="clear" w:color="auto" w:fill="auto"/>
            <w:noWrap/>
            <w:vAlign w:val="center"/>
            <w:hideMark/>
          </w:tcPr>
          <w:p w:rsidR="007F2B0B" w:rsidRPr="00EC60CB" w:rsidRDefault="007F2B0B" w:rsidP="007F2B0B">
            <w:pPr>
              <w:jc w:val="center"/>
            </w:pPr>
            <w:r w:rsidRPr="00EC60CB">
              <w:t>2,127</w:t>
            </w:r>
          </w:p>
        </w:tc>
        <w:tc>
          <w:tcPr>
            <w:tcW w:w="1260" w:type="dxa"/>
            <w:shd w:val="clear" w:color="auto" w:fill="auto"/>
            <w:noWrap/>
            <w:vAlign w:val="center"/>
            <w:hideMark/>
          </w:tcPr>
          <w:p w:rsidR="007F2B0B" w:rsidRPr="00EC60CB" w:rsidRDefault="007F2B0B" w:rsidP="007F2B0B">
            <w:pPr>
              <w:jc w:val="center"/>
            </w:pPr>
            <w:r w:rsidRPr="00EC60CB">
              <w:t>7,011</w:t>
            </w:r>
          </w:p>
        </w:tc>
        <w:tc>
          <w:tcPr>
            <w:tcW w:w="1260" w:type="dxa"/>
            <w:shd w:val="clear" w:color="auto" w:fill="auto"/>
            <w:noWrap/>
            <w:vAlign w:val="center"/>
            <w:hideMark/>
          </w:tcPr>
          <w:p w:rsidR="007F2B0B" w:rsidRPr="00EC60CB" w:rsidRDefault="007F2B0B" w:rsidP="007F2B0B">
            <w:pPr>
              <w:jc w:val="center"/>
            </w:pPr>
            <w:r w:rsidRPr="00EC60CB">
              <w:t>6,873</w:t>
            </w:r>
          </w:p>
        </w:tc>
        <w:tc>
          <w:tcPr>
            <w:tcW w:w="1350" w:type="dxa"/>
            <w:shd w:val="clear" w:color="auto" w:fill="auto"/>
            <w:noWrap/>
            <w:vAlign w:val="center"/>
            <w:hideMark/>
          </w:tcPr>
          <w:p w:rsidR="007F2B0B" w:rsidRPr="00EC60CB" w:rsidRDefault="007F2B0B" w:rsidP="007F2B0B">
            <w:pPr>
              <w:jc w:val="center"/>
            </w:pPr>
            <w:r w:rsidRPr="00EC60CB">
              <w:t>3,765</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vAlign w:val="center"/>
            <w:hideMark/>
          </w:tcPr>
          <w:p w:rsidR="007F2B0B" w:rsidRPr="00EC60CB" w:rsidRDefault="007F2B0B" w:rsidP="007F2B0B">
            <w:pPr>
              <w:jc w:val="center"/>
            </w:pPr>
            <w:r w:rsidRPr="00EC60CB">
              <w:t>St. Lucie 1</w:t>
            </w:r>
          </w:p>
        </w:tc>
        <w:tc>
          <w:tcPr>
            <w:tcW w:w="900" w:type="dxa"/>
            <w:shd w:val="clear" w:color="auto" w:fill="auto"/>
            <w:noWrap/>
            <w:vAlign w:val="center"/>
            <w:hideMark/>
          </w:tcPr>
          <w:p w:rsidR="007F2B0B" w:rsidRPr="00EC60CB" w:rsidRDefault="007F2B0B" w:rsidP="007F2B0B">
            <w:pPr>
              <w:jc w:val="center"/>
            </w:pPr>
            <w:r w:rsidRPr="00EC60CB">
              <w:t>85.1</w:t>
            </w:r>
          </w:p>
        </w:tc>
        <w:tc>
          <w:tcPr>
            <w:tcW w:w="900" w:type="dxa"/>
            <w:shd w:val="clear" w:color="auto" w:fill="auto"/>
            <w:noWrap/>
            <w:vAlign w:val="center"/>
            <w:hideMark/>
          </w:tcPr>
          <w:p w:rsidR="007F2B0B" w:rsidRPr="00EC60CB" w:rsidRDefault="007F2B0B" w:rsidP="007F2B0B">
            <w:pPr>
              <w:jc w:val="center"/>
            </w:pPr>
            <w:r w:rsidRPr="00EC60CB">
              <w:t>88.1</w:t>
            </w:r>
          </w:p>
        </w:tc>
        <w:tc>
          <w:tcPr>
            <w:tcW w:w="1080" w:type="dxa"/>
            <w:shd w:val="clear" w:color="auto" w:fill="auto"/>
            <w:noWrap/>
            <w:vAlign w:val="center"/>
            <w:hideMark/>
          </w:tcPr>
          <w:p w:rsidR="007F2B0B" w:rsidRPr="00EC60CB" w:rsidRDefault="007F2B0B" w:rsidP="007F2B0B">
            <w:pPr>
              <w:jc w:val="center"/>
            </w:pPr>
            <w:r w:rsidRPr="00EC60CB">
              <w:t>6,754</w:t>
            </w:r>
          </w:p>
        </w:tc>
        <w:tc>
          <w:tcPr>
            <w:tcW w:w="1260" w:type="dxa"/>
            <w:shd w:val="clear" w:color="auto" w:fill="auto"/>
            <w:noWrap/>
            <w:vAlign w:val="center"/>
            <w:hideMark/>
          </w:tcPr>
          <w:p w:rsidR="007F2B0B" w:rsidRPr="00EC60CB" w:rsidRDefault="007F2B0B" w:rsidP="007F2B0B">
            <w:pPr>
              <w:jc w:val="center"/>
            </w:pPr>
            <w:r w:rsidRPr="00EC60CB">
              <w:t>10,471</w:t>
            </w:r>
          </w:p>
        </w:tc>
        <w:tc>
          <w:tcPr>
            <w:tcW w:w="1260" w:type="dxa"/>
            <w:shd w:val="clear" w:color="auto" w:fill="auto"/>
            <w:noWrap/>
            <w:vAlign w:val="center"/>
            <w:hideMark/>
          </w:tcPr>
          <w:p w:rsidR="007F2B0B" w:rsidRPr="00EC60CB" w:rsidRDefault="007F2B0B" w:rsidP="007F2B0B">
            <w:pPr>
              <w:jc w:val="center"/>
            </w:pPr>
            <w:r w:rsidRPr="00EC60CB">
              <w:t>10,391</w:t>
            </w:r>
          </w:p>
        </w:tc>
        <w:tc>
          <w:tcPr>
            <w:tcW w:w="1350" w:type="dxa"/>
            <w:shd w:val="clear" w:color="auto" w:fill="auto"/>
            <w:noWrap/>
            <w:vAlign w:val="center"/>
            <w:hideMark/>
          </w:tcPr>
          <w:p w:rsidR="007F2B0B" w:rsidRPr="00EC60CB" w:rsidRDefault="007F2B0B" w:rsidP="007F2B0B">
            <w:pPr>
              <w:jc w:val="center"/>
            </w:pPr>
            <w:r w:rsidRPr="00EC60CB">
              <w:t>406</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vAlign w:val="center"/>
            <w:hideMark/>
          </w:tcPr>
          <w:p w:rsidR="007F2B0B" w:rsidRPr="00EC60CB" w:rsidRDefault="007F2B0B" w:rsidP="007F2B0B">
            <w:pPr>
              <w:jc w:val="center"/>
            </w:pPr>
            <w:r w:rsidRPr="00EC60CB">
              <w:t>St. Lucie 2</w:t>
            </w:r>
          </w:p>
        </w:tc>
        <w:tc>
          <w:tcPr>
            <w:tcW w:w="900" w:type="dxa"/>
            <w:shd w:val="clear" w:color="auto" w:fill="auto"/>
            <w:noWrap/>
            <w:vAlign w:val="center"/>
            <w:hideMark/>
          </w:tcPr>
          <w:p w:rsidR="007F2B0B" w:rsidRPr="00EC60CB" w:rsidRDefault="007F2B0B" w:rsidP="007F2B0B">
            <w:pPr>
              <w:jc w:val="center"/>
            </w:pPr>
            <w:r w:rsidRPr="00EC60CB">
              <w:t>92.5</w:t>
            </w:r>
          </w:p>
        </w:tc>
        <w:tc>
          <w:tcPr>
            <w:tcW w:w="900" w:type="dxa"/>
            <w:shd w:val="clear" w:color="auto" w:fill="auto"/>
            <w:noWrap/>
            <w:vAlign w:val="center"/>
            <w:hideMark/>
          </w:tcPr>
          <w:p w:rsidR="007F2B0B" w:rsidRPr="00EC60CB" w:rsidRDefault="007F2B0B" w:rsidP="007F2B0B">
            <w:pPr>
              <w:jc w:val="center"/>
            </w:pPr>
            <w:r w:rsidRPr="00EC60CB">
              <w:t>95.5</w:t>
            </w:r>
          </w:p>
        </w:tc>
        <w:tc>
          <w:tcPr>
            <w:tcW w:w="1080" w:type="dxa"/>
            <w:shd w:val="clear" w:color="auto" w:fill="auto"/>
            <w:noWrap/>
            <w:vAlign w:val="center"/>
            <w:hideMark/>
          </w:tcPr>
          <w:p w:rsidR="007F2B0B" w:rsidRPr="00EC60CB" w:rsidRDefault="007F2B0B" w:rsidP="007F2B0B">
            <w:pPr>
              <w:jc w:val="center"/>
            </w:pPr>
            <w:r w:rsidRPr="00EC60CB">
              <w:t>6,470</w:t>
            </w:r>
          </w:p>
        </w:tc>
        <w:tc>
          <w:tcPr>
            <w:tcW w:w="1260" w:type="dxa"/>
            <w:shd w:val="clear" w:color="auto" w:fill="auto"/>
            <w:noWrap/>
            <w:vAlign w:val="center"/>
            <w:hideMark/>
          </w:tcPr>
          <w:p w:rsidR="007F2B0B" w:rsidRPr="00EC60CB" w:rsidRDefault="007F2B0B" w:rsidP="007F2B0B">
            <w:pPr>
              <w:jc w:val="center"/>
            </w:pPr>
            <w:r w:rsidRPr="00EC60CB">
              <w:t>10,270</w:t>
            </w:r>
          </w:p>
        </w:tc>
        <w:tc>
          <w:tcPr>
            <w:tcW w:w="1260" w:type="dxa"/>
            <w:shd w:val="clear" w:color="auto" w:fill="auto"/>
            <w:noWrap/>
            <w:vAlign w:val="center"/>
            <w:hideMark/>
          </w:tcPr>
          <w:p w:rsidR="007F2B0B" w:rsidRPr="00EC60CB" w:rsidRDefault="007F2B0B" w:rsidP="007F2B0B">
            <w:pPr>
              <w:jc w:val="center"/>
            </w:pPr>
            <w:r w:rsidRPr="00EC60CB">
              <w:t>10,175</w:t>
            </w:r>
          </w:p>
        </w:tc>
        <w:tc>
          <w:tcPr>
            <w:tcW w:w="1350" w:type="dxa"/>
            <w:shd w:val="clear" w:color="auto" w:fill="auto"/>
            <w:noWrap/>
            <w:vAlign w:val="center"/>
            <w:hideMark/>
          </w:tcPr>
          <w:p w:rsidR="007F2B0B" w:rsidRPr="00EC60CB" w:rsidRDefault="007F2B0B" w:rsidP="007F2B0B">
            <w:pPr>
              <w:jc w:val="center"/>
            </w:pPr>
            <w:r w:rsidRPr="00EC60CB">
              <w:t>439</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vAlign w:val="center"/>
            <w:hideMark/>
          </w:tcPr>
          <w:p w:rsidR="007F2B0B" w:rsidRPr="00EC60CB" w:rsidRDefault="007F2B0B" w:rsidP="007F2B0B">
            <w:pPr>
              <w:jc w:val="center"/>
            </w:pPr>
            <w:r w:rsidRPr="00EC60CB">
              <w:t>Turkey Point 3</w:t>
            </w:r>
          </w:p>
        </w:tc>
        <w:tc>
          <w:tcPr>
            <w:tcW w:w="900" w:type="dxa"/>
            <w:shd w:val="clear" w:color="auto" w:fill="auto"/>
            <w:noWrap/>
            <w:vAlign w:val="center"/>
            <w:hideMark/>
          </w:tcPr>
          <w:p w:rsidR="007F2B0B" w:rsidRPr="00EC60CB" w:rsidRDefault="007F2B0B" w:rsidP="007F2B0B">
            <w:pPr>
              <w:jc w:val="center"/>
            </w:pPr>
            <w:r w:rsidRPr="00EC60CB">
              <w:t>90.8</w:t>
            </w:r>
          </w:p>
        </w:tc>
        <w:tc>
          <w:tcPr>
            <w:tcW w:w="900" w:type="dxa"/>
            <w:shd w:val="clear" w:color="auto" w:fill="auto"/>
            <w:noWrap/>
            <w:vAlign w:val="center"/>
            <w:hideMark/>
          </w:tcPr>
          <w:p w:rsidR="007F2B0B" w:rsidRPr="00EC60CB" w:rsidRDefault="007F2B0B" w:rsidP="007F2B0B">
            <w:pPr>
              <w:jc w:val="center"/>
            </w:pPr>
            <w:r w:rsidRPr="00EC60CB">
              <w:t>94.3</w:t>
            </w:r>
          </w:p>
        </w:tc>
        <w:tc>
          <w:tcPr>
            <w:tcW w:w="1080" w:type="dxa"/>
            <w:shd w:val="clear" w:color="auto" w:fill="auto"/>
            <w:noWrap/>
            <w:vAlign w:val="center"/>
            <w:hideMark/>
          </w:tcPr>
          <w:p w:rsidR="007F2B0B" w:rsidRPr="00EC60CB" w:rsidRDefault="007F2B0B" w:rsidP="007F2B0B">
            <w:pPr>
              <w:jc w:val="center"/>
            </w:pPr>
            <w:r w:rsidRPr="00EC60CB">
              <w:t>7,125</w:t>
            </w:r>
          </w:p>
        </w:tc>
        <w:tc>
          <w:tcPr>
            <w:tcW w:w="1260" w:type="dxa"/>
            <w:shd w:val="clear" w:color="auto" w:fill="auto"/>
            <w:noWrap/>
            <w:vAlign w:val="center"/>
            <w:hideMark/>
          </w:tcPr>
          <w:p w:rsidR="007F2B0B" w:rsidRPr="00EC60CB" w:rsidRDefault="007F2B0B" w:rsidP="007F2B0B">
            <w:pPr>
              <w:jc w:val="center"/>
            </w:pPr>
            <w:r w:rsidRPr="00EC60CB">
              <w:t>11,102</w:t>
            </w:r>
          </w:p>
        </w:tc>
        <w:tc>
          <w:tcPr>
            <w:tcW w:w="1260" w:type="dxa"/>
            <w:shd w:val="clear" w:color="auto" w:fill="auto"/>
            <w:noWrap/>
            <w:vAlign w:val="center"/>
            <w:hideMark/>
          </w:tcPr>
          <w:p w:rsidR="007F2B0B" w:rsidRPr="00EC60CB" w:rsidRDefault="007F2B0B" w:rsidP="007F2B0B">
            <w:pPr>
              <w:jc w:val="center"/>
            </w:pPr>
            <w:r w:rsidRPr="00EC60CB">
              <w:t>10,838</w:t>
            </w:r>
          </w:p>
        </w:tc>
        <w:tc>
          <w:tcPr>
            <w:tcW w:w="1350" w:type="dxa"/>
            <w:shd w:val="clear" w:color="auto" w:fill="auto"/>
            <w:noWrap/>
            <w:vAlign w:val="center"/>
            <w:hideMark/>
          </w:tcPr>
          <w:p w:rsidR="007F2B0B" w:rsidRPr="00EC60CB" w:rsidRDefault="007F2B0B" w:rsidP="007F2B0B">
            <w:pPr>
              <w:jc w:val="center"/>
            </w:pPr>
            <w:r w:rsidRPr="00EC60CB">
              <w:t>1,272</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vAlign w:val="center"/>
            <w:hideMark/>
          </w:tcPr>
          <w:p w:rsidR="007F2B0B" w:rsidRPr="00EC60CB" w:rsidRDefault="007F2B0B" w:rsidP="007F2B0B">
            <w:pPr>
              <w:jc w:val="center"/>
            </w:pPr>
            <w:r w:rsidRPr="00EC60CB">
              <w:t>Turkey Point 4</w:t>
            </w:r>
          </w:p>
        </w:tc>
        <w:tc>
          <w:tcPr>
            <w:tcW w:w="900" w:type="dxa"/>
            <w:shd w:val="clear" w:color="auto" w:fill="auto"/>
            <w:noWrap/>
            <w:vAlign w:val="center"/>
            <w:hideMark/>
          </w:tcPr>
          <w:p w:rsidR="007F2B0B" w:rsidRPr="00EC60CB" w:rsidRDefault="007F2B0B" w:rsidP="007F2B0B">
            <w:pPr>
              <w:jc w:val="center"/>
            </w:pPr>
            <w:r w:rsidRPr="00EC60CB">
              <w:t>84.6</w:t>
            </w:r>
          </w:p>
        </w:tc>
        <w:tc>
          <w:tcPr>
            <w:tcW w:w="900" w:type="dxa"/>
            <w:shd w:val="clear" w:color="auto" w:fill="auto"/>
            <w:noWrap/>
            <w:vAlign w:val="center"/>
            <w:hideMark/>
          </w:tcPr>
          <w:p w:rsidR="007F2B0B" w:rsidRPr="00EC60CB" w:rsidRDefault="007F2B0B" w:rsidP="007F2B0B">
            <w:pPr>
              <w:jc w:val="center"/>
            </w:pPr>
            <w:r w:rsidRPr="00EC60CB">
              <w:t>87.6</w:t>
            </w:r>
          </w:p>
        </w:tc>
        <w:tc>
          <w:tcPr>
            <w:tcW w:w="1080" w:type="dxa"/>
            <w:shd w:val="clear" w:color="auto" w:fill="auto"/>
            <w:noWrap/>
            <w:vAlign w:val="center"/>
            <w:hideMark/>
          </w:tcPr>
          <w:p w:rsidR="007F2B0B" w:rsidRPr="00EC60CB" w:rsidRDefault="007F2B0B" w:rsidP="007F2B0B">
            <w:pPr>
              <w:jc w:val="center"/>
            </w:pPr>
            <w:r w:rsidRPr="00EC60CB">
              <w:t>5,710</w:t>
            </w:r>
          </w:p>
        </w:tc>
        <w:tc>
          <w:tcPr>
            <w:tcW w:w="1260" w:type="dxa"/>
            <w:shd w:val="clear" w:color="auto" w:fill="auto"/>
            <w:noWrap/>
            <w:vAlign w:val="center"/>
            <w:hideMark/>
          </w:tcPr>
          <w:p w:rsidR="007F2B0B" w:rsidRPr="00EC60CB" w:rsidRDefault="007F2B0B" w:rsidP="007F2B0B">
            <w:pPr>
              <w:jc w:val="center"/>
            </w:pPr>
            <w:r w:rsidRPr="00EC60CB">
              <w:t>11,082</w:t>
            </w:r>
          </w:p>
        </w:tc>
        <w:tc>
          <w:tcPr>
            <w:tcW w:w="1260" w:type="dxa"/>
            <w:shd w:val="clear" w:color="auto" w:fill="auto"/>
            <w:noWrap/>
            <w:vAlign w:val="center"/>
            <w:hideMark/>
          </w:tcPr>
          <w:p w:rsidR="007F2B0B" w:rsidRPr="00EC60CB" w:rsidRDefault="007F2B0B" w:rsidP="007F2B0B">
            <w:pPr>
              <w:jc w:val="center"/>
            </w:pPr>
            <w:r w:rsidRPr="00EC60CB">
              <w:t>10,872</w:t>
            </w:r>
          </w:p>
        </w:tc>
        <w:tc>
          <w:tcPr>
            <w:tcW w:w="1350" w:type="dxa"/>
            <w:shd w:val="clear" w:color="auto" w:fill="auto"/>
            <w:noWrap/>
            <w:vAlign w:val="center"/>
            <w:hideMark/>
          </w:tcPr>
          <w:p w:rsidR="007F2B0B" w:rsidRPr="00EC60CB" w:rsidRDefault="007F2B0B" w:rsidP="007F2B0B">
            <w:pPr>
              <w:jc w:val="center"/>
            </w:pPr>
            <w:r w:rsidRPr="00EC60CB">
              <w:t>861</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vAlign w:val="center"/>
            <w:hideMark/>
          </w:tcPr>
          <w:p w:rsidR="007F2B0B" w:rsidRPr="00EC60CB" w:rsidRDefault="007F2B0B" w:rsidP="007F2B0B">
            <w:pPr>
              <w:jc w:val="center"/>
            </w:pPr>
            <w:r w:rsidRPr="00EC60CB">
              <w:t>Turkey Point 5</w:t>
            </w:r>
          </w:p>
        </w:tc>
        <w:tc>
          <w:tcPr>
            <w:tcW w:w="900" w:type="dxa"/>
            <w:shd w:val="clear" w:color="auto" w:fill="auto"/>
            <w:noWrap/>
            <w:vAlign w:val="center"/>
            <w:hideMark/>
          </w:tcPr>
          <w:p w:rsidR="007F2B0B" w:rsidRPr="00EC60CB" w:rsidRDefault="007F2B0B" w:rsidP="007F2B0B">
            <w:pPr>
              <w:jc w:val="center"/>
            </w:pPr>
            <w:r w:rsidRPr="00EC60CB">
              <w:t>93.5</w:t>
            </w:r>
          </w:p>
        </w:tc>
        <w:tc>
          <w:tcPr>
            <w:tcW w:w="900" w:type="dxa"/>
            <w:shd w:val="clear" w:color="auto" w:fill="auto"/>
            <w:noWrap/>
            <w:vAlign w:val="center"/>
            <w:hideMark/>
          </w:tcPr>
          <w:p w:rsidR="007F2B0B" w:rsidRPr="00EC60CB" w:rsidRDefault="007F2B0B" w:rsidP="007F2B0B">
            <w:pPr>
              <w:jc w:val="center"/>
            </w:pPr>
            <w:r w:rsidRPr="00EC60CB">
              <w:t>95.5</w:t>
            </w:r>
          </w:p>
        </w:tc>
        <w:tc>
          <w:tcPr>
            <w:tcW w:w="1080" w:type="dxa"/>
            <w:shd w:val="clear" w:color="auto" w:fill="auto"/>
            <w:noWrap/>
            <w:vAlign w:val="center"/>
            <w:hideMark/>
          </w:tcPr>
          <w:p w:rsidR="007F2B0B" w:rsidRPr="00EC60CB" w:rsidRDefault="007F2B0B" w:rsidP="007F2B0B">
            <w:pPr>
              <w:jc w:val="center"/>
            </w:pPr>
            <w:r w:rsidRPr="00EC60CB">
              <w:t>1,638</w:t>
            </w:r>
          </w:p>
        </w:tc>
        <w:tc>
          <w:tcPr>
            <w:tcW w:w="1260" w:type="dxa"/>
            <w:shd w:val="clear" w:color="auto" w:fill="auto"/>
            <w:noWrap/>
            <w:vAlign w:val="center"/>
            <w:hideMark/>
          </w:tcPr>
          <w:p w:rsidR="007F2B0B" w:rsidRPr="00EC60CB" w:rsidRDefault="007F2B0B" w:rsidP="007F2B0B">
            <w:pPr>
              <w:jc w:val="center"/>
            </w:pPr>
            <w:r w:rsidRPr="00EC60CB">
              <w:t>7,132</w:t>
            </w:r>
          </w:p>
        </w:tc>
        <w:tc>
          <w:tcPr>
            <w:tcW w:w="1260" w:type="dxa"/>
            <w:shd w:val="clear" w:color="auto" w:fill="auto"/>
            <w:noWrap/>
            <w:vAlign w:val="center"/>
            <w:hideMark/>
          </w:tcPr>
          <w:p w:rsidR="007F2B0B" w:rsidRPr="00EC60CB" w:rsidRDefault="007F2B0B" w:rsidP="007F2B0B">
            <w:pPr>
              <w:jc w:val="center"/>
            </w:pPr>
            <w:r w:rsidRPr="00EC60CB">
              <w:t>7,047</w:t>
            </w:r>
          </w:p>
        </w:tc>
        <w:tc>
          <w:tcPr>
            <w:tcW w:w="1350" w:type="dxa"/>
            <w:shd w:val="clear" w:color="auto" w:fill="auto"/>
            <w:noWrap/>
            <w:vAlign w:val="center"/>
            <w:hideMark/>
          </w:tcPr>
          <w:p w:rsidR="007F2B0B" w:rsidRPr="00EC60CB" w:rsidRDefault="007F2B0B" w:rsidP="007F2B0B">
            <w:pPr>
              <w:jc w:val="center"/>
            </w:pPr>
            <w:r w:rsidRPr="00EC60CB">
              <w:t>2,207</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vAlign w:val="center"/>
            <w:hideMark/>
          </w:tcPr>
          <w:p w:rsidR="007F2B0B" w:rsidRPr="00EC60CB" w:rsidRDefault="007F2B0B" w:rsidP="007F2B0B">
            <w:pPr>
              <w:jc w:val="center"/>
            </w:pPr>
            <w:r w:rsidRPr="00EC60CB">
              <w:t>West County 1</w:t>
            </w:r>
          </w:p>
        </w:tc>
        <w:tc>
          <w:tcPr>
            <w:tcW w:w="900" w:type="dxa"/>
            <w:shd w:val="clear" w:color="auto" w:fill="auto"/>
            <w:noWrap/>
            <w:vAlign w:val="center"/>
            <w:hideMark/>
          </w:tcPr>
          <w:p w:rsidR="007F2B0B" w:rsidRPr="00EC60CB" w:rsidRDefault="007F2B0B" w:rsidP="007F2B0B">
            <w:pPr>
              <w:jc w:val="center"/>
            </w:pPr>
            <w:r w:rsidRPr="00EC60CB">
              <w:t>90.8</w:t>
            </w:r>
          </w:p>
        </w:tc>
        <w:tc>
          <w:tcPr>
            <w:tcW w:w="900" w:type="dxa"/>
            <w:shd w:val="clear" w:color="auto" w:fill="auto"/>
            <w:noWrap/>
            <w:vAlign w:val="center"/>
            <w:hideMark/>
          </w:tcPr>
          <w:p w:rsidR="007F2B0B" w:rsidRPr="00EC60CB" w:rsidRDefault="007F2B0B" w:rsidP="007F2B0B">
            <w:pPr>
              <w:jc w:val="center"/>
            </w:pPr>
            <w:r w:rsidRPr="00EC60CB">
              <w:t>93.3</w:t>
            </w:r>
          </w:p>
        </w:tc>
        <w:tc>
          <w:tcPr>
            <w:tcW w:w="1080" w:type="dxa"/>
            <w:shd w:val="clear" w:color="auto" w:fill="auto"/>
            <w:noWrap/>
            <w:vAlign w:val="center"/>
            <w:hideMark/>
          </w:tcPr>
          <w:p w:rsidR="007F2B0B" w:rsidRPr="00EC60CB" w:rsidRDefault="007F2B0B" w:rsidP="007F2B0B">
            <w:pPr>
              <w:jc w:val="center"/>
            </w:pPr>
            <w:r w:rsidRPr="00EC60CB">
              <w:t>2,759</w:t>
            </w:r>
          </w:p>
        </w:tc>
        <w:tc>
          <w:tcPr>
            <w:tcW w:w="1260" w:type="dxa"/>
            <w:shd w:val="clear" w:color="auto" w:fill="auto"/>
            <w:noWrap/>
            <w:vAlign w:val="center"/>
            <w:hideMark/>
          </w:tcPr>
          <w:p w:rsidR="007F2B0B" w:rsidRPr="00EC60CB" w:rsidRDefault="007F2B0B" w:rsidP="007F2B0B">
            <w:pPr>
              <w:jc w:val="center"/>
            </w:pPr>
            <w:r w:rsidRPr="00EC60CB">
              <w:t>6,967</w:t>
            </w:r>
          </w:p>
        </w:tc>
        <w:tc>
          <w:tcPr>
            <w:tcW w:w="1260" w:type="dxa"/>
            <w:shd w:val="clear" w:color="auto" w:fill="auto"/>
            <w:noWrap/>
            <w:vAlign w:val="center"/>
            <w:hideMark/>
          </w:tcPr>
          <w:p w:rsidR="007F2B0B" w:rsidRPr="00EC60CB" w:rsidRDefault="007F2B0B" w:rsidP="007F2B0B">
            <w:pPr>
              <w:jc w:val="center"/>
            </w:pPr>
            <w:r w:rsidRPr="00EC60CB">
              <w:t>6,772</w:t>
            </w:r>
          </w:p>
        </w:tc>
        <w:tc>
          <w:tcPr>
            <w:tcW w:w="1350" w:type="dxa"/>
            <w:shd w:val="clear" w:color="auto" w:fill="auto"/>
            <w:noWrap/>
            <w:vAlign w:val="center"/>
            <w:hideMark/>
          </w:tcPr>
          <w:p w:rsidR="007F2B0B" w:rsidRPr="00EC60CB" w:rsidRDefault="007F2B0B" w:rsidP="007F2B0B">
            <w:pPr>
              <w:jc w:val="center"/>
            </w:pPr>
            <w:r w:rsidRPr="00EC60CB">
              <w:t>5,750</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vAlign w:val="center"/>
            <w:hideMark/>
          </w:tcPr>
          <w:p w:rsidR="007F2B0B" w:rsidRPr="00EC60CB" w:rsidRDefault="007F2B0B" w:rsidP="007F2B0B">
            <w:pPr>
              <w:jc w:val="center"/>
            </w:pPr>
            <w:r w:rsidRPr="00EC60CB">
              <w:t>West County 2</w:t>
            </w:r>
          </w:p>
        </w:tc>
        <w:tc>
          <w:tcPr>
            <w:tcW w:w="900" w:type="dxa"/>
            <w:shd w:val="clear" w:color="auto" w:fill="auto"/>
            <w:noWrap/>
            <w:vAlign w:val="center"/>
            <w:hideMark/>
          </w:tcPr>
          <w:p w:rsidR="007F2B0B" w:rsidRPr="00EC60CB" w:rsidRDefault="007F2B0B" w:rsidP="007F2B0B">
            <w:pPr>
              <w:jc w:val="center"/>
            </w:pPr>
            <w:r w:rsidRPr="00EC60CB">
              <w:t>90.1</w:t>
            </w:r>
          </w:p>
        </w:tc>
        <w:tc>
          <w:tcPr>
            <w:tcW w:w="900" w:type="dxa"/>
            <w:shd w:val="clear" w:color="auto" w:fill="auto"/>
            <w:noWrap/>
            <w:vAlign w:val="center"/>
            <w:hideMark/>
          </w:tcPr>
          <w:p w:rsidR="007F2B0B" w:rsidRPr="00EC60CB" w:rsidRDefault="007F2B0B" w:rsidP="007F2B0B">
            <w:pPr>
              <w:jc w:val="center"/>
            </w:pPr>
            <w:r w:rsidRPr="00EC60CB">
              <w:t>92.6</w:t>
            </w:r>
          </w:p>
        </w:tc>
        <w:tc>
          <w:tcPr>
            <w:tcW w:w="1080" w:type="dxa"/>
            <w:shd w:val="clear" w:color="auto" w:fill="auto"/>
            <w:noWrap/>
            <w:vAlign w:val="center"/>
            <w:hideMark/>
          </w:tcPr>
          <w:p w:rsidR="007F2B0B" w:rsidRPr="00EC60CB" w:rsidRDefault="007F2B0B" w:rsidP="007F2B0B">
            <w:pPr>
              <w:jc w:val="center"/>
            </w:pPr>
            <w:r w:rsidRPr="00EC60CB">
              <w:t>3,106</w:t>
            </w:r>
          </w:p>
        </w:tc>
        <w:tc>
          <w:tcPr>
            <w:tcW w:w="1260" w:type="dxa"/>
            <w:shd w:val="clear" w:color="auto" w:fill="auto"/>
            <w:noWrap/>
            <w:vAlign w:val="center"/>
            <w:hideMark/>
          </w:tcPr>
          <w:p w:rsidR="007F2B0B" w:rsidRPr="00EC60CB" w:rsidRDefault="007F2B0B" w:rsidP="007F2B0B">
            <w:pPr>
              <w:jc w:val="center"/>
            </w:pPr>
            <w:r w:rsidRPr="00EC60CB">
              <w:t>6,891</w:t>
            </w:r>
          </w:p>
        </w:tc>
        <w:tc>
          <w:tcPr>
            <w:tcW w:w="1260" w:type="dxa"/>
            <w:shd w:val="clear" w:color="auto" w:fill="auto"/>
            <w:noWrap/>
            <w:vAlign w:val="center"/>
            <w:hideMark/>
          </w:tcPr>
          <w:p w:rsidR="007F2B0B" w:rsidRPr="00EC60CB" w:rsidRDefault="007F2B0B" w:rsidP="007F2B0B">
            <w:pPr>
              <w:jc w:val="center"/>
            </w:pPr>
            <w:r w:rsidRPr="00EC60CB">
              <w:t>6,671</w:t>
            </w:r>
          </w:p>
        </w:tc>
        <w:tc>
          <w:tcPr>
            <w:tcW w:w="1350" w:type="dxa"/>
            <w:shd w:val="clear" w:color="auto" w:fill="auto"/>
            <w:noWrap/>
            <w:vAlign w:val="center"/>
            <w:hideMark/>
          </w:tcPr>
          <w:p w:rsidR="007F2B0B" w:rsidRPr="00EC60CB" w:rsidRDefault="007F2B0B" w:rsidP="007F2B0B">
            <w:pPr>
              <w:jc w:val="center"/>
            </w:pPr>
            <w:r w:rsidRPr="00EC60CB">
              <w:t>6,027</w:t>
            </w:r>
          </w:p>
        </w:tc>
      </w:tr>
      <w:tr w:rsidR="007F2B0B" w:rsidRPr="00EC60CB" w:rsidTr="007F2B0B">
        <w:trPr>
          <w:trHeight w:val="260"/>
        </w:trPr>
        <w:tc>
          <w:tcPr>
            <w:tcW w:w="1170" w:type="dxa"/>
            <w:vMerge/>
            <w:shd w:val="clear" w:color="auto" w:fill="auto"/>
            <w:noWrap/>
          </w:tcPr>
          <w:p w:rsidR="007F2B0B" w:rsidRPr="00EC60CB" w:rsidRDefault="007F2B0B" w:rsidP="007F2B0B">
            <w:pPr>
              <w:rPr>
                <w:rFonts w:ascii="Calibri" w:hAnsi="Calibri"/>
                <w:color w:val="000000"/>
                <w:sz w:val="22"/>
                <w:szCs w:val="22"/>
              </w:rPr>
            </w:pPr>
          </w:p>
        </w:tc>
        <w:tc>
          <w:tcPr>
            <w:tcW w:w="1440" w:type="dxa"/>
            <w:shd w:val="clear" w:color="auto" w:fill="auto"/>
            <w:noWrap/>
            <w:vAlign w:val="center"/>
          </w:tcPr>
          <w:p w:rsidR="007F2B0B" w:rsidRPr="00EC60CB" w:rsidRDefault="007F2B0B" w:rsidP="007F2B0B">
            <w:pPr>
              <w:jc w:val="center"/>
            </w:pPr>
            <w:r w:rsidRPr="00EC60CB">
              <w:t>West County 3</w:t>
            </w:r>
          </w:p>
        </w:tc>
        <w:tc>
          <w:tcPr>
            <w:tcW w:w="900" w:type="dxa"/>
            <w:shd w:val="clear" w:color="auto" w:fill="auto"/>
            <w:noWrap/>
            <w:vAlign w:val="center"/>
          </w:tcPr>
          <w:p w:rsidR="007F2B0B" w:rsidRPr="00EC60CB" w:rsidRDefault="007F2B0B" w:rsidP="007F2B0B">
            <w:pPr>
              <w:jc w:val="center"/>
            </w:pPr>
            <w:r w:rsidRPr="00EC60CB">
              <w:t>91.7</w:t>
            </w:r>
          </w:p>
        </w:tc>
        <w:tc>
          <w:tcPr>
            <w:tcW w:w="900" w:type="dxa"/>
            <w:shd w:val="clear" w:color="auto" w:fill="auto"/>
            <w:noWrap/>
            <w:vAlign w:val="center"/>
          </w:tcPr>
          <w:p w:rsidR="007F2B0B" w:rsidRPr="00EC60CB" w:rsidRDefault="007F2B0B" w:rsidP="007F2B0B">
            <w:pPr>
              <w:jc w:val="center"/>
            </w:pPr>
            <w:r w:rsidRPr="00EC60CB">
              <w:t>94.2</w:t>
            </w:r>
          </w:p>
        </w:tc>
        <w:tc>
          <w:tcPr>
            <w:tcW w:w="1080" w:type="dxa"/>
            <w:shd w:val="clear" w:color="auto" w:fill="auto"/>
            <w:noWrap/>
            <w:vAlign w:val="center"/>
          </w:tcPr>
          <w:p w:rsidR="007F2B0B" w:rsidRPr="00EC60CB" w:rsidRDefault="007F2B0B" w:rsidP="007F2B0B">
            <w:pPr>
              <w:jc w:val="center"/>
            </w:pPr>
            <w:r w:rsidRPr="00EC60CB">
              <w:t>2,777</w:t>
            </w:r>
          </w:p>
        </w:tc>
        <w:tc>
          <w:tcPr>
            <w:tcW w:w="1260" w:type="dxa"/>
            <w:shd w:val="clear" w:color="auto" w:fill="auto"/>
            <w:noWrap/>
            <w:vAlign w:val="center"/>
          </w:tcPr>
          <w:p w:rsidR="007F2B0B" w:rsidRPr="00EC60CB" w:rsidRDefault="007F2B0B" w:rsidP="007F2B0B">
            <w:pPr>
              <w:jc w:val="center"/>
            </w:pPr>
            <w:r w:rsidRPr="00EC60CB">
              <w:t>6,851</w:t>
            </w:r>
          </w:p>
        </w:tc>
        <w:tc>
          <w:tcPr>
            <w:tcW w:w="1260" w:type="dxa"/>
            <w:shd w:val="clear" w:color="auto" w:fill="auto"/>
            <w:noWrap/>
            <w:vAlign w:val="center"/>
          </w:tcPr>
          <w:p w:rsidR="007F2B0B" w:rsidRPr="00EC60CB" w:rsidRDefault="007F2B0B" w:rsidP="007F2B0B">
            <w:pPr>
              <w:jc w:val="center"/>
            </w:pPr>
            <w:r w:rsidRPr="00EC60CB">
              <w:t>6,673</w:t>
            </w:r>
          </w:p>
        </w:tc>
        <w:tc>
          <w:tcPr>
            <w:tcW w:w="1350" w:type="dxa"/>
            <w:shd w:val="clear" w:color="auto" w:fill="auto"/>
            <w:noWrap/>
            <w:vAlign w:val="center"/>
          </w:tcPr>
          <w:p w:rsidR="007F2B0B" w:rsidRPr="00EC60CB" w:rsidRDefault="007F2B0B" w:rsidP="007F2B0B">
            <w:pPr>
              <w:jc w:val="center"/>
            </w:pPr>
            <w:r w:rsidRPr="00EC60CB">
              <w:t>5,883</w:t>
            </w:r>
          </w:p>
        </w:tc>
      </w:tr>
      <w:tr w:rsidR="007F2B0B" w:rsidRPr="00EC60CB" w:rsidTr="007F2B0B">
        <w:trPr>
          <w:trHeight w:val="26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vAlign w:val="center"/>
            <w:hideMark/>
          </w:tcPr>
          <w:p w:rsidR="007F2B0B" w:rsidRPr="00EC60CB" w:rsidRDefault="007F2B0B" w:rsidP="007F2B0B">
            <w:pPr>
              <w:jc w:val="center"/>
            </w:pPr>
            <w:r w:rsidRPr="00EC60CB">
              <w:t>Total</w:t>
            </w:r>
          </w:p>
        </w:tc>
        <w:tc>
          <w:tcPr>
            <w:tcW w:w="900" w:type="dxa"/>
            <w:shd w:val="clear" w:color="auto" w:fill="auto"/>
            <w:noWrap/>
            <w:vAlign w:val="center"/>
            <w:hideMark/>
          </w:tcPr>
          <w:p w:rsidR="007F2B0B" w:rsidRPr="00EC60CB" w:rsidRDefault="007F2B0B" w:rsidP="007F2B0B">
            <w:pPr>
              <w:jc w:val="center"/>
            </w:pPr>
          </w:p>
        </w:tc>
        <w:tc>
          <w:tcPr>
            <w:tcW w:w="900" w:type="dxa"/>
            <w:shd w:val="clear" w:color="auto" w:fill="auto"/>
            <w:noWrap/>
            <w:vAlign w:val="center"/>
            <w:hideMark/>
          </w:tcPr>
          <w:p w:rsidR="007F2B0B" w:rsidRPr="00EC60CB" w:rsidRDefault="007F2B0B" w:rsidP="007F2B0B">
            <w:pPr>
              <w:jc w:val="center"/>
            </w:pPr>
          </w:p>
        </w:tc>
        <w:tc>
          <w:tcPr>
            <w:tcW w:w="1080" w:type="dxa"/>
            <w:shd w:val="clear" w:color="auto" w:fill="auto"/>
            <w:noWrap/>
            <w:vAlign w:val="center"/>
            <w:hideMark/>
          </w:tcPr>
          <w:p w:rsidR="007F2B0B" w:rsidRPr="00EC60CB" w:rsidRDefault="007F2B0B" w:rsidP="007F2B0B">
            <w:pPr>
              <w:jc w:val="center"/>
            </w:pPr>
            <w:r w:rsidRPr="00EC60CB">
              <w:t>42,843</w:t>
            </w:r>
          </w:p>
        </w:tc>
        <w:tc>
          <w:tcPr>
            <w:tcW w:w="1260" w:type="dxa"/>
            <w:shd w:val="clear" w:color="auto" w:fill="auto"/>
            <w:noWrap/>
            <w:vAlign w:val="center"/>
            <w:hideMark/>
          </w:tcPr>
          <w:p w:rsidR="007F2B0B" w:rsidRPr="00EC60CB" w:rsidRDefault="007F2B0B" w:rsidP="007F2B0B">
            <w:pPr>
              <w:jc w:val="center"/>
            </w:pPr>
          </w:p>
        </w:tc>
        <w:tc>
          <w:tcPr>
            <w:tcW w:w="1260" w:type="dxa"/>
            <w:shd w:val="clear" w:color="auto" w:fill="auto"/>
            <w:noWrap/>
            <w:vAlign w:val="center"/>
            <w:hideMark/>
          </w:tcPr>
          <w:p w:rsidR="007F2B0B" w:rsidRPr="00EC60CB" w:rsidRDefault="007F2B0B" w:rsidP="007F2B0B">
            <w:pPr>
              <w:jc w:val="center"/>
            </w:pPr>
          </w:p>
        </w:tc>
        <w:tc>
          <w:tcPr>
            <w:tcW w:w="1350" w:type="dxa"/>
            <w:shd w:val="clear" w:color="auto" w:fill="auto"/>
            <w:noWrap/>
            <w:vAlign w:val="center"/>
            <w:hideMark/>
          </w:tcPr>
          <w:p w:rsidR="007F2B0B" w:rsidRPr="00EC60CB" w:rsidRDefault="007F2B0B" w:rsidP="007F2B0B">
            <w:pPr>
              <w:jc w:val="center"/>
            </w:pPr>
            <w:r w:rsidRPr="00EC60CB">
              <w:t>34,906</w:t>
            </w:r>
          </w:p>
        </w:tc>
      </w:tr>
    </w:tbl>
    <w:p w:rsidR="007F2B0B" w:rsidRPr="00EC60CB" w:rsidRDefault="007F2B0B" w:rsidP="007F2B0B">
      <w:pPr>
        <w:rPr>
          <w:b/>
        </w:rPr>
      </w:pPr>
      <w:r>
        <w:rPr>
          <w:b/>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50"/>
        <w:gridCol w:w="900"/>
        <w:gridCol w:w="900"/>
        <w:gridCol w:w="1080"/>
        <w:gridCol w:w="1260"/>
        <w:gridCol w:w="1260"/>
        <w:gridCol w:w="1350"/>
      </w:tblGrid>
      <w:tr w:rsidR="007F2B0B" w:rsidRPr="00EC60CB" w:rsidTr="007F2B0B">
        <w:trPr>
          <w:trHeight w:val="300"/>
        </w:trPr>
        <w:tc>
          <w:tcPr>
            <w:tcW w:w="9360" w:type="dxa"/>
            <w:gridSpan w:val="8"/>
            <w:shd w:val="clear" w:color="auto" w:fill="auto"/>
            <w:noWrap/>
            <w:vAlign w:val="center"/>
          </w:tcPr>
          <w:p w:rsidR="007F2B0B" w:rsidRPr="00EC60CB" w:rsidRDefault="007F2B0B" w:rsidP="007F2B0B">
            <w:pPr>
              <w:jc w:val="center"/>
              <w:rPr>
                <w:b/>
                <w:sz w:val="28"/>
                <w:szCs w:val="28"/>
              </w:rPr>
            </w:pPr>
            <w:r>
              <w:rPr>
                <w:b/>
              </w:rPr>
              <w:lastRenderedPageBreak/>
              <w:br w:type="page"/>
            </w:r>
            <w:r w:rsidRPr="00EC60CB">
              <w:br w:type="page"/>
            </w:r>
            <w:r w:rsidRPr="00EC60CB">
              <w:rPr>
                <w:b/>
                <w:sz w:val="28"/>
                <w:szCs w:val="28"/>
              </w:rPr>
              <w:t>GPIF Targets / Ranges for the period January 2016 through December 2016</w:t>
            </w:r>
          </w:p>
        </w:tc>
      </w:tr>
      <w:tr w:rsidR="007F2B0B" w:rsidRPr="00EC60CB" w:rsidTr="007F2B0B">
        <w:trPr>
          <w:trHeight w:val="300"/>
        </w:trPr>
        <w:tc>
          <w:tcPr>
            <w:tcW w:w="1260" w:type="dxa"/>
            <w:vMerge w:val="restart"/>
            <w:shd w:val="clear" w:color="auto" w:fill="auto"/>
            <w:noWrap/>
            <w:vAlign w:val="center"/>
          </w:tcPr>
          <w:p w:rsidR="007F2B0B" w:rsidRPr="00CD5CCD" w:rsidRDefault="007F2B0B" w:rsidP="007F2B0B">
            <w:pPr>
              <w:rPr>
                <w:rFonts w:cs="Calibri"/>
                <w:color w:val="000000"/>
              </w:rPr>
            </w:pPr>
            <w:r w:rsidRPr="00CD5CCD">
              <w:rPr>
                <w:rFonts w:cs="Calibri"/>
                <w:color w:val="000000"/>
              </w:rPr>
              <w:t>Company</w:t>
            </w:r>
          </w:p>
        </w:tc>
        <w:tc>
          <w:tcPr>
            <w:tcW w:w="1350" w:type="dxa"/>
            <w:vMerge w:val="restart"/>
            <w:shd w:val="clear" w:color="auto" w:fill="auto"/>
            <w:noWrap/>
            <w:vAlign w:val="center"/>
          </w:tcPr>
          <w:p w:rsidR="007F2B0B" w:rsidRPr="00CD5CCD" w:rsidRDefault="007F2B0B" w:rsidP="007F2B0B">
            <w:pPr>
              <w:jc w:val="center"/>
              <w:rPr>
                <w:rFonts w:cs="Calibri"/>
              </w:rPr>
            </w:pPr>
            <w:r w:rsidRPr="00CD5CCD">
              <w:rPr>
                <w:rFonts w:cs="Calibri"/>
                <w:color w:val="000000"/>
              </w:rPr>
              <w:t>Plant/Unit</w:t>
            </w:r>
          </w:p>
        </w:tc>
        <w:tc>
          <w:tcPr>
            <w:tcW w:w="2880" w:type="dxa"/>
            <w:gridSpan w:val="3"/>
            <w:shd w:val="clear" w:color="auto" w:fill="auto"/>
            <w:noWrap/>
          </w:tcPr>
          <w:p w:rsidR="007F2B0B" w:rsidRPr="00EC60CB" w:rsidRDefault="007F2B0B" w:rsidP="007F2B0B">
            <w:pPr>
              <w:jc w:val="center"/>
            </w:pPr>
            <w:r w:rsidRPr="00EC60CB">
              <w:t>EAF</w:t>
            </w:r>
          </w:p>
        </w:tc>
        <w:tc>
          <w:tcPr>
            <w:tcW w:w="3870" w:type="dxa"/>
            <w:gridSpan w:val="3"/>
            <w:shd w:val="clear" w:color="auto" w:fill="auto"/>
            <w:noWrap/>
            <w:vAlign w:val="center"/>
          </w:tcPr>
          <w:p w:rsidR="007F2B0B" w:rsidRPr="00EC60CB" w:rsidRDefault="007F2B0B" w:rsidP="007F2B0B">
            <w:pPr>
              <w:jc w:val="center"/>
            </w:pPr>
            <w:r w:rsidRPr="00EC60CB">
              <w:t>ANOHR</w:t>
            </w:r>
          </w:p>
        </w:tc>
      </w:tr>
      <w:tr w:rsidR="007F2B0B" w:rsidRPr="00EC60CB" w:rsidTr="007F2B0B">
        <w:trPr>
          <w:trHeight w:val="300"/>
        </w:trPr>
        <w:tc>
          <w:tcPr>
            <w:tcW w:w="1260" w:type="dxa"/>
            <w:vMerge/>
            <w:shd w:val="clear" w:color="auto" w:fill="auto"/>
            <w:noWrap/>
          </w:tcPr>
          <w:p w:rsidR="007F2B0B" w:rsidRPr="00EC60CB" w:rsidRDefault="007F2B0B" w:rsidP="007F2B0B"/>
        </w:tc>
        <w:tc>
          <w:tcPr>
            <w:tcW w:w="1350" w:type="dxa"/>
            <w:vMerge/>
            <w:shd w:val="clear" w:color="auto" w:fill="auto"/>
            <w:noWrap/>
          </w:tcPr>
          <w:p w:rsidR="007F2B0B" w:rsidRPr="00EC60CB" w:rsidRDefault="007F2B0B" w:rsidP="007F2B0B"/>
        </w:tc>
        <w:tc>
          <w:tcPr>
            <w:tcW w:w="900" w:type="dxa"/>
            <w:shd w:val="clear" w:color="auto" w:fill="auto"/>
            <w:noWrap/>
            <w:vAlign w:val="center"/>
          </w:tcPr>
          <w:p w:rsidR="007F2B0B" w:rsidRPr="00EC60CB" w:rsidRDefault="007F2B0B" w:rsidP="007F2B0B">
            <w:pPr>
              <w:jc w:val="center"/>
            </w:pPr>
            <w:r w:rsidRPr="00EC60CB">
              <w:t>Target</w:t>
            </w:r>
          </w:p>
        </w:tc>
        <w:tc>
          <w:tcPr>
            <w:tcW w:w="1980" w:type="dxa"/>
            <w:gridSpan w:val="2"/>
            <w:shd w:val="clear" w:color="auto" w:fill="auto"/>
            <w:noWrap/>
            <w:vAlign w:val="center"/>
          </w:tcPr>
          <w:p w:rsidR="007F2B0B" w:rsidRPr="00EC60CB" w:rsidRDefault="007F2B0B" w:rsidP="007F2B0B">
            <w:pPr>
              <w:jc w:val="center"/>
            </w:pPr>
            <w:r w:rsidRPr="00EC60CB">
              <w:t>Maximum</w:t>
            </w:r>
          </w:p>
        </w:tc>
        <w:tc>
          <w:tcPr>
            <w:tcW w:w="1260" w:type="dxa"/>
            <w:shd w:val="clear" w:color="auto" w:fill="auto"/>
            <w:noWrap/>
            <w:vAlign w:val="center"/>
          </w:tcPr>
          <w:p w:rsidR="007F2B0B" w:rsidRPr="00EC60CB" w:rsidRDefault="007F2B0B" w:rsidP="007F2B0B">
            <w:pPr>
              <w:jc w:val="center"/>
            </w:pPr>
            <w:r w:rsidRPr="00EC60CB">
              <w:t>Target</w:t>
            </w:r>
          </w:p>
        </w:tc>
        <w:tc>
          <w:tcPr>
            <w:tcW w:w="2610" w:type="dxa"/>
            <w:gridSpan w:val="2"/>
            <w:shd w:val="clear" w:color="auto" w:fill="auto"/>
            <w:noWrap/>
            <w:vAlign w:val="center"/>
          </w:tcPr>
          <w:p w:rsidR="007F2B0B" w:rsidRPr="00EC60CB" w:rsidRDefault="007F2B0B" w:rsidP="007F2B0B">
            <w:pPr>
              <w:jc w:val="center"/>
            </w:pPr>
            <w:r w:rsidRPr="00EC60CB">
              <w:t>Maximum</w:t>
            </w:r>
          </w:p>
        </w:tc>
      </w:tr>
      <w:tr w:rsidR="007F2B0B" w:rsidRPr="00EC60CB" w:rsidTr="007F2B0B">
        <w:trPr>
          <w:trHeight w:val="610"/>
        </w:trPr>
        <w:tc>
          <w:tcPr>
            <w:tcW w:w="1260" w:type="dxa"/>
            <w:vMerge/>
            <w:shd w:val="clear" w:color="auto" w:fill="auto"/>
            <w:noWrap/>
          </w:tcPr>
          <w:p w:rsidR="007F2B0B" w:rsidRPr="00EC60CB" w:rsidRDefault="007F2B0B" w:rsidP="007F2B0B"/>
        </w:tc>
        <w:tc>
          <w:tcPr>
            <w:tcW w:w="1350" w:type="dxa"/>
            <w:vMerge/>
            <w:shd w:val="clear" w:color="auto" w:fill="auto"/>
            <w:noWrap/>
          </w:tcPr>
          <w:p w:rsidR="007F2B0B" w:rsidRPr="00EC60CB" w:rsidRDefault="007F2B0B" w:rsidP="007F2B0B"/>
        </w:tc>
        <w:tc>
          <w:tcPr>
            <w:tcW w:w="900" w:type="dxa"/>
            <w:shd w:val="clear" w:color="auto" w:fill="auto"/>
            <w:noWrap/>
            <w:vAlign w:val="center"/>
          </w:tcPr>
          <w:p w:rsidR="007F2B0B" w:rsidRPr="00EC60CB" w:rsidRDefault="007F2B0B" w:rsidP="007F2B0B">
            <w:pPr>
              <w:jc w:val="center"/>
            </w:pPr>
            <w:r w:rsidRPr="00EC60CB">
              <w:t>EAF</w:t>
            </w:r>
          </w:p>
          <w:p w:rsidR="007F2B0B" w:rsidRPr="00EC60CB" w:rsidRDefault="007F2B0B" w:rsidP="007F2B0B">
            <w:pPr>
              <w:jc w:val="center"/>
            </w:pPr>
            <w:r w:rsidRPr="00EC60CB">
              <w:t>( % )</w:t>
            </w:r>
          </w:p>
        </w:tc>
        <w:tc>
          <w:tcPr>
            <w:tcW w:w="900" w:type="dxa"/>
            <w:shd w:val="clear" w:color="auto" w:fill="auto"/>
            <w:noWrap/>
            <w:vAlign w:val="center"/>
          </w:tcPr>
          <w:p w:rsidR="007F2B0B" w:rsidRPr="00EC60CB" w:rsidRDefault="007F2B0B" w:rsidP="007F2B0B">
            <w:pPr>
              <w:jc w:val="center"/>
            </w:pPr>
            <w:r w:rsidRPr="00EC60CB">
              <w:t>EAF</w:t>
            </w:r>
          </w:p>
          <w:p w:rsidR="007F2B0B" w:rsidRPr="00EC60CB" w:rsidRDefault="007F2B0B" w:rsidP="007F2B0B">
            <w:pPr>
              <w:jc w:val="center"/>
            </w:pPr>
            <w:r w:rsidRPr="00EC60CB">
              <w:t>( % )</w:t>
            </w:r>
          </w:p>
        </w:tc>
        <w:tc>
          <w:tcPr>
            <w:tcW w:w="1080" w:type="dxa"/>
            <w:shd w:val="clear" w:color="auto" w:fill="auto"/>
            <w:noWrap/>
          </w:tcPr>
          <w:p w:rsidR="007F2B0B" w:rsidRPr="00EC60CB" w:rsidRDefault="007F2B0B" w:rsidP="007F2B0B">
            <w:pPr>
              <w:jc w:val="center"/>
            </w:pPr>
            <w:r w:rsidRPr="00EC60CB">
              <w:t>Savings</w:t>
            </w:r>
          </w:p>
          <w:p w:rsidR="007F2B0B" w:rsidRPr="00EC60CB" w:rsidRDefault="007F2B0B" w:rsidP="007F2B0B">
            <w:r w:rsidRPr="00EC60CB">
              <w:t>($000's)</w:t>
            </w:r>
          </w:p>
        </w:tc>
        <w:tc>
          <w:tcPr>
            <w:tcW w:w="1260" w:type="dxa"/>
            <w:shd w:val="clear" w:color="auto" w:fill="auto"/>
            <w:noWrap/>
            <w:vAlign w:val="center"/>
          </w:tcPr>
          <w:p w:rsidR="007F2B0B" w:rsidRPr="00EC60CB" w:rsidRDefault="007F2B0B" w:rsidP="007F2B0B">
            <w:pPr>
              <w:jc w:val="center"/>
              <w:rPr>
                <w:sz w:val="22"/>
                <w:szCs w:val="22"/>
              </w:rPr>
            </w:pPr>
            <w:r w:rsidRPr="00EC60CB">
              <w:rPr>
                <w:sz w:val="22"/>
                <w:szCs w:val="22"/>
              </w:rPr>
              <w:t>ANOHR</w:t>
            </w:r>
          </w:p>
          <w:p w:rsidR="007F2B0B" w:rsidRPr="00EC60CB" w:rsidRDefault="007F2B0B" w:rsidP="007F2B0B">
            <w:pPr>
              <w:jc w:val="center"/>
              <w:rPr>
                <w:sz w:val="22"/>
                <w:szCs w:val="22"/>
              </w:rPr>
            </w:pPr>
            <w:r w:rsidRPr="00EC60CB">
              <w:rPr>
                <w:sz w:val="22"/>
                <w:szCs w:val="22"/>
              </w:rPr>
              <w:t>BTU/KWH</w:t>
            </w:r>
          </w:p>
        </w:tc>
        <w:tc>
          <w:tcPr>
            <w:tcW w:w="1260" w:type="dxa"/>
            <w:shd w:val="clear" w:color="auto" w:fill="auto"/>
            <w:noWrap/>
            <w:vAlign w:val="center"/>
          </w:tcPr>
          <w:p w:rsidR="007F2B0B" w:rsidRPr="00EC60CB" w:rsidRDefault="007F2B0B" w:rsidP="007F2B0B">
            <w:pPr>
              <w:jc w:val="center"/>
              <w:rPr>
                <w:sz w:val="22"/>
                <w:szCs w:val="22"/>
              </w:rPr>
            </w:pPr>
            <w:r w:rsidRPr="00EC60CB">
              <w:rPr>
                <w:sz w:val="22"/>
                <w:szCs w:val="22"/>
              </w:rPr>
              <w:t>ANOHR</w:t>
            </w:r>
          </w:p>
          <w:p w:rsidR="007F2B0B" w:rsidRPr="00EC60CB" w:rsidRDefault="007F2B0B" w:rsidP="007F2B0B">
            <w:pPr>
              <w:jc w:val="center"/>
              <w:rPr>
                <w:sz w:val="22"/>
                <w:szCs w:val="22"/>
              </w:rPr>
            </w:pPr>
            <w:r w:rsidRPr="00EC60CB">
              <w:rPr>
                <w:sz w:val="22"/>
                <w:szCs w:val="22"/>
              </w:rPr>
              <w:t>BTU/KWH</w:t>
            </w:r>
          </w:p>
        </w:tc>
        <w:tc>
          <w:tcPr>
            <w:tcW w:w="1350" w:type="dxa"/>
            <w:shd w:val="clear" w:color="auto" w:fill="auto"/>
            <w:noWrap/>
            <w:vAlign w:val="center"/>
          </w:tcPr>
          <w:p w:rsidR="007F2B0B" w:rsidRPr="00EC60CB" w:rsidRDefault="007F2B0B" w:rsidP="007F2B0B">
            <w:pPr>
              <w:jc w:val="center"/>
            </w:pPr>
            <w:r w:rsidRPr="00EC60CB">
              <w:t>Savings</w:t>
            </w:r>
          </w:p>
          <w:p w:rsidR="007F2B0B" w:rsidRPr="00EC60CB" w:rsidRDefault="007F2B0B" w:rsidP="007F2B0B">
            <w:pPr>
              <w:jc w:val="center"/>
            </w:pPr>
            <w:r w:rsidRPr="00EC60CB">
              <w:t>($000's)</w:t>
            </w:r>
          </w:p>
        </w:tc>
      </w:tr>
      <w:tr w:rsidR="007F2B0B" w:rsidRPr="00EC60CB" w:rsidTr="007F2B0B">
        <w:trPr>
          <w:trHeight w:val="300"/>
        </w:trPr>
        <w:tc>
          <w:tcPr>
            <w:tcW w:w="1260" w:type="dxa"/>
            <w:vMerge w:val="restart"/>
            <w:shd w:val="clear" w:color="auto" w:fill="auto"/>
            <w:noWrap/>
            <w:vAlign w:val="center"/>
            <w:hideMark/>
          </w:tcPr>
          <w:p w:rsidR="007F2B0B" w:rsidRPr="00EC60CB" w:rsidRDefault="007F2B0B" w:rsidP="007F2B0B">
            <w:pPr>
              <w:jc w:val="center"/>
            </w:pPr>
            <w:r w:rsidRPr="00EC60CB">
              <w:t>DEF</w:t>
            </w:r>
          </w:p>
          <w:p w:rsidR="007F2B0B" w:rsidRPr="00EC60CB" w:rsidRDefault="007F2B0B" w:rsidP="007F2B0B">
            <w:pPr>
              <w:jc w:val="center"/>
            </w:pPr>
          </w:p>
        </w:tc>
        <w:tc>
          <w:tcPr>
            <w:tcW w:w="1350" w:type="dxa"/>
            <w:shd w:val="clear" w:color="auto" w:fill="auto"/>
            <w:noWrap/>
            <w:hideMark/>
          </w:tcPr>
          <w:p w:rsidR="007F2B0B" w:rsidRPr="00EC60CB" w:rsidRDefault="007F2B0B" w:rsidP="007F2B0B">
            <w:pPr>
              <w:jc w:val="center"/>
            </w:pPr>
            <w:r w:rsidRPr="00EC60CB">
              <w:t>Bartow 4</w:t>
            </w:r>
          </w:p>
        </w:tc>
        <w:tc>
          <w:tcPr>
            <w:tcW w:w="900" w:type="dxa"/>
            <w:shd w:val="clear" w:color="auto" w:fill="auto"/>
            <w:noWrap/>
            <w:hideMark/>
          </w:tcPr>
          <w:p w:rsidR="007F2B0B" w:rsidRPr="00EC60CB" w:rsidRDefault="007F2B0B" w:rsidP="007F2B0B">
            <w:pPr>
              <w:jc w:val="center"/>
            </w:pPr>
            <w:r w:rsidRPr="00EC60CB">
              <w:t>88.6</w:t>
            </w:r>
          </w:p>
        </w:tc>
        <w:tc>
          <w:tcPr>
            <w:tcW w:w="900" w:type="dxa"/>
            <w:shd w:val="clear" w:color="auto" w:fill="auto"/>
            <w:noWrap/>
            <w:hideMark/>
          </w:tcPr>
          <w:p w:rsidR="007F2B0B" w:rsidRPr="00EC60CB" w:rsidRDefault="007F2B0B" w:rsidP="007F2B0B">
            <w:pPr>
              <w:jc w:val="center"/>
            </w:pPr>
            <w:r w:rsidRPr="00EC60CB">
              <w:t>91.0</w:t>
            </w:r>
          </w:p>
        </w:tc>
        <w:tc>
          <w:tcPr>
            <w:tcW w:w="1080" w:type="dxa"/>
            <w:shd w:val="clear" w:color="auto" w:fill="auto"/>
            <w:noWrap/>
            <w:hideMark/>
          </w:tcPr>
          <w:p w:rsidR="007F2B0B" w:rsidRPr="00EC60CB" w:rsidRDefault="007F2B0B" w:rsidP="007F2B0B">
            <w:pPr>
              <w:jc w:val="center"/>
            </w:pPr>
            <w:r w:rsidRPr="00EC60CB">
              <w:t>1,471</w:t>
            </w:r>
          </w:p>
        </w:tc>
        <w:tc>
          <w:tcPr>
            <w:tcW w:w="1260" w:type="dxa"/>
            <w:shd w:val="clear" w:color="auto" w:fill="auto"/>
            <w:noWrap/>
            <w:hideMark/>
          </w:tcPr>
          <w:p w:rsidR="007F2B0B" w:rsidRPr="00EC60CB" w:rsidRDefault="007F2B0B" w:rsidP="007F2B0B">
            <w:pPr>
              <w:jc w:val="center"/>
            </w:pPr>
            <w:r w:rsidRPr="00EC60CB">
              <w:t>7,427</w:t>
            </w:r>
          </w:p>
        </w:tc>
        <w:tc>
          <w:tcPr>
            <w:tcW w:w="1260" w:type="dxa"/>
            <w:shd w:val="clear" w:color="auto" w:fill="auto"/>
            <w:noWrap/>
            <w:hideMark/>
          </w:tcPr>
          <w:p w:rsidR="007F2B0B" w:rsidRPr="00EC60CB" w:rsidRDefault="007F2B0B" w:rsidP="007F2B0B">
            <w:pPr>
              <w:jc w:val="center"/>
            </w:pPr>
            <w:r w:rsidRPr="00EC60CB">
              <w:t>6,984</w:t>
            </w:r>
          </w:p>
        </w:tc>
        <w:tc>
          <w:tcPr>
            <w:tcW w:w="1350" w:type="dxa"/>
            <w:shd w:val="clear" w:color="auto" w:fill="auto"/>
            <w:noWrap/>
            <w:hideMark/>
          </w:tcPr>
          <w:p w:rsidR="007F2B0B" w:rsidRPr="00EC60CB" w:rsidRDefault="007F2B0B" w:rsidP="007F2B0B">
            <w:pPr>
              <w:jc w:val="center"/>
            </w:pPr>
            <w:r w:rsidRPr="00EC60CB">
              <w:t>13,149</w:t>
            </w:r>
          </w:p>
        </w:tc>
      </w:tr>
      <w:tr w:rsidR="007F2B0B" w:rsidRPr="00EC60CB" w:rsidTr="007F2B0B">
        <w:trPr>
          <w:trHeight w:val="300"/>
        </w:trPr>
        <w:tc>
          <w:tcPr>
            <w:tcW w:w="1260" w:type="dxa"/>
            <w:vMerge/>
            <w:shd w:val="clear" w:color="auto" w:fill="auto"/>
            <w:noWrap/>
            <w:hideMark/>
          </w:tcPr>
          <w:p w:rsidR="007F2B0B" w:rsidRPr="00EC60CB" w:rsidRDefault="007F2B0B" w:rsidP="007F2B0B">
            <w:pPr>
              <w:rPr>
                <w:rFonts w:ascii="Calibri" w:hAnsi="Calibri"/>
                <w:color w:val="000000"/>
                <w:sz w:val="22"/>
                <w:szCs w:val="22"/>
              </w:rPr>
            </w:pPr>
          </w:p>
        </w:tc>
        <w:tc>
          <w:tcPr>
            <w:tcW w:w="1350" w:type="dxa"/>
            <w:shd w:val="clear" w:color="auto" w:fill="auto"/>
            <w:noWrap/>
            <w:hideMark/>
          </w:tcPr>
          <w:p w:rsidR="007F2B0B" w:rsidRPr="00EC60CB" w:rsidRDefault="007F2B0B" w:rsidP="007F2B0B">
            <w:pPr>
              <w:jc w:val="center"/>
              <w:rPr>
                <w:rFonts w:ascii="Calibri" w:hAnsi="Calibri"/>
                <w:color w:val="000000"/>
                <w:sz w:val="22"/>
                <w:szCs w:val="22"/>
              </w:rPr>
            </w:pPr>
            <w:r w:rsidRPr="00EC60CB">
              <w:t>Crystal River 4</w:t>
            </w:r>
          </w:p>
        </w:tc>
        <w:tc>
          <w:tcPr>
            <w:tcW w:w="900" w:type="dxa"/>
            <w:shd w:val="clear" w:color="auto" w:fill="auto"/>
            <w:noWrap/>
            <w:vAlign w:val="center"/>
            <w:hideMark/>
          </w:tcPr>
          <w:p w:rsidR="007F2B0B" w:rsidRPr="00EC60CB" w:rsidRDefault="007F2B0B" w:rsidP="007F2B0B">
            <w:pPr>
              <w:jc w:val="center"/>
            </w:pPr>
            <w:r w:rsidRPr="00EC60CB">
              <w:t>83.2</w:t>
            </w:r>
          </w:p>
        </w:tc>
        <w:tc>
          <w:tcPr>
            <w:tcW w:w="900" w:type="dxa"/>
            <w:shd w:val="clear" w:color="auto" w:fill="auto"/>
            <w:noWrap/>
            <w:vAlign w:val="center"/>
            <w:hideMark/>
          </w:tcPr>
          <w:p w:rsidR="007F2B0B" w:rsidRPr="00EC60CB" w:rsidRDefault="007F2B0B" w:rsidP="007F2B0B">
            <w:pPr>
              <w:jc w:val="center"/>
            </w:pPr>
            <w:r w:rsidRPr="00EC60CB">
              <w:t>87.4</w:t>
            </w:r>
          </w:p>
        </w:tc>
        <w:tc>
          <w:tcPr>
            <w:tcW w:w="1080" w:type="dxa"/>
            <w:shd w:val="clear" w:color="auto" w:fill="auto"/>
            <w:noWrap/>
            <w:vAlign w:val="center"/>
            <w:hideMark/>
          </w:tcPr>
          <w:p w:rsidR="007F2B0B" w:rsidRPr="00EC60CB" w:rsidRDefault="007F2B0B" w:rsidP="007F2B0B">
            <w:pPr>
              <w:jc w:val="center"/>
            </w:pPr>
            <w:r w:rsidRPr="00EC60CB">
              <w:t>934</w:t>
            </w:r>
          </w:p>
        </w:tc>
        <w:tc>
          <w:tcPr>
            <w:tcW w:w="1260" w:type="dxa"/>
            <w:shd w:val="clear" w:color="auto" w:fill="auto"/>
            <w:noWrap/>
            <w:vAlign w:val="center"/>
            <w:hideMark/>
          </w:tcPr>
          <w:p w:rsidR="007F2B0B" w:rsidRPr="00EC60CB" w:rsidRDefault="007F2B0B" w:rsidP="007F2B0B">
            <w:pPr>
              <w:jc w:val="center"/>
            </w:pPr>
            <w:r w:rsidRPr="00EC60CB">
              <w:t>10,465</w:t>
            </w:r>
          </w:p>
        </w:tc>
        <w:tc>
          <w:tcPr>
            <w:tcW w:w="1260" w:type="dxa"/>
            <w:shd w:val="clear" w:color="auto" w:fill="auto"/>
            <w:noWrap/>
            <w:vAlign w:val="center"/>
            <w:hideMark/>
          </w:tcPr>
          <w:p w:rsidR="007F2B0B" w:rsidRPr="00EC60CB" w:rsidRDefault="007F2B0B" w:rsidP="007F2B0B">
            <w:pPr>
              <w:jc w:val="center"/>
            </w:pPr>
            <w:r w:rsidRPr="00EC60CB">
              <w:t>10,053</w:t>
            </w:r>
          </w:p>
        </w:tc>
        <w:tc>
          <w:tcPr>
            <w:tcW w:w="1350" w:type="dxa"/>
            <w:shd w:val="clear" w:color="auto" w:fill="auto"/>
            <w:noWrap/>
            <w:vAlign w:val="center"/>
            <w:hideMark/>
          </w:tcPr>
          <w:p w:rsidR="007F2B0B" w:rsidRPr="00EC60CB" w:rsidRDefault="007F2B0B" w:rsidP="007F2B0B">
            <w:pPr>
              <w:jc w:val="center"/>
            </w:pPr>
            <w:r w:rsidRPr="00EC60CB">
              <w:t>5,227</w:t>
            </w:r>
          </w:p>
        </w:tc>
      </w:tr>
      <w:tr w:rsidR="007F2B0B" w:rsidRPr="00EC60CB" w:rsidTr="007F2B0B">
        <w:trPr>
          <w:trHeight w:val="300"/>
        </w:trPr>
        <w:tc>
          <w:tcPr>
            <w:tcW w:w="1260" w:type="dxa"/>
            <w:vMerge/>
            <w:shd w:val="clear" w:color="auto" w:fill="auto"/>
            <w:noWrap/>
            <w:hideMark/>
          </w:tcPr>
          <w:p w:rsidR="007F2B0B" w:rsidRPr="00EC60CB" w:rsidRDefault="007F2B0B" w:rsidP="007F2B0B">
            <w:pPr>
              <w:rPr>
                <w:rFonts w:ascii="Calibri" w:hAnsi="Calibri"/>
                <w:color w:val="000000"/>
                <w:sz w:val="22"/>
                <w:szCs w:val="22"/>
              </w:rPr>
            </w:pPr>
          </w:p>
        </w:tc>
        <w:tc>
          <w:tcPr>
            <w:tcW w:w="1350" w:type="dxa"/>
            <w:shd w:val="clear" w:color="auto" w:fill="auto"/>
            <w:noWrap/>
            <w:hideMark/>
          </w:tcPr>
          <w:p w:rsidR="007F2B0B" w:rsidRPr="00EC60CB" w:rsidRDefault="007F2B0B" w:rsidP="007F2B0B">
            <w:pPr>
              <w:jc w:val="center"/>
              <w:rPr>
                <w:rFonts w:ascii="Calibri" w:hAnsi="Calibri"/>
                <w:color w:val="000000"/>
                <w:sz w:val="22"/>
                <w:szCs w:val="22"/>
              </w:rPr>
            </w:pPr>
            <w:r w:rsidRPr="00EC60CB">
              <w:t>Crystal River 5</w:t>
            </w:r>
          </w:p>
        </w:tc>
        <w:tc>
          <w:tcPr>
            <w:tcW w:w="900" w:type="dxa"/>
            <w:shd w:val="clear" w:color="auto" w:fill="auto"/>
            <w:noWrap/>
            <w:vAlign w:val="center"/>
            <w:hideMark/>
          </w:tcPr>
          <w:p w:rsidR="007F2B0B" w:rsidRPr="00EC60CB" w:rsidRDefault="007F2B0B" w:rsidP="007F2B0B">
            <w:pPr>
              <w:jc w:val="center"/>
            </w:pPr>
            <w:r w:rsidRPr="00EC60CB">
              <w:t>94.6</w:t>
            </w:r>
          </w:p>
        </w:tc>
        <w:tc>
          <w:tcPr>
            <w:tcW w:w="900" w:type="dxa"/>
            <w:shd w:val="clear" w:color="auto" w:fill="auto"/>
            <w:noWrap/>
            <w:vAlign w:val="center"/>
            <w:hideMark/>
          </w:tcPr>
          <w:p w:rsidR="007F2B0B" w:rsidRPr="00EC60CB" w:rsidRDefault="007F2B0B" w:rsidP="007F2B0B">
            <w:pPr>
              <w:jc w:val="center"/>
            </w:pPr>
            <w:r w:rsidRPr="00EC60CB">
              <w:t>97.1</w:t>
            </w:r>
          </w:p>
        </w:tc>
        <w:tc>
          <w:tcPr>
            <w:tcW w:w="1080" w:type="dxa"/>
            <w:shd w:val="clear" w:color="auto" w:fill="auto"/>
            <w:noWrap/>
            <w:vAlign w:val="center"/>
            <w:hideMark/>
          </w:tcPr>
          <w:p w:rsidR="007F2B0B" w:rsidRPr="00EC60CB" w:rsidRDefault="007F2B0B" w:rsidP="007F2B0B">
            <w:pPr>
              <w:jc w:val="center"/>
            </w:pPr>
            <w:r w:rsidRPr="00EC60CB">
              <w:t>1,031</w:t>
            </w:r>
          </w:p>
        </w:tc>
        <w:tc>
          <w:tcPr>
            <w:tcW w:w="1260" w:type="dxa"/>
            <w:shd w:val="clear" w:color="auto" w:fill="auto"/>
            <w:noWrap/>
            <w:vAlign w:val="center"/>
            <w:hideMark/>
          </w:tcPr>
          <w:p w:rsidR="007F2B0B" w:rsidRPr="00EC60CB" w:rsidRDefault="007F2B0B" w:rsidP="007F2B0B">
            <w:pPr>
              <w:jc w:val="center"/>
            </w:pPr>
            <w:r w:rsidRPr="00EC60CB">
              <w:t>10,345</w:t>
            </w:r>
          </w:p>
        </w:tc>
        <w:tc>
          <w:tcPr>
            <w:tcW w:w="1260" w:type="dxa"/>
            <w:shd w:val="clear" w:color="auto" w:fill="auto"/>
            <w:noWrap/>
            <w:vAlign w:val="center"/>
            <w:hideMark/>
          </w:tcPr>
          <w:p w:rsidR="007F2B0B" w:rsidRPr="00EC60CB" w:rsidRDefault="007F2B0B" w:rsidP="007F2B0B">
            <w:pPr>
              <w:jc w:val="center"/>
            </w:pPr>
            <w:r w:rsidRPr="00EC60CB">
              <w:t>9,851</w:t>
            </w:r>
          </w:p>
        </w:tc>
        <w:tc>
          <w:tcPr>
            <w:tcW w:w="1350" w:type="dxa"/>
            <w:shd w:val="clear" w:color="auto" w:fill="auto"/>
            <w:noWrap/>
            <w:vAlign w:val="center"/>
            <w:hideMark/>
          </w:tcPr>
          <w:p w:rsidR="007F2B0B" w:rsidRPr="00EC60CB" w:rsidRDefault="007F2B0B" w:rsidP="007F2B0B">
            <w:pPr>
              <w:jc w:val="center"/>
            </w:pPr>
            <w:r w:rsidRPr="00EC60CB">
              <w:t>7,392</w:t>
            </w:r>
          </w:p>
        </w:tc>
      </w:tr>
      <w:tr w:rsidR="007F2B0B" w:rsidRPr="00EC60CB" w:rsidTr="007F2B0B">
        <w:trPr>
          <w:trHeight w:val="300"/>
        </w:trPr>
        <w:tc>
          <w:tcPr>
            <w:tcW w:w="1260" w:type="dxa"/>
            <w:vMerge/>
            <w:shd w:val="clear" w:color="auto" w:fill="auto"/>
            <w:noWrap/>
            <w:hideMark/>
          </w:tcPr>
          <w:p w:rsidR="007F2B0B" w:rsidRPr="00EC60CB" w:rsidRDefault="007F2B0B" w:rsidP="007F2B0B">
            <w:pPr>
              <w:rPr>
                <w:rFonts w:ascii="Calibri" w:hAnsi="Calibri"/>
                <w:color w:val="000000"/>
                <w:sz w:val="22"/>
                <w:szCs w:val="22"/>
              </w:rPr>
            </w:pPr>
          </w:p>
        </w:tc>
        <w:tc>
          <w:tcPr>
            <w:tcW w:w="1350" w:type="dxa"/>
            <w:shd w:val="clear" w:color="auto" w:fill="auto"/>
            <w:noWrap/>
            <w:hideMark/>
          </w:tcPr>
          <w:p w:rsidR="007F2B0B" w:rsidRPr="00EC60CB" w:rsidRDefault="007F2B0B" w:rsidP="007F2B0B">
            <w:pPr>
              <w:jc w:val="center"/>
              <w:rPr>
                <w:rFonts w:ascii="Calibri" w:hAnsi="Calibri"/>
                <w:color w:val="000000"/>
                <w:sz w:val="22"/>
                <w:szCs w:val="22"/>
              </w:rPr>
            </w:pPr>
            <w:r w:rsidRPr="00EC60CB">
              <w:t>Hines 1</w:t>
            </w:r>
          </w:p>
        </w:tc>
        <w:tc>
          <w:tcPr>
            <w:tcW w:w="900" w:type="dxa"/>
            <w:shd w:val="clear" w:color="auto" w:fill="auto"/>
            <w:noWrap/>
            <w:hideMark/>
          </w:tcPr>
          <w:p w:rsidR="007F2B0B" w:rsidRPr="00EC60CB" w:rsidRDefault="007F2B0B" w:rsidP="007F2B0B">
            <w:pPr>
              <w:jc w:val="center"/>
            </w:pPr>
            <w:r w:rsidRPr="00EC60CB">
              <w:t>92.4</w:t>
            </w:r>
          </w:p>
        </w:tc>
        <w:tc>
          <w:tcPr>
            <w:tcW w:w="900" w:type="dxa"/>
            <w:shd w:val="clear" w:color="auto" w:fill="auto"/>
            <w:noWrap/>
            <w:hideMark/>
          </w:tcPr>
          <w:p w:rsidR="007F2B0B" w:rsidRPr="00EC60CB" w:rsidRDefault="007F2B0B" w:rsidP="007F2B0B">
            <w:pPr>
              <w:jc w:val="center"/>
            </w:pPr>
            <w:r w:rsidRPr="00EC60CB">
              <w:t>93.2</w:t>
            </w:r>
          </w:p>
        </w:tc>
        <w:tc>
          <w:tcPr>
            <w:tcW w:w="1080" w:type="dxa"/>
            <w:shd w:val="clear" w:color="auto" w:fill="auto"/>
            <w:noWrap/>
            <w:hideMark/>
          </w:tcPr>
          <w:p w:rsidR="007F2B0B" w:rsidRPr="00EC60CB" w:rsidRDefault="007F2B0B" w:rsidP="007F2B0B">
            <w:pPr>
              <w:jc w:val="center"/>
            </w:pPr>
            <w:r w:rsidRPr="00EC60CB">
              <w:t>413</w:t>
            </w:r>
          </w:p>
        </w:tc>
        <w:tc>
          <w:tcPr>
            <w:tcW w:w="1260" w:type="dxa"/>
            <w:shd w:val="clear" w:color="auto" w:fill="auto"/>
            <w:noWrap/>
            <w:hideMark/>
          </w:tcPr>
          <w:p w:rsidR="007F2B0B" w:rsidRPr="00EC60CB" w:rsidRDefault="007F2B0B" w:rsidP="007F2B0B">
            <w:pPr>
              <w:jc w:val="center"/>
            </w:pPr>
            <w:r w:rsidRPr="00EC60CB">
              <w:t>7,319</w:t>
            </w:r>
          </w:p>
        </w:tc>
        <w:tc>
          <w:tcPr>
            <w:tcW w:w="1260" w:type="dxa"/>
            <w:shd w:val="clear" w:color="auto" w:fill="auto"/>
            <w:noWrap/>
            <w:hideMark/>
          </w:tcPr>
          <w:p w:rsidR="007F2B0B" w:rsidRPr="00EC60CB" w:rsidRDefault="007F2B0B" w:rsidP="007F2B0B">
            <w:pPr>
              <w:jc w:val="center"/>
            </w:pPr>
            <w:r w:rsidRPr="00EC60CB">
              <w:t>6,855</w:t>
            </w:r>
          </w:p>
        </w:tc>
        <w:tc>
          <w:tcPr>
            <w:tcW w:w="1350" w:type="dxa"/>
            <w:shd w:val="clear" w:color="auto" w:fill="auto"/>
            <w:noWrap/>
            <w:hideMark/>
          </w:tcPr>
          <w:p w:rsidR="007F2B0B" w:rsidRPr="00EC60CB" w:rsidRDefault="007F2B0B" w:rsidP="007F2B0B">
            <w:pPr>
              <w:jc w:val="center"/>
            </w:pPr>
            <w:r w:rsidRPr="00EC60CB">
              <w:t>6,758</w:t>
            </w:r>
          </w:p>
        </w:tc>
      </w:tr>
      <w:tr w:rsidR="007F2B0B" w:rsidRPr="00EC60CB" w:rsidTr="007F2B0B">
        <w:trPr>
          <w:trHeight w:val="300"/>
        </w:trPr>
        <w:tc>
          <w:tcPr>
            <w:tcW w:w="1260" w:type="dxa"/>
            <w:vMerge/>
            <w:shd w:val="clear" w:color="auto" w:fill="auto"/>
            <w:noWrap/>
            <w:hideMark/>
          </w:tcPr>
          <w:p w:rsidR="007F2B0B" w:rsidRPr="00EC60CB" w:rsidRDefault="007F2B0B" w:rsidP="007F2B0B">
            <w:pPr>
              <w:rPr>
                <w:rFonts w:ascii="Calibri" w:hAnsi="Calibri"/>
                <w:color w:val="000000"/>
                <w:sz w:val="22"/>
                <w:szCs w:val="22"/>
              </w:rPr>
            </w:pPr>
          </w:p>
        </w:tc>
        <w:tc>
          <w:tcPr>
            <w:tcW w:w="1350" w:type="dxa"/>
            <w:shd w:val="clear" w:color="auto" w:fill="auto"/>
            <w:noWrap/>
            <w:hideMark/>
          </w:tcPr>
          <w:p w:rsidR="007F2B0B" w:rsidRPr="00EC60CB" w:rsidRDefault="007F2B0B" w:rsidP="007F2B0B">
            <w:pPr>
              <w:jc w:val="center"/>
              <w:rPr>
                <w:rFonts w:ascii="Calibri" w:hAnsi="Calibri"/>
                <w:color w:val="000000"/>
                <w:sz w:val="22"/>
                <w:szCs w:val="22"/>
              </w:rPr>
            </w:pPr>
            <w:r w:rsidRPr="00EC60CB">
              <w:t>Hines 2</w:t>
            </w:r>
          </w:p>
        </w:tc>
        <w:tc>
          <w:tcPr>
            <w:tcW w:w="900" w:type="dxa"/>
            <w:shd w:val="clear" w:color="auto" w:fill="auto"/>
            <w:noWrap/>
            <w:hideMark/>
          </w:tcPr>
          <w:p w:rsidR="007F2B0B" w:rsidRPr="00EC60CB" w:rsidRDefault="007F2B0B" w:rsidP="007F2B0B">
            <w:pPr>
              <w:jc w:val="center"/>
            </w:pPr>
            <w:r w:rsidRPr="00EC60CB">
              <w:t>57.6</w:t>
            </w:r>
          </w:p>
        </w:tc>
        <w:tc>
          <w:tcPr>
            <w:tcW w:w="900" w:type="dxa"/>
            <w:shd w:val="clear" w:color="auto" w:fill="auto"/>
            <w:noWrap/>
            <w:hideMark/>
          </w:tcPr>
          <w:p w:rsidR="007F2B0B" w:rsidRPr="00EC60CB" w:rsidRDefault="007F2B0B" w:rsidP="007F2B0B">
            <w:pPr>
              <w:jc w:val="center"/>
            </w:pPr>
            <w:r w:rsidRPr="00EC60CB">
              <w:t>69.4</w:t>
            </w:r>
          </w:p>
        </w:tc>
        <w:tc>
          <w:tcPr>
            <w:tcW w:w="1080" w:type="dxa"/>
            <w:shd w:val="clear" w:color="auto" w:fill="auto"/>
            <w:noWrap/>
            <w:hideMark/>
          </w:tcPr>
          <w:p w:rsidR="007F2B0B" w:rsidRPr="00EC60CB" w:rsidRDefault="007F2B0B" w:rsidP="007F2B0B">
            <w:pPr>
              <w:jc w:val="center"/>
            </w:pPr>
            <w:r w:rsidRPr="00EC60CB">
              <w:t>5,403</w:t>
            </w:r>
          </w:p>
        </w:tc>
        <w:tc>
          <w:tcPr>
            <w:tcW w:w="1260" w:type="dxa"/>
            <w:shd w:val="clear" w:color="auto" w:fill="auto"/>
            <w:noWrap/>
            <w:hideMark/>
          </w:tcPr>
          <w:p w:rsidR="007F2B0B" w:rsidRPr="00EC60CB" w:rsidRDefault="007F2B0B" w:rsidP="007F2B0B">
            <w:pPr>
              <w:jc w:val="center"/>
            </w:pPr>
            <w:r w:rsidRPr="00EC60CB">
              <w:t>7,343</w:t>
            </w:r>
          </w:p>
        </w:tc>
        <w:tc>
          <w:tcPr>
            <w:tcW w:w="1260" w:type="dxa"/>
            <w:shd w:val="clear" w:color="auto" w:fill="auto"/>
            <w:noWrap/>
            <w:hideMark/>
          </w:tcPr>
          <w:p w:rsidR="007F2B0B" w:rsidRPr="00EC60CB" w:rsidRDefault="007F2B0B" w:rsidP="007F2B0B">
            <w:pPr>
              <w:jc w:val="center"/>
            </w:pPr>
            <w:r w:rsidRPr="00EC60CB">
              <w:t>6,931</w:t>
            </w:r>
          </w:p>
        </w:tc>
        <w:tc>
          <w:tcPr>
            <w:tcW w:w="1350" w:type="dxa"/>
            <w:shd w:val="clear" w:color="auto" w:fill="auto"/>
            <w:noWrap/>
            <w:hideMark/>
          </w:tcPr>
          <w:p w:rsidR="007F2B0B" w:rsidRPr="00EC60CB" w:rsidRDefault="007F2B0B" w:rsidP="007F2B0B">
            <w:pPr>
              <w:jc w:val="center"/>
            </w:pPr>
            <w:r w:rsidRPr="00EC60CB">
              <w:t>2,987</w:t>
            </w:r>
          </w:p>
        </w:tc>
      </w:tr>
      <w:tr w:rsidR="007F2B0B" w:rsidRPr="00EC60CB" w:rsidTr="007F2B0B">
        <w:trPr>
          <w:trHeight w:val="300"/>
        </w:trPr>
        <w:tc>
          <w:tcPr>
            <w:tcW w:w="1260" w:type="dxa"/>
            <w:vMerge/>
            <w:shd w:val="clear" w:color="auto" w:fill="auto"/>
            <w:noWrap/>
            <w:hideMark/>
          </w:tcPr>
          <w:p w:rsidR="007F2B0B" w:rsidRPr="00EC60CB" w:rsidRDefault="007F2B0B" w:rsidP="007F2B0B">
            <w:pPr>
              <w:rPr>
                <w:rFonts w:ascii="Calibri" w:hAnsi="Calibri"/>
                <w:color w:val="000000"/>
                <w:sz w:val="22"/>
                <w:szCs w:val="22"/>
              </w:rPr>
            </w:pPr>
          </w:p>
        </w:tc>
        <w:tc>
          <w:tcPr>
            <w:tcW w:w="1350" w:type="dxa"/>
            <w:shd w:val="clear" w:color="auto" w:fill="auto"/>
            <w:noWrap/>
            <w:hideMark/>
          </w:tcPr>
          <w:p w:rsidR="007F2B0B" w:rsidRPr="00EC60CB" w:rsidRDefault="007F2B0B" w:rsidP="007F2B0B">
            <w:pPr>
              <w:jc w:val="center"/>
              <w:rPr>
                <w:rFonts w:ascii="Calibri" w:hAnsi="Calibri"/>
                <w:color w:val="000000"/>
                <w:sz w:val="22"/>
                <w:szCs w:val="22"/>
              </w:rPr>
            </w:pPr>
            <w:r w:rsidRPr="00EC60CB">
              <w:t>Hines 3</w:t>
            </w:r>
          </w:p>
        </w:tc>
        <w:tc>
          <w:tcPr>
            <w:tcW w:w="900" w:type="dxa"/>
            <w:shd w:val="clear" w:color="auto" w:fill="auto"/>
            <w:noWrap/>
            <w:hideMark/>
          </w:tcPr>
          <w:p w:rsidR="007F2B0B" w:rsidRPr="00EC60CB" w:rsidRDefault="007F2B0B" w:rsidP="007F2B0B">
            <w:pPr>
              <w:jc w:val="center"/>
            </w:pPr>
            <w:r w:rsidRPr="00EC60CB">
              <w:t>82.9</w:t>
            </w:r>
          </w:p>
        </w:tc>
        <w:tc>
          <w:tcPr>
            <w:tcW w:w="900" w:type="dxa"/>
            <w:shd w:val="clear" w:color="auto" w:fill="auto"/>
            <w:noWrap/>
            <w:hideMark/>
          </w:tcPr>
          <w:p w:rsidR="007F2B0B" w:rsidRPr="00EC60CB" w:rsidRDefault="007F2B0B" w:rsidP="007F2B0B">
            <w:pPr>
              <w:jc w:val="center"/>
            </w:pPr>
            <w:r w:rsidRPr="00EC60CB">
              <w:t>84.5</w:t>
            </w:r>
          </w:p>
        </w:tc>
        <w:tc>
          <w:tcPr>
            <w:tcW w:w="1080" w:type="dxa"/>
            <w:shd w:val="clear" w:color="auto" w:fill="auto"/>
            <w:noWrap/>
            <w:hideMark/>
          </w:tcPr>
          <w:p w:rsidR="007F2B0B" w:rsidRPr="00EC60CB" w:rsidRDefault="007F2B0B" w:rsidP="007F2B0B">
            <w:pPr>
              <w:jc w:val="center"/>
            </w:pPr>
            <w:r w:rsidRPr="00EC60CB">
              <w:t>1,028</w:t>
            </w:r>
          </w:p>
        </w:tc>
        <w:tc>
          <w:tcPr>
            <w:tcW w:w="1260" w:type="dxa"/>
            <w:shd w:val="clear" w:color="auto" w:fill="auto"/>
            <w:noWrap/>
            <w:hideMark/>
          </w:tcPr>
          <w:p w:rsidR="007F2B0B" w:rsidRPr="00EC60CB" w:rsidRDefault="007F2B0B" w:rsidP="007F2B0B">
            <w:pPr>
              <w:jc w:val="center"/>
            </w:pPr>
            <w:r w:rsidRPr="00EC60CB">
              <w:t>7,227</w:t>
            </w:r>
          </w:p>
        </w:tc>
        <w:tc>
          <w:tcPr>
            <w:tcW w:w="1260" w:type="dxa"/>
            <w:shd w:val="clear" w:color="auto" w:fill="auto"/>
            <w:noWrap/>
            <w:hideMark/>
          </w:tcPr>
          <w:p w:rsidR="007F2B0B" w:rsidRPr="00EC60CB" w:rsidRDefault="007F2B0B" w:rsidP="007F2B0B">
            <w:pPr>
              <w:jc w:val="center"/>
            </w:pPr>
            <w:r w:rsidRPr="00EC60CB">
              <w:t>6,745</w:t>
            </w:r>
          </w:p>
        </w:tc>
        <w:tc>
          <w:tcPr>
            <w:tcW w:w="1350" w:type="dxa"/>
            <w:shd w:val="clear" w:color="auto" w:fill="auto"/>
            <w:noWrap/>
            <w:hideMark/>
          </w:tcPr>
          <w:p w:rsidR="007F2B0B" w:rsidRPr="00EC60CB" w:rsidRDefault="007F2B0B" w:rsidP="007F2B0B">
            <w:pPr>
              <w:jc w:val="center"/>
            </w:pPr>
            <w:r w:rsidRPr="00EC60CB">
              <w:t>6,298</w:t>
            </w:r>
          </w:p>
        </w:tc>
      </w:tr>
      <w:tr w:rsidR="007F2B0B" w:rsidRPr="00EC60CB" w:rsidTr="007F2B0B">
        <w:trPr>
          <w:trHeight w:val="300"/>
        </w:trPr>
        <w:tc>
          <w:tcPr>
            <w:tcW w:w="1260" w:type="dxa"/>
            <w:vMerge/>
            <w:shd w:val="clear" w:color="auto" w:fill="auto"/>
            <w:noWrap/>
            <w:hideMark/>
          </w:tcPr>
          <w:p w:rsidR="007F2B0B" w:rsidRPr="00EC60CB" w:rsidRDefault="007F2B0B" w:rsidP="007F2B0B">
            <w:pPr>
              <w:rPr>
                <w:rFonts w:ascii="Calibri" w:hAnsi="Calibri"/>
                <w:color w:val="000000"/>
                <w:sz w:val="22"/>
                <w:szCs w:val="22"/>
              </w:rPr>
            </w:pPr>
          </w:p>
        </w:tc>
        <w:tc>
          <w:tcPr>
            <w:tcW w:w="1350" w:type="dxa"/>
            <w:shd w:val="clear" w:color="auto" w:fill="auto"/>
            <w:noWrap/>
            <w:hideMark/>
          </w:tcPr>
          <w:p w:rsidR="007F2B0B" w:rsidRPr="00EC60CB" w:rsidRDefault="007F2B0B" w:rsidP="007F2B0B">
            <w:pPr>
              <w:jc w:val="center"/>
              <w:rPr>
                <w:rFonts w:ascii="Calibri" w:hAnsi="Calibri"/>
                <w:color w:val="000000"/>
                <w:sz w:val="22"/>
                <w:szCs w:val="22"/>
              </w:rPr>
            </w:pPr>
            <w:r w:rsidRPr="00EC60CB">
              <w:t>Hines 4</w:t>
            </w:r>
          </w:p>
        </w:tc>
        <w:tc>
          <w:tcPr>
            <w:tcW w:w="900" w:type="dxa"/>
            <w:shd w:val="clear" w:color="auto" w:fill="auto"/>
            <w:noWrap/>
            <w:hideMark/>
          </w:tcPr>
          <w:p w:rsidR="007F2B0B" w:rsidRPr="00EC60CB" w:rsidRDefault="007F2B0B" w:rsidP="007F2B0B">
            <w:pPr>
              <w:jc w:val="center"/>
            </w:pPr>
            <w:r w:rsidRPr="00EC60CB">
              <w:t>85.0</w:t>
            </w:r>
          </w:p>
        </w:tc>
        <w:tc>
          <w:tcPr>
            <w:tcW w:w="900" w:type="dxa"/>
            <w:shd w:val="clear" w:color="auto" w:fill="auto"/>
            <w:noWrap/>
            <w:hideMark/>
          </w:tcPr>
          <w:p w:rsidR="007F2B0B" w:rsidRPr="00EC60CB" w:rsidRDefault="007F2B0B" w:rsidP="007F2B0B">
            <w:pPr>
              <w:jc w:val="center"/>
            </w:pPr>
            <w:r w:rsidRPr="00EC60CB">
              <w:t>85.5</w:t>
            </w:r>
          </w:p>
        </w:tc>
        <w:tc>
          <w:tcPr>
            <w:tcW w:w="1080" w:type="dxa"/>
            <w:shd w:val="clear" w:color="auto" w:fill="auto"/>
            <w:noWrap/>
            <w:hideMark/>
          </w:tcPr>
          <w:p w:rsidR="007F2B0B" w:rsidRPr="00EC60CB" w:rsidRDefault="007F2B0B" w:rsidP="007F2B0B">
            <w:pPr>
              <w:jc w:val="center"/>
            </w:pPr>
            <w:r w:rsidRPr="00EC60CB">
              <w:t>250</w:t>
            </w:r>
          </w:p>
        </w:tc>
        <w:tc>
          <w:tcPr>
            <w:tcW w:w="1260" w:type="dxa"/>
            <w:shd w:val="clear" w:color="auto" w:fill="auto"/>
            <w:noWrap/>
            <w:hideMark/>
          </w:tcPr>
          <w:p w:rsidR="007F2B0B" w:rsidRPr="00EC60CB" w:rsidRDefault="007F2B0B" w:rsidP="007F2B0B">
            <w:pPr>
              <w:jc w:val="center"/>
            </w:pPr>
            <w:r w:rsidRPr="00EC60CB">
              <w:t>6,983</w:t>
            </w:r>
          </w:p>
        </w:tc>
        <w:tc>
          <w:tcPr>
            <w:tcW w:w="1260" w:type="dxa"/>
            <w:shd w:val="clear" w:color="auto" w:fill="auto"/>
            <w:noWrap/>
            <w:hideMark/>
          </w:tcPr>
          <w:p w:rsidR="007F2B0B" w:rsidRPr="00EC60CB" w:rsidRDefault="007F2B0B" w:rsidP="007F2B0B">
            <w:pPr>
              <w:jc w:val="center"/>
            </w:pPr>
            <w:r w:rsidRPr="00EC60CB">
              <w:t>6,634</w:t>
            </w:r>
          </w:p>
        </w:tc>
        <w:tc>
          <w:tcPr>
            <w:tcW w:w="1350" w:type="dxa"/>
            <w:shd w:val="clear" w:color="auto" w:fill="auto"/>
            <w:noWrap/>
            <w:hideMark/>
          </w:tcPr>
          <w:p w:rsidR="007F2B0B" w:rsidRPr="00EC60CB" w:rsidRDefault="007F2B0B" w:rsidP="007F2B0B">
            <w:pPr>
              <w:jc w:val="center"/>
            </w:pPr>
            <w:r w:rsidRPr="00EC60CB">
              <w:t>4,880</w:t>
            </w:r>
          </w:p>
        </w:tc>
      </w:tr>
      <w:tr w:rsidR="007F2B0B" w:rsidRPr="00EC60CB" w:rsidTr="007F2B0B">
        <w:trPr>
          <w:trHeight w:val="300"/>
        </w:trPr>
        <w:tc>
          <w:tcPr>
            <w:tcW w:w="1260" w:type="dxa"/>
            <w:vMerge/>
            <w:shd w:val="clear" w:color="auto" w:fill="auto"/>
            <w:noWrap/>
            <w:hideMark/>
          </w:tcPr>
          <w:p w:rsidR="007F2B0B" w:rsidRPr="00EC60CB" w:rsidRDefault="007F2B0B" w:rsidP="007F2B0B">
            <w:pPr>
              <w:rPr>
                <w:rFonts w:ascii="Calibri" w:hAnsi="Calibri"/>
                <w:color w:val="000000"/>
                <w:sz w:val="22"/>
                <w:szCs w:val="22"/>
              </w:rPr>
            </w:pPr>
          </w:p>
        </w:tc>
        <w:tc>
          <w:tcPr>
            <w:tcW w:w="1350" w:type="dxa"/>
            <w:shd w:val="clear" w:color="auto" w:fill="auto"/>
            <w:noWrap/>
            <w:hideMark/>
          </w:tcPr>
          <w:p w:rsidR="007F2B0B" w:rsidRPr="00EC60CB" w:rsidRDefault="007F2B0B" w:rsidP="007F2B0B">
            <w:pPr>
              <w:jc w:val="center"/>
              <w:rPr>
                <w:rFonts w:ascii="Calibri" w:hAnsi="Calibri"/>
                <w:color w:val="000000"/>
                <w:sz w:val="22"/>
                <w:szCs w:val="22"/>
              </w:rPr>
            </w:pPr>
            <w:r w:rsidRPr="00EC60CB">
              <w:t>Total</w:t>
            </w:r>
          </w:p>
        </w:tc>
        <w:tc>
          <w:tcPr>
            <w:tcW w:w="900" w:type="dxa"/>
            <w:shd w:val="clear" w:color="auto" w:fill="auto"/>
            <w:noWrap/>
            <w:hideMark/>
          </w:tcPr>
          <w:p w:rsidR="007F2B0B" w:rsidRPr="00EC60CB" w:rsidRDefault="007F2B0B" w:rsidP="007F2B0B">
            <w:pPr>
              <w:jc w:val="center"/>
              <w:rPr>
                <w:rFonts w:ascii="Calibri" w:hAnsi="Calibri"/>
                <w:color w:val="000000"/>
                <w:sz w:val="22"/>
                <w:szCs w:val="22"/>
              </w:rPr>
            </w:pPr>
          </w:p>
        </w:tc>
        <w:tc>
          <w:tcPr>
            <w:tcW w:w="900" w:type="dxa"/>
            <w:shd w:val="clear" w:color="auto" w:fill="auto"/>
            <w:noWrap/>
            <w:hideMark/>
          </w:tcPr>
          <w:p w:rsidR="007F2B0B" w:rsidRPr="00EC60CB" w:rsidRDefault="007F2B0B" w:rsidP="007F2B0B">
            <w:pPr>
              <w:jc w:val="center"/>
              <w:rPr>
                <w:rFonts w:ascii="Calibri" w:hAnsi="Calibri"/>
                <w:color w:val="000000"/>
                <w:sz w:val="22"/>
                <w:szCs w:val="22"/>
              </w:rPr>
            </w:pPr>
          </w:p>
        </w:tc>
        <w:tc>
          <w:tcPr>
            <w:tcW w:w="1080" w:type="dxa"/>
            <w:shd w:val="clear" w:color="auto" w:fill="auto"/>
            <w:noWrap/>
            <w:hideMark/>
          </w:tcPr>
          <w:p w:rsidR="007F2B0B" w:rsidRPr="00EC60CB" w:rsidRDefault="007F2B0B" w:rsidP="007F2B0B">
            <w:pPr>
              <w:jc w:val="center"/>
            </w:pPr>
            <w:r w:rsidRPr="00EC60CB">
              <w:t>10,530</w:t>
            </w:r>
          </w:p>
        </w:tc>
        <w:tc>
          <w:tcPr>
            <w:tcW w:w="1260" w:type="dxa"/>
            <w:shd w:val="clear" w:color="auto" w:fill="auto"/>
            <w:noWrap/>
            <w:hideMark/>
          </w:tcPr>
          <w:p w:rsidR="007F2B0B" w:rsidRPr="00EC60CB" w:rsidRDefault="007F2B0B" w:rsidP="007F2B0B">
            <w:pPr>
              <w:jc w:val="center"/>
            </w:pPr>
          </w:p>
        </w:tc>
        <w:tc>
          <w:tcPr>
            <w:tcW w:w="1260" w:type="dxa"/>
            <w:shd w:val="clear" w:color="auto" w:fill="auto"/>
            <w:noWrap/>
            <w:hideMark/>
          </w:tcPr>
          <w:p w:rsidR="007F2B0B" w:rsidRPr="00EC60CB" w:rsidRDefault="007F2B0B" w:rsidP="007F2B0B">
            <w:pPr>
              <w:jc w:val="center"/>
            </w:pPr>
          </w:p>
        </w:tc>
        <w:tc>
          <w:tcPr>
            <w:tcW w:w="1350" w:type="dxa"/>
            <w:shd w:val="clear" w:color="auto" w:fill="auto"/>
            <w:noWrap/>
            <w:hideMark/>
          </w:tcPr>
          <w:p w:rsidR="007F2B0B" w:rsidRPr="00EC60CB" w:rsidRDefault="007F2B0B" w:rsidP="007F2B0B">
            <w:pPr>
              <w:jc w:val="center"/>
            </w:pPr>
            <w:r w:rsidRPr="00EC60CB">
              <w:t>46,692</w:t>
            </w:r>
          </w:p>
        </w:tc>
      </w:tr>
    </w:tbl>
    <w:p w:rsidR="007F2B0B" w:rsidRDefault="007F2B0B" w:rsidP="007F2B0B"/>
    <w:p w:rsidR="007F2B0B" w:rsidRDefault="007F2B0B" w:rsidP="007F2B0B"/>
    <w:p w:rsidR="007F2B0B" w:rsidRDefault="007F2B0B" w:rsidP="007F2B0B"/>
    <w:p w:rsidR="007F2B0B" w:rsidRDefault="007F2B0B" w:rsidP="007F2B0B"/>
    <w:p w:rsidR="007F2B0B" w:rsidRPr="00EC60CB" w:rsidRDefault="007F2B0B" w:rsidP="007F2B0B"/>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7F2B0B" w:rsidRPr="00EC60CB" w:rsidTr="007F2B0B">
        <w:trPr>
          <w:trHeight w:val="300"/>
        </w:trPr>
        <w:tc>
          <w:tcPr>
            <w:tcW w:w="9360" w:type="dxa"/>
            <w:gridSpan w:val="8"/>
            <w:shd w:val="clear" w:color="auto" w:fill="auto"/>
            <w:noWrap/>
            <w:vAlign w:val="center"/>
          </w:tcPr>
          <w:p w:rsidR="007F2B0B" w:rsidRPr="00EC60CB" w:rsidRDefault="007F2B0B" w:rsidP="007F2B0B">
            <w:pPr>
              <w:jc w:val="center"/>
              <w:rPr>
                <w:b/>
                <w:sz w:val="28"/>
                <w:szCs w:val="28"/>
              </w:rPr>
            </w:pPr>
            <w:r w:rsidRPr="00EC60CB">
              <w:rPr>
                <w:b/>
                <w:sz w:val="28"/>
                <w:szCs w:val="28"/>
              </w:rPr>
              <w:t>GPIF Targets / Ranges for the period January 2016 through December 2016</w:t>
            </w:r>
          </w:p>
        </w:tc>
      </w:tr>
      <w:tr w:rsidR="007F2B0B" w:rsidRPr="00EC60CB" w:rsidTr="007F2B0B">
        <w:trPr>
          <w:trHeight w:val="300"/>
        </w:trPr>
        <w:tc>
          <w:tcPr>
            <w:tcW w:w="1170" w:type="dxa"/>
            <w:vMerge w:val="restart"/>
            <w:shd w:val="clear" w:color="auto" w:fill="auto"/>
            <w:noWrap/>
            <w:vAlign w:val="center"/>
          </w:tcPr>
          <w:p w:rsidR="007F2B0B" w:rsidRPr="00CD5CCD" w:rsidRDefault="007F2B0B" w:rsidP="007F2B0B">
            <w:pPr>
              <w:rPr>
                <w:rFonts w:cs="Calibri"/>
                <w:color w:val="000000"/>
              </w:rPr>
            </w:pPr>
            <w:r w:rsidRPr="00CD5CCD">
              <w:rPr>
                <w:rFonts w:cs="Calibri"/>
                <w:color w:val="000000"/>
              </w:rPr>
              <w:t>Company</w:t>
            </w:r>
          </w:p>
        </w:tc>
        <w:tc>
          <w:tcPr>
            <w:tcW w:w="1440" w:type="dxa"/>
            <w:vMerge w:val="restart"/>
            <w:shd w:val="clear" w:color="auto" w:fill="auto"/>
            <w:noWrap/>
            <w:vAlign w:val="center"/>
          </w:tcPr>
          <w:p w:rsidR="007F2B0B" w:rsidRPr="00CD5CCD" w:rsidRDefault="007F2B0B" w:rsidP="007F2B0B">
            <w:pPr>
              <w:jc w:val="center"/>
              <w:rPr>
                <w:rFonts w:cs="Calibri"/>
              </w:rPr>
            </w:pPr>
            <w:r w:rsidRPr="00CD5CCD">
              <w:rPr>
                <w:rFonts w:cs="Calibri"/>
                <w:color w:val="000000"/>
              </w:rPr>
              <w:t>Plant/Unit</w:t>
            </w:r>
          </w:p>
        </w:tc>
        <w:tc>
          <w:tcPr>
            <w:tcW w:w="2880" w:type="dxa"/>
            <w:gridSpan w:val="3"/>
            <w:shd w:val="clear" w:color="auto" w:fill="auto"/>
            <w:noWrap/>
          </w:tcPr>
          <w:p w:rsidR="007F2B0B" w:rsidRPr="00EC60CB" w:rsidRDefault="007F2B0B" w:rsidP="007F2B0B">
            <w:pPr>
              <w:jc w:val="center"/>
            </w:pPr>
            <w:r w:rsidRPr="00EC60CB">
              <w:t>EAF</w:t>
            </w:r>
          </w:p>
        </w:tc>
        <w:tc>
          <w:tcPr>
            <w:tcW w:w="3870" w:type="dxa"/>
            <w:gridSpan w:val="3"/>
            <w:shd w:val="clear" w:color="auto" w:fill="auto"/>
            <w:noWrap/>
            <w:vAlign w:val="center"/>
          </w:tcPr>
          <w:p w:rsidR="007F2B0B" w:rsidRPr="00EC60CB" w:rsidRDefault="007F2B0B" w:rsidP="007F2B0B">
            <w:pPr>
              <w:jc w:val="center"/>
            </w:pPr>
            <w:r w:rsidRPr="00EC60CB">
              <w:t>ANOHR</w:t>
            </w:r>
          </w:p>
        </w:tc>
      </w:tr>
      <w:tr w:rsidR="007F2B0B" w:rsidRPr="00EC60CB" w:rsidTr="007F2B0B">
        <w:trPr>
          <w:trHeight w:val="300"/>
        </w:trPr>
        <w:tc>
          <w:tcPr>
            <w:tcW w:w="1170" w:type="dxa"/>
            <w:vMerge/>
            <w:shd w:val="clear" w:color="auto" w:fill="auto"/>
            <w:noWrap/>
            <w:vAlign w:val="center"/>
          </w:tcPr>
          <w:p w:rsidR="007F2B0B" w:rsidRPr="00CD5CCD" w:rsidRDefault="007F2B0B" w:rsidP="007F2B0B">
            <w:pPr>
              <w:jc w:val="center"/>
              <w:rPr>
                <w:rFonts w:cs="Calibri"/>
                <w:color w:val="000000"/>
              </w:rPr>
            </w:pPr>
          </w:p>
        </w:tc>
        <w:tc>
          <w:tcPr>
            <w:tcW w:w="1440" w:type="dxa"/>
            <w:vMerge/>
            <w:shd w:val="clear" w:color="auto" w:fill="auto"/>
            <w:noWrap/>
          </w:tcPr>
          <w:p w:rsidR="007F2B0B" w:rsidRPr="00EC60CB" w:rsidRDefault="007F2B0B" w:rsidP="007F2B0B"/>
        </w:tc>
        <w:tc>
          <w:tcPr>
            <w:tcW w:w="900" w:type="dxa"/>
            <w:shd w:val="clear" w:color="auto" w:fill="auto"/>
            <w:noWrap/>
            <w:vAlign w:val="center"/>
          </w:tcPr>
          <w:p w:rsidR="007F2B0B" w:rsidRPr="00EC60CB" w:rsidRDefault="007F2B0B" w:rsidP="007F2B0B">
            <w:pPr>
              <w:jc w:val="center"/>
            </w:pPr>
            <w:r w:rsidRPr="00EC60CB">
              <w:t>Target</w:t>
            </w:r>
          </w:p>
        </w:tc>
        <w:tc>
          <w:tcPr>
            <w:tcW w:w="1980" w:type="dxa"/>
            <w:gridSpan w:val="2"/>
            <w:shd w:val="clear" w:color="auto" w:fill="auto"/>
            <w:noWrap/>
            <w:vAlign w:val="center"/>
          </w:tcPr>
          <w:p w:rsidR="007F2B0B" w:rsidRPr="00EC60CB" w:rsidRDefault="007F2B0B" w:rsidP="007F2B0B">
            <w:pPr>
              <w:jc w:val="center"/>
            </w:pPr>
            <w:r w:rsidRPr="00EC60CB">
              <w:t>Maximum</w:t>
            </w:r>
          </w:p>
        </w:tc>
        <w:tc>
          <w:tcPr>
            <w:tcW w:w="1260" w:type="dxa"/>
            <w:shd w:val="clear" w:color="auto" w:fill="auto"/>
            <w:noWrap/>
            <w:vAlign w:val="center"/>
          </w:tcPr>
          <w:p w:rsidR="007F2B0B" w:rsidRPr="00EC60CB" w:rsidRDefault="007F2B0B" w:rsidP="007F2B0B">
            <w:pPr>
              <w:jc w:val="center"/>
            </w:pPr>
            <w:r w:rsidRPr="00EC60CB">
              <w:t>Target</w:t>
            </w:r>
          </w:p>
        </w:tc>
        <w:tc>
          <w:tcPr>
            <w:tcW w:w="2610" w:type="dxa"/>
            <w:gridSpan w:val="2"/>
            <w:shd w:val="clear" w:color="auto" w:fill="auto"/>
            <w:noWrap/>
            <w:vAlign w:val="center"/>
          </w:tcPr>
          <w:p w:rsidR="007F2B0B" w:rsidRPr="00EC60CB" w:rsidRDefault="007F2B0B" w:rsidP="007F2B0B">
            <w:pPr>
              <w:jc w:val="center"/>
            </w:pPr>
            <w:r w:rsidRPr="00EC60CB">
              <w:t>Maximum</w:t>
            </w:r>
          </w:p>
        </w:tc>
      </w:tr>
      <w:tr w:rsidR="007F2B0B" w:rsidRPr="00EC60CB" w:rsidTr="007F2B0B">
        <w:trPr>
          <w:trHeight w:val="610"/>
        </w:trPr>
        <w:tc>
          <w:tcPr>
            <w:tcW w:w="1170" w:type="dxa"/>
            <w:vMerge/>
            <w:shd w:val="clear" w:color="auto" w:fill="auto"/>
            <w:noWrap/>
            <w:vAlign w:val="center"/>
          </w:tcPr>
          <w:p w:rsidR="007F2B0B" w:rsidRPr="00CD5CCD" w:rsidRDefault="007F2B0B" w:rsidP="007F2B0B">
            <w:pPr>
              <w:jc w:val="center"/>
              <w:rPr>
                <w:rFonts w:cs="Calibri"/>
                <w:color w:val="000000"/>
              </w:rPr>
            </w:pPr>
          </w:p>
        </w:tc>
        <w:tc>
          <w:tcPr>
            <w:tcW w:w="1440" w:type="dxa"/>
            <w:vMerge/>
            <w:shd w:val="clear" w:color="auto" w:fill="auto"/>
            <w:noWrap/>
          </w:tcPr>
          <w:p w:rsidR="007F2B0B" w:rsidRPr="00EC60CB" w:rsidRDefault="007F2B0B" w:rsidP="007F2B0B"/>
        </w:tc>
        <w:tc>
          <w:tcPr>
            <w:tcW w:w="900" w:type="dxa"/>
            <w:shd w:val="clear" w:color="auto" w:fill="auto"/>
            <w:noWrap/>
            <w:vAlign w:val="center"/>
          </w:tcPr>
          <w:p w:rsidR="007F2B0B" w:rsidRPr="00EC60CB" w:rsidRDefault="007F2B0B" w:rsidP="007F2B0B">
            <w:pPr>
              <w:jc w:val="center"/>
            </w:pPr>
            <w:r w:rsidRPr="00EC60CB">
              <w:t>EAF</w:t>
            </w:r>
          </w:p>
          <w:p w:rsidR="007F2B0B" w:rsidRPr="00EC60CB" w:rsidRDefault="007F2B0B" w:rsidP="007F2B0B">
            <w:pPr>
              <w:jc w:val="center"/>
            </w:pPr>
            <w:r w:rsidRPr="00EC60CB">
              <w:t>( % )</w:t>
            </w:r>
          </w:p>
        </w:tc>
        <w:tc>
          <w:tcPr>
            <w:tcW w:w="900" w:type="dxa"/>
            <w:shd w:val="clear" w:color="auto" w:fill="auto"/>
            <w:noWrap/>
            <w:vAlign w:val="center"/>
          </w:tcPr>
          <w:p w:rsidR="007F2B0B" w:rsidRPr="00EC60CB" w:rsidRDefault="007F2B0B" w:rsidP="007F2B0B">
            <w:pPr>
              <w:jc w:val="center"/>
            </w:pPr>
            <w:r w:rsidRPr="00EC60CB">
              <w:t>EAF</w:t>
            </w:r>
          </w:p>
          <w:p w:rsidR="007F2B0B" w:rsidRPr="00EC60CB" w:rsidRDefault="007F2B0B" w:rsidP="007F2B0B">
            <w:pPr>
              <w:jc w:val="center"/>
            </w:pPr>
            <w:r w:rsidRPr="00EC60CB">
              <w:t>( % )</w:t>
            </w:r>
          </w:p>
        </w:tc>
        <w:tc>
          <w:tcPr>
            <w:tcW w:w="1080" w:type="dxa"/>
            <w:shd w:val="clear" w:color="auto" w:fill="auto"/>
            <w:noWrap/>
          </w:tcPr>
          <w:p w:rsidR="007F2B0B" w:rsidRPr="00EC60CB" w:rsidRDefault="007F2B0B" w:rsidP="007F2B0B">
            <w:pPr>
              <w:jc w:val="center"/>
            </w:pPr>
            <w:r w:rsidRPr="00EC60CB">
              <w:t>Savings</w:t>
            </w:r>
          </w:p>
          <w:p w:rsidR="007F2B0B" w:rsidRPr="00EC60CB" w:rsidRDefault="007F2B0B" w:rsidP="007F2B0B">
            <w:r w:rsidRPr="00EC60CB">
              <w:t>($000's)</w:t>
            </w:r>
          </w:p>
        </w:tc>
        <w:tc>
          <w:tcPr>
            <w:tcW w:w="1260" w:type="dxa"/>
            <w:shd w:val="clear" w:color="auto" w:fill="auto"/>
            <w:noWrap/>
            <w:vAlign w:val="center"/>
          </w:tcPr>
          <w:p w:rsidR="007F2B0B" w:rsidRPr="00EC60CB" w:rsidRDefault="007F2B0B" w:rsidP="007F2B0B">
            <w:pPr>
              <w:jc w:val="center"/>
              <w:rPr>
                <w:sz w:val="22"/>
                <w:szCs w:val="22"/>
              </w:rPr>
            </w:pPr>
            <w:r w:rsidRPr="00EC60CB">
              <w:rPr>
                <w:sz w:val="22"/>
                <w:szCs w:val="22"/>
              </w:rPr>
              <w:t>ANOHR</w:t>
            </w:r>
          </w:p>
          <w:p w:rsidR="007F2B0B" w:rsidRPr="00EC60CB" w:rsidRDefault="007F2B0B" w:rsidP="007F2B0B">
            <w:pPr>
              <w:jc w:val="center"/>
              <w:rPr>
                <w:sz w:val="22"/>
                <w:szCs w:val="22"/>
              </w:rPr>
            </w:pPr>
            <w:r w:rsidRPr="00EC60CB">
              <w:rPr>
                <w:sz w:val="22"/>
                <w:szCs w:val="22"/>
              </w:rPr>
              <w:t>BTU/KWH</w:t>
            </w:r>
          </w:p>
        </w:tc>
        <w:tc>
          <w:tcPr>
            <w:tcW w:w="1260" w:type="dxa"/>
            <w:shd w:val="clear" w:color="auto" w:fill="auto"/>
            <w:noWrap/>
            <w:vAlign w:val="center"/>
          </w:tcPr>
          <w:p w:rsidR="007F2B0B" w:rsidRPr="00EC60CB" w:rsidRDefault="007F2B0B" w:rsidP="007F2B0B">
            <w:pPr>
              <w:jc w:val="center"/>
              <w:rPr>
                <w:sz w:val="22"/>
                <w:szCs w:val="22"/>
              </w:rPr>
            </w:pPr>
            <w:r w:rsidRPr="00EC60CB">
              <w:rPr>
                <w:sz w:val="22"/>
                <w:szCs w:val="22"/>
              </w:rPr>
              <w:t>ANOHR</w:t>
            </w:r>
          </w:p>
          <w:p w:rsidR="007F2B0B" w:rsidRPr="00EC60CB" w:rsidRDefault="007F2B0B" w:rsidP="007F2B0B">
            <w:pPr>
              <w:jc w:val="center"/>
              <w:rPr>
                <w:sz w:val="22"/>
                <w:szCs w:val="22"/>
              </w:rPr>
            </w:pPr>
            <w:r w:rsidRPr="00EC60CB">
              <w:rPr>
                <w:sz w:val="22"/>
                <w:szCs w:val="22"/>
              </w:rPr>
              <w:t>BTU/KWH</w:t>
            </w:r>
          </w:p>
        </w:tc>
        <w:tc>
          <w:tcPr>
            <w:tcW w:w="1350" w:type="dxa"/>
            <w:shd w:val="clear" w:color="auto" w:fill="auto"/>
            <w:noWrap/>
            <w:vAlign w:val="center"/>
          </w:tcPr>
          <w:p w:rsidR="007F2B0B" w:rsidRPr="00EC60CB" w:rsidRDefault="007F2B0B" w:rsidP="007F2B0B">
            <w:pPr>
              <w:jc w:val="center"/>
            </w:pPr>
            <w:r w:rsidRPr="00EC60CB">
              <w:t>Savings</w:t>
            </w:r>
          </w:p>
          <w:p w:rsidR="007F2B0B" w:rsidRPr="00EC60CB" w:rsidRDefault="007F2B0B" w:rsidP="007F2B0B">
            <w:pPr>
              <w:jc w:val="center"/>
            </w:pPr>
            <w:r w:rsidRPr="00EC60CB">
              <w:t>($000's)</w:t>
            </w:r>
          </w:p>
        </w:tc>
      </w:tr>
      <w:tr w:rsidR="007F2B0B" w:rsidRPr="00EC60CB" w:rsidTr="007F2B0B">
        <w:trPr>
          <w:trHeight w:val="300"/>
        </w:trPr>
        <w:tc>
          <w:tcPr>
            <w:tcW w:w="1170" w:type="dxa"/>
            <w:vMerge w:val="restart"/>
            <w:shd w:val="clear" w:color="auto" w:fill="auto"/>
            <w:noWrap/>
            <w:vAlign w:val="center"/>
            <w:hideMark/>
          </w:tcPr>
          <w:p w:rsidR="007F2B0B" w:rsidRPr="00CD5CCD" w:rsidRDefault="007F2B0B" w:rsidP="007F2B0B">
            <w:pPr>
              <w:jc w:val="center"/>
              <w:rPr>
                <w:rFonts w:cs="Calibri"/>
                <w:color w:val="000000"/>
              </w:rPr>
            </w:pPr>
            <w:r w:rsidRPr="00CD5CCD">
              <w:rPr>
                <w:rFonts w:cs="Calibri"/>
                <w:color w:val="000000"/>
              </w:rPr>
              <w:t>GULF</w:t>
            </w:r>
          </w:p>
        </w:tc>
        <w:tc>
          <w:tcPr>
            <w:tcW w:w="1440" w:type="dxa"/>
            <w:shd w:val="clear" w:color="auto" w:fill="auto"/>
            <w:noWrap/>
            <w:hideMark/>
          </w:tcPr>
          <w:p w:rsidR="007F2B0B" w:rsidRPr="00EC60CB" w:rsidRDefault="007F2B0B" w:rsidP="007F2B0B">
            <w:pPr>
              <w:jc w:val="center"/>
            </w:pPr>
            <w:r w:rsidRPr="00EC60CB">
              <w:t>Crist 6</w:t>
            </w:r>
          </w:p>
        </w:tc>
        <w:tc>
          <w:tcPr>
            <w:tcW w:w="900" w:type="dxa"/>
            <w:shd w:val="clear" w:color="auto" w:fill="auto"/>
            <w:noWrap/>
            <w:hideMark/>
          </w:tcPr>
          <w:p w:rsidR="007F2B0B" w:rsidRPr="00EC60CB" w:rsidRDefault="007F2B0B" w:rsidP="007F2B0B">
            <w:pPr>
              <w:jc w:val="center"/>
            </w:pPr>
            <w:r w:rsidRPr="00EC60CB">
              <w:t>95.7</w:t>
            </w:r>
          </w:p>
        </w:tc>
        <w:tc>
          <w:tcPr>
            <w:tcW w:w="900" w:type="dxa"/>
            <w:shd w:val="clear" w:color="auto" w:fill="auto"/>
            <w:noWrap/>
            <w:hideMark/>
          </w:tcPr>
          <w:p w:rsidR="007F2B0B" w:rsidRPr="00EC60CB" w:rsidRDefault="007F2B0B" w:rsidP="007F2B0B">
            <w:pPr>
              <w:jc w:val="center"/>
            </w:pPr>
            <w:r w:rsidRPr="00EC60CB">
              <w:t>97.0</w:t>
            </w:r>
          </w:p>
        </w:tc>
        <w:tc>
          <w:tcPr>
            <w:tcW w:w="1080" w:type="dxa"/>
            <w:shd w:val="clear" w:color="auto" w:fill="auto"/>
            <w:noWrap/>
            <w:hideMark/>
          </w:tcPr>
          <w:p w:rsidR="007F2B0B" w:rsidRPr="00EC60CB" w:rsidRDefault="007F2B0B" w:rsidP="007F2B0B">
            <w:pPr>
              <w:jc w:val="center"/>
            </w:pPr>
            <w:r w:rsidRPr="00EC60CB">
              <w:t>25</w:t>
            </w:r>
          </w:p>
        </w:tc>
        <w:tc>
          <w:tcPr>
            <w:tcW w:w="1260" w:type="dxa"/>
            <w:shd w:val="clear" w:color="auto" w:fill="auto"/>
            <w:noWrap/>
            <w:hideMark/>
          </w:tcPr>
          <w:p w:rsidR="007F2B0B" w:rsidRPr="00EC60CB" w:rsidRDefault="007F2B0B" w:rsidP="007F2B0B">
            <w:pPr>
              <w:jc w:val="center"/>
            </w:pPr>
            <w:r w:rsidRPr="00EC60CB">
              <w:t>10,760</w:t>
            </w:r>
          </w:p>
        </w:tc>
        <w:tc>
          <w:tcPr>
            <w:tcW w:w="1260" w:type="dxa"/>
            <w:shd w:val="clear" w:color="auto" w:fill="auto"/>
            <w:noWrap/>
            <w:hideMark/>
          </w:tcPr>
          <w:p w:rsidR="007F2B0B" w:rsidRPr="00EC60CB" w:rsidRDefault="007F2B0B" w:rsidP="007F2B0B">
            <w:pPr>
              <w:jc w:val="center"/>
            </w:pPr>
            <w:r w:rsidRPr="00EC60CB">
              <w:t>10,437</w:t>
            </w:r>
          </w:p>
        </w:tc>
        <w:tc>
          <w:tcPr>
            <w:tcW w:w="1350" w:type="dxa"/>
            <w:shd w:val="clear" w:color="auto" w:fill="auto"/>
            <w:noWrap/>
            <w:hideMark/>
          </w:tcPr>
          <w:p w:rsidR="007F2B0B" w:rsidRPr="00EC60CB" w:rsidRDefault="007F2B0B" w:rsidP="007F2B0B">
            <w:pPr>
              <w:jc w:val="center"/>
            </w:pPr>
            <w:r w:rsidRPr="00EC60CB">
              <w:t>838</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hideMark/>
          </w:tcPr>
          <w:p w:rsidR="007F2B0B" w:rsidRPr="00EC60CB" w:rsidRDefault="007F2B0B" w:rsidP="007F2B0B">
            <w:pPr>
              <w:jc w:val="center"/>
            </w:pPr>
            <w:r w:rsidRPr="00EC60CB">
              <w:t>Crist 7</w:t>
            </w:r>
          </w:p>
        </w:tc>
        <w:tc>
          <w:tcPr>
            <w:tcW w:w="900" w:type="dxa"/>
            <w:shd w:val="clear" w:color="auto" w:fill="auto"/>
            <w:noWrap/>
            <w:hideMark/>
          </w:tcPr>
          <w:p w:rsidR="007F2B0B" w:rsidRPr="00EC60CB" w:rsidRDefault="007F2B0B" w:rsidP="007F2B0B">
            <w:pPr>
              <w:jc w:val="center"/>
            </w:pPr>
            <w:r w:rsidRPr="00EC60CB">
              <w:t>82.3</w:t>
            </w:r>
          </w:p>
        </w:tc>
        <w:tc>
          <w:tcPr>
            <w:tcW w:w="900" w:type="dxa"/>
            <w:shd w:val="clear" w:color="auto" w:fill="auto"/>
            <w:noWrap/>
            <w:hideMark/>
          </w:tcPr>
          <w:p w:rsidR="007F2B0B" w:rsidRPr="00EC60CB" w:rsidRDefault="007F2B0B" w:rsidP="007F2B0B">
            <w:pPr>
              <w:jc w:val="center"/>
            </w:pPr>
            <w:r w:rsidRPr="00EC60CB">
              <w:t>83.4</w:t>
            </w:r>
          </w:p>
        </w:tc>
        <w:tc>
          <w:tcPr>
            <w:tcW w:w="1080" w:type="dxa"/>
            <w:shd w:val="clear" w:color="auto" w:fill="auto"/>
            <w:noWrap/>
            <w:hideMark/>
          </w:tcPr>
          <w:p w:rsidR="007F2B0B" w:rsidRPr="00EC60CB" w:rsidRDefault="007F2B0B" w:rsidP="007F2B0B">
            <w:pPr>
              <w:jc w:val="center"/>
            </w:pPr>
            <w:r w:rsidRPr="00EC60CB">
              <w:t>51</w:t>
            </w:r>
          </w:p>
        </w:tc>
        <w:tc>
          <w:tcPr>
            <w:tcW w:w="1260" w:type="dxa"/>
            <w:shd w:val="clear" w:color="auto" w:fill="auto"/>
            <w:noWrap/>
            <w:hideMark/>
          </w:tcPr>
          <w:p w:rsidR="007F2B0B" w:rsidRPr="00EC60CB" w:rsidRDefault="007F2B0B" w:rsidP="007F2B0B">
            <w:pPr>
              <w:jc w:val="center"/>
            </w:pPr>
            <w:r w:rsidRPr="00EC60CB">
              <w:t>10,449</w:t>
            </w:r>
          </w:p>
        </w:tc>
        <w:tc>
          <w:tcPr>
            <w:tcW w:w="1260" w:type="dxa"/>
            <w:shd w:val="clear" w:color="auto" w:fill="auto"/>
            <w:noWrap/>
            <w:hideMark/>
          </w:tcPr>
          <w:p w:rsidR="007F2B0B" w:rsidRPr="00EC60CB" w:rsidRDefault="007F2B0B" w:rsidP="007F2B0B">
            <w:pPr>
              <w:jc w:val="center"/>
            </w:pPr>
            <w:r w:rsidRPr="00EC60CB">
              <w:t>10,136</w:t>
            </w:r>
          </w:p>
        </w:tc>
        <w:tc>
          <w:tcPr>
            <w:tcW w:w="1350" w:type="dxa"/>
            <w:shd w:val="clear" w:color="auto" w:fill="auto"/>
            <w:noWrap/>
            <w:hideMark/>
          </w:tcPr>
          <w:p w:rsidR="007F2B0B" w:rsidRPr="00EC60CB" w:rsidRDefault="007F2B0B" w:rsidP="007F2B0B">
            <w:pPr>
              <w:jc w:val="center"/>
            </w:pPr>
            <w:r w:rsidRPr="00EC60CB">
              <w:t>1,809</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hideMark/>
          </w:tcPr>
          <w:p w:rsidR="007F2B0B" w:rsidRPr="00EC60CB" w:rsidRDefault="007F2B0B" w:rsidP="007F2B0B">
            <w:pPr>
              <w:jc w:val="center"/>
            </w:pPr>
            <w:r w:rsidRPr="00EC60CB">
              <w:t>Daniel 1</w:t>
            </w:r>
          </w:p>
        </w:tc>
        <w:tc>
          <w:tcPr>
            <w:tcW w:w="900" w:type="dxa"/>
            <w:shd w:val="clear" w:color="auto" w:fill="auto"/>
            <w:noWrap/>
            <w:hideMark/>
          </w:tcPr>
          <w:p w:rsidR="007F2B0B" w:rsidRPr="00EC60CB" w:rsidRDefault="007F2B0B" w:rsidP="007F2B0B">
            <w:pPr>
              <w:jc w:val="center"/>
            </w:pPr>
            <w:r w:rsidRPr="00EC60CB">
              <w:t>92.9</w:t>
            </w:r>
          </w:p>
        </w:tc>
        <w:tc>
          <w:tcPr>
            <w:tcW w:w="900" w:type="dxa"/>
            <w:shd w:val="clear" w:color="auto" w:fill="auto"/>
            <w:noWrap/>
            <w:hideMark/>
          </w:tcPr>
          <w:p w:rsidR="007F2B0B" w:rsidRPr="00EC60CB" w:rsidRDefault="007F2B0B" w:rsidP="007F2B0B">
            <w:pPr>
              <w:jc w:val="center"/>
            </w:pPr>
            <w:r w:rsidRPr="00EC60CB">
              <w:t>95.0</w:t>
            </w:r>
          </w:p>
        </w:tc>
        <w:tc>
          <w:tcPr>
            <w:tcW w:w="1080" w:type="dxa"/>
            <w:shd w:val="clear" w:color="auto" w:fill="auto"/>
            <w:noWrap/>
            <w:hideMark/>
          </w:tcPr>
          <w:p w:rsidR="007F2B0B" w:rsidRPr="00EC60CB" w:rsidRDefault="007F2B0B" w:rsidP="007F2B0B">
            <w:pPr>
              <w:jc w:val="center"/>
            </w:pPr>
            <w:r w:rsidRPr="00EC60CB">
              <w:t>10</w:t>
            </w:r>
          </w:p>
        </w:tc>
        <w:tc>
          <w:tcPr>
            <w:tcW w:w="1260" w:type="dxa"/>
            <w:shd w:val="clear" w:color="auto" w:fill="auto"/>
            <w:noWrap/>
            <w:hideMark/>
          </w:tcPr>
          <w:p w:rsidR="007F2B0B" w:rsidRPr="00EC60CB" w:rsidRDefault="007F2B0B" w:rsidP="007F2B0B">
            <w:pPr>
              <w:jc w:val="center"/>
            </w:pPr>
            <w:r w:rsidRPr="00EC60CB">
              <w:t>10,698</w:t>
            </w:r>
          </w:p>
        </w:tc>
        <w:tc>
          <w:tcPr>
            <w:tcW w:w="1260" w:type="dxa"/>
            <w:shd w:val="clear" w:color="auto" w:fill="auto"/>
            <w:noWrap/>
            <w:hideMark/>
          </w:tcPr>
          <w:p w:rsidR="007F2B0B" w:rsidRPr="00EC60CB" w:rsidRDefault="007F2B0B" w:rsidP="007F2B0B">
            <w:pPr>
              <w:jc w:val="center"/>
            </w:pPr>
            <w:r w:rsidRPr="00EC60CB">
              <w:t>10,377</w:t>
            </w:r>
          </w:p>
        </w:tc>
        <w:tc>
          <w:tcPr>
            <w:tcW w:w="1350" w:type="dxa"/>
            <w:shd w:val="clear" w:color="auto" w:fill="auto"/>
            <w:noWrap/>
            <w:hideMark/>
          </w:tcPr>
          <w:p w:rsidR="007F2B0B" w:rsidRPr="00EC60CB" w:rsidRDefault="007F2B0B" w:rsidP="007F2B0B">
            <w:pPr>
              <w:jc w:val="center"/>
            </w:pPr>
            <w:r w:rsidRPr="00EC60CB">
              <w:t>455</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hideMark/>
          </w:tcPr>
          <w:p w:rsidR="007F2B0B" w:rsidRPr="00EC60CB" w:rsidRDefault="007F2B0B" w:rsidP="007F2B0B">
            <w:pPr>
              <w:jc w:val="center"/>
            </w:pPr>
            <w:r w:rsidRPr="00EC60CB">
              <w:t>Daniel 2</w:t>
            </w:r>
          </w:p>
        </w:tc>
        <w:tc>
          <w:tcPr>
            <w:tcW w:w="900" w:type="dxa"/>
            <w:shd w:val="clear" w:color="auto" w:fill="auto"/>
            <w:noWrap/>
            <w:hideMark/>
          </w:tcPr>
          <w:p w:rsidR="007F2B0B" w:rsidRPr="00EC60CB" w:rsidRDefault="007F2B0B" w:rsidP="007F2B0B">
            <w:pPr>
              <w:jc w:val="center"/>
            </w:pPr>
            <w:r w:rsidRPr="00EC60CB">
              <w:t>95.2</w:t>
            </w:r>
          </w:p>
        </w:tc>
        <w:tc>
          <w:tcPr>
            <w:tcW w:w="900" w:type="dxa"/>
            <w:shd w:val="clear" w:color="auto" w:fill="auto"/>
            <w:noWrap/>
            <w:hideMark/>
          </w:tcPr>
          <w:p w:rsidR="007F2B0B" w:rsidRPr="00EC60CB" w:rsidRDefault="007F2B0B" w:rsidP="007F2B0B">
            <w:pPr>
              <w:jc w:val="center"/>
            </w:pPr>
            <w:r w:rsidRPr="00EC60CB">
              <w:t>96.2</w:t>
            </w:r>
          </w:p>
        </w:tc>
        <w:tc>
          <w:tcPr>
            <w:tcW w:w="1080" w:type="dxa"/>
            <w:shd w:val="clear" w:color="auto" w:fill="auto"/>
            <w:noWrap/>
            <w:hideMark/>
          </w:tcPr>
          <w:p w:rsidR="007F2B0B" w:rsidRPr="00EC60CB" w:rsidRDefault="007F2B0B" w:rsidP="007F2B0B">
            <w:pPr>
              <w:jc w:val="center"/>
            </w:pPr>
            <w:r w:rsidRPr="00EC60CB">
              <w:t>13</w:t>
            </w:r>
          </w:p>
        </w:tc>
        <w:tc>
          <w:tcPr>
            <w:tcW w:w="1260" w:type="dxa"/>
            <w:shd w:val="clear" w:color="auto" w:fill="auto"/>
            <w:noWrap/>
            <w:hideMark/>
          </w:tcPr>
          <w:p w:rsidR="007F2B0B" w:rsidRPr="00EC60CB" w:rsidRDefault="007F2B0B" w:rsidP="007F2B0B">
            <w:pPr>
              <w:jc w:val="center"/>
            </w:pPr>
            <w:r w:rsidRPr="00EC60CB">
              <w:t>10,605</w:t>
            </w:r>
          </w:p>
        </w:tc>
        <w:tc>
          <w:tcPr>
            <w:tcW w:w="1260" w:type="dxa"/>
            <w:shd w:val="clear" w:color="auto" w:fill="auto"/>
            <w:noWrap/>
            <w:hideMark/>
          </w:tcPr>
          <w:p w:rsidR="007F2B0B" w:rsidRPr="00EC60CB" w:rsidRDefault="007F2B0B" w:rsidP="007F2B0B">
            <w:pPr>
              <w:jc w:val="center"/>
            </w:pPr>
            <w:r w:rsidRPr="00EC60CB">
              <w:t>10,287</w:t>
            </w:r>
          </w:p>
        </w:tc>
        <w:tc>
          <w:tcPr>
            <w:tcW w:w="1350" w:type="dxa"/>
            <w:shd w:val="clear" w:color="auto" w:fill="auto"/>
            <w:noWrap/>
            <w:hideMark/>
          </w:tcPr>
          <w:p w:rsidR="007F2B0B" w:rsidRPr="00EC60CB" w:rsidRDefault="007F2B0B" w:rsidP="007F2B0B">
            <w:pPr>
              <w:jc w:val="center"/>
            </w:pPr>
            <w:r w:rsidRPr="00EC60CB">
              <w:t>529</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hideMark/>
          </w:tcPr>
          <w:p w:rsidR="007F2B0B" w:rsidRPr="00EC60CB" w:rsidRDefault="007F2B0B" w:rsidP="007F2B0B">
            <w:pPr>
              <w:jc w:val="center"/>
            </w:pPr>
            <w:r w:rsidRPr="00EC60CB">
              <w:t>Smith 3</w:t>
            </w:r>
          </w:p>
        </w:tc>
        <w:tc>
          <w:tcPr>
            <w:tcW w:w="900" w:type="dxa"/>
            <w:shd w:val="clear" w:color="auto" w:fill="auto"/>
            <w:noWrap/>
            <w:hideMark/>
          </w:tcPr>
          <w:p w:rsidR="007F2B0B" w:rsidRPr="00EC60CB" w:rsidRDefault="007F2B0B" w:rsidP="007F2B0B">
            <w:pPr>
              <w:jc w:val="center"/>
            </w:pPr>
            <w:r w:rsidRPr="00EC60CB">
              <w:t>83.2</w:t>
            </w:r>
          </w:p>
        </w:tc>
        <w:tc>
          <w:tcPr>
            <w:tcW w:w="900" w:type="dxa"/>
            <w:shd w:val="clear" w:color="auto" w:fill="auto"/>
            <w:noWrap/>
            <w:hideMark/>
          </w:tcPr>
          <w:p w:rsidR="007F2B0B" w:rsidRPr="00EC60CB" w:rsidRDefault="007F2B0B" w:rsidP="007F2B0B">
            <w:pPr>
              <w:jc w:val="center"/>
            </w:pPr>
            <w:r w:rsidRPr="00EC60CB">
              <w:t>84.1</w:t>
            </w:r>
          </w:p>
        </w:tc>
        <w:tc>
          <w:tcPr>
            <w:tcW w:w="1080" w:type="dxa"/>
            <w:shd w:val="clear" w:color="auto" w:fill="auto"/>
            <w:noWrap/>
            <w:hideMark/>
          </w:tcPr>
          <w:p w:rsidR="007F2B0B" w:rsidRPr="00EC60CB" w:rsidRDefault="007F2B0B" w:rsidP="007F2B0B">
            <w:pPr>
              <w:jc w:val="center"/>
            </w:pPr>
            <w:r w:rsidRPr="00EC60CB">
              <w:t>12</w:t>
            </w:r>
          </w:p>
        </w:tc>
        <w:tc>
          <w:tcPr>
            <w:tcW w:w="1260" w:type="dxa"/>
            <w:shd w:val="clear" w:color="auto" w:fill="auto"/>
            <w:noWrap/>
            <w:hideMark/>
          </w:tcPr>
          <w:p w:rsidR="007F2B0B" w:rsidRPr="00EC60CB" w:rsidRDefault="007F2B0B" w:rsidP="007F2B0B">
            <w:pPr>
              <w:jc w:val="center"/>
            </w:pPr>
            <w:r w:rsidRPr="00EC60CB">
              <w:t>6,874</w:t>
            </w:r>
          </w:p>
        </w:tc>
        <w:tc>
          <w:tcPr>
            <w:tcW w:w="1260" w:type="dxa"/>
            <w:shd w:val="clear" w:color="auto" w:fill="auto"/>
            <w:noWrap/>
            <w:hideMark/>
          </w:tcPr>
          <w:p w:rsidR="007F2B0B" w:rsidRPr="00EC60CB" w:rsidRDefault="007F2B0B" w:rsidP="007F2B0B">
            <w:pPr>
              <w:jc w:val="center"/>
            </w:pPr>
            <w:r w:rsidRPr="00EC60CB">
              <w:t>6,668</w:t>
            </w:r>
          </w:p>
        </w:tc>
        <w:tc>
          <w:tcPr>
            <w:tcW w:w="1350" w:type="dxa"/>
            <w:shd w:val="clear" w:color="auto" w:fill="auto"/>
            <w:noWrap/>
            <w:hideMark/>
          </w:tcPr>
          <w:p w:rsidR="007F2B0B" w:rsidRPr="00EC60CB" w:rsidRDefault="007F2B0B" w:rsidP="007F2B0B">
            <w:pPr>
              <w:jc w:val="center"/>
            </w:pPr>
            <w:r w:rsidRPr="00EC60CB">
              <w:t>2,312</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3240" w:type="dxa"/>
            <w:gridSpan w:val="3"/>
            <w:shd w:val="clear" w:color="auto" w:fill="auto"/>
            <w:noWrap/>
            <w:hideMark/>
          </w:tcPr>
          <w:p w:rsidR="007F2B0B" w:rsidRPr="00EC60CB" w:rsidRDefault="007F2B0B" w:rsidP="007F2B0B">
            <w:pPr>
              <w:jc w:val="center"/>
            </w:pPr>
            <w:r w:rsidRPr="00EC60CB">
              <w:t>Total</w:t>
            </w:r>
          </w:p>
        </w:tc>
        <w:tc>
          <w:tcPr>
            <w:tcW w:w="1080" w:type="dxa"/>
            <w:shd w:val="clear" w:color="auto" w:fill="auto"/>
            <w:noWrap/>
            <w:hideMark/>
          </w:tcPr>
          <w:p w:rsidR="007F2B0B" w:rsidRPr="00EC60CB" w:rsidRDefault="007F2B0B" w:rsidP="007F2B0B">
            <w:pPr>
              <w:jc w:val="center"/>
            </w:pPr>
            <w:r w:rsidRPr="00EC60CB">
              <w:t>111</w:t>
            </w:r>
          </w:p>
        </w:tc>
        <w:tc>
          <w:tcPr>
            <w:tcW w:w="2520" w:type="dxa"/>
            <w:gridSpan w:val="2"/>
            <w:shd w:val="clear" w:color="auto" w:fill="auto"/>
            <w:noWrap/>
            <w:hideMark/>
          </w:tcPr>
          <w:p w:rsidR="007F2B0B" w:rsidRPr="00EC60CB" w:rsidRDefault="007F2B0B" w:rsidP="007F2B0B">
            <w:pPr>
              <w:jc w:val="center"/>
            </w:pPr>
          </w:p>
        </w:tc>
        <w:tc>
          <w:tcPr>
            <w:tcW w:w="1350" w:type="dxa"/>
            <w:shd w:val="clear" w:color="auto" w:fill="auto"/>
            <w:noWrap/>
            <w:hideMark/>
          </w:tcPr>
          <w:p w:rsidR="007F2B0B" w:rsidRPr="00EC60CB" w:rsidRDefault="007F2B0B" w:rsidP="007F2B0B">
            <w:pPr>
              <w:jc w:val="center"/>
            </w:pPr>
            <w:r w:rsidRPr="00EC60CB">
              <w:t>5,943</w:t>
            </w:r>
          </w:p>
        </w:tc>
      </w:tr>
    </w:tbl>
    <w:p w:rsidR="007F2B0B" w:rsidRPr="00EC60CB" w:rsidRDefault="007F2B0B" w:rsidP="007F2B0B">
      <w:pPr>
        <w:rPr>
          <w:b/>
        </w:rPr>
      </w:pPr>
      <w:r>
        <w:rPr>
          <w:b/>
        </w:rPr>
        <w:br w:type="page"/>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900"/>
        <w:gridCol w:w="900"/>
        <w:gridCol w:w="1080"/>
        <w:gridCol w:w="1260"/>
        <w:gridCol w:w="1260"/>
        <w:gridCol w:w="1350"/>
      </w:tblGrid>
      <w:tr w:rsidR="007F2B0B" w:rsidRPr="00EC60CB" w:rsidTr="007F2B0B">
        <w:trPr>
          <w:trHeight w:val="300"/>
        </w:trPr>
        <w:tc>
          <w:tcPr>
            <w:tcW w:w="9360" w:type="dxa"/>
            <w:gridSpan w:val="8"/>
            <w:shd w:val="clear" w:color="auto" w:fill="auto"/>
            <w:noWrap/>
            <w:vAlign w:val="center"/>
          </w:tcPr>
          <w:p w:rsidR="007F2B0B" w:rsidRPr="00EC60CB" w:rsidRDefault="007F2B0B" w:rsidP="007F2B0B">
            <w:pPr>
              <w:jc w:val="center"/>
              <w:rPr>
                <w:b/>
                <w:sz w:val="28"/>
                <w:szCs w:val="28"/>
              </w:rPr>
            </w:pPr>
            <w:r>
              <w:rPr>
                <w:b/>
              </w:rPr>
              <w:lastRenderedPageBreak/>
              <w:br w:type="page"/>
            </w:r>
            <w:r w:rsidRPr="00EC60CB">
              <w:br w:type="page"/>
            </w:r>
            <w:r w:rsidRPr="00EC60CB">
              <w:rPr>
                <w:b/>
                <w:sz w:val="28"/>
                <w:szCs w:val="28"/>
              </w:rPr>
              <w:t>GPIF Targets / Ranges for the period January 2016 through December 2016</w:t>
            </w:r>
          </w:p>
        </w:tc>
      </w:tr>
      <w:tr w:rsidR="007F2B0B" w:rsidRPr="00EC60CB" w:rsidTr="007F2B0B">
        <w:trPr>
          <w:trHeight w:val="300"/>
        </w:trPr>
        <w:tc>
          <w:tcPr>
            <w:tcW w:w="1170" w:type="dxa"/>
            <w:vMerge w:val="restart"/>
            <w:shd w:val="clear" w:color="auto" w:fill="auto"/>
            <w:noWrap/>
            <w:vAlign w:val="center"/>
          </w:tcPr>
          <w:p w:rsidR="007F2B0B" w:rsidRPr="00CD5CCD" w:rsidRDefault="007F2B0B" w:rsidP="007F2B0B">
            <w:pPr>
              <w:rPr>
                <w:rFonts w:cs="Calibri"/>
                <w:color w:val="000000"/>
              </w:rPr>
            </w:pPr>
            <w:r w:rsidRPr="00CD5CCD">
              <w:rPr>
                <w:rFonts w:cs="Calibri"/>
                <w:color w:val="000000"/>
              </w:rPr>
              <w:t>Company</w:t>
            </w:r>
          </w:p>
        </w:tc>
        <w:tc>
          <w:tcPr>
            <w:tcW w:w="1440" w:type="dxa"/>
            <w:vMerge w:val="restart"/>
            <w:shd w:val="clear" w:color="auto" w:fill="auto"/>
            <w:noWrap/>
            <w:vAlign w:val="center"/>
          </w:tcPr>
          <w:p w:rsidR="007F2B0B" w:rsidRPr="00CD5CCD" w:rsidRDefault="007F2B0B" w:rsidP="007F2B0B">
            <w:pPr>
              <w:jc w:val="center"/>
              <w:rPr>
                <w:rFonts w:cs="Calibri"/>
              </w:rPr>
            </w:pPr>
            <w:r w:rsidRPr="00CD5CCD">
              <w:rPr>
                <w:rFonts w:cs="Calibri"/>
                <w:color w:val="000000"/>
              </w:rPr>
              <w:t>Plant/Unit</w:t>
            </w:r>
          </w:p>
        </w:tc>
        <w:tc>
          <w:tcPr>
            <w:tcW w:w="2880" w:type="dxa"/>
            <w:gridSpan w:val="3"/>
            <w:shd w:val="clear" w:color="auto" w:fill="auto"/>
            <w:noWrap/>
          </w:tcPr>
          <w:p w:rsidR="007F2B0B" w:rsidRPr="00EC60CB" w:rsidRDefault="007F2B0B" w:rsidP="007F2B0B">
            <w:pPr>
              <w:jc w:val="center"/>
            </w:pPr>
            <w:r w:rsidRPr="00EC60CB">
              <w:t>EAF</w:t>
            </w:r>
          </w:p>
        </w:tc>
        <w:tc>
          <w:tcPr>
            <w:tcW w:w="3870" w:type="dxa"/>
            <w:gridSpan w:val="3"/>
            <w:shd w:val="clear" w:color="auto" w:fill="auto"/>
            <w:noWrap/>
            <w:vAlign w:val="center"/>
          </w:tcPr>
          <w:p w:rsidR="007F2B0B" w:rsidRPr="00EC60CB" w:rsidRDefault="007F2B0B" w:rsidP="007F2B0B">
            <w:pPr>
              <w:jc w:val="center"/>
            </w:pPr>
            <w:r w:rsidRPr="00EC60CB">
              <w:t>ANOHR</w:t>
            </w:r>
          </w:p>
        </w:tc>
      </w:tr>
      <w:tr w:rsidR="007F2B0B" w:rsidRPr="00EC60CB" w:rsidTr="007F2B0B">
        <w:trPr>
          <w:trHeight w:val="300"/>
        </w:trPr>
        <w:tc>
          <w:tcPr>
            <w:tcW w:w="1170" w:type="dxa"/>
            <w:vMerge/>
            <w:shd w:val="clear" w:color="auto" w:fill="auto"/>
            <w:noWrap/>
            <w:vAlign w:val="center"/>
          </w:tcPr>
          <w:p w:rsidR="007F2B0B" w:rsidRPr="00EC60CB" w:rsidRDefault="007F2B0B" w:rsidP="007F2B0B">
            <w:pPr>
              <w:jc w:val="center"/>
            </w:pPr>
          </w:p>
        </w:tc>
        <w:tc>
          <w:tcPr>
            <w:tcW w:w="1440" w:type="dxa"/>
            <w:vMerge/>
            <w:shd w:val="clear" w:color="auto" w:fill="auto"/>
            <w:noWrap/>
          </w:tcPr>
          <w:p w:rsidR="007F2B0B" w:rsidRPr="00EC60CB" w:rsidRDefault="007F2B0B" w:rsidP="007F2B0B"/>
        </w:tc>
        <w:tc>
          <w:tcPr>
            <w:tcW w:w="900" w:type="dxa"/>
            <w:shd w:val="clear" w:color="auto" w:fill="auto"/>
            <w:noWrap/>
            <w:vAlign w:val="center"/>
          </w:tcPr>
          <w:p w:rsidR="007F2B0B" w:rsidRPr="00EC60CB" w:rsidRDefault="007F2B0B" w:rsidP="007F2B0B">
            <w:pPr>
              <w:jc w:val="center"/>
            </w:pPr>
            <w:r w:rsidRPr="00EC60CB">
              <w:t>Target</w:t>
            </w:r>
          </w:p>
        </w:tc>
        <w:tc>
          <w:tcPr>
            <w:tcW w:w="1980" w:type="dxa"/>
            <w:gridSpan w:val="2"/>
            <w:shd w:val="clear" w:color="auto" w:fill="auto"/>
            <w:noWrap/>
            <w:vAlign w:val="center"/>
          </w:tcPr>
          <w:p w:rsidR="007F2B0B" w:rsidRPr="00EC60CB" w:rsidRDefault="007F2B0B" w:rsidP="007F2B0B">
            <w:pPr>
              <w:jc w:val="center"/>
            </w:pPr>
            <w:r w:rsidRPr="00EC60CB">
              <w:t>Maximum</w:t>
            </w:r>
          </w:p>
        </w:tc>
        <w:tc>
          <w:tcPr>
            <w:tcW w:w="1260" w:type="dxa"/>
            <w:shd w:val="clear" w:color="auto" w:fill="auto"/>
            <w:noWrap/>
            <w:vAlign w:val="center"/>
          </w:tcPr>
          <w:p w:rsidR="007F2B0B" w:rsidRPr="00EC60CB" w:rsidRDefault="007F2B0B" w:rsidP="007F2B0B">
            <w:pPr>
              <w:jc w:val="center"/>
            </w:pPr>
            <w:r w:rsidRPr="00EC60CB">
              <w:t>Target</w:t>
            </w:r>
          </w:p>
        </w:tc>
        <w:tc>
          <w:tcPr>
            <w:tcW w:w="2610" w:type="dxa"/>
            <w:gridSpan w:val="2"/>
            <w:shd w:val="clear" w:color="auto" w:fill="auto"/>
            <w:noWrap/>
            <w:vAlign w:val="center"/>
          </w:tcPr>
          <w:p w:rsidR="007F2B0B" w:rsidRPr="00EC60CB" w:rsidRDefault="007F2B0B" w:rsidP="007F2B0B">
            <w:pPr>
              <w:jc w:val="center"/>
            </w:pPr>
            <w:r w:rsidRPr="00EC60CB">
              <w:t>Maximum</w:t>
            </w:r>
          </w:p>
        </w:tc>
      </w:tr>
      <w:tr w:rsidR="007F2B0B" w:rsidRPr="00EC60CB" w:rsidTr="007F2B0B">
        <w:trPr>
          <w:trHeight w:val="610"/>
        </w:trPr>
        <w:tc>
          <w:tcPr>
            <w:tcW w:w="1170" w:type="dxa"/>
            <w:vMerge/>
            <w:shd w:val="clear" w:color="auto" w:fill="auto"/>
            <w:noWrap/>
            <w:vAlign w:val="center"/>
          </w:tcPr>
          <w:p w:rsidR="007F2B0B" w:rsidRPr="00EC60CB" w:rsidRDefault="007F2B0B" w:rsidP="007F2B0B">
            <w:pPr>
              <w:jc w:val="center"/>
            </w:pPr>
          </w:p>
        </w:tc>
        <w:tc>
          <w:tcPr>
            <w:tcW w:w="1440" w:type="dxa"/>
            <w:vMerge/>
            <w:shd w:val="clear" w:color="auto" w:fill="auto"/>
            <w:noWrap/>
          </w:tcPr>
          <w:p w:rsidR="007F2B0B" w:rsidRPr="00EC60CB" w:rsidRDefault="007F2B0B" w:rsidP="007F2B0B"/>
        </w:tc>
        <w:tc>
          <w:tcPr>
            <w:tcW w:w="900" w:type="dxa"/>
            <w:shd w:val="clear" w:color="auto" w:fill="auto"/>
            <w:noWrap/>
            <w:vAlign w:val="center"/>
          </w:tcPr>
          <w:p w:rsidR="007F2B0B" w:rsidRPr="00EC60CB" w:rsidRDefault="007F2B0B" w:rsidP="007F2B0B">
            <w:pPr>
              <w:jc w:val="center"/>
            </w:pPr>
            <w:r w:rsidRPr="00EC60CB">
              <w:t>EAF</w:t>
            </w:r>
          </w:p>
          <w:p w:rsidR="007F2B0B" w:rsidRPr="00EC60CB" w:rsidRDefault="007F2B0B" w:rsidP="007F2B0B">
            <w:pPr>
              <w:jc w:val="center"/>
            </w:pPr>
            <w:r w:rsidRPr="00EC60CB">
              <w:t>( % )</w:t>
            </w:r>
          </w:p>
        </w:tc>
        <w:tc>
          <w:tcPr>
            <w:tcW w:w="900" w:type="dxa"/>
            <w:shd w:val="clear" w:color="auto" w:fill="auto"/>
            <w:noWrap/>
            <w:vAlign w:val="center"/>
          </w:tcPr>
          <w:p w:rsidR="007F2B0B" w:rsidRPr="00EC60CB" w:rsidRDefault="007F2B0B" w:rsidP="007F2B0B">
            <w:pPr>
              <w:jc w:val="center"/>
            </w:pPr>
            <w:r w:rsidRPr="00EC60CB">
              <w:t>EAF</w:t>
            </w:r>
          </w:p>
          <w:p w:rsidR="007F2B0B" w:rsidRPr="00EC60CB" w:rsidRDefault="007F2B0B" w:rsidP="007F2B0B">
            <w:pPr>
              <w:jc w:val="center"/>
            </w:pPr>
            <w:r w:rsidRPr="00EC60CB">
              <w:t>( % )</w:t>
            </w:r>
          </w:p>
        </w:tc>
        <w:tc>
          <w:tcPr>
            <w:tcW w:w="1080" w:type="dxa"/>
            <w:shd w:val="clear" w:color="auto" w:fill="auto"/>
            <w:noWrap/>
          </w:tcPr>
          <w:p w:rsidR="007F2B0B" w:rsidRPr="00EC60CB" w:rsidRDefault="007F2B0B" w:rsidP="007F2B0B">
            <w:pPr>
              <w:jc w:val="center"/>
            </w:pPr>
            <w:r w:rsidRPr="00EC60CB">
              <w:t>Savings</w:t>
            </w:r>
          </w:p>
          <w:p w:rsidR="007F2B0B" w:rsidRPr="00EC60CB" w:rsidRDefault="007F2B0B" w:rsidP="007F2B0B">
            <w:r w:rsidRPr="00EC60CB">
              <w:t>($000's)</w:t>
            </w:r>
          </w:p>
        </w:tc>
        <w:tc>
          <w:tcPr>
            <w:tcW w:w="1260" w:type="dxa"/>
            <w:shd w:val="clear" w:color="auto" w:fill="auto"/>
            <w:noWrap/>
            <w:vAlign w:val="center"/>
          </w:tcPr>
          <w:p w:rsidR="007F2B0B" w:rsidRPr="00EC60CB" w:rsidRDefault="007F2B0B" w:rsidP="007F2B0B">
            <w:pPr>
              <w:jc w:val="center"/>
              <w:rPr>
                <w:sz w:val="22"/>
                <w:szCs w:val="22"/>
              </w:rPr>
            </w:pPr>
            <w:r w:rsidRPr="00EC60CB">
              <w:rPr>
                <w:sz w:val="22"/>
                <w:szCs w:val="22"/>
              </w:rPr>
              <w:t>ANOHR</w:t>
            </w:r>
          </w:p>
          <w:p w:rsidR="007F2B0B" w:rsidRPr="00EC60CB" w:rsidRDefault="007F2B0B" w:rsidP="007F2B0B">
            <w:pPr>
              <w:jc w:val="center"/>
              <w:rPr>
                <w:sz w:val="22"/>
                <w:szCs w:val="22"/>
              </w:rPr>
            </w:pPr>
            <w:r w:rsidRPr="00EC60CB">
              <w:rPr>
                <w:sz w:val="22"/>
                <w:szCs w:val="22"/>
              </w:rPr>
              <w:t>BTU/KWH</w:t>
            </w:r>
          </w:p>
        </w:tc>
        <w:tc>
          <w:tcPr>
            <w:tcW w:w="1260" w:type="dxa"/>
            <w:shd w:val="clear" w:color="auto" w:fill="auto"/>
            <w:noWrap/>
            <w:vAlign w:val="center"/>
          </w:tcPr>
          <w:p w:rsidR="007F2B0B" w:rsidRPr="00EC60CB" w:rsidRDefault="007F2B0B" w:rsidP="007F2B0B">
            <w:pPr>
              <w:jc w:val="center"/>
              <w:rPr>
                <w:sz w:val="22"/>
                <w:szCs w:val="22"/>
              </w:rPr>
            </w:pPr>
            <w:r w:rsidRPr="00EC60CB">
              <w:rPr>
                <w:sz w:val="22"/>
                <w:szCs w:val="22"/>
              </w:rPr>
              <w:t>ANOHR</w:t>
            </w:r>
          </w:p>
          <w:p w:rsidR="007F2B0B" w:rsidRPr="00EC60CB" w:rsidRDefault="007F2B0B" w:rsidP="007F2B0B">
            <w:pPr>
              <w:jc w:val="center"/>
              <w:rPr>
                <w:sz w:val="22"/>
                <w:szCs w:val="22"/>
              </w:rPr>
            </w:pPr>
            <w:r w:rsidRPr="00EC60CB">
              <w:rPr>
                <w:sz w:val="22"/>
                <w:szCs w:val="22"/>
              </w:rPr>
              <w:t>BTU/KWH</w:t>
            </w:r>
          </w:p>
        </w:tc>
        <w:tc>
          <w:tcPr>
            <w:tcW w:w="1350" w:type="dxa"/>
            <w:shd w:val="clear" w:color="auto" w:fill="auto"/>
            <w:noWrap/>
            <w:vAlign w:val="center"/>
          </w:tcPr>
          <w:p w:rsidR="007F2B0B" w:rsidRPr="00EC60CB" w:rsidRDefault="007F2B0B" w:rsidP="007F2B0B">
            <w:pPr>
              <w:jc w:val="center"/>
            </w:pPr>
            <w:r w:rsidRPr="00EC60CB">
              <w:t>Savings</w:t>
            </w:r>
          </w:p>
          <w:p w:rsidR="007F2B0B" w:rsidRPr="00EC60CB" w:rsidRDefault="007F2B0B" w:rsidP="007F2B0B">
            <w:pPr>
              <w:jc w:val="center"/>
            </w:pPr>
            <w:r w:rsidRPr="00EC60CB">
              <w:t>($000's)</w:t>
            </w:r>
          </w:p>
        </w:tc>
      </w:tr>
      <w:tr w:rsidR="007F2B0B" w:rsidRPr="00EC60CB" w:rsidTr="007F2B0B">
        <w:trPr>
          <w:trHeight w:val="300"/>
        </w:trPr>
        <w:tc>
          <w:tcPr>
            <w:tcW w:w="1170" w:type="dxa"/>
            <w:vMerge w:val="restart"/>
            <w:shd w:val="clear" w:color="auto" w:fill="auto"/>
            <w:noWrap/>
            <w:vAlign w:val="center"/>
            <w:hideMark/>
          </w:tcPr>
          <w:p w:rsidR="007F2B0B" w:rsidRPr="00EC60CB" w:rsidRDefault="007F2B0B" w:rsidP="007F2B0B">
            <w:pPr>
              <w:jc w:val="center"/>
            </w:pPr>
            <w:r w:rsidRPr="00EC60CB">
              <w:t>TECO</w:t>
            </w:r>
          </w:p>
          <w:p w:rsidR="007F2B0B" w:rsidRPr="00EC60CB" w:rsidRDefault="007F2B0B" w:rsidP="007F2B0B">
            <w:pPr>
              <w:jc w:val="center"/>
            </w:pPr>
          </w:p>
        </w:tc>
        <w:tc>
          <w:tcPr>
            <w:tcW w:w="1440" w:type="dxa"/>
            <w:shd w:val="clear" w:color="auto" w:fill="auto"/>
            <w:noWrap/>
            <w:hideMark/>
          </w:tcPr>
          <w:p w:rsidR="007F2B0B" w:rsidRPr="00EC60CB" w:rsidRDefault="007F2B0B" w:rsidP="007F2B0B">
            <w:pPr>
              <w:jc w:val="center"/>
            </w:pPr>
            <w:r w:rsidRPr="00EC60CB">
              <w:t>Big Bend 1</w:t>
            </w:r>
          </w:p>
        </w:tc>
        <w:tc>
          <w:tcPr>
            <w:tcW w:w="900" w:type="dxa"/>
            <w:shd w:val="clear" w:color="auto" w:fill="auto"/>
            <w:noWrap/>
            <w:hideMark/>
          </w:tcPr>
          <w:p w:rsidR="007F2B0B" w:rsidRPr="00EC60CB" w:rsidRDefault="007F2B0B" w:rsidP="007F2B0B">
            <w:pPr>
              <w:jc w:val="center"/>
            </w:pPr>
            <w:r w:rsidRPr="00EC60CB">
              <w:t>78.7</w:t>
            </w:r>
          </w:p>
        </w:tc>
        <w:tc>
          <w:tcPr>
            <w:tcW w:w="900" w:type="dxa"/>
            <w:shd w:val="clear" w:color="auto" w:fill="auto"/>
            <w:noWrap/>
            <w:hideMark/>
          </w:tcPr>
          <w:p w:rsidR="007F2B0B" w:rsidRPr="00EC60CB" w:rsidRDefault="007F2B0B" w:rsidP="007F2B0B">
            <w:pPr>
              <w:jc w:val="center"/>
            </w:pPr>
            <w:r w:rsidRPr="00EC60CB">
              <w:t>82.0</w:t>
            </w:r>
          </w:p>
        </w:tc>
        <w:tc>
          <w:tcPr>
            <w:tcW w:w="1080" w:type="dxa"/>
            <w:shd w:val="clear" w:color="auto" w:fill="auto"/>
            <w:noWrap/>
            <w:hideMark/>
          </w:tcPr>
          <w:p w:rsidR="007F2B0B" w:rsidRPr="00EC60CB" w:rsidRDefault="007F2B0B" w:rsidP="007F2B0B">
            <w:pPr>
              <w:jc w:val="center"/>
            </w:pPr>
            <w:r w:rsidRPr="00EC60CB">
              <w:t>383</w:t>
            </w:r>
          </w:p>
        </w:tc>
        <w:tc>
          <w:tcPr>
            <w:tcW w:w="1260" w:type="dxa"/>
            <w:shd w:val="clear" w:color="auto" w:fill="auto"/>
            <w:noWrap/>
            <w:hideMark/>
          </w:tcPr>
          <w:p w:rsidR="007F2B0B" w:rsidRPr="00EC60CB" w:rsidRDefault="007F2B0B" w:rsidP="007F2B0B">
            <w:pPr>
              <w:jc w:val="center"/>
            </w:pPr>
            <w:r w:rsidRPr="00EC60CB">
              <w:t>10,683</w:t>
            </w:r>
          </w:p>
        </w:tc>
        <w:tc>
          <w:tcPr>
            <w:tcW w:w="1260" w:type="dxa"/>
            <w:shd w:val="clear" w:color="auto" w:fill="auto"/>
            <w:noWrap/>
            <w:hideMark/>
          </w:tcPr>
          <w:p w:rsidR="007F2B0B" w:rsidRPr="00EC60CB" w:rsidRDefault="007F2B0B" w:rsidP="007F2B0B">
            <w:pPr>
              <w:jc w:val="center"/>
            </w:pPr>
            <w:r w:rsidRPr="00EC60CB">
              <w:t>10,473</w:t>
            </w:r>
          </w:p>
        </w:tc>
        <w:tc>
          <w:tcPr>
            <w:tcW w:w="1350" w:type="dxa"/>
            <w:shd w:val="clear" w:color="auto" w:fill="auto"/>
            <w:noWrap/>
            <w:hideMark/>
          </w:tcPr>
          <w:p w:rsidR="007F2B0B" w:rsidRPr="00EC60CB" w:rsidRDefault="007F2B0B" w:rsidP="007F2B0B">
            <w:pPr>
              <w:jc w:val="center"/>
            </w:pPr>
            <w:r w:rsidRPr="00EC60CB">
              <w:t>1,399</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hideMark/>
          </w:tcPr>
          <w:p w:rsidR="007F2B0B" w:rsidRPr="00EC60CB" w:rsidRDefault="007F2B0B" w:rsidP="007F2B0B">
            <w:pPr>
              <w:jc w:val="center"/>
              <w:rPr>
                <w:rFonts w:ascii="Calibri" w:hAnsi="Calibri"/>
                <w:color w:val="000000"/>
                <w:sz w:val="22"/>
                <w:szCs w:val="22"/>
              </w:rPr>
            </w:pPr>
            <w:r w:rsidRPr="00EC60CB">
              <w:t>Big Bend 2</w:t>
            </w:r>
          </w:p>
        </w:tc>
        <w:tc>
          <w:tcPr>
            <w:tcW w:w="900" w:type="dxa"/>
            <w:shd w:val="clear" w:color="auto" w:fill="auto"/>
            <w:noWrap/>
            <w:hideMark/>
          </w:tcPr>
          <w:p w:rsidR="007F2B0B" w:rsidRPr="00EC60CB" w:rsidRDefault="007F2B0B" w:rsidP="007F2B0B">
            <w:pPr>
              <w:jc w:val="center"/>
            </w:pPr>
            <w:r w:rsidRPr="00EC60CB">
              <w:t>68.7</w:t>
            </w:r>
          </w:p>
        </w:tc>
        <w:tc>
          <w:tcPr>
            <w:tcW w:w="900" w:type="dxa"/>
            <w:shd w:val="clear" w:color="auto" w:fill="auto"/>
            <w:noWrap/>
            <w:hideMark/>
          </w:tcPr>
          <w:p w:rsidR="007F2B0B" w:rsidRPr="00EC60CB" w:rsidRDefault="007F2B0B" w:rsidP="007F2B0B">
            <w:pPr>
              <w:jc w:val="center"/>
            </w:pPr>
            <w:r w:rsidRPr="00EC60CB">
              <w:t>72.3</w:t>
            </w:r>
          </w:p>
        </w:tc>
        <w:tc>
          <w:tcPr>
            <w:tcW w:w="1080" w:type="dxa"/>
            <w:shd w:val="clear" w:color="auto" w:fill="auto"/>
            <w:noWrap/>
            <w:hideMark/>
          </w:tcPr>
          <w:p w:rsidR="007F2B0B" w:rsidRPr="00EC60CB" w:rsidRDefault="007F2B0B" w:rsidP="007F2B0B">
            <w:pPr>
              <w:jc w:val="center"/>
            </w:pPr>
            <w:r w:rsidRPr="00EC60CB">
              <w:t>894</w:t>
            </w:r>
          </w:p>
        </w:tc>
        <w:tc>
          <w:tcPr>
            <w:tcW w:w="1260" w:type="dxa"/>
            <w:shd w:val="clear" w:color="auto" w:fill="auto"/>
            <w:noWrap/>
            <w:hideMark/>
          </w:tcPr>
          <w:p w:rsidR="007F2B0B" w:rsidRPr="00EC60CB" w:rsidRDefault="007F2B0B" w:rsidP="007F2B0B">
            <w:pPr>
              <w:jc w:val="center"/>
            </w:pPr>
            <w:r w:rsidRPr="00EC60CB">
              <w:t>10,460</w:t>
            </w:r>
          </w:p>
        </w:tc>
        <w:tc>
          <w:tcPr>
            <w:tcW w:w="1260" w:type="dxa"/>
            <w:shd w:val="clear" w:color="auto" w:fill="auto"/>
            <w:noWrap/>
            <w:hideMark/>
          </w:tcPr>
          <w:p w:rsidR="007F2B0B" w:rsidRPr="00EC60CB" w:rsidRDefault="007F2B0B" w:rsidP="007F2B0B">
            <w:pPr>
              <w:jc w:val="center"/>
            </w:pPr>
            <w:r w:rsidRPr="00EC60CB">
              <w:t>10,025</w:t>
            </w:r>
          </w:p>
        </w:tc>
        <w:tc>
          <w:tcPr>
            <w:tcW w:w="1350" w:type="dxa"/>
            <w:shd w:val="clear" w:color="auto" w:fill="auto"/>
            <w:noWrap/>
            <w:hideMark/>
          </w:tcPr>
          <w:p w:rsidR="007F2B0B" w:rsidRPr="00EC60CB" w:rsidRDefault="007F2B0B" w:rsidP="007F2B0B">
            <w:pPr>
              <w:jc w:val="center"/>
            </w:pPr>
            <w:r w:rsidRPr="00EC60CB">
              <w:t>2,528</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hideMark/>
          </w:tcPr>
          <w:p w:rsidR="007F2B0B" w:rsidRPr="00EC60CB" w:rsidRDefault="007F2B0B" w:rsidP="007F2B0B">
            <w:pPr>
              <w:jc w:val="center"/>
              <w:rPr>
                <w:rFonts w:ascii="Calibri" w:hAnsi="Calibri"/>
                <w:color w:val="000000"/>
                <w:sz w:val="22"/>
                <w:szCs w:val="22"/>
              </w:rPr>
            </w:pPr>
            <w:r w:rsidRPr="00EC60CB">
              <w:t>Big Bend 3</w:t>
            </w:r>
          </w:p>
        </w:tc>
        <w:tc>
          <w:tcPr>
            <w:tcW w:w="900" w:type="dxa"/>
            <w:shd w:val="clear" w:color="auto" w:fill="auto"/>
            <w:noWrap/>
            <w:hideMark/>
          </w:tcPr>
          <w:p w:rsidR="007F2B0B" w:rsidRPr="00EC60CB" w:rsidRDefault="007F2B0B" w:rsidP="007F2B0B">
            <w:pPr>
              <w:jc w:val="center"/>
            </w:pPr>
            <w:r w:rsidRPr="00EC60CB">
              <w:t>76.6</w:t>
            </w:r>
          </w:p>
        </w:tc>
        <w:tc>
          <w:tcPr>
            <w:tcW w:w="900" w:type="dxa"/>
            <w:shd w:val="clear" w:color="auto" w:fill="auto"/>
            <w:noWrap/>
            <w:hideMark/>
          </w:tcPr>
          <w:p w:rsidR="007F2B0B" w:rsidRPr="00EC60CB" w:rsidRDefault="007F2B0B" w:rsidP="007F2B0B">
            <w:pPr>
              <w:jc w:val="center"/>
            </w:pPr>
            <w:r w:rsidRPr="00EC60CB">
              <w:t>79.5</w:t>
            </w:r>
          </w:p>
        </w:tc>
        <w:tc>
          <w:tcPr>
            <w:tcW w:w="1080" w:type="dxa"/>
            <w:shd w:val="clear" w:color="auto" w:fill="auto"/>
            <w:noWrap/>
            <w:hideMark/>
          </w:tcPr>
          <w:p w:rsidR="007F2B0B" w:rsidRPr="00EC60CB" w:rsidRDefault="007F2B0B" w:rsidP="007F2B0B">
            <w:pPr>
              <w:jc w:val="center"/>
            </w:pPr>
            <w:r w:rsidRPr="00EC60CB">
              <w:t>649</w:t>
            </w:r>
          </w:p>
        </w:tc>
        <w:tc>
          <w:tcPr>
            <w:tcW w:w="1260" w:type="dxa"/>
            <w:shd w:val="clear" w:color="auto" w:fill="auto"/>
            <w:noWrap/>
            <w:hideMark/>
          </w:tcPr>
          <w:p w:rsidR="007F2B0B" w:rsidRPr="00EC60CB" w:rsidRDefault="007F2B0B" w:rsidP="007F2B0B">
            <w:pPr>
              <w:jc w:val="center"/>
            </w:pPr>
            <w:r w:rsidRPr="00EC60CB">
              <w:t>10,654</w:t>
            </w:r>
          </w:p>
        </w:tc>
        <w:tc>
          <w:tcPr>
            <w:tcW w:w="1260" w:type="dxa"/>
            <w:shd w:val="clear" w:color="auto" w:fill="auto"/>
            <w:noWrap/>
            <w:hideMark/>
          </w:tcPr>
          <w:p w:rsidR="007F2B0B" w:rsidRPr="00EC60CB" w:rsidRDefault="007F2B0B" w:rsidP="007F2B0B">
            <w:pPr>
              <w:jc w:val="center"/>
            </w:pPr>
            <w:r w:rsidRPr="00EC60CB">
              <w:t>10,441</w:t>
            </w:r>
          </w:p>
        </w:tc>
        <w:tc>
          <w:tcPr>
            <w:tcW w:w="1350" w:type="dxa"/>
            <w:shd w:val="clear" w:color="auto" w:fill="auto"/>
            <w:noWrap/>
            <w:hideMark/>
          </w:tcPr>
          <w:p w:rsidR="007F2B0B" w:rsidRPr="00EC60CB" w:rsidRDefault="007F2B0B" w:rsidP="007F2B0B">
            <w:pPr>
              <w:jc w:val="center"/>
            </w:pPr>
            <w:r w:rsidRPr="00EC60CB">
              <w:t>1,337</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hideMark/>
          </w:tcPr>
          <w:p w:rsidR="007F2B0B" w:rsidRPr="00EC60CB" w:rsidRDefault="007F2B0B" w:rsidP="007F2B0B">
            <w:pPr>
              <w:jc w:val="center"/>
              <w:rPr>
                <w:rFonts w:ascii="Calibri" w:hAnsi="Calibri"/>
                <w:color w:val="000000"/>
                <w:sz w:val="22"/>
                <w:szCs w:val="22"/>
              </w:rPr>
            </w:pPr>
            <w:r w:rsidRPr="00EC60CB">
              <w:t>Big Bend 4</w:t>
            </w:r>
          </w:p>
        </w:tc>
        <w:tc>
          <w:tcPr>
            <w:tcW w:w="900" w:type="dxa"/>
            <w:shd w:val="clear" w:color="auto" w:fill="auto"/>
            <w:noWrap/>
            <w:hideMark/>
          </w:tcPr>
          <w:p w:rsidR="007F2B0B" w:rsidRPr="00EC60CB" w:rsidRDefault="007F2B0B" w:rsidP="007F2B0B">
            <w:pPr>
              <w:jc w:val="center"/>
            </w:pPr>
            <w:r w:rsidRPr="00EC60CB">
              <w:t>76.9</w:t>
            </w:r>
          </w:p>
        </w:tc>
        <w:tc>
          <w:tcPr>
            <w:tcW w:w="900" w:type="dxa"/>
            <w:shd w:val="clear" w:color="auto" w:fill="auto"/>
            <w:noWrap/>
            <w:hideMark/>
          </w:tcPr>
          <w:p w:rsidR="007F2B0B" w:rsidRPr="00EC60CB" w:rsidRDefault="007F2B0B" w:rsidP="007F2B0B">
            <w:pPr>
              <w:jc w:val="center"/>
            </w:pPr>
            <w:r w:rsidRPr="00EC60CB">
              <w:t>80.6</w:t>
            </w:r>
          </w:p>
        </w:tc>
        <w:tc>
          <w:tcPr>
            <w:tcW w:w="1080" w:type="dxa"/>
            <w:shd w:val="clear" w:color="auto" w:fill="auto"/>
            <w:noWrap/>
            <w:hideMark/>
          </w:tcPr>
          <w:p w:rsidR="007F2B0B" w:rsidRPr="00EC60CB" w:rsidRDefault="007F2B0B" w:rsidP="007F2B0B">
            <w:pPr>
              <w:jc w:val="center"/>
            </w:pPr>
            <w:r w:rsidRPr="00EC60CB">
              <w:t>673</w:t>
            </w:r>
          </w:p>
        </w:tc>
        <w:tc>
          <w:tcPr>
            <w:tcW w:w="1260" w:type="dxa"/>
            <w:shd w:val="clear" w:color="auto" w:fill="auto"/>
            <w:noWrap/>
            <w:hideMark/>
          </w:tcPr>
          <w:p w:rsidR="007F2B0B" w:rsidRPr="00EC60CB" w:rsidRDefault="007F2B0B" w:rsidP="007F2B0B">
            <w:pPr>
              <w:jc w:val="center"/>
            </w:pPr>
            <w:r w:rsidRPr="00EC60CB">
              <w:t>10,458</w:t>
            </w:r>
          </w:p>
        </w:tc>
        <w:tc>
          <w:tcPr>
            <w:tcW w:w="1260" w:type="dxa"/>
            <w:shd w:val="clear" w:color="auto" w:fill="auto"/>
            <w:noWrap/>
            <w:hideMark/>
          </w:tcPr>
          <w:p w:rsidR="007F2B0B" w:rsidRPr="00EC60CB" w:rsidRDefault="007F2B0B" w:rsidP="007F2B0B">
            <w:pPr>
              <w:jc w:val="center"/>
            </w:pPr>
            <w:r w:rsidRPr="00EC60CB">
              <w:t>10,075</w:t>
            </w:r>
          </w:p>
        </w:tc>
        <w:tc>
          <w:tcPr>
            <w:tcW w:w="1350" w:type="dxa"/>
            <w:shd w:val="clear" w:color="auto" w:fill="auto"/>
            <w:noWrap/>
            <w:hideMark/>
          </w:tcPr>
          <w:p w:rsidR="007F2B0B" w:rsidRPr="00EC60CB" w:rsidRDefault="007F2B0B" w:rsidP="007F2B0B">
            <w:pPr>
              <w:jc w:val="center"/>
            </w:pPr>
            <w:r w:rsidRPr="00EC60CB">
              <w:t>2,660</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hideMark/>
          </w:tcPr>
          <w:p w:rsidR="007F2B0B" w:rsidRPr="00EC60CB" w:rsidRDefault="007F2B0B" w:rsidP="007F2B0B">
            <w:pPr>
              <w:jc w:val="center"/>
              <w:rPr>
                <w:rFonts w:ascii="Calibri" w:hAnsi="Calibri"/>
                <w:color w:val="000000"/>
                <w:sz w:val="22"/>
                <w:szCs w:val="22"/>
              </w:rPr>
            </w:pPr>
            <w:r w:rsidRPr="00EC60CB">
              <w:t>Polk 1</w:t>
            </w:r>
          </w:p>
        </w:tc>
        <w:tc>
          <w:tcPr>
            <w:tcW w:w="900" w:type="dxa"/>
            <w:shd w:val="clear" w:color="auto" w:fill="auto"/>
            <w:noWrap/>
            <w:hideMark/>
          </w:tcPr>
          <w:p w:rsidR="007F2B0B" w:rsidRPr="00EC60CB" w:rsidRDefault="007F2B0B" w:rsidP="007F2B0B">
            <w:pPr>
              <w:jc w:val="center"/>
            </w:pPr>
            <w:r w:rsidRPr="00EC60CB">
              <w:t>81.5</w:t>
            </w:r>
          </w:p>
        </w:tc>
        <w:tc>
          <w:tcPr>
            <w:tcW w:w="900" w:type="dxa"/>
            <w:shd w:val="clear" w:color="auto" w:fill="auto"/>
            <w:noWrap/>
            <w:hideMark/>
          </w:tcPr>
          <w:p w:rsidR="007F2B0B" w:rsidRPr="00EC60CB" w:rsidRDefault="007F2B0B" w:rsidP="007F2B0B">
            <w:pPr>
              <w:jc w:val="center"/>
            </w:pPr>
            <w:r w:rsidRPr="00EC60CB">
              <w:t>83.7</w:t>
            </w:r>
          </w:p>
        </w:tc>
        <w:tc>
          <w:tcPr>
            <w:tcW w:w="1080" w:type="dxa"/>
            <w:shd w:val="clear" w:color="auto" w:fill="auto"/>
            <w:noWrap/>
            <w:hideMark/>
          </w:tcPr>
          <w:p w:rsidR="007F2B0B" w:rsidRPr="00EC60CB" w:rsidRDefault="007F2B0B" w:rsidP="007F2B0B">
            <w:pPr>
              <w:jc w:val="center"/>
            </w:pPr>
            <w:r w:rsidRPr="00EC60CB">
              <w:t>154</w:t>
            </w:r>
          </w:p>
        </w:tc>
        <w:tc>
          <w:tcPr>
            <w:tcW w:w="1260" w:type="dxa"/>
            <w:shd w:val="clear" w:color="auto" w:fill="auto"/>
            <w:noWrap/>
            <w:hideMark/>
          </w:tcPr>
          <w:p w:rsidR="007F2B0B" w:rsidRPr="00EC60CB" w:rsidRDefault="007F2B0B" w:rsidP="007F2B0B">
            <w:pPr>
              <w:jc w:val="center"/>
            </w:pPr>
            <w:r w:rsidRPr="00EC60CB">
              <w:t>10,191</w:t>
            </w:r>
          </w:p>
        </w:tc>
        <w:tc>
          <w:tcPr>
            <w:tcW w:w="1260" w:type="dxa"/>
            <w:shd w:val="clear" w:color="auto" w:fill="auto"/>
            <w:noWrap/>
            <w:hideMark/>
          </w:tcPr>
          <w:p w:rsidR="007F2B0B" w:rsidRPr="00EC60CB" w:rsidRDefault="007F2B0B" w:rsidP="007F2B0B">
            <w:pPr>
              <w:jc w:val="center"/>
            </w:pPr>
            <w:r w:rsidRPr="00EC60CB">
              <w:t>9,837</w:t>
            </w:r>
          </w:p>
        </w:tc>
        <w:tc>
          <w:tcPr>
            <w:tcW w:w="1350" w:type="dxa"/>
            <w:shd w:val="clear" w:color="auto" w:fill="auto"/>
            <w:noWrap/>
            <w:hideMark/>
          </w:tcPr>
          <w:p w:rsidR="007F2B0B" w:rsidRPr="00EC60CB" w:rsidRDefault="007F2B0B" w:rsidP="007F2B0B">
            <w:pPr>
              <w:jc w:val="center"/>
            </w:pPr>
            <w:r w:rsidRPr="00EC60CB">
              <w:t>1,320</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hideMark/>
          </w:tcPr>
          <w:p w:rsidR="007F2B0B" w:rsidRPr="00EC60CB" w:rsidRDefault="007F2B0B" w:rsidP="007F2B0B">
            <w:pPr>
              <w:jc w:val="center"/>
              <w:rPr>
                <w:rFonts w:ascii="Calibri" w:hAnsi="Calibri"/>
                <w:color w:val="000000"/>
                <w:sz w:val="22"/>
                <w:szCs w:val="22"/>
              </w:rPr>
            </w:pPr>
            <w:r w:rsidRPr="00EC60CB">
              <w:t>Bayside 1</w:t>
            </w:r>
          </w:p>
        </w:tc>
        <w:tc>
          <w:tcPr>
            <w:tcW w:w="900" w:type="dxa"/>
            <w:shd w:val="clear" w:color="auto" w:fill="auto"/>
            <w:noWrap/>
            <w:hideMark/>
          </w:tcPr>
          <w:p w:rsidR="007F2B0B" w:rsidRPr="00EC60CB" w:rsidRDefault="007F2B0B" w:rsidP="007F2B0B">
            <w:pPr>
              <w:jc w:val="center"/>
            </w:pPr>
            <w:r w:rsidRPr="00EC60CB">
              <w:t>76.1</w:t>
            </w:r>
          </w:p>
        </w:tc>
        <w:tc>
          <w:tcPr>
            <w:tcW w:w="900" w:type="dxa"/>
            <w:shd w:val="clear" w:color="auto" w:fill="auto"/>
            <w:noWrap/>
            <w:hideMark/>
          </w:tcPr>
          <w:p w:rsidR="007F2B0B" w:rsidRPr="00EC60CB" w:rsidRDefault="007F2B0B" w:rsidP="007F2B0B">
            <w:pPr>
              <w:jc w:val="center"/>
            </w:pPr>
            <w:r w:rsidRPr="00EC60CB">
              <w:t>78.2</w:t>
            </w:r>
          </w:p>
        </w:tc>
        <w:tc>
          <w:tcPr>
            <w:tcW w:w="1080" w:type="dxa"/>
            <w:shd w:val="clear" w:color="auto" w:fill="auto"/>
            <w:noWrap/>
            <w:hideMark/>
          </w:tcPr>
          <w:p w:rsidR="007F2B0B" w:rsidRPr="00EC60CB" w:rsidRDefault="007F2B0B" w:rsidP="007F2B0B">
            <w:pPr>
              <w:jc w:val="center"/>
            </w:pPr>
            <w:r w:rsidRPr="00EC60CB">
              <w:t>836</w:t>
            </w:r>
          </w:p>
        </w:tc>
        <w:tc>
          <w:tcPr>
            <w:tcW w:w="1260" w:type="dxa"/>
            <w:shd w:val="clear" w:color="auto" w:fill="auto"/>
            <w:noWrap/>
            <w:hideMark/>
          </w:tcPr>
          <w:p w:rsidR="007F2B0B" w:rsidRPr="00EC60CB" w:rsidRDefault="007F2B0B" w:rsidP="007F2B0B">
            <w:pPr>
              <w:jc w:val="center"/>
            </w:pPr>
            <w:r w:rsidRPr="00EC60CB">
              <w:t>7,232</w:t>
            </w:r>
          </w:p>
        </w:tc>
        <w:tc>
          <w:tcPr>
            <w:tcW w:w="1260" w:type="dxa"/>
            <w:shd w:val="clear" w:color="auto" w:fill="auto"/>
            <w:noWrap/>
            <w:hideMark/>
          </w:tcPr>
          <w:p w:rsidR="007F2B0B" w:rsidRPr="00EC60CB" w:rsidRDefault="007F2B0B" w:rsidP="007F2B0B">
            <w:pPr>
              <w:jc w:val="center"/>
            </w:pPr>
            <w:r w:rsidRPr="00EC60CB">
              <w:t>6,967</w:t>
            </w:r>
          </w:p>
        </w:tc>
        <w:tc>
          <w:tcPr>
            <w:tcW w:w="1350" w:type="dxa"/>
            <w:shd w:val="clear" w:color="auto" w:fill="auto"/>
            <w:noWrap/>
            <w:hideMark/>
          </w:tcPr>
          <w:p w:rsidR="007F2B0B" w:rsidRPr="00EC60CB" w:rsidRDefault="007F2B0B" w:rsidP="007F2B0B">
            <w:pPr>
              <w:jc w:val="center"/>
            </w:pPr>
            <w:r w:rsidRPr="00EC60CB">
              <w:t>2,912</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1440" w:type="dxa"/>
            <w:shd w:val="clear" w:color="auto" w:fill="auto"/>
            <w:noWrap/>
            <w:hideMark/>
          </w:tcPr>
          <w:p w:rsidR="007F2B0B" w:rsidRPr="00EC60CB" w:rsidRDefault="007F2B0B" w:rsidP="007F2B0B">
            <w:pPr>
              <w:jc w:val="center"/>
              <w:rPr>
                <w:rFonts w:ascii="Calibri" w:hAnsi="Calibri"/>
                <w:color w:val="000000"/>
                <w:sz w:val="22"/>
                <w:szCs w:val="22"/>
              </w:rPr>
            </w:pPr>
            <w:r w:rsidRPr="00EC60CB">
              <w:t>Bayside 2</w:t>
            </w:r>
          </w:p>
        </w:tc>
        <w:tc>
          <w:tcPr>
            <w:tcW w:w="900" w:type="dxa"/>
            <w:shd w:val="clear" w:color="auto" w:fill="auto"/>
            <w:noWrap/>
            <w:hideMark/>
          </w:tcPr>
          <w:p w:rsidR="007F2B0B" w:rsidRPr="00EC60CB" w:rsidRDefault="007F2B0B" w:rsidP="007F2B0B">
            <w:pPr>
              <w:jc w:val="center"/>
            </w:pPr>
            <w:r w:rsidRPr="00EC60CB">
              <w:t>83.1</w:t>
            </w:r>
          </w:p>
        </w:tc>
        <w:tc>
          <w:tcPr>
            <w:tcW w:w="900" w:type="dxa"/>
            <w:shd w:val="clear" w:color="auto" w:fill="auto"/>
            <w:noWrap/>
            <w:hideMark/>
          </w:tcPr>
          <w:p w:rsidR="007F2B0B" w:rsidRPr="00EC60CB" w:rsidRDefault="007F2B0B" w:rsidP="007F2B0B">
            <w:pPr>
              <w:jc w:val="center"/>
            </w:pPr>
            <w:r w:rsidRPr="00EC60CB">
              <w:t>84.9</w:t>
            </w:r>
          </w:p>
        </w:tc>
        <w:tc>
          <w:tcPr>
            <w:tcW w:w="1080" w:type="dxa"/>
            <w:shd w:val="clear" w:color="auto" w:fill="auto"/>
            <w:noWrap/>
            <w:hideMark/>
          </w:tcPr>
          <w:p w:rsidR="007F2B0B" w:rsidRPr="00EC60CB" w:rsidRDefault="007F2B0B" w:rsidP="007F2B0B">
            <w:pPr>
              <w:jc w:val="center"/>
            </w:pPr>
            <w:r w:rsidRPr="00EC60CB">
              <w:t>1,711</w:t>
            </w:r>
          </w:p>
        </w:tc>
        <w:tc>
          <w:tcPr>
            <w:tcW w:w="1260" w:type="dxa"/>
            <w:shd w:val="clear" w:color="auto" w:fill="auto"/>
            <w:noWrap/>
            <w:hideMark/>
          </w:tcPr>
          <w:p w:rsidR="007F2B0B" w:rsidRPr="00EC60CB" w:rsidRDefault="007F2B0B" w:rsidP="007F2B0B">
            <w:pPr>
              <w:jc w:val="center"/>
            </w:pPr>
            <w:r w:rsidRPr="00EC60CB">
              <w:t>7,484</w:t>
            </w:r>
          </w:p>
        </w:tc>
        <w:tc>
          <w:tcPr>
            <w:tcW w:w="1260" w:type="dxa"/>
            <w:shd w:val="clear" w:color="auto" w:fill="auto"/>
            <w:noWrap/>
            <w:hideMark/>
          </w:tcPr>
          <w:p w:rsidR="007F2B0B" w:rsidRPr="00EC60CB" w:rsidRDefault="007F2B0B" w:rsidP="007F2B0B">
            <w:pPr>
              <w:jc w:val="center"/>
            </w:pPr>
            <w:r w:rsidRPr="00EC60CB">
              <w:t>7,267</w:t>
            </w:r>
          </w:p>
        </w:tc>
        <w:tc>
          <w:tcPr>
            <w:tcW w:w="1350" w:type="dxa"/>
            <w:shd w:val="clear" w:color="auto" w:fill="auto"/>
            <w:noWrap/>
            <w:hideMark/>
          </w:tcPr>
          <w:p w:rsidR="007F2B0B" w:rsidRPr="00EC60CB" w:rsidRDefault="007F2B0B" w:rsidP="007F2B0B">
            <w:pPr>
              <w:jc w:val="center"/>
            </w:pPr>
            <w:r w:rsidRPr="00EC60CB">
              <w:t>2,816</w:t>
            </w:r>
          </w:p>
        </w:tc>
      </w:tr>
      <w:tr w:rsidR="007F2B0B" w:rsidRPr="00EC60CB" w:rsidTr="007F2B0B">
        <w:trPr>
          <w:trHeight w:val="300"/>
        </w:trPr>
        <w:tc>
          <w:tcPr>
            <w:tcW w:w="1170" w:type="dxa"/>
            <w:vMerge/>
            <w:shd w:val="clear" w:color="auto" w:fill="auto"/>
            <w:noWrap/>
            <w:hideMark/>
          </w:tcPr>
          <w:p w:rsidR="007F2B0B" w:rsidRPr="00EC60CB" w:rsidRDefault="007F2B0B" w:rsidP="007F2B0B">
            <w:pPr>
              <w:rPr>
                <w:rFonts w:ascii="Calibri" w:hAnsi="Calibri"/>
                <w:color w:val="000000"/>
                <w:sz w:val="22"/>
                <w:szCs w:val="22"/>
              </w:rPr>
            </w:pPr>
          </w:p>
        </w:tc>
        <w:tc>
          <w:tcPr>
            <w:tcW w:w="3240" w:type="dxa"/>
            <w:gridSpan w:val="3"/>
            <w:shd w:val="clear" w:color="auto" w:fill="auto"/>
            <w:noWrap/>
            <w:hideMark/>
          </w:tcPr>
          <w:p w:rsidR="007F2B0B" w:rsidRPr="00EC60CB" w:rsidRDefault="007F2B0B" w:rsidP="007F2B0B">
            <w:pPr>
              <w:jc w:val="center"/>
              <w:rPr>
                <w:rFonts w:ascii="Calibri" w:hAnsi="Calibri"/>
                <w:color w:val="000000"/>
                <w:sz w:val="22"/>
                <w:szCs w:val="22"/>
              </w:rPr>
            </w:pPr>
            <w:r w:rsidRPr="00EC60CB">
              <w:t>Total</w:t>
            </w:r>
          </w:p>
        </w:tc>
        <w:tc>
          <w:tcPr>
            <w:tcW w:w="1080" w:type="dxa"/>
            <w:shd w:val="clear" w:color="auto" w:fill="auto"/>
            <w:noWrap/>
            <w:hideMark/>
          </w:tcPr>
          <w:p w:rsidR="007F2B0B" w:rsidRPr="00EC60CB" w:rsidRDefault="007F2B0B" w:rsidP="007F2B0B">
            <w:pPr>
              <w:jc w:val="center"/>
            </w:pPr>
            <w:r w:rsidRPr="00EC60CB">
              <w:t>5,299</w:t>
            </w:r>
          </w:p>
        </w:tc>
        <w:tc>
          <w:tcPr>
            <w:tcW w:w="2520" w:type="dxa"/>
            <w:gridSpan w:val="2"/>
            <w:shd w:val="clear" w:color="auto" w:fill="auto"/>
            <w:noWrap/>
            <w:hideMark/>
          </w:tcPr>
          <w:p w:rsidR="007F2B0B" w:rsidRPr="00EC60CB" w:rsidRDefault="007F2B0B" w:rsidP="007F2B0B">
            <w:pPr>
              <w:jc w:val="center"/>
              <w:rPr>
                <w:rFonts w:ascii="Calibri" w:hAnsi="Calibri"/>
                <w:color w:val="000000"/>
                <w:sz w:val="22"/>
                <w:szCs w:val="22"/>
              </w:rPr>
            </w:pPr>
          </w:p>
        </w:tc>
        <w:tc>
          <w:tcPr>
            <w:tcW w:w="1350" w:type="dxa"/>
            <w:shd w:val="clear" w:color="auto" w:fill="auto"/>
            <w:noWrap/>
            <w:hideMark/>
          </w:tcPr>
          <w:p w:rsidR="007F2B0B" w:rsidRPr="00EC60CB" w:rsidRDefault="007F2B0B" w:rsidP="007F2B0B">
            <w:pPr>
              <w:jc w:val="center"/>
            </w:pPr>
            <w:r w:rsidRPr="00EC60CB">
              <w:t>14,971</w:t>
            </w:r>
          </w:p>
        </w:tc>
      </w:tr>
    </w:tbl>
    <w:p w:rsidR="007F2B0B" w:rsidRPr="00EC60CB" w:rsidRDefault="007F2B0B" w:rsidP="00B06C8F">
      <w:pPr>
        <w:jc w:val="both"/>
        <w:rPr>
          <w:b/>
        </w:rPr>
      </w:pPr>
    </w:p>
    <w:p w:rsidR="007F2B0B" w:rsidRPr="00EC60CB" w:rsidRDefault="007F2B0B" w:rsidP="00677D9D">
      <w:pPr>
        <w:ind w:left="1440" w:hanging="1440"/>
        <w:jc w:val="both"/>
      </w:pPr>
      <w:r w:rsidRPr="00EC60CB">
        <w:t>ISSUE 19:</w:t>
      </w:r>
      <w:r w:rsidRPr="00EC60CB">
        <w:tab/>
        <w:t>The appropriate projected total fuel and purchased power cost recovery amounts for the period January 2016 through December 2016 are as follows:</w:t>
      </w:r>
    </w:p>
    <w:p w:rsidR="007F2B0B" w:rsidRPr="00EC60CB" w:rsidRDefault="007F2B0B" w:rsidP="00677D9D">
      <w:pPr>
        <w:ind w:left="1440" w:hanging="1440"/>
        <w:jc w:val="both"/>
      </w:pPr>
      <w:r w:rsidRPr="00EC60CB">
        <w:tab/>
        <w:t>FPL:</w:t>
      </w:r>
      <w:r w:rsidRPr="00EC60CB">
        <w:tab/>
      </w:r>
      <w:r w:rsidRPr="00EC60CB">
        <w:tab/>
        <w:t xml:space="preserve">$3,128,284,160, which includes prior period true up amounts, </w:t>
      </w:r>
      <w:r w:rsidRPr="00EC60CB">
        <w:tab/>
      </w:r>
      <w:r w:rsidRPr="00EC60CB">
        <w:tab/>
      </w:r>
      <w:r w:rsidRPr="00EC60CB">
        <w:tab/>
        <w:t xml:space="preserve">revenue taxes, the GPIF reward or penalty, or FPL’s portion of the </w:t>
      </w:r>
      <w:r w:rsidRPr="00EC60CB">
        <w:tab/>
      </w:r>
      <w:r w:rsidRPr="00EC60CB">
        <w:tab/>
      </w:r>
      <w:r w:rsidRPr="00EC60CB">
        <w:tab/>
        <w:t xml:space="preserve">gains from its Incentive Mechanism. </w:t>
      </w:r>
    </w:p>
    <w:p w:rsidR="007F2B0B" w:rsidRPr="00EC60CB" w:rsidRDefault="007F2B0B" w:rsidP="00677D9D">
      <w:pPr>
        <w:ind w:left="1440" w:hanging="1440"/>
        <w:jc w:val="both"/>
      </w:pPr>
      <w:r w:rsidRPr="00EC60CB">
        <w:tab/>
        <w:t>Duke:</w:t>
      </w:r>
      <w:r w:rsidRPr="00EC60CB">
        <w:tab/>
      </w:r>
      <w:r w:rsidRPr="00EC60CB">
        <w:tab/>
        <w:t>$1,394,464,724</w:t>
      </w:r>
    </w:p>
    <w:p w:rsidR="007F2B0B" w:rsidRPr="00EC60CB" w:rsidRDefault="007F2B0B" w:rsidP="00677D9D">
      <w:pPr>
        <w:ind w:left="1440" w:hanging="1440"/>
        <w:jc w:val="both"/>
      </w:pPr>
      <w:r w:rsidRPr="00EC60CB">
        <w:tab/>
        <w:t>Gulf:</w:t>
      </w:r>
      <w:r w:rsidRPr="00EC60CB">
        <w:tab/>
      </w:r>
      <w:r w:rsidRPr="00EC60CB">
        <w:tab/>
        <w:t xml:space="preserve">$402,708,608, including prior period true up amounts and revenue </w:t>
      </w:r>
      <w:r w:rsidRPr="00EC60CB">
        <w:tab/>
      </w:r>
      <w:r w:rsidRPr="00EC60CB">
        <w:tab/>
      </w:r>
      <w:r w:rsidRPr="00EC60CB">
        <w:tab/>
        <w:t>taxes.</w:t>
      </w:r>
    </w:p>
    <w:p w:rsidR="007F2B0B" w:rsidRPr="00EC60CB" w:rsidRDefault="007F2B0B" w:rsidP="00677D9D">
      <w:pPr>
        <w:ind w:left="1440" w:hanging="1440"/>
        <w:jc w:val="both"/>
      </w:pPr>
      <w:r w:rsidRPr="00EC60CB">
        <w:tab/>
        <w:t>TECO:</w:t>
      </w:r>
      <w:r w:rsidRPr="00EC60CB">
        <w:tab/>
      </w:r>
      <w:r w:rsidRPr="00EC60CB">
        <w:tab/>
        <w:t xml:space="preserve">$715,605,063, which is adjusted by the jurisdictional separation </w:t>
      </w:r>
      <w:r w:rsidRPr="00EC60CB">
        <w:tab/>
      </w:r>
      <w:r w:rsidRPr="00EC60CB">
        <w:tab/>
      </w:r>
      <w:r w:rsidRPr="00EC60CB">
        <w:tab/>
        <w:t xml:space="preserve">factor.  The amount is $689,768,483, when the GPIF reward or </w:t>
      </w:r>
      <w:r w:rsidRPr="00EC60CB">
        <w:tab/>
      </w:r>
      <w:r w:rsidRPr="00EC60CB">
        <w:tab/>
      </w:r>
      <w:r w:rsidRPr="00EC60CB">
        <w:tab/>
        <w:t xml:space="preserve">penalty, the revenue tax factor, and the prior period true up </w:t>
      </w:r>
      <w:r w:rsidRPr="00EC60CB">
        <w:tab/>
      </w:r>
      <w:r w:rsidRPr="00EC60CB">
        <w:tab/>
      </w:r>
      <w:r w:rsidRPr="00EC60CB">
        <w:tab/>
      </w:r>
      <w:r w:rsidRPr="00EC60CB">
        <w:tab/>
        <w:t>amounts are applied.</w:t>
      </w:r>
    </w:p>
    <w:p w:rsidR="007F2B0B" w:rsidRPr="00EC60CB" w:rsidRDefault="007F2B0B" w:rsidP="00677D9D">
      <w:pPr>
        <w:ind w:left="1440" w:hanging="1440"/>
        <w:jc w:val="both"/>
      </w:pPr>
      <w:r w:rsidRPr="00EC60CB">
        <w:t xml:space="preserve"> </w:t>
      </w:r>
    </w:p>
    <w:p w:rsidR="007F2B0B" w:rsidRPr="00EC60CB" w:rsidRDefault="007F2B0B" w:rsidP="00B06C8F">
      <w:pPr>
        <w:ind w:left="1440" w:hanging="1440"/>
        <w:jc w:val="both"/>
      </w:pPr>
      <w:r w:rsidRPr="00EC60CB">
        <w:t>ISSUE 20:</w:t>
      </w:r>
      <w:r w:rsidRPr="00EC60CB">
        <w:tab/>
        <w:t xml:space="preserve">The appropriate revenue tax factor to be applied in calculating each investor-owned electric utility’s levelized fuel factor for the projection period January 2016 through December 2016 is 1.00072. </w:t>
      </w:r>
    </w:p>
    <w:p w:rsidR="007F2B0B" w:rsidRPr="00EC60CB" w:rsidRDefault="007F2B0B" w:rsidP="00B06C8F">
      <w:pPr>
        <w:ind w:left="1440" w:hanging="1440"/>
        <w:jc w:val="both"/>
      </w:pPr>
    </w:p>
    <w:p w:rsidR="00B06C8F" w:rsidRDefault="007F2B0B" w:rsidP="00677D9D">
      <w:pPr>
        <w:ind w:left="1440" w:hanging="1440"/>
        <w:jc w:val="both"/>
      </w:pPr>
      <w:r>
        <w:br w:type="page"/>
      </w:r>
      <w:r w:rsidRPr="00EC60CB">
        <w:lastRenderedPageBreak/>
        <w:t>ISSUE 21:</w:t>
      </w:r>
      <w:r w:rsidRPr="00EC60CB">
        <w:tab/>
        <w:t>The appropriate levelized fuel cost recovery factors for the period January 2016 through December 2016 are as follows:</w:t>
      </w:r>
    </w:p>
    <w:p w:rsidR="007F2B0B" w:rsidRPr="00B06C8F" w:rsidRDefault="00677D9D" w:rsidP="00677D9D">
      <w:pPr>
        <w:ind w:left="1440" w:hanging="1440"/>
        <w:jc w:val="both"/>
      </w:pPr>
      <w:r>
        <w:tab/>
      </w:r>
      <w:r w:rsidR="007F2B0B" w:rsidRPr="00B06C8F">
        <w:t>FPL:</w:t>
      </w:r>
      <w:r>
        <w:tab/>
        <w:t>F</w:t>
      </w:r>
      <w:r w:rsidR="00B06C8F" w:rsidRPr="00B06C8F">
        <w:t xml:space="preserve">or </w:t>
      </w:r>
      <w:r w:rsidR="007F2B0B" w:rsidRPr="00B06C8F">
        <w:t>FPL</w:t>
      </w:r>
      <w:r w:rsidR="00B06C8F" w:rsidRPr="00B06C8F">
        <w:t>,</w:t>
      </w:r>
      <w:r w:rsidR="007F2B0B" w:rsidRPr="00B06C8F">
        <w:t xml:space="preserve"> the fuel factors </w:t>
      </w:r>
      <w:r w:rsidR="00B06C8F" w:rsidRPr="00B06C8F">
        <w:t xml:space="preserve">shall </w:t>
      </w:r>
      <w:r w:rsidR="007F2B0B" w:rsidRPr="00B06C8F">
        <w:t xml:space="preserve">be reduced as of the in-service date of Port </w:t>
      </w:r>
      <w:r>
        <w:tab/>
      </w:r>
      <w:r w:rsidR="007F2B0B" w:rsidRPr="00B06C8F">
        <w:t>Everglades Energy Center (PEEC) to reflect the</w:t>
      </w:r>
      <w:r w:rsidR="00B06C8F" w:rsidRPr="00B06C8F">
        <w:t xml:space="preserve"> </w:t>
      </w:r>
      <w:r w:rsidR="007F2B0B" w:rsidRPr="00B06C8F">
        <w:t xml:space="preserve">projected jurisdictional </w:t>
      </w:r>
      <w:r>
        <w:tab/>
      </w:r>
      <w:r w:rsidR="007F2B0B" w:rsidRPr="00B06C8F">
        <w:t xml:space="preserve">fuel savings for PEEC.  </w:t>
      </w:r>
      <w:r w:rsidR="00B06C8F" w:rsidRPr="00B06C8F">
        <w:t>T</w:t>
      </w:r>
      <w:r w:rsidR="007F2B0B" w:rsidRPr="00B06C8F">
        <w:t>he following separat</w:t>
      </w:r>
      <w:r w:rsidR="00284E43" w:rsidRPr="00B06C8F">
        <w:t>e</w:t>
      </w:r>
      <w:r w:rsidR="007F2B0B" w:rsidRPr="00B06C8F">
        <w:t xml:space="preserve"> factors for January 2016 </w:t>
      </w:r>
      <w:r>
        <w:tab/>
      </w:r>
      <w:r w:rsidR="007F2B0B" w:rsidRPr="00B06C8F">
        <w:t>through May</w:t>
      </w:r>
      <w:r w:rsidR="00B06C8F" w:rsidRPr="00B06C8F">
        <w:t xml:space="preserve"> </w:t>
      </w:r>
      <w:r w:rsidR="007F2B0B" w:rsidRPr="00B06C8F">
        <w:t>2016 and for June 2016 through December 2016</w:t>
      </w:r>
      <w:r w:rsidR="00B06C8F" w:rsidRPr="00B06C8F">
        <w:t xml:space="preserve"> are </w:t>
      </w:r>
      <w:r>
        <w:tab/>
      </w:r>
      <w:r w:rsidR="00B06C8F" w:rsidRPr="00B06C8F">
        <w:t>approved</w:t>
      </w:r>
      <w:r w:rsidR="007F2B0B" w:rsidRPr="00B06C8F">
        <w:t>:</w:t>
      </w:r>
    </w:p>
    <w:p w:rsidR="007F2B0B" w:rsidRPr="00B06C8F" w:rsidRDefault="007F2B0B" w:rsidP="00677D9D">
      <w:pPr>
        <w:ind w:hanging="1440"/>
      </w:pPr>
      <w:r w:rsidRPr="00B06C8F">
        <w:tab/>
      </w:r>
      <w:r w:rsidRPr="00B06C8F">
        <w:tab/>
      </w:r>
      <w:r w:rsidRPr="00B06C8F">
        <w:tab/>
      </w:r>
      <w:r w:rsidR="00B06C8F">
        <w:tab/>
      </w:r>
      <w:r w:rsidR="00677D9D">
        <w:tab/>
      </w:r>
      <w:r w:rsidRPr="00B06C8F">
        <w:t>a)</w:t>
      </w:r>
      <w:r w:rsidRPr="00B06C8F">
        <w:tab/>
        <w:t xml:space="preserve">2.898 cents/kWh for January 2016 through the day </w:t>
      </w:r>
      <w:r w:rsidRPr="00B06C8F">
        <w:tab/>
      </w:r>
      <w:r w:rsidRPr="00B06C8F">
        <w:tab/>
      </w:r>
      <w:r w:rsidRPr="00B06C8F">
        <w:tab/>
      </w:r>
      <w:r w:rsidRPr="00B06C8F">
        <w:tab/>
      </w:r>
      <w:r w:rsidRPr="00B06C8F">
        <w:tab/>
      </w:r>
      <w:r w:rsidR="00B06C8F">
        <w:tab/>
      </w:r>
      <w:r w:rsidR="00B06C8F">
        <w:tab/>
      </w:r>
      <w:r w:rsidRPr="00B06C8F">
        <w:t xml:space="preserve">prior to the PEEC in-service date (projected to be </w:t>
      </w:r>
      <w:r w:rsidRPr="00B06C8F">
        <w:tab/>
      </w:r>
      <w:r w:rsidRPr="00B06C8F">
        <w:tab/>
      </w:r>
      <w:r w:rsidRPr="00B06C8F">
        <w:tab/>
      </w:r>
      <w:r w:rsidRPr="00B06C8F">
        <w:tab/>
      </w:r>
      <w:r w:rsidRPr="00B06C8F">
        <w:tab/>
      </w:r>
      <w:r w:rsidR="00B06C8F">
        <w:tab/>
      </w:r>
      <w:r w:rsidR="00B06C8F">
        <w:tab/>
      </w:r>
      <w:r w:rsidRPr="00B06C8F">
        <w:t>May 31, 2016);</w:t>
      </w:r>
    </w:p>
    <w:p w:rsidR="007F2B0B" w:rsidRPr="00B06C8F" w:rsidRDefault="007F2B0B" w:rsidP="00677D9D">
      <w:pPr>
        <w:ind w:hanging="1440"/>
      </w:pPr>
      <w:r w:rsidRPr="00B06C8F">
        <w:tab/>
      </w:r>
      <w:r w:rsidRPr="00B06C8F">
        <w:tab/>
      </w:r>
      <w:r w:rsidRPr="00B06C8F">
        <w:tab/>
      </w:r>
      <w:r w:rsidR="00B06C8F">
        <w:tab/>
      </w:r>
      <w:r w:rsidR="00677D9D">
        <w:tab/>
      </w:r>
      <w:r w:rsidRPr="00B06C8F">
        <w:t>b)</w:t>
      </w:r>
      <w:r w:rsidRPr="00B06C8F">
        <w:tab/>
        <w:t xml:space="preserve">2.837 cents/kWh from the PEEC in-service date (projected </w:t>
      </w:r>
      <w:r w:rsidRPr="00B06C8F">
        <w:tab/>
      </w:r>
      <w:r w:rsidRPr="00B06C8F">
        <w:tab/>
      </w:r>
      <w:r w:rsidRPr="00B06C8F">
        <w:tab/>
      </w:r>
      <w:r w:rsidRPr="00B06C8F">
        <w:tab/>
      </w:r>
      <w:r w:rsidR="00B06C8F">
        <w:tab/>
      </w:r>
      <w:r w:rsidR="00B06C8F">
        <w:tab/>
      </w:r>
      <w:r w:rsidRPr="00B06C8F">
        <w:t xml:space="preserve">to be June 1, 2016) through December 2016. </w:t>
      </w:r>
    </w:p>
    <w:p w:rsidR="007F2B0B" w:rsidRPr="00EC60CB" w:rsidRDefault="007F2B0B" w:rsidP="00B06C8F">
      <w:pPr>
        <w:ind w:left="1440" w:hanging="1440"/>
        <w:jc w:val="both"/>
      </w:pPr>
      <w:r w:rsidRPr="00EC60CB">
        <w:tab/>
        <w:t>Duke:</w:t>
      </w:r>
      <w:r w:rsidRPr="00EC60CB">
        <w:tab/>
      </w:r>
      <w:r w:rsidRPr="00EC60CB">
        <w:tab/>
        <w:t>3.677 cents per kWh (adjusted for jurisdictional losses)</w:t>
      </w:r>
    </w:p>
    <w:p w:rsidR="007F2B0B" w:rsidRPr="00EC60CB" w:rsidRDefault="007F2B0B" w:rsidP="00B06C8F">
      <w:pPr>
        <w:ind w:left="1440" w:hanging="1440"/>
        <w:jc w:val="both"/>
      </w:pPr>
      <w:r w:rsidRPr="00EC60CB">
        <w:tab/>
        <w:t>Gulf:</w:t>
      </w:r>
      <w:r w:rsidRPr="00EC60CB">
        <w:tab/>
      </w:r>
      <w:r w:rsidRPr="00EC60CB">
        <w:tab/>
        <w:t>3.650 cents/kWh</w:t>
      </w:r>
    </w:p>
    <w:p w:rsidR="007F2B0B" w:rsidRPr="00EC60CB" w:rsidRDefault="007F2B0B" w:rsidP="00B06C8F">
      <w:pPr>
        <w:ind w:left="1440" w:hanging="1440"/>
        <w:jc w:val="both"/>
      </w:pPr>
      <w:r w:rsidRPr="00EC60CB">
        <w:tab/>
        <w:t>TECO:</w:t>
      </w:r>
      <w:r w:rsidRPr="00EC60CB">
        <w:tab/>
      </w:r>
      <w:r w:rsidRPr="00EC60CB">
        <w:tab/>
        <w:t xml:space="preserve">The appropriate factor is 3.671 cents per kWh before any </w:t>
      </w:r>
      <w:r w:rsidRPr="00EC60CB">
        <w:tab/>
      </w:r>
      <w:r w:rsidRPr="00EC60CB">
        <w:tab/>
      </w:r>
      <w:r w:rsidRPr="00EC60CB">
        <w:tab/>
      </w:r>
      <w:r w:rsidRPr="00EC60CB">
        <w:tab/>
        <w:t xml:space="preserve">application of time of use multipliers for on-peak or off-peak </w:t>
      </w:r>
      <w:r w:rsidRPr="00EC60CB">
        <w:tab/>
      </w:r>
      <w:r w:rsidRPr="00EC60CB">
        <w:tab/>
      </w:r>
      <w:r w:rsidRPr="00EC60CB">
        <w:tab/>
        <w:t xml:space="preserve">usage. </w:t>
      </w:r>
    </w:p>
    <w:p w:rsidR="007F2B0B" w:rsidRPr="00EC60CB" w:rsidRDefault="007F2B0B" w:rsidP="00B06C8F">
      <w:pPr>
        <w:ind w:left="1440" w:hanging="1440"/>
        <w:jc w:val="both"/>
      </w:pPr>
    </w:p>
    <w:p w:rsidR="007F2B0B" w:rsidRPr="00EC60CB" w:rsidRDefault="007F2B0B" w:rsidP="00B06C8F">
      <w:pPr>
        <w:ind w:left="1440" w:hanging="1440"/>
        <w:jc w:val="both"/>
        <w:rPr>
          <w:b/>
        </w:rPr>
      </w:pPr>
      <w:r w:rsidRPr="00EC60CB">
        <w:t>ISSUE 22:</w:t>
      </w:r>
      <w:r w:rsidRPr="00EC60CB">
        <w:tab/>
        <w:t>The appropriate fuel recovery line loss multipliers to be used in calculating the fuel cost recovery factors charged to each rate class/delivery voltage level class are shown below:</w:t>
      </w:r>
    </w:p>
    <w:p w:rsidR="007F2B0B" w:rsidRPr="00EC60CB" w:rsidRDefault="007F2B0B" w:rsidP="00B06C8F">
      <w:pPr>
        <w:ind w:left="1440" w:hanging="1440"/>
        <w:jc w:val="both"/>
      </w:pPr>
      <w:r w:rsidRPr="00EC60CB">
        <w:rPr>
          <w:bCs/>
        </w:rPr>
        <w:tab/>
        <w:t>FPL:</w:t>
      </w:r>
      <w:r w:rsidRPr="00EC60CB">
        <w:rPr>
          <w:bCs/>
        </w:rPr>
        <w:tab/>
      </w:r>
      <w:r w:rsidRPr="00EC60CB">
        <w:t>The appropriate fuel cost recovery line loss multipliers are provided</w:t>
      </w:r>
      <w:r w:rsidRPr="00EC60CB">
        <w:tab/>
        <w:t>below</w:t>
      </w:r>
      <w:r w:rsidR="00677D9D">
        <w:t>:</w:t>
      </w:r>
    </w:p>
    <w:p w:rsidR="007F2B0B" w:rsidRPr="00EC60CB" w:rsidRDefault="007F2B0B" w:rsidP="007F2B0B">
      <w:r>
        <w:rPr>
          <w:noProof/>
        </w:rPr>
        <w:lastRenderedPageBreak/>
        <w:drawing>
          <wp:inline distT="0" distB="0" distL="0" distR="0" wp14:anchorId="4DA0250C" wp14:editId="13BA1554">
            <wp:extent cx="4391025" cy="7248525"/>
            <wp:effectExtent l="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1025" cy="7248525"/>
                    </a:xfrm>
                    <a:prstGeom prst="rect">
                      <a:avLst/>
                    </a:prstGeom>
                    <a:noFill/>
                    <a:ln>
                      <a:noFill/>
                    </a:ln>
                  </pic:spPr>
                </pic:pic>
              </a:graphicData>
            </a:graphic>
          </wp:inline>
        </w:drawing>
      </w:r>
    </w:p>
    <w:p w:rsidR="007F2B0B" w:rsidRPr="00EC60CB" w:rsidRDefault="007F2B0B" w:rsidP="007F2B0B"/>
    <w:p w:rsidR="007F2B0B" w:rsidRPr="00EC60CB" w:rsidRDefault="007F2B0B" w:rsidP="007F2B0B">
      <w:r>
        <w:rPr>
          <w:noProof/>
        </w:rPr>
        <w:lastRenderedPageBreak/>
        <w:drawing>
          <wp:inline distT="0" distB="0" distL="0" distR="0" wp14:anchorId="4B84B287" wp14:editId="3CC1BC1C">
            <wp:extent cx="4314825" cy="2085975"/>
            <wp:effectExtent l="0" t="0" r="9525"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2085975"/>
                    </a:xfrm>
                    <a:prstGeom prst="rect">
                      <a:avLst/>
                    </a:prstGeom>
                    <a:noFill/>
                    <a:ln>
                      <a:noFill/>
                    </a:ln>
                  </pic:spPr>
                </pic:pic>
              </a:graphicData>
            </a:graphic>
          </wp:inline>
        </w:drawing>
      </w:r>
    </w:p>
    <w:p w:rsidR="007F2B0B" w:rsidRPr="00EC60CB" w:rsidRDefault="007F2B0B" w:rsidP="007F2B0B"/>
    <w:p w:rsidR="007F2B0B" w:rsidRPr="00EC60CB" w:rsidRDefault="007F2B0B" w:rsidP="007F2B0B">
      <w:pPr>
        <w:keepNext/>
        <w:keepLines/>
        <w:jc w:val="both"/>
      </w:pPr>
      <w:r w:rsidRPr="00EC60CB">
        <w:tab/>
        <w:t>DEF</w:t>
      </w:r>
      <w:r w:rsidRPr="00392B7C">
        <w:t>:</w:t>
      </w:r>
      <w:r w:rsidRPr="00EC60CB">
        <w:rPr>
          <w:b/>
        </w:rPr>
        <w:tab/>
      </w:r>
    </w:p>
    <w:p w:rsidR="007F2B0B" w:rsidRPr="00EC60CB" w:rsidRDefault="007F2B0B" w:rsidP="007F2B0B">
      <w:pPr>
        <w:ind w:left="1440" w:hanging="1440"/>
        <w:jc w:val="both"/>
      </w:pPr>
    </w:p>
    <w:tbl>
      <w:tblPr>
        <w:tblStyle w:val="TableGrid"/>
        <w:tblW w:w="0" w:type="auto"/>
        <w:tblInd w:w="1440" w:type="dxa"/>
        <w:tblLook w:val="04A0" w:firstRow="1" w:lastRow="0" w:firstColumn="1" w:lastColumn="0" w:noHBand="0" w:noVBand="1"/>
      </w:tblPr>
      <w:tblGrid>
        <w:gridCol w:w="2669"/>
        <w:gridCol w:w="2719"/>
        <w:gridCol w:w="2640"/>
      </w:tblGrid>
      <w:tr w:rsidR="007F2B0B" w:rsidRPr="00EC60CB" w:rsidTr="007F2B0B">
        <w:tc>
          <w:tcPr>
            <w:tcW w:w="8028" w:type="dxa"/>
            <w:gridSpan w:val="3"/>
          </w:tcPr>
          <w:p w:rsidR="007F2B0B" w:rsidRPr="00EC60CB" w:rsidRDefault="007F2B0B" w:rsidP="007F2B0B">
            <w:pPr>
              <w:jc w:val="center"/>
            </w:pPr>
            <w:r w:rsidRPr="00EC60CB">
              <w:t>Fuel Recovery Line Loss Multipliers</w:t>
            </w:r>
          </w:p>
        </w:tc>
      </w:tr>
      <w:tr w:rsidR="007F2B0B" w:rsidRPr="00EC60CB" w:rsidTr="007F2B0B">
        <w:tc>
          <w:tcPr>
            <w:tcW w:w="2669" w:type="dxa"/>
          </w:tcPr>
          <w:p w:rsidR="007F2B0B" w:rsidRPr="00EC60CB" w:rsidRDefault="007F2B0B" w:rsidP="007F2B0B">
            <w:pPr>
              <w:jc w:val="center"/>
            </w:pPr>
            <w:r w:rsidRPr="00EC60CB">
              <w:t>Group</w:t>
            </w:r>
          </w:p>
        </w:tc>
        <w:tc>
          <w:tcPr>
            <w:tcW w:w="2719" w:type="dxa"/>
          </w:tcPr>
          <w:p w:rsidR="007F2B0B" w:rsidRPr="00EC60CB" w:rsidRDefault="007F2B0B" w:rsidP="007F2B0B">
            <w:pPr>
              <w:jc w:val="center"/>
            </w:pPr>
            <w:r w:rsidRPr="00EC60CB">
              <w:t>Delivery Voltage Level</w:t>
            </w:r>
          </w:p>
        </w:tc>
        <w:tc>
          <w:tcPr>
            <w:tcW w:w="2640" w:type="dxa"/>
          </w:tcPr>
          <w:p w:rsidR="007F2B0B" w:rsidRPr="00EC60CB" w:rsidRDefault="007F2B0B" w:rsidP="007F2B0B">
            <w:pPr>
              <w:jc w:val="center"/>
            </w:pPr>
            <w:r w:rsidRPr="00EC60CB">
              <w:t>Line Loss Multiplier</w:t>
            </w:r>
          </w:p>
        </w:tc>
      </w:tr>
      <w:tr w:rsidR="007F2B0B" w:rsidRPr="00EC60CB" w:rsidTr="007F2B0B">
        <w:tc>
          <w:tcPr>
            <w:tcW w:w="2669" w:type="dxa"/>
          </w:tcPr>
          <w:p w:rsidR="007F2B0B" w:rsidRPr="00EC60CB" w:rsidRDefault="007F2B0B" w:rsidP="007F2B0B">
            <w:pPr>
              <w:jc w:val="center"/>
            </w:pPr>
            <w:r w:rsidRPr="00EC60CB">
              <w:t>A</w:t>
            </w:r>
          </w:p>
        </w:tc>
        <w:tc>
          <w:tcPr>
            <w:tcW w:w="2719" w:type="dxa"/>
          </w:tcPr>
          <w:p w:rsidR="007F2B0B" w:rsidRPr="00EC60CB" w:rsidRDefault="007F2B0B" w:rsidP="007F2B0B">
            <w:pPr>
              <w:jc w:val="center"/>
            </w:pPr>
            <w:r w:rsidRPr="00EC60CB">
              <w:t>Transmission</w:t>
            </w:r>
          </w:p>
        </w:tc>
        <w:tc>
          <w:tcPr>
            <w:tcW w:w="2640" w:type="dxa"/>
          </w:tcPr>
          <w:p w:rsidR="007F2B0B" w:rsidRPr="00EC60CB" w:rsidRDefault="007F2B0B" w:rsidP="007F2B0B">
            <w:pPr>
              <w:jc w:val="center"/>
            </w:pPr>
            <w:r w:rsidRPr="00EC60CB">
              <w:t>0.9800</w:t>
            </w:r>
          </w:p>
        </w:tc>
      </w:tr>
      <w:tr w:rsidR="007F2B0B" w:rsidRPr="00EC60CB" w:rsidTr="007F2B0B">
        <w:tc>
          <w:tcPr>
            <w:tcW w:w="2669" w:type="dxa"/>
          </w:tcPr>
          <w:p w:rsidR="007F2B0B" w:rsidRPr="00EC60CB" w:rsidRDefault="007F2B0B" w:rsidP="007F2B0B">
            <w:pPr>
              <w:jc w:val="center"/>
            </w:pPr>
            <w:r w:rsidRPr="00EC60CB">
              <w:t>B</w:t>
            </w:r>
          </w:p>
        </w:tc>
        <w:tc>
          <w:tcPr>
            <w:tcW w:w="2719" w:type="dxa"/>
          </w:tcPr>
          <w:p w:rsidR="007F2B0B" w:rsidRPr="00EC60CB" w:rsidRDefault="007F2B0B" w:rsidP="007F2B0B">
            <w:pPr>
              <w:jc w:val="center"/>
            </w:pPr>
            <w:r w:rsidRPr="00EC60CB">
              <w:t>Distribution Primary</w:t>
            </w:r>
          </w:p>
        </w:tc>
        <w:tc>
          <w:tcPr>
            <w:tcW w:w="2640" w:type="dxa"/>
          </w:tcPr>
          <w:p w:rsidR="007F2B0B" w:rsidRPr="00EC60CB" w:rsidRDefault="007F2B0B" w:rsidP="007F2B0B">
            <w:pPr>
              <w:jc w:val="center"/>
            </w:pPr>
            <w:r w:rsidRPr="00EC60CB">
              <w:t>0.9900</w:t>
            </w:r>
          </w:p>
        </w:tc>
      </w:tr>
      <w:tr w:rsidR="007F2B0B" w:rsidRPr="00EC60CB" w:rsidTr="007F2B0B">
        <w:tc>
          <w:tcPr>
            <w:tcW w:w="2669" w:type="dxa"/>
          </w:tcPr>
          <w:p w:rsidR="007F2B0B" w:rsidRPr="00EC60CB" w:rsidRDefault="007F2B0B" w:rsidP="007F2B0B">
            <w:pPr>
              <w:jc w:val="center"/>
            </w:pPr>
            <w:r w:rsidRPr="00EC60CB">
              <w:t>C</w:t>
            </w:r>
          </w:p>
        </w:tc>
        <w:tc>
          <w:tcPr>
            <w:tcW w:w="2719" w:type="dxa"/>
          </w:tcPr>
          <w:p w:rsidR="007F2B0B" w:rsidRPr="00EC60CB" w:rsidRDefault="007F2B0B" w:rsidP="007F2B0B">
            <w:pPr>
              <w:jc w:val="center"/>
            </w:pPr>
            <w:r w:rsidRPr="00EC60CB">
              <w:t>Distribution Secondary</w:t>
            </w:r>
          </w:p>
        </w:tc>
        <w:tc>
          <w:tcPr>
            <w:tcW w:w="2640" w:type="dxa"/>
          </w:tcPr>
          <w:p w:rsidR="007F2B0B" w:rsidRPr="00EC60CB" w:rsidRDefault="007F2B0B" w:rsidP="007F2B0B">
            <w:pPr>
              <w:jc w:val="center"/>
            </w:pPr>
            <w:r w:rsidRPr="00EC60CB">
              <w:t>1.0000</w:t>
            </w:r>
          </w:p>
        </w:tc>
      </w:tr>
      <w:tr w:rsidR="007F2B0B" w:rsidRPr="00EC60CB" w:rsidTr="007F2B0B">
        <w:tc>
          <w:tcPr>
            <w:tcW w:w="2669" w:type="dxa"/>
          </w:tcPr>
          <w:p w:rsidR="007F2B0B" w:rsidRPr="00EC60CB" w:rsidRDefault="007F2B0B" w:rsidP="007F2B0B">
            <w:pPr>
              <w:jc w:val="center"/>
            </w:pPr>
            <w:r w:rsidRPr="00EC60CB">
              <w:t>D</w:t>
            </w:r>
          </w:p>
        </w:tc>
        <w:tc>
          <w:tcPr>
            <w:tcW w:w="2719" w:type="dxa"/>
          </w:tcPr>
          <w:p w:rsidR="007F2B0B" w:rsidRPr="00EC60CB" w:rsidRDefault="007F2B0B" w:rsidP="007F2B0B">
            <w:pPr>
              <w:jc w:val="center"/>
            </w:pPr>
            <w:r w:rsidRPr="00EC60CB">
              <w:t>Lighting Service</w:t>
            </w:r>
          </w:p>
        </w:tc>
        <w:tc>
          <w:tcPr>
            <w:tcW w:w="2640" w:type="dxa"/>
          </w:tcPr>
          <w:p w:rsidR="007F2B0B" w:rsidRPr="00EC60CB" w:rsidRDefault="007F2B0B" w:rsidP="007F2B0B">
            <w:pPr>
              <w:jc w:val="center"/>
            </w:pPr>
            <w:r w:rsidRPr="00EC60CB">
              <w:t>1.0000</w:t>
            </w:r>
          </w:p>
        </w:tc>
      </w:tr>
    </w:tbl>
    <w:p w:rsidR="007F2B0B" w:rsidRPr="00EC60CB" w:rsidRDefault="007F2B0B" w:rsidP="007F2B0B">
      <w:pPr>
        <w:ind w:left="1440" w:hanging="1440"/>
        <w:jc w:val="both"/>
      </w:pPr>
      <w:r w:rsidRPr="00EC60CB">
        <w:tab/>
      </w:r>
    </w:p>
    <w:p w:rsidR="007F2B0B" w:rsidRPr="00EC60CB" w:rsidRDefault="007F2B0B" w:rsidP="007F2B0B">
      <w:pPr>
        <w:ind w:left="1440" w:hanging="720"/>
        <w:jc w:val="both"/>
      </w:pPr>
      <w:r w:rsidRPr="00EC60CB">
        <w:t>FPUC:</w:t>
      </w:r>
      <w:r w:rsidRPr="00EC60CB">
        <w:rPr>
          <w:b/>
        </w:rPr>
        <w:tab/>
      </w:r>
      <w:r w:rsidRPr="00EC60CB">
        <w:t xml:space="preserve">The appropriate line loss multiplier is 1.0000. </w:t>
      </w:r>
    </w:p>
    <w:p w:rsidR="007F2B0B" w:rsidRPr="00EC60CB" w:rsidRDefault="007F2B0B" w:rsidP="007F2B0B">
      <w:pPr>
        <w:rPr>
          <w:b/>
          <w:u w:val="single"/>
        </w:rPr>
      </w:pPr>
    </w:p>
    <w:p w:rsidR="007F2B0B" w:rsidRPr="00EC60CB" w:rsidRDefault="007F2B0B" w:rsidP="007F2B0B">
      <w:pPr>
        <w:keepNext/>
        <w:keepLines/>
        <w:autoSpaceDE w:val="0"/>
        <w:autoSpaceDN w:val="0"/>
        <w:adjustRightInd w:val="0"/>
        <w:ind w:left="1440" w:hanging="720"/>
      </w:pPr>
      <w:r w:rsidRPr="00EC60CB">
        <w:t>Gulf:</w:t>
      </w:r>
      <w:r w:rsidRPr="00EC60CB">
        <w:rPr>
          <w:b/>
        </w:rPr>
        <w:tab/>
      </w:r>
      <w:r w:rsidRPr="00EC60CB">
        <w:t xml:space="preserve"> </w:t>
      </w:r>
    </w:p>
    <w:p w:rsidR="007F2B0B" w:rsidRPr="00EC60CB" w:rsidRDefault="007F2B0B" w:rsidP="007F2B0B">
      <w:pPr>
        <w:keepNext/>
        <w:keepLines/>
        <w:autoSpaceDE w:val="0"/>
        <w:autoSpaceDN w:val="0"/>
        <w:adjustRightInd w:val="0"/>
        <w:ind w:left="1440" w:hanging="1440"/>
        <w:rPr>
          <w:sz w:val="16"/>
          <w:szCs w:val="16"/>
        </w:rPr>
      </w:pPr>
    </w:p>
    <w:tbl>
      <w:tblPr>
        <w:tblW w:w="0" w:type="auto"/>
        <w:tblInd w:w="1495" w:type="dxa"/>
        <w:tblLayout w:type="fixed"/>
        <w:tblCellMar>
          <w:left w:w="145" w:type="dxa"/>
          <w:right w:w="145" w:type="dxa"/>
        </w:tblCellMar>
        <w:tblLook w:val="0000" w:firstRow="0" w:lastRow="0" w:firstColumn="0" w:lastColumn="0" w:noHBand="0" w:noVBand="0"/>
      </w:tblPr>
      <w:tblGrid>
        <w:gridCol w:w="1167"/>
        <w:gridCol w:w="4233"/>
        <w:gridCol w:w="2610"/>
      </w:tblGrid>
      <w:tr w:rsidR="007F2B0B" w:rsidRPr="00EC60CB" w:rsidTr="007F2B0B">
        <w:trPr>
          <w:trHeight w:val="285"/>
        </w:trPr>
        <w:tc>
          <w:tcPr>
            <w:tcW w:w="8010" w:type="dxa"/>
            <w:gridSpan w:val="3"/>
            <w:tcBorders>
              <w:top w:val="double" w:sz="7" w:space="0" w:color="000000"/>
              <w:left w:val="double" w:sz="7" w:space="0" w:color="000000"/>
              <w:bottom w:val="nil"/>
              <w:right w:val="double" w:sz="7" w:space="0" w:color="000000"/>
            </w:tcBorders>
          </w:tcPr>
          <w:p w:rsidR="007F2B0B" w:rsidRPr="00EC60CB" w:rsidRDefault="007F2B0B" w:rsidP="007F2B0B">
            <w:pPr>
              <w:jc w:val="center"/>
            </w:pPr>
            <w:r w:rsidRPr="00EC60CB">
              <w:t>Fuel Recovery Line Loss Multipliers</w:t>
            </w:r>
          </w:p>
        </w:tc>
      </w:tr>
      <w:tr w:rsidR="007F2B0B" w:rsidRPr="00EC60CB" w:rsidTr="007F2B0B">
        <w:tc>
          <w:tcPr>
            <w:tcW w:w="1167" w:type="dxa"/>
            <w:tcBorders>
              <w:top w:val="single" w:sz="18" w:space="0" w:color="000000"/>
              <w:left w:val="double" w:sz="7" w:space="0" w:color="000000"/>
              <w:bottom w:val="single" w:sz="6" w:space="0" w:color="FFFFFF"/>
              <w:right w:val="single" w:sz="6" w:space="0" w:color="FFFFFF"/>
            </w:tcBorders>
          </w:tcPr>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C60CB">
              <w:rPr>
                <w:bCs/>
              </w:rPr>
              <w:t>Group</w:t>
            </w:r>
          </w:p>
        </w:tc>
        <w:tc>
          <w:tcPr>
            <w:tcW w:w="4233" w:type="dxa"/>
            <w:tcBorders>
              <w:top w:val="single" w:sz="18" w:space="0" w:color="000000"/>
              <w:left w:val="single" w:sz="7" w:space="0" w:color="000000"/>
              <w:bottom w:val="single" w:sz="6" w:space="0" w:color="FFFFFF"/>
              <w:right w:val="single" w:sz="6" w:space="0" w:color="FFFFFF"/>
            </w:tcBorders>
          </w:tcPr>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C60CB">
              <w:rPr>
                <w:bCs/>
              </w:rPr>
              <w:t>Rate Schedules</w:t>
            </w:r>
          </w:p>
        </w:tc>
        <w:tc>
          <w:tcPr>
            <w:tcW w:w="2610" w:type="dxa"/>
            <w:tcBorders>
              <w:top w:val="single" w:sz="18" w:space="0" w:color="000000"/>
              <w:left w:val="single" w:sz="7" w:space="0" w:color="000000"/>
              <w:bottom w:val="single" w:sz="6" w:space="0" w:color="FFFFFF"/>
              <w:right w:val="double" w:sz="7" w:space="0" w:color="000000"/>
            </w:tcBorders>
          </w:tcPr>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C60CB">
              <w:rPr>
                <w:bCs/>
              </w:rPr>
              <w:t>Line Loss Multipliers</w:t>
            </w:r>
          </w:p>
        </w:tc>
      </w:tr>
      <w:tr w:rsidR="007F2B0B" w:rsidRPr="00EC60CB" w:rsidTr="007F2B0B">
        <w:tc>
          <w:tcPr>
            <w:tcW w:w="1167" w:type="dxa"/>
            <w:tcBorders>
              <w:top w:val="single" w:sz="18" w:space="0" w:color="000000"/>
              <w:left w:val="double" w:sz="7" w:space="0" w:color="000000"/>
              <w:bottom w:val="single" w:sz="6" w:space="0" w:color="FFFFFF"/>
              <w:right w:val="single" w:sz="6" w:space="0" w:color="FFFFFF"/>
            </w:tcBorders>
          </w:tcPr>
          <w:p w:rsidR="007F2B0B" w:rsidRPr="00EC60CB" w:rsidRDefault="007F2B0B" w:rsidP="007F2B0B">
            <w:pPr>
              <w:keepNext/>
              <w:keepLines/>
              <w:spacing w:line="163" w:lineRule="exact"/>
            </w:pPr>
          </w:p>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C60CB">
              <w:t>A</w:t>
            </w:r>
          </w:p>
        </w:tc>
        <w:tc>
          <w:tcPr>
            <w:tcW w:w="4233" w:type="dxa"/>
            <w:tcBorders>
              <w:top w:val="single" w:sz="18" w:space="0" w:color="000000"/>
              <w:left w:val="single" w:sz="7" w:space="0" w:color="000000"/>
              <w:bottom w:val="single" w:sz="6" w:space="0" w:color="FFFFFF"/>
              <w:right w:val="single" w:sz="6" w:space="0" w:color="FFFFFF"/>
            </w:tcBorders>
          </w:tcPr>
          <w:p w:rsidR="007F2B0B" w:rsidRPr="00EC60CB" w:rsidRDefault="007F2B0B" w:rsidP="007F2B0B">
            <w:pPr>
              <w:keepNext/>
              <w:keepLines/>
              <w:spacing w:line="163" w:lineRule="exact"/>
            </w:pPr>
          </w:p>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C60CB">
              <w:t>RS, RSVP, RSTOU, GS,GSD, GSDT, GSTOU, OSIII, SBS(1)</w:t>
            </w:r>
          </w:p>
        </w:tc>
        <w:tc>
          <w:tcPr>
            <w:tcW w:w="2610" w:type="dxa"/>
            <w:tcBorders>
              <w:top w:val="single" w:sz="18" w:space="0" w:color="000000"/>
              <w:left w:val="single" w:sz="7" w:space="0" w:color="000000"/>
              <w:bottom w:val="single" w:sz="6" w:space="0" w:color="FFFFFF"/>
              <w:right w:val="double" w:sz="7" w:space="0" w:color="000000"/>
            </w:tcBorders>
          </w:tcPr>
          <w:p w:rsidR="007F2B0B" w:rsidRPr="00EC60CB" w:rsidRDefault="007F2B0B" w:rsidP="007F2B0B">
            <w:pPr>
              <w:keepNext/>
              <w:keepLines/>
              <w:spacing w:line="163" w:lineRule="exact"/>
            </w:pPr>
          </w:p>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C60CB">
              <w:t>1.00773</w:t>
            </w:r>
          </w:p>
        </w:tc>
      </w:tr>
      <w:tr w:rsidR="007F2B0B" w:rsidRPr="00EC60CB" w:rsidTr="007F2B0B">
        <w:trPr>
          <w:trHeight w:val="370"/>
        </w:trPr>
        <w:tc>
          <w:tcPr>
            <w:tcW w:w="1167" w:type="dxa"/>
            <w:tcBorders>
              <w:top w:val="single" w:sz="7" w:space="0" w:color="000000"/>
              <w:left w:val="double" w:sz="7" w:space="0" w:color="000000"/>
              <w:bottom w:val="single" w:sz="6" w:space="0" w:color="FFFFFF"/>
              <w:right w:val="single" w:sz="6" w:space="0" w:color="FFFFFF"/>
            </w:tcBorders>
          </w:tcPr>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C60CB">
              <w:t>B</w:t>
            </w:r>
          </w:p>
        </w:tc>
        <w:tc>
          <w:tcPr>
            <w:tcW w:w="4233" w:type="dxa"/>
            <w:tcBorders>
              <w:top w:val="single" w:sz="7" w:space="0" w:color="000000"/>
              <w:left w:val="single" w:sz="7" w:space="0" w:color="000000"/>
              <w:bottom w:val="single" w:sz="6" w:space="0" w:color="FFFFFF"/>
              <w:right w:val="single" w:sz="6" w:space="0" w:color="FFFFFF"/>
            </w:tcBorders>
          </w:tcPr>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C60CB">
              <w:t xml:space="preserve">LP, LPT, SBS(2) </w:t>
            </w:r>
          </w:p>
        </w:tc>
        <w:tc>
          <w:tcPr>
            <w:tcW w:w="2610" w:type="dxa"/>
            <w:tcBorders>
              <w:top w:val="single" w:sz="7" w:space="0" w:color="000000"/>
              <w:left w:val="single" w:sz="7" w:space="0" w:color="000000"/>
              <w:bottom w:val="single" w:sz="6" w:space="0" w:color="FFFFFF"/>
              <w:right w:val="double" w:sz="7" w:space="0" w:color="000000"/>
            </w:tcBorders>
          </w:tcPr>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C60CB">
              <w:t>0.98353</w:t>
            </w:r>
          </w:p>
        </w:tc>
      </w:tr>
      <w:tr w:rsidR="007F2B0B" w:rsidRPr="00EC60CB" w:rsidTr="007F2B0B">
        <w:tc>
          <w:tcPr>
            <w:tcW w:w="1167" w:type="dxa"/>
            <w:tcBorders>
              <w:top w:val="single" w:sz="7" w:space="0" w:color="000000"/>
              <w:left w:val="double" w:sz="7" w:space="0" w:color="000000"/>
              <w:bottom w:val="single" w:sz="6" w:space="0" w:color="FFFFFF"/>
              <w:right w:val="single" w:sz="6" w:space="0" w:color="FFFFFF"/>
            </w:tcBorders>
          </w:tcPr>
          <w:p w:rsidR="007F2B0B" w:rsidRPr="00EC60CB" w:rsidRDefault="007F2B0B" w:rsidP="007F2B0B">
            <w:pPr>
              <w:keepNext/>
              <w:keepLines/>
              <w:spacing w:line="163" w:lineRule="exact"/>
            </w:pPr>
          </w:p>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C60CB">
              <w:t>C</w:t>
            </w:r>
          </w:p>
        </w:tc>
        <w:tc>
          <w:tcPr>
            <w:tcW w:w="4233" w:type="dxa"/>
            <w:tcBorders>
              <w:top w:val="single" w:sz="7" w:space="0" w:color="000000"/>
              <w:left w:val="single" w:sz="7" w:space="0" w:color="000000"/>
              <w:bottom w:val="single" w:sz="6" w:space="0" w:color="FFFFFF"/>
              <w:right w:val="single" w:sz="6" w:space="0" w:color="FFFFFF"/>
            </w:tcBorders>
          </w:tcPr>
          <w:p w:rsidR="007F2B0B" w:rsidRPr="00EC60CB" w:rsidRDefault="007F2B0B" w:rsidP="007F2B0B">
            <w:pPr>
              <w:keepNext/>
              <w:keepLines/>
              <w:spacing w:line="163" w:lineRule="exact"/>
            </w:pPr>
          </w:p>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C60CB">
              <w:t>PX, PXT, RTP, SBS(3)</w:t>
            </w:r>
          </w:p>
        </w:tc>
        <w:tc>
          <w:tcPr>
            <w:tcW w:w="2610" w:type="dxa"/>
            <w:tcBorders>
              <w:top w:val="single" w:sz="7" w:space="0" w:color="000000"/>
              <w:left w:val="single" w:sz="7" w:space="0" w:color="000000"/>
              <w:bottom w:val="single" w:sz="6" w:space="0" w:color="FFFFFF"/>
              <w:right w:val="double" w:sz="7" w:space="0" w:color="000000"/>
            </w:tcBorders>
          </w:tcPr>
          <w:p w:rsidR="007F2B0B" w:rsidRPr="00EC60CB" w:rsidRDefault="007F2B0B" w:rsidP="007F2B0B">
            <w:pPr>
              <w:keepNext/>
              <w:keepLines/>
              <w:spacing w:line="163" w:lineRule="exact"/>
            </w:pPr>
          </w:p>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C60CB">
              <w:t>0.96591</w:t>
            </w:r>
          </w:p>
        </w:tc>
      </w:tr>
      <w:tr w:rsidR="007F2B0B" w:rsidRPr="00EC60CB" w:rsidTr="007F2B0B">
        <w:tc>
          <w:tcPr>
            <w:tcW w:w="1167" w:type="dxa"/>
            <w:tcBorders>
              <w:top w:val="single" w:sz="7" w:space="0" w:color="000000"/>
              <w:left w:val="double" w:sz="7" w:space="0" w:color="000000"/>
              <w:bottom w:val="double" w:sz="7" w:space="0" w:color="000000"/>
              <w:right w:val="single" w:sz="6" w:space="0" w:color="FFFFFF"/>
            </w:tcBorders>
          </w:tcPr>
          <w:p w:rsidR="007F2B0B" w:rsidRPr="00EC60CB" w:rsidRDefault="007F2B0B" w:rsidP="007F2B0B">
            <w:pPr>
              <w:keepNext/>
              <w:keepLines/>
              <w:spacing w:line="163" w:lineRule="exact"/>
            </w:pPr>
          </w:p>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C60CB">
              <w:t>D</w:t>
            </w:r>
          </w:p>
        </w:tc>
        <w:tc>
          <w:tcPr>
            <w:tcW w:w="4233" w:type="dxa"/>
            <w:tcBorders>
              <w:top w:val="single" w:sz="7" w:space="0" w:color="000000"/>
              <w:left w:val="single" w:sz="7" w:space="0" w:color="000000"/>
              <w:bottom w:val="double" w:sz="7" w:space="0" w:color="000000"/>
              <w:right w:val="single" w:sz="6" w:space="0" w:color="FFFFFF"/>
            </w:tcBorders>
          </w:tcPr>
          <w:p w:rsidR="007F2B0B" w:rsidRPr="00EC60CB" w:rsidRDefault="007F2B0B" w:rsidP="007F2B0B">
            <w:pPr>
              <w:keepNext/>
              <w:keepLines/>
              <w:spacing w:line="163" w:lineRule="exact"/>
            </w:pPr>
          </w:p>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EC60CB">
              <w:t>OSI/II</w:t>
            </w:r>
          </w:p>
        </w:tc>
        <w:tc>
          <w:tcPr>
            <w:tcW w:w="2610" w:type="dxa"/>
            <w:tcBorders>
              <w:top w:val="single" w:sz="7" w:space="0" w:color="000000"/>
              <w:left w:val="single" w:sz="7" w:space="0" w:color="000000"/>
              <w:bottom w:val="double" w:sz="7" w:space="0" w:color="000000"/>
              <w:right w:val="double" w:sz="7" w:space="0" w:color="000000"/>
            </w:tcBorders>
          </w:tcPr>
          <w:p w:rsidR="007F2B0B" w:rsidRPr="00EC60CB" w:rsidRDefault="007F2B0B" w:rsidP="007F2B0B">
            <w:pPr>
              <w:keepNext/>
              <w:keepLines/>
              <w:spacing w:line="163" w:lineRule="exact"/>
            </w:pPr>
          </w:p>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EC60CB">
              <w:t>1.00777</w:t>
            </w:r>
          </w:p>
        </w:tc>
      </w:tr>
      <w:tr w:rsidR="007F2B0B" w:rsidRPr="00EC60CB" w:rsidTr="007F2B0B">
        <w:tc>
          <w:tcPr>
            <w:tcW w:w="8010" w:type="dxa"/>
            <w:gridSpan w:val="3"/>
            <w:tcBorders>
              <w:top w:val="single" w:sz="7" w:space="0" w:color="000000"/>
              <w:left w:val="double" w:sz="7" w:space="0" w:color="000000"/>
              <w:bottom w:val="double" w:sz="7" w:space="0" w:color="000000"/>
              <w:right w:val="double" w:sz="7" w:space="0" w:color="000000"/>
            </w:tcBorders>
          </w:tcPr>
          <w:p w:rsidR="007F2B0B" w:rsidRPr="00EC60CB" w:rsidRDefault="007F2B0B" w:rsidP="007F2B0B">
            <w:pPr>
              <w:keepNext/>
              <w:keepLines/>
              <w:widowControl w:val="0"/>
              <w:numPr>
                <w:ilvl w:val="0"/>
                <w:numId w:val="23"/>
              </w:numPr>
              <w:tabs>
                <w:tab w:val="clear" w:pos="720"/>
                <w:tab w:val="left" w:pos="-720"/>
                <w:tab w:val="left" w:pos="458"/>
                <w:tab w:val="left" w:pos="5760"/>
                <w:tab w:val="left" w:pos="6480"/>
                <w:tab w:val="left" w:pos="7200"/>
                <w:tab w:val="left" w:pos="7920"/>
                <w:tab w:val="left" w:pos="8640"/>
              </w:tabs>
              <w:autoSpaceDE w:val="0"/>
              <w:autoSpaceDN w:val="0"/>
              <w:adjustRightInd w:val="0"/>
              <w:ind w:left="458" w:right="8" w:hanging="450"/>
              <w:rPr>
                <w:bCs/>
                <w:sz w:val="20"/>
                <w:szCs w:val="20"/>
              </w:rPr>
            </w:pPr>
            <w:r w:rsidRPr="00EC60CB">
              <w:rPr>
                <w:bCs/>
                <w:sz w:val="20"/>
                <w:szCs w:val="20"/>
              </w:rPr>
              <w:t>Includes SBS customers with a contract demand in the range of 100 to 499 kW</w:t>
            </w:r>
          </w:p>
          <w:p w:rsidR="007F2B0B" w:rsidRPr="00EC60CB" w:rsidRDefault="007F2B0B" w:rsidP="007F2B0B">
            <w:pPr>
              <w:keepNext/>
              <w:keepLines/>
              <w:widowControl w:val="0"/>
              <w:numPr>
                <w:ilvl w:val="0"/>
                <w:numId w:val="23"/>
              </w:numPr>
              <w:tabs>
                <w:tab w:val="clear" w:pos="720"/>
                <w:tab w:val="left" w:pos="-720"/>
                <w:tab w:val="left" w:pos="458"/>
                <w:tab w:val="left" w:pos="5760"/>
                <w:tab w:val="left" w:pos="6480"/>
                <w:tab w:val="left" w:pos="7200"/>
                <w:tab w:val="left" w:pos="7920"/>
                <w:tab w:val="left" w:pos="8640"/>
              </w:tabs>
              <w:autoSpaceDE w:val="0"/>
              <w:autoSpaceDN w:val="0"/>
              <w:adjustRightInd w:val="0"/>
              <w:ind w:left="458" w:right="8" w:hanging="450"/>
              <w:rPr>
                <w:bCs/>
                <w:sz w:val="20"/>
                <w:szCs w:val="20"/>
              </w:rPr>
            </w:pPr>
            <w:r w:rsidRPr="00EC60CB">
              <w:rPr>
                <w:bCs/>
                <w:sz w:val="20"/>
                <w:szCs w:val="20"/>
              </w:rPr>
              <w:t>Includes SBS customers with a contract demand in the range of 500 to 7,499 kW</w:t>
            </w:r>
          </w:p>
          <w:p w:rsidR="007F2B0B" w:rsidRPr="00EC60CB" w:rsidRDefault="007F2B0B" w:rsidP="007F2B0B">
            <w:pPr>
              <w:keepNext/>
              <w:keepLines/>
              <w:widowControl w:val="0"/>
              <w:numPr>
                <w:ilvl w:val="0"/>
                <w:numId w:val="23"/>
              </w:numPr>
              <w:tabs>
                <w:tab w:val="clear" w:pos="720"/>
                <w:tab w:val="left" w:pos="-720"/>
                <w:tab w:val="left" w:pos="458"/>
                <w:tab w:val="left" w:pos="5760"/>
                <w:tab w:val="left" w:pos="6480"/>
                <w:tab w:val="left" w:pos="7200"/>
                <w:tab w:val="left" w:pos="7920"/>
                <w:tab w:val="left" w:pos="8640"/>
              </w:tabs>
              <w:autoSpaceDE w:val="0"/>
              <w:autoSpaceDN w:val="0"/>
              <w:adjustRightInd w:val="0"/>
              <w:ind w:left="458" w:right="8" w:hanging="450"/>
              <w:rPr>
                <w:bCs/>
                <w:sz w:val="20"/>
                <w:szCs w:val="20"/>
              </w:rPr>
            </w:pPr>
            <w:r w:rsidRPr="00EC60CB">
              <w:rPr>
                <w:bCs/>
                <w:sz w:val="20"/>
                <w:szCs w:val="20"/>
              </w:rPr>
              <w:t>Includes SBS customers with a contract demand over 7,499 kW</w:t>
            </w:r>
          </w:p>
        </w:tc>
      </w:tr>
    </w:tbl>
    <w:p w:rsidR="00677D9D" w:rsidRDefault="007F2B0B" w:rsidP="00677D9D">
      <w:pPr>
        <w:ind w:left="1440" w:hanging="1440"/>
        <w:jc w:val="both"/>
      </w:pPr>
      <w:r w:rsidRPr="00EC60CB">
        <w:tab/>
      </w:r>
    </w:p>
    <w:p w:rsidR="00677D9D" w:rsidRDefault="00677D9D">
      <w:r>
        <w:br w:type="page"/>
      </w:r>
    </w:p>
    <w:p w:rsidR="007F2B0B" w:rsidRPr="00EC60CB" w:rsidRDefault="007F2B0B" w:rsidP="00677D9D">
      <w:pPr>
        <w:ind w:left="1440" w:hanging="1440"/>
        <w:jc w:val="both"/>
        <w:rPr>
          <w:b/>
        </w:rPr>
      </w:pPr>
    </w:p>
    <w:p w:rsidR="007F2B0B" w:rsidRPr="00EC60CB" w:rsidRDefault="007F2B0B" w:rsidP="007F2B0B">
      <w:pPr>
        <w:keepNext/>
        <w:keepLines/>
        <w:tabs>
          <w:tab w:val="left" w:pos="-720"/>
          <w:tab w:val="left" w:pos="720"/>
        </w:tabs>
        <w:suppressAutoHyphens/>
        <w:spacing w:line="480" w:lineRule="auto"/>
        <w:ind w:left="1440" w:hanging="1440"/>
        <w:rPr>
          <w:rFonts w:ascii="CG Times" w:hAnsi="CG Times"/>
          <w:spacing w:val="-3"/>
        </w:rPr>
      </w:pPr>
      <w:r>
        <w:tab/>
      </w:r>
      <w:r w:rsidRPr="00EC60CB">
        <w:t>TECO</w:t>
      </w:r>
      <w:r w:rsidRPr="0082326B">
        <w:t>:</w:t>
      </w:r>
      <w:r w:rsidRPr="0082326B">
        <w:tab/>
      </w:r>
    </w:p>
    <w:tbl>
      <w:tblPr>
        <w:tblStyle w:val="TableGrid"/>
        <w:tblW w:w="0" w:type="auto"/>
        <w:tblInd w:w="1440" w:type="dxa"/>
        <w:tblLook w:val="04A0" w:firstRow="1" w:lastRow="0" w:firstColumn="1" w:lastColumn="0" w:noHBand="0" w:noVBand="1"/>
      </w:tblPr>
      <w:tblGrid>
        <w:gridCol w:w="4068"/>
        <w:gridCol w:w="4068"/>
      </w:tblGrid>
      <w:tr w:rsidR="007F2B0B" w:rsidRPr="00EC60CB" w:rsidTr="007F2B0B">
        <w:tc>
          <w:tcPr>
            <w:tcW w:w="8136" w:type="dxa"/>
            <w:gridSpan w:val="2"/>
          </w:tcPr>
          <w:p w:rsidR="007F2B0B" w:rsidRPr="00EC60CB" w:rsidRDefault="007F2B0B" w:rsidP="007F2B0B">
            <w:pPr>
              <w:jc w:val="center"/>
            </w:pPr>
            <w:r w:rsidRPr="00EC60CB">
              <w:t>Fuel Recovery Line Loss Multipliers</w:t>
            </w:r>
          </w:p>
        </w:tc>
      </w:tr>
      <w:tr w:rsidR="007F2B0B" w:rsidRPr="00EC60CB" w:rsidTr="007F2B0B">
        <w:tc>
          <w:tcPr>
            <w:tcW w:w="4068" w:type="dxa"/>
          </w:tcPr>
          <w:p w:rsidR="007F2B0B" w:rsidRPr="00EC60CB" w:rsidRDefault="007F2B0B" w:rsidP="007F2B0B">
            <w:pPr>
              <w:keepNext/>
              <w:keepLines/>
              <w:widowControl w:val="0"/>
              <w:tabs>
                <w:tab w:val="center" w:pos="6480"/>
              </w:tabs>
              <w:suppressAutoHyphens/>
              <w:jc w:val="center"/>
              <w:rPr>
                <w:bCs/>
              </w:rPr>
            </w:pPr>
            <w:r w:rsidRPr="00EC60CB">
              <w:rPr>
                <w:bCs/>
              </w:rPr>
              <w:t>Metering Voltage Schedule</w:t>
            </w:r>
          </w:p>
        </w:tc>
        <w:tc>
          <w:tcPr>
            <w:tcW w:w="4068" w:type="dxa"/>
          </w:tcPr>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EC60CB">
              <w:rPr>
                <w:bCs/>
              </w:rPr>
              <w:t>Line Loss Multiplier</w:t>
            </w:r>
          </w:p>
        </w:tc>
      </w:tr>
      <w:tr w:rsidR="007F2B0B" w:rsidRPr="00EC60CB" w:rsidTr="007F2B0B">
        <w:tc>
          <w:tcPr>
            <w:tcW w:w="4068" w:type="dxa"/>
          </w:tcPr>
          <w:p w:rsidR="007F2B0B" w:rsidRPr="00EC60CB" w:rsidRDefault="007F2B0B" w:rsidP="007F2B0B">
            <w:pPr>
              <w:keepNext/>
              <w:keepLines/>
              <w:widowControl w:val="0"/>
              <w:tabs>
                <w:tab w:val="center" w:pos="6480"/>
              </w:tabs>
              <w:suppressAutoHyphens/>
              <w:jc w:val="center"/>
              <w:rPr>
                <w:bCs/>
              </w:rPr>
            </w:pPr>
            <w:r w:rsidRPr="00EC60CB">
              <w:rPr>
                <w:bCs/>
              </w:rPr>
              <w:t>Distribution Secondary</w:t>
            </w:r>
          </w:p>
        </w:tc>
        <w:tc>
          <w:tcPr>
            <w:tcW w:w="4068" w:type="dxa"/>
          </w:tcPr>
          <w:p w:rsidR="007F2B0B" w:rsidRPr="00EC60CB" w:rsidRDefault="007F2B0B" w:rsidP="007F2B0B">
            <w:pPr>
              <w:keepNext/>
              <w:keepLines/>
              <w:widowControl w:val="0"/>
              <w:tabs>
                <w:tab w:val="center" w:pos="6480"/>
              </w:tabs>
              <w:suppressAutoHyphens/>
              <w:jc w:val="center"/>
              <w:rPr>
                <w:bCs/>
              </w:rPr>
            </w:pPr>
            <w:r w:rsidRPr="00EC60CB">
              <w:rPr>
                <w:bCs/>
              </w:rPr>
              <w:t>1.0000</w:t>
            </w:r>
          </w:p>
        </w:tc>
      </w:tr>
      <w:tr w:rsidR="007F2B0B" w:rsidRPr="00EC60CB" w:rsidTr="007F2B0B">
        <w:tc>
          <w:tcPr>
            <w:tcW w:w="4068" w:type="dxa"/>
          </w:tcPr>
          <w:p w:rsidR="007F2B0B" w:rsidRPr="00EC60CB" w:rsidRDefault="007F2B0B" w:rsidP="007F2B0B">
            <w:pPr>
              <w:keepNext/>
              <w:keepLines/>
              <w:widowControl w:val="0"/>
              <w:tabs>
                <w:tab w:val="center" w:pos="6480"/>
              </w:tabs>
              <w:suppressAutoHyphens/>
              <w:jc w:val="center"/>
              <w:rPr>
                <w:bCs/>
              </w:rPr>
            </w:pPr>
            <w:r w:rsidRPr="00EC60CB">
              <w:rPr>
                <w:bCs/>
              </w:rPr>
              <w:t>Distribution Primary</w:t>
            </w:r>
          </w:p>
        </w:tc>
        <w:tc>
          <w:tcPr>
            <w:tcW w:w="4068" w:type="dxa"/>
          </w:tcPr>
          <w:p w:rsidR="007F2B0B" w:rsidRPr="00EC60CB" w:rsidRDefault="007F2B0B" w:rsidP="007F2B0B">
            <w:pPr>
              <w:keepNext/>
              <w:keepLines/>
              <w:widowControl w:val="0"/>
              <w:tabs>
                <w:tab w:val="center" w:pos="6480"/>
              </w:tabs>
              <w:suppressAutoHyphens/>
              <w:jc w:val="center"/>
              <w:rPr>
                <w:bCs/>
              </w:rPr>
            </w:pPr>
            <w:r w:rsidRPr="00EC60CB">
              <w:rPr>
                <w:bCs/>
              </w:rPr>
              <w:t>0.9900</w:t>
            </w:r>
          </w:p>
        </w:tc>
      </w:tr>
      <w:tr w:rsidR="007F2B0B" w:rsidRPr="00EC60CB" w:rsidTr="007F2B0B">
        <w:tc>
          <w:tcPr>
            <w:tcW w:w="4068" w:type="dxa"/>
          </w:tcPr>
          <w:p w:rsidR="007F2B0B" w:rsidRPr="00EC60CB" w:rsidRDefault="007F2B0B" w:rsidP="007F2B0B">
            <w:pPr>
              <w:keepNext/>
              <w:keepLines/>
              <w:widowControl w:val="0"/>
              <w:tabs>
                <w:tab w:val="center" w:pos="6480"/>
              </w:tabs>
              <w:suppressAutoHyphens/>
              <w:jc w:val="center"/>
              <w:rPr>
                <w:bCs/>
              </w:rPr>
            </w:pPr>
            <w:r w:rsidRPr="00EC60CB">
              <w:rPr>
                <w:bCs/>
              </w:rPr>
              <w:t>Transmission</w:t>
            </w:r>
          </w:p>
        </w:tc>
        <w:tc>
          <w:tcPr>
            <w:tcW w:w="4068" w:type="dxa"/>
          </w:tcPr>
          <w:p w:rsidR="007F2B0B" w:rsidRPr="00EC60CB" w:rsidRDefault="007F2B0B" w:rsidP="007F2B0B">
            <w:pPr>
              <w:keepNext/>
              <w:keepLines/>
              <w:widowControl w:val="0"/>
              <w:tabs>
                <w:tab w:val="center" w:pos="6480"/>
              </w:tabs>
              <w:suppressAutoHyphens/>
              <w:jc w:val="center"/>
              <w:rPr>
                <w:bCs/>
              </w:rPr>
            </w:pPr>
            <w:r w:rsidRPr="00EC60CB">
              <w:rPr>
                <w:bCs/>
              </w:rPr>
              <w:t>0.9800</w:t>
            </w:r>
          </w:p>
        </w:tc>
      </w:tr>
      <w:tr w:rsidR="007F2B0B" w:rsidRPr="00EC60CB" w:rsidTr="007F2B0B">
        <w:tc>
          <w:tcPr>
            <w:tcW w:w="4068" w:type="dxa"/>
          </w:tcPr>
          <w:p w:rsidR="007F2B0B" w:rsidRPr="00EC60CB" w:rsidRDefault="007F2B0B" w:rsidP="007F2B0B">
            <w:pPr>
              <w:keepNext/>
              <w:keepLines/>
              <w:widowControl w:val="0"/>
              <w:tabs>
                <w:tab w:val="center" w:pos="6480"/>
              </w:tabs>
              <w:suppressAutoHyphens/>
              <w:jc w:val="center"/>
              <w:rPr>
                <w:bCs/>
              </w:rPr>
            </w:pPr>
            <w:r w:rsidRPr="00EC60CB">
              <w:rPr>
                <w:bCs/>
              </w:rPr>
              <w:t>Lighting Service</w:t>
            </w:r>
          </w:p>
        </w:tc>
        <w:tc>
          <w:tcPr>
            <w:tcW w:w="4068" w:type="dxa"/>
          </w:tcPr>
          <w:p w:rsidR="007F2B0B" w:rsidRPr="00EC60CB" w:rsidRDefault="007F2B0B" w:rsidP="007F2B0B">
            <w:pPr>
              <w:keepNext/>
              <w:keepLines/>
              <w:widowControl w:val="0"/>
              <w:tabs>
                <w:tab w:val="center" w:pos="6480"/>
              </w:tabs>
              <w:suppressAutoHyphens/>
              <w:jc w:val="center"/>
              <w:rPr>
                <w:bCs/>
              </w:rPr>
            </w:pPr>
            <w:r w:rsidRPr="00EC60CB">
              <w:rPr>
                <w:bCs/>
              </w:rPr>
              <w:t>1.0000</w:t>
            </w:r>
          </w:p>
        </w:tc>
      </w:tr>
    </w:tbl>
    <w:p w:rsidR="006C2CC3" w:rsidRDefault="006C2CC3" w:rsidP="006C2CC3">
      <w:pPr>
        <w:rPr>
          <w:bCs/>
        </w:rPr>
      </w:pPr>
    </w:p>
    <w:p w:rsidR="006C2CC3" w:rsidRDefault="006C2CC3" w:rsidP="006C2CC3">
      <w:pPr>
        <w:rPr>
          <w:bCs/>
        </w:rPr>
      </w:pPr>
    </w:p>
    <w:p w:rsidR="006C2CC3" w:rsidRDefault="006C2CC3" w:rsidP="006C2CC3">
      <w:pPr>
        <w:rPr>
          <w:bCs/>
        </w:rPr>
      </w:pPr>
      <w:r w:rsidRPr="00EC60CB">
        <w:rPr>
          <w:bCs/>
        </w:rPr>
        <w:t>ISSUE 23:</w:t>
      </w:r>
      <w:r w:rsidRPr="00EC60CB">
        <w:rPr>
          <w:bCs/>
        </w:rPr>
        <w:tab/>
        <w:t>The appropriate fuel cost recovery factors for each rate class/delivery voltage level class adjusted for line losses is</w:t>
      </w:r>
      <w:r>
        <w:rPr>
          <w:bCs/>
        </w:rPr>
        <w:t>:</w:t>
      </w:r>
    </w:p>
    <w:p w:rsidR="006C2CC3" w:rsidRDefault="006C2CC3" w:rsidP="006C2CC3">
      <w:pPr>
        <w:rPr>
          <w:bCs/>
        </w:rPr>
      </w:pPr>
    </w:p>
    <w:p w:rsidR="006C2CC3" w:rsidRDefault="006C2CC3" w:rsidP="006C2CC3">
      <w:r w:rsidRPr="00EC60CB">
        <w:rPr>
          <w:bCs/>
        </w:rPr>
        <w:t>:</w:t>
      </w:r>
      <w:r w:rsidRPr="00EC60CB">
        <w:tab/>
        <w:t>FPL:</w:t>
      </w:r>
      <w:r w:rsidRPr="00EC60CB">
        <w:tab/>
      </w:r>
      <w:r>
        <w:t xml:space="preserve">The tables </w:t>
      </w:r>
      <w:r w:rsidRPr="00EC60CB">
        <w:t>below (which also include the fuel recovery loss</w:t>
      </w:r>
      <w:r w:rsidRPr="00EC60CB">
        <w:tab/>
        <w:t>multiplier</w:t>
      </w:r>
      <w:r>
        <w:t xml:space="preserve"> </w:t>
      </w:r>
      <w:r w:rsidRPr="00EC60CB">
        <w:t>listed</w:t>
      </w:r>
      <w:r>
        <w:t xml:space="preserve"> in the preceeding stipulation for Issue 22). </w:t>
      </w:r>
    </w:p>
    <w:p w:rsidR="006C2CC3" w:rsidRDefault="006C2CC3" w:rsidP="006C2CC3">
      <w:pPr>
        <w:rPr>
          <w:bCs/>
        </w:rPr>
      </w:pPr>
    </w:p>
    <w:p w:rsidR="007F2B0B" w:rsidRPr="00EC60CB" w:rsidRDefault="006C2CC3" w:rsidP="006C2CC3">
      <w:r>
        <w:rPr>
          <w:bCs/>
        </w:rPr>
        <w:br w:type="page"/>
      </w:r>
      <w:r w:rsidR="007F2B0B" w:rsidRPr="00EC60CB">
        <w:rPr>
          <w:bCs/>
        </w:rPr>
        <w:lastRenderedPageBreak/>
        <w:t>:</w:t>
      </w:r>
      <w:r w:rsidR="007F2B0B" w:rsidRPr="00EC60CB">
        <w:tab/>
      </w:r>
      <w:r w:rsidR="007F2B0B">
        <w:rPr>
          <w:noProof/>
        </w:rPr>
        <w:drawing>
          <wp:inline distT="0" distB="0" distL="0" distR="0" wp14:anchorId="10234A00" wp14:editId="34DA922E">
            <wp:extent cx="4057650" cy="5419725"/>
            <wp:effectExtent l="0" t="0" r="0" b="952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5419725"/>
                    </a:xfrm>
                    <a:prstGeom prst="rect">
                      <a:avLst/>
                    </a:prstGeom>
                    <a:noFill/>
                    <a:ln>
                      <a:noFill/>
                    </a:ln>
                  </pic:spPr>
                </pic:pic>
              </a:graphicData>
            </a:graphic>
          </wp:inline>
        </w:drawing>
      </w:r>
    </w:p>
    <w:p w:rsidR="007F2B0B" w:rsidRDefault="007F2B0B" w:rsidP="007F2B0B">
      <w:pPr>
        <w:ind w:left="1440" w:hanging="720"/>
        <w:jc w:val="both"/>
      </w:pPr>
      <w:r>
        <w:rPr>
          <w:noProof/>
        </w:rPr>
        <w:lastRenderedPageBreak/>
        <w:drawing>
          <wp:inline distT="0" distB="0" distL="0" distR="0" wp14:anchorId="639B6A19" wp14:editId="5C42336C">
            <wp:extent cx="4600575" cy="2562225"/>
            <wp:effectExtent l="0" t="0" r="9525" b="95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0575" cy="2562225"/>
                    </a:xfrm>
                    <a:prstGeom prst="rect">
                      <a:avLst/>
                    </a:prstGeom>
                    <a:noFill/>
                    <a:ln>
                      <a:noFill/>
                    </a:ln>
                  </pic:spPr>
                </pic:pic>
              </a:graphicData>
            </a:graphic>
          </wp:inline>
        </w:drawing>
      </w:r>
    </w:p>
    <w:p w:rsidR="00677D9D" w:rsidRPr="00EC60CB" w:rsidRDefault="00677D9D" w:rsidP="007F2B0B">
      <w:pPr>
        <w:ind w:left="1440" w:hanging="720"/>
        <w:jc w:val="both"/>
      </w:pPr>
    </w:p>
    <w:p w:rsidR="007F2B0B" w:rsidRPr="00EC60CB" w:rsidRDefault="007F2B0B" w:rsidP="007F2B0B">
      <w:pPr>
        <w:ind w:left="1440" w:hanging="720"/>
        <w:jc w:val="both"/>
      </w:pPr>
      <w:r w:rsidRPr="00EC60CB">
        <w:lastRenderedPageBreak/>
        <w:tab/>
      </w:r>
      <w:r>
        <w:rPr>
          <w:noProof/>
        </w:rPr>
        <w:drawing>
          <wp:inline distT="0" distB="0" distL="0" distR="0" wp14:anchorId="76145707" wp14:editId="055BA7E6">
            <wp:extent cx="4010025" cy="5353050"/>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0025" cy="5353050"/>
                    </a:xfrm>
                    <a:prstGeom prst="rect">
                      <a:avLst/>
                    </a:prstGeom>
                    <a:noFill/>
                    <a:ln>
                      <a:noFill/>
                    </a:ln>
                  </pic:spPr>
                </pic:pic>
              </a:graphicData>
            </a:graphic>
          </wp:inline>
        </w:drawing>
      </w:r>
    </w:p>
    <w:p w:rsidR="007F2B0B" w:rsidRPr="00EC60CB" w:rsidRDefault="007F2B0B" w:rsidP="007F2B0B">
      <w:pPr>
        <w:ind w:left="1440" w:hanging="720"/>
        <w:jc w:val="both"/>
      </w:pPr>
    </w:p>
    <w:p w:rsidR="007F2B0B" w:rsidRPr="00EC60CB" w:rsidRDefault="007F2B0B" w:rsidP="007F2B0B">
      <w:pPr>
        <w:ind w:left="1440" w:hanging="720"/>
        <w:jc w:val="both"/>
      </w:pPr>
      <w:r>
        <w:rPr>
          <w:noProof/>
        </w:rPr>
        <w:drawing>
          <wp:inline distT="0" distB="0" distL="0" distR="0" wp14:anchorId="309419A6" wp14:editId="3CA8C1E2">
            <wp:extent cx="4057650" cy="154305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7650" cy="1543050"/>
                    </a:xfrm>
                    <a:prstGeom prst="rect">
                      <a:avLst/>
                    </a:prstGeom>
                    <a:noFill/>
                    <a:ln>
                      <a:noFill/>
                    </a:ln>
                  </pic:spPr>
                </pic:pic>
              </a:graphicData>
            </a:graphic>
          </wp:inline>
        </w:drawing>
      </w:r>
    </w:p>
    <w:p w:rsidR="007F2B0B" w:rsidRPr="00EC60CB" w:rsidRDefault="007F2B0B" w:rsidP="007F2B0B">
      <w:pPr>
        <w:ind w:left="1440" w:hanging="720"/>
        <w:jc w:val="both"/>
      </w:pPr>
    </w:p>
    <w:p w:rsidR="007F2B0B" w:rsidRPr="00EC60CB" w:rsidRDefault="007F2B0B" w:rsidP="007F2B0B">
      <w:pPr>
        <w:keepNext/>
        <w:keepLines/>
        <w:jc w:val="both"/>
      </w:pPr>
    </w:p>
    <w:p w:rsidR="007F2B0B" w:rsidRPr="00EC60CB" w:rsidRDefault="007F2B0B" w:rsidP="007F2B0B">
      <w:pPr>
        <w:keepNext/>
        <w:keepLines/>
        <w:jc w:val="both"/>
      </w:pPr>
      <w:r w:rsidRPr="00EC60CB">
        <w:tab/>
        <w:t>DEF</w:t>
      </w:r>
      <w:r w:rsidRPr="00392B7C">
        <w:t>:</w:t>
      </w:r>
      <w:r w:rsidRPr="00392B7C">
        <w:tab/>
      </w:r>
    </w:p>
    <w:p w:rsidR="007F2B0B" w:rsidRPr="00EC60CB" w:rsidRDefault="007F2B0B" w:rsidP="007F2B0B">
      <w:pPr>
        <w:keepNext/>
        <w:keepLines/>
        <w:ind w:left="720" w:hanging="720"/>
        <w:jc w:val="both"/>
      </w:pPr>
      <w:r w:rsidRPr="00EC60CB">
        <w:tab/>
      </w:r>
      <w:r w:rsidRPr="00EC60CB">
        <w:tab/>
      </w:r>
      <w:r w:rsidRPr="00EC60CB">
        <w:tab/>
      </w:r>
      <w:r w:rsidRPr="00EC60CB">
        <w:tab/>
      </w:r>
      <w:r w:rsidRPr="00EC60CB">
        <w:tab/>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566"/>
        <w:gridCol w:w="1225"/>
        <w:gridCol w:w="1384"/>
        <w:gridCol w:w="1271"/>
        <w:gridCol w:w="1176"/>
        <w:gridCol w:w="1216"/>
      </w:tblGrid>
      <w:tr w:rsidR="007F2B0B" w:rsidRPr="00EC60CB" w:rsidTr="007F2B0B">
        <w:tc>
          <w:tcPr>
            <w:tcW w:w="9788" w:type="dxa"/>
            <w:gridSpan w:val="7"/>
          </w:tcPr>
          <w:p w:rsidR="007F2B0B" w:rsidRPr="00EC60CB" w:rsidRDefault="007F2B0B" w:rsidP="007F2B0B">
            <w:pPr>
              <w:keepNext/>
              <w:keepLines/>
              <w:jc w:val="center"/>
            </w:pPr>
            <w:r w:rsidRPr="00EC60CB">
              <w:t>Fuel Cost Factors (cents/kWh)</w:t>
            </w:r>
          </w:p>
          <w:p w:rsidR="007F2B0B" w:rsidRPr="00EC60CB" w:rsidRDefault="007F2B0B" w:rsidP="007F2B0B">
            <w:pPr>
              <w:keepNext/>
              <w:keepLines/>
              <w:jc w:val="center"/>
            </w:pPr>
            <w:r w:rsidRPr="00EC60CB">
              <w:t>GSD-1, GSDT-1, SS-1, CS-1, CST-1, CS-2, CST-2, CS-3, CST-3, SS-3, IS-1, IST-1, IS-2, IST-2, SS-2, LS-1</w:t>
            </w:r>
          </w:p>
        </w:tc>
      </w:tr>
      <w:tr w:rsidR="007F2B0B" w:rsidRPr="00EC60CB" w:rsidTr="007F2B0B">
        <w:tc>
          <w:tcPr>
            <w:tcW w:w="7396" w:type="dxa"/>
            <w:gridSpan w:val="5"/>
          </w:tcPr>
          <w:p w:rsidR="007F2B0B" w:rsidRPr="00EC60CB" w:rsidRDefault="007F2B0B" w:rsidP="007F2B0B">
            <w:pPr>
              <w:keepNext/>
              <w:keepLines/>
              <w:jc w:val="both"/>
            </w:pPr>
          </w:p>
        </w:tc>
        <w:tc>
          <w:tcPr>
            <w:tcW w:w="2392" w:type="dxa"/>
            <w:gridSpan w:val="2"/>
          </w:tcPr>
          <w:p w:rsidR="007F2B0B" w:rsidRPr="00EC60CB" w:rsidRDefault="007F2B0B" w:rsidP="007F2B0B">
            <w:pPr>
              <w:keepNext/>
              <w:keepLines/>
              <w:jc w:val="both"/>
            </w:pPr>
            <w:r w:rsidRPr="00EC60CB">
              <w:t>Time of Use</w:t>
            </w:r>
          </w:p>
        </w:tc>
      </w:tr>
      <w:tr w:rsidR="007F2B0B" w:rsidRPr="00EC60CB" w:rsidTr="007F2B0B">
        <w:tc>
          <w:tcPr>
            <w:tcW w:w="950" w:type="dxa"/>
          </w:tcPr>
          <w:p w:rsidR="007F2B0B" w:rsidRPr="00EC60CB" w:rsidRDefault="007F2B0B" w:rsidP="007F2B0B">
            <w:pPr>
              <w:keepNext/>
              <w:keepLines/>
              <w:jc w:val="both"/>
            </w:pPr>
            <w:r w:rsidRPr="00EC60CB">
              <w:t>Group</w:t>
            </w:r>
          </w:p>
        </w:tc>
        <w:tc>
          <w:tcPr>
            <w:tcW w:w="2566" w:type="dxa"/>
          </w:tcPr>
          <w:p w:rsidR="007F2B0B" w:rsidRPr="00EC60CB" w:rsidRDefault="007F2B0B" w:rsidP="007F2B0B">
            <w:pPr>
              <w:keepNext/>
              <w:keepLines/>
              <w:jc w:val="center"/>
            </w:pPr>
            <w:r w:rsidRPr="00EC60CB">
              <w:t>Delivery</w:t>
            </w:r>
          </w:p>
          <w:p w:rsidR="007F2B0B" w:rsidRPr="00EC60CB" w:rsidRDefault="007F2B0B" w:rsidP="007F2B0B">
            <w:pPr>
              <w:keepNext/>
              <w:keepLines/>
              <w:jc w:val="center"/>
            </w:pPr>
            <w:r w:rsidRPr="00EC60CB">
              <w:t>Voltage Level</w:t>
            </w:r>
          </w:p>
        </w:tc>
        <w:tc>
          <w:tcPr>
            <w:tcW w:w="1225" w:type="dxa"/>
          </w:tcPr>
          <w:p w:rsidR="007F2B0B" w:rsidRPr="00EC60CB" w:rsidRDefault="007F2B0B" w:rsidP="007F2B0B">
            <w:pPr>
              <w:keepNext/>
              <w:keepLines/>
              <w:jc w:val="center"/>
            </w:pPr>
            <w:r w:rsidRPr="00EC60CB">
              <w:t>First Tier</w:t>
            </w:r>
          </w:p>
          <w:p w:rsidR="007F2B0B" w:rsidRPr="00EC60CB" w:rsidRDefault="007F2B0B" w:rsidP="007F2B0B">
            <w:pPr>
              <w:keepNext/>
              <w:keepLines/>
              <w:jc w:val="center"/>
            </w:pPr>
            <w:r w:rsidRPr="00EC60CB">
              <w:t>Factor</w:t>
            </w:r>
          </w:p>
        </w:tc>
        <w:tc>
          <w:tcPr>
            <w:tcW w:w="1384" w:type="dxa"/>
          </w:tcPr>
          <w:p w:rsidR="007F2B0B" w:rsidRPr="00EC60CB" w:rsidRDefault="007F2B0B" w:rsidP="007F2B0B">
            <w:pPr>
              <w:keepNext/>
              <w:keepLines/>
              <w:jc w:val="center"/>
            </w:pPr>
            <w:r w:rsidRPr="00EC60CB">
              <w:t>Second Tier</w:t>
            </w:r>
          </w:p>
          <w:p w:rsidR="007F2B0B" w:rsidRPr="00EC60CB" w:rsidRDefault="007F2B0B" w:rsidP="007F2B0B">
            <w:pPr>
              <w:keepNext/>
              <w:keepLines/>
              <w:jc w:val="center"/>
            </w:pPr>
            <w:r w:rsidRPr="00EC60CB">
              <w:t>Factors</w:t>
            </w:r>
          </w:p>
        </w:tc>
        <w:tc>
          <w:tcPr>
            <w:tcW w:w="1271" w:type="dxa"/>
          </w:tcPr>
          <w:p w:rsidR="007F2B0B" w:rsidRPr="00EC60CB" w:rsidRDefault="007F2B0B" w:rsidP="007F2B0B">
            <w:pPr>
              <w:keepNext/>
              <w:keepLines/>
              <w:jc w:val="center"/>
            </w:pPr>
            <w:r w:rsidRPr="00EC60CB">
              <w:t>Levelized</w:t>
            </w:r>
          </w:p>
          <w:p w:rsidR="007F2B0B" w:rsidRPr="00EC60CB" w:rsidRDefault="007F2B0B" w:rsidP="007F2B0B">
            <w:pPr>
              <w:keepNext/>
              <w:keepLines/>
              <w:jc w:val="center"/>
            </w:pPr>
            <w:r w:rsidRPr="00EC60CB">
              <w:t>Factors</w:t>
            </w:r>
          </w:p>
        </w:tc>
        <w:tc>
          <w:tcPr>
            <w:tcW w:w="1176" w:type="dxa"/>
          </w:tcPr>
          <w:p w:rsidR="007F2B0B" w:rsidRPr="00EC60CB" w:rsidRDefault="007F2B0B" w:rsidP="007F2B0B">
            <w:pPr>
              <w:keepNext/>
              <w:keepLines/>
              <w:jc w:val="center"/>
            </w:pPr>
            <w:r w:rsidRPr="00EC60CB">
              <w:t>On-Peak</w:t>
            </w:r>
          </w:p>
        </w:tc>
        <w:tc>
          <w:tcPr>
            <w:tcW w:w="1216" w:type="dxa"/>
          </w:tcPr>
          <w:p w:rsidR="007F2B0B" w:rsidRPr="00EC60CB" w:rsidRDefault="007F2B0B" w:rsidP="007F2B0B">
            <w:pPr>
              <w:keepNext/>
              <w:keepLines/>
              <w:jc w:val="center"/>
            </w:pPr>
            <w:r w:rsidRPr="00EC60CB">
              <w:t>Off-Peak</w:t>
            </w:r>
          </w:p>
        </w:tc>
      </w:tr>
      <w:tr w:rsidR="007F2B0B" w:rsidRPr="00EC60CB" w:rsidTr="007F2B0B">
        <w:tc>
          <w:tcPr>
            <w:tcW w:w="950" w:type="dxa"/>
          </w:tcPr>
          <w:p w:rsidR="007F2B0B" w:rsidRPr="00EC60CB" w:rsidRDefault="007F2B0B" w:rsidP="007F2B0B">
            <w:pPr>
              <w:keepNext/>
              <w:keepLines/>
              <w:jc w:val="both"/>
            </w:pPr>
            <w:r w:rsidRPr="00EC60CB">
              <w:t>A</w:t>
            </w:r>
          </w:p>
        </w:tc>
        <w:tc>
          <w:tcPr>
            <w:tcW w:w="2566" w:type="dxa"/>
          </w:tcPr>
          <w:p w:rsidR="007F2B0B" w:rsidRPr="00EC60CB" w:rsidRDefault="007F2B0B" w:rsidP="007F2B0B">
            <w:pPr>
              <w:keepNext/>
              <w:keepLines/>
            </w:pPr>
            <w:r w:rsidRPr="00EC60CB">
              <w:t>Transmission</w:t>
            </w:r>
          </w:p>
        </w:tc>
        <w:tc>
          <w:tcPr>
            <w:tcW w:w="1225" w:type="dxa"/>
          </w:tcPr>
          <w:p w:rsidR="007F2B0B" w:rsidRPr="00EC60CB" w:rsidRDefault="007F2B0B" w:rsidP="007F2B0B">
            <w:pPr>
              <w:keepNext/>
              <w:keepLines/>
              <w:jc w:val="center"/>
            </w:pPr>
            <w:r w:rsidRPr="00EC60CB">
              <w:t>--</w:t>
            </w:r>
          </w:p>
        </w:tc>
        <w:tc>
          <w:tcPr>
            <w:tcW w:w="1384" w:type="dxa"/>
          </w:tcPr>
          <w:p w:rsidR="007F2B0B" w:rsidRPr="00EC60CB" w:rsidRDefault="007F2B0B" w:rsidP="007F2B0B">
            <w:pPr>
              <w:keepNext/>
              <w:keepLines/>
              <w:jc w:val="center"/>
            </w:pPr>
            <w:r w:rsidRPr="00EC60CB">
              <w:t>--</w:t>
            </w:r>
          </w:p>
        </w:tc>
        <w:tc>
          <w:tcPr>
            <w:tcW w:w="1271" w:type="dxa"/>
          </w:tcPr>
          <w:p w:rsidR="007F2B0B" w:rsidRPr="00EC60CB" w:rsidRDefault="007F2B0B" w:rsidP="007F2B0B">
            <w:pPr>
              <w:keepNext/>
              <w:keepLines/>
              <w:jc w:val="center"/>
            </w:pPr>
            <w:r w:rsidRPr="00EC60CB">
              <w:t xml:space="preserve">3.608 </w:t>
            </w:r>
          </w:p>
        </w:tc>
        <w:tc>
          <w:tcPr>
            <w:tcW w:w="1176" w:type="dxa"/>
          </w:tcPr>
          <w:p w:rsidR="007F2B0B" w:rsidRPr="00EC60CB" w:rsidRDefault="007F2B0B" w:rsidP="007F2B0B">
            <w:pPr>
              <w:keepNext/>
              <w:keepLines/>
              <w:jc w:val="center"/>
            </w:pPr>
            <w:r w:rsidRPr="00EC60CB">
              <w:t>4.860</w:t>
            </w:r>
          </w:p>
        </w:tc>
        <w:tc>
          <w:tcPr>
            <w:tcW w:w="1216" w:type="dxa"/>
          </w:tcPr>
          <w:p w:rsidR="007F2B0B" w:rsidRPr="00EC60CB" w:rsidRDefault="007F2B0B" w:rsidP="007F2B0B">
            <w:pPr>
              <w:keepNext/>
              <w:keepLines/>
              <w:jc w:val="center"/>
            </w:pPr>
            <w:r w:rsidRPr="00EC60CB">
              <w:t>3.034</w:t>
            </w:r>
          </w:p>
        </w:tc>
      </w:tr>
      <w:tr w:rsidR="007F2B0B" w:rsidRPr="00EC60CB" w:rsidTr="007F2B0B">
        <w:tc>
          <w:tcPr>
            <w:tcW w:w="950" w:type="dxa"/>
          </w:tcPr>
          <w:p w:rsidR="007F2B0B" w:rsidRPr="00EC60CB" w:rsidRDefault="007F2B0B" w:rsidP="007F2B0B">
            <w:pPr>
              <w:keepNext/>
              <w:keepLines/>
              <w:jc w:val="both"/>
            </w:pPr>
            <w:r w:rsidRPr="00EC60CB">
              <w:t>B</w:t>
            </w:r>
          </w:p>
        </w:tc>
        <w:tc>
          <w:tcPr>
            <w:tcW w:w="2566" w:type="dxa"/>
          </w:tcPr>
          <w:p w:rsidR="007F2B0B" w:rsidRPr="00EC60CB" w:rsidRDefault="007F2B0B" w:rsidP="007F2B0B">
            <w:pPr>
              <w:keepNext/>
              <w:keepLines/>
            </w:pPr>
            <w:r w:rsidRPr="00EC60CB">
              <w:t>Distribution Primary</w:t>
            </w:r>
          </w:p>
        </w:tc>
        <w:tc>
          <w:tcPr>
            <w:tcW w:w="1225" w:type="dxa"/>
          </w:tcPr>
          <w:p w:rsidR="007F2B0B" w:rsidRPr="00EC60CB" w:rsidRDefault="007F2B0B" w:rsidP="007F2B0B">
            <w:pPr>
              <w:keepNext/>
              <w:keepLines/>
              <w:jc w:val="center"/>
            </w:pPr>
            <w:r w:rsidRPr="00EC60CB">
              <w:t>--</w:t>
            </w:r>
          </w:p>
        </w:tc>
        <w:tc>
          <w:tcPr>
            <w:tcW w:w="1384" w:type="dxa"/>
          </w:tcPr>
          <w:p w:rsidR="007F2B0B" w:rsidRPr="00EC60CB" w:rsidRDefault="007F2B0B" w:rsidP="007F2B0B">
            <w:pPr>
              <w:keepNext/>
              <w:keepLines/>
              <w:jc w:val="center"/>
            </w:pPr>
            <w:r w:rsidRPr="00EC60CB">
              <w:t>--</w:t>
            </w:r>
          </w:p>
        </w:tc>
        <w:tc>
          <w:tcPr>
            <w:tcW w:w="1271" w:type="dxa"/>
          </w:tcPr>
          <w:p w:rsidR="007F2B0B" w:rsidRPr="00EC60CB" w:rsidRDefault="007F2B0B" w:rsidP="007F2B0B">
            <w:pPr>
              <w:keepNext/>
              <w:keepLines/>
              <w:jc w:val="center"/>
            </w:pPr>
            <w:r w:rsidRPr="00EC60CB">
              <w:t>3.645</w:t>
            </w:r>
          </w:p>
        </w:tc>
        <w:tc>
          <w:tcPr>
            <w:tcW w:w="1176" w:type="dxa"/>
          </w:tcPr>
          <w:p w:rsidR="007F2B0B" w:rsidRPr="00EC60CB" w:rsidRDefault="007F2B0B" w:rsidP="007F2B0B">
            <w:pPr>
              <w:keepNext/>
              <w:keepLines/>
              <w:jc w:val="center"/>
            </w:pPr>
            <w:r w:rsidRPr="00EC60CB">
              <w:t>4.910</w:t>
            </w:r>
          </w:p>
        </w:tc>
        <w:tc>
          <w:tcPr>
            <w:tcW w:w="1216" w:type="dxa"/>
          </w:tcPr>
          <w:p w:rsidR="007F2B0B" w:rsidRPr="00EC60CB" w:rsidRDefault="007F2B0B" w:rsidP="007F2B0B">
            <w:pPr>
              <w:keepNext/>
              <w:keepLines/>
              <w:jc w:val="center"/>
            </w:pPr>
            <w:r w:rsidRPr="00EC60CB">
              <w:t>3.065</w:t>
            </w:r>
          </w:p>
        </w:tc>
      </w:tr>
      <w:tr w:rsidR="007F2B0B" w:rsidRPr="00EC60CB" w:rsidTr="007F2B0B">
        <w:tc>
          <w:tcPr>
            <w:tcW w:w="950" w:type="dxa"/>
          </w:tcPr>
          <w:p w:rsidR="007F2B0B" w:rsidRPr="00EC60CB" w:rsidRDefault="007F2B0B" w:rsidP="007F2B0B">
            <w:pPr>
              <w:keepNext/>
              <w:keepLines/>
              <w:jc w:val="both"/>
            </w:pPr>
            <w:r w:rsidRPr="00EC60CB">
              <w:t>C</w:t>
            </w:r>
          </w:p>
        </w:tc>
        <w:tc>
          <w:tcPr>
            <w:tcW w:w="2566" w:type="dxa"/>
          </w:tcPr>
          <w:p w:rsidR="007F2B0B" w:rsidRPr="00EC60CB" w:rsidRDefault="007F2B0B" w:rsidP="007F2B0B">
            <w:pPr>
              <w:keepNext/>
              <w:keepLines/>
            </w:pPr>
            <w:r w:rsidRPr="00EC60CB">
              <w:t>Distribution Secondary</w:t>
            </w:r>
          </w:p>
        </w:tc>
        <w:tc>
          <w:tcPr>
            <w:tcW w:w="1225" w:type="dxa"/>
          </w:tcPr>
          <w:p w:rsidR="007F2B0B" w:rsidRPr="00EC60CB" w:rsidRDefault="007F2B0B" w:rsidP="007F2B0B">
            <w:pPr>
              <w:keepNext/>
              <w:keepLines/>
              <w:jc w:val="center"/>
            </w:pPr>
            <w:r w:rsidRPr="00EC60CB">
              <w:t>--</w:t>
            </w:r>
          </w:p>
        </w:tc>
        <w:tc>
          <w:tcPr>
            <w:tcW w:w="1384" w:type="dxa"/>
          </w:tcPr>
          <w:p w:rsidR="007F2B0B" w:rsidRPr="00EC60CB" w:rsidRDefault="007F2B0B" w:rsidP="007F2B0B">
            <w:pPr>
              <w:keepNext/>
              <w:keepLines/>
              <w:jc w:val="center"/>
            </w:pPr>
            <w:r w:rsidRPr="00EC60CB">
              <w:t>--</w:t>
            </w:r>
          </w:p>
        </w:tc>
        <w:tc>
          <w:tcPr>
            <w:tcW w:w="1271" w:type="dxa"/>
          </w:tcPr>
          <w:p w:rsidR="007F2B0B" w:rsidRPr="00EC60CB" w:rsidRDefault="007F2B0B" w:rsidP="007F2B0B">
            <w:pPr>
              <w:keepNext/>
              <w:keepLines/>
              <w:jc w:val="center"/>
            </w:pPr>
            <w:r w:rsidRPr="00EC60CB">
              <w:t>3.682</w:t>
            </w:r>
          </w:p>
        </w:tc>
        <w:tc>
          <w:tcPr>
            <w:tcW w:w="1176" w:type="dxa"/>
          </w:tcPr>
          <w:p w:rsidR="007F2B0B" w:rsidRPr="00EC60CB" w:rsidRDefault="007F2B0B" w:rsidP="007F2B0B">
            <w:pPr>
              <w:keepNext/>
              <w:keepLines/>
              <w:jc w:val="center"/>
            </w:pPr>
            <w:r w:rsidRPr="00EC60CB">
              <w:t>4.960</w:t>
            </w:r>
          </w:p>
        </w:tc>
        <w:tc>
          <w:tcPr>
            <w:tcW w:w="1216" w:type="dxa"/>
          </w:tcPr>
          <w:p w:rsidR="007F2B0B" w:rsidRPr="00EC60CB" w:rsidRDefault="007F2B0B" w:rsidP="007F2B0B">
            <w:pPr>
              <w:keepNext/>
              <w:keepLines/>
              <w:jc w:val="center"/>
            </w:pPr>
            <w:r w:rsidRPr="00EC60CB">
              <w:t>3.097</w:t>
            </w:r>
          </w:p>
        </w:tc>
      </w:tr>
      <w:tr w:rsidR="007F2B0B" w:rsidRPr="00EC60CB" w:rsidTr="007F2B0B">
        <w:tc>
          <w:tcPr>
            <w:tcW w:w="950" w:type="dxa"/>
          </w:tcPr>
          <w:p w:rsidR="007F2B0B" w:rsidRPr="00EC60CB" w:rsidRDefault="007F2B0B" w:rsidP="007F2B0B">
            <w:pPr>
              <w:keepNext/>
              <w:keepLines/>
              <w:jc w:val="both"/>
            </w:pPr>
            <w:r w:rsidRPr="00EC60CB">
              <w:t>D</w:t>
            </w:r>
          </w:p>
        </w:tc>
        <w:tc>
          <w:tcPr>
            <w:tcW w:w="2566" w:type="dxa"/>
          </w:tcPr>
          <w:p w:rsidR="007F2B0B" w:rsidRPr="00EC60CB" w:rsidRDefault="007F2B0B" w:rsidP="007F2B0B">
            <w:pPr>
              <w:keepNext/>
              <w:keepLines/>
            </w:pPr>
            <w:r w:rsidRPr="00EC60CB">
              <w:t>Lighting Secondary</w:t>
            </w:r>
          </w:p>
        </w:tc>
        <w:tc>
          <w:tcPr>
            <w:tcW w:w="1225" w:type="dxa"/>
          </w:tcPr>
          <w:p w:rsidR="007F2B0B" w:rsidRPr="00EC60CB" w:rsidRDefault="007F2B0B" w:rsidP="007F2B0B">
            <w:pPr>
              <w:keepNext/>
              <w:keepLines/>
              <w:jc w:val="center"/>
            </w:pPr>
            <w:r w:rsidRPr="00EC60CB">
              <w:t>--</w:t>
            </w:r>
          </w:p>
        </w:tc>
        <w:tc>
          <w:tcPr>
            <w:tcW w:w="1384" w:type="dxa"/>
          </w:tcPr>
          <w:p w:rsidR="007F2B0B" w:rsidRPr="00EC60CB" w:rsidRDefault="007F2B0B" w:rsidP="007F2B0B">
            <w:pPr>
              <w:keepNext/>
              <w:keepLines/>
              <w:jc w:val="center"/>
            </w:pPr>
            <w:r w:rsidRPr="00EC60CB">
              <w:t>--</w:t>
            </w:r>
          </w:p>
        </w:tc>
        <w:tc>
          <w:tcPr>
            <w:tcW w:w="1271" w:type="dxa"/>
          </w:tcPr>
          <w:p w:rsidR="007F2B0B" w:rsidRPr="00EC60CB" w:rsidRDefault="007F2B0B" w:rsidP="007F2B0B">
            <w:pPr>
              <w:keepNext/>
              <w:keepLines/>
              <w:jc w:val="center"/>
            </w:pPr>
            <w:r w:rsidRPr="00EC60CB">
              <w:t>3.445</w:t>
            </w:r>
          </w:p>
        </w:tc>
        <w:tc>
          <w:tcPr>
            <w:tcW w:w="1176" w:type="dxa"/>
          </w:tcPr>
          <w:p w:rsidR="007F2B0B" w:rsidRPr="00EC60CB" w:rsidRDefault="007F2B0B" w:rsidP="007F2B0B">
            <w:pPr>
              <w:keepNext/>
              <w:keepLines/>
              <w:jc w:val="center"/>
            </w:pPr>
            <w:r w:rsidRPr="00EC60CB">
              <w:t>--</w:t>
            </w:r>
          </w:p>
        </w:tc>
        <w:tc>
          <w:tcPr>
            <w:tcW w:w="1216" w:type="dxa"/>
          </w:tcPr>
          <w:p w:rsidR="007F2B0B" w:rsidRPr="00EC60CB" w:rsidRDefault="007F2B0B" w:rsidP="007F2B0B">
            <w:pPr>
              <w:keepNext/>
              <w:keepLines/>
              <w:jc w:val="center"/>
            </w:pPr>
            <w:r w:rsidRPr="00EC60CB">
              <w:t>--</w:t>
            </w:r>
          </w:p>
        </w:tc>
      </w:tr>
    </w:tbl>
    <w:p w:rsidR="007F2B0B" w:rsidRDefault="007F2B0B" w:rsidP="007F2B0B">
      <w:pPr>
        <w:ind w:left="720" w:hanging="720"/>
        <w:jc w:val="both"/>
      </w:pPr>
      <w:r w:rsidRPr="00EC60CB">
        <w:fldChar w:fldCharType="begin"/>
      </w:r>
      <w:r w:rsidRPr="00EC60CB">
        <w:instrText>ADVANCE \u3</w:instrText>
      </w:r>
      <w:r w:rsidRPr="00EC60CB">
        <w:fldChar w:fldCharType="end"/>
      </w:r>
      <w:r w:rsidR="00677D9D" w:rsidRPr="00EC60CB">
        <w:t xml:space="preserve"> </w:t>
      </w:r>
    </w:p>
    <w:p w:rsidR="00721725" w:rsidRDefault="00721725" w:rsidP="007F2B0B">
      <w:pPr>
        <w:ind w:left="720" w:hanging="720"/>
        <w:jc w:val="both"/>
      </w:pPr>
    </w:p>
    <w:p w:rsidR="00721725" w:rsidRPr="00EC60CB" w:rsidRDefault="00721725" w:rsidP="007F2B0B">
      <w:pPr>
        <w:ind w:left="720" w:hanging="720"/>
        <w:jc w:val="both"/>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566"/>
        <w:gridCol w:w="1225"/>
        <w:gridCol w:w="1384"/>
        <w:gridCol w:w="1271"/>
        <w:gridCol w:w="1176"/>
        <w:gridCol w:w="1216"/>
      </w:tblGrid>
      <w:tr w:rsidR="007F2B0B" w:rsidRPr="00EC60CB" w:rsidTr="007F2B0B">
        <w:tc>
          <w:tcPr>
            <w:tcW w:w="9788" w:type="dxa"/>
            <w:gridSpan w:val="7"/>
          </w:tcPr>
          <w:p w:rsidR="007F2B0B" w:rsidRPr="00EC60CB" w:rsidRDefault="007F2B0B" w:rsidP="007F2B0B">
            <w:pPr>
              <w:jc w:val="center"/>
            </w:pPr>
            <w:r w:rsidRPr="00EC60CB">
              <w:t>Fuel Cost Factors (cents/kWh)</w:t>
            </w:r>
          </w:p>
          <w:p w:rsidR="007F2B0B" w:rsidRPr="00EC60CB" w:rsidRDefault="007F2B0B" w:rsidP="007F2B0B">
            <w:pPr>
              <w:jc w:val="center"/>
            </w:pPr>
            <w:r w:rsidRPr="00EC60CB">
              <w:t>RS-1, RST-1, RSL-1, RSL-2, RSS-1</w:t>
            </w:r>
          </w:p>
        </w:tc>
      </w:tr>
      <w:tr w:rsidR="007F2B0B" w:rsidRPr="00EC60CB" w:rsidTr="007F2B0B">
        <w:tc>
          <w:tcPr>
            <w:tcW w:w="7396" w:type="dxa"/>
            <w:gridSpan w:val="5"/>
          </w:tcPr>
          <w:p w:rsidR="007F2B0B" w:rsidRPr="00EC60CB" w:rsidRDefault="007F2B0B" w:rsidP="007F2B0B">
            <w:pPr>
              <w:jc w:val="both"/>
            </w:pPr>
          </w:p>
        </w:tc>
        <w:tc>
          <w:tcPr>
            <w:tcW w:w="2392" w:type="dxa"/>
            <w:gridSpan w:val="2"/>
          </w:tcPr>
          <w:p w:rsidR="007F2B0B" w:rsidRPr="00EC60CB" w:rsidRDefault="007F2B0B" w:rsidP="007F2B0B">
            <w:pPr>
              <w:jc w:val="both"/>
            </w:pPr>
            <w:r w:rsidRPr="00EC60CB">
              <w:t>Time of Use</w:t>
            </w:r>
          </w:p>
        </w:tc>
      </w:tr>
      <w:tr w:rsidR="007F2B0B" w:rsidRPr="00EC60CB" w:rsidTr="007F2B0B">
        <w:tc>
          <w:tcPr>
            <w:tcW w:w="950" w:type="dxa"/>
          </w:tcPr>
          <w:p w:rsidR="007F2B0B" w:rsidRPr="00EC60CB" w:rsidRDefault="007F2B0B" w:rsidP="007F2B0B">
            <w:pPr>
              <w:jc w:val="both"/>
            </w:pPr>
            <w:r w:rsidRPr="00EC60CB">
              <w:t>Group</w:t>
            </w:r>
          </w:p>
        </w:tc>
        <w:tc>
          <w:tcPr>
            <w:tcW w:w="2566" w:type="dxa"/>
          </w:tcPr>
          <w:p w:rsidR="007F2B0B" w:rsidRPr="00EC60CB" w:rsidRDefault="007F2B0B" w:rsidP="007F2B0B">
            <w:pPr>
              <w:jc w:val="center"/>
            </w:pPr>
            <w:r w:rsidRPr="00EC60CB">
              <w:t>Delivery</w:t>
            </w:r>
          </w:p>
          <w:p w:rsidR="007F2B0B" w:rsidRPr="00EC60CB" w:rsidRDefault="007F2B0B" w:rsidP="007F2B0B">
            <w:pPr>
              <w:jc w:val="center"/>
            </w:pPr>
            <w:r w:rsidRPr="00EC60CB">
              <w:t>Voltage Level</w:t>
            </w:r>
          </w:p>
        </w:tc>
        <w:tc>
          <w:tcPr>
            <w:tcW w:w="1225" w:type="dxa"/>
          </w:tcPr>
          <w:p w:rsidR="007F2B0B" w:rsidRPr="00EC60CB" w:rsidRDefault="007F2B0B" w:rsidP="007F2B0B">
            <w:pPr>
              <w:jc w:val="center"/>
            </w:pPr>
            <w:r w:rsidRPr="00EC60CB">
              <w:t>First Tier</w:t>
            </w:r>
          </w:p>
          <w:p w:rsidR="007F2B0B" w:rsidRPr="00EC60CB" w:rsidRDefault="007F2B0B" w:rsidP="007F2B0B">
            <w:pPr>
              <w:jc w:val="center"/>
            </w:pPr>
            <w:r w:rsidRPr="00EC60CB">
              <w:t>Factor</w:t>
            </w:r>
          </w:p>
        </w:tc>
        <w:tc>
          <w:tcPr>
            <w:tcW w:w="1384" w:type="dxa"/>
          </w:tcPr>
          <w:p w:rsidR="007F2B0B" w:rsidRPr="00EC60CB" w:rsidRDefault="007F2B0B" w:rsidP="007F2B0B">
            <w:pPr>
              <w:jc w:val="center"/>
            </w:pPr>
            <w:r w:rsidRPr="00EC60CB">
              <w:t>Second Tier</w:t>
            </w:r>
          </w:p>
          <w:p w:rsidR="007F2B0B" w:rsidRPr="00EC60CB" w:rsidRDefault="007F2B0B" w:rsidP="007F2B0B">
            <w:pPr>
              <w:jc w:val="center"/>
            </w:pPr>
            <w:r w:rsidRPr="00EC60CB">
              <w:t>Factors</w:t>
            </w:r>
          </w:p>
        </w:tc>
        <w:tc>
          <w:tcPr>
            <w:tcW w:w="1271" w:type="dxa"/>
          </w:tcPr>
          <w:p w:rsidR="007F2B0B" w:rsidRPr="00EC60CB" w:rsidRDefault="007F2B0B" w:rsidP="007F2B0B">
            <w:pPr>
              <w:jc w:val="center"/>
            </w:pPr>
            <w:r w:rsidRPr="00EC60CB">
              <w:t>Levelized</w:t>
            </w:r>
          </w:p>
          <w:p w:rsidR="007F2B0B" w:rsidRPr="00EC60CB" w:rsidRDefault="007F2B0B" w:rsidP="007F2B0B">
            <w:pPr>
              <w:jc w:val="center"/>
            </w:pPr>
            <w:r w:rsidRPr="00EC60CB">
              <w:t>Factors</w:t>
            </w:r>
          </w:p>
        </w:tc>
        <w:tc>
          <w:tcPr>
            <w:tcW w:w="1176" w:type="dxa"/>
          </w:tcPr>
          <w:p w:rsidR="007F2B0B" w:rsidRPr="00EC60CB" w:rsidRDefault="007F2B0B" w:rsidP="007F2B0B">
            <w:pPr>
              <w:jc w:val="center"/>
            </w:pPr>
            <w:r w:rsidRPr="00EC60CB">
              <w:t>On-Peak</w:t>
            </w:r>
          </w:p>
        </w:tc>
        <w:tc>
          <w:tcPr>
            <w:tcW w:w="1216" w:type="dxa"/>
          </w:tcPr>
          <w:p w:rsidR="007F2B0B" w:rsidRPr="00EC60CB" w:rsidRDefault="007F2B0B" w:rsidP="007F2B0B">
            <w:pPr>
              <w:jc w:val="center"/>
            </w:pPr>
            <w:r w:rsidRPr="00EC60CB">
              <w:t>Off-Peak</w:t>
            </w:r>
          </w:p>
        </w:tc>
      </w:tr>
      <w:tr w:rsidR="007F2B0B" w:rsidRPr="00EC60CB" w:rsidTr="007F2B0B">
        <w:tc>
          <w:tcPr>
            <w:tcW w:w="950" w:type="dxa"/>
          </w:tcPr>
          <w:p w:rsidR="007F2B0B" w:rsidRPr="00EC60CB" w:rsidRDefault="007F2B0B" w:rsidP="007F2B0B">
            <w:pPr>
              <w:jc w:val="both"/>
            </w:pPr>
            <w:r w:rsidRPr="00EC60CB">
              <w:t>C</w:t>
            </w:r>
          </w:p>
        </w:tc>
        <w:tc>
          <w:tcPr>
            <w:tcW w:w="2566" w:type="dxa"/>
          </w:tcPr>
          <w:p w:rsidR="007F2B0B" w:rsidRPr="00EC60CB" w:rsidRDefault="007F2B0B" w:rsidP="007F2B0B">
            <w:r w:rsidRPr="00EC60CB">
              <w:t>Distribution Secondary</w:t>
            </w:r>
          </w:p>
        </w:tc>
        <w:tc>
          <w:tcPr>
            <w:tcW w:w="1225" w:type="dxa"/>
          </w:tcPr>
          <w:p w:rsidR="007F2B0B" w:rsidRPr="00EC60CB" w:rsidRDefault="007F2B0B" w:rsidP="007F2B0B">
            <w:pPr>
              <w:jc w:val="center"/>
            </w:pPr>
            <w:r w:rsidRPr="00EC60CB">
              <w:t xml:space="preserve">3.353 </w:t>
            </w:r>
          </w:p>
        </w:tc>
        <w:tc>
          <w:tcPr>
            <w:tcW w:w="1384" w:type="dxa"/>
          </w:tcPr>
          <w:p w:rsidR="007F2B0B" w:rsidRPr="00EC60CB" w:rsidRDefault="007F2B0B" w:rsidP="007F2B0B">
            <w:pPr>
              <w:jc w:val="center"/>
            </w:pPr>
            <w:r w:rsidRPr="00EC60CB">
              <w:t>4.353</w:t>
            </w:r>
          </w:p>
        </w:tc>
        <w:tc>
          <w:tcPr>
            <w:tcW w:w="1271" w:type="dxa"/>
          </w:tcPr>
          <w:p w:rsidR="007F2B0B" w:rsidRPr="00EC60CB" w:rsidRDefault="007F2B0B" w:rsidP="007F2B0B">
            <w:pPr>
              <w:jc w:val="center"/>
            </w:pPr>
            <w:r w:rsidRPr="00EC60CB">
              <w:t>3.634</w:t>
            </w:r>
          </w:p>
        </w:tc>
        <w:tc>
          <w:tcPr>
            <w:tcW w:w="1176" w:type="dxa"/>
          </w:tcPr>
          <w:p w:rsidR="007F2B0B" w:rsidRPr="00EC60CB" w:rsidRDefault="007F2B0B" w:rsidP="007F2B0B">
            <w:pPr>
              <w:jc w:val="center"/>
            </w:pPr>
            <w:r w:rsidRPr="00EC60CB">
              <w:t>4.895</w:t>
            </w:r>
          </w:p>
        </w:tc>
        <w:tc>
          <w:tcPr>
            <w:tcW w:w="1216" w:type="dxa"/>
          </w:tcPr>
          <w:p w:rsidR="007F2B0B" w:rsidRPr="00EC60CB" w:rsidRDefault="007F2B0B" w:rsidP="007F2B0B">
            <w:pPr>
              <w:jc w:val="center"/>
            </w:pPr>
            <w:r w:rsidRPr="00EC60CB">
              <w:t>3.056</w:t>
            </w:r>
          </w:p>
        </w:tc>
      </w:tr>
    </w:tbl>
    <w:p w:rsidR="007F2B0B" w:rsidRDefault="007F2B0B" w:rsidP="007F2B0B">
      <w:pPr>
        <w:ind w:left="720" w:hanging="720"/>
        <w:jc w:val="both"/>
      </w:pPr>
    </w:p>
    <w:p w:rsidR="00721725" w:rsidRDefault="00721725" w:rsidP="007F2B0B">
      <w:pPr>
        <w:ind w:left="720" w:hanging="720"/>
        <w:jc w:val="both"/>
      </w:pPr>
    </w:p>
    <w:p w:rsidR="00721725" w:rsidRPr="00EC60CB" w:rsidRDefault="00721725" w:rsidP="007F2B0B">
      <w:pPr>
        <w:ind w:left="720" w:hanging="720"/>
        <w:jc w:val="both"/>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566"/>
        <w:gridCol w:w="1225"/>
        <w:gridCol w:w="1384"/>
        <w:gridCol w:w="1271"/>
        <w:gridCol w:w="1176"/>
        <w:gridCol w:w="1216"/>
      </w:tblGrid>
      <w:tr w:rsidR="007F2B0B" w:rsidRPr="00EC60CB" w:rsidTr="007F2B0B">
        <w:tc>
          <w:tcPr>
            <w:tcW w:w="9788" w:type="dxa"/>
            <w:gridSpan w:val="7"/>
          </w:tcPr>
          <w:p w:rsidR="007F2B0B" w:rsidRPr="00EC60CB" w:rsidRDefault="007F2B0B" w:rsidP="007F2B0B">
            <w:pPr>
              <w:jc w:val="center"/>
            </w:pPr>
            <w:r w:rsidRPr="00EC60CB">
              <w:t>Fuel Cost Factors (cents/kWh)</w:t>
            </w:r>
          </w:p>
          <w:p w:rsidR="007F2B0B" w:rsidRPr="00EC60CB" w:rsidRDefault="007F2B0B" w:rsidP="007F2B0B">
            <w:pPr>
              <w:jc w:val="center"/>
            </w:pPr>
            <w:r w:rsidRPr="00EC60CB">
              <w:t>GS-1, GST-1, GS-2</w:t>
            </w:r>
          </w:p>
        </w:tc>
      </w:tr>
      <w:tr w:rsidR="007F2B0B" w:rsidRPr="00EC60CB" w:rsidTr="007F2B0B">
        <w:tc>
          <w:tcPr>
            <w:tcW w:w="7396" w:type="dxa"/>
            <w:gridSpan w:val="5"/>
          </w:tcPr>
          <w:p w:rsidR="007F2B0B" w:rsidRPr="00EC60CB" w:rsidRDefault="007F2B0B" w:rsidP="007F2B0B">
            <w:pPr>
              <w:jc w:val="both"/>
            </w:pPr>
          </w:p>
        </w:tc>
        <w:tc>
          <w:tcPr>
            <w:tcW w:w="2392" w:type="dxa"/>
            <w:gridSpan w:val="2"/>
          </w:tcPr>
          <w:p w:rsidR="007F2B0B" w:rsidRPr="00EC60CB" w:rsidRDefault="007F2B0B" w:rsidP="007F2B0B">
            <w:pPr>
              <w:jc w:val="both"/>
            </w:pPr>
            <w:r w:rsidRPr="00EC60CB">
              <w:t>Time of Use</w:t>
            </w:r>
          </w:p>
        </w:tc>
      </w:tr>
      <w:tr w:rsidR="007F2B0B" w:rsidRPr="00EC60CB" w:rsidTr="007F2B0B">
        <w:tc>
          <w:tcPr>
            <w:tcW w:w="950" w:type="dxa"/>
          </w:tcPr>
          <w:p w:rsidR="007F2B0B" w:rsidRPr="00EC60CB" w:rsidRDefault="007F2B0B" w:rsidP="007F2B0B">
            <w:pPr>
              <w:jc w:val="both"/>
            </w:pPr>
            <w:r w:rsidRPr="00EC60CB">
              <w:t>Group</w:t>
            </w:r>
          </w:p>
        </w:tc>
        <w:tc>
          <w:tcPr>
            <w:tcW w:w="2566" w:type="dxa"/>
          </w:tcPr>
          <w:p w:rsidR="007F2B0B" w:rsidRPr="00EC60CB" w:rsidRDefault="007F2B0B" w:rsidP="007F2B0B">
            <w:pPr>
              <w:jc w:val="center"/>
            </w:pPr>
            <w:r w:rsidRPr="00EC60CB">
              <w:t>Delivery</w:t>
            </w:r>
          </w:p>
          <w:p w:rsidR="007F2B0B" w:rsidRPr="00EC60CB" w:rsidRDefault="007F2B0B" w:rsidP="007F2B0B">
            <w:pPr>
              <w:jc w:val="center"/>
            </w:pPr>
            <w:r w:rsidRPr="00EC60CB">
              <w:t>Voltage Level</w:t>
            </w:r>
          </w:p>
        </w:tc>
        <w:tc>
          <w:tcPr>
            <w:tcW w:w="1225" w:type="dxa"/>
          </w:tcPr>
          <w:p w:rsidR="007F2B0B" w:rsidRPr="00EC60CB" w:rsidRDefault="007F2B0B" w:rsidP="007F2B0B">
            <w:pPr>
              <w:jc w:val="center"/>
            </w:pPr>
            <w:r w:rsidRPr="00EC60CB">
              <w:t>First Tier</w:t>
            </w:r>
          </w:p>
          <w:p w:rsidR="007F2B0B" w:rsidRPr="00EC60CB" w:rsidRDefault="007F2B0B" w:rsidP="007F2B0B">
            <w:pPr>
              <w:jc w:val="center"/>
            </w:pPr>
            <w:r w:rsidRPr="00EC60CB">
              <w:t>Factor</w:t>
            </w:r>
          </w:p>
        </w:tc>
        <w:tc>
          <w:tcPr>
            <w:tcW w:w="1384" w:type="dxa"/>
          </w:tcPr>
          <w:p w:rsidR="007F2B0B" w:rsidRPr="00EC60CB" w:rsidRDefault="007F2B0B" w:rsidP="007F2B0B">
            <w:pPr>
              <w:jc w:val="center"/>
            </w:pPr>
            <w:r w:rsidRPr="00EC60CB">
              <w:t>Second Tier</w:t>
            </w:r>
          </w:p>
          <w:p w:rsidR="007F2B0B" w:rsidRPr="00EC60CB" w:rsidRDefault="007F2B0B" w:rsidP="007F2B0B">
            <w:pPr>
              <w:jc w:val="center"/>
            </w:pPr>
            <w:r w:rsidRPr="00EC60CB">
              <w:t>Factors</w:t>
            </w:r>
          </w:p>
        </w:tc>
        <w:tc>
          <w:tcPr>
            <w:tcW w:w="1271" w:type="dxa"/>
          </w:tcPr>
          <w:p w:rsidR="007F2B0B" w:rsidRPr="00EC60CB" w:rsidRDefault="007F2B0B" w:rsidP="007F2B0B">
            <w:pPr>
              <w:jc w:val="center"/>
            </w:pPr>
            <w:r w:rsidRPr="00EC60CB">
              <w:t>Levelized</w:t>
            </w:r>
          </w:p>
          <w:p w:rsidR="007F2B0B" w:rsidRPr="00EC60CB" w:rsidRDefault="007F2B0B" w:rsidP="007F2B0B">
            <w:pPr>
              <w:jc w:val="center"/>
            </w:pPr>
            <w:r w:rsidRPr="00EC60CB">
              <w:t>Factors</w:t>
            </w:r>
          </w:p>
        </w:tc>
        <w:tc>
          <w:tcPr>
            <w:tcW w:w="1176" w:type="dxa"/>
          </w:tcPr>
          <w:p w:rsidR="007F2B0B" w:rsidRPr="00EC60CB" w:rsidRDefault="007F2B0B" w:rsidP="007F2B0B">
            <w:pPr>
              <w:jc w:val="center"/>
            </w:pPr>
            <w:r w:rsidRPr="00EC60CB">
              <w:t>On-Peak</w:t>
            </w:r>
          </w:p>
        </w:tc>
        <w:tc>
          <w:tcPr>
            <w:tcW w:w="1216" w:type="dxa"/>
          </w:tcPr>
          <w:p w:rsidR="007F2B0B" w:rsidRPr="00EC60CB" w:rsidRDefault="007F2B0B" w:rsidP="007F2B0B">
            <w:pPr>
              <w:jc w:val="center"/>
            </w:pPr>
            <w:r w:rsidRPr="00EC60CB">
              <w:t>Off-Peak</w:t>
            </w:r>
          </w:p>
        </w:tc>
      </w:tr>
      <w:tr w:rsidR="007F2B0B" w:rsidRPr="00EC60CB" w:rsidTr="007F2B0B">
        <w:tc>
          <w:tcPr>
            <w:tcW w:w="950" w:type="dxa"/>
          </w:tcPr>
          <w:p w:rsidR="007F2B0B" w:rsidRPr="00EC60CB" w:rsidRDefault="007F2B0B" w:rsidP="007F2B0B">
            <w:pPr>
              <w:jc w:val="both"/>
            </w:pPr>
            <w:r w:rsidRPr="00EC60CB">
              <w:t>A</w:t>
            </w:r>
          </w:p>
        </w:tc>
        <w:tc>
          <w:tcPr>
            <w:tcW w:w="2566" w:type="dxa"/>
          </w:tcPr>
          <w:p w:rsidR="007F2B0B" w:rsidRPr="00EC60CB" w:rsidRDefault="007F2B0B" w:rsidP="007F2B0B">
            <w:r w:rsidRPr="00EC60CB">
              <w:t>Transmission</w:t>
            </w:r>
          </w:p>
        </w:tc>
        <w:tc>
          <w:tcPr>
            <w:tcW w:w="1225" w:type="dxa"/>
          </w:tcPr>
          <w:p w:rsidR="007F2B0B" w:rsidRPr="00EC60CB" w:rsidRDefault="007F2B0B" w:rsidP="007F2B0B">
            <w:pPr>
              <w:jc w:val="center"/>
            </w:pPr>
            <w:r w:rsidRPr="00EC60CB">
              <w:t>--</w:t>
            </w:r>
          </w:p>
        </w:tc>
        <w:tc>
          <w:tcPr>
            <w:tcW w:w="1384" w:type="dxa"/>
          </w:tcPr>
          <w:p w:rsidR="007F2B0B" w:rsidRPr="00EC60CB" w:rsidRDefault="007F2B0B" w:rsidP="007F2B0B">
            <w:pPr>
              <w:jc w:val="center"/>
            </w:pPr>
            <w:r w:rsidRPr="00EC60CB">
              <w:t>--</w:t>
            </w:r>
          </w:p>
        </w:tc>
        <w:tc>
          <w:tcPr>
            <w:tcW w:w="1271" w:type="dxa"/>
          </w:tcPr>
          <w:p w:rsidR="007F2B0B" w:rsidRPr="00EC60CB" w:rsidRDefault="007F2B0B" w:rsidP="007F2B0B">
            <w:pPr>
              <w:jc w:val="center"/>
            </w:pPr>
            <w:r w:rsidRPr="00EC60CB">
              <w:t xml:space="preserve">3.574 </w:t>
            </w:r>
          </w:p>
        </w:tc>
        <w:tc>
          <w:tcPr>
            <w:tcW w:w="1176" w:type="dxa"/>
          </w:tcPr>
          <w:p w:rsidR="007F2B0B" w:rsidRPr="00EC60CB" w:rsidRDefault="007F2B0B" w:rsidP="007F2B0B">
            <w:pPr>
              <w:jc w:val="center"/>
            </w:pPr>
            <w:r w:rsidRPr="00EC60CB">
              <w:t>4.814</w:t>
            </w:r>
          </w:p>
        </w:tc>
        <w:tc>
          <w:tcPr>
            <w:tcW w:w="1216" w:type="dxa"/>
          </w:tcPr>
          <w:p w:rsidR="007F2B0B" w:rsidRPr="00EC60CB" w:rsidRDefault="007F2B0B" w:rsidP="007F2B0B">
            <w:pPr>
              <w:jc w:val="center"/>
            </w:pPr>
            <w:r w:rsidRPr="00EC60CB">
              <w:t>3.006</w:t>
            </w:r>
          </w:p>
        </w:tc>
      </w:tr>
      <w:tr w:rsidR="007F2B0B" w:rsidRPr="00EC60CB" w:rsidTr="007F2B0B">
        <w:tc>
          <w:tcPr>
            <w:tcW w:w="950" w:type="dxa"/>
          </w:tcPr>
          <w:p w:rsidR="007F2B0B" w:rsidRPr="00EC60CB" w:rsidRDefault="007F2B0B" w:rsidP="007F2B0B">
            <w:pPr>
              <w:jc w:val="both"/>
            </w:pPr>
            <w:r w:rsidRPr="00EC60CB">
              <w:t>B</w:t>
            </w:r>
          </w:p>
        </w:tc>
        <w:tc>
          <w:tcPr>
            <w:tcW w:w="2566" w:type="dxa"/>
          </w:tcPr>
          <w:p w:rsidR="007F2B0B" w:rsidRPr="00EC60CB" w:rsidRDefault="007F2B0B" w:rsidP="007F2B0B">
            <w:r w:rsidRPr="00EC60CB">
              <w:t>Distribution Primary</w:t>
            </w:r>
          </w:p>
        </w:tc>
        <w:tc>
          <w:tcPr>
            <w:tcW w:w="1225" w:type="dxa"/>
          </w:tcPr>
          <w:p w:rsidR="007F2B0B" w:rsidRPr="00EC60CB" w:rsidRDefault="007F2B0B" w:rsidP="007F2B0B">
            <w:pPr>
              <w:jc w:val="center"/>
            </w:pPr>
            <w:r w:rsidRPr="00EC60CB">
              <w:t>--</w:t>
            </w:r>
          </w:p>
        </w:tc>
        <w:tc>
          <w:tcPr>
            <w:tcW w:w="1384" w:type="dxa"/>
          </w:tcPr>
          <w:p w:rsidR="007F2B0B" w:rsidRPr="00EC60CB" w:rsidRDefault="007F2B0B" w:rsidP="007F2B0B">
            <w:pPr>
              <w:jc w:val="center"/>
            </w:pPr>
            <w:r w:rsidRPr="00EC60CB">
              <w:t>--</w:t>
            </w:r>
          </w:p>
        </w:tc>
        <w:tc>
          <w:tcPr>
            <w:tcW w:w="1271" w:type="dxa"/>
          </w:tcPr>
          <w:p w:rsidR="007F2B0B" w:rsidRPr="00EC60CB" w:rsidRDefault="007F2B0B" w:rsidP="007F2B0B">
            <w:pPr>
              <w:jc w:val="center"/>
            </w:pPr>
            <w:r w:rsidRPr="00EC60CB">
              <w:t>3.611</w:t>
            </w:r>
          </w:p>
        </w:tc>
        <w:tc>
          <w:tcPr>
            <w:tcW w:w="1176" w:type="dxa"/>
          </w:tcPr>
          <w:p w:rsidR="007F2B0B" w:rsidRPr="00EC60CB" w:rsidRDefault="007F2B0B" w:rsidP="007F2B0B">
            <w:pPr>
              <w:jc w:val="center"/>
            </w:pPr>
            <w:r w:rsidRPr="00EC60CB">
              <w:t>4.864</w:t>
            </w:r>
          </w:p>
        </w:tc>
        <w:tc>
          <w:tcPr>
            <w:tcW w:w="1216" w:type="dxa"/>
          </w:tcPr>
          <w:p w:rsidR="007F2B0B" w:rsidRPr="00EC60CB" w:rsidRDefault="007F2B0B" w:rsidP="007F2B0B">
            <w:pPr>
              <w:jc w:val="center"/>
            </w:pPr>
            <w:r w:rsidRPr="00EC60CB">
              <w:t>3.037</w:t>
            </w:r>
          </w:p>
        </w:tc>
      </w:tr>
      <w:tr w:rsidR="007F2B0B" w:rsidRPr="00EC60CB" w:rsidTr="007F2B0B">
        <w:tc>
          <w:tcPr>
            <w:tcW w:w="950" w:type="dxa"/>
          </w:tcPr>
          <w:p w:rsidR="007F2B0B" w:rsidRPr="00EC60CB" w:rsidRDefault="007F2B0B" w:rsidP="007F2B0B">
            <w:pPr>
              <w:jc w:val="both"/>
            </w:pPr>
            <w:r w:rsidRPr="00EC60CB">
              <w:t>C</w:t>
            </w:r>
          </w:p>
        </w:tc>
        <w:tc>
          <w:tcPr>
            <w:tcW w:w="2566" w:type="dxa"/>
          </w:tcPr>
          <w:p w:rsidR="007F2B0B" w:rsidRPr="00EC60CB" w:rsidRDefault="007F2B0B" w:rsidP="007F2B0B">
            <w:r w:rsidRPr="00EC60CB">
              <w:t>Distribution Secondary</w:t>
            </w:r>
          </w:p>
        </w:tc>
        <w:tc>
          <w:tcPr>
            <w:tcW w:w="1225" w:type="dxa"/>
          </w:tcPr>
          <w:p w:rsidR="007F2B0B" w:rsidRPr="00EC60CB" w:rsidRDefault="007F2B0B" w:rsidP="007F2B0B">
            <w:pPr>
              <w:jc w:val="center"/>
            </w:pPr>
            <w:r w:rsidRPr="00EC60CB">
              <w:t>--</w:t>
            </w:r>
          </w:p>
        </w:tc>
        <w:tc>
          <w:tcPr>
            <w:tcW w:w="1384" w:type="dxa"/>
          </w:tcPr>
          <w:p w:rsidR="007F2B0B" w:rsidRPr="00EC60CB" w:rsidRDefault="007F2B0B" w:rsidP="007F2B0B">
            <w:pPr>
              <w:jc w:val="center"/>
            </w:pPr>
            <w:r w:rsidRPr="00EC60CB">
              <w:t>--</w:t>
            </w:r>
          </w:p>
        </w:tc>
        <w:tc>
          <w:tcPr>
            <w:tcW w:w="1271" w:type="dxa"/>
          </w:tcPr>
          <w:p w:rsidR="007F2B0B" w:rsidRPr="00EC60CB" w:rsidRDefault="007F2B0B" w:rsidP="007F2B0B">
            <w:pPr>
              <w:jc w:val="center"/>
            </w:pPr>
            <w:r w:rsidRPr="00EC60CB">
              <w:t>3.647</w:t>
            </w:r>
          </w:p>
        </w:tc>
        <w:tc>
          <w:tcPr>
            <w:tcW w:w="1176" w:type="dxa"/>
          </w:tcPr>
          <w:p w:rsidR="007F2B0B" w:rsidRPr="00EC60CB" w:rsidRDefault="007F2B0B" w:rsidP="007F2B0B">
            <w:pPr>
              <w:jc w:val="center"/>
            </w:pPr>
            <w:r w:rsidRPr="00EC60CB">
              <w:t>4.913</w:t>
            </w:r>
          </w:p>
        </w:tc>
        <w:tc>
          <w:tcPr>
            <w:tcW w:w="1216" w:type="dxa"/>
          </w:tcPr>
          <w:p w:rsidR="007F2B0B" w:rsidRPr="00EC60CB" w:rsidRDefault="007F2B0B" w:rsidP="007F2B0B">
            <w:pPr>
              <w:jc w:val="center"/>
            </w:pPr>
            <w:r w:rsidRPr="00EC60CB">
              <w:t>3.067</w:t>
            </w:r>
          </w:p>
        </w:tc>
      </w:tr>
    </w:tbl>
    <w:p w:rsidR="007F2B0B" w:rsidRPr="00EC60CB" w:rsidRDefault="007F2B0B" w:rsidP="007F2B0B">
      <w:pPr>
        <w:keepNext/>
        <w:keepLines/>
        <w:autoSpaceDE w:val="0"/>
        <w:autoSpaceDN w:val="0"/>
        <w:adjustRightInd w:val="0"/>
      </w:pPr>
      <w:r w:rsidRPr="00EC60CB">
        <w:lastRenderedPageBreak/>
        <w:tab/>
        <w:t xml:space="preserve">Gulf: </w:t>
      </w:r>
    </w:p>
    <w:p w:rsidR="007F2B0B" w:rsidRPr="00EC60CB" w:rsidRDefault="007F2B0B" w:rsidP="007F2B0B">
      <w:pPr>
        <w:keepNext/>
        <w:keepLines/>
        <w:autoSpaceDE w:val="0"/>
        <w:autoSpaceDN w:val="0"/>
        <w:adjustRightInd w:val="0"/>
        <w:ind w:left="1440" w:hanging="1440"/>
        <w:rPr>
          <w:sz w:val="16"/>
          <w:szCs w:val="16"/>
        </w:rPr>
      </w:pPr>
    </w:p>
    <w:tbl>
      <w:tblPr>
        <w:tblW w:w="8910" w:type="dxa"/>
        <w:tblInd w:w="525" w:type="dxa"/>
        <w:tblLayout w:type="fixed"/>
        <w:tblCellMar>
          <w:left w:w="165" w:type="dxa"/>
          <w:right w:w="165" w:type="dxa"/>
        </w:tblCellMar>
        <w:tblLook w:val="0000" w:firstRow="0" w:lastRow="0" w:firstColumn="0" w:lastColumn="0" w:noHBand="0" w:noVBand="0"/>
      </w:tblPr>
      <w:tblGrid>
        <w:gridCol w:w="1080"/>
        <w:gridCol w:w="2340"/>
        <w:gridCol w:w="1530"/>
        <w:gridCol w:w="1350"/>
        <w:gridCol w:w="1260"/>
        <w:gridCol w:w="1350"/>
      </w:tblGrid>
      <w:tr w:rsidR="007F2B0B" w:rsidRPr="00EC60CB" w:rsidTr="007F2B0B">
        <w:trPr>
          <w:cantSplit/>
        </w:trPr>
        <w:tc>
          <w:tcPr>
            <w:tcW w:w="1080" w:type="dxa"/>
            <w:vMerge w:val="restart"/>
            <w:tcBorders>
              <w:top w:val="double" w:sz="7" w:space="0" w:color="000000"/>
              <w:left w:val="double" w:sz="7" w:space="0" w:color="000000"/>
              <w:bottom w:val="nil"/>
              <w:right w:val="single" w:sz="6" w:space="0" w:color="FFFFFF"/>
            </w:tcBorders>
            <w:vAlign w:val="center"/>
          </w:tcPr>
          <w:p w:rsidR="007F2B0B" w:rsidRPr="00EC60CB" w:rsidRDefault="007F2B0B" w:rsidP="007F2B0B">
            <w:pPr>
              <w:keepNext/>
              <w:keepLines/>
              <w:jc w:val="center"/>
              <w:rPr>
                <w:b/>
                <w:bCs/>
              </w:rPr>
            </w:pPr>
            <w:r w:rsidRPr="00EC60CB">
              <w:rPr>
                <w:b/>
                <w:bCs/>
              </w:rPr>
              <w:t>Group</w:t>
            </w:r>
          </w:p>
        </w:tc>
        <w:tc>
          <w:tcPr>
            <w:tcW w:w="2340" w:type="dxa"/>
            <w:vMerge w:val="restart"/>
            <w:tcBorders>
              <w:top w:val="double" w:sz="7" w:space="0" w:color="000000"/>
              <w:left w:val="single" w:sz="7" w:space="0" w:color="000000"/>
              <w:bottom w:val="nil"/>
              <w:right w:val="single" w:sz="6" w:space="0" w:color="FFFFFF"/>
            </w:tcBorders>
            <w:vAlign w:val="center"/>
          </w:tcPr>
          <w:p w:rsidR="007F2B0B" w:rsidRPr="00EC60CB" w:rsidRDefault="007F2B0B" w:rsidP="007F2B0B">
            <w:pPr>
              <w:keepNext/>
              <w:keepLines/>
              <w:jc w:val="center"/>
            </w:pPr>
            <w:r w:rsidRPr="00EC60CB">
              <w:rPr>
                <w:b/>
                <w:bCs/>
              </w:rPr>
              <w:t>Rate Schedules</w:t>
            </w:r>
            <w:r w:rsidRPr="00EC60CB">
              <w:t>*</w:t>
            </w:r>
          </w:p>
        </w:tc>
        <w:tc>
          <w:tcPr>
            <w:tcW w:w="1530" w:type="dxa"/>
            <w:vMerge w:val="restart"/>
            <w:tcBorders>
              <w:top w:val="double" w:sz="7" w:space="0" w:color="000000"/>
              <w:left w:val="single" w:sz="7" w:space="0" w:color="000000"/>
              <w:bottom w:val="nil"/>
              <w:right w:val="single" w:sz="6" w:space="0" w:color="FFFFFF"/>
            </w:tcBorders>
            <w:vAlign w:val="center"/>
          </w:tcPr>
          <w:p w:rsidR="007F2B0B" w:rsidRPr="00EC60CB" w:rsidRDefault="007F2B0B" w:rsidP="007F2B0B">
            <w:pPr>
              <w:keepNext/>
              <w:keepLines/>
              <w:jc w:val="center"/>
              <w:rPr>
                <w:b/>
                <w:bCs/>
              </w:rPr>
            </w:pPr>
            <w:r w:rsidRPr="00EC60CB">
              <w:rPr>
                <w:b/>
                <w:bCs/>
              </w:rPr>
              <w:t>Line Loss Multipliers</w:t>
            </w:r>
          </w:p>
        </w:tc>
        <w:tc>
          <w:tcPr>
            <w:tcW w:w="3960" w:type="dxa"/>
            <w:gridSpan w:val="3"/>
            <w:tcBorders>
              <w:top w:val="double" w:sz="7" w:space="0" w:color="000000"/>
              <w:left w:val="single" w:sz="7" w:space="0" w:color="000000"/>
              <w:bottom w:val="single" w:sz="6" w:space="0" w:color="FFFFFF"/>
              <w:right w:val="double" w:sz="7" w:space="0" w:color="000000"/>
            </w:tcBorders>
          </w:tcPr>
          <w:p w:rsidR="007F2B0B" w:rsidRPr="00EC60CB" w:rsidRDefault="007F2B0B" w:rsidP="007F2B0B">
            <w:pPr>
              <w:keepNext/>
              <w:keepLines/>
              <w:jc w:val="center"/>
              <w:rPr>
                <w:b/>
                <w:bCs/>
              </w:rPr>
            </w:pPr>
            <w:r w:rsidRPr="00EC60CB">
              <w:rPr>
                <w:b/>
                <w:bCs/>
              </w:rPr>
              <w:t xml:space="preserve">Fuel Cost Factors ¢/KWH </w:t>
            </w:r>
          </w:p>
        </w:tc>
      </w:tr>
      <w:tr w:rsidR="007F2B0B" w:rsidRPr="00EC60CB" w:rsidTr="007F2B0B">
        <w:trPr>
          <w:cantSplit/>
        </w:trPr>
        <w:tc>
          <w:tcPr>
            <w:tcW w:w="1080" w:type="dxa"/>
            <w:vMerge/>
            <w:tcBorders>
              <w:top w:val="nil"/>
              <w:left w:val="double" w:sz="7" w:space="0" w:color="000000"/>
              <w:bottom w:val="nil"/>
              <w:right w:val="single" w:sz="6" w:space="0" w:color="FFFFFF"/>
            </w:tcBorders>
          </w:tcPr>
          <w:p w:rsidR="007F2B0B" w:rsidRPr="00EC60CB" w:rsidRDefault="007F2B0B" w:rsidP="007F2B0B">
            <w:pPr>
              <w:keepNext/>
              <w:keepLines/>
            </w:pPr>
          </w:p>
        </w:tc>
        <w:tc>
          <w:tcPr>
            <w:tcW w:w="2340" w:type="dxa"/>
            <w:vMerge/>
            <w:tcBorders>
              <w:top w:val="nil"/>
              <w:left w:val="single" w:sz="7" w:space="0" w:color="000000"/>
              <w:bottom w:val="nil"/>
              <w:right w:val="single" w:sz="6" w:space="0" w:color="FFFFFF"/>
            </w:tcBorders>
          </w:tcPr>
          <w:p w:rsidR="007F2B0B" w:rsidRPr="00EC60CB" w:rsidRDefault="007F2B0B" w:rsidP="007F2B0B">
            <w:pPr>
              <w:keepNext/>
              <w:keepLines/>
            </w:pPr>
          </w:p>
        </w:tc>
        <w:tc>
          <w:tcPr>
            <w:tcW w:w="1530" w:type="dxa"/>
            <w:vMerge/>
            <w:tcBorders>
              <w:top w:val="nil"/>
              <w:left w:val="single" w:sz="7" w:space="0" w:color="000000"/>
              <w:bottom w:val="nil"/>
              <w:right w:val="single" w:sz="6" w:space="0" w:color="FFFFFF"/>
            </w:tcBorders>
          </w:tcPr>
          <w:p w:rsidR="007F2B0B" w:rsidRPr="00EC60CB" w:rsidRDefault="007F2B0B" w:rsidP="007F2B0B">
            <w:pPr>
              <w:keepNext/>
              <w:keepLines/>
            </w:pPr>
          </w:p>
        </w:tc>
        <w:tc>
          <w:tcPr>
            <w:tcW w:w="1350" w:type="dxa"/>
            <w:vMerge w:val="restart"/>
            <w:tcBorders>
              <w:top w:val="single" w:sz="7" w:space="0" w:color="000000"/>
              <w:left w:val="single" w:sz="7" w:space="0" w:color="000000"/>
              <w:bottom w:val="nil"/>
              <w:right w:val="single" w:sz="6" w:space="0" w:color="FFFFFF"/>
            </w:tcBorders>
            <w:vAlign w:val="center"/>
          </w:tcPr>
          <w:p w:rsidR="007F2B0B" w:rsidRPr="00EC60CB" w:rsidRDefault="007F2B0B" w:rsidP="007F2B0B">
            <w:pPr>
              <w:keepNext/>
              <w:keepLines/>
              <w:jc w:val="center"/>
              <w:rPr>
                <w:b/>
                <w:bCs/>
              </w:rPr>
            </w:pPr>
            <w:r w:rsidRPr="00EC60CB">
              <w:rPr>
                <w:b/>
                <w:bCs/>
              </w:rPr>
              <w:t>Standard</w:t>
            </w:r>
          </w:p>
        </w:tc>
        <w:tc>
          <w:tcPr>
            <w:tcW w:w="2610" w:type="dxa"/>
            <w:gridSpan w:val="2"/>
            <w:tcBorders>
              <w:top w:val="single" w:sz="7" w:space="0" w:color="000000"/>
              <w:left w:val="single" w:sz="7" w:space="0" w:color="000000"/>
              <w:bottom w:val="single" w:sz="6" w:space="0" w:color="FFFFFF"/>
              <w:right w:val="double" w:sz="7" w:space="0" w:color="000000"/>
            </w:tcBorders>
          </w:tcPr>
          <w:p w:rsidR="007F2B0B" w:rsidRPr="00EC60CB" w:rsidRDefault="007F2B0B" w:rsidP="007F2B0B">
            <w:pPr>
              <w:keepNext/>
              <w:keepLines/>
              <w:jc w:val="center"/>
              <w:rPr>
                <w:b/>
                <w:bCs/>
              </w:rPr>
            </w:pPr>
            <w:r w:rsidRPr="00EC60CB">
              <w:rPr>
                <w:b/>
                <w:bCs/>
              </w:rPr>
              <w:t>Time of Use</w:t>
            </w:r>
          </w:p>
        </w:tc>
      </w:tr>
      <w:tr w:rsidR="007F2B0B" w:rsidRPr="00EC60CB" w:rsidTr="007F2B0B">
        <w:trPr>
          <w:cantSplit/>
        </w:trPr>
        <w:tc>
          <w:tcPr>
            <w:tcW w:w="1080" w:type="dxa"/>
            <w:vMerge/>
            <w:tcBorders>
              <w:top w:val="nil"/>
              <w:left w:val="double" w:sz="7" w:space="0" w:color="000000"/>
              <w:bottom w:val="single" w:sz="18" w:space="0" w:color="000000"/>
              <w:right w:val="single" w:sz="6" w:space="0" w:color="FFFFFF"/>
            </w:tcBorders>
          </w:tcPr>
          <w:p w:rsidR="007F2B0B" w:rsidRPr="00EC60CB" w:rsidRDefault="007F2B0B" w:rsidP="007F2B0B">
            <w:pPr>
              <w:keepNext/>
              <w:keepLines/>
              <w:spacing w:after="90"/>
            </w:pPr>
          </w:p>
        </w:tc>
        <w:tc>
          <w:tcPr>
            <w:tcW w:w="2340" w:type="dxa"/>
            <w:vMerge/>
            <w:tcBorders>
              <w:top w:val="nil"/>
              <w:left w:val="single" w:sz="7" w:space="0" w:color="000000"/>
              <w:bottom w:val="single" w:sz="18" w:space="0" w:color="000000"/>
              <w:right w:val="single" w:sz="6" w:space="0" w:color="FFFFFF"/>
            </w:tcBorders>
          </w:tcPr>
          <w:p w:rsidR="007F2B0B" w:rsidRPr="00EC60CB" w:rsidRDefault="007F2B0B" w:rsidP="007F2B0B">
            <w:pPr>
              <w:keepNext/>
              <w:keepLines/>
              <w:spacing w:after="90"/>
            </w:pPr>
          </w:p>
        </w:tc>
        <w:tc>
          <w:tcPr>
            <w:tcW w:w="1530" w:type="dxa"/>
            <w:vMerge/>
            <w:tcBorders>
              <w:top w:val="nil"/>
              <w:left w:val="single" w:sz="7" w:space="0" w:color="000000"/>
              <w:bottom w:val="single" w:sz="18" w:space="0" w:color="000000"/>
              <w:right w:val="single" w:sz="6" w:space="0" w:color="FFFFFF"/>
            </w:tcBorders>
          </w:tcPr>
          <w:p w:rsidR="007F2B0B" w:rsidRPr="00EC60CB" w:rsidRDefault="007F2B0B" w:rsidP="007F2B0B">
            <w:pPr>
              <w:keepNext/>
              <w:keepLines/>
              <w:spacing w:after="90"/>
            </w:pPr>
          </w:p>
        </w:tc>
        <w:tc>
          <w:tcPr>
            <w:tcW w:w="1350" w:type="dxa"/>
            <w:vMerge/>
            <w:tcBorders>
              <w:top w:val="nil"/>
              <w:left w:val="single" w:sz="7" w:space="0" w:color="000000"/>
              <w:bottom w:val="single" w:sz="18" w:space="0" w:color="000000"/>
              <w:right w:val="single" w:sz="6" w:space="0" w:color="FFFFFF"/>
            </w:tcBorders>
          </w:tcPr>
          <w:p w:rsidR="007F2B0B" w:rsidRPr="00EC60CB" w:rsidRDefault="007F2B0B" w:rsidP="007F2B0B">
            <w:pPr>
              <w:keepNext/>
              <w:keepLines/>
              <w:spacing w:after="90"/>
            </w:pPr>
          </w:p>
        </w:tc>
        <w:tc>
          <w:tcPr>
            <w:tcW w:w="1260" w:type="dxa"/>
            <w:tcBorders>
              <w:top w:val="single" w:sz="7" w:space="0" w:color="000000"/>
              <w:left w:val="single" w:sz="7" w:space="0" w:color="000000"/>
              <w:bottom w:val="single" w:sz="18" w:space="0" w:color="000000"/>
              <w:right w:val="single" w:sz="6" w:space="0" w:color="FFFFFF"/>
            </w:tcBorders>
            <w:vAlign w:val="bottom"/>
          </w:tcPr>
          <w:p w:rsidR="007F2B0B" w:rsidRPr="00EC60CB" w:rsidRDefault="007F2B0B" w:rsidP="007F2B0B">
            <w:pPr>
              <w:keepNext/>
              <w:keepLines/>
              <w:spacing w:after="90"/>
              <w:jc w:val="center"/>
              <w:rPr>
                <w:b/>
                <w:bCs/>
              </w:rPr>
            </w:pPr>
            <w:r w:rsidRPr="00EC60CB">
              <w:rPr>
                <w:b/>
                <w:bCs/>
              </w:rPr>
              <w:t>On-Peak</w:t>
            </w:r>
          </w:p>
        </w:tc>
        <w:tc>
          <w:tcPr>
            <w:tcW w:w="1350" w:type="dxa"/>
            <w:tcBorders>
              <w:top w:val="single" w:sz="7" w:space="0" w:color="000000"/>
              <w:left w:val="single" w:sz="7" w:space="0" w:color="000000"/>
              <w:bottom w:val="single" w:sz="18" w:space="0" w:color="000000"/>
              <w:right w:val="double" w:sz="7" w:space="0" w:color="000000"/>
            </w:tcBorders>
            <w:vAlign w:val="bottom"/>
          </w:tcPr>
          <w:p w:rsidR="007F2B0B" w:rsidRPr="00EC60CB" w:rsidRDefault="007F2B0B" w:rsidP="007F2B0B">
            <w:pPr>
              <w:keepNext/>
              <w:keepLines/>
              <w:spacing w:after="90"/>
              <w:jc w:val="center"/>
              <w:rPr>
                <w:b/>
                <w:bCs/>
              </w:rPr>
            </w:pPr>
            <w:r w:rsidRPr="00EC60CB">
              <w:rPr>
                <w:b/>
                <w:bCs/>
              </w:rPr>
              <w:t>Off-Peak</w:t>
            </w:r>
          </w:p>
        </w:tc>
      </w:tr>
      <w:tr w:rsidR="007F2B0B" w:rsidRPr="00EC60CB" w:rsidTr="007F2B0B">
        <w:trPr>
          <w:cantSplit/>
          <w:trHeight w:val="1350"/>
        </w:trPr>
        <w:tc>
          <w:tcPr>
            <w:tcW w:w="1080" w:type="dxa"/>
            <w:tcBorders>
              <w:top w:val="single" w:sz="7" w:space="0" w:color="000000"/>
              <w:left w:val="double" w:sz="7" w:space="0" w:color="000000"/>
              <w:bottom w:val="single" w:sz="6" w:space="0" w:color="FFFFFF"/>
              <w:right w:val="single" w:sz="6" w:space="0" w:color="FFFFFF"/>
            </w:tcBorders>
          </w:tcPr>
          <w:p w:rsidR="007F2B0B" w:rsidRPr="00EC60CB" w:rsidRDefault="007F2B0B" w:rsidP="007F2B0B">
            <w:pPr>
              <w:keepNext/>
              <w:keepLines/>
              <w:spacing w:line="182" w:lineRule="exact"/>
              <w:jc w:val="center"/>
              <w:rPr>
                <w:b/>
                <w:bCs/>
                <w:sz w:val="12"/>
                <w:szCs w:val="12"/>
              </w:rPr>
            </w:pPr>
          </w:p>
          <w:p w:rsidR="007F2B0B" w:rsidRPr="00EC60CB" w:rsidRDefault="007F2B0B" w:rsidP="007F2B0B">
            <w:pPr>
              <w:keepNext/>
              <w:keepLines/>
              <w:jc w:val="center"/>
            </w:pPr>
            <w:r w:rsidRPr="00EC60CB">
              <w:t>A</w:t>
            </w:r>
          </w:p>
        </w:tc>
        <w:tc>
          <w:tcPr>
            <w:tcW w:w="2340" w:type="dxa"/>
            <w:tcBorders>
              <w:top w:val="single" w:sz="7" w:space="0" w:color="000000"/>
              <w:left w:val="single" w:sz="7" w:space="0" w:color="000000"/>
              <w:bottom w:val="single" w:sz="6" w:space="0" w:color="FFFFFF"/>
              <w:right w:val="single" w:sz="6" w:space="0" w:color="FFFFFF"/>
            </w:tcBorders>
            <w:vAlign w:val="center"/>
          </w:tcPr>
          <w:p w:rsidR="007F2B0B" w:rsidRPr="00EC60CB" w:rsidRDefault="007F2B0B" w:rsidP="007F2B0B">
            <w:pPr>
              <w:keepNext/>
              <w:keepLines/>
              <w:jc w:val="center"/>
              <w:rPr>
                <w:sz w:val="8"/>
                <w:szCs w:val="8"/>
              </w:rPr>
            </w:pPr>
          </w:p>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C60CB">
              <w:t>RS, RSVP, RSTOU,</w:t>
            </w:r>
          </w:p>
          <w:p w:rsidR="007F2B0B" w:rsidRPr="00EC60CB" w:rsidRDefault="007F2B0B" w:rsidP="007F2B0B">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C60CB">
              <w:t>GS,GSD, GSDT, GSTOU, OSIII, SBS(1)</w:t>
            </w:r>
          </w:p>
        </w:tc>
        <w:tc>
          <w:tcPr>
            <w:tcW w:w="1530" w:type="dxa"/>
            <w:tcBorders>
              <w:top w:val="single" w:sz="7" w:space="0" w:color="000000"/>
              <w:left w:val="single" w:sz="7" w:space="0" w:color="000000"/>
              <w:bottom w:val="single" w:sz="6" w:space="0" w:color="FFFFFF"/>
              <w:right w:val="single" w:sz="6" w:space="0" w:color="FFFFFF"/>
            </w:tcBorders>
          </w:tcPr>
          <w:p w:rsidR="007F2B0B" w:rsidRPr="00EC60CB" w:rsidRDefault="007F2B0B" w:rsidP="007F2B0B">
            <w:pPr>
              <w:keepNext/>
              <w:keepLines/>
              <w:spacing w:line="182" w:lineRule="exact"/>
              <w:jc w:val="center"/>
            </w:pPr>
          </w:p>
          <w:p w:rsidR="007F2B0B" w:rsidRPr="00EC60CB" w:rsidRDefault="007F2B0B" w:rsidP="007F2B0B">
            <w:pPr>
              <w:keepNext/>
              <w:keepLines/>
              <w:jc w:val="center"/>
            </w:pPr>
            <w:r w:rsidRPr="00EC60CB">
              <w:t>1.00773</w:t>
            </w:r>
          </w:p>
        </w:tc>
        <w:tc>
          <w:tcPr>
            <w:tcW w:w="1350" w:type="dxa"/>
            <w:tcBorders>
              <w:top w:val="single" w:sz="7" w:space="0" w:color="000000"/>
              <w:left w:val="single" w:sz="7" w:space="0" w:color="000000"/>
              <w:bottom w:val="single" w:sz="6" w:space="0" w:color="FFFFFF"/>
              <w:right w:val="single" w:sz="6" w:space="0" w:color="FFFFFF"/>
            </w:tcBorders>
          </w:tcPr>
          <w:p w:rsidR="007F2B0B" w:rsidRPr="00EC60CB" w:rsidRDefault="007F2B0B" w:rsidP="007F2B0B">
            <w:pPr>
              <w:keepNext/>
              <w:keepLines/>
              <w:spacing w:line="182" w:lineRule="exact"/>
              <w:jc w:val="center"/>
            </w:pPr>
          </w:p>
          <w:p w:rsidR="007F2B0B" w:rsidRPr="00EC60CB" w:rsidRDefault="007F2B0B" w:rsidP="007F2B0B">
            <w:pPr>
              <w:keepNext/>
              <w:keepLines/>
              <w:jc w:val="center"/>
            </w:pPr>
            <w:r w:rsidRPr="00EC60CB">
              <w:t>3.678</w:t>
            </w:r>
          </w:p>
        </w:tc>
        <w:tc>
          <w:tcPr>
            <w:tcW w:w="1260" w:type="dxa"/>
            <w:tcBorders>
              <w:top w:val="single" w:sz="7" w:space="0" w:color="000000"/>
              <w:left w:val="single" w:sz="7" w:space="0" w:color="000000"/>
              <w:bottom w:val="single" w:sz="6" w:space="0" w:color="FFFFFF"/>
              <w:right w:val="single" w:sz="6" w:space="0" w:color="FFFFFF"/>
            </w:tcBorders>
          </w:tcPr>
          <w:p w:rsidR="007F2B0B" w:rsidRPr="00EC60CB" w:rsidRDefault="007F2B0B" w:rsidP="007F2B0B">
            <w:pPr>
              <w:keepNext/>
              <w:keepLines/>
              <w:spacing w:line="182" w:lineRule="exact"/>
              <w:jc w:val="center"/>
            </w:pPr>
          </w:p>
          <w:p w:rsidR="007F2B0B" w:rsidRPr="00EC60CB" w:rsidRDefault="007F2B0B" w:rsidP="007F2B0B">
            <w:pPr>
              <w:keepNext/>
              <w:keepLines/>
              <w:jc w:val="center"/>
            </w:pPr>
            <w:r w:rsidRPr="00EC60CB">
              <w:t>4.494</w:t>
            </w:r>
          </w:p>
        </w:tc>
        <w:tc>
          <w:tcPr>
            <w:tcW w:w="1350" w:type="dxa"/>
            <w:tcBorders>
              <w:top w:val="single" w:sz="7" w:space="0" w:color="000000"/>
              <w:left w:val="single" w:sz="7" w:space="0" w:color="000000"/>
              <w:bottom w:val="single" w:sz="6" w:space="0" w:color="FFFFFF"/>
              <w:right w:val="double" w:sz="7" w:space="0" w:color="000000"/>
            </w:tcBorders>
          </w:tcPr>
          <w:p w:rsidR="007F2B0B" w:rsidRPr="00EC60CB" w:rsidRDefault="007F2B0B" w:rsidP="007F2B0B">
            <w:pPr>
              <w:keepNext/>
              <w:keepLines/>
              <w:spacing w:line="182" w:lineRule="exact"/>
              <w:jc w:val="center"/>
            </w:pPr>
          </w:p>
          <w:p w:rsidR="007F2B0B" w:rsidRPr="00EC60CB" w:rsidRDefault="007F2B0B" w:rsidP="007F2B0B">
            <w:pPr>
              <w:keepNext/>
              <w:keepLines/>
              <w:jc w:val="center"/>
            </w:pPr>
            <w:r w:rsidRPr="00EC60CB">
              <w:t>3.342</w:t>
            </w:r>
          </w:p>
        </w:tc>
      </w:tr>
      <w:tr w:rsidR="007F2B0B" w:rsidRPr="00EC60CB" w:rsidTr="007F2B0B">
        <w:trPr>
          <w:cantSplit/>
          <w:trHeight w:val="461"/>
        </w:trPr>
        <w:tc>
          <w:tcPr>
            <w:tcW w:w="1080" w:type="dxa"/>
            <w:tcBorders>
              <w:top w:val="single" w:sz="7" w:space="0" w:color="000000"/>
              <w:left w:val="double" w:sz="7" w:space="0" w:color="000000"/>
              <w:bottom w:val="single" w:sz="6" w:space="0" w:color="FFFFFF"/>
              <w:right w:val="single" w:sz="6" w:space="0" w:color="FFFFFF"/>
            </w:tcBorders>
            <w:vAlign w:val="center"/>
          </w:tcPr>
          <w:p w:rsidR="007F2B0B" w:rsidRPr="00EC60CB" w:rsidRDefault="007F2B0B" w:rsidP="007F2B0B">
            <w:pPr>
              <w:keepNext/>
              <w:keepLines/>
              <w:jc w:val="center"/>
            </w:pPr>
            <w:r w:rsidRPr="00EC60CB">
              <w:t>B</w:t>
            </w:r>
          </w:p>
        </w:tc>
        <w:tc>
          <w:tcPr>
            <w:tcW w:w="2340" w:type="dxa"/>
            <w:tcBorders>
              <w:top w:val="single" w:sz="7" w:space="0" w:color="000000"/>
              <w:left w:val="single" w:sz="7" w:space="0" w:color="000000"/>
              <w:bottom w:val="single" w:sz="6" w:space="0" w:color="FFFFFF"/>
              <w:right w:val="single" w:sz="6" w:space="0" w:color="FFFFFF"/>
            </w:tcBorders>
            <w:vAlign w:val="center"/>
          </w:tcPr>
          <w:p w:rsidR="007F2B0B" w:rsidRPr="00EC60CB" w:rsidRDefault="007F2B0B" w:rsidP="007F2B0B">
            <w:pPr>
              <w:keepNext/>
              <w:keepLines/>
              <w:jc w:val="center"/>
            </w:pPr>
            <w:r w:rsidRPr="00EC60CB">
              <w:t>LP, LPT, SBS(2)</w:t>
            </w:r>
          </w:p>
        </w:tc>
        <w:tc>
          <w:tcPr>
            <w:tcW w:w="1530" w:type="dxa"/>
            <w:tcBorders>
              <w:top w:val="single" w:sz="7" w:space="0" w:color="000000"/>
              <w:left w:val="single" w:sz="7" w:space="0" w:color="000000"/>
              <w:bottom w:val="single" w:sz="6" w:space="0" w:color="FFFFFF"/>
              <w:right w:val="single" w:sz="6" w:space="0" w:color="FFFFFF"/>
            </w:tcBorders>
            <w:vAlign w:val="center"/>
          </w:tcPr>
          <w:p w:rsidR="007F2B0B" w:rsidRPr="00EC60CB" w:rsidRDefault="007F2B0B" w:rsidP="007F2B0B">
            <w:pPr>
              <w:keepNext/>
              <w:keepLines/>
              <w:jc w:val="center"/>
            </w:pPr>
            <w:r w:rsidRPr="00EC60CB">
              <w:t>0.98353</w:t>
            </w:r>
          </w:p>
        </w:tc>
        <w:tc>
          <w:tcPr>
            <w:tcW w:w="1350" w:type="dxa"/>
            <w:tcBorders>
              <w:top w:val="single" w:sz="7" w:space="0" w:color="000000"/>
              <w:left w:val="single" w:sz="7" w:space="0" w:color="000000"/>
              <w:bottom w:val="single" w:sz="6" w:space="0" w:color="FFFFFF"/>
              <w:right w:val="single" w:sz="6" w:space="0" w:color="FFFFFF"/>
            </w:tcBorders>
            <w:vAlign w:val="center"/>
          </w:tcPr>
          <w:p w:rsidR="007F2B0B" w:rsidRPr="00EC60CB" w:rsidRDefault="007F2B0B" w:rsidP="007F2B0B">
            <w:pPr>
              <w:keepNext/>
              <w:keepLines/>
              <w:jc w:val="center"/>
            </w:pPr>
            <w:r w:rsidRPr="00EC60CB">
              <w:t>3.590</w:t>
            </w:r>
          </w:p>
        </w:tc>
        <w:tc>
          <w:tcPr>
            <w:tcW w:w="1260" w:type="dxa"/>
            <w:tcBorders>
              <w:top w:val="single" w:sz="7" w:space="0" w:color="000000"/>
              <w:left w:val="single" w:sz="7" w:space="0" w:color="000000"/>
              <w:bottom w:val="single" w:sz="6" w:space="0" w:color="FFFFFF"/>
              <w:right w:val="single" w:sz="6" w:space="0" w:color="FFFFFF"/>
            </w:tcBorders>
            <w:vAlign w:val="center"/>
          </w:tcPr>
          <w:p w:rsidR="007F2B0B" w:rsidRPr="00EC60CB" w:rsidRDefault="007F2B0B" w:rsidP="007F2B0B">
            <w:pPr>
              <w:keepNext/>
              <w:keepLines/>
              <w:jc w:val="center"/>
            </w:pPr>
            <w:r w:rsidRPr="00EC60CB">
              <w:t>4.387</w:t>
            </w:r>
          </w:p>
        </w:tc>
        <w:tc>
          <w:tcPr>
            <w:tcW w:w="1350" w:type="dxa"/>
            <w:tcBorders>
              <w:top w:val="single" w:sz="7" w:space="0" w:color="000000"/>
              <w:left w:val="single" w:sz="7" w:space="0" w:color="000000"/>
              <w:bottom w:val="single" w:sz="6" w:space="0" w:color="FFFFFF"/>
              <w:right w:val="double" w:sz="7" w:space="0" w:color="000000"/>
            </w:tcBorders>
            <w:vAlign w:val="center"/>
          </w:tcPr>
          <w:p w:rsidR="007F2B0B" w:rsidRPr="00EC60CB" w:rsidRDefault="007F2B0B" w:rsidP="007F2B0B">
            <w:pPr>
              <w:keepNext/>
              <w:keepLines/>
              <w:jc w:val="center"/>
            </w:pPr>
            <w:r w:rsidRPr="00EC60CB">
              <w:t>3.261</w:t>
            </w:r>
          </w:p>
        </w:tc>
      </w:tr>
      <w:tr w:rsidR="007F2B0B" w:rsidRPr="00EC60CB" w:rsidTr="007F2B0B">
        <w:trPr>
          <w:cantSplit/>
        </w:trPr>
        <w:tc>
          <w:tcPr>
            <w:tcW w:w="1080" w:type="dxa"/>
            <w:tcBorders>
              <w:top w:val="single" w:sz="7" w:space="0" w:color="000000"/>
              <w:left w:val="double" w:sz="7" w:space="0" w:color="000000"/>
              <w:bottom w:val="single" w:sz="6" w:space="0" w:color="FFFFFF"/>
              <w:right w:val="single" w:sz="6" w:space="0" w:color="FFFFFF"/>
            </w:tcBorders>
            <w:vAlign w:val="center"/>
          </w:tcPr>
          <w:p w:rsidR="007F2B0B" w:rsidRPr="00EC60CB" w:rsidRDefault="007F2B0B" w:rsidP="007F2B0B">
            <w:pPr>
              <w:keepNext/>
              <w:keepLines/>
              <w:jc w:val="center"/>
            </w:pPr>
            <w:r w:rsidRPr="00EC60CB">
              <w:t>C</w:t>
            </w:r>
          </w:p>
        </w:tc>
        <w:tc>
          <w:tcPr>
            <w:tcW w:w="2340" w:type="dxa"/>
            <w:tcBorders>
              <w:top w:val="single" w:sz="7" w:space="0" w:color="000000"/>
              <w:left w:val="single" w:sz="7" w:space="0" w:color="000000"/>
              <w:bottom w:val="single" w:sz="6" w:space="0" w:color="FFFFFF"/>
              <w:right w:val="single" w:sz="6" w:space="0" w:color="FFFFFF"/>
            </w:tcBorders>
            <w:vAlign w:val="center"/>
          </w:tcPr>
          <w:p w:rsidR="007F2B0B" w:rsidRPr="00EC60CB" w:rsidRDefault="007F2B0B" w:rsidP="007F2B0B">
            <w:pPr>
              <w:keepNext/>
              <w:keepLines/>
              <w:jc w:val="center"/>
            </w:pPr>
            <w:r w:rsidRPr="00EC60CB">
              <w:t>PX, PXT, RTP, SBS(3)</w:t>
            </w:r>
          </w:p>
        </w:tc>
        <w:tc>
          <w:tcPr>
            <w:tcW w:w="1530" w:type="dxa"/>
            <w:tcBorders>
              <w:top w:val="single" w:sz="7" w:space="0" w:color="000000"/>
              <w:left w:val="single" w:sz="7" w:space="0" w:color="000000"/>
              <w:bottom w:val="single" w:sz="6" w:space="0" w:color="FFFFFF"/>
              <w:right w:val="single" w:sz="6" w:space="0" w:color="FFFFFF"/>
            </w:tcBorders>
            <w:vAlign w:val="center"/>
          </w:tcPr>
          <w:p w:rsidR="007F2B0B" w:rsidRPr="00EC60CB" w:rsidRDefault="007F2B0B" w:rsidP="007F2B0B">
            <w:pPr>
              <w:keepNext/>
              <w:keepLines/>
              <w:jc w:val="center"/>
            </w:pPr>
            <w:r w:rsidRPr="00EC60CB">
              <w:t>0.96591</w:t>
            </w:r>
          </w:p>
        </w:tc>
        <w:tc>
          <w:tcPr>
            <w:tcW w:w="1350" w:type="dxa"/>
            <w:tcBorders>
              <w:top w:val="single" w:sz="7" w:space="0" w:color="000000"/>
              <w:left w:val="single" w:sz="7" w:space="0" w:color="000000"/>
              <w:bottom w:val="single" w:sz="6" w:space="0" w:color="FFFFFF"/>
              <w:right w:val="single" w:sz="6" w:space="0" w:color="FFFFFF"/>
            </w:tcBorders>
            <w:vAlign w:val="center"/>
          </w:tcPr>
          <w:p w:rsidR="007F2B0B" w:rsidRPr="00EC60CB" w:rsidRDefault="007F2B0B" w:rsidP="007F2B0B">
            <w:pPr>
              <w:keepNext/>
              <w:keepLines/>
              <w:jc w:val="center"/>
            </w:pPr>
            <w:r w:rsidRPr="00EC60CB">
              <w:t>3.526</w:t>
            </w:r>
          </w:p>
        </w:tc>
        <w:tc>
          <w:tcPr>
            <w:tcW w:w="1260" w:type="dxa"/>
            <w:tcBorders>
              <w:top w:val="single" w:sz="7" w:space="0" w:color="000000"/>
              <w:left w:val="single" w:sz="7" w:space="0" w:color="000000"/>
              <w:bottom w:val="single" w:sz="6" w:space="0" w:color="FFFFFF"/>
              <w:right w:val="single" w:sz="6" w:space="0" w:color="FFFFFF"/>
            </w:tcBorders>
            <w:vAlign w:val="center"/>
          </w:tcPr>
          <w:p w:rsidR="007F2B0B" w:rsidRPr="00EC60CB" w:rsidRDefault="007F2B0B" w:rsidP="007F2B0B">
            <w:pPr>
              <w:keepNext/>
              <w:keepLines/>
              <w:jc w:val="center"/>
            </w:pPr>
            <w:r w:rsidRPr="00EC60CB">
              <w:t>4.308</w:t>
            </w:r>
          </w:p>
        </w:tc>
        <w:tc>
          <w:tcPr>
            <w:tcW w:w="1350" w:type="dxa"/>
            <w:tcBorders>
              <w:top w:val="single" w:sz="7" w:space="0" w:color="000000"/>
              <w:left w:val="single" w:sz="7" w:space="0" w:color="000000"/>
              <w:bottom w:val="single" w:sz="6" w:space="0" w:color="FFFFFF"/>
              <w:right w:val="double" w:sz="7" w:space="0" w:color="000000"/>
            </w:tcBorders>
            <w:vAlign w:val="center"/>
          </w:tcPr>
          <w:p w:rsidR="007F2B0B" w:rsidRPr="00EC60CB" w:rsidRDefault="007F2B0B" w:rsidP="007F2B0B">
            <w:pPr>
              <w:keepNext/>
              <w:keepLines/>
              <w:jc w:val="center"/>
            </w:pPr>
            <w:r w:rsidRPr="00EC60CB">
              <w:t>3.203</w:t>
            </w:r>
          </w:p>
        </w:tc>
      </w:tr>
      <w:tr w:rsidR="007F2B0B" w:rsidRPr="00EC60CB" w:rsidTr="007F2B0B">
        <w:trPr>
          <w:cantSplit/>
          <w:trHeight w:val="461"/>
        </w:trPr>
        <w:tc>
          <w:tcPr>
            <w:tcW w:w="1080" w:type="dxa"/>
            <w:tcBorders>
              <w:top w:val="single" w:sz="7" w:space="0" w:color="000000"/>
              <w:left w:val="double" w:sz="7" w:space="0" w:color="000000"/>
              <w:bottom w:val="double" w:sz="7" w:space="0" w:color="000000"/>
              <w:right w:val="single" w:sz="6" w:space="0" w:color="FFFFFF"/>
            </w:tcBorders>
            <w:vAlign w:val="center"/>
          </w:tcPr>
          <w:p w:rsidR="007F2B0B" w:rsidRPr="00EC60CB" w:rsidRDefault="007F2B0B" w:rsidP="007F2B0B">
            <w:pPr>
              <w:keepNext/>
              <w:keepLines/>
              <w:jc w:val="center"/>
            </w:pPr>
            <w:r w:rsidRPr="00EC60CB">
              <w:t>D</w:t>
            </w:r>
          </w:p>
        </w:tc>
        <w:tc>
          <w:tcPr>
            <w:tcW w:w="2340" w:type="dxa"/>
            <w:tcBorders>
              <w:top w:val="single" w:sz="7" w:space="0" w:color="000000"/>
              <w:left w:val="single" w:sz="7" w:space="0" w:color="000000"/>
              <w:bottom w:val="double" w:sz="7" w:space="0" w:color="000000"/>
              <w:right w:val="single" w:sz="6" w:space="0" w:color="FFFFFF"/>
            </w:tcBorders>
            <w:vAlign w:val="center"/>
          </w:tcPr>
          <w:p w:rsidR="007F2B0B" w:rsidRPr="00EC60CB" w:rsidRDefault="007F2B0B" w:rsidP="007F2B0B">
            <w:pPr>
              <w:keepNext/>
              <w:keepLines/>
              <w:spacing w:after="58"/>
              <w:jc w:val="center"/>
            </w:pPr>
            <w:r w:rsidRPr="00EC60CB">
              <w:t>OSI/II</w:t>
            </w:r>
          </w:p>
        </w:tc>
        <w:tc>
          <w:tcPr>
            <w:tcW w:w="1530" w:type="dxa"/>
            <w:tcBorders>
              <w:top w:val="single" w:sz="7" w:space="0" w:color="000000"/>
              <w:left w:val="single" w:sz="7" w:space="0" w:color="000000"/>
              <w:bottom w:val="double" w:sz="7" w:space="0" w:color="000000"/>
              <w:right w:val="single" w:sz="6" w:space="0" w:color="FFFFFF"/>
            </w:tcBorders>
            <w:vAlign w:val="center"/>
          </w:tcPr>
          <w:p w:rsidR="007F2B0B" w:rsidRPr="00EC60CB" w:rsidRDefault="007F2B0B" w:rsidP="007F2B0B">
            <w:pPr>
              <w:keepNext/>
              <w:keepLines/>
              <w:spacing w:after="58"/>
              <w:jc w:val="center"/>
            </w:pPr>
            <w:r w:rsidRPr="00EC60CB">
              <w:t>1.00777</w:t>
            </w:r>
          </w:p>
        </w:tc>
        <w:tc>
          <w:tcPr>
            <w:tcW w:w="1350" w:type="dxa"/>
            <w:tcBorders>
              <w:top w:val="single" w:sz="7" w:space="0" w:color="000000"/>
              <w:left w:val="single" w:sz="7" w:space="0" w:color="000000"/>
              <w:bottom w:val="double" w:sz="7" w:space="0" w:color="000000"/>
              <w:right w:val="single" w:sz="6" w:space="0" w:color="FFFFFF"/>
            </w:tcBorders>
            <w:vAlign w:val="center"/>
          </w:tcPr>
          <w:p w:rsidR="007F2B0B" w:rsidRPr="00EC60CB" w:rsidRDefault="007F2B0B" w:rsidP="007F2B0B">
            <w:pPr>
              <w:keepNext/>
              <w:keepLines/>
              <w:spacing w:after="58"/>
              <w:jc w:val="center"/>
            </w:pPr>
            <w:r w:rsidRPr="00EC60CB">
              <w:t>3.631</w:t>
            </w:r>
          </w:p>
        </w:tc>
        <w:tc>
          <w:tcPr>
            <w:tcW w:w="1260" w:type="dxa"/>
            <w:tcBorders>
              <w:top w:val="single" w:sz="7" w:space="0" w:color="000000"/>
              <w:left w:val="single" w:sz="7" w:space="0" w:color="000000"/>
              <w:bottom w:val="double" w:sz="7" w:space="0" w:color="000000"/>
              <w:right w:val="single" w:sz="6" w:space="0" w:color="FFFFFF"/>
            </w:tcBorders>
            <w:vAlign w:val="center"/>
          </w:tcPr>
          <w:p w:rsidR="007F2B0B" w:rsidRPr="00EC60CB" w:rsidRDefault="007F2B0B" w:rsidP="007F2B0B">
            <w:pPr>
              <w:keepNext/>
              <w:keepLines/>
              <w:spacing w:after="58"/>
              <w:jc w:val="center"/>
            </w:pPr>
            <w:r w:rsidRPr="00EC60CB">
              <w:t>N/A</w:t>
            </w:r>
          </w:p>
        </w:tc>
        <w:tc>
          <w:tcPr>
            <w:tcW w:w="1350" w:type="dxa"/>
            <w:tcBorders>
              <w:top w:val="single" w:sz="7" w:space="0" w:color="000000"/>
              <w:left w:val="single" w:sz="7" w:space="0" w:color="000000"/>
              <w:bottom w:val="double" w:sz="7" w:space="0" w:color="000000"/>
              <w:right w:val="double" w:sz="7" w:space="0" w:color="000000"/>
            </w:tcBorders>
            <w:vAlign w:val="center"/>
          </w:tcPr>
          <w:p w:rsidR="007F2B0B" w:rsidRPr="00EC60CB" w:rsidRDefault="007F2B0B" w:rsidP="007F2B0B">
            <w:pPr>
              <w:keepNext/>
              <w:keepLines/>
              <w:spacing w:after="58"/>
              <w:jc w:val="center"/>
            </w:pPr>
            <w:r w:rsidRPr="00EC60CB">
              <w:t>N/A</w:t>
            </w:r>
          </w:p>
        </w:tc>
      </w:tr>
      <w:tr w:rsidR="007F2B0B" w:rsidRPr="00EC60CB" w:rsidTr="007F2B0B">
        <w:trPr>
          <w:cantSplit/>
          <w:trHeight w:val="930"/>
        </w:trPr>
        <w:tc>
          <w:tcPr>
            <w:tcW w:w="8910" w:type="dxa"/>
            <w:gridSpan w:val="6"/>
            <w:tcBorders>
              <w:top w:val="single" w:sz="7" w:space="0" w:color="000000"/>
              <w:left w:val="double" w:sz="7" w:space="0" w:color="000000"/>
              <w:bottom w:val="double" w:sz="7" w:space="0" w:color="000000"/>
              <w:right w:val="double" w:sz="7" w:space="0" w:color="000000"/>
            </w:tcBorders>
            <w:vAlign w:val="bottom"/>
          </w:tcPr>
          <w:p w:rsidR="007F2B0B" w:rsidRPr="00EC60CB" w:rsidRDefault="007F2B0B" w:rsidP="007F2B0B">
            <w:pPr>
              <w:keepNext/>
              <w:keepLines/>
              <w:rPr>
                <w:sz w:val="20"/>
                <w:szCs w:val="20"/>
              </w:rPr>
            </w:pPr>
            <w:r w:rsidRPr="00EC60CB">
              <w:rPr>
                <w:sz w:val="20"/>
                <w:szCs w:val="20"/>
              </w:rPr>
              <w:t>*The recovery factor applicable to customers taking service under Rate Schedule SBS is determined as follows:  (1) customers with a contract demand in the range of 100 to 499 kW will use the recovery factor applicable to Rate Schedule GSD; (2) customers with a contract demand in the range of 500 to 7,499 kW will use the recovery factor applicable to Rate Schedule LP; and (3) customers with a contract demand over 7,499 kW will use the recovery factor applicable to Rate Schedule PX.</w:t>
            </w:r>
          </w:p>
        </w:tc>
      </w:tr>
    </w:tbl>
    <w:p w:rsidR="007F2B0B" w:rsidRPr="00EC60CB" w:rsidRDefault="007F2B0B" w:rsidP="007F2B0B">
      <w:r w:rsidRPr="00EC60CB">
        <w:t xml:space="preserve">       </w:t>
      </w:r>
    </w:p>
    <w:p w:rsidR="007F2B0B" w:rsidRPr="00CD5CCD" w:rsidRDefault="007F2B0B" w:rsidP="007F2B0B">
      <w:pPr>
        <w:autoSpaceDE w:val="0"/>
        <w:autoSpaceDN w:val="0"/>
        <w:adjustRightInd w:val="0"/>
        <w:rPr>
          <w:rFonts w:cs="Calibri"/>
          <w:b/>
          <w:bCs/>
          <w:caps/>
          <w:u w:val="single"/>
        </w:rPr>
      </w:pPr>
    </w:p>
    <w:p w:rsidR="007F2B0B" w:rsidRPr="00CD5CCD" w:rsidRDefault="007F2B0B" w:rsidP="007F2B0B">
      <w:pPr>
        <w:autoSpaceDE w:val="0"/>
        <w:autoSpaceDN w:val="0"/>
        <w:adjustRightInd w:val="0"/>
        <w:rPr>
          <w:rFonts w:cs="Calibri"/>
          <w:b/>
          <w:bCs/>
          <w:caps/>
          <w:u w:val="single"/>
        </w:rPr>
      </w:pPr>
    </w:p>
    <w:p w:rsidR="007F2B0B" w:rsidRPr="00EC60CB" w:rsidRDefault="007F2B0B" w:rsidP="007F2B0B">
      <w:pPr>
        <w:keepNext/>
        <w:keepLines/>
        <w:tabs>
          <w:tab w:val="left" w:pos="-720"/>
        </w:tabs>
        <w:suppressAutoHyphens/>
        <w:rPr>
          <w:rFonts w:cs="Arial"/>
        </w:rPr>
      </w:pPr>
      <w:r w:rsidRPr="00EC60CB">
        <w:tab/>
        <w:t>TECO:</w:t>
      </w:r>
      <w:r w:rsidRPr="00EC60CB">
        <w:rPr>
          <w:b/>
        </w:rPr>
        <w:t xml:space="preserve">  </w:t>
      </w:r>
    </w:p>
    <w:p w:rsidR="007F2B0B" w:rsidRPr="00EC60CB" w:rsidRDefault="007F2B0B" w:rsidP="007F2B0B">
      <w:pPr>
        <w:keepNext/>
        <w:keepLines/>
        <w:tabs>
          <w:tab w:val="left" w:pos="-720"/>
          <w:tab w:val="left" w:pos="1440"/>
          <w:tab w:val="center" w:pos="6210"/>
          <w:tab w:val="decimal" w:pos="6300"/>
        </w:tabs>
        <w:suppressAutoHyphens/>
        <w:rPr>
          <w:rFonts w:cs="Arial"/>
          <w:u w:val="single"/>
        </w:rPr>
      </w:pPr>
      <w:r w:rsidRPr="00EC60CB">
        <w:rPr>
          <w:rFonts w:cs="Arial"/>
        </w:rPr>
        <w:tab/>
      </w:r>
      <w:r w:rsidRPr="00EC60CB">
        <w:rPr>
          <w:rFonts w:cs="Arial"/>
        </w:rPr>
        <w:tab/>
      </w:r>
    </w:p>
    <w:tbl>
      <w:tblPr>
        <w:tblStyle w:val="TableGrid"/>
        <w:tblW w:w="0" w:type="auto"/>
        <w:tblInd w:w="108" w:type="dxa"/>
        <w:tblLook w:val="04A0" w:firstRow="1" w:lastRow="0" w:firstColumn="1" w:lastColumn="0" w:noHBand="0" w:noVBand="1"/>
      </w:tblPr>
      <w:tblGrid>
        <w:gridCol w:w="4044"/>
        <w:gridCol w:w="2712"/>
        <w:gridCol w:w="2712"/>
      </w:tblGrid>
      <w:tr w:rsidR="007F2B0B" w:rsidRPr="00EC60CB" w:rsidTr="007F2B0B">
        <w:tc>
          <w:tcPr>
            <w:tcW w:w="4044" w:type="dxa"/>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rFonts w:cs="Arial"/>
                <w:u w:val="single"/>
              </w:rPr>
              <w:t>Metering Voltage Level</w:t>
            </w:r>
          </w:p>
        </w:tc>
        <w:tc>
          <w:tcPr>
            <w:tcW w:w="5424" w:type="dxa"/>
            <w:gridSpan w:val="2"/>
          </w:tcPr>
          <w:p w:rsidR="007F2B0B" w:rsidRPr="00EC60CB" w:rsidRDefault="007F2B0B" w:rsidP="007F2B0B">
            <w:pPr>
              <w:pStyle w:val="Footer"/>
              <w:keepNext/>
              <w:keepLines/>
              <w:widowControl w:val="0"/>
              <w:tabs>
                <w:tab w:val="center" w:pos="5940"/>
                <w:tab w:val="center" w:pos="7380"/>
              </w:tabs>
              <w:suppressAutoHyphens/>
              <w:jc w:val="center"/>
              <w:rPr>
                <w:bCs/>
                <w:u w:val="single"/>
              </w:rPr>
            </w:pPr>
            <w:r w:rsidRPr="00EC60CB">
              <w:rPr>
                <w:bCs/>
                <w:u w:val="single"/>
              </w:rPr>
              <w:t>Fuel Charge Factor (cents per kWh)</w:t>
            </w:r>
          </w:p>
        </w:tc>
      </w:tr>
      <w:tr w:rsidR="007F2B0B" w:rsidRPr="00EC60CB" w:rsidTr="007F2B0B">
        <w:tc>
          <w:tcPr>
            <w:tcW w:w="4044" w:type="dxa"/>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Secondary</w:t>
            </w:r>
          </w:p>
        </w:tc>
        <w:tc>
          <w:tcPr>
            <w:tcW w:w="5424" w:type="dxa"/>
            <w:gridSpan w:val="2"/>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3.676</w:t>
            </w:r>
          </w:p>
        </w:tc>
      </w:tr>
      <w:tr w:rsidR="007F2B0B" w:rsidRPr="00EC60CB" w:rsidTr="007F2B0B">
        <w:tc>
          <w:tcPr>
            <w:tcW w:w="4044" w:type="dxa"/>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RS Tier I (Up to 1,000 kWh)</w:t>
            </w:r>
          </w:p>
        </w:tc>
        <w:tc>
          <w:tcPr>
            <w:tcW w:w="5424" w:type="dxa"/>
            <w:gridSpan w:val="2"/>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3.361</w:t>
            </w:r>
          </w:p>
        </w:tc>
      </w:tr>
      <w:tr w:rsidR="007F2B0B" w:rsidRPr="00EC60CB" w:rsidTr="007F2B0B">
        <w:tc>
          <w:tcPr>
            <w:tcW w:w="4044" w:type="dxa"/>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RS Tier II (Over 1,000 kWh)</w:t>
            </w:r>
          </w:p>
        </w:tc>
        <w:tc>
          <w:tcPr>
            <w:tcW w:w="5424" w:type="dxa"/>
            <w:gridSpan w:val="2"/>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4.361</w:t>
            </w:r>
          </w:p>
        </w:tc>
      </w:tr>
      <w:tr w:rsidR="007F2B0B" w:rsidRPr="00EC60CB" w:rsidTr="007F2B0B">
        <w:tc>
          <w:tcPr>
            <w:tcW w:w="4044" w:type="dxa"/>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Distribution Primary</w:t>
            </w:r>
          </w:p>
        </w:tc>
        <w:tc>
          <w:tcPr>
            <w:tcW w:w="5424" w:type="dxa"/>
            <w:gridSpan w:val="2"/>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3.639</w:t>
            </w:r>
          </w:p>
        </w:tc>
      </w:tr>
      <w:tr w:rsidR="007F2B0B" w:rsidRPr="00EC60CB" w:rsidTr="007F2B0B">
        <w:tc>
          <w:tcPr>
            <w:tcW w:w="4044" w:type="dxa"/>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Transmission</w:t>
            </w:r>
          </w:p>
        </w:tc>
        <w:tc>
          <w:tcPr>
            <w:tcW w:w="5424" w:type="dxa"/>
            <w:gridSpan w:val="2"/>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3.602</w:t>
            </w:r>
          </w:p>
        </w:tc>
      </w:tr>
      <w:tr w:rsidR="007F2B0B" w:rsidRPr="00EC60CB" w:rsidTr="007F2B0B">
        <w:tc>
          <w:tcPr>
            <w:tcW w:w="4044" w:type="dxa"/>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Lighting Service</w:t>
            </w:r>
          </w:p>
        </w:tc>
        <w:tc>
          <w:tcPr>
            <w:tcW w:w="5424" w:type="dxa"/>
            <w:gridSpan w:val="2"/>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3.627</w:t>
            </w:r>
          </w:p>
        </w:tc>
      </w:tr>
      <w:tr w:rsidR="007F2B0B" w:rsidRPr="00EC60CB" w:rsidTr="007F2B0B">
        <w:tc>
          <w:tcPr>
            <w:tcW w:w="4044" w:type="dxa"/>
            <w:vMerge w:val="restart"/>
            <w:vAlign w:val="center"/>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Distribution Secondary</w:t>
            </w:r>
          </w:p>
        </w:tc>
        <w:tc>
          <w:tcPr>
            <w:tcW w:w="2712" w:type="dxa"/>
          </w:tcPr>
          <w:p w:rsidR="007F2B0B" w:rsidRPr="00EC60CB" w:rsidRDefault="007F2B0B" w:rsidP="007F2B0B">
            <w:pPr>
              <w:jc w:val="center"/>
              <w:rPr>
                <w:bCs/>
              </w:rPr>
            </w:pPr>
            <w:r w:rsidRPr="00EC60CB">
              <w:rPr>
                <w:bCs/>
              </w:rPr>
              <w:t>3.937</w:t>
            </w:r>
          </w:p>
        </w:tc>
        <w:tc>
          <w:tcPr>
            <w:tcW w:w="2712" w:type="dxa"/>
          </w:tcPr>
          <w:p w:rsidR="007F2B0B" w:rsidRPr="00EC60CB" w:rsidRDefault="007F2B0B" w:rsidP="007F2B0B">
            <w:pPr>
              <w:jc w:val="center"/>
            </w:pPr>
            <w:r w:rsidRPr="00EC60CB">
              <w:rPr>
                <w:bCs/>
              </w:rPr>
              <w:t>(on-peak)</w:t>
            </w:r>
          </w:p>
        </w:tc>
      </w:tr>
      <w:tr w:rsidR="007F2B0B" w:rsidRPr="00EC60CB" w:rsidTr="007F2B0B">
        <w:tc>
          <w:tcPr>
            <w:tcW w:w="4044" w:type="dxa"/>
            <w:vMerge/>
          </w:tcPr>
          <w:p w:rsidR="007F2B0B" w:rsidRPr="00EC60CB" w:rsidRDefault="007F2B0B" w:rsidP="007F2B0B">
            <w:pPr>
              <w:pStyle w:val="Footer"/>
              <w:keepNext/>
              <w:keepLines/>
              <w:widowControl w:val="0"/>
              <w:tabs>
                <w:tab w:val="center" w:pos="5940"/>
                <w:tab w:val="center" w:pos="7380"/>
              </w:tabs>
              <w:suppressAutoHyphens/>
              <w:jc w:val="center"/>
              <w:rPr>
                <w:bCs/>
              </w:rPr>
            </w:pPr>
          </w:p>
        </w:tc>
        <w:tc>
          <w:tcPr>
            <w:tcW w:w="2712" w:type="dxa"/>
          </w:tcPr>
          <w:p w:rsidR="007F2B0B" w:rsidRPr="00EC60CB" w:rsidRDefault="007F2B0B" w:rsidP="007F2B0B">
            <w:pPr>
              <w:jc w:val="center"/>
              <w:rPr>
                <w:bCs/>
              </w:rPr>
            </w:pPr>
            <w:r w:rsidRPr="00EC60CB">
              <w:rPr>
                <w:bCs/>
              </w:rPr>
              <w:t>3.564</w:t>
            </w:r>
          </w:p>
        </w:tc>
        <w:tc>
          <w:tcPr>
            <w:tcW w:w="2712" w:type="dxa"/>
          </w:tcPr>
          <w:p w:rsidR="007F2B0B" w:rsidRPr="00EC60CB" w:rsidRDefault="007F2B0B" w:rsidP="007F2B0B">
            <w:pPr>
              <w:jc w:val="center"/>
            </w:pPr>
            <w:r w:rsidRPr="00EC60CB">
              <w:rPr>
                <w:bCs/>
              </w:rPr>
              <w:t>(off-peak)</w:t>
            </w:r>
          </w:p>
        </w:tc>
      </w:tr>
      <w:tr w:rsidR="007F2B0B" w:rsidRPr="00EC60CB" w:rsidTr="007F2B0B">
        <w:tc>
          <w:tcPr>
            <w:tcW w:w="4044" w:type="dxa"/>
            <w:vMerge w:val="restart"/>
            <w:vAlign w:val="center"/>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Distribution Primary</w:t>
            </w:r>
          </w:p>
        </w:tc>
        <w:tc>
          <w:tcPr>
            <w:tcW w:w="2712" w:type="dxa"/>
          </w:tcPr>
          <w:p w:rsidR="007F2B0B" w:rsidRPr="00EC60CB" w:rsidRDefault="007F2B0B" w:rsidP="007F2B0B">
            <w:pPr>
              <w:jc w:val="center"/>
              <w:rPr>
                <w:bCs/>
              </w:rPr>
            </w:pPr>
            <w:r w:rsidRPr="00EC60CB">
              <w:rPr>
                <w:bCs/>
              </w:rPr>
              <w:t>3.898</w:t>
            </w:r>
          </w:p>
        </w:tc>
        <w:tc>
          <w:tcPr>
            <w:tcW w:w="2712" w:type="dxa"/>
          </w:tcPr>
          <w:p w:rsidR="007F2B0B" w:rsidRPr="00EC60CB" w:rsidRDefault="007F2B0B" w:rsidP="007F2B0B">
            <w:pPr>
              <w:jc w:val="center"/>
            </w:pPr>
            <w:r w:rsidRPr="00EC60CB">
              <w:rPr>
                <w:bCs/>
              </w:rPr>
              <w:t>(on-peak)</w:t>
            </w:r>
          </w:p>
        </w:tc>
      </w:tr>
      <w:tr w:rsidR="007F2B0B" w:rsidRPr="00EC60CB" w:rsidTr="007F2B0B">
        <w:tc>
          <w:tcPr>
            <w:tcW w:w="4044" w:type="dxa"/>
            <w:vMerge/>
          </w:tcPr>
          <w:p w:rsidR="007F2B0B" w:rsidRPr="00EC60CB" w:rsidRDefault="007F2B0B" w:rsidP="007F2B0B">
            <w:pPr>
              <w:pStyle w:val="Footer"/>
              <w:keepNext/>
              <w:keepLines/>
              <w:widowControl w:val="0"/>
              <w:tabs>
                <w:tab w:val="center" w:pos="5940"/>
                <w:tab w:val="center" w:pos="7380"/>
              </w:tabs>
              <w:suppressAutoHyphens/>
              <w:jc w:val="center"/>
              <w:rPr>
                <w:bCs/>
              </w:rPr>
            </w:pPr>
          </w:p>
        </w:tc>
        <w:tc>
          <w:tcPr>
            <w:tcW w:w="2712" w:type="dxa"/>
          </w:tcPr>
          <w:p w:rsidR="007F2B0B" w:rsidRPr="00EC60CB" w:rsidRDefault="007F2B0B" w:rsidP="007F2B0B">
            <w:pPr>
              <w:jc w:val="center"/>
              <w:rPr>
                <w:bCs/>
              </w:rPr>
            </w:pPr>
            <w:r w:rsidRPr="00EC60CB">
              <w:rPr>
                <w:bCs/>
              </w:rPr>
              <w:t>3.528</w:t>
            </w:r>
          </w:p>
        </w:tc>
        <w:tc>
          <w:tcPr>
            <w:tcW w:w="2712" w:type="dxa"/>
          </w:tcPr>
          <w:p w:rsidR="007F2B0B" w:rsidRPr="00EC60CB" w:rsidRDefault="007F2B0B" w:rsidP="007F2B0B">
            <w:pPr>
              <w:jc w:val="center"/>
            </w:pPr>
            <w:r w:rsidRPr="00EC60CB">
              <w:rPr>
                <w:bCs/>
              </w:rPr>
              <w:t>(off-peak)</w:t>
            </w:r>
          </w:p>
        </w:tc>
      </w:tr>
      <w:tr w:rsidR="007F2B0B" w:rsidRPr="00EC60CB" w:rsidTr="007F2B0B">
        <w:tc>
          <w:tcPr>
            <w:tcW w:w="4044" w:type="dxa"/>
            <w:vMerge w:val="restart"/>
            <w:vAlign w:val="center"/>
          </w:tcPr>
          <w:p w:rsidR="007F2B0B" w:rsidRPr="00EC60CB" w:rsidRDefault="007F2B0B" w:rsidP="007F2B0B">
            <w:pPr>
              <w:pStyle w:val="Footer"/>
              <w:keepNext/>
              <w:keepLines/>
              <w:widowControl w:val="0"/>
              <w:tabs>
                <w:tab w:val="center" w:pos="5940"/>
                <w:tab w:val="center" w:pos="7380"/>
              </w:tabs>
              <w:suppressAutoHyphens/>
              <w:jc w:val="center"/>
              <w:rPr>
                <w:bCs/>
              </w:rPr>
            </w:pPr>
            <w:r w:rsidRPr="00EC60CB">
              <w:rPr>
                <w:bCs/>
              </w:rPr>
              <w:t>Transmission</w:t>
            </w:r>
          </w:p>
        </w:tc>
        <w:tc>
          <w:tcPr>
            <w:tcW w:w="2712" w:type="dxa"/>
          </w:tcPr>
          <w:p w:rsidR="007F2B0B" w:rsidRPr="00EC60CB" w:rsidRDefault="007F2B0B" w:rsidP="007F2B0B">
            <w:pPr>
              <w:jc w:val="center"/>
              <w:rPr>
                <w:bCs/>
              </w:rPr>
            </w:pPr>
            <w:r w:rsidRPr="00EC60CB">
              <w:rPr>
                <w:bCs/>
              </w:rPr>
              <w:t>3.858</w:t>
            </w:r>
          </w:p>
        </w:tc>
        <w:tc>
          <w:tcPr>
            <w:tcW w:w="2712" w:type="dxa"/>
          </w:tcPr>
          <w:p w:rsidR="007F2B0B" w:rsidRPr="00EC60CB" w:rsidRDefault="007F2B0B" w:rsidP="007F2B0B">
            <w:pPr>
              <w:jc w:val="center"/>
            </w:pPr>
            <w:r w:rsidRPr="00EC60CB">
              <w:rPr>
                <w:bCs/>
              </w:rPr>
              <w:t>(on-peak)</w:t>
            </w:r>
          </w:p>
        </w:tc>
      </w:tr>
      <w:tr w:rsidR="007F2B0B" w:rsidRPr="00EC60CB" w:rsidTr="007F2B0B">
        <w:tc>
          <w:tcPr>
            <w:tcW w:w="4044" w:type="dxa"/>
            <w:vMerge/>
          </w:tcPr>
          <w:p w:rsidR="007F2B0B" w:rsidRPr="00EC60CB" w:rsidRDefault="007F2B0B" w:rsidP="007F2B0B">
            <w:pPr>
              <w:pStyle w:val="Footer"/>
              <w:keepNext/>
              <w:keepLines/>
              <w:widowControl w:val="0"/>
              <w:tabs>
                <w:tab w:val="center" w:pos="5940"/>
                <w:tab w:val="center" w:pos="7380"/>
              </w:tabs>
              <w:suppressAutoHyphens/>
              <w:jc w:val="center"/>
              <w:rPr>
                <w:bCs/>
              </w:rPr>
            </w:pPr>
          </w:p>
        </w:tc>
        <w:tc>
          <w:tcPr>
            <w:tcW w:w="2712" w:type="dxa"/>
          </w:tcPr>
          <w:p w:rsidR="007F2B0B" w:rsidRPr="00EC60CB" w:rsidRDefault="007F2B0B" w:rsidP="007F2B0B">
            <w:pPr>
              <w:jc w:val="center"/>
              <w:rPr>
                <w:bCs/>
              </w:rPr>
            </w:pPr>
            <w:r w:rsidRPr="00EC60CB">
              <w:rPr>
                <w:bCs/>
              </w:rPr>
              <w:t>3.493</w:t>
            </w:r>
          </w:p>
        </w:tc>
        <w:tc>
          <w:tcPr>
            <w:tcW w:w="2712" w:type="dxa"/>
          </w:tcPr>
          <w:p w:rsidR="007F2B0B" w:rsidRPr="00EC60CB" w:rsidRDefault="007F2B0B" w:rsidP="007F2B0B">
            <w:pPr>
              <w:jc w:val="center"/>
            </w:pPr>
            <w:r w:rsidRPr="00EC60CB">
              <w:rPr>
                <w:bCs/>
              </w:rPr>
              <w:t>(off-peak)</w:t>
            </w:r>
          </w:p>
        </w:tc>
      </w:tr>
    </w:tbl>
    <w:p w:rsidR="007F2B0B" w:rsidRPr="00EC60CB" w:rsidRDefault="007F2B0B" w:rsidP="007F2B0B">
      <w:pPr>
        <w:pStyle w:val="Footer"/>
        <w:keepNext/>
        <w:keepLines/>
        <w:widowControl w:val="0"/>
        <w:tabs>
          <w:tab w:val="center" w:pos="5940"/>
          <w:tab w:val="center" w:pos="7380"/>
        </w:tabs>
        <w:suppressAutoHyphens/>
        <w:rPr>
          <w:bCs/>
        </w:rPr>
      </w:pPr>
      <w:r w:rsidRPr="00EC60CB">
        <w:rPr>
          <w:bCs/>
        </w:rPr>
        <w:t xml:space="preserve">  </w:t>
      </w:r>
    </w:p>
    <w:p w:rsidR="007F2B0B" w:rsidRPr="00EC60CB" w:rsidRDefault="007F2B0B" w:rsidP="007F2B0B">
      <w:pPr>
        <w:autoSpaceDE w:val="0"/>
        <w:autoSpaceDN w:val="0"/>
        <w:adjustRightInd w:val="0"/>
        <w:ind w:left="1440" w:hanging="1440"/>
        <w:jc w:val="both"/>
        <w:rPr>
          <w:bCs/>
        </w:rPr>
      </w:pPr>
    </w:p>
    <w:p w:rsidR="007F2B0B" w:rsidRDefault="007F2B0B" w:rsidP="007F2B0B">
      <w:pPr>
        <w:autoSpaceDE w:val="0"/>
        <w:autoSpaceDN w:val="0"/>
        <w:adjustRightInd w:val="0"/>
        <w:ind w:left="1440" w:hanging="1440"/>
        <w:jc w:val="both"/>
        <w:rPr>
          <w:iCs/>
          <w:color w:val="000000"/>
        </w:rPr>
      </w:pPr>
      <w:r w:rsidRPr="00EC60CB">
        <w:rPr>
          <w:bCs/>
        </w:rPr>
        <w:t>ISSUE 24A:</w:t>
      </w:r>
      <w:r w:rsidRPr="00EC60CB">
        <w:rPr>
          <w:bCs/>
        </w:rPr>
        <w:tab/>
      </w:r>
      <w:r w:rsidRPr="00EC60CB">
        <w:t>Yes.</w:t>
      </w:r>
      <w:r w:rsidRPr="00EC60CB">
        <w:rPr>
          <w:b/>
        </w:rPr>
        <w:t xml:space="preserve">  </w:t>
      </w:r>
      <w:r w:rsidRPr="00EC60CB">
        <w:rPr>
          <w:iCs/>
          <w:color w:val="000000"/>
        </w:rPr>
        <w:t>For the Crystal River 3 Uprate project, the amount to be included is $56,510,403, which was approved by the Commission in a bench vote at Hearing on August 18, 2015.  At Hearing, on August 18, 2015, the C</w:t>
      </w:r>
      <w:r w:rsidR="00721725">
        <w:rPr>
          <w:iCs/>
          <w:color w:val="000000"/>
        </w:rPr>
        <w:t>ommission</w:t>
      </w:r>
      <w:r w:rsidRPr="00EC60CB">
        <w:rPr>
          <w:iCs/>
          <w:color w:val="000000"/>
        </w:rPr>
        <w:t xml:space="preserve"> approved </w:t>
      </w:r>
      <w:r w:rsidRPr="00EC60CB">
        <w:rPr>
          <w:iCs/>
          <w:color w:val="000000"/>
        </w:rPr>
        <w:lastRenderedPageBreak/>
        <w:t>DEF’s stipulation with the parties to leave the Levy portion of the NCRC charge at $0 for 2016 and 2017.</w:t>
      </w:r>
    </w:p>
    <w:p w:rsidR="007F2B0B" w:rsidRPr="00EC60CB" w:rsidRDefault="007F2B0B" w:rsidP="007F2B0B">
      <w:pPr>
        <w:autoSpaceDE w:val="0"/>
        <w:autoSpaceDN w:val="0"/>
        <w:adjustRightInd w:val="0"/>
        <w:ind w:left="1440" w:hanging="1440"/>
        <w:jc w:val="both"/>
        <w:rPr>
          <w:bCs/>
        </w:rPr>
      </w:pPr>
    </w:p>
    <w:p w:rsidR="007F2B0B" w:rsidRPr="00EC60CB" w:rsidRDefault="007F2B0B" w:rsidP="007F2B0B">
      <w:pPr>
        <w:autoSpaceDE w:val="0"/>
        <w:autoSpaceDN w:val="0"/>
        <w:adjustRightInd w:val="0"/>
        <w:ind w:left="1440" w:hanging="1440"/>
        <w:jc w:val="both"/>
      </w:pPr>
      <w:r w:rsidRPr="00EC60CB">
        <w:t>ISSUE 25A:</w:t>
      </w:r>
      <w:r w:rsidRPr="00EC60CB">
        <w:tab/>
        <w:t>As approved by the Commission at its October 19, 2015 Special Agenda Conference, FPL has included $34,249,614.</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25B:</w:t>
      </w:r>
      <w:r w:rsidRPr="00EC60CB">
        <w:tab/>
        <w:t>The appropriate 2016 projected non-fuel revenue requirements for West County Energy Center Unit 3 (WCEC-3) to be recovered through the Capacity Clause is $145,515,209.</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25C:</w:t>
      </w:r>
      <w:r w:rsidRPr="00EC60CB">
        <w:tab/>
        <w:t>FPL has properly reflected in the capacity cost recovery clause the effects of acquiring the Cedar Bay facility and terminating the existing Cedar Bay power purchase agreement consistent with the terms of the settlement agreement between FPL and OPC approved in Docket No. 150075-EI.</w:t>
      </w:r>
    </w:p>
    <w:p w:rsidR="007F2B0B" w:rsidRPr="00EC60CB" w:rsidRDefault="007F2B0B" w:rsidP="007F2B0B">
      <w:pPr>
        <w:ind w:left="1440" w:hanging="1440"/>
        <w:jc w:val="both"/>
      </w:pPr>
    </w:p>
    <w:p w:rsidR="007F2B0B" w:rsidRPr="00EC60CB" w:rsidRDefault="007F2B0B" w:rsidP="007F2B0B">
      <w:pPr>
        <w:tabs>
          <w:tab w:val="left" w:pos="8571"/>
        </w:tabs>
        <w:autoSpaceDE w:val="0"/>
        <w:autoSpaceDN w:val="0"/>
        <w:adjustRightInd w:val="0"/>
        <w:ind w:left="1440" w:hanging="1440"/>
        <w:jc w:val="both"/>
        <w:rPr>
          <w:bCs/>
        </w:rPr>
      </w:pPr>
      <w:r w:rsidRPr="00EC60CB">
        <w:t>ISSUE 28:</w:t>
      </w:r>
      <w:r w:rsidRPr="00EC60CB">
        <w:tab/>
        <w:t>The appropriate final capacity cost recovery true-up amounts for the period January 2014 through December 2014 are as follows:</w:t>
      </w:r>
    </w:p>
    <w:p w:rsidR="007F2B0B" w:rsidRPr="00EC60CB" w:rsidRDefault="007F2B0B" w:rsidP="007F2B0B">
      <w:pPr>
        <w:tabs>
          <w:tab w:val="left" w:pos="8571"/>
        </w:tabs>
        <w:autoSpaceDE w:val="0"/>
        <w:autoSpaceDN w:val="0"/>
        <w:adjustRightInd w:val="0"/>
        <w:ind w:left="1440" w:hanging="1440"/>
        <w:jc w:val="both"/>
      </w:pPr>
      <w:r w:rsidRPr="00EC60CB">
        <w:tab/>
        <w:t>Duke:        $13,962,445 under-recovery.</w:t>
      </w:r>
    </w:p>
    <w:p w:rsidR="007F2B0B" w:rsidRPr="00EC60CB" w:rsidRDefault="007F2B0B" w:rsidP="007F2B0B">
      <w:pPr>
        <w:tabs>
          <w:tab w:val="left" w:pos="8571"/>
        </w:tabs>
        <w:autoSpaceDE w:val="0"/>
        <w:autoSpaceDN w:val="0"/>
        <w:adjustRightInd w:val="0"/>
        <w:ind w:left="1440" w:hanging="1440"/>
        <w:jc w:val="both"/>
      </w:pPr>
      <w:r w:rsidRPr="00EC60CB">
        <w:tab/>
        <w:t>Gulf:         $893,047 under-recovery.</w:t>
      </w:r>
    </w:p>
    <w:p w:rsidR="007F2B0B" w:rsidRPr="00721725" w:rsidRDefault="007F2B0B" w:rsidP="007F2B0B">
      <w:pPr>
        <w:pStyle w:val="NoSpacing"/>
        <w:ind w:left="2880" w:hanging="1440"/>
        <w:rPr>
          <w:rFonts w:ascii="Times New Roman" w:hAnsi="Times New Roman"/>
        </w:rPr>
      </w:pPr>
      <w:r w:rsidRPr="00721725">
        <w:rPr>
          <w:rFonts w:ascii="Times New Roman" w:hAnsi="Times New Roman"/>
        </w:rPr>
        <w:t xml:space="preserve">FPL:          $2,951,171 under-recovery.  </w:t>
      </w:r>
    </w:p>
    <w:p w:rsidR="007F2B0B" w:rsidRPr="00EC60CB" w:rsidRDefault="007F2B0B" w:rsidP="007F2B0B">
      <w:pPr>
        <w:tabs>
          <w:tab w:val="left" w:pos="8571"/>
        </w:tabs>
        <w:autoSpaceDE w:val="0"/>
        <w:autoSpaceDN w:val="0"/>
        <w:adjustRightInd w:val="0"/>
        <w:ind w:left="1440" w:hanging="1440"/>
        <w:jc w:val="both"/>
      </w:pPr>
      <w:r w:rsidRPr="00EC60CB">
        <w:tab/>
        <w:t>TECO:       $140,386, over-recovery.</w:t>
      </w:r>
    </w:p>
    <w:p w:rsidR="007F2B0B" w:rsidRPr="00EC60CB" w:rsidRDefault="007F2B0B" w:rsidP="007F2B0B">
      <w:pPr>
        <w:ind w:left="1440" w:hanging="1440"/>
        <w:jc w:val="both"/>
      </w:pPr>
    </w:p>
    <w:p w:rsidR="007F2B0B" w:rsidRPr="00EC60CB" w:rsidRDefault="007F2B0B" w:rsidP="007F2B0B">
      <w:pPr>
        <w:ind w:left="1440" w:hanging="1440"/>
        <w:jc w:val="both"/>
      </w:pPr>
      <w:r w:rsidRPr="00EC60CB">
        <w:t>ISSUE 29:</w:t>
      </w:r>
      <w:r w:rsidRPr="00EC60CB">
        <w:tab/>
        <w:t>The appropriate final capacity cost recovery actual/estimated true-up amounts for the period January 2015 through December 2015 are as follows:</w:t>
      </w:r>
    </w:p>
    <w:p w:rsidR="007F2B0B" w:rsidRPr="00EC60CB" w:rsidRDefault="007F2B0B" w:rsidP="007F2B0B">
      <w:pPr>
        <w:ind w:left="1440" w:hanging="1440"/>
        <w:jc w:val="both"/>
      </w:pPr>
      <w:r w:rsidRPr="00EC60CB">
        <w:tab/>
        <w:t>Duke:</w:t>
      </w:r>
      <w:r w:rsidRPr="00EC60CB">
        <w:tab/>
      </w:r>
      <w:r w:rsidRPr="00EC60CB">
        <w:tab/>
        <w:t>$24,680,810 under-recovery</w:t>
      </w:r>
    </w:p>
    <w:p w:rsidR="007F2B0B" w:rsidRPr="00EC60CB" w:rsidRDefault="007F2B0B" w:rsidP="007F2B0B">
      <w:pPr>
        <w:ind w:left="1440" w:hanging="1440"/>
        <w:jc w:val="both"/>
      </w:pPr>
      <w:r w:rsidRPr="00EC60CB">
        <w:tab/>
        <w:t>Gulf:</w:t>
      </w:r>
      <w:r w:rsidRPr="00EC60CB">
        <w:tab/>
      </w:r>
      <w:r w:rsidRPr="00EC60CB">
        <w:tab/>
        <w:t>$910,906 over-recovery</w:t>
      </w:r>
    </w:p>
    <w:p w:rsidR="007F2B0B" w:rsidRPr="00EC60CB" w:rsidRDefault="007F2B0B" w:rsidP="007F2B0B">
      <w:pPr>
        <w:ind w:left="1440" w:hanging="1440"/>
        <w:jc w:val="both"/>
      </w:pPr>
      <w:r w:rsidRPr="00EC60CB">
        <w:tab/>
        <w:t>FPL:</w:t>
      </w:r>
      <w:r w:rsidRPr="00EC60CB">
        <w:tab/>
      </w:r>
      <w:r w:rsidRPr="00EC60CB">
        <w:tab/>
        <w:t>$7,699,316 over-recovery</w:t>
      </w:r>
    </w:p>
    <w:p w:rsidR="007F2B0B" w:rsidRPr="00EC60CB" w:rsidRDefault="007F2B0B" w:rsidP="007F2B0B">
      <w:pPr>
        <w:ind w:left="1440" w:hanging="1440"/>
        <w:jc w:val="both"/>
      </w:pPr>
      <w:r w:rsidRPr="00EC60CB">
        <w:tab/>
        <w:t>TECO:</w:t>
      </w:r>
      <w:r w:rsidRPr="00EC60CB">
        <w:tab/>
      </w:r>
      <w:r w:rsidRPr="00EC60CB">
        <w:tab/>
        <w:t>$2,063,383 over-recovery</w:t>
      </w:r>
    </w:p>
    <w:p w:rsidR="007F2B0B" w:rsidRPr="00EC60CB" w:rsidRDefault="007F2B0B" w:rsidP="007F2B0B">
      <w:pPr>
        <w:ind w:left="1440" w:hanging="1440"/>
        <w:jc w:val="both"/>
      </w:pPr>
    </w:p>
    <w:p w:rsidR="007F2B0B" w:rsidRPr="00EC60CB" w:rsidRDefault="007F2B0B" w:rsidP="007F2B0B">
      <w:pPr>
        <w:tabs>
          <w:tab w:val="left" w:pos="8571"/>
        </w:tabs>
        <w:autoSpaceDE w:val="0"/>
        <w:autoSpaceDN w:val="0"/>
        <w:adjustRightInd w:val="0"/>
        <w:ind w:left="1440" w:hanging="1440"/>
        <w:jc w:val="both"/>
        <w:rPr>
          <w:bCs/>
        </w:rPr>
      </w:pPr>
      <w:r w:rsidRPr="00EC60CB">
        <w:t>ISSUE 30:</w:t>
      </w:r>
      <w:r w:rsidRPr="00EC60CB">
        <w:tab/>
        <w:t>The appropriate final capacity cost recovery true-up amounts to be collected/refunded during the period January 2016 through December 2016 are as follows:</w:t>
      </w:r>
    </w:p>
    <w:p w:rsidR="007F2B0B" w:rsidRPr="00EC60CB" w:rsidRDefault="007F2B0B" w:rsidP="007F2B0B">
      <w:pPr>
        <w:tabs>
          <w:tab w:val="left" w:pos="8571"/>
        </w:tabs>
        <w:autoSpaceDE w:val="0"/>
        <w:autoSpaceDN w:val="0"/>
        <w:adjustRightInd w:val="0"/>
        <w:ind w:left="1440" w:hanging="1440"/>
        <w:jc w:val="both"/>
      </w:pPr>
      <w:r w:rsidRPr="00EC60CB">
        <w:tab/>
        <w:t>Duke:  $38,643,256, to be collected (under-recovery).</w:t>
      </w:r>
    </w:p>
    <w:p w:rsidR="007F2B0B" w:rsidRPr="00EC60CB" w:rsidRDefault="007F2B0B" w:rsidP="007F2B0B">
      <w:pPr>
        <w:tabs>
          <w:tab w:val="left" w:pos="8571"/>
        </w:tabs>
        <w:autoSpaceDE w:val="0"/>
        <w:autoSpaceDN w:val="0"/>
        <w:adjustRightInd w:val="0"/>
        <w:ind w:left="1440" w:hanging="1440"/>
        <w:jc w:val="both"/>
      </w:pPr>
      <w:r w:rsidRPr="00EC60CB">
        <w:tab/>
        <w:t>Gulf:  $17,859, to be refunded (over-recovery).</w:t>
      </w:r>
    </w:p>
    <w:p w:rsidR="007F2B0B" w:rsidRPr="00721725" w:rsidRDefault="007F2B0B" w:rsidP="007F2B0B">
      <w:pPr>
        <w:pStyle w:val="NoSpacing"/>
        <w:ind w:left="2880" w:hanging="1440"/>
        <w:rPr>
          <w:rFonts w:ascii="Times New Roman" w:hAnsi="Times New Roman"/>
        </w:rPr>
      </w:pPr>
      <w:r w:rsidRPr="00721725">
        <w:rPr>
          <w:rFonts w:ascii="Times New Roman" w:hAnsi="Times New Roman"/>
        </w:rPr>
        <w:t>FPL:  $4,748,145, to be refunded (over-recovery).</w:t>
      </w:r>
    </w:p>
    <w:p w:rsidR="007F2B0B" w:rsidRPr="00EC60CB" w:rsidRDefault="007F2B0B" w:rsidP="007F2B0B">
      <w:pPr>
        <w:tabs>
          <w:tab w:val="left" w:pos="8571"/>
        </w:tabs>
        <w:autoSpaceDE w:val="0"/>
        <w:autoSpaceDN w:val="0"/>
        <w:adjustRightInd w:val="0"/>
        <w:ind w:left="1440" w:hanging="1440"/>
        <w:jc w:val="both"/>
      </w:pPr>
      <w:r w:rsidRPr="00EC60CB">
        <w:tab/>
        <w:t>TECO:  $2,203,769, to be refunded (over-recovery).</w:t>
      </w:r>
    </w:p>
    <w:p w:rsidR="007F2B0B" w:rsidRPr="00EC60CB" w:rsidRDefault="007F2B0B" w:rsidP="007F2B0B">
      <w:pPr>
        <w:autoSpaceDE w:val="0"/>
        <w:autoSpaceDN w:val="0"/>
        <w:adjustRightInd w:val="0"/>
        <w:jc w:val="both"/>
        <w:rPr>
          <w:b/>
          <w:bCs/>
          <w:u w:val="single"/>
        </w:rPr>
      </w:pPr>
    </w:p>
    <w:p w:rsidR="007F2B0B" w:rsidRPr="00EC60CB" w:rsidRDefault="007F2B0B" w:rsidP="007F2B0B">
      <w:pPr>
        <w:tabs>
          <w:tab w:val="left" w:pos="8571"/>
        </w:tabs>
        <w:autoSpaceDE w:val="0"/>
        <w:autoSpaceDN w:val="0"/>
        <w:adjustRightInd w:val="0"/>
        <w:ind w:left="1440" w:hanging="1440"/>
        <w:jc w:val="both"/>
      </w:pPr>
      <w:r>
        <w:br w:type="page"/>
      </w:r>
      <w:r w:rsidRPr="00EC60CB">
        <w:lastRenderedPageBreak/>
        <w:t>ISSUE 31:</w:t>
      </w:r>
      <w:r w:rsidRPr="00EC60CB">
        <w:tab/>
        <w:t>The appropriate projected total capacity cost recovery amounts for the period January 2016 through December 2016 are as follows</w:t>
      </w:r>
      <w:r w:rsidRPr="00392B7C">
        <w:t>:</w:t>
      </w:r>
    </w:p>
    <w:p w:rsidR="007F2B0B" w:rsidRPr="00EC60CB" w:rsidRDefault="007F2B0B" w:rsidP="007F2B0B">
      <w:pPr>
        <w:ind w:left="1440" w:hanging="1440"/>
        <w:jc w:val="both"/>
      </w:pPr>
      <w:r w:rsidRPr="00EC60CB">
        <w:tab/>
        <w:t xml:space="preserve">FPL:  Jurisdictionalized, $321,148,426 for the period January 2016 through December 2016, excluding prior period true-ups, revenue taxes, nuclear cost recovery amount, and WCEC-3 jurisdictional non-fuel revenue requirements.  </w:t>
      </w:r>
    </w:p>
    <w:p w:rsidR="007F2B0B" w:rsidRPr="00EC60CB" w:rsidRDefault="007F2B0B" w:rsidP="007F2B0B">
      <w:pPr>
        <w:ind w:left="1440" w:hanging="1440"/>
        <w:jc w:val="both"/>
      </w:pPr>
      <w:r w:rsidRPr="00EC60CB">
        <w:tab/>
        <w:t>Duke:</w:t>
      </w:r>
      <w:r w:rsidRPr="00EC60CB">
        <w:rPr>
          <w:b/>
        </w:rPr>
        <w:tab/>
      </w:r>
      <w:r w:rsidRPr="00EC60CB">
        <w:t xml:space="preserve">$358,842,970.  </w:t>
      </w:r>
    </w:p>
    <w:p w:rsidR="007F2B0B" w:rsidRPr="00EC60CB" w:rsidRDefault="007F2B0B" w:rsidP="007F2B0B">
      <w:pPr>
        <w:ind w:left="1440" w:hanging="1440"/>
        <w:jc w:val="both"/>
      </w:pPr>
      <w:r w:rsidRPr="00EC60CB">
        <w:tab/>
        <w:t>Gulf:</w:t>
      </w:r>
      <w:r w:rsidRPr="00EC60CB">
        <w:tab/>
        <w:t xml:space="preserve">$85,495,331.  </w:t>
      </w:r>
    </w:p>
    <w:p w:rsidR="007F2B0B" w:rsidRPr="00EC60CB" w:rsidRDefault="007F2B0B" w:rsidP="007F2B0B">
      <w:pPr>
        <w:ind w:left="1440" w:hanging="1440"/>
        <w:jc w:val="both"/>
      </w:pPr>
      <w:r w:rsidRPr="00EC60CB">
        <w:tab/>
        <w:t>TECO:</w:t>
      </w:r>
      <w:r w:rsidRPr="00EC60CB">
        <w:rPr>
          <w:b/>
        </w:rPr>
        <w:tab/>
      </w:r>
      <w:r w:rsidRPr="00EC60CB">
        <w:rPr>
          <w:bCs/>
        </w:rPr>
        <w:t xml:space="preserve">$30,473,670. </w:t>
      </w:r>
    </w:p>
    <w:p w:rsidR="007F2B0B" w:rsidRPr="00EC60CB" w:rsidRDefault="007F2B0B" w:rsidP="007F2B0B">
      <w:pPr>
        <w:ind w:left="1440" w:hanging="1440"/>
        <w:jc w:val="both"/>
      </w:pPr>
    </w:p>
    <w:p w:rsidR="007F2B0B" w:rsidRPr="00EC60CB" w:rsidRDefault="007F2B0B" w:rsidP="007F2B0B">
      <w:pPr>
        <w:tabs>
          <w:tab w:val="left" w:pos="8571"/>
        </w:tabs>
        <w:autoSpaceDE w:val="0"/>
        <w:autoSpaceDN w:val="0"/>
        <w:adjustRightInd w:val="0"/>
        <w:ind w:left="1440" w:hanging="1440"/>
        <w:jc w:val="both"/>
        <w:rPr>
          <w:b/>
        </w:rPr>
      </w:pPr>
      <w:r w:rsidRPr="00EC60CB">
        <w:t>ISSUE 32:</w:t>
      </w:r>
      <w:r w:rsidRPr="00EC60CB">
        <w:tab/>
        <w:t>The appropriate projected net purchased power capacity cost recovery amounts to be included in the recovery factor for the period January 2016 through December 2016 are as follows:</w:t>
      </w:r>
    </w:p>
    <w:p w:rsidR="007F2B0B" w:rsidRPr="00EC60CB" w:rsidRDefault="007F2B0B" w:rsidP="007F2B0B">
      <w:pPr>
        <w:ind w:left="1440" w:hanging="1440"/>
        <w:jc w:val="both"/>
      </w:pPr>
      <w:r w:rsidRPr="00EC60CB">
        <w:rPr>
          <w:bCs/>
        </w:rPr>
        <w:tab/>
        <w:t>FPL</w:t>
      </w:r>
      <w:r w:rsidRPr="00392B7C">
        <w:rPr>
          <w:bCs/>
        </w:rPr>
        <w:t>:</w:t>
      </w:r>
      <w:r w:rsidRPr="00392B7C">
        <w:rPr>
          <w:bCs/>
        </w:rPr>
        <w:tab/>
      </w:r>
      <w:r w:rsidRPr="00EC60CB">
        <w:t xml:space="preserve">The projected net purchased power capacity cost recovery amount to be recovered over the period January 2016 through December 2016 is $496,417,572, including prior period true-ups, revenue taxes, the nuclear cost recovery amount and WCEC-3 revenue requirements. </w:t>
      </w:r>
    </w:p>
    <w:p w:rsidR="007F2B0B" w:rsidRPr="00EC60CB" w:rsidRDefault="007F2B0B" w:rsidP="007F2B0B">
      <w:pPr>
        <w:ind w:left="1440" w:hanging="1440"/>
        <w:jc w:val="both"/>
      </w:pPr>
      <w:r w:rsidRPr="00EC60CB">
        <w:tab/>
        <w:t>Duke:</w:t>
      </w:r>
      <w:r w:rsidRPr="00EC60CB">
        <w:rPr>
          <w:b/>
        </w:rPr>
        <w:tab/>
      </w:r>
      <w:r w:rsidRPr="00EC60CB">
        <w:t xml:space="preserve">The appropriate projected net purchased power capacity cost recovery amount, excluding nuclear cost recovery, is $397,772,416.  The appropriate nuclear cost recovery amount is that which is approved in Issue 24A.  </w:t>
      </w:r>
    </w:p>
    <w:p w:rsidR="007F2B0B" w:rsidRPr="00EC60CB" w:rsidRDefault="007F2B0B" w:rsidP="007F2B0B">
      <w:pPr>
        <w:ind w:left="1440" w:hanging="1440"/>
        <w:jc w:val="both"/>
      </w:pPr>
      <w:r w:rsidRPr="00EC60CB">
        <w:tab/>
        <w:t>Gulf:</w:t>
      </w:r>
      <w:r w:rsidRPr="00EC60CB">
        <w:rPr>
          <w:b/>
        </w:rPr>
        <w:tab/>
      </w:r>
      <w:r w:rsidRPr="00EC60CB">
        <w:t xml:space="preserve">$85,539,016 including prior period true-up amounts and revenue taxes. </w:t>
      </w:r>
    </w:p>
    <w:p w:rsidR="007F2B0B" w:rsidRPr="00EC60CB" w:rsidRDefault="007F2B0B" w:rsidP="007F2B0B">
      <w:pPr>
        <w:ind w:left="1440" w:hanging="1440"/>
        <w:jc w:val="both"/>
      </w:pPr>
      <w:r w:rsidRPr="00EC60CB">
        <w:tab/>
        <w:t>TECO:</w:t>
      </w:r>
      <w:r w:rsidRPr="00EC60CB">
        <w:rPr>
          <w:b/>
        </w:rPr>
        <w:tab/>
      </w:r>
      <w:r w:rsidRPr="00EC60CB">
        <w:rPr>
          <w:bCs/>
        </w:rPr>
        <w:t xml:space="preserve">The total recoverable capacity cost recovery amount to be collected, including the true-up amount and adjusted for the revenue tax factor, is $28,290,255.  </w:t>
      </w:r>
    </w:p>
    <w:p w:rsidR="007F2B0B" w:rsidRPr="00EC60CB" w:rsidRDefault="007F2B0B" w:rsidP="007F2B0B"/>
    <w:p w:rsidR="007F2B0B" w:rsidRPr="00EC60CB" w:rsidRDefault="007F2B0B" w:rsidP="007F2B0B">
      <w:pPr>
        <w:ind w:left="1440" w:hanging="1440"/>
      </w:pPr>
      <w:r w:rsidRPr="00EC60CB">
        <w:t>ISSUE 33:</w:t>
      </w:r>
      <w:r w:rsidRPr="00EC60CB">
        <w:tab/>
        <w:t>The appropriate jurisdictional separation factors for capacity revenues and costs to be included in the recovery factor for the period January 2016 through December 2016 are as follows:</w:t>
      </w:r>
    </w:p>
    <w:p w:rsidR="007F2B0B" w:rsidRPr="00EC60CB" w:rsidRDefault="007F2B0B" w:rsidP="007F2B0B">
      <w:pPr>
        <w:keepNext/>
        <w:keepLines/>
        <w:ind w:left="1440" w:hanging="1440"/>
        <w:jc w:val="both"/>
      </w:pPr>
      <w:r w:rsidRPr="00EC60CB">
        <w:rPr>
          <w:bCs/>
        </w:rPr>
        <w:tab/>
        <w:t>FPL:  The appropriate jurisdictional separation factors are:</w:t>
      </w:r>
      <w:r w:rsidRPr="00EC60CB">
        <w:tab/>
      </w:r>
      <w:r w:rsidRPr="00EC60CB">
        <w:tab/>
      </w:r>
    </w:p>
    <w:p w:rsidR="007F2B0B" w:rsidRPr="00EC60CB" w:rsidRDefault="007F2B0B" w:rsidP="007F2B0B">
      <w:pPr>
        <w:keepNext/>
        <w:keepLines/>
        <w:ind w:left="1440" w:hanging="720"/>
        <w:jc w:val="both"/>
      </w:pPr>
      <w:r w:rsidRPr="00EC60CB">
        <w:tab/>
      </w:r>
      <w:r w:rsidRPr="00EC60CB">
        <w:tab/>
        <w:t>FPSC</w:t>
      </w:r>
      <w:r w:rsidRPr="00EC60CB">
        <w:tab/>
      </w:r>
      <w:r w:rsidRPr="00EC60CB">
        <w:tab/>
        <w:t>94.67506%</w:t>
      </w:r>
    </w:p>
    <w:p w:rsidR="007F2B0B" w:rsidRPr="00EC60CB" w:rsidRDefault="007F2B0B" w:rsidP="007F2B0B">
      <w:pPr>
        <w:keepNext/>
        <w:keepLines/>
        <w:ind w:left="1440" w:hanging="720"/>
        <w:jc w:val="both"/>
      </w:pPr>
      <w:r w:rsidRPr="00EC60CB">
        <w:tab/>
      </w:r>
      <w:r w:rsidRPr="00EC60CB">
        <w:tab/>
        <w:t xml:space="preserve">FERC     </w:t>
      </w:r>
      <w:r w:rsidRPr="00EC60CB">
        <w:tab/>
        <w:t xml:space="preserve">  5.32494%</w:t>
      </w:r>
      <w:r w:rsidRPr="00EC60CB">
        <w:tab/>
        <w:t xml:space="preserve"> </w:t>
      </w:r>
    </w:p>
    <w:p w:rsidR="007F2B0B" w:rsidRPr="00EC60CB" w:rsidRDefault="007F2B0B" w:rsidP="007F2B0B">
      <w:pPr>
        <w:ind w:left="1440" w:hanging="1440"/>
        <w:jc w:val="both"/>
      </w:pPr>
      <w:r w:rsidRPr="00EC60CB">
        <w:tab/>
        <w:t>Duke:  Base – 92.885%, Intermediate – 72.703%, Peaking – 95.924%, consistent with the Revised and Restated Stipulation and Settlement Agreement approved in Order No. PSC-13-0598-FOF-EI.</w:t>
      </w:r>
    </w:p>
    <w:p w:rsidR="007F2B0B" w:rsidRPr="00EC60CB" w:rsidRDefault="007F2B0B" w:rsidP="007F2B0B">
      <w:pPr>
        <w:ind w:left="1440" w:hanging="1440"/>
        <w:jc w:val="both"/>
      </w:pPr>
      <w:r w:rsidRPr="00EC60CB">
        <w:tab/>
        <w:t>Gulf</w:t>
      </w:r>
      <w:r w:rsidRPr="00392B7C">
        <w:t>:</w:t>
      </w:r>
      <w:r w:rsidRPr="00392B7C">
        <w:tab/>
      </w:r>
      <w:r w:rsidRPr="00EC60CB">
        <w:t xml:space="preserve">97.07146%.  </w:t>
      </w:r>
    </w:p>
    <w:p w:rsidR="007F2B0B" w:rsidRPr="00EC60CB" w:rsidRDefault="007F2B0B" w:rsidP="007F2B0B">
      <w:pPr>
        <w:jc w:val="both"/>
        <w:rPr>
          <w:b/>
        </w:rPr>
      </w:pPr>
      <w:r w:rsidRPr="00EC60CB">
        <w:tab/>
      </w:r>
      <w:r w:rsidRPr="00EC60CB">
        <w:tab/>
        <w:t>TECO:</w:t>
      </w:r>
      <w:r w:rsidRPr="00EC60CB">
        <w:rPr>
          <w:b/>
        </w:rPr>
        <w:tab/>
      </w:r>
      <w:r w:rsidRPr="00EC60CB">
        <w:rPr>
          <w:bCs/>
        </w:rPr>
        <w:t>The appropriate jurisdictional separation factor is 1.0000000.</w:t>
      </w:r>
    </w:p>
    <w:p w:rsidR="007F2B0B" w:rsidRPr="00EC60CB" w:rsidRDefault="007F2B0B" w:rsidP="007F2B0B">
      <w:pPr>
        <w:autoSpaceDE w:val="0"/>
        <w:autoSpaceDN w:val="0"/>
        <w:adjustRightInd w:val="0"/>
        <w:ind w:left="1440" w:hanging="1440"/>
        <w:jc w:val="both"/>
      </w:pPr>
    </w:p>
    <w:p w:rsidR="007F2B0B" w:rsidRPr="00EC60CB" w:rsidRDefault="007F2B0B" w:rsidP="007F2B0B">
      <w:pPr>
        <w:autoSpaceDE w:val="0"/>
        <w:autoSpaceDN w:val="0"/>
        <w:adjustRightInd w:val="0"/>
        <w:ind w:left="1440" w:hanging="1440"/>
        <w:jc w:val="both"/>
      </w:pPr>
      <w:r w:rsidRPr="00EC60CB">
        <w:t>ISSUE 34:</w:t>
      </w:r>
      <w:r w:rsidRPr="00EC60CB">
        <w:tab/>
        <w:t>The appropriate capacity cost recovery factors for the period January 2016 through December 2016 are shown below:</w:t>
      </w:r>
    </w:p>
    <w:p w:rsidR="007F2B0B" w:rsidRPr="00EC60CB" w:rsidRDefault="007F2B0B" w:rsidP="007F2B0B">
      <w:pPr>
        <w:autoSpaceDE w:val="0"/>
        <w:autoSpaceDN w:val="0"/>
        <w:adjustRightInd w:val="0"/>
        <w:ind w:left="1440" w:hanging="1440"/>
        <w:jc w:val="both"/>
      </w:pPr>
    </w:p>
    <w:p w:rsidR="007F2B0B" w:rsidRDefault="007F2B0B" w:rsidP="007F2B0B">
      <w:pPr>
        <w:autoSpaceDE w:val="0"/>
        <w:autoSpaceDN w:val="0"/>
        <w:adjustRightInd w:val="0"/>
        <w:ind w:left="1440" w:hanging="1440"/>
        <w:jc w:val="both"/>
      </w:pPr>
      <w:r w:rsidRPr="00EC60CB">
        <w:tab/>
        <w:t>FPL:</w:t>
      </w:r>
      <w:r w:rsidRPr="00EC60CB">
        <w:tab/>
        <w:t xml:space="preserve">See </w:t>
      </w:r>
      <w:r w:rsidR="00721725">
        <w:t xml:space="preserve">the table </w:t>
      </w:r>
      <w:r w:rsidRPr="00EC60CB">
        <w:t>on the next page.</w:t>
      </w:r>
      <w:r>
        <w:t xml:space="preserve"> </w:t>
      </w:r>
    </w:p>
    <w:p w:rsidR="007F2B0B" w:rsidRDefault="007F2B0B" w:rsidP="007F2B0B">
      <w:r>
        <w:br w:type="page"/>
      </w: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r>
        <w:rPr>
          <w:noProof/>
        </w:rPr>
        <w:drawing>
          <wp:anchor distT="0" distB="0" distL="114300" distR="114300" simplePos="0" relativeHeight="251659264" behindDoc="0" locked="0" layoutInCell="1" allowOverlap="1" wp14:anchorId="40A301C3" wp14:editId="4887663D">
            <wp:simplePos x="0" y="0"/>
            <wp:positionH relativeFrom="character">
              <wp:posOffset>-939165</wp:posOffset>
            </wp:positionH>
            <wp:positionV relativeFrom="line">
              <wp:posOffset>106680</wp:posOffset>
            </wp:positionV>
            <wp:extent cx="7769860" cy="5800725"/>
            <wp:effectExtent l="13017" t="25083" r="15558" b="15557"/>
            <wp:wrapNone/>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7769860" cy="5800725"/>
                    </a:xfrm>
                    <a:prstGeom prst="rect">
                      <a:avLst/>
                    </a:prstGeom>
                    <a:noFill/>
                    <a:ln w="9525">
                      <a:solidFill>
                        <a:srgbClr val="A6A6A6"/>
                      </a:solidFill>
                      <a:miter lim="800000"/>
                      <a:headEnd/>
                      <a:tailEnd/>
                    </a:ln>
                  </pic:spPr>
                </pic:pic>
              </a:graphicData>
            </a:graphic>
            <wp14:sizeRelH relativeFrom="page">
              <wp14:pctWidth>0</wp14:pctWidth>
            </wp14:sizeRelH>
            <wp14:sizeRelV relativeFrom="page">
              <wp14:pctHeight>0</wp14:pctHeight>
            </wp14:sizeRelV>
          </wp:anchor>
        </w:drawing>
      </w: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Default="007F2B0B" w:rsidP="007F2B0B">
      <w:pPr>
        <w:autoSpaceDE w:val="0"/>
        <w:autoSpaceDN w:val="0"/>
        <w:adjustRightInd w:val="0"/>
        <w:jc w:val="both"/>
        <w:rPr>
          <w:b/>
          <w:bCs/>
          <w:u w:val="single"/>
        </w:rPr>
      </w:pPr>
    </w:p>
    <w:p w:rsidR="007F2B0B" w:rsidRPr="00625648" w:rsidRDefault="007F2B0B" w:rsidP="007F2B0B">
      <w:pPr>
        <w:autoSpaceDE w:val="0"/>
        <w:autoSpaceDN w:val="0"/>
        <w:adjustRightInd w:val="0"/>
        <w:ind w:left="1440" w:hanging="1440"/>
        <w:jc w:val="both"/>
      </w:pPr>
    </w:p>
    <w:p w:rsidR="007F2B0B" w:rsidRDefault="007F2B0B" w:rsidP="007F2B0B">
      <w:r>
        <w:br w:type="page"/>
      </w:r>
    </w:p>
    <w:p w:rsidR="007F2B0B" w:rsidRDefault="007F2B0B" w:rsidP="007F2B0B">
      <w:pPr>
        <w:autoSpaceDE w:val="0"/>
        <w:autoSpaceDN w:val="0"/>
        <w:adjustRightInd w:val="0"/>
        <w:jc w:val="both"/>
        <w:rPr>
          <w:bCs/>
        </w:rPr>
      </w:pPr>
      <w:r>
        <w:rPr>
          <w:bCs/>
        </w:rPr>
        <w:lastRenderedPageBreak/>
        <w:tab/>
      </w:r>
      <w:r w:rsidRPr="00625648">
        <w:rPr>
          <w:bCs/>
        </w:rPr>
        <w:t>Duke:</w:t>
      </w:r>
      <w:r>
        <w:rPr>
          <w:bCs/>
        </w:rPr>
        <w:tab/>
      </w:r>
    </w:p>
    <w:p w:rsidR="007F2B0B" w:rsidRDefault="007F2B0B" w:rsidP="007F2B0B">
      <w:pPr>
        <w:autoSpaceDE w:val="0"/>
        <w:autoSpaceDN w:val="0"/>
        <w:adjustRightInd w:val="0"/>
        <w:jc w:val="both"/>
        <w:rPr>
          <w:bCs/>
        </w:rPr>
      </w:pPr>
    </w:p>
    <w:tbl>
      <w:tblPr>
        <w:tblStyle w:val="TableGrid"/>
        <w:tblW w:w="0" w:type="auto"/>
        <w:tblLook w:val="04A0" w:firstRow="1" w:lastRow="0" w:firstColumn="1" w:lastColumn="0" w:noHBand="0" w:noVBand="1"/>
      </w:tblPr>
      <w:tblGrid>
        <w:gridCol w:w="1673"/>
        <w:gridCol w:w="2755"/>
        <w:gridCol w:w="2607"/>
        <w:gridCol w:w="2541"/>
      </w:tblGrid>
      <w:tr w:rsidR="007F2B0B" w:rsidTr="007F2B0B">
        <w:tc>
          <w:tcPr>
            <w:tcW w:w="4428" w:type="dxa"/>
            <w:gridSpan w:val="2"/>
            <w:vMerge w:val="restart"/>
            <w:vAlign w:val="center"/>
          </w:tcPr>
          <w:p w:rsidR="007F2B0B" w:rsidRPr="002872EA" w:rsidRDefault="007F2B0B" w:rsidP="007F2B0B">
            <w:pPr>
              <w:autoSpaceDE w:val="0"/>
              <w:autoSpaceDN w:val="0"/>
              <w:adjustRightInd w:val="0"/>
              <w:jc w:val="center"/>
              <w:rPr>
                <w:b/>
                <w:bCs/>
              </w:rPr>
            </w:pPr>
            <w:r w:rsidRPr="002872EA">
              <w:rPr>
                <w:b/>
                <w:bCs/>
              </w:rPr>
              <w:t>Rate Class</w:t>
            </w:r>
          </w:p>
        </w:tc>
        <w:tc>
          <w:tcPr>
            <w:tcW w:w="5148" w:type="dxa"/>
            <w:gridSpan w:val="2"/>
          </w:tcPr>
          <w:p w:rsidR="007F2B0B" w:rsidRPr="002872EA" w:rsidRDefault="007F2B0B" w:rsidP="007F2B0B">
            <w:pPr>
              <w:autoSpaceDE w:val="0"/>
              <w:autoSpaceDN w:val="0"/>
              <w:adjustRightInd w:val="0"/>
              <w:jc w:val="center"/>
              <w:rPr>
                <w:b/>
                <w:bCs/>
              </w:rPr>
            </w:pPr>
            <w:r w:rsidRPr="002872EA">
              <w:rPr>
                <w:b/>
                <w:bCs/>
              </w:rPr>
              <w:t xml:space="preserve">Capacity Cost Recovery Factor </w:t>
            </w:r>
          </w:p>
        </w:tc>
      </w:tr>
      <w:tr w:rsidR="007F2B0B" w:rsidTr="007F2B0B">
        <w:tc>
          <w:tcPr>
            <w:tcW w:w="4428" w:type="dxa"/>
            <w:gridSpan w:val="2"/>
            <w:vMerge/>
          </w:tcPr>
          <w:p w:rsidR="007F2B0B" w:rsidRPr="002872EA" w:rsidRDefault="007F2B0B" w:rsidP="007F2B0B">
            <w:pPr>
              <w:autoSpaceDE w:val="0"/>
              <w:autoSpaceDN w:val="0"/>
              <w:adjustRightInd w:val="0"/>
              <w:jc w:val="center"/>
              <w:rPr>
                <w:b/>
                <w:bCs/>
              </w:rPr>
            </w:pPr>
          </w:p>
        </w:tc>
        <w:tc>
          <w:tcPr>
            <w:tcW w:w="2607" w:type="dxa"/>
          </w:tcPr>
          <w:p w:rsidR="007F2B0B" w:rsidRDefault="007F2B0B" w:rsidP="007F2B0B">
            <w:pPr>
              <w:autoSpaceDE w:val="0"/>
              <w:autoSpaceDN w:val="0"/>
              <w:adjustRightInd w:val="0"/>
              <w:jc w:val="center"/>
              <w:rPr>
                <w:bCs/>
              </w:rPr>
            </w:pPr>
            <w:r>
              <w:rPr>
                <w:bCs/>
              </w:rPr>
              <w:t>Cents / kWh</w:t>
            </w:r>
          </w:p>
        </w:tc>
        <w:tc>
          <w:tcPr>
            <w:tcW w:w="2541" w:type="dxa"/>
          </w:tcPr>
          <w:p w:rsidR="007F2B0B" w:rsidRDefault="007F2B0B" w:rsidP="007F2B0B">
            <w:pPr>
              <w:autoSpaceDE w:val="0"/>
              <w:autoSpaceDN w:val="0"/>
              <w:adjustRightInd w:val="0"/>
              <w:jc w:val="center"/>
              <w:rPr>
                <w:bCs/>
              </w:rPr>
            </w:pPr>
            <w:r>
              <w:rPr>
                <w:bCs/>
              </w:rPr>
              <w:t>Dollars / kW-month</w:t>
            </w:r>
          </w:p>
        </w:tc>
      </w:tr>
      <w:tr w:rsidR="007F2B0B" w:rsidTr="007F2B0B">
        <w:tc>
          <w:tcPr>
            <w:tcW w:w="4428" w:type="dxa"/>
            <w:gridSpan w:val="2"/>
          </w:tcPr>
          <w:p w:rsidR="007F2B0B" w:rsidRDefault="007F2B0B" w:rsidP="007F2B0B">
            <w:pPr>
              <w:autoSpaceDE w:val="0"/>
              <w:autoSpaceDN w:val="0"/>
              <w:adjustRightInd w:val="0"/>
              <w:jc w:val="center"/>
              <w:rPr>
                <w:bCs/>
              </w:rPr>
            </w:pPr>
            <w:r>
              <w:rPr>
                <w:bCs/>
              </w:rPr>
              <w:t>Residential</w:t>
            </w:r>
          </w:p>
        </w:tc>
        <w:tc>
          <w:tcPr>
            <w:tcW w:w="2607" w:type="dxa"/>
          </w:tcPr>
          <w:p w:rsidR="007F2B0B" w:rsidRDefault="007F2B0B" w:rsidP="007F2B0B">
            <w:pPr>
              <w:autoSpaceDE w:val="0"/>
              <w:autoSpaceDN w:val="0"/>
              <w:adjustRightInd w:val="0"/>
              <w:jc w:val="center"/>
              <w:rPr>
                <w:bCs/>
              </w:rPr>
            </w:pPr>
            <w:r>
              <w:rPr>
                <w:bCs/>
              </w:rPr>
              <w:t>1.418</w:t>
            </w:r>
          </w:p>
        </w:tc>
        <w:tc>
          <w:tcPr>
            <w:tcW w:w="2541" w:type="dxa"/>
            <w:vMerge w:val="restart"/>
            <w:vAlign w:val="center"/>
          </w:tcPr>
          <w:p w:rsidR="007F2B0B" w:rsidRDefault="007F2B0B" w:rsidP="007F2B0B">
            <w:pPr>
              <w:autoSpaceDE w:val="0"/>
              <w:autoSpaceDN w:val="0"/>
              <w:adjustRightInd w:val="0"/>
              <w:jc w:val="center"/>
              <w:rPr>
                <w:bCs/>
              </w:rPr>
            </w:pPr>
          </w:p>
        </w:tc>
      </w:tr>
      <w:tr w:rsidR="007F2B0B" w:rsidTr="007F2B0B">
        <w:tc>
          <w:tcPr>
            <w:tcW w:w="4428" w:type="dxa"/>
            <w:gridSpan w:val="2"/>
          </w:tcPr>
          <w:p w:rsidR="007F2B0B" w:rsidRDefault="007F2B0B" w:rsidP="007F2B0B">
            <w:pPr>
              <w:autoSpaceDE w:val="0"/>
              <w:autoSpaceDN w:val="0"/>
              <w:adjustRightInd w:val="0"/>
              <w:jc w:val="center"/>
              <w:rPr>
                <w:bCs/>
              </w:rPr>
            </w:pPr>
            <w:r>
              <w:rPr>
                <w:bCs/>
              </w:rPr>
              <w:t>General Service Non-Demand</w:t>
            </w:r>
          </w:p>
        </w:tc>
        <w:tc>
          <w:tcPr>
            <w:tcW w:w="2607" w:type="dxa"/>
          </w:tcPr>
          <w:p w:rsidR="007F2B0B" w:rsidRDefault="007F2B0B" w:rsidP="007F2B0B">
            <w:pPr>
              <w:autoSpaceDE w:val="0"/>
              <w:autoSpaceDN w:val="0"/>
              <w:adjustRightInd w:val="0"/>
              <w:jc w:val="center"/>
              <w:rPr>
                <w:bCs/>
              </w:rPr>
            </w:pPr>
            <w:r>
              <w:rPr>
                <w:bCs/>
              </w:rPr>
              <w:t>1.100</w:t>
            </w:r>
          </w:p>
        </w:tc>
        <w:tc>
          <w:tcPr>
            <w:tcW w:w="2541" w:type="dxa"/>
            <w:vMerge/>
          </w:tcPr>
          <w:p w:rsidR="007F2B0B" w:rsidRDefault="007F2B0B" w:rsidP="007F2B0B">
            <w:pPr>
              <w:autoSpaceDE w:val="0"/>
              <w:autoSpaceDN w:val="0"/>
              <w:adjustRightInd w:val="0"/>
              <w:jc w:val="center"/>
              <w:rPr>
                <w:bCs/>
              </w:rPr>
            </w:pPr>
          </w:p>
        </w:tc>
      </w:tr>
      <w:tr w:rsidR="007F2B0B" w:rsidTr="007F2B0B">
        <w:tc>
          <w:tcPr>
            <w:tcW w:w="1673" w:type="dxa"/>
          </w:tcPr>
          <w:p w:rsidR="007F2B0B" w:rsidRDefault="007F2B0B" w:rsidP="007F2B0B">
            <w:pPr>
              <w:autoSpaceDE w:val="0"/>
              <w:autoSpaceDN w:val="0"/>
              <w:adjustRightInd w:val="0"/>
              <w:jc w:val="center"/>
              <w:rPr>
                <w:bCs/>
              </w:rPr>
            </w:pPr>
          </w:p>
        </w:tc>
        <w:tc>
          <w:tcPr>
            <w:tcW w:w="2755" w:type="dxa"/>
          </w:tcPr>
          <w:p w:rsidR="007F2B0B" w:rsidRDefault="007F2B0B" w:rsidP="007F2B0B">
            <w:pPr>
              <w:autoSpaceDE w:val="0"/>
              <w:autoSpaceDN w:val="0"/>
              <w:adjustRightInd w:val="0"/>
              <w:jc w:val="center"/>
              <w:rPr>
                <w:bCs/>
              </w:rPr>
            </w:pPr>
            <w:r>
              <w:rPr>
                <w:bCs/>
              </w:rPr>
              <w:t>At Primary Voltage</w:t>
            </w:r>
          </w:p>
        </w:tc>
        <w:tc>
          <w:tcPr>
            <w:tcW w:w="2607" w:type="dxa"/>
          </w:tcPr>
          <w:p w:rsidR="007F2B0B" w:rsidRDefault="007F2B0B" w:rsidP="007F2B0B">
            <w:pPr>
              <w:autoSpaceDE w:val="0"/>
              <w:autoSpaceDN w:val="0"/>
              <w:adjustRightInd w:val="0"/>
              <w:jc w:val="center"/>
              <w:rPr>
                <w:bCs/>
              </w:rPr>
            </w:pPr>
            <w:r>
              <w:rPr>
                <w:bCs/>
              </w:rPr>
              <w:t>1.089</w:t>
            </w:r>
          </w:p>
        </w:tc>
        <w:tc>
          <w:tcPr>
            <w:tcW w:w="2541" w:type="dxa"/>
            <w:vMerge/>
          </w:tcPr>
          <w:p w:rsidR="007F2B0B" w:rsidRDefault="007F2B0B" w:rsidP="007F2B0B">
            <w:pPr>
              <w:autoSpaceDE w:val="0"/>
              <w:autoSpaceDN w:val="0"/>
              <w:adjustRightInd w:val="0"/>
              <w:jc w:val="center"/>
              <w:rPr>
                <w:bCs/>
              </w:rPr>
            </w:pPr>
          </w:p>
        </w:tc>
      </w:tr>
      <w:tr w:rsidR="007F2B0B" w:rsidTr="007F2B0B">
        <w:tc>
          <w:tcPr>
            <w:tcW w:w="1673" w:type="dxa"/>
          </w:tcPr>
          <w:p w:rsidR="007F2B0B" w:rsidRDefault="007F2B0B" w:rsidP="007F2B0B">
            <w:pPr>
              <w:autoSpaceDE w:val="0"/>
              <w:autoSpaceDN w:val="0"/>
              <w:adjustRightInd w:val="0"/>
              <w:jc w:val="center"/>
              <w:rPr>
                <w:bCs/>
              </w:rPr>
            </w:pPr>
          </w:p>
        </w:tc>
        <w:tc>
          <w:tcPr>
            <w:tcW w:w="2755" w:type="dxa"/>
          </w:tcPr>
          <w:p w:rsidR="007F2B0B" w:rsidRDefault="007F2B0B" w:rsidP="007F2B0B">
            <w:pPr>
              <w:autoSpaceDE w:val="0"/>
              <w:autoSpaceDN w:val="0"/>
              <w:adjustRightInd w:val="0"/>
              <w:jc w:val="center"/>
              <w:rPr>
                <w:bCs/>
              </w:rPr>
            </w:pPr>
            <w:r>
              <w:rPr>
                <w:bCs/>
              </w:rPr>
              <w:t>At Transmission Voltage</w:t>
            </w:r>
          </w:p>
        </w:tc>
        <w:tc>
          <w:tcPr>
            <w:tcW w:w="2607" w:type="dxa"/>
          </w:tcPr>
          <w:p w:rsidR="007F2B0B" w:rsidRDefault="007F2B0B" w:rsidP="007F2B0B">
            <w:pPr>
              <w:autoSpaceDE w:val="0"/>
              <w:autoSpaceDN w:val="0"/>
              <w:adjustRightInd w:val="0"/>
              <w:jc w:val="center"/>
              <w:rPr>
                <w:bCs/>
              </w:rPr>
            </w:pPr>
            <w:r>
              <w:rPr>
                <w:bCs/>
              </w:rPr>
              <w:t xml:space="preserve">1.078 </w:t>
            </w:r>
          </w:p>
        </w:tc>
        <w:tc>
          <w:tcPr>
            <w:tcW w:w="2541" w:type="dxa"/>
            <w:vMerge/>
          </w:tcPr>
          <w:p w:rsidR="007F2B0B" w:rsidRDefault="007F2B0B" w:rsidP="007F2B0B">
            <w:pPr>
              <w:autoSpaceDE w:val="0"/>
              <w:autoSpaceDN w:val="0"/>
              <w:adjustRightInd w:val="0"/>
              <w:jc w:val="center"/>
              <w:rPr>
                <w:bCs/>
              </w:rPr>
            </w:pPr>
          </w:p>
        </w:tc>
      </w:tr>
      <w:tr w:rsidR="007F2B0B" w:rsidTr="007F2B0B">
        <w:tc>
          <w:tcPr>
            <w:tcW w:w="4428" w:type="dxa"/>
            <w:gridSpan w:val="2"/>
          </w:tcPr>
          <w:p w:rsidR="007F2B0B" w:rsidRDefault="007F2B0B" w:rsidP="007F2B0B">
            <w:pPr>
              <w:autoSpaceDE w:val="0"/>
              <w:autoSpaceDN w:val="0"/>
              <w:adjustRightInd w:val="0"/>
              <w:jc w:val="center"/>
              <w:rPr>
                <w:bCs/>
              </w:rPr>
            </w:pPr>
            <w:r>
              <w:rPr>
                <w:bCs/>
              </w:rPr>
              <w:t>General Service 100% Load Factor</w:t>
            </w:r>
          </w:p>
        </w:tc>
        <w:tc>
          <w:tcPr>
            <w:tcW w:w="2607" w:type="dxa"/>
          </w:tcPr>
          <w:p w:rsidR="007F2B0B" w:rsidRDefault="007F2B0B" w:rsidP="007F2B0B">
            <w:pPr>
              <w:autoSpaceDE w:val="0"/>
              <w:autoSpaceDN w:val="0"/>
              <w:adjustRightInd w:val="0"/>
              <w:jc w:val="center"/>
              <w:rPr>
                <w:bCs/>
              </w:rPr>
            </w:pPr>
            <w:r>
              <w:rPr>
                <w:bCs/>
              </w:rPr>
              <w:t>0.779</w:t>
            </w:r>
          </w:p>
        </w:tc>
        <w:tc>
          <w:tcPr>
            <w:tcW w:w="2541" w:type="dxa"/>
            <w:vMerge/>
          </w:tcPr>
          <w:p w:rsidR="007F2B0B" w:rsidRDefault="007F2B0B" w:rsidP="007F2B0B">
            <w:pPr>
              <w:autoSpaceDE w:val="0"/>
              <w:autoSpaceDN w:val="0"/>
              <w:adjustRightInd w:val="0"/>
              <w:jc w:val="center"/>
              <w:rPr>
                <w:bCs/>
              </w:rPr>
            </w:pPr>
          </w:p>
        </w:tc>
      </w:tr>
      <w:tr w:rsidR="007F2B0B" w:rsidTr="007F2B0B">
        <w:tc>
          <w:tcPr>
            <w:tcW w:w="4428" w:type="dxa"/>
            <w:gridSpan w:val="2"/>
          </w:tcPr>
          <w:p w:rsidR="007F2B0B" w:rsidRDefault="007F2B0B" w:rsidP="007F2B0B">
            <w:pPr>
              <w:autoSpaceDE w:val="0"/>
              <w:autoSpaceDN w:val="0"/>
              <w:adjustRightInd w:val="0"/>
              <w:jc w:val="center"/>
              <w:rPr>
                <w:bCs/>
              </w:rPr>
            </w:pPr>
            <w:r>
              <w:rPr>
                <w:bCs/>
              </w:rPr>
              <w:t>General Service Demand</w:t>
            </w:r>
          </w:p>
        </w:tc>
        <w:tc>
          <w:tcPr>
            <w:tcW w:w="2607" w:type="dxa"/>
            <w:vMerge w:val="restart"/>
            <w:vAlign w:val="center"/>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3.94</w:t>
            </w:r>
          </w:p>
        </w:tc>
      </w:tr>
      <w:tr w:rsidR="007F2B0B" w:rsidTr="007F2B0B">
        <w:tc>
          <w:tcPr>
            <w:tcW w:w="1673" w:type="dxa"/>
          </w:tcPr>
          <w:p w:rsidR="007F2B0B" w:rsidRDefault="007F2B0B" w:rsidP="007F2B0B">
            <w:pPr>
              <w:autoSpaceDE w:val="0"/>
              <w:autoSpaceDN w:val="0"/>
              <w:adjustRightInd w:val="0"/>
              <w:jc w:val="center"/>
              <w:rPr>
                <w:bCs/>
              </w:rPr>
            </w:pPr>
          </w:p>
        </w:tc>
        <w:tc>
          <w:tcPr>
            <w:tcW w:w="2755" w:type="dxa"/>
          </w:tcPr>
          <w:p w:rsidR="007F2B0B" w:rsidRDefault="007F2B0B" w:rsidP="007F2B0B">
            <w:pPr>
              <w:autoSpaceDE w:val="0"/>
              <w:autoSpaceDN w:val="0"/>
              <w:adjustRightInd w:val="0"/>
              <w:jc w:val="center"/>
              <w:rPr>
                <w:bCs/>
              </w:rPr>
            </w:pPr>
            <w:r>
              <w:rPr>
                <w:bCs/>
              </w:rPr>
              <w:t>At Primary Voltage</w:t>
            </w:r>
          </w:p>
        </w:tc>
        <w:tc>
          <w:tcPr>
            <w:tcW w:w="2607" w:type="dxa"/>
            <w:vMerge/>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 xml:space="preserve">3.90 </w:t>
            </w:r>
          </w:p>
        </w:tc>
      </w:tr>
      <w:tr w:rsidR="007F2B0B" w:rsidTr="007F2B0B">
        <w:tc>
          <w:tcPr>
            <w:tcW w:w="1673" w:type="dxa"/>
          </w:tcPr>
          <w:p w:rsidR="007F2B0B" w:rsidRDefault="007F2B0B" w:rsidP="007F2B0B">
            <w:pPr>
              <w:autoSpaceDE w:val="0"/>
              <w:autoSpaceDN w:val="0"/>
              <w:adjustRightInd w:val="0"/>
              <w:jc w:val="center"/>
              <w:rPr>
                <w:bCs/>
              </w:rPr>
            </w:pPr>
          </w:p>
        </w:tc>
        <w:tc>
          <w:tcPr>
            <w:tcW w:w="2755" w:type="dxa"/>
          </w:tcPr>
          <w:p w:rsidR="007F2B0B" w:rsidRDefault="007F2B0B" w:rsidP="007F2B0B">
            <w:pPr>
              <w:autoSpaceDE w:val="0"/>
              <w:autoSpaceDN w:val="0"/>
              <w:adjustRightInd w:val="0"/>
              <w:jc w:val="center"/>
              <w:rPr>
                <w:bCs/>
              </w:rPr>
            </w:pPr>
            <w:r>
              <w:rPr>
                <w:bCs/>
              </w:rPr>
              <w:t>At Transmission Voltage</w:t>
            </w:r>
          </w:p>
        </w:tc>
        <w:tc>
          <w:tcPr>
            <w:tcW w:w="2607" w:type="dxa"/>
            <w:vMerge/>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 xml:space="preserve">3.86 </w:t>
            </w:r>
          </w:p>
        </w:tc>
      </w:tr>
      <w:tr w:rsidR="007F2B0B" w:rsidTr="007F2B0B">
        <w:tc>
          <w:tcPr>
            <w:tcW w:w="4428" w:type="dxa"/>
            <w:gridSpan w:val="2"/>
          </w:tcPr>
          <w:p w:rsidR="007F2B0B" w:rsidRDefault="007F2B0B" w:rsidP="007F2B0B">
            <w:pPr>
              <w:autoSpaceDE w:val="0"/>
              <w:autoSpaceDN w:val="0"/>
              <w:adjustRightInd w:val="0"/>
              <w:jc w:val="center"/>
              <w:rPr>
                <w:bCs/>
              </w:rPr>
            </w:pPr>
            <w:r>
              <w:rPr>
                <w:bCs/>
              </w:rPr>
              <w:t>Curtailable</w:t>
            </w:r>
          </w:p>
        </w:tc>
        <w:tc>
          <w:tcPr>
            <w:tcW w:w="2607" w:type="dxa"/>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2.32</w:t>
            </w:r>
          </w:p>
        </w:tc>
      </w:tr>
      <w:tr w:rsidR="007F2B0B" w:rsidTr="007F2B0B">
        <w:tc>
          <w:tcPr>
            <w:tcW w:w="1673" w:type="dxa"/>
          </w:tcPr>
          <w:p w:rsidR="007F2B0B" w:rsidRDefault="007F2B0B" w:rsidP="007F2B0B">
            <w:pPr>
              <w:autoSpaceDE w:val="0"/>
              <w:autoSpaceDN w:val="0"/>
              <w:adjustRightInd w:val="0"/>
              <w:jc w:val="center"/>
              <w:rPr>
                <w:bCs/>
              </w:rPr>
            </w:pPr>
          </w:p>
        </w:tc>
        <w:tc>
          <w:tcPr>
            <w:tcW w:w="2755" w:type="dxa"/>
          </w:tcPr>
          <w:p w:rsidR="007F2B0B" w:rsidRDefault="007F2B0B" w:rsidP="007F2B0B">
            <w:pPr>
              <w:autoSpaceDE w:val="0"/>
              <w:autoSpaceDN w:val="0"/>
              <w:adjustRightInd w:val="0"/>
              <w:jc w:val="center"/>
              <w:rPr>
                <w:bCs/>
              </w:rPr>
            </w:pPr>
            <w:r>
              <w:rPr>
                <w:bCs/>
              </w:rPr>
              <w:t>At Primary Voltage</w:t>
            </w:r>
          </w:p>
        </w:tc>
        <w:tc>
          <w:tcPr>
            <w:tcW w:w="2607" w:type="dxa"/>
            <w:vMerge w:val="restart"/>
            <w:vAlign w:val="center"/>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 xml:space="preserve">2.30 </w:t>
            </w:r>
          </w:p>
        </w:tc>
      </w:tr>
      <w:tr w:rsidR="007F2B0B" w:rsidTr="007F2B0B">
        <w:tc>
          <w:tcPr>
            <w:tcW w:w="1673" w:type="dxa"/>
          </w:tcPr>
          <w:p w:rsidR="007F2B0B" w:rsidRDefault="007F2B0B" w:rsidP="007F2B0B">
            <w:pPr>
              <w:autoSpaceDE w:val="0"/>
              <w:autoSpaceDN w:val="0"/>
              <w:adjustRightInd w:val="0"/>
              <w:jc w:val="center"/>
              <w:rPr>
                <w:bCs/>
              </w:rPr>
            </w:pPr>
          </w:p>
        </w:tc>
        <w:tc>
          <w:tcPr>
            <w:tcW w:w="2755" w:type="dxa"/>
          </w:tcPr>
          <w:p w:rsidR="007F2B0B" w:rsidRDefault="007F2B0B" w:rsidP="007F2B0B">
            <w:pPr>
              <w:autoSpaceDE w:val="0"/>
              <w:autoSpaceDN w:val="0"/>
              <w:adjustRightInd w:val="0"/>
              <w:jc w:val="center"/>
              <w:rPr>
                <w:bCs/>
              </w:rPr>
            </w:pPr>
            <w:r>
              <w:rPr>
                <w:bCs/>
              </w:rPr>
              <w:t>At Transmission Voltage</w:t>
            </w:r>
          </w:p>
        </w:tc>
        <w:tc>
          <w:tcPr>
            <w:tcW w:w="2607" w:type="dxa"/>
            <w:vMerge/>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2.27</w:t>
            </w:r>
          </w:p>
        </w:tc>
      </w:tr>
      <w:tr w:rsidR="007F2B0B" w:rsidTr="007F2B0B">
        <w:tc>
          <w:tcPr>
            <w:tcW w:w="4428" w:type="dxa"/>
            <w:gridSpan w:val="2"/>
          </w:tcPr>
          <w:p w:rsidR="007F2B0B" w:rsidRDefault="007F2B0B" w:rsidP="007F2B0B">
            <w:pPr>
              <w:autoSpaceDE w:val="0"/>
              <w:autoSpaceDN w:val="0"/>
              <w:adjustRightInd w:val="0"/>
              <w:jc w:val="center"/>
              <w:rPr>
                <w:bCs/>
              </w:rPr>
            </w:pPr>
            <w:r>
              <w:rPr>
                <w:bCs/>
              </w:rPr>
              <w:t>Interruptible</w:t>
            </w:r>
          </w:p>
        </w:tc>
        <w:tc>
          <w:tcPr>
            <w:tcW w:w="2607" w:type="dxa"/>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3.14</w:t>
            </w:r>
          </w:p>
        </w:tc>
      </w:tr>
      <w:tr w:rsidR="007F2B0B" w:rsidTr="007F2B0B">
        <w:tc>
          <w:tcPr>
            <w:tcW w:w="1673" w:type="dxa"/>
          </w:tcPr>
          <w:p w:rsidR="007F2B0B" w:rsidRDefault="007F2B0B" w:rsidP="007F2B0B">
            <w:pPr>
              <w:autoSpaceDE w:val="0"/>
              <w:autoSpaceDN w:val="0"/>
              <w:adjustRightInd w:val="0"/>
              <w:jc w:val="center"/>
              <w:rPr>
                <w:bCs/>
              </w:rPr>
            </w:pPr>
          </w:p>
        </w:tc>
        <w:tc>
          <w:tcPr>
            <w:tcW w:w="2755" w:type="dxa"/>
          </w:tcPr>
          <w:p w:rsidR="007F2B0B" w:rsidRDefault="007F2B0B" w:rsidP="007F2B0B">
            <w:pPr>
              <w:autoSpaceDE w:val="0"/>
              <w:autoSpaceDN w:val="0"/>
              <w:adjustRightInd w:val="0"/>
              <w:jc w:val="center"/>
              <w:rPr>
                <w:bCs/>
              </w:rPr>
            </w:pPr>
            <w:r>
              <w:rPr>
                <w:bCs/>
              </w:rPr>
              <w:t>At Primary Voltage</w:t>
            </w:r>
          </w:p>
        </w:tc>
        <w:tc>
          <w:tcPr>
            <w:tcW w:w="2607" w:type="dxa"/>
            <w:vMerge w:val="restart"/>
            <w:vAlign w:val="center"/>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3.11</w:t>
            </w:r>
          </w:p>
        </w:tc>
      </w:tr>
      <w:tr w:rsidR="007F2B0B" w:rsidTr="007F2B0B">
        <w:tc>
          <w:tcPr>
            <w:tcW w:w="1673" w:type="dxa"/>
          </w:tcPr>
          <w:p w:rsidR="007F2B0B" w:rsidRDefault="007F2B0B" w:rsidP="007F2B0B">
            <w:pPr>
              <w:autoSpaceDE w:val="0"/>
              <w:autoSpaceDN w:val="0"/>
              <w:adjustRightInd w:val="0"/>
              <w:jc w:val="center"/>
              <w:rPr>
                <w:bCs/>
              </w:rPr>
            </w:pPr>
          </w:p>
        </w:tc>
        <w:tc>
          <w:tcPr>
            <w:tcW w:w="2755" w:type="dxa"/>
          </w:tcPr>
          <w:p w:rsidR="007F2B0B" w:rsidRDefault="007F2B0B" w:rsidP="007F2B0B">
            <w:pPr>
              <w:autoSpaceDE w:val="0"/>
              <w:autoSpaceDN w:val="0"/>
              <w:adjustRightInd w:val="0"/>
              <w:jc w:val="center"/>
              <w:rPr>
                <w:bCs/>
              </w:rPr>
            </w:pPr>
            <w:r>
              <w:rPr>
                <w:bCs/>
              </w:rPr>
              <w:t>At Transmission Voltage</w:t>
            </w:r>
          </w:p>
        </w:tc>
        <w:tc>
          <w:tcPr>
            <w:tcW w:w="2607" w:type="dxa"/>
            <w:vMerge/>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3.08</w:t>
            </w:r>
          </w:p>
        </w:tc>
      </w:tr>
      <w:tr w:rsidR="007F2B0B" w:rsidTr="007F2B0B">
        <w:tc>
          <w:tcPr>
            <w:tcW w:w="4428" w:type="dxa"/>
            <w:gridSpan w:val="2"/>
          </w:tcPr>
          <w:p w:rsidR="007F2B0B" w:rsidRDefault="007F2B0B" w:rsidP="007F2B0B">
            <w:pPr>
              <w:autoSpaceDE w:val="0"/>
              <w:autoSpaceDN w:val="0"/>
              <w:adjustRightInd w:val="0"/>
              <w:jc w:val="center"/>
              <w:rPr>
                <w:bCs/>
              </w:rPr>
            </w:pPr>
            <w:r>
              <w:rPr>
                <w:bCs/>
              </w:rPr>
              <w:t>Standby Monthly</w:t>
            </w:r>
          </w:p>
        </w:tc>
        <w:tc>
          <w:tcPr>
            <w:tcW w:w="2607" w:type="dxa"/>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0.383</w:t>
            </w:r>
          </w:p>
        </w:tc>
      </w:tr>
      <w:tr w:rsidR="007F2B0B" w:rsidTr="007F2B0B">
        <w:tc>
          <w:tcPr>
            <w:tcW w:w="1673" w:type="dxa"/>
          </w:tcPr>
          <w:p w:rsidR="007F2B0B" w:rsidRDefault="007F2B0B" w:rsidP="007F2B0B">
            <w:pPr>
              <w:autoSpaceDE w:val="0"/>
              <w:autoSpaceDN w:val="0"/>
              <w:adjustRightInd w:val="0"/>
              <w:jc w:val="center"/>
              <w:rPr>
                <w:bCs/>
              </w:rPr>
            </w:pPr>
          </w:p>
        </w:tc>
        <w:tc>
          <w:tcPr>
            <w:tcW w:w="2755" w:type="dxa"/>
          </w:tcPr>
          <w:p w:rsidR="007F2B0B" w:rsidRDefault="007F2B0B" w:rsidP="007F2B0B">
            <w:pPr>
              <w:autoSpaceDE w:val="0"/>
              <w:autoSpaceDN w:val="0"/>
              <w:adjustRightInd w:val="0"/>
              <w:jc w:val="center"/>
              <w:rPr>
                <w:bCs/>
              </w:rPr>
            </w:pPr>
            <w:r>
              <w:rPr>
                <w:bCs/>
              </w:rPr>
              <w:t>At Primary Voltage</w:t>
            </w:r>
          </w:p>
        </w:tc>
        <w:tc>
          <w:tcPr>
            <w:tcW w:w="2607" w:type="dxa"/>
            <w:vMerge w:val="restart"/>
            <w:vAlign w:val="center"/>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 xml:space="preserve">0.379 </w:t>
            </w:r>
          </w:p>
        </w:tc>
      </w:tr>
      <w:tr w:rsidR="007F2B0B" w:rsidTr="007F2B0B">
        <w:tc>
          <w:tcPr>
            <w:tcW w:w="1673" w:type="dxa"/>
          </w:tcPr>
          <w:p w:rsidR="007F2B0B" w:rsidRDefault="007F2B0B" w:rsidP="007F2B0B">
            <w:pPr>
              <w:autoSpaceDE w:val="0"/>
              <w:autoSpaceDN w:val="0"/>
              <w:adjustRightInd w:val="0"/>
              <w:jc w:val="center"/>
              <w:rPr>
                <w:bCs/>
              </w:rPr>
            </w:pPr>
          </w:p>
        </w:tc>
        <w:tc>
          <w:tcPr>
            <w:tcW w:w="2755" w:type="dxa"/>
          </w:tcPr>
          <w:p w:rsidR="007F2B0B" w:rsidRDefault="007F2B0B" w:rsidP="007F2B0B">
            <w:pPr>
              <w:autoSpaceDE w:val="0"/>
              <w:autoSpaceDN w:val="0"/>
              <w:adjustRightInd w:val="0"/>
              <w:jc w:val="center"/>
              <w:rPr>
                <w:bCs/>
              </w:rPr>
            </w:pPr>
            <w:r>
              <w:rPr>
                <w:bCs/>
              </w:rPr>
              <w:t>At Transmission Voltage</w:t>
            </w:r>
          </w:p>
        </w:tc>
        <w:tc>
          <w:tcPr>
            <w:tcW w:w="2607" w:type="dxa"/>
            <w:vMerge/>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0.375</w:t>
            </w:r>
          </w:p>
        </w:tc>
      </w:tr>
      <w:tr w:rsidR="007F2B0B" w:rsidTr="007F2B0B">
        <w:tc>
          <w:tcPr>
            <w:tcW w:w="4428" w:type="dxa"/>
            <w:gridSpan w:val="2"/>
          </w:tcPr>
          <w:p w:rsidR="007F2B0B" w:rsidRDefault="007F2B0B" w:rsidP="007F2B0B">
            <w:pPr>
              <w:autoSpaceDE w:val="0"/>
              <w:autoSpaceDN w:val="0"/>
              <w:adjustRightInd w:val="0"/>
              <w:jc w:val="center"/>
              <w:rPr>
                <w:bCs/>
              </w:rPr>
            </w:pPr>
            <w:r>
              <w:rPr>
                <w:bCs/>
              </w:rPr>
              <w:t>Standby Daily</w:t>
            </w:r>
          </w:p>
        </w:tc>
        <w:tc>
          <w:tcPr>
            <w:tcW w:w="2607" w:type="dxa"/>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0.182</w:t>
            </w:r>
          </w:p>
        </w:tc>
      </w:tr>
      <w:tr w:rsidR="007F2B0B" w:rsidTr="007F2B0B">
        <w:tc>
          <w:tcPr>
            <w:tcW w:w="1673" w:type="dxa"/>
          </w:tcPr>
          <w:p w:rsidR="007F2B0B" w:rsidRDefault="007F2B0B" w:rsidP="007F2B0B">
            <w:pPr>
              <w:autoSpaceDE w:val="0"/>
              <w:autoSpaceDN w:val="0"/>
              <w:adjustRightInd w:val="0"/>
              <w:jc w:val="center"/>
              <w:rPr>
                <w:bCs/>
              </w:rPr>
            </w:pPr>
          </w:p>
        </w:tc>
        <w:tc>
          <w:tcPr>
            <w:tcW w:w="2755" w:type="dxa"/>
          </w:tcPr>
          <w:p w:rsidR="007F2B0B" w:rsidRDefault="007F2B0B" w:rsidP="007F2B0B">
            <w:pPr>
              <w:autoSpaceDE w:val="0"/>
              <w:autoSpaceDN w:val="0"/>
              <w:adjustRightInd w:val="0"/>
              <w:jc w:val="center"/>
              <w:rPr>
                <w:bCs/>
              </w:rPr>
            </w:pPr>
            <w:r>
              <w:rPr>
                <w:bCs/>
              </w:rPr>
              <w:t>At Primary Voltage</w:t>
            </w:r>
          </w:p>
        </w:tc>
        <w:tc>
          <w:tcPr>
            <w:tcW w:w="2607" w:type="dxa"/>
            <w:vMerge w:val="restart"/>
            <w:vAlign w:val="center"/>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 xml:space="preserve">0.180 </w:t>
            </w:r>
          </w:p>
        </w:tc>
      </w:tr>
      <w:tr w:rsidR="007F2B0B" w:rsidTr="007F2B0B">
        <w:tc>
          <w:tcPr>
            <w:tcW w:w="1673" w:type="dxa"/>
          </w:tcPr>
          <w:p w:rsidR="007F2B0B" w:rsidRDefault="007F2B0B" w:rsidP="007F2B0B">
            <w:pPr>
              <w:autoSpaceDE w:val="0"/>
              <w:autoSpaceDN w:val="0"/>
              <w:adjustRightInd w:val="0"/>
              <w:jc w:val="center"/>
              <w:rPr>
                <w:bCs/>
              </w:rPr>
            </w:pPr>
          </w:p>
        </w:tc>
        <w:tc>
          <w:tcPr>
            <w:tcW w:w="2755" w:type="dxa"/>
          </w:tcPr>
          <w:p w:rsidR="007F2B0B" w:rsidRDefault="007F2B0B" w:rsidP="007F2B0B">
            <w:pPr>
              <w:autoSpaceDE w:val="0"/>
              <w:autoSpaceDN w:val="0"/>
              <w:adjustRightInd w:val="0"/>
              <w:jc w:val="center"/>
              <w:rPr>
                <w:bCs/>
              </w:rPr>
            </w:pPr>
            <w:r>
              <w:rPr>
                <w:bCs/>
              </w:rPr>
              <w:t>At Transmission Voltage</w:t>
            </w:r>
          </w:p>
        </w:tc>
        <w:tc>
          <w:tcPr>
            <w:tcW w:w="2607" w:type="dxa"/>
            <w:vMerge/>
          </w:tcPr>
          <w:p w:rsidR="007F2B0B" w:rsidRDefault="007F2B0B" w:rsidP="007F2B0B">
            <w:pPr>
              <w:autoSpaceDE w:val="0"/>
              <w:autoSpaceDN w:val="0"/>
              <w:adjustRightInd w:val="0"/>
              <w:jc w:val="center"/>
              <w:rPr>
                <w:bCs/>
              </w:rPr>
            </w:pPr>
          </w:p>
        </w:tc>
        <w:tc>
          <w:tcPr>
            <w:tcW w:w="2541" w:type="dxa"/>
          </w:tcPr>
          <w:p w:rsidR="007F2B0B" w:rsidRDefault="007F2B0B" w:rsidP="007F2B0B">
            <w:pPr>
              <w:autoSpaceDE w:val="0"/>
              <w:autoSpaceDN w:val="0"/>
              <w:adjustRightInd w:val="0"/>
              <w:jc w:val="center"/>
              <w:rPr>
                <w:bCs/>
              </w:rPr>
            </w:pPr>
            <w:r>
              <w:rPr>
                <w:bCs/>
              </w:rPr>
              <w:t>0.178</w:t>
            </w:r>
          </w:p>
        </w:tc>
      </w:tr>
      <w:tr w:rsidR="007F2B0B" w:rsidTr="007F2B0B">
        <w:tc>
          <w:tcPr>
            <w:tcW w:w="4428" w:type="dxa"/>
            <w:gridSpan w:val="2"/>
          </w:tcPr>
          <w:p w:rsidR="007F2B0B" w:rsidRDefault="007F2B0B" w:rsidP="007F2B0B">
            <w:pPr>
              <w:autoSpaceDE w:val="0"/>
              <w:autoSpaceDN w:val="0"/>
              <w:adjustRightInd w:val="0"/>
              <w:jc w:val="center"/>
              <w:rPr>
                <w:bCs/>
              </w:rPr>
            </w:pPr>
            <w:r>
              <w:rPr>
                <w:bCs/>
              </w:rPr>
              <w:t>Lighting</w:t>
            </w:r>
          </w:p>
        </w:tc>
        <w:tc>
          <w:tcPr>
            <w:tcW w:w="2607" w:type="dxa"/>
          </w:tcPr>
          <w:p w:rsidR="007F2B0B" w:rsidRDefault="007F2B0B" w:rsidP="007F2B0B">
            <w:pPr>
              <w:autoSpaceDE w:val="0"/>
              <w:autoSpaceDN w:val="0"/>
              <w:adjustRightInd w:val="0"/>
              <w:jc w:val="center"/>
              <w:rPr>
                <w:bCs/>
              </w:rPr>
            </w:pPr>
            <w:r>
              <w:rPr>
                <w:bCs/>
              </w:rPr>
              <w:t>0.217 (cents/kWh)</w:t>
            </w:r>
          </w:p>
        </w:tc>
        <w:tc>
          <w:tcPr>
            <w:tcW w:w="2541" w:type="dxa"/>
          </w:tcPr>
          <w:p w:rsidR="007F2B0B" w:rsidRDefault="007F2B0B" w:rsidP="007F2B0B">
            <w:pPr>
              <w:autoSpaceDE w:val="0"/>
              <w:autoSpaceDN w:val="0"/>
              <w:adjustRightInd w:val="0"/>
              <w:jc w:val="center"/>
              <w:rPr>
                <w:bCs/>
              </w:rPr>
            </w:pPr>
          </w:p>
        </w:tc>
      </w:tr>
      <w:tr w:rsidR="007F2B0B" w:rsidTr="007F2B0B">
        <w:tc>
          <w:tcPr>
            <w:tcW w:w="9576" w:type="dxa"/>
            <w:gridSpan w:val="4"/>
          </w:tcPr>
          <w:p w:rsidR="007F2B0B" w:rsidRDefault="007F2B0B" w:rsidP="007F2B0B">
            <w:pPr>
              <w:autoSpaceDE w:val="0"/>
              <w:autoSpaceDN w:val="0"/>
              <w:adjustRightInd w:val="0"/>
              <w:rPr>
                <w:bCs/>
              </w:rPr>
            </w:pPr>
          </w:p>
        </w:tc>
      </w:tr>
    </w:tbl>
    <w:p w:rsidR="007F2B0B" w:rsidRDefault="007F2B0B" w:rsidP="007F2B0B">
      <w:pPr>
        <w:autoSpaceDE w:val="0"/>
        <w:autoSpaceDN w:val="0"/>
        <w:adjustRightInd w:val="0"/>
        <w:jc w:val="both"/>
        <w:rPr>
          <w:bCs/>
        </w:rPr>
      </w:pPr>
    </w:p>
    <w:p w:rsidR="007F2B0B" w:rsidRDefault="007F2B0B" w:rsidP="007F2B0B">
      <w:pPr>
        <w:autoSpaceDE w:val="0"/>
        <w:autoSpaceDN w:val="0"/>
        <w:adjustRightInd w:val="0"/>
        <w:jc w:val="both"/>
        <w:rPr>
          <w:bCs/>
        </w:rPr>
      </w:pPr>
    </w:p>
    <w:p w:rsidR="007F2B0B" w:rsidRDefault="007F2B0B" w:rsidP="007F2B0B">
      <w:pPr>
        <w:autoSpaceDE w:val="0"/>
        <w:autoSpaceDN w:val="0"/>
        <w:adjustRightInd w:val="0"/>
        <w:jc w:val="both"/>
        <w:rPr>
          <w:bCs/>
        </w:rPr>
      </w:pPr>
      <w:r>
        <w:rPr>
          <w:bCs/>
        </w:rPr>
        <w:tab/>
        <w:t>Gulf:</w:t>
      </w:r>
      <w:r>
        <w:rPr>
          <w:bCs/>
        </w:rPr>
        <w:tab/>
      </w:r>
    </w:p>
    <w:p w:rsidR="007F2B0B" w:rsidRDefault="007F2B0B" w:rsidP="007F2B0B">
      <w:pPr>
        <w:autoSpaceDE w:val="0"/>
        <w:autoSpaceDN w:val="0"/>
        <w:adjustRightInd w:val="0"/>
        <w:jc w:val="both"/>
        <w:rPr>
          <w:bCs/>
        </w:rPr>
      </w:pPr>
    </w:p>
    <w:tbl>
      <w:tblPr>
        <w:tblStyle w:val="TableGrid"/>
        <w:tblW w:w="0" w:type="auto"/>
        <w:tblLook w:val="04A0" w:firstRow="1" w:lastRow="0" w:firstColumn="1" w:lastColumn="0" w:noHBand="0" w:noVBand="1"/>
      </w:tblPr>
      <w:tblGrid>
        <w:gridCol w:w="4428"/>
        <w:gridCol w:w="2610"/>
        <w:gridCol w:w="2538"/>
      </w:tblGrid>
      <w:tr w:rsidR="007F2B0B" w:rsidTr="007F2B0B">
        <w:tc>
          <w:tcPr>
            <w:tcW w:w="4428" w:type="dxa"/>
          </w:tcPr>
          <w:p w:rsidR="007F2B0B" w:rsidRPr="002872EA" w:rsidRDefault="007F2B0B" w:rsidP="007F2B0B">
            <w:pPr>
              <w:autoSpaceDE w:val="0"/>
              <w:autoSpaceDN w:val="0"/>
              <w:adjustRightInd w:val="0"/>
              <w:jc w:val="center"/>
              <w:rPr>
                <w:b/>
                <w:bCs/>
              </w:rPr>
            </w:pPr>
            <w:r w:rsidRPr="002872EA">
              <w:rPr>
                <w:b/>
                <w:bCs/>
              </w:rPr>
              <w:t>Rate Class</w:t>
            </w:r>
          </w:p>
        </w:tc>
        <w:tc>
          <w:tcPr>
            <w:tcW w:w="5148" w:type="dxa"/>
            <w:gridSpan w:val="2"/>
          </w:tcPr>
          <w:p w:rsidR="007F2B0B" w:rsidRPr="002872EA" w:rsidRDefault="007F2B0B" w:rsidP="007F2B0B">
            <w:pPr>
              <w:autoSpaceDE w:val="0"/>
              <w:autoSpaceDN w:val="0"/>
              <w:adjustRightInd w:val="0"/>
              <w:jc w:val="center"/>
              <w:rPr>
                <w:b/>
                <w:bCs/>
              </w:rPr>
            </w:pPr>
            <w:r w:rsidRPr="002872EA">
              <w:rPr>
                <w:b/>
                <w:bCs/>
              </w:rPr>
              <w:t xml:space="preserve">Capacity Cost Recovery Factor </w:t>
            </w:r>
          </w:p>
        </w:tc>
      </w:tr>
      <w:tr w:rsidR="007F2B0B" w:rsidTr="007F2B0B">
        <w:tc>
          <w:tcPr>
            <w:tcW w:w="4428" w:type="dxa"/>
          </w:tcPr>
          <w:p w:rsidR="007F2B0B" w:rsidRPr="002872EA" w:rsidRDefault="007F2B0B" w:rsidP="007F2B0B">
            <w:pPr>
              <w:autoSpaceDE w:val="0"/>
              <w:autoSpaceDN w:val="0"/>
              <w:adjustRightInd w:val="0"/>
              <w:jc w:val="center"/>
              <w:rPr>
                <w:b/>
                <w:bCs/>
              </w:rPr>
            </w:pPr>
          </w:p>
        </w:tc>
        <w:tc>
          <w:tcPr>
            <w:tcW w:w="2610" w:type="dxa"/>
          </w:tcPr>
          <w:p w:rsidR="007F2B0B" w:rsidRDefault="007F2B0B" w:rsidP="007F2B0B">
            <w:pPr>
              <w:autoSpaceDE w:val="0"/>
              <w:autoSpaceDN w:val="0"/>
              <w:adjustRightInd w:val="0"/>
              <w:jc w:val="center"/>
              <w:rPr>
                <w:bCs/>
              </w:rPr>
            </w:pPr>
            <w:r>
              <w:rPr>
                <w:bCs/>
              </w:rPr>
              <w:t>Cents / kWh</w:t>
            </w:r>
          </w:p>
        </w:tc>
        <w:tc>
          <w:tcPr>
            <w:tcW w:w="2538" w:type="dxa"/>
          </w:tcPr>
          <w:p w:rsidR="007F2B0B" w:rsidRDefault="007F2B0B" w:rsidP="007F2B0B">
            <w:pPr>
              <w:autoSpaceDE w:val="0"/>
              <w:autoSpaceDN w:val="0"/>
              <w:adjustRightInd w:val="0"/>
              <w:jc w:val="center"/>
              <w:rPr>
                <w:bCs/>
              </w:rPr>
            </w:pPr>
            <w:r>
              <w:rPr>
                <w:bCs/>
              </w:rPr>
              <w:t>Dollars / kW-month</w:t>
            </w:r>
          </w:p>
        </w:tc>
      </w:tr>
      <w:tr w:rsidR="007F2B0B" w:rsidTr="007F2B0B">
        <w:tc>
          <w:tcPr>
            <w:tcW w:w="4428" w:type="dxa"/>
          </w:tcPr>
          <w:p w:rsidR="007F2B0B" w:rsidRDefault="007F2B0B" w:rsidP="007F2B0B">
            <w:pPr>
              <w:autoSpaceDE w:val="0"/>
              <w:autoSpaceDN w:val="0"/>
              <w:adjustRightInd w:val="0"/>
              <w:jc w:val="center"/>
              <w:rPr>
                <w:bCs/>
              </w:rPr>
            </w:pPr>
            <w:r>
              <w:rPr>
                <w:bCs/>
              </w:rPr>
              <w:t>RS, RSVP, RSTOU</w:t>
            </w:r>
          </w:p>
        </w:tc>
        <w:tc>
          <w:tcPr>
            <w:tcW w:w="2610" w:type="dxa"/>
          </w:tcPr>
          <w:p w:rsidR="007F2B0B" w:rsidRDefault="007F2B0B" w:rsidP="007F2B0B">
            <w:pPr>
              <w:autoSpaceDE w:val="0"/>
              <w:autoSpaceDN w:val="0"/>
              <w:adjustRightInd w:val="0"/>
              <w:jc w:val="center"/>
              <w:rPr>
                <w:bCs/>
              </w:rPr>
            </w:pPr>
            <w:r>
              <w:rPr>
                <w:bCs/>
              </w:rPr>
              <w:t>0.919</w:t>
            </w:r>
          </w:p>
        </w:tc>
        <w:tc>
          <w:tcPr>
            <w:tcW w:w="2538" w:type="dxa"/>
            <w:vMerge w:val="restart"/>
            <w:vAlign w:val="center"/>
          </w:tcPr>
          <w:p w:rsidR="007F2B0B" w:rsidRDefault="007F2B0B" w:rsidP="007F2B0B">
            <w:pPr>
              <w:autoSpaceDE w:val="0"/>
              <w:autoSpaceDN w:val="0"/>
              <w:adjustRightInd w:val="0"/>
              <w:jc w:val="center"/>
              <w:rPr>
                <w:bCs/>
              </w:rPr>
            </w:pPr>
          </w:p>
        </w:tc>
      </w:tr>
      <w:tr w:rsidR="007F2B0B" w:rsidTr="007F2B0B">
        <w:tc>
          <w:tcPr>
            <w:tcW w:w="4428" w:type="dxa"/>
          </w:tcPr>
          <w:p w:rsidR="007F2B0B" w:rsidRDefault="007F2B0B" w:rsidP="007F2B0B">
            <w:pPr>
              <w:autoSpaceDE w:val="0"/>
              <w:autoSpaceDN w:val="0"/>
              <w:adjustRightInd w:val="0"/>
              <w:jc w:val="center"/>
              <w:rPr>
                <w:bCs/>
              </w:rPr>
            </w:pPr>
            <w:r>
              <w:rPr>
                <w:bCs/>
              </w:rPr>
              <w:t>GS</w:t>
            </w:r>
          </w:p>
        </w:tc>
        <w:tc>
          <w:tcPr>
            <w:tcW w:w="2610" w:type="dxa"/>
          </w:tcPr>
          <w:p w:rsidR="007F2B0B" w:rsidRDefault="007F2B0B" w:rsidP="007F2B0B">
            <w:pPr>
              <w:autoSpaceDE w:val="0"/>
              <w:autoSpaceDN w:val="0"/>
              <w:adjustRightInd w:val="0"/>
              <w:jc w:val="center"/>
              <w:rPr>
                <w:bCs/>
              </w:rPr>
            </w:pPr>
            <w:r>
              <w:rPr>
                <w:bCs/>
              </w:rPr>
              <w:t>0.812</w:t>
            </w:r>
          </w:p>
        </w:tc>
        <w:tc>
          <w:tcPr>
            <w:tcW w:w="2538" w:type="dxa"/>
            <w:vMerge/>
          </w:tcPr>
          <w:p w:rsidR="007F2B0B" w:rsidRDefault="007F2B0B" w:rsidP="007F2B0B">
            <w:pPr>
              <w:autoSpaceDE w:val="0"/>
              <w:autoSpaceDN w:val="0"/>
              <w:adjustRightInd w:val="0"/>
              <w:jc w:val="center"/>
              <w:rPr>
                <w:bCs/>
              </w:rPr>
            </w:pPr>
          </w:p>
        </w:tc>
      </w:tr>
      <w:tr w:rsidR="007F2B0B" w:rsidTr="007F2B0B">
        <w:tc>
          <w:tcPr>
            <w:tcW w:w="4428" w:type="dxa"/>
          </w:tcPr>
          <w:p w:rsidR="007F2B0B" w:rsidRDefault="007F2B0B" w:rsidP="007F2B0B">
            <w:pPr>
              <w:autoSpaceDE w:val="0"/>
              <w:autoSpaceDN w:val="0"/>
              <w:adjustRightInd w:val="0"/>
              <w:jc w:val="center"/>
              <w:rPr>
                <w:bCs/>
              </w:rPr>
            </w:pPr>
            <w:r>
              <w:rPr>
                <w:bCs/>
              </w:rPr>
              <w:t>GSD, GSDT, GSTOU</w:t>
            </w:r>
          </w:p>
        </w:tc>
        <w:tc>
          <w:tcPr>
            <w:tcW w:w="2610" w:type="dxa"/>
          </w:tcPr>
          <w:p w:rsidR="007F2B0B" w:rsidRDefault="007F2B0B" w:rsidP="007F2B0B">
            <w:pPr>
              <w:autoSpaceDE w:val="0"/>
              <w:autoSpaceDN w:val="0"/>
              <w:adjustRightInd w:val="0"/>
              <w:jc w:val="center"/>
              <w:rPr>
                <w:bCs/>
              </w:rPr>
            </w:pPr>
            <w:r>
              <w:rPr>
                <w:bCs/>
              </w:rPr>
              <w:t>0.705</w:t>
            </w:r>
          </w:p>
        </w:tc>
        <w:tc>
          <w:tcPr>
            <w:tcW w:w="2538" w:type="dxa"/>
            <w:vMerge/>
          </w:tcPr>
          <w:p w:rsidR="007F2B0B" w:rsidRDefault="007F2B0B" w:rsidP="007F2B0B">
            <w:pPr>
              <w:autoSpaceDE w:val="0"/>
              <w:autoSpaceDN w:val="0"/>
              <w:adjustRightInd w:val="0"/>
              <w:jc w:val="center"/>
              <w:rPr>
                <w:bCs/>
              </w:rPr>
            </w:pPr>
          </w:p>
        </w:tc>
      </w:tr>
      <w:tr w:rsidR="007F2B0B" w:rsidTr="007F2B0B">
        <w:tc>
          <w:tcPr>
            <w:tcW w:w="4428" w:type="dxa"/>
          </w:tcPr>
          <w:p w:rsidR="007F2B0B" w:rsidRDefault="007F2B0B" w:rsidP="007F2B0B">
            <w:pPr>
              <w:autoSpaceDE w:val="0"/>
              <w:autoSpaceDN w:val="0"/>
              <w:adjustRightInd w:val="0"/>
              <w:jc w:val="center"/>
              <w:rPr>
                <w:bCs/>
              </w:rPr>
            </w:pPr>
            <w:r>
              <w:rPr>
                <w:bCs/>
              </w:rPr>
              <w:t>LP, LPT</w:t>
            </w:r>
          </w:p>
        </w:tc>
        <w:tc>
          <w:tcPr>
            <w:tcW w:w="2610" w:type="dxa"/>
          </w:tcPr>
          <w:p w:rsidR="007F2B0B" w:rsidRDefault="007F2B0B" w:rsidP="007F2B0B">
            <w:pPr>
              <w:autoSpaceDE w:val="0"/>
              <w:autoSpaceDN w:val="0"/>
              <w:adjustRightInd w:val="0"/>
              <w:jc w:val="center"/>
              <w:rPr>
                <w:bCs/>
              </w:rPr>
            </w:pPr>
          </w:p>
        </w:tc>
        <w:tc>
          <w:tcPr>
            <w:tcW w:w="2538" w:type="dxa"/>
          </w:tcPr>
          <w:p w:rsidR="007F2B0B" w:rsidRDefault="007F2B0B" w:rsidP="007F2B0B">
            <w:pPr>
              <w:autoSpaceDE w:val="0"/>
              <w:autoSpaceDN w:val="0"/>
              <w:adjustRightInd w:val="0"/>
              <w:jc w:val="center"/>
              <w:rPr>
                <w:bCs/>
              </w:rPr>
            </w:pPr>
            <w:r>
              <w:rPr>
                <w:bCs/>
              </w:rPr>
              <w:t>2.98</w:t>
            </w:r>
          </w:p>
        </w:tc>
      </w:tr>
      <w:tr w:rsidR="007F2B0B" w:rsidTr="007F2B0B">
        <w:tc>
          <w:tcPr>
            <w:tcW w:w="4428" w:type="dxa"/>
          </w:tcPr>
          <w:p w:rsidR="007F2B0B" w:rsidRDefault="007F2B0B" w:rsidP="007F2B0B">
            <w:pPr>
              <w:autoSpaceDE w:val="0"/>
              <w:autoSpaceDN w:val="0"/>
              <w:adjustRightInd w:val="0"/>
              <w:jc w:val="center"/>
              <w:rPr>
                <w:bCs/>
              </w:rPr>
            </w:pPr>
            <w:r>
              <w:rPr>
                <w:bCs/>
              </w:rPr>
              <w:t>PX, PXT, RTP, SBS</w:t>
            </w:r>
          </w:p>
        </w:tc>
        <w:tc>
          <w:tcPr>
            <w:tcW w:w="2610" w:type="dxa"/>
          </w:tcPr>
          <w:p w:rsidR="007F2B0B" w:rsidRDefault="007F2B0B" w:rsidP="007F2B0B">
            <w:pPr>
              <w:autoSpaceDE w:val="0"/>
              <w:autoSpaceDN w:val="0"/>
              <w:adjustRightInd w:val="0"/>
              <w:jc w:val="center"/>
              <w:rPr>
                <w:bCs/>
              </w:rPr>
            </w:pPr>
            <w:r>
              <w:rPr>
                <w:bCs/>
              </w:rPr>
              <w:t>0.581</w:t>
            </w:r>
          </w:p>
        </w:tc>
        <w:tc>
          <w:tcPr>
            <w:tcW w:w="2538" w:type="dxa"/>
            <w:vMerge w:val="restart"/>
            <w:vAlign w:val="center"/>
          </w:tcPr>
          <w:p w:rsidR="007F2B0B" w:rsidRDefault="007F2B0B" w:rsidP="007F2B0B">
            <w:pPr>
              <w:autoSpaceDE w:val="0"/>
              <w:autoSpaceDN w:val="0"/>
              <w:adjustRightInd w:val="0"/>
              <w:jc w:val="center"/>
              <w:rPr>
                <w:bCs/>
              </w:rPr>
            </w:pPr>
          </w:p>
        </w:tc>
      </w:tr>
      <w:tr w:rsidR="007F2B0B" w:rsidTr="007F2B0B">
        <w:tc>
          <w:tcPr>
            <w:tcW w:w="4428" w:type="dxa"/>
          </w:tcPr>
          <w:p w:rsidR="007F2B0B" w:rsidRDefault="007F2B0B" w:rsidP="007F2B0B">
            <w:pPr>
              <w:autoSpaceDE w:val="0"/>
              <w:autoSpaceDN w:val="0"/>
              <w:adjustRightInd w:val="0"/>
              <w:jc w:val="center"/>
              <w:rPr>
                <w:bCs/>
              </w:rPr>
            </w:pPr>
            <w:r>
              <w:rPr>
                <w:bCs/>
              </w:rPr>
              <w:t>OS-I/II</w:t>
            </w:r>
          </w:p>
        </w:tc>
        <w:tc>
          <w:tcPr>
            <w:tcW w:w="2610" w:type="dxa"/>
          </w:tcPr>
          <w:p w:rsidR="007F2B0B" w:rsidRDefault="007F2B0B" w:rsidP="007F2B0B">
            <w:pPr>
              <w:autoSpaceDE w:val="0"/>
              <w:autoSpaceDN w:val="0"/>
              <w:adjustRightInd w:val="0"/>
              <w:jc w:val="center"/>
              <w:rPr>
                <w:bCs/>
              </w:rPr>
            </w:pPr>
            <w:r>
              <w:rPr>
                <w:bCs/>
              </w:rPr>
              <w:t xml:space="preserve">0.123 </w:t>
            </w:r>
          </w:p>
        </w:tc>
        <w:tc>
          <w:tcPr>
            <w:tcW w:w="2538" w:type="dxa"/>
            <w:vMerge/>
          </w:tcPr>
          <w:p w:rsidR="007F2B0B" w:rsidRDefault="007F2B0B" w:rsidP="007F2B0B">
            <w:pPr>
              <w:autoSpaceDE w:val="0"/>
              <w:autoSpaceDN w:val="0"/>
              <w:adjustRightInd w:val="0"/>
              <w:jc w:val="center"/>
              <w:rPr>
                <w:bCs/>
              </w:rPr>
            </w:pPr>
          </w:p>
        </w:tc>
      </w:tr>
      <w:tr w:rsidR="007F2B0B" w:rsidTr="007F2B0B">
        <w:tc>
          <w:tcPr>
            <w:tcW w:w="4428" w:type="dxa"/>
          </w:tcPr>
          <w:p w:rsidR="007F2B0B" w:rsidRDefault="007F2B0B" w:rsidP="007F2B0B">
            <w:pPr>
              <w:autoSpaceDE w:val="0"/>
              <w:autoSpaceDN w:val="0"/>
              <w:adjustRightInd w:val="0"/>
              <w:jc w:val="center"/>
              <w:rPr>
                <w:bCs/>
              </w:rPr>
            </w:pPr>
            <w:r>
              <w:rPr>
                <w:bCs/>
              </w:rPr>
              <w:t>OSIII</w:t>
            </w:r>
          </w:p>
        </w:tc>
        <w:tc>
          <w:tcPr>
            <w:tcW w:w="2610" w:type="dxa"/>
          </w:tcPr>
          <w:p w:rsidR="007F2B0B" w:rsidRDefault="007F2B0B" w:rsidP="007F2B0B">
            <w:pPr>
              <w:autoSpaceDE w:val="0"/>
              <w:autoSpaceDN w:val="0"/>
              <w:adjustRightInd w:val="0"/>
              <w:jc w:val="center"/>
              <w:rPr>
                <w:bCs/>
              </w:rPr>
            </w:pPr>
            <w:r>
              <w:rPr>
                <w:bCs/>
              </w:rPr>
              <w:t xml:space="preserve">0.544 </w:t>
            </w:r>
          </w:p>
        </w:tc>
        <w:tc>
          <w:tcPr>
            <w:tcW w:w="2538" w:type="dxa"/>
            <w:vMerge/>
          </w:tcPr>
          <w:p w:rsidR="007F2B0B" w:rsidRDefault="007F2B0B" w:rsidP="007F2B0B">
            <w:pPr>
              <w:autoSpaceDE w:val="0"/>
              <w:autoSpaceDN w:val="0"/>
              <w:adjustRightInd w:val="0"/>
              <w:jc w:val="center"/>
              <w:rPr>
                <w:bCs/>
              </w:rPr>
            </w:pPr>
          </w:p>
        </w:tc>
      </w:tr>
      <w:tr w:rsidR="007F2B0B" w:rsidTr="007F2B0B">
        <w:tc>
          <w:tcPr>
            <w:tcW w:w="9576" w:type="dxa"/>
            <w:gridSpan w:val="3"/>
          </w:tcPr>
          <w:p w:rsidR="007F2B0B" w:rsidRDefault="007F2B0B" w:rsidP="007F2B0B">
            <w:pPr>
              <w:autoSpaceDE w:val="0"/>
              <w:autoSpaceDN w:val="0"/>
              <w:adjustRightInd w:val="0"/>
              <w:rPr>
                <w:bCs/>
              </w:rPr>
            </w:pPr>
          </w:p>
        </w:tc>
      </w:tr>
    </w:tbl>
    <w:p w:rsidR="007F2B0B" w:rsidRPr="009B5D0C" w:rsidRDefault="007F2B0B" w:rsidP="007F2B0B">
      <w:pPr>
        <w:autoSpaceDE w:val="0"/>
        <w:autoSpaceDN w:val="0"/>
        <w:adjustRightInd w:val="0"/>
        <w:jc w:val="both"/>
        <w:rPr>
          <w:bCs/>
        </w:rPr>
      </w:pPr>
    </w:p>
    <w:p w:rsidR="007F2B0B" w:rsidRDefault="007F2B0B" w:rsidP="007F2B0B">
      <w:pPr>
        <w:rPr>
          <w:b/>
          <w:bCs/>
          <w:u w:val="single"/>
        </w:rPr>
      </w:pPr>
      <w:r>
        <w:rPr>
          <w:b/>
          <w:bCs/>
          <w:u w:val="single"/>
        </w:rPr>
        <w:br w:type="page"/>
      </w:r>
    </w:p>
    <w:p w:rsidR="007F2B0B" w:rsidRDefault="007F2B0B" w:rsidP="007F2B0B">
      <w:pPr>
        <w:autoSpaceDE w:val="0"/>
        <w:autoSpaceDN w:val="0"/>
        <w:adjustRightInd w:val="0"/>
        <w:jc w:val="both"/>
        <w:rPr>
          <w:bCs/>
        </w:rPr>
      </w:pPr>
      <w:r>
        <w:rPr>
          <w:bCs/>
        </w:rPr>
        <w:lastRenderedPageBreak/>
        <w:tab/>
      </w:r>
      <w:r w:rsidRPr="00625648">
        <w:rPr>
          <w:bCs/>
        </w:rPr>
        <w:t>TECO:</w:t>
      </w:r>
      <w:r w:rsidRPr="00A47057">
        <w:rPr>
          <w:bCs/>
        </w:rPr>
        <w:tab/>
      </w:r>
    </w:p>
    <w:p w:rsidR="00721725" w:rsidRDefault="00721725" w:rsidP="007F2B0B">
      <w:pPr>
        <w:autoSpaceDE w:val="0"/>
        <w:autoSpaceDN w:val="0"/>
        <w:adjustRightInd w:val="0"/>
        <w:jc w:val="both"/>
        <w:rPr>
          <w:b/>
          <w:bCs/>
          <w:u w:val="single"/>
        </w:rPr>
      </w:pPr>
    </w:p>
    <w:tbl>
      <w:tblPr>
        <w:tblStyle w:val="TableGrid"/>
        <w:tblW w:w="0" w:type="auto"/>
        <w:tblLook w:val="04A0" w:firstRow="1" w:lastRow="0" w:firstColumn="1" w:lastColumn="0" w:noHBand="0" w:noVBand="1"/>
      </w:tblPr>
      <w:tblGrid>
        <w:gridCol w:w="4158"/>
        <w:gridCol w:w="2610"/>
        <w:gridCol w:w="2808"/>
      </w:tblGrid>
      <w:tr w:rsidR="007F2B0B" w:rsidTr="007F2B0B">
        <w:tc>
          <w:tcPr>
            <w:tcW w:w="4158" w:type="dxa"/>
            <w:vMerge w:val="restart"/>
            <w:vAlign w:val="center"/>
          </w:tcPr>
          <w:p w:rsidR="007F2B0B" w:rsidRPr="00A47057" w:rsidRDefault="007F2B0B" w:rsidP="007F2B0B">
            <w:pPr>
              <w:autoSpaceDE w:val="0"/>
              <w:autoSpaceDN w:val="0"/>
              <w:adjustRightInd w:val="0"/>
              <w:jc w:val="center"/>
              <w:rPr>
                <w:b/>
                <w:bCs/>
              </w:rPr>
            </w:pPr>
            <w:r w:rsidRPr="00A47057">
              <w:rPr>
                <w:b/>
                <w:bCs/>
              </w:rPr>
              <w:t>Rate Class and Metering Voltage</w:t>
            </w:r>
          </w:p>
        </w:tc>
        <w:tc>
          <w:tcPr>
            <w:tcW w:w="5418" w:type="dxa"/>
            <w:gridSpan w:val="2"/>
          </w:tcPr>
          <w:p w:rsidR="007F2B0B" w:rsidRPr="002872EA" w:rsidRDefault="007F2B0B" w:rsidP="007F2B0B">
            <w:pPr>
              <w:autoSpaceDE w:val="0"/>
              <w:autoSpaceDN w:val="0"/>
              <w:adjustRightInd w:val="0"/>
              <w:jc w:val="center"/>
              <w:rPr>
                <w:b/>
                <w:bCs/>
              </w:rPr>
            </w:pPr>
            <w:r w:rsidRPr="002872EA">
              <w:rPr>
                <w:b/>
                <w:bCs/>
              </w:rPr>
              <w:t xml:space="preserve">Capacity Cost Recovery Factor </w:t>
            </w:r>
          </w:p>
        </w:tc>
      </w:tr>
      <w:tr w:rsidR="007F2B0B" w:rsidTr="007F2B0B">
        <w:tc>
          <w:tcPr>
            <w:tcW w:w="4158" w:type="dxa"/>
            <w:vMerge/>
          </w:tcPr>
          <w:p w:rsidR="007F2B0B" w:rsidRDefault="007F2B0B" w:rsidP="007F2B0B">
            <w:pPr>
              <w:autoSpaceDE w:val="0"/>
              <w:autoSpaceDN w:val="0"/>
              <w:adjustRightInd w:val="0"/>
              <w:jc w:val="center"/>
              <w:rPr>
                <w:b/>
                <w:bCs/>
                <w:u w:val="single"/>
              </w:rPr>
            </w:pPr>
          </w:p>
        </w:tc>
        <w:tc>
          <w:tcPr>
            <w:tcW w:w="2610" w:type="dxa"/>
          </w:tcPr>
          <w:p w:rsidR="007F2B0B" w:rsidRDefault="007F2B0B" w:rsidP="007F2B0B">
            <w:pPr>
              <w:autoSpaceDE w:val="0"/>
              <w:autoSpaceDN w:val="0"/>
              <w:adjustRightInd w:val="0"/>
              <w:jc w:val="center"/>
              <w:rPr>
                <w:bCs/>
              </w:rPr>
            </w:pPr>
            <w:r>
              <w:rPr>
                <w:bCs/>
              </w:rPr>
              <w:t>Cents / kWh</w:t>
            </w:r>
          </w:p>
        </w:tc>
        <w:tc>
          <w:tcPr>
            <w:tcW w:w="2808" w:type="dxa"/>
          </w:tcPr>
          <w:p w:rsidR="007F2B0B" w:rsidRDefault="007F2B0B" w:rsidP="007F2B0B">
            <w:pPr>
              <w:autoSpaceDE w:val="0"/>
              <w:autoSpaceDN w:val="0"/>
              <w:adjustRightInd w:val="0"/>
              <w:jc w:val="center"/>
              <w:rPr>
                <w:bCs/>
              </w:rPr>
            </w:pPr>
            <w:r>
              <w:rPr>
                <w:bCs/>
              </w:rPr>
              <w:t>Dollars / kW</w:t>
            </w:r>
          </w:p>
        </w:tc>
      </w:tr>
      <w:tr w:rsidR="007F2B0B" w:rsidTr="007F2B0B">
        <w:tc>
          <w:tcPr>
            <w:tcW w:w="4158" w:type="dxa"/>
          </w:tcPr>
          <w:p w:rsidR="007F2B0B" w:rsidRPr="00A47057" w:rsidRDefault="007F2B0B" w:rsidP="007F2B0B">
            <w:pPr>
              <w:autoSpaceDE w:val="0"/>
              <w:autoSpaceDN w:val="0"/>
              <w:adjustRightInd w:val="0"/>
              <w:jc w:val="center"/>
              <w:rPr>
                <w:bCs/>
              </w:rPr>
            </w:pPr>
            <w:r>
              <w:rPr>
                <w:bCs/>
              </w:rPr>
              <w:t>RS Secondary</w:t>
            </w:r>
          </w:p>
        </w:tc>
        <w:tc>
          <w:tcPr>
            <w:tcW w:w="2610" w:type="dxa"/>
          </w:tcPr>
          <w:p w:rsidR="007F2B0B" w:rsidRPr="00A47057" w:rsidRDefault="007F2B0B" w:rsidP="007F2B0B">
            <w:pPr>
              <w:autoSpaceDE w:val="0"/>
              <w:autoSpaceDN w:val="0"/>
              <w:adjustRightInd w:val="0"/>
              <w:jc w:val="center"/>
              <w:rPr>
                <w:bCs/>
              </w:rPr>
            </w:pPr>
            <w:r>
              <w:rPr>
                <w:bCs/>
              </w:rPr>
              <w:t>0.178</w:t>
            </w:r>
          </w:p>
        </w:tc>
        <w:tc>
          <w:tcPr>
            <w:tcW w:w="2808" w:type="dxa"/>
            <w:vMerge w:val="restart"/>
            <w:vAlign w:val="center"/>
          </w:tcPr>
          <w:p w:rsidR="007F2B0B" w:rsidRPr="00A47057" w:rsidRDefault="007F2B0B" w:rsidP="007F2B0B">
            <w:pPr>
              <w:autoSpaceDE w:val="0"/>
              <w:autoSpaceDN w:val="0"/>
              <w:adjustRightInd w:val="0"/>
              <w:jc w:val="center"/>
              <w:rPr>
                <w:bCs/>
              </w:rPr>
            </w:pPr>
          </w:p>
        </w:tc>
      </w:tr>
      <w:tr w:rsidR="007F2B0B" w:rsidTr="007F2B0B">
        <w:tc>
          <w:tcPr>
            <w:tcW w:w="4158" w:type="dxa"/>
          </w:tcPr>
          <w:p w:rsidR="007F2B0B" w:rsidRPr="00A47057" w:rsidRDefault="007F2B0B" w:rsidP="007F2B0B">
            <w:pPr>
              <w:autoSpaceDE w:val="0"/>
              <w:autoSpaceDN w:val="0"/>
              <w:adjustRightInd w:val="0"/>
              <w:jc w:val="center"/>
              <w:rPr>
                <w:bCs/>
              </w:rPr>
            </w:pPr>
            <w:r>
              <w:rPr>
                <w:bCs/>
              </w:rPr>
              <w:t>GS and TS Secondary</w:t>
            </w:r>
          </w:p>
        </w:tc>
        <w:tc>
          <w:tcPr>
            <w:tcW w:w="2610" w:type="dxa"/>
          </w:tcPr>
          <w:p w:rsidR="007F2B0B" w:rsidRPr="00A47057" w:rsidRDefault="007F2B0B" w:rsidP="007F2B0B">
            <w:pPr>
              <w:autoSpaceDE w:val="0"/>
              <w:autoSpaceDN w:val="0"/>
              <w:adjustRightInd w:val="0"/>
              <w:jc w:val="center"/>
              <w:rPr>
                <w:bCs/>
              </w:rPr>
            </w:pPr>
            <w:r>
              <w:rPr>
                <w:bCs/>
              </w:rPr>
              <w:t>0.166</w:t>
            </w:r>
          </w:p>
        </w:tc>
        <w:tc>
          <w:tcPr>
            <w:tcW w:w="2808" w:type="dxa"/>
            <w:vMerge/>
          </w:tcPr>
          <w:p w:rsidR="007F2B0B" w:rsidRPr="00A47057" w:rsidRDefault="007F2B0B" w:rsidP="007F2B0B">
            <w:pPr>
              <w:autoSpaceDE w:val="0"/>
              <w:autoSpaceDN w:val="0"/>
              <w:adjustRightInd w:val="0"/>
              <w:jc w:val="center"/>
              <w:rPr>
                <w:bCs/>
              </w:rPr>
            </w:pPr>
          </w:p>
        </w:tc>
      </w:tr>
      <w:tr w:rsidR="007F2B0B" w:rsidTr="007F2B0B">
        <w:tc>
          <w:tcPr>
            <w:tcW w:w="6768" w:type="dxa"/>
            <w:gridSpan w:val="2"/>
          </w:tcPr>
          <w:p w:rsidR="007F2B0B" w:rsidRPr="00A47057" w:rsidRDefault="007F2B0B" w:rsidP="007F2B0B">
            <w:pPr>
              <w:autoSpaceDE w:val="0"/>
              <w:autoSpaceDN w:val="0"/>
              <w:adjustRightInd w:val="0"/>
              <w:jc w:val="center"/>
              <w:rPr>
                <w:bCs/>
              </w:rPr>
            </w:pPr>
            <w:r>
              <w:rPr>
                <w:bCs/>
              </w:rPr>
              <w:t>GSD, SBF Standard</w:t>
            </w:r>
          </w:p>
        </w:tc>
        <w:tc>
          <w:tcPr>
            <w:tcW w:w="2808" w:type="dxa"/>
          </w:tcPr>
          <w:p w:rsidR="007F2B0B" w:rsidRPr="00A47057" w:rsidRDefault="007F2B0B" w:rsidP="007F2B0B">
            <w:pPr>
              <w:autoSpaceDE w:val="0"/>
              <w:autoSpaceDN w:val="0"/>
              <w:adjustRightInd w:val="0"/>
              <w:jc w:val="center"/>
              <w:rPr>
                <w:bCs/>
              </w:rPr>
            </w:pPr>
          </w:p>
        </w:tc>
      </w:tr>
      <w:tr w:rsidR="007F2B0B" w:rsidTr="007F2B0B">
        <w:tc>
          <w:tcPr>
            <w:tcW w:w="4158" w:type="dxa"/>
          </w:tcPr>
          <w:p w:rsidR="007F2B0B" w:rsidRPr="00A47057" w:rsidRDefault="007F2B0B" w:rsidP="007F2B0B">
            <w:pPr>
              <w:autoSpaceDE w:val="0"/>
              <w:autoSpaceDN w:val="0"/>
              <w:adjustRightInd w:val="0"/>
              <w:jc w:val="center"/>
              <w:rPr>
                <w:bCs/>
              </w:rPr>
            </w:pPr>
            <w:r>
              <w:rPr>
                <w:bCs/>
              </w:rPr>
              <w:t>Secondary</w:t>
            </w:r>
          </w:p>
        </w:tc>
        <w:tc>
          <w:tcPr>
            <w:tcW w:w="2610" w:type="dxa"/>
            <w:vMerge w:val="restart"/>
            <w:vAlign w:val="center"/>
          </w:tcPr>
          <w:p w:rsidR="007F2B0B" w:rsidRPr="00A47057" w:rsidRDefault="007F2B0B" w:rsidP="007F2B0B">
            <w:pPr>
              <w:autoSpaceDE w:val="0"/>
              <w:autoSpaceDN w:val="0"/>
              <w:adjustRightInd w:val="0"/>
              <w:jc w:val="center"/>
              <w:rPr>
                <w:bCs/>
              </w:rPr>
            </w:pPr>
          </w:p>
        </w:tc>
        <w:tc>
          <w:tcPr>
            <w:tcW w:w="2808" w:type="dxa"/>
          </w:tcPr>
          <w:p w:rsidR="007F2B0B" w:rsidRPr="00A47057" w:rsidRDefault="007F2B0B" w:rsidP="007F2B0B">
            <w:pPr>
              <w:autoSpaceDE w:val="0"/>
              <w:autoSpaceDN w:val="0"/>
              <w:adjustRightInd w:val="0"/>
              <w:jc w:val="center"/>
              <w:rPr>
                <w:bCs/>
              </w:rPr>
            </w:pPr>
            <w:r>
              <w:rPr>
                <w:bCs/>
              </w:rPr>
              <w:t>0.530</w:t>
            </w:r>
          </w:p>
        </w:tc>
      </w:tr>
      <w:tr w:rsidR="007F2B0B" w:rsidTr="007F2B0B">
        <w:tc>
          <w:tcPr>
            <w:tcW w:w="4158" w:type="dxa"/>
          </w:tcPr>
          <w:p w:rsidR="007F2B0B" w:rsidRPr="00A47057" w:rsidRDefault="007F2B0B" w:rsidP="007F2B0B">
            <w:pPr>
              <w:autoSpaceDE w:val="0"/>
              <w:autoSpaceDN w:val="0"/>
              <w:adjustRightInd w:val="0"/>
              <w:jc w:val="center"/>
              <w:rPr>
                <w:bCs/>
              </w:rPr>
            </w:pPr>
            <w:r>
              <w:rPr>
                <w:bCs/>
              </w:rPr>
              <w:t>Primary</w:t>
            </w:r>
          </w:p>
        </w:tc>
        <w:tc>
          <w:tcPr>
            <w:tcW w:w="2610" w:type="dxa"/>
            <w:vMerge/>
          </w:tcPr>
          <w:p w:rsidR="007F2B0B" w:rsidRPr="00A47057" w:rsidRDefault="007F2B0B" w:rsidP="007F2B0B">
            <w:pPr>
              <w:autoSpaceDE w:val="0"/>
              <w:autoSpaceDN w:val="0"/>
              <w:adjustRightInd w:val="0"/>
              <w:jc w:val="center"/>
              <w:rPr>
                <w:bCs/>
              </w:rPr>
            </w:pPr>
          </w:p>
        </w:tc>
        <w:tc>
          <w:tcPr>
            <w:tcW w:w="2808" w:type="dxa"/>
          </w:tcPr>
          <w:p w:rsidR="007F2B0B" w:rsidRPr="00A47057" w:rsidRDefault="007F2B0B" w:rsidP="007F2B0B">
            <w:pPr>
              <w:autoSpaceDE w:val="0"/>
              <w:autoSpaceDN w:val="0"/>
              <w:adjustRightInd w:val="0"/>
              <w:jc w:val="center"/>
              <w:rPr>
                <w:bCs/>
              </w:rPr>
            </w:pPr>
            <w:r>
              <w:rPr>
                <w:bCs/>
              </w:rPr>
              <w:t>0.520</w:t>
            </w:r>
          </w:p>
        </w:tc>
      </w:tr>
      <w:tr w:rsidR="007F2B0B" w:rsidTr="007F2B0B">
        <w:tc>
          <w:tcPr>
            <w:tcW w:w="4158" w:type="dxa"/>
          </w:tcPr>
          <w:p w:rsidR="007F2B0B" w:rsidRPr="00A47057" w:rsidRDefault="007F2B0B" w:rsidP="007F2B0B">
            <w:pPr>
              <w:autoSpaceDE w:val="0"/>
              <w:autoSpaceDN w:val="0"/>
              <w:adjustRightInd w:val="0"/>
              <w:jc w:val="center"/>
              <w:rPr>
                <w:bCs/>
              </w:rPr>
            </w:pPr>
            <w:r>
              <w:rPr>
                <w:bCs/>
              </w:rPr>
              <w:t>Transmission</w:t>
            </w:r>
          </w:p>
        </w:tc>
        <w:tc>
          <w:tcPr>
            <w:tcW w:w="2610" w:type="dxa"/>
            <w:vMerge/>
          </w:tcPr>
          <w:p w:rsidR="007F2B0B" w:rsidRPr="00A47057" w:rsidRDefault="007F2B0B" w:rsidP="007F2B0B">
            <w:pPr>
              <w:autoSpaceDE w:val="0"/>
              <w:autoSpaceDN w:val="0"/>
              <w:adjustRightInd w:val="0"/>
              <w:jc w:val="center"/>
              <w:rPr>
                <w:bCs/>
              </w:rPr>
            </w:pPr>
          </w:p>
        </w:tc>
        <w:tc>
          <w:tcPr>
            <w:tcW w:w="2808" w:type="dxa"/>
          </w:tcPr>
          <w:p w:rsidR="007F2B0B" w:rsidRPr="00A47057" w:rsidRDefault="007F2B0B" w:rsidP="007F2B0B">
            <w:pPr>
              <w:autoSpaceDE w:val="0"/>
              <w:autoSpaceDN w:val="0"/>
              <w:adjustRightInd w:val="0"/>
              <w:jc w:val="center"/>
              <w:rPr>
                <w:bCs/>
              </w:rPr>
            </w:pPr>
            <w:r>
              <w:rPr>
                <w:bCs/>
              </w:rPr>
              <w:t>0.520</w:t>
            </w:r>
          </w:p>
        </w:tc>
      </w:tr>
      <w:tr w:rsidR="007F2B0B" w:rsidTr="007F2B0B">
        <w:tc>
          <w:tcPr>
            <w:tcW w:w="6768" w:type="dxa"/>
            <w:gridSpan w:val="2"/>
          </w:tcPr>
          <w:p w:rsidR="007F2B0B" w:rsidRPr="00A47057" w:rsidRDefault="007F2B0B" w:rsidP="007F2B0B">
            <w:pPr>
              <w:autoSpaceDE w:val="0"/>
              <w:autoSpaceDN w:val="0"/>
              <w:adjustRightInd w:val="0"/>
              <w:jc w:val="center"/>
              <w:rPr>
                <w:bCs/>
              </w:rPr>
            </w:pPr>
            <w:r>
              <w:rPr>
                <w:bCs/>
              </w:rPr>
              <w:t>GSD Optional</w:t>
            </w:r>
          </w:p>
        </w:tc>
        <w:tc>
          <w:tcPr>
            <w:tcW w:w="2808" w:type="dxa"/>
          </w:tcPr>
          <w:p w:rsidR="007F2B0B" w:rsidRPr="00A47057" w:rsidRDefault="007F2B0B" w:rsidP="007F2B0B">
            <w:pPr>
              <w:autoSpaceDE w:val="0"/>
              <w:autoSpaceDN w:val="0"/>
              <w:adjustRightInd w:val="0"/>
              <w:jc w:val="center"/>
              <w:rPr>
                <w:bCs/>
              </w:rPr>
            </w:pPr>
          </w:p>
        </w:tc>
      </w:tr>
      <w:tr w:rsidR="007F2B0B" w:rsidTr="007F2B0B">
        <w:tc>
          <w:tcPr>
            <w:tcW w:w="4158" w:type="dxa"/>
          </w:tcPr>
          <w:p w:rsidR="007F2B0B" w:rsidRPr="00A47057" w:rsidRDefault="007F2B0B" w:rsidP="007F2B0B">
            <w:pPr>
              <w:autoSpaceDE w:val="0"/>
              <w:autoSpaceDN w:val="0"/>
              <w:adjustRightInd w:val="0"/>
              <w:jc w:val="center"/>
              <w:rPr>
                <w:bCs/>
              </w:rPr>
            </w:pPr>
            <w:r>
              <w:rPr>
                <w:bCs/>
              </w:rPr>
              <w:t>Secondary</w:t>
            </w:r>
          </w:p>
        </w:tc>
        <w:tc>
          <w:tcPr>
            <w:tcW w:w="2610" w:type="dxa"/>
          </w:tcPr>
          <w:p w:rsidR="007F2B0B" w:rsidRPr="00A47057" w:rsidRDefault="007F2B0B" w:rsidP="007F2B0B">
            <w:pPr>
              <w:autoSpaceDE w:val="0"/>
              <w:autoSpaceDN w:val="0"/>
              <w:adjustRightInd w:val="0"/>
              <w:jc w:val="center"/>
              <w:rPr>
                <w:bCs/>
              </w:rPr>
            </w:pPr>
            <w:r>
              <w:rPr>
                <w:bCs/>
              </w:rPr>
              <w:t>0.123</w:t>
            </w:r>
          </w:p>
        </w:tc>
        <w:tc>
          <w:tcPr>
            <w:tcW w:w="2808" w:type="dxa"/>
            <w:vMerge w:val="restart"/>
            <w:vAlign w:val="center"/>
          </w:tcPr>
          <w:p w:rsidR="007F2B0B" w:rsidRPr="00A47057" w:rsidRDefault="007F2B0B" w:rsidP="007F2B0B">
            <w:pPr>
              <w:autoSpaceDE w:val="0"/>
              <w:autoSpaceDN w:val="0"/>
              <w:adjustRightInd w:val="0"/>
              <w:jc w:val="center"/>
              <w:rPr>
                <w:bCs/>
              </w:rPr>
            </w:pPr>
          </w:p>
        </w:tc>
      </w:tr>
      <w:tr w:rsidR="007F2B0B" w:rsidTr="007F2B0B">
        <w:tc>
          <w:tcPr>
            <w:tcW w:w="4158" w:type="dxa"/>
          </w:tcPr>
          <w:p w:rsidR="007F2B0B" w:rsidRPr="00A47057" w:rsidRDefault="007F2B0B" w:rsidP="007F2B0B">
            <w:pPr>
              <w:autoSpaceDE w:val="0"/>
              <w:autoSpaceDN w:val="0"/>
              <w:adjustRightInd w:val="0"/>
              <w:jc w:val="center"/>
              <w:rPr>
                <w:bCs/>
              </w:rPr>
            </w:pPr>
            <w:r>
              <w:rPr>
                <w:bCs/>
              </w:rPr>
              <w:t>Primary</w:t>
            </w:r>
          </w:p>
        </w:tc>
        <w:tc>
          <w:tcPr>
            <w:tcW w:w="2610" w:type="dxa"/>
          </w:tcPr>
          <w:p w:rsidR="007F2B0B" w:rsidRPr="00A47057" w:rsidRDefault="007F2B0B" w:rsidP="007F2B0B">
            <w:pPr>
              <w:autoSpaceDE w:val="0"/>
              <w:autoSpaceDN w:val="0"/>
              <w:adjustRightInd w:val="0"/>
              <w:jc w:val="center"/>
              <w:rPr>
                <w:bCs/>
              </w:rPr>
            </w:pPr>
            <w:r>
              <w:rPr>
                <w:bCs/>
              </w:rPr>
              <w:t>0.122</w:t>
            </w:r>
          </w:p>
        </w:tc>
        <w:tc>
          <w:tcPr>
            <w:tcW w:w="2808" w:type="dxa"/>
            <w:vMerge/>
          </w:tcPr>
          <w:p w:rsidR="007F2B0B" w:rsidRPr="00A47057" w:rsidRDefault="007F2B0B" w:rsidP="007F2B0B">
            <w:pPr>
              <w:autoSpaceDE w:val="0"/>
              <w:autoSpaceDN w:val="0"/>
              <w:adjustRightInd w:val="0"/>
              <w:jc w:val="center"/>
              <w:rPr>
                <w:bCs/>
              </w:rPr>
            </w:pPr>
          </w:p>
        </w:tc>
      </w:tr>
      <w:tr w:rsidR="007F2B0B" w:rsidTr="007F2B0B">
        <w:tc>
          <w:tcPr>
            <w:tcW w:w="6768" w:type="dxa"/>
            <w:gridSpan w:val="2"/>
          </w:tcPr>
          <w:p w:rsidR="007F2B0B" w:rsidRPr="00A47057" w:rsidRDefault="007F2B0B" w:rsidP="007F2B0B">
            <w:pPr>
              <w:autoSpaceDE w:val="0"/>
              <w:autoSpaceDN w:val="0"/>
              <w:adjustRightInd w:val="0"/>
              <w:jc w:val="center"/>
              <w:rPr>
                <w:bCs/>
              </w:rPr>
            </w:pPr>
            <w:r>
              <w:rPr>
                <w:bCs/>
              </w:rPr>
              <w:t>IS, SBI</w:t>
            </w:r>
          </w:p>
        </w:tc>
        <w:tc>
          <w:tcPr>
            <w:tcW w:w="2808" w:type="dxa"/>
          </w:tcPr>
          <w:p w:rsidR="007F2B0B" w:rsidRPr="00A47057" w:rsidRDefault="007F2B0B" w:rsidP="007F2B0B">
            <w:pPr>
              <w:autoSpaceDE w:val="0"/>
              <w:autoSpaceDN w:val="0"/>
              <w:adjustRightInd w:val="0"/>
              <w:jc w:val="center"/>
              <w:rPr>
                <w:bCs/>
              </w:rPr>
            </w:pPr>
          </w:p>
        </w:tc>
      </w:tr>
      <w:tr w:rsidR="007F2B0B" w:rsidTr="007F2B0B">
        <w:tc>
          <w:tcPr>
            <w:tcW w:w="4158" w:type="dxa"/>
          </w:tcPr>
          <w:p w:rsidR="007F2B0B" w:rsidRPr="00A47057" w:rsidRDefault="007F2B0B" w:rsidP="007F2B0B">
            <w:pPr>
              <w:autoSpaceDE w:val="0"/>
              <w:autoSpaceDN w:val="0"/>
              <w:adjustRightInd w:val="0"/>
              <w:jc w:val="center"/>
              <w:rPr>
                <w:bCs/>
              </w:rPr>
            </w:pPr>
            <w:r>
              <w:rPr>
                <w:bCs/>
              </w:rPr>
              <w:t>Primary</w:t>
            </w:r>
          </w:p>
        </w:tc>
        <w:tc>
          <w:tcPr>
            <w:tcW w:w="2610" w:type="dxa"/>
            <w:vMerge w:val="restart"/>
            <w:vAlign w:val="center"/>
          </w:tcPr>
          <w:p w:rsidR="007F2B0B" w:rsidRPr="00A47057" w:rsidRDefault="007F2B0B" w:rsidP="007F2B0B">
            <w:pPr>
              <w:autoSpaceDE w:val="0"/>
              <w:autoSpaceDN w:val="0"/>
              <w:adjustRightInd w:val="0"/>
              <w:jc w:val="center"/>
              <w:rPr>
                <w:bCs/>
              </w:rPr>
            </w:pPr>
          </w:p>
        </w:tc>
        <w:tc>
          <w:tcPr>
            <w:tcW w:w="2808" w:type="dxa"/>
          </w:tcPr>
          <w:p w:rsidR="007F2B0B" w:rsidRPr="00A47057" w:rsidRDefault="007F2B0B" w:rsidP="007F2B0B">
            <w:pPr>
              <w:autoSpaceDE w:val="0"/>
              <w:autoSpaceDN w:val="0"/>
              <w:adjustRightInd w:val="0"/>
              <w:jc w:val="center"/>
              <w:rPr>
                <w:bCs/>
              </w:rPr>
            </w:pPr>
            <w:r>
              <w:rPr>
                <w:bCs/>
              </w:rPr>
              <w:t>0.430</w:t>
            </w:r>
          </w:p>
        </w:tc>
      </w:tr>
      <w:tr w:rsidR="007F2B0B" w:rsidTr="007F2B0B">
        <w:tc>
          <w:tcPr>
            <w:tcW w:w="4158" w:type="dxa"/>
          </w:tcPr>
          <w:p w:rsidR="007F2B0B" w:rsidRPr="00A47057" w:rsidRDefault="007F2B0B" w:rsidP="007F2B0B">
            <w:pPr>
              <w:autoSpaceDE w:val="0"/>
              <w:autoSpaceDN w:val="0"/>
              <w:adjustRightInd w:val="0"/>
              <w:jc w:val="center"/>
              <w:rPr>
                <w:bCs/>
              </w:rPr>
            </w:pPr>
            <w:r>
              <w:rPr>
                <w:bCs/>
              </w:rPr>
              <w:t>Transmission</w:t>
            </w:r>
          </w:p>
        </w:tc>
        <w:tc>
          <w:tcPr>
            <w:tcW w:w="2610" w:type="dxa"/>
            <w:vMerge/>
          </w:tcPr>
          <w:p w:rsidR="007F2B0B" w:rsidRPr="00A47057" w:rsidRDefault="007F2B0B" w:rsidP="007F2B0B">
            <w:pPr>
              <w:autoSpaceDE w:val="0"/>
              <w:autoSpaceDN w:val="0"/>
              <w:adjustRightInd w:val="0"/>
              <w:jc w:val="center"/>
              <w:rPr>
                <w:bCs/>
              </w:rPr>
            </w:pPr>
          </w:p>
        </w:tc>
        <w:tc>
          <w:tcPr>
            <w:tcW w:w="2808" w:type="dxa"/>
          </w:tcPr>
          <w:p w:rsidR="007F2B0B" w:rsidRPr="00A47057" w:rsidRDefault="007F2B0B" w:rsidP="007F2B0B">
            <w:pPr>
              <w:autoSpaceDE w:val="0"/>
              <w:autoSpaceDN w:val="0"/>
              <w:adjustRightInd w:val="0"/>
              <w:jc w:val="center"/>
              <w:rPr>
                <w:bCs/>
              </w:rPr>
            </w:pPr>
            <w:r>
              <w:rPr>
                <w:bCs/>
              </w:rPr>
              <w:t>0.420</w:t>
            </w:r>
          </w:p>
        </w:tc>
      </w:tr>
      <w:tr w:rsidR="007F2B0B" w:rsidTr="007F2B0B">
        <w:tc>
          <w:tcPr>
            <w:tcW w:w="4158" w:type="dxa"/>
          </w:tcPr>
          <w:p w:rsidR="007F2B0B" w:rsidRPr="00A47057" w:rsidRDefault="007F2B0B" w:rsidP="007F2B0B">
            <w:pPr>
              <w:autoSpaceDE w:val="0"/>
              <w:autoSpaceDN w:val="0"/>
              <w:adjustRightInd w:val="0"/>
              <w:jc w:val="center"/>
              <w:rPr>
                <w:bCs/>
              </w:rPr>
            </w:pPr>
            <w:r>
              <w:rPr>
                <w:bCs/>
              </w:rPr>
              <w:t>LS1 Secondary</w:t>
            </w:r>
          </w:p>
        </w:tc>
        <w:tc>
          <w:tcPr>
            <w:tcW w:w="2610" w:type="dxa"/>
          </w:tcPr>
          <w:p w:rsidR="007F2B0B" w:rsidRPr="00A47057" w:rsidRDefault="007F2B0B" w:rsidP="007F2B0B">
            <w:pPr>
              <w:autoSpaceDE w:val="0"/>
              <w:autoSpaceDN w:val="0"/>
              <w:adjustRightInd w:val="0"/>
              <w:jc w:val="center"/>
              <w:rPr>
                <w:bCs/>
              </w:rPr>
            </w:pPr>
            <w:r>
              <w:rPr>
                <w:bCs/>
              </w:rPr>
              <w:t>0.021</w:t>
            </w:r>
          </w:p>
        </w:tc>
        <w:tc>
          <w:tcPr>
            <w:tcW w:w="2808" w:type="dxa"/>
          </w:tcPr>
          <w:p w:rsidR="007F2B0B" w:rsidRPr="00A47057" w:rsidRDefault="007F2B0B" w:rsidP="007F2B0B">
            <w:pPr>
              <w:autoSpaceDE w:val="0"/>
              <w:autoSpaceDN w:val="0"/>
              <w:adjustRightInd w:val="0"/>
              <w:jc w:val="center"/>
              <w:rPr>
                <w:bCs/>
              </w:rPr>
            </w:pPr>
          </w:p>
        </w:tc>
      </w:tr>
      <w:tr w:rsidR="007F2B0B" w:rsidTr="007F2B0B">
        <w:tc>
          <w:tcPr>
            <w:tcW w:w="9576" w:type="dxa"/>
            <w:gridSpan w:val="3"/>
          </w:tcPr>
          <w:p w:rsidR="007F2B0B" w:rsidRPr="00A47057" w:rsidRDefault="007F2B0B" w:rsidP="007F2B0B">
            <w:pPr>
              <w:autoSpaceDE w:val="0"/>
              <w:autoSpaceDN w:val="0"/>
              <w:adjustRightInd w:val="0"/>
              <w:jc w:val="both"/>
              <w:rPr>
                <w:bCs/>
              </w:rPr>
            </w:pPr>
          </w:p>
        </w:tc>
      </w:tr>
    </w:tbl>
    <w:p w:rsidR="007F2B0B" w:rsidRDefault="007F2B0B" w:rsidP="007F2B0B">
      <w:pPr>
        <w:autoSpaceDE w:val="0"/>
        <w:autoSpaceDN w:val="0"/>
        <w:adjustRightInd w:val="0"/>
        <w:jc w:val="both"/>
        <w:rPr>
          <w:b/>
          <w:bCs/>
          <w:u w:val="single"/>
        </w:rPr>
      </w:pPr>
    </w:p>
    <w:p w:rsidR="007F2B0B" w:rsidRDefault="007F2B0B" w:rsidP="007F2B0B">
      <w:pPr>
        <w:keepNext/>
        <w:keepLines/>
        <w:tabs>
          <w:tab w:val="left" w:pos="8571"/>
        </w:tabs>
        <w:autoSpaceDE w:val="0"/>
        <w:autoSpaceDN w:val="0"/>
        <w:adjustRightInd w:val="0"/>
        <w:ind w:left="1440" w:hanging="1440"/>
        <w:jc w:val="both"/>
        <w:rPr>
          <w:b/>
        </w:rPr>
      </w:pPr>
      <w:r>
        <w:rPr>
          <w:bCs/>
        </w:rPr>
        <w:t>ISSUE 35:</w:t>
      </w:r>
      <w:r>
        <w:rPr>
          <w:bCs/>
        </w:rPr>
        <w:tab/>
      </w:r>
      <w:r>
        <w:t>The new factors should be effective begin with the first billing cycle for January 2016 through the last billing cycle for December 2016.  The first billing cycle may start before January 1, 2016, and the last cycle may be read after December 31, 2016, so that each customer is billed for twelve months regardless of when the recovery factors became effective.  The new factors shall continue in effect until modified by this Commission</w:t>
      </w:r>
      <w:r w:rsidRPr="00285B44">
        <w:t>.</w:t>
      </w:r>
    </w:p>
    <w:p w:rsidR="007F2B0B" w:rsidRPr="00625648" w:rsidRDefault="007F2B0B" w:rsidP="007F2B0B">
      <w:pPr>
        <w:autoSpaceDE w:val="0"/>
        <w:autoSpaceDN w:val="0"/>
        <w:adjustRightInd w:val="0"/>
        <w:ind w:left="1440" w:hanging="1440"/>
        <w:jc w:val="both"/>
        <w:rPr>
          <w:bCs/>
        </w:rPr>
      </w:pPr>
    </w:p>
    <w:p w:rsidR="007F2B0B" w:rsidRDefault="007F2B0B" w:rsidP="007F2B0B">
      <w:pPr>
        <w:ind w:left="1440" w:hanging="1440"/>
        <w:jc w:val="both"/>
      </w:pPr>
      <w:r>
        <w:t>ISSUE 36:</w:t>
      </w:r>
      <w:r>
        <w:tab/>
      </w:r>
      <w:r w:rsidRPr="00285B44">
        <w:t>Yes. </w:t>
      </w:r>
      <w:r>
        <w:t xml:space="preserve"> </w:t>
      </w:r>
      <w:r w:rsidRPr="00285B44">
        <w:t>The Commission should approve revised tariffs reflecting the fuel adjustment factors and capacity cost recovery factors determined to be appropriate in this proceeding.  The Commission should direct staff to verify that the revised tariffs are consistent with the Commission’s decision.</w:t>
      </w:r>
    </w:p>
    <w:p w:rsidR="007F2B0B" w:rsidRDefault="007F2B0B" w:rsidP="007F2B0B">
      <w:pPr>
        <w:ind w:left="1440" w:hanging="1440"/>
        <w:jc w:val="both"/>
      </w:pPr>
    </w:p>
    <w:p w:rsidR="007F2B0B" w:rsidRDefault="007F2B0B" w:rsidP="007F2B0B">
      <w:pPr>
        <w:ind w:left="1440" w:hanging="1440"/>
        <w:jc w:val="both"/>
      </w:pPr>
      <w:r>
        <w:t>ISSUE 37:</w:t>
      </w:r>
      <w:r>
        <w:tab/>
        <w:t>This docket is an on-going docket and should remain open.</w:t>
      </w:r>
    </w:p>
    <w:p w:rsidR="007F2B0B" w:rsidRDefault="007F2B0B" w:rsidP="00626ADE">
      <w:pPr>
        <w:pStyle w:val="OrderBody"/>
      </w:pPr>
    </w:p>
    <w:sectPr w:rsidR="007F2B0B" w:rsidSect="002E513A">
      <w:headerReference w:type="default" r:id="rId16"/>
      <w:footerReference w:type="first" r:id="rId17"/>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C1B" w:rsidRDefault="007B2C1B">
      <w:r>
        <w:separator/>
      </w:r>
    </w:p>
  </w:endnote>
  <w:endnote w:type="continuationSeparator" w:id="0">
    <w:p w:rsidR="007B2C1B" w:rsidRDefault="007B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20603050405020304"/>
    <w:charset w:val="00"/>
    <w:family w:val="roman"/>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1B" w:rsidRDefault="007B2C1B">
    <w:pPr>
      <w:pStyle w:val="Footer"/>
    </w:pPr>
  </w:p>
  <w:p w:rsidR="007B2C1B" w:rsidRDefault="007B2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C1B" w:rsidRDefault="007B2C1B">
      <w:r>
        <w:separator/>
      </w:r>
    </w:p>
  </w:footnote>
  <w:footnote w:type="continuationSeparator" w:id="0">
    <w:p w:rsidR="007B2C1B" w:rsidRDefault="007B2C1B">
      <w:r>
        <w:continuationSeparator/>
      </w:r>
    </w:p>
  </w:footnote>
  <w:footnote w:id="1">
    <w:p w:rsidR="007B2C1B" w:rsidRDefault="007B2C1B" w:rsidP="00934AB6">
      <w:pPr>
        <w:pStyle w:val="FootnoteText"/>
      </w:pPr>
      <w:r>
        <w:rPr>
          <w:rStyle w:val="FootnoteReference"/>
        </w:rPr>
        <w:footnoteRef/>
      </w:r>
      <w:r>
        <w:t>The Florida Retail Federation (FRF) filed a notice of joinder in OPC’s brief on the same date.</w:t>
      </w:r>
    </w:p>
  </w:footnote>
  <w:footnote w:id="2">
    <w:p w:rsidR="007B2C1B" w:rsidRPr="00841F54" w:rsidRDefault="007B2C1B" w:rsidP="00F64A5A">
      <w:pPr>
        <w:pStyle w:val="FootnoteText"/>
      </w:pPr>
      <w:r>
        <w:rPr>
          <w:rStyle w:val="FootnoteReference"/>
        </w:rPr>
        <w:footnoteRef/>
      </w:r>
      <w:r>
        <w:t xml:space="preserve">Order No. PSC-02-1484-FOF-EI, issued October 30, 2002, in Docket No. 011605-EI, </w:t>
      </w:r>
      <w:r w:rsidRPr="00841F54">
        <w:rPr>
          <w:u w:val="single"/>
        </w:rPr>
        <w:t>In re: Review of investor-owned electric utilities’ risk management policies and procedures</w:t>
      </w:r>
      <w:r>
        <w:t>.</w:t>
      </w:r>
    </w:p>
  </w:footnote>
  <w:footnote w:id="3">
    <w:p w:rsidR="007B2C1B" w:rsidRPr="00AA5A3F" w:rsidRDefault="007B2C1B" w:rsidP="00F64A5A">
      <w:pPr>
        <w:pStyle w:val="FootnoteText"/>
      </w:pPr>
      <w:r>
        <w:rPr>
          <w:rStyle w:val="FootnoteReference"/>
        </w:rPr>
        <w:footnoteRef/>
      </w:r>
      <w:r>
        <w:t xml:space="preserve">Order No. PSC-08-0316-PAA-EI, issued May 14, 2008, in Docket No. 080001-EI, </w:t>
      </w:r>
      <w:r w:rsidRPr="00810D4E">
        <w:rPr>
          <w:u w:val="single"/>
        </w:rPr>
        <w:t>In re: Fuel and purchased power cost recovery clause with generating performance inventive factor</w:t>
      </w:r>
      <w:r>
        <w:t>.</w:t>
      </w:r>
    </w:p>
  </w:footnote>
  <w:footnote w:id="4">
    <w:p w:rsidR="007B2C1B" w:rsidRDefault="007B2C1B" w:rsidP="00F64A5A">
      <w:pPr>
        <w:pStyle w:val="FootnoteText"/>
      </w:pPr>
      <w:r>
        <w:rPr>
          <w:rStyle w:val="FootnoteReference"/>
        </w:rPr>
        <w:footnoteRef/>
      </w:r>
      <w:r>
        <w:t xml:space="preserve">Order No. PSC-08-0667-PAA-EI, issued October 8, 2008, in Docket No. 080001-EI, </w:t>
      </w:r>
      <w:r w:rsidRPr="00810D4E">
        <w:rPr>
          <w:u w:val="single"/>
        </w:rPr>
        <w:t>In re: Fuel and purchased power cost recovery clause with generating performance inventive factor</w:t>
      </w:r>
      <w:r>
        <w:t>.</w:t>
      </w:r>
    </w:p>
  </w:footnote>
  <w:footnote w:id="5">
    <w:p w:rsidR="007B2C1B" w:rsidRPr="00D20199" w:rsidRDefault="007B2C1B" w:rsidP="00DC5DC3">
      <w:pPr>
        <w:pStyle w:val="FootnoteText"/>
      </w:pPr>
      <w:r>
        <w:rPr>
          <w:rStyle w:val="FootnoteReference"/>
        </w:rPr>
        <w:footnoteRef/>
      </w:r>
      <w:r w:rsidRPr="004B614B">
        <w:t>Order No. PSC-15-0038-FOF-EI</w:t>
      </w:r>
      <w:r w:rsidRPr="00217B8C">
        <w:t>, issued January 12, 2015, in Docket No. 150001-EI</w:t>
      </w:r>
      <w:r>
        <w:t xml:space="preserve">, </w:t>
      </w:r>
      <w:r w:rsidRPr="003759E6">
        <w:rPr>
          <w:u w:val="single"/>
        </w:rPr>
        <w:t>In re: Fuel and purchased power cost recovery clause with generating performance incentive factor</w:t>
      </w:r>
      <w:r>
        <w:t>.</w:t>
      </w:r>
    </w:p>
  </w:footnote>
  <w:footnote w:id="6">
    <w:p w:rsidR="007B2C1B" w:rsidRDefault="007B2C1B" w:rsidP="00DC5DC3">
      <w:pPr>
        <w:pStyle w:val="FootnoteText"/>
      </w:pPr>
      <w:r>
        <w:rPr>
          <w:rStyle w:val="FootnoteReference"/>
        </w:rPr>
        <w:footnoteRef/>
      </w:r>
      <w:r w:rsidRPr="007F6F19">
        <w:t>On March 30, 2015, the Florida Supreme Court consolidated OPC’s three appeals and the FIPUG appeal into a single case (Florida Supreme Court Case No. SC15-95).</w:t>
      </w:r>
    </w:p>
  </w:footnote>
  <w:footnote w:id="7">
    <w:p w:rsidR="007B2C1B" w:rsidRDefault="007B2C1B" w:rsidP="00DC5DC3">
      <w:pPr>
        <w:pStyle w:val="FootnoteText"/>
      </w:pPr>
      <w:r>
        <w:rPr>
          <w:rStyle w:val="FootnoteReference"/>
        </w:rPr>
        <w:footnoteRef/>
      </w:r>
      <w:r>
        <w:t>C</w:t>
      </w:r>
      <w:r w:rsidRPr="00827E91">
        <w:t xml:space="preserve">ustomers currently bear certain drilling, production, and shale gas risks (earthquakes, environmental issues, etc.) as these factors are embedded in the market price of gas.   </w:t>
      </w:r>
    </w:p>
  </w:footnote>
  <w:footnote w:id="8">
    <w:p w:rsidR="007B2C1B" w:rsidRDefault="007B2C1B" w:rsidP="00DC5DC3">
      <w:pPr>
        <w:pStyle w:val="FootnoteText"/>
      </w:pPr>
      <w:r>
        <w:rPr>
          <w:rStyle w:val="FootnoteReference"/>
        </w:rPr>
        <w:footnoteRef/>
      </w:r>
      <w:r w:rsidRPr="004F46A2">
        <w:t>Order No. 14546,</w:t>
      </w:r>
      <w:r w:rsidRPr="004B0EB5">
        <w:t xml:space="preserve"> </w:t>
      </w:r>
      <w:r w:rsidRPr="004F46A2">
        <w:t>issued July 8, 1985</w:t>
      </w:r>
      <w:r>
        <w:t>, in</w:t>
      </w:r>
      <w:r w:rsidRPr="004F46A2">
        <w:t xml:space="preserve"> Do</w:t>
      </w:r>
      <w:r>
        <w:t>cket No. 850001-EI-B,</w:t>
      </w:r>
      <w:r w:rsidRPr="004F46A2">
        <w:t xml:space="preserve"> </w:t>
      </w:r>
      <w:r w:rsidRPr="003759E6">
        <w:rPr>
          <w:u w:val="single"/>
        </w:rPr>
        <w:t>In re: Cost recovery Methods for Fuel-Related Expenses</w:t>
      </w:r>
      <w:r w:rsidRPr="001163DF">
        <w:t>.</w:t>
      </w:r>
    </w:p>
  </w:footnote>
  <w:footnote w:id="9">
    <w:p w:rsidR="007B2C1B" w:rsidRPr="0071344E" w:rsidRDefault="007B2C1B" w:rsidP="00DC5DC3">
      <w:pPr>
        <w:pStyle w:val="FootnoteText"/>
      </w:pPr>
      <w:r>
        <w:rPr>
          <w:rStyle w:val="FootnoteReference"/>
        </w:rPr>
        <w:footnoteRef/>
      </w:r>
      <w:r w:rsidRPr="0071344E">
        <w:t>Order No</w:t>
      </w:r>
      <w:r>
        <w:t>s</w:t>
      </w:r>
      <w:r w:rsidRPr="0071344E">
        <w:t>. PSC-97-0359-FOF-EI,</w:t>
      </w:r>
      <w:r>
        <w:t xml:space="preserve"> </w:t>
      </w:r>
      <w:r w:rsidRPr="0071344E">
        <w:t>issued March 31, 1997</w:t>
      </w:r>
      <w:r>
        <w:t xml:space="preserve">, in </w:t>
      </w:r>
      <w:r w:rsidRPr="0071344E">
        <w:t xml:space="preserve">Docket 970001-EI, </w:t>
      </w:r>
      <w:r w:rsidRPr="003759E6">
        <w:rPr>
          <w:u w:val="single"/>
        </w:rPr>
        <w:t xml:space="preserve">In re: Fuel and purchased power cost recovery clause and generating performance incentive factor </w:t>
      </w:r>
      <w:r w:rsidRPr="0071344E">
        <w:t>(FPL investment in rail cars)</w:t>
      </w:r>
      <w:r>
        <w:t xml:space="preserve"> and</w:t>
      </w:r>
      <w:r w:rsidRPr="0071344E">
        <w:t xml:space="preserve"> PSC-01-2516-FOF-EI,</w:t>
      </w:r>
      <w:r>
        <w:t xml:space="preserve"> </w:t>
      </w:r>
      <w:r w:rsidRPr="0071344E">
        <w:t>issued December 26, 2001,</w:t>
      </w:r>
      <w:r>
        <w:t xml:space="preserve"> in </w:t>
      </w:r>
      <w:r w:rsidRPr="0071344E">
        <w:t xml:space="preserve">Docket 010001-EI, </w:t>
      </w:r>
      <w:r w:rsidRPr="003759E6">
        <w:rPr>
          <w:u w:val="single"/>
        </w:rPr>
        <w:t>In re: Fuel and purchased power cost recovery clause and generating performance incentive factor</w:t>
      </w:r>
      <w:r w:rsidRPr="00B45CA5">
        <w:rPr>
          <w:i/>
        </w:rPr>
        <w:t xml:space="preserve"> </w:t>
      </w:r>
      <w:r w:rsidRPr="0071344E">
        <w:t>(Incremental Power Plant Security Costs).</w:t>
      </w:r>
    </w:p>
    <w:p w:rsidR="007B2C1B" w:rsidRDefault="007B2C1B" w:rsidP="00DC5DC3">
      <w:pPr>
        <w:pStyle w:val="FootnoteText"/>
      </w:pPr>
    </w:p>
  </w:footnote>
  <w:footnote w:id="10">
    <w:p w:rsidR="007B2C1B" w:rsidRPr="00DC221C" w:rsidRDefault="007B2C1B" w:rsidP="00DC221C">
      <w:pPr>
        <w:pStyle w:val="FootnoteText"/>
        <w:rPr>
          <w:u w:val="single"/>
        </w:rPr>
      </w:pPr>
      <w:r>
        <w:rPr>
          <w:rStyle w:val="FootnoteReference"/>
        </w:rPr>
        <w:footnoteRef/>
      </w:r>
      <w:r>
        <w:t>Order No. 14546, issued on July 8, 1985, in Docket No. 850001-EI,-B,</w:t>
      </w:r>
      <w:r w:rsidRPr="00313D74">
        <w:rPr>
          <w:i/>
        </w:rPr>
        <w:t xml:space="preserve"> </w:t>
      </w:r>
      <w:r w:rsidRPr="00DC221C">
        <w:rPr>
          <w:u w:val="single"/>
        </w:rPr>
        <w:t xml:space="preserve">In re: Cost Recovery Methods for Fuel-Related Expenses.  </w:t>
      </w:r>
    </w:p>
  </w:footnote>
  <w:footnote w:id="11">
    <w:p w:rsidR="007B2C1B" w:rsidRPr="00313D74" w:rsidRDefault="007B2C1B" w:rsidP="00DC221C">
      <w:pPr>
        <w:pStyle w:val="FootnoteText"/>
        <w:rPr>
          <w:i/>
        </w:rPr>
      </w:pPr>
      <w:r>
        <w:rPr>
          <w:rStyle w:val="FootnoteReference"/>
        </w:rPr>
        <w:footnoteRef/>
      </w:r>
      <w:r>
        <w:t xml:space="preserve">Order No. PSC-11-0080-PAA-EI, issued on January 31, 2011, in Docket No. 100404-EI, </w:t>
      </w:r>
      <w:r w:rsidRPr="00DC221C">
        <w:rPr>
          <w:u w:val="single"/>
        </w:rPr>
        <w:t>In re: Petition by Florida Power &amp; Light Company to recover Scherer Unit 4 Turbine Upgrade costs through environmental cost recovery clause or fuel cost recovery clause</w:t>
      </w:r>
      <w:r>
        <w:t xml:space="preserve"> (This order includes a list of all orders between 1985 and 2005); Order No. PSC-12-0498-PAA-EI, issued on September 27, 2012, in Docket No. 120153-EI,</w:t>
      </w:r>
      <w:r w:rsidRPr="00313D74">
        <w:rPr>
          <w:i/>
        </w:rPr>
        <w:t xml:space="preserve"> </w:t>
      </w:r>
      <w:r w:rsidRPr="00DC221C">
        <w:rPr>
          <w:u w:val="single"/>
        </w:rPr>
        <w:t>In re: Petition to recover capital costs of Polk Fuel Cost Reduction Project through the Fuel Cost Recovery Clause, by Tampa Electric Company</w:t>
      </w:r>
      <w:r>
        <w:t xml:space="preserve">; Order No. PSC-13-0505-PAA-EI, issued on October 28, 2013, in Docket No. 130198-EI, </w:t>
      </w:r>
      <w:r w:rsidRPr="00DC221C">
        <w:rPr>
          <w:u w:val="single"/>
        </w:rPr>
        <w:t>In re: Petition for prudence determination regarding new pipeline system by Florida Power &amp; Light Company</w:t>
      </w:r>
      <w:r>
        <w:t xml:space="preserve">; Order No. PSC-14-0309-PAA-EI, issued on June 12, 2014, in Docket No. 140032-EI, </w:t>
      </w:r>
      <w:r w:rsidRPr="00DC221C">
        <w:rPr>
          <w:u w:val="single"/>
        </w:rPr>
        <w:t>In re: Petition to recover capital costs of Big Bend fuel cost reduction project through the fuel cost recovery clause, by Tampa Electric Company</w:t>
      </w:r>
      <w:r>
        <w:t xml:space="preserve">; Order No. PSC-15-0038-FOF-EI, issued on January 12, 2015, in Docket No. 150001-EI, </w:t>
      </w:r>
      <w:r w:rsidRPr="00DC221C">
        <w:rPr>
          <w:u w:val="single"/>
        </w:rPr>
        <w:t>In re: Fuel purchased power cost recovery clause with generating performance incentive factor</w:t>
      </w:r>
      <w:r w:rsidRPr="00313D74">
        <w:rPr>
          <w:i/>
        </w:rPr>
        <w:t xml:space="preserve">.           </w:t>
      </w:r>
    </w:p>
  </w:footnote>
  <w:footnote w:id="12">
    <w:p w:rsidR="007B2C1B" w:rsidRPr="00313D74" w:rsidRDefault="007B2C1B" w:rsidP="00DC221C">
      <w:pPr>
        <w:pStyle w:val="FootnoteText"/>
        <w:rPr>
          <w:i/>
        </w:rPr>
      </w:pPr>
      <w:r>
        <w:rPr>
          <w:rStyle w:val="FootnoteReference"/>
        </w:rPr>
        <w:footnoteRef/>
      </w:r>
      <w:r>
        <w:t xml:space="preserve">Order No. PSC-14-0517-S-EI, issued on September 29, 2014, in Docket No. 140025-EI, </w:t>
      </w:r>
      <w:r w:rsidRPr="006A06CF">
        <w:rPr>
          <w:u w:val="single"/>
        </w:rPr>
        <w:t>In re: Application for rate increase by Florida Public Utilities Company</w:t>
      </w:r>
      <w:r w:rsidRPr="00313D74">
        <w:rPr>
          <w:i/>
        </w:rPr>
        <w:t>.</w:t>
      </w:r>
    </w:p>
  </w:footnote>
  <w:footnote w:id="13">
    <w:p w:rsidR="007B2C1B" w:rsidRPr="006472D5" w:rsidRDefault="007B2C1B" w:rsidP="006472D5">
      <w:pPr>
        <w:autoSpaceDE w:val="0"/>
        <w:autoSpaceDN w:val="0"/>
        <w:adjustRightInd w:val="0"/>
        <w:jc w:val="both"/>
        <w:rPr>
          <w:rFonts w:eastAsiaTheme="minorHAnsi"/>
          <w:sz w:val="20"/>
          <w:szCs w:val="20"/>
          <w:u w:val="single"/>
        </w:rPr>
      </w:pPr>
      <w:r>
        <w:rPr>
          <w:rStyle w:val="FootnoteReference"/>
        </w:rPr>
        <w:footnoteRef/>
      </w:r>
      <w:r w:rsidRPr="000957BB">
        <w:rPr>
          <w:sz w:val="20"/>
          <w:szCs w:val="20"/>
        </w:rPr>
        <w:t>Order No. PSC-05-0748-FOF-EI, issued July 14, 2005, in Docket No. 041272-EI, at p.37</w:t>
      </w:r>
      <w:r>
        <w:rPr>
          <w:sz w:val="20"/>
          <w:szCs w:val="20"/>
        </w:rPr>
        <w:t xml:space="preserve">, </w:t>
      </w:r>
      <w:r w:rsidRPr="006472D5">
        <w:rPr>
          <w:sz w:val="20"/>
          <w:szCs w:val="20"/>
          <w:u w:val="single"/>
        </w:rPr>
        <w:t>In Re:</w:t>
      </w:r>
      <w:r w:rsidRPr="006472D5">
        <w:rPr>
          <w:rFonts w:eastAsiaTheme="minorHAnsi"/>
          <w:sz w:val="20"/>
          <w:szCs w:val="20"/>
          <w:u w:val="single"/>
        </w:rPr>
        <w:t xml:space="preserve"> Petition for approval of storm cost recovery clause for recovery of extraordinary expenditures related to Hurricanes Charley,</w:t>
      </w:r>
    </w:p>
    <w:p w:rsidR="007B2C1B" w:rsidRDefault="007B2C1B" w:rsidP="006472D5">
      <w:pPr>
        <w:autoSpaceDE w:val="0"/>
        <w:autoSpaceDN w:val="0"/>
        <w:adjustRightInd w:val="0"/>
        <w:jc w:val="both"/>
      </w:pPr>
      <w:r w:rsidRPr="006472D5">
        <w:rPr>
          <w:rFonts w:eastAsiaTheme="minorHAnsi"/>
          <w:sz w:val="20"/>
          <w:szCs w:val="20"/>
          <w:u w:val="single"/>
        </w:rPr>
        <w:t>Frances, Jeanne, and Ivan, by Progress Energy Florida, Inc.</w:t>
      </w:r>
    </w:p>
  </w:footnote>
  <w:footnote w:id="14">
    <w:p w:rsidR="007B2C1B" w:rsidRPr="0091752A" w:rsidRDefault="007B2C1B">
      <w:pPr>
        <w:pStyle w:val="FootnoteText"/>
        <w:rPr>
          <w:u w:val="single"/>
        </w:rPr>
      </w:pPr>
      <w:r>
        <w:rPr>
          <w:rStyle w:val="FootnoteReference"/>
        </w:rPr>
        <w:footnoteRef/>
      </w:r>
      <w:r>
        <w:t xml:space="preserve"> Order No. PSC-05-1252-FOF-EI (Order No. 05-1252), issued in December 23, 2005, in Docket No. 050001-EI, </w:t>
      </w:r>
      <w:r>
        <w:rPr>
          <w:u w:val="single"/>
        </w:rPr>
        <w:t>In re: Fuel and purchased power cost recovery clause with generating performance incentive factor</w:t>
      </w:r>
      <w:r>
        <w:t>.</w:t>
      </w:r>
      <w:r>
        <w:rPr>
          <w:u w:val="single"/>
        </w:rPr>
        <w:t xml:space="preserve"> </w:t>
      </w:r>
    </w:p>
  </w:footnote>
  <w:footnote w:id="15">
    <w:p w:rsidR="007B2C1B" w:rsidRDefault="007B2C1B" w:rsidP="008613F1">
      <w:pPr>
        <w:pStyle w:val="FootnoteText"/>
      </w:pPr>
      <w:r>
        <w:rPr>
          <w:rStyle w:val="FootnoteReference"/>
        </w:rPr>
        <w:footnoteRef/>
      </w:r>
      <w:r>
        <w:t xml:space="preserve"> Order No. 14546, issued on July 8, 1985, in Docket No. 850001-EI,-B, </w:t>
      </w:r>
      <w:r>
        <w:rPr>
          <w:u w:val="single"/>
        </w:rPr>
        <w:t>In re: Cost Recovery Methods for Fuel-Related Expenses.</w:t>
      </w:r>
      <w:r>
        <w:t xml:space="preserve">  </w:t>
      </w:r>
    </w:p>
  </w:footnote>
  <w:footnote w:id="16">
    <w:p w:rsidR="007B2C1B" w:rsidRPr="00ED4DE9" w:rsidRDefault="007B2C1B" w:rsidP="008613F1">
      <w:pPr>
        <w:pStyle w:val="FootnoteText"/>
        <w:rPr>
          <w:u w:val="single"/>
        </w:rPr>
      </w:pPr>
      <w:r>
        <w:rPr>
          <w:rStyle w:val="FootnoteReference"/>
        </w:rPr>
        <w:footnoteRef/>
      </w:r>
      <w:r>
        <w:t xml:space="preserve"> </w:t>
      </w:r>
      <w:r>
        <w:rPr>
          <w:u w:val="single"/>
        </w:rPr>
        <w:t>Id</w:t>
      </w:r>
      <w:r>
        <w:t>. at p.2.</w:t>
      </w:r>
      <w:r>
        <w:rPr>
          <w:u w:val="single"/>
        </w:rPr>
        <w:t xml:space="preserve"> </w:t>
      </w:r>
    </w:p>
  </w:footnote>
  <w:footnote w:id="17">
    <w:p w:rsidR="007B2C1B" w:rsidRPr="002B6B75" w:rsidRDefault="007B2C1B">
      <w:pPr>
        <w:pStyle w:val="FootnoteText"/>
        <w:rPr>
          <w:i/>
        </w:rPr>
      </w:pPr>
      <w:r>
        <w:rPr>
          <w:rStyle w:val="FootnoteReference"/>
        </w:rPr>
        <w:footnoteRef/>
      </w:r>
      <w:r>
        <w:t xml:space="preserve"> </w:t>
      </w:r>
      <w:r>
        <w:rPr>
          <w:u w:val="single"/>
        </w:rPr>
        <w:t>Id.</w:t>
      </w:r>
      <w:r>
        <w:t xml:space="preserve"> at</w:t>
      </w:r>
      <w:r w:rsidR="00D86C83">
        <w:t xml:space="preserve"> p.</w:t>
      </w:r>
      <w:r>
        <w:t xml:space="preserve"> 3.</w:t>
      </w:r>
    </w:p>
  </w:footnote>
  <w:footnote w:id="18">
    <w:p w:rsidR="007B2C1B" w:rsidRDefault="007B2C1B" w:rsidP="006472D5">
      <w:pPr>
        <w:pStyle w:val="FootnoteText"/>
      </w:pPr>
      <w:r>
        <w:rPr>
          <w:rStyle w:val="FootnoteReference"/>
        </w:rPr>
        <w:footnoteRef/>
      </w:r>
      <w:r>
        <w:t xml:space="preserve"> Order No. PSC-05-1252-FOF-EI, issued December 23, 2005,</w:t>
      </w:r>
      <w:r>
        <w:rPr>
          <w:rFonts w:cstheme="minorHAnsi"/>
        </w:rPr>
        <w:t xml:space="preserve"> in Docket No. 05</w:t>
      </w:r>
      <w:r w:rsidRPr="008B5766">
        <w:rPr>
          <w:rFonts w:cstheme="minorHAnsi"/>
        </w:rPr>
        <w:t xml:space="preserve">0001-EI, </w:t>
      </w:r>
      <w:r w:rsidRPr="002D00BC">
        <w:rPr>
          <w:rFonts w:cstheme="minorHAnsi"/>
          <w:u w:val="single"/>
        </w:rPr>
        <w:t>In re: Fuel and purchased power cost recovery clause with generating performance incentive factor</w:t>
      </w:r>
      <w:r w:rsidRPr="008B5766">
        <w:rPr>
          <w:rFonts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1B" w:rsidRDefault="007B2C1B">
    <w:pPr>
      <w:pStyle w:val="OrderHeader"/>
    </w:pPr>
    <w:r>
      <w:t xml:space="preserve">ORDER NO. </w:t>
    </w:r>
    <w:fldSimple w:instr=" REF OrderNo0586 ">
      <w:r w:rsidR="008E1791">
        <w:t>PSC-15-0586-FOF-EI</w:t>
      </w:r>
    </w:fldSimple>
  </w:p>
  <w:p w:rsidR="007B2C1B" w:rsidRDefault="007B2C1B">
    <w:pPr>
      <w:pStyle w:val="OrderHeader"/>
    </w:pPr>
    <w:bookmarkStart w:id="9" w:name="HeaderDocketNo"/>
    <w:bookmarkEnd w:id="9"/>
    <w:r>
      <w:t>DOCKET NO. 150001-EI</w:t>
    </w:r>
  </w:p>
  <w:p w:rsidR="007B2C1B" w:rsidRDefault="007B2C1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1791">
      <w:rPr>
        <w:rStyle w:val="PageNumber"/>
        <w:noProof/>
      </w:rPr>
      <w:t>20</w:t>
    </w:r>
    <w:r>
      <w:rPr>
        <w:rStyle w:val="PageNumber"/>
      </w:rPr>
      <w:fldChar w:fldCharType="end"/>
    </w:r>
  </w:p>
  <w:p w:rsidR="007B2C1B" w:rsidRDefault="007B2C1B">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D371EC2"/>
    <w:multiLevelType w:val="hybridMultilevel"/>
    <w:tmpl w:val="6DEA3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0580C"/>
    <w:multiLevelType w:val="hybridMultilevel"/>
    <w:tmpl w:val="6BD09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0269D8"/>
    <w:multiLevelType w:val="multilevel"/>
    <w:tmpl w:val="AD96D50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bullet"/>
      <w:lvlText w:val=""/>
      <w:lvlJc w:val="left"/>
      <w:pPr>
        <w:tabs>
          <w:tab w:val="num" w:pos="2160"/>
        </w:tabs>
        <w:ind w:left="2160" w:hanging="72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49795B2A"/>
    <w:multiLevelType w:val="hybridMultilevel"/>
    <w:tmpl w:val="E586FC7A"/>
    <w:lvl w:ilvl="0" w:tplc="67C0A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D137FC"/>
    <w:multiLevelType w:val="multilevel"/>
    <w:tmpl w:val="E114813E"/>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720"/>
        </w:tabs>
        <w:ind w:left="720" w:hanging="72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bullet"/>
      <w:pStyle w:val="Heading4"/>
      <w:lvlText w:val=""/>
      <w:lvlJc w:val="left"/>
      <w:pPr>
        <w:tabs>
          <w:tab w:val="num" w:pos="2160"/>
        </w:tabs>
        <w:ind w:left="2160" w:hanging="720"/>
      </w:pPr>
      <w:rPr>
        <w:rFonts w:ascii="Symbol" w:hAnsi="Symbol" w:hint="default"/>
        <w:color w:val="auto"/>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6">
    <w:nsid w:val="55975B90"/>
    <w:multiLevelType w:val="multilevel"/>
    <w:tmpl w:val="9E26B4E8"/>
    <w:numStyleLink w:val="ArticleSection"/>
  </w:abstractNum>
  <w:abstractNum w:abstractNumId="17">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26622C4"/>
    <w:multiLevelType w:val="hybridMultilevel"/>
    <w:tmpl w:val="FECEE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AA04284"/>
    <w:multiLevelType w:val="hybridMultilevel"/>
    <w:tmpl w:val="345C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FE191C"/>
    <w:multiLevelType w:val="hybridMultilevel"/>
    <w:tmpl w:val="2D765E04"/>
    <w:lvl w:ilvl="0" w:tplc="F83814DA">
      <w:start w:val="1"/>
      <w:numFmt w:val="lowerLetter"/>
      <w:lvlText w:val="(%1)"/>
      <w:lvlJc w:val="left"/>
      <w:pPr>
        <w:tabs>
          <w:tab w:val="num" w:pos="1776"/>
        </w:tabs>
        <w:ind w:left="1776" w:hanging="105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B960E42"/>
    <w:multiLevelType w:val="multilevel"/>
    <w:tmpl w:val="9E26B4E8"/>
    <w:numStyleLink w:val="ArticleSection"/>
  </w:abstractNum>
  <w:abstractNum w:abstractNumId="22">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8"/>
  </w:num>
  <w:num w:numId="13">
    <w:abstractNumId w:val="19"/>
  </w:num>
  <w:num w:numId="14">
    <w:abstractNumId w:val="11"/>
  </w:num>
  <w:num w:numId="15">
    <w:abstractNumId w:val="12"/>
  </w:num>
  <w:num w:numId="16">
    <w:abstractNumId w:val="13"/>
  </w:num>
  <w:num w:numId="17">
    <w:abstractNumId w:val="15"/>
  </w:num>
  <w:num w:numId="18">
    <w:abstractNumId w:val="20"/>
  </w:num>
  <w:num w:numId="19">
    <w:abstractNumId w:val="21"/>
  </w:num>
  <w:num w:numId="20">
    <w:abstractNumId w:val="17"/>
  </w:num>
  <w:num w:numId="21">
    <w:abstractNumId w:val="10"/>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814CCA"/>
    <w:rsid w:val="000022B8"/>
    <w:rsid w:val="00012DA2"/>
    <w:rsid w:val="00037164"/>
    <w:rsid w:val="00053AB9"/>
    <w:rsid w:val="00056229"/>
    <w:rsid w:val="00065FC2"/>
    <w:rsid w:val="00090AFC"/>
    <w:rsid w:val="000B1E79"/>
    <w:rsid w:val="000D06E8"/>
    <w:rsid w:val="000D403D"/>
    <w:rsid w:val="000E344D"/>
    <w:rsid w:val="000E42ED"/>
    <w:rsid w:val="000F3B2C"/>
    <w:rsid w:val="000F7BE3"/>
    <w:rsid w:val="00116AD3"/>
    <w:rsid w:val="00126593"/>
    <w:rsid w:val="00142A96"/>
    <w:rsid w:val="001631FB"/>
    <w:rsid w:val="00187E32"/>
    <w:rsid w:val="00194E81"/>
    <w:rsid w:val="001A33C9"/>
    <w:rsid w:val="001D008A"/>
    <w:rsid w:val="001F4409"/>
    <w:rsid w:val="002002ED"/>
    <w:rsid w:val="00221C97"/>
    <w:rsid w:val="0022721A"/>
    <w:rsid w:val="00230BB9"/>
    <w:rsid w:val="00252B30"/>
    <w:rsid w:val="00284E43"/>
    <w:rsid w:val="002A11AC"/>
    <w:rsid w:val="002A3721"/>
    <w:rsid w:val="002A6F30"/>
    <w:rsid w:val="002B6B75"/>
    <w:rsid w:val="002C128A"/>
    <w:rsid w:val="002C1367"/>
    <w:rsid w:val="002D00BC"/>
    <w:rsid w:val="002D7D15"/>
    <w:rsid w:val="002E358B"/>
    <w:rsid w:val="002E513A"/>
    <w:rsid w:val="002F1D85"/>
    <w:rsid w:val="002F2637"/>
    <w:rsid w:val="00303FDE"/>
    <w:rsid w:val="003140E8"/>
    <w:rsid w:val="003231C7"/>
    <w:rsid w:val="00331ED0"/>
    <w:rsid w:val="0034561F"/>
    <w:rsid w:val="0035495B"/>
    <w:rsid w:val="0037121B"/>
    <w:rsid w:val="003744F5"/>
    <w:rsid w:val="003759E6"/>
    <w:rsid w:val="00390DD8"/>
    <w:rsid w:val="00394DC6"/>
    <w:rsid w:val="00397C3E"/>
    <w:rsid w:val="003A4E3C"/>
    <w:rsid w:val="003B013D"/>
    <w:rsid w:val="003B2AEE"/>
    <w:rsid w:val="003D4CCA"/>
    <w:rsid w:val="003D6416"/>
    <w:rsid w:val="003E1D48"/>
    <w:rsid w:val="003E34A7"/>
    <w:rsid w:val="003F488C"/>
    <w:rsid w:val="00410E81"/>
    <w:rsid w:val="0042527B"/>
    <w:rsid w:val="00457DC7"/>
    <w:rsid w:val="00472BCC"/>
    <w:rsid w:val="00483455"/>
    <w:rsid w:val="00493A1D"/>
    <w:rsid w:val="004A25CD"/>
    <w:rsid w:val="004A26CC"/>
    <w:rsid w:val="004B2108"/>
    <w:rsid w:val="004B3A2B"/>
    <w:rsid w:val="004C22CF"/>
    <w:rsid w:val="004C248C"/>
    <w:rsid w:val="004C76B3"/>
    <w:rsid w:val="004D2D1B"/>
    <w:rsid w:val="004E00CB"/>
    <w:rsid w:val="004F2DDE"/>
    <w:rsid w:val="0050097F"/>
    <w:rsid w:val="00514B1F"/>
    <w:rsid w:val="005169B5"/>
    <w:rsid w:val="005369D4"/>
    <w:rsid w:val="00556A10"/>
    <w:rsid w:val="005809E1"/>
    <w:rsid w:val="005963C2"/>
    <w:rsid w:val="005B45F7"/>
    <w:rsid w:val="005B63EA"/>
    <w:rsid w:val="00623E36"/>
    <w:rsid w:val="00626ADE"/>
    <w:rsid w:val="006301E5"/>
    <w:rsid w:val="00634726"/>
    <w:rsid w:val="00636A72"/>
    <w:rsid w:val="006438A5"/>
    <w:rsid w:val="006472D5"/>
    <w:rsid w:val="00660774"/>
    <w:rsid w:val="00665CC7"/>
    <w:rsid w:val="00676920"/>
    <w:rsid w:val="00677D9D"/>
    <w:rsid w:val="006A06CF"/>
    <w:rsid w:val="006A0BF3"/>
    <w:rsid w:val="006B0DA6"/>
    <w:rsid w:val="006C2CC3"/>
    <w:rsid w:val="006C3BE2"/>
    <w:rsid w:val="006C547E"/>
    <w:rsid w:val="006F2666"/>
    <w:rsid w:val="006F4022"/>
    <w:rsid w:val="006F4FE9"/>
    <w:rsid w:val="00704C5D"/>
    <w:rsid w:val="00721725"/>
    <w:rsid w:val="00733B6B"/>
    <w:rsid w:val="0076170F"/>
    <w:rsid w:val="0076669C"/>
    <w:rsid w:val="007865E9"/>
    <w:rsid w:val="00792383"/>
    <w:rsid w:val="007B2C1B"/>
    <w:rsid w:val="007D3D20"/>
    <w:rsid w:val="007E09F6"/>
    <w:rsid w:val="007E3AFD"/>
    <w:rsid w:val="007F2B0B"/>
    <w:rsid w:val="00803189"/>
    <w:rsid w:val="00804E7A"/>
    <w:rsid w:val="00805FBB"/>
    <w:rsid w:val="00810D4E"/>
    <w:rsid w:val="00811820"/>
    <w:rsid w:val="00814CCA"/>
    <w:rsid w:val="008169A4"/>
    <w:rsid w:val="008251E1"/>
    <w:rsid w:val="008278FE"/>
    <w:rsid w:val="00832598"/>
    <w:rsid w:val="0083397E"/>
    <w:rsid w:val="00833FB4"/>
    <w:rsid w:val="0083534B"/>
    <w:rsid w:val="00841F54"/>
    <w:rsid w:val="00852246"/>
    <w:rsid w:val="008613F1"/>
    <w:rsid w:val="00863A66"/>
    <w:rsid w:val="00874429"/>
    <w:rsid w:val="00877ECF"/>
    <w:rsid w:val="00883D9A"/>
    <w:rsid w:val="008919EF"/>
    <w:rsid w:val="008A1910"/>
    <w:rsid w:val="008C0ED8"/>
    <w:rsid w:val="008C6A5B"/>
    <w:rsid w:val="008E1791"/>
    <w:rsid w:val="008E26A5"/>
    <w:rsid w:val="008E42D2"/>
    <w:rsid w:val="009016E2"/>
    <w:rsid w:val="009040EE"/>
    <w:rsid w:val="009057FD"/>
    <w:rsid w:val="0091752A"/>
    <w:rsid w:val="00922A7F"/>
    <w:rsid w:val="00923A5E"/>
    <w:rsid w:val="00934AB6"/>
    <w:rsid w:val="00975BD8"/>
    <w:rsid w:val="00994100"/>
    <w:rsid w:val="009B05C4"/>
    <w:rsid w:val="009C6684"/>
    <w:rsid w:val="009D4C29"/>
    <w:rsid w:val="009F4F3E"/>
    <w:rsid w:val="00A27741"/>
    <w:rsid w:val="00A62966"/>
    <w:rsid w:val="00A62DAB"/>
    <w:rsid w:val="00A726A6"/>
    <w:rsid w:val="00A83CAB"/>
    <w:rsid w:val="00A87186"/>
    <w:rsid w:val="00A97535"/>
    <w:rsid w:val="00AA73F1"/>
    <w:rsid w:val="00AB0E1A"/>
    <w:rsid w:val="00AB1A30"/>
    <w:rsid w:val="00AD1ED3"/>
    <w:rsid w:val="00AE1BEC"/>
    <w:rsid w:val="00B043B8"/>
    <w:rsid w:val="00B06C8F"/>
    <w:rsid w:val="00B0777D"/>
    <w:rsid w:val="00B4057A"/>
    <w:rsid w:val="00B40894"/>
    <w:rsid w:val="00B45E75"/>
    <w:rsid w:val="00B50876"/>
    <w:rsid w:val="00B55EE5"/>
    <w:rsid w:val="00B630C6"/>
    <w:rsid w:val="00B71590"/>
    <w:rsid w:val="00B73DE6"/>
    <w:rsid w:val="00B746F0"/>
    <w:rsid w:val="00B849FF"/>
    <w:rsid w:val="00B86EF0"/>
    <w:rsid w:val="00B97900"/>
    <w:rsid w:val="00BA44A8"/>
    <w:rsid w:val="00BC206A"/>
    <w:rsid w:val="00BD27A8"/>
    <w:rsid w:val="00BE7960"/>
    <w:rsid w:val="00BF6691"/>
    <w:rsid w:val="00BF708A"/>
    <w:rsid w:val="00C028FC"/>
    <w:rsid w:val="00C511D5"/>
    <w:rsid w:val="00C535BE"/>
    <w:rsid w:val="00C55293"/>
    <w:rsid w:val="00C66692"/>
    <w:rsid w:val="00C91123"/>
    <w:rsid w:val="00CA71FF"/>
    <w:rsid w:val="00CB3DB7"/>
    <w:rsid w:val="00CB5276"/>
    <w:rsid w:val="00CB68D7"/>
    <w:rsid w:val="00CC6080"/>
    <w:rsid w:val="00CC7E68"/>
    <w:rsid w:val="00CD7132"/>
    <w:rsid w:val="00D06B0E"/>
    <w:rsid w:val="00D23B8E"/>
    <w:rsid w:val="00D25C7E"/>
    <w:rsid w:val="00D30B48"/>
    <w:rsid w:val="00D46FAA"/>
    <w:rsid w:val="00D52BDB"/>
    <w:rsid w:val="00D57BB2"/>
    <w:rsid w:val="00D8560E"/>
    <w:rsid w:val="00D86C83"/>
    <w:rsid w:val="00D8758F"/>
    <w:rsid w:val="00D97A45"/>
    <w:rsid w:val="00DA6942"/>
    <w:rsid w:val="00DC1D94"/>
    <w:rsid w:val="00DC221C"/>
    <w:rsid w:val="00DC3996"/>
    <w:rsid w:val="00DC5DC3"/>
    <w:rsid w:val="00DE057F"/>
    <w:rsid w:val="00DE2082"/>
    <w:rsid w:val="00DE2289"/>
    <w:rsid w:val="00E04410"/>
    <w:rsid w:val="00E11351"/>
    <w:rsid w:val="00E149BA"/>
    <w:rsid w:val="00E232EA"/>
    <w:rsid w:val="00E91C51"/>
    <w:rsid w:val="00EA172C"/>
    <w:rsid w:val="00EA259B"/>
    <w:rsid w:val="00EA35A3"/>
    <w:rsid w:val="00EA3E6A"/>
    <w:rsid w:val="00EB18EF"/>
    <w:rsid w:val="00EE17DF"/>
    <w:rsid w:val="00EF4621"/>
    <w:rsid w:val="00F15D63"/>
    <w:rsid w:val="00F26CD8"/>
    <w:rsid w:val="00F277B6"/>
    <w:rsid w:val="00F54380"/>
    <w:rsid w:val="00F54B47"/>
    <w:rsid w:val="00F5548A"/>
    <w:rsid w:val="00F64A5A"/>
    <w:rsid w:val="00F70E84"/>
    <w:rsid w:val="00FA0CC4"/>
    <w:rsid w:val="00FA6EFD"/>
    <w:rsid w:val="00FB74EA"/>
    <w:rsid w:val="00FD2C9E"/>
    <w:rsid w:val="00FD4786"/>
    <w:rsid w:val="00FD616C"/>
    <w:rsid w:val="00FE0167"/>
    <w:rsid w:val="00FE1AD6"/>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17"/>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17"/>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17"/>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17"/>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17"/>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17"/>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17"/>
      </w:numPr>
      <w:spacing w:before="240" w:after="60"/>
      <w:outlineLvl w:val="6"/>
    </w:pPr>
  </w:style>
  <w:style w:type="paragraph" w:styleId="Heading8">
    <w:name w:val="heading 8"/>
    <w:basedOn w:val="Normal"/>
    <w:next w:val="Normal"/>
    <w:link w:val="Heading8Char"/>
    <w:uiPriority w:val="9"/>
    <w:qFormat/>
    <w:rsid w:val="00CD7132"/>
    <w:pPr>
      <w:numPr>
        <w:ilvl w:val="7"/>
        <w:numId w:val="17"/>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MemoAddresses">
    <w:name w:val="Memo Addresses"/>
    <w:basedOn w:val="Normal"/>
    <w:next w:val="Normal"/>
    <w:rsid w:val="002C128A"/>
    <w:pPr>
      <w:spacing w:before="120"/>
      <w:ind w:left="1008" w:hanging="1008"/>
      <w:jc w:val="both"/>
    </w:pPr>
  </w:style>
  <w:style w:type="paragraph" w:customStyle="1" w:styleId="MastHeadPSC">
    <w:name w:val="MastHead PSC"/>
    <w:basedOn w:val="Normal"/>
    <w:next w:val="Normal"/>
    <w:rsid w:val="002C128A"/>
    <w:pPr>
      <w:jc w:val="center"/>
    </w:pPr>
    <w:rPr>
      <w:b/>
      <w:sz w:val="48"/>
      <w:szCs w:val="48"/>
    </w:rPr>
  </w:style>
  <w:style w:type="paragraph" w:customStyle="1" w:styleId="MastHeadMemorandum">
    <w:name w:val="MastHead Memorandum"/>
    <w:basedOn w:val="Normal"/>
    <w:next w:val="Normal"/>
    <w:rsid w:val="002C128A"/>
    <w:pPr>
      <w:jc w:val="center"/>
    </w:pPr>
    <w:rPr>
      <w:b/>
      <w:sz w:val="28"/>
      <w:szCs w:val="28"/>
    </w:rPr>
  </w:style>
  <w:style w:type="paragraph" w:customStyle="1" w:styleId="MastHeadAddress">
    <w:name w:val="MastHead Address"/>
    <w:basedOn w:val="Normal"/>
    <w:next w:val="Normal"/>
    <w:rsid w:val="002C128A"/>
    <w:pPr>
      <w:spacing w:after="200"/>
      <w:jc w:val="center"/>
    </w:pPr>
    <w:rPr>
      <w:b/>
      <w:smallCaps/>
      <w:sz w:val="20"/>
      <w:szCs w:val="20"/>
    </w:rPr>
  </w:style>
  <w:style w:type="paragraph" w:customStyle="1" w:styleId="MastHeadState">
    <w:name w:val="MastHead State"/>
    <w:basedOn w:val="Normal"/>
    <w:next w:val="Normal"/>
    <w:rsid w:val="002C128A"/>
    <w:pPr>
      <w:jc w:val="center"/>
    </w:pPr>
    <w:rPr>
      <w:b/>
      <w:sz w:val="28"/>
      <w:szCs w:val="28"/>
    </w:rPr>
  </w:style>
  <w:style w:type="paragraph" w:customStyle="1" w:styleId="MemoHeading">
    <w:name w:val="Memo Heading"/>
    <w:basedOn w:val="Normal"/>
    <w:next w:val="Normal"/>
    <w:rsid w:val="002C128A"/>
    <w:pPr>
      <w:jc w:val="both"/>
    </w:pPr>
  </w:style>
  <w:style w:type="paragraph" w:customStyle="1" w:styleId="BlockText5">
    <w:name w:val="Block Text .5&quot;"/>
    <w:basedOn w:val="Normal"/>
    <w:rsid w:val="002C128A"/>
    <w:pPr>
      <w:spacing w:after="120"/>
      <w:ind w:left="720" w:right="720"/>
    </w:pPr>
  </w:style>
  <w:style w:type="paragraph" w:customStyle="1" w:styleId="BlockText1">
    <w:name w:val="Block Text 1&quot;"/>
    <w:basedOn w:val="Normal"/>
    <w:rsid w:val="002C128A"/>
    <w:pPr>
      <w:spacing w:after="120"/>
      <w:ind w:left="1440" w:right="1440"/>
    </w:pPr>
  </w:style>
  <w:style w:type="paragraph" w:customStyle="1" w:styleId="BlockText15">
    <w:name w:val="Block Text 1.5&quot;"/>
    <w:basedOn w:val="Normal"/>
    <w:rsid w:val="002C128A"/>
    <w:pPr>
      <w:spacing w:after="120"/>
      <w:ind w:left="2160" w:right="2160"/>
    </w:pPr>
  </w:style>
  <w:style w:type="paragraph" w:customStyle="1" w:styleId="IssueHeading">
    <w:name w:val="Issue Heading"/>
    <w:basedOn w:val="Heading1"/>
    <w:next w:val="BodyText"/>
    <w:link w:val="IssueHeadingChar"/>
    <w:qFormat/>
    <w:rsid w:val="002C128A"/>
    <w:pPr>
      <w:keepNext w:val="0"/>
    </w:pPr>
    <w:rPr>
      <w:rFonts w:ascii="Arial" w:hAnsi="Arial"/>
      <w:b/>
      <w:i/>
    </w:rPr>
  </w:style>
  <w:style w:type="character" w:customStyle="1" w:styleId="IssueHeadingChar">
    <w:name w:val="Issue Heading Char"/>
    <w:link w:val="IssueHeading"/>
    <w:rsid w:val="002C128A"/>
    <w:rPr>
      <w:rFonts w:ascii="Arial" w:hAnsi="Arial" w:cs="Arial"/>
      <w:b/>
      <w:bCs/>
      <w:i/>
      <w:kern w:val="32"/>
      <w:sz w:val="24"/>
      <w:szCs w:val="32"/>
    </w:rPr>
  </w:style>
  <w:style w:type="paragraph" w:customStyle="1" w:styleId="MemoHeadingRe">
    <w:name w:val="Memo Heading Re"/>
    <w:basedOn w:val="MemoHeading"/>
    <w:rsid w:val="002C128A"/>
    <w:pPr>
      <w:tabs>
        <w:tab w:val="left" w:pos="2520"/>
        <w:tab w:val="left" w:pos="2736"/>
      </w:tabs>
    </w:pPr>
  </w:style>
  <w:style w:type="paragraph" w:styleId="TOC1">
    <w:name w:val="toc 1"/>
    <w:basedOn w:val="Normal"/>
    <w:next w:val="Normal"/>
    <w:uiPriority w:val="99"/>
    <w:rsid w:val="002C128A"/>
    <w:pPr>
      <w:tabs>
        <w:tab w:val="left" w:pos="864"/>
        <w:tab w:val="right" w:leader="dot" w:pos="9360"/>
      </w:tabs>
      <w:spacing w:after="240"/>
      <w:ind w:left="864" w:right="360" w:hanging="864"/>
    </w:pPr>
  </w:style>
  <w:style w:type="character" w:styleId="Hyperlink">
    <w:name w:val="Hyperlink"/>
    <w:uiPriority w:val="99"/>
    <w:rsid w:val="002C128A"/>
    <w:rPr>
      <w:color w:val="0000FF"/>
      <w:u w:val="single"/>
    </w:rPr>
  </w:style>
  <w:style w:type="paragraph" w:customStyle="1" w:styleId="RecommendationMajorSectionHeading">
    <w:name w:val="Recommendation Major Section Heading"/>
    <w:basedOn w:val="Heading1"/>
    <w:next w:val="BodyText"/>
    <w:rsid w:val="002C128A"/>
    <w:pPr>
      <w:jc w:val="center"/>
    </w:pPr>
    <w:rPr>
      <w:rFonts w:ascii="Arial" w:hAnsi="Arial"/>
      <w:b/>
    </w:rPr>
  </w:style>
  <w:style w:type="paragraph" w:customStyle="1" w:styleId="IssueSubsectionHeading">
    <w:name w:val="Issue Subsection Heading"/>
    <w:basedOn w:val="Heading2"/>
    <w:next w:val="BodyText"/>
    <w:link w:val="IssueSubsectionHeadingChar"/>
    <w:qFormat/>
    <w:rsid w:val="002C128A"/>
    <w:pPr>
      <w:keepNext w:val="0"/>
    </w:pPr>
    <w:rPr>
      <w:rFonts w:ascii="Arial" w:hAnsi="Arial"/>
      <w:b/>
      <w:i/>
    </w:rPr>
  </w:style>
  <w:style w:type="character" w:customStyle="1" w:styleId="IssueSubsectionHeadingChar">
    <w:name w:val="Issue Subsection Heading Char"/>
    <w:link w:val="IssueSubsectionHeading"/>
    <w:rsid w:val="002C128A"/>
    <w:rPr>
      <w:rFonts w:ascii="Arial" w:hAnsi="Arial" w:cs="Arial"/>
      <w:b/>
      <w:bCs/>
      <w:i/>
      <w:iCs/>
      <w:sz w:val="24"/>
      <w:szCs w:val="28"/>
    </w:rPr>
  </w:style>
  <w:style w:type="paragraph" w:customStyle="1" w:styleId="RecommendationHeading">
    <w:name w:val="Recommendation Heading"/>
    <w:basedOn w:val="Heading1"/>
    <w:next w:val="BodyText"/>
    <w:rsid w:val="002C128A"/>
    <w:pPr>
      <w:keepNext w:val="0"/>
      <w:jc w:val="center"/>
    </w:pPr>
    <w:rPr>
      <w:b/>
      <w:u w:val="single"/>
    </w:rPr>
  </w:style>
  <w:style w:type="paragraph" w:customStyle="1" w:styleId="DiscussionofIssues">
    <w:name w:val="Discussion of Issues"/>
    <w:basedOn w:val="RecommendationMajorSectionHeading"/>
    <w:next w:val="BodyText"/>
    <w:rsid w:val="002C128A"/>
    <w:pPr>
      <w:spacing w:after="0"/>
    </w:pPr>
  </w:style>
  <w:style w:type="paragraph" w:customStyle="1" w:styleId="TOCColumnHeadings">
    <w:name w:val="TOC Column Headings"/>
    <w:basedOn w:val="Normal"/>
    <w:rsid w:val="002C128A"/>
    <w:pPr>
      <w:tabs>
        <w:tab w:val="left" w:pos="864"/>
        <w:tab w:val="right" w:pos="9360"/>
      </w:tabs>
    </w:pPr>
    <w:rPr>
      <w:u w:val="words"/>
    </w:rPr>
  </w:style>
  <w:style w:type="table" w:customStyle="1" w:styleId="TableMasthead">
    <w:name w:val="Table Masthead"/>
    <w:basedOn w:val="TableGrid"/>
    <w:rsid w:val="002C128A"/>
    <w:tblPr/>
  </w:style>
  <w:style w:type="paragraph" w:customStyle="1" w:styleId="StyleHeading1BoldUnderline">
    <w:name w:val="Style Heading 1 + Bold Underline"/>
    <w:basedOn w:val="Heading1"/>
    <w:link w:val="StyleHeading1BoldUnderlineChar"/>
    <w:rsid w:val="002C128A"/>
    <w:pPr>
      <w:keepNext w:val="0"/>
      <w:spacing w:before="240"/>
    </w:pPr>
    <w:rPr>
      <w:b/>
      <w:u w:val="single"/>
    </w:rPr>
  </w:style>
  <w:style w:type="character" w:customStyle="1" w:styleId="StyleHeading1BoldUnderlineChar">
    <w:name w:val="Style Heading 1 + Bold Underline Char"/>
    <w:link w:val="StyleHeading1BoldUnderline"/>
    <w:rsid w:val="002C128A"/>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2C128A"/>
    <w:pPr>
      <w:jc w:val="left"/>
    </w:pPr>
  </w:style>
  <w:style w:type="paragraph" w:styleId="TOC3">
    <w:name w:val="toc 3"/>
    <w:basedOn w:val="TOC2"/>
    <w:next w:val="Normal"/>
    <w:uiPriority w:val="99"/>
    <w:rsid w:val="002C128A"/>
    <w:pPr>
      <w:tabs>
        <w:tab w:val="clear" w:pos="1152"/>
        <w:tab w:val="left" w:pos="1584"/>
      </w:tabs>
      <w:ind w:left="1584" w:hanging="432"/>
    </w:pPr>
  </w:style>
  <w:style w:type="paragraph" w:styleId="TOC2">
    <w:name w:val="toc 2"/>
    <w:basedOn w:val="TOC1"/>
    <w:next w:val="Normal"/>
    <w:uiPriority w:val="99"/>
    <w:rsid w:val="002C128A"/>
    <w:pPr>
      <w:tabs>
        <w:tab w:val="clear" w:pos="864"/>
        <w:tab w:val="left" w:pos="1152"/>
      </w:tabs>
      <w:ind w:left="1152" w:hanging="288"/>
    </w:pPr>
  </w:style>
  <w:style w:type="paragraph" w:styleId="DocumentMap">
    <w:name w:val="Document Map"/>
    <w:basedOn w:val="Normal"/>
    <w:link w:val="DocumentMapChar"/>
    <w:uiPriority w:val="99"/>
    <w:rsid w:val="002C128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2C128A"/>
    <w:rPr>
      <w:rFonts w:ascii="Tahoma" w:hAnsi="Tahoma" w:cs="Tahoma"/>
      <w:sz w:val="24"/>
      <w:szCs w:val="24"/>
      <w:shd w:val="clear" w:color="auto" w:fill="000080"/>
    </w:rPr>
  </w:style>
  <w:style w:type="paragraph" w:styleId="BalloonText">
    <w:name w:val="Balloon Text"/>
    <w:basedOn w:val="Normal"/>
    <w:link w:val="BalloonTextChar"/>
    <w:uiPriority w:val="99"/>
    <w:rsid w:val="002C128A"/>
    <w:rPr>
      <w:rFonts w:ascii="Tahoma" w:hAnsi="Tahoma" w:cs="Tahoma"/>
      <w:sz w:val="16"/>
      <w:szCs w:val="16"/>
    </w:rPr>
  </w:style>
  <w:style w:type="character" w:customStyle="1" w:styleId="BalloonTextChar">
    <w:name w:val="Balloon Text Char"/>
    <w:basedOn w:val="DefaultParagraphFont"/>
    <w:link w:val="BalloonText"/>
    <w:uiPriority w:val="99"/>
    <w:rsid w:val="002C128A"/>
    <w:rPr>
      <w:rFonts w:ascii="Tahoma" w:hAnsi="Tahoma" w:cs="Tahoma"/>
      <w:sz w:val="16"/>
      <w:szCs w:val="16"/>
    </w:rPr>
  </w:style>
  <w:style w:type="paragraph" w:styleId="BlockText">
    <w:name w:val="Block Text"/>
    <w:basedOn w:val="Normal"/>
    <w:uiPriority w:val="99"/>
    <w:rsid w:val="002C128A"/>
    <w:pPr>
      <w:spacing w:after="120"/>
      <w:ind w:left="1440" w:right="1440"/>
    </w:pPr>
  </w:style>
  <w:style w:type="paragraph" w:styleId="BodyText2">
    <w:name w:val="Body Text 2"/>
    <w:basedOn w:val="Normal"/>
    <w:link w:val="BodyText2Char"/>
    <w:uiPriority w:val="99"/>
    <w:rsid w:val="002C128A"/>
    <w:pPr>
      <w:spacing w:after="120" w:line="480" w:lineRule="auto"/>
    </w:pPr>
  </w:style>
  <w:style w:type="character" w:customStyle="1" w:styleId="BodyText2Char">
    <w:name w:val="Body Text 2 Char"/>
    <w:basedOn w:val="DefaultParagraphFont"/>
    <w:link w:val="BodyText2"/>
    <w:uiPriority w:val="99"/>
    <w:rsid w:val="002C128A"/>
    <w:rPr>
      <w:sz w:val="24"/>
      <w:szCs w:val="24"/>
    </w:rPr>
  </w:style>
  <w:style w:type="paragraph" w:styleId="BodyText3">
    <w:name w:val="Body Text 3"/>
    <w:basedOn w:val="Normal"/>
    <w:link w:val="BodyText3Char"/>
    <w:uiPriority w:val="99"/>
    <w:rsid w:val="002C128A"/>
    <w:pPr>
      <w:spacing w:after="120"/>
    </w:pPr>
    <w:rPr>
      <w:sz w:val="16"/>
      <w:szCs w:val="16"/>
    </w:rPr>
  </w:style>
  <w:style w:type="character" w:customStyle="1" w:styleId="BodyText3Char">
    <w:name w:val="Body Text 3 Char"/>
    <w:basedOn w:val="DefaultParagraphFont"/>
    <w:link w:val="BodyText3"/>
    <w:uiPriority w:val="99"/>
    <w:rsid w:val="002C128A"/>
    <w:rPr>
      <w:sz w:val="16"/>
      <w:szCs w:val="16"/>
    </w:rPr>
  </w:style>
  <w:style w:type="paragraph" w:styleId="BodyTextFirstIndent">
    <w:name w:val="Body Text First Indent"/>
    <w:basedOn w:val="BodyText"/>
    <w:link w:val="BodyTextFirstIndentChar"/>
    <w:uiPriority w:val="99"/>
    <w:rsid w:val="002C128A"/>
    <w:pPr>
      <w:ind w:firstLine="210"/>
    </w:pPr>
  </w:style>
  <w:style w:type="character" w:customStyle="1" w:styleId="BodyTextFirstIndentChar">
    <w:name w:val="Body Text First Indent Char"/>
    <w:basedOn w:val="BodyTextChar"/>
    <w:link w:val="BodyTextFirstIndent"/>
    <w:uiPriority w:val="99"/>
    <w:rsid w:val="002C128A"/>
    <w:rPr>
      <w:sz w:val="24"/>
      <w:szCs w:val="24"/>
    </w:rPr>
  </w:style>
  <w:style w:type="paragraph" w:styleId="BodyTextIndent">
    <w:name w:val="Body Text Indent"/>
    <w:basedOn w:val="Normal"/>
    <w:link w:val="BodyTextIndentChar"/>
    <w:uiPriority w:val="99"/>
    <w:rsid w:val="002C128A"/>
    <w:pPr>
      <w:spacing w:after="120"/>
      <w:ind w:left="360"/>
    </w:pPr>
  </w:style>
  <w:style w:type="character" w:customStyle="1" w:styleId="BodyTextIndentChar">
    <w:name w:val="Body Text Indent Char"/>
    <w:basedOn w:val="DefaultParagraphFont"/>
    <w:link w:val="BodyTextIndent"/>
    <w:uiPriority w:val="99"/>
    <w:rsid w:val="002C128A"/>
    <w:rPr>
      <w:sz w:val="24"/>
      <w:szCs w:val="24"/>
    </w:rPr>
  </w:style>
  <w:style w:type="paragraph" w:styleId="BodyTextFirstIndent2">
    <w:name w:val="Body Text First Indent 2"/>
    <w:basedOn w:val="BodyTextIndent"/>
    <w:link w:val="BodyTextFirstIndent2Char"/>
    <w:uiPriority w:val="99"/>
    <w:rsid w:val="002C128A"/>
    <w:pPr>
      <w:ind w:firstLine="210"/>
    </w:pPr>
  </w:style>
  <w:style w:type="character" w:customStyle="1" w:styleId="BodyTextFirstIndent2Char">
    <w:name w:val="Body Text First Indent 2 Char"/>
    <w:basedOn w:val="BodyTextIndentChar"/>
    <w:link w:val="BodyTextFirstIndent2"/>
    <w:uiPriority w:val="99"/>
    <w:rsid w:val="002C128A"/>
    <w:rPr>
      <w:sz w:val="24"/>
      <w:szCs w:val="24"/>
    </w:rPr>
  </w:style>
  <w:style w:type="paragraph" w:styleId="BodyTextIndent2">
    <w:name w:val="Body Text Indent 2"/>
    <w:basedOn w:val="Normal"/>
    <w:link w:val="BodyTextIndent2Char"/>
    <w:uiPriority w:val="99"/>
    <w:rsid w:val="002C128A"/>
    <w:pPr>
      <w:spacing w:after="120" w:line="480" w:lineRule="auto"/>
      <w:ind w:left="360"/>
    </w:pPr>
  </w:style>
  <w:style w:type="character" w:customStyle="1" w:styleId="BodyTextIndent2Char">
    <w:name w:val="Body Text Indent 2 Char"/>
    <w:basedOn w:val="DefaultParagraphFont"/>
    <w:link w:val="BodyTextIndent2"/>
    <w:uiPriority w:val="99"/>
    <w:rsid w:val="002C128A"/>
    <w:rPr>
      <w:sz w:val="24"/>
      <w:szCs w:val="24"/>
    </w:rPr>
  </w:style>
  <w:style w:type="paragraph" w:styleId="BodyTextIndent3">
    <w:name w:val="Body Text Indent 3"/>
    <w:basedOn w:val="Normal"/>
    <w:link w:val="BodyTextIndent3Char"/>
    <w:uiPriority w:val="99"/>
    <w:rsid w:val="002C128A"/>
    <w:pPr>
      <w:spacing w:after="120"/>
      <w:ind w:left="360"/>
    </w:pPr>
    <w:rPr>
      <w:sz w:val="16"/>
      <w:szCs w:val="16"/>
    </w:rPr>
  </w:style>
  <w:style w:type="character" w:customStyle="1" w:styleId="BodyTextIndent3Char">
    <w:name w:val="Body Text Indent 3 Char"/>
    <w:basedOn w:val="DefaultParagraphFont"/>
    <w:link w:val="BodyTextIndent3"/>
    <w:uiPriority w:val="99"/>
    <w:rsid w:val="002C128A"/>
    <w:rPr>
      <w:sz w:val="16"/>
      <w:szCs w:val="16"/>
    </w:rPr>
  </w:style>
  <w:style w:type="paragraph" w:styleId="Caption">
    <w:name w:val="caption"/>
    <w:basedOn w:val="Normal"/>
    <w:next w:val="Normal"/>
    <w:uiPriority w:val="35"/>
    <w:qFormat/>
    <w:rsid w:val="002C128A"/>
    <w:pPr>
      <w:spacing w:before="120" w:after="120"/>
    </w:pPr>
    <w:rPr>
      <w:b/>
      <w:bCs/>
      <w:sz w:val="20"/>
      <w:szCs w:val="20"/>
    </w:rPr>
  </w:style>
  <w:style w:type="paragraph" w:styleId="Closing">
    <w:name w:val="Closing"/>
    <w:basedOn w:val="Normal"/>
    <w:link w:val="ClosingChar"/>
    <w:uiPriority w:val="99"/>
    <w:rsid w:val="002C128A"/>
    <w:pPr>
      <w:ind w:left="4320"/>
    </w:pPr>
  </w:style>
  <w:style w:type="character" w:customStyle="1" w:styleId="ClosingChar">
    <w:name w:val="Closing Char"/>
    <w:basedOn w:val="DefaultParagraphFont"/>
    <w:link w:val="Closing"/>
    <w:uiPriority w:val="99"/>
    <w:rsid w:val="002C128A"/>
    <w:rPr>
      <w:sz w:val="24"/>
      <w:szCs w:val="24"/>
    </w:rPr>
  </w:style>
  <w:style w:type="paragraph" w:styleId="CommentText">
    <w:name w:val="annotation text"/>
    <w:basedOn w:val="Normal"/>
    <w:link w:val="CommentTextChar"/>
    <w:uiPriority w:val="99"/>
    <w:rsid w:val="002C128A"/>
    <w:rPr>
      <w:sz w:val="20"/>
      <w:szCs w:val="20"/>
    </w:rPr>
  </w:style>
  <w:style w:type="character" w:customStyle="1" w:styleId="CommentTextChar">
    <w:name w:val="Comment Text Char"/>
    <w:basedOn w:val="DefaultParagraphFont"/>
    <w:link w:val="CommentText"/>
    <w:uiPriority w:val="99"/>
    <w:rsid w:val="002C128A"/>
  </w:style>
  <w:style w:type="paragraph" w:styleId="CommentSubject">
    <w:name w:val="annotation subject"/>
    <w:basedOn w:val="CommentText"/>
    <w:next w:val="CommentText"/>
    <w:link w:val="CommentSubjectChar"/>
    <w:uiPriority w:val="99"/>
    <w:rsid w:val="002C128A"/>
    <w:rPr>
      <w:b/>
      <w:bCs/>
    </w:rPr>
  </w:style>
  <w:style w:type="character" w:customStyle="1" w:styleId="CommentSubjectChar">
    <w:name w:val="Comment Subject Char"/>
    <w:basedOn w:val="CommentTextChar"/>
    <w:link w:val="CommentSubject"/>
    <w:uiPriority w:val="99"/>
    <w:rsid w:val="002C128A"/>
    <w:rPr>
      <w:b/>
      <w:bCs/>
    </w:rPr>
  </w:style>
  <w:style w:type="paragraph" w:styleId="Date">
    <w:name w:val="Date"/>
    <w:basedOn w:val="Normal"/>
    <w:next w:val="Normal"/>
    <w:link w:val="DateChar"/>
    <w:uiPriority w:val="99"/>
    <w:rsid w:val="002C128A"/>
  </w:style>
  <w:style w:type="character" w:customStyle="1" w:styleId="DateChar">
    <w:name w:val="Date Char"/>
    <w:basedOn w:val="DefaultParagraphFont"/>
    <w:link w:val="Date"/>
    <w:uiPriority w:val="99"/>
    <w:rsid w:val="002C128A"/>
    <w:rPr>
      <w:sz w:val="24"/>
      <w:szCs w:val="24"/>
    </w:rPr>
  </w:style>
  <w:style w:type="paragraph" w:styleId="E-mailSignature">
    <w:name w:val="E-mail Signature"/>
    <w:basedOn w:val="Normal"/>
    <w:link w:val="E-mailSignatureChar"/>
    <w:uiPriority w:val="99"/>
    <w:rsid w:val="002C128A"/>
  </w:style>
  <w:style w:type="character" w:customStyle="1" w:styleId="E-mailSignatureChar">
    <w:name w:val="E-mail Signature Char"/>
    <w:basedOn w:val="DefaultParagraphFont"/>
    <w:link w:val="E-mailSignature"/>
    <w:uiPriority w:val="99"/>
    <w:rsid w:val="002C128A"/>
    <w:rPr>
      <w:sz w:val="24"/>
      <w:szCs w:val="24"/>
    </w:rPr>
  </w:style>
  <w:style w:type="paragraph" w:styleId="EndnoteText">
    <w:name w:val="endnote text"/>
    <w:basedOn w:val="Normal"/>
    <w:link w:val="EndnoteTextChar"/>
    <w:uiPriority w:val="99"/>
    <w:rsid w:val="002C128A"/>
    <w:rPr>
      <w:sz w:val="20"/>
      <w:szCs w:val="20"/>
    </w:rPr>
  </w:style>
  <w:style w:type="character" w:customStyle="1" w:styleId="EndnoteTextChar">
    <w:name w:val="Endnote Text Char"/>
    <w:basedOn w:val="DefaultParagraphFont"/>
    <w:link w:val="EndnoteText"/>
    <w:uiPriority w:val="99"/>
    <w:rsid w:val="002C128A"/>
  </w:style>
  <w:style w:type="paragraph" w:styleId="EnvelopeAddress">
    <w:name w:val="envelope address"/>
    <w:basedOn w:val="Normal"/>
    <w:uiPriority w:val="99"/>
    <w:rsid w:val="002C128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2C128A"/>
    <w:rPr>
      <w:rFonts w:ascii="Arial" w:hAnsi="Arial" w:cs="Arial"/>
      <w:sz w:val="20"/>
      <w:szCs w:val="20"/>
    </w:rPr>
  </w:style>
  <w:style w:type="paragraph" w:styleId="HTMLAddress">
    <w:name w:val="HTML Address"/>
    <w:basedOn w:val="Normal"/>
    <w:link w:val="HTMLAddressChar"/>
    <w:uiPriority w:val="99"/>
    <w:rsid w:val="002C128A"/>
    <w:rPr>
      <w:i/>
      <w:iCs/>
    </w:rPr>
  </w:style>
  <w:style w:type="character" w:customStyle="1" w:styleId="HTMLAddressChar">
    <w:name w:val="HTML Address Char"/>
    <w:basedOn w:val="DefaultParagraphFont"/>
    <w:link w:val="HTMLAddress"/>
    <w:uiPriority w:val="99"/>
    <w:rsid w:val="002C128A"/>
    <w:rPr>
      <w:i/>
      <w:iCs/>
      <w:sz w:val="24"/>
      <w:szCs w:val="24"/>
    </w:rPr>
  </w:style>
  <w:style w:type="paragraph" w:styleId="HTMLPreformatted">
    <w:name w:val="HTML Preformatted"/>
    <w:basedOn w:val="Normal"/>
    <w:link w:val="HTMLPreformattedChar"/>
    <w:uiPriority w:val="99"/>
    <w:rsid w:val="002C128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C128A"/>
    <w:rPr>
      <w:rFonts w:ascii="Courier New" w:hAnsi="Courier New" w:cs="Courier New"/>
    </w:rPr>
  </w:style>
  <w:style w:type="paragraph" w:styleId="Index1">
    <w:name w:val="index 1"/>
    <w:basedOn w:val="Normal"/>
    <w:next w:val="Normal"/>
    <w:autoRedefine/>
    <w:uiPriority w:val="99"/>
    <w:rsid w:val="002C128A"/>
    <w:pPr>
      <w:ind w:left="240" w:hanging="240"/>
    </w:pPr>
  </w:style>
  <w:style w:type="paragraph" w:styleId="Index2">
    <w:name w:val="index 2"/>
    <w:basedOn w:val="Normal"/>
    <w:next w:val="Normal"/>
    <w:autoRedefine/>
    <w:uiPriority w:val="99"/>
    <w:rsid w:val="002C128A"/>
    <w:pPr>
      <w:ind w:left="480" w:hanging="240"/>
    </w:pPr>
  </w:style>
  <w:style w:type="paragraph" w:styleId="Index3">
    <w:name w:val="index 3"/>
    <w:basedOn w:val="Normal"/>
    <w:next w:val="Normal"/>
    <w:autoRedefine/>
    <w:uiPriority w:val="99"/>
    <w:rsid w:val="002C128A"/>
    <w:pPr>
      <w:ind w:left="720" w:hanging="240"/>
    </w:pPr>
  </w:style>
  <w:style w:type="paragraph" w:styleId="Index4">
    <w:name w:val="index 4"/>
    <w:basedOn w:val="Normal"/>
    <w:next w:val="Normal"/>
    <w:autoRedefine/>
    <w:uiPriority w:val="99"/>
    <w:rsid w:val="002C128A"/>
    <w:pPr>
      <w:ind w:left="960" w:hanging="240"/>
    </w:pPr>
  </w:style>
  <w:style w:type="paragraph" w:styleId="Index5">
    <w:name w:val="index 5"/>
    <w:basedOn w:val="Normal"/>
    <w:next w:val="Normal"/>
    <w:autoRedefine/>
    <w:uiPriority w:val="99"/>
    <w:rsid w:val="002C128A"/>
    <w:pPr>
      <w:ind w:left="1200" w:hanging="240"/>
    </w:pPr>
  </w:style>
  <w:style w:type="paragraph" w:styleId="Index6">
    <w:name w:val="index 6"/>
    <w:basedOn w:val="Normal"/>
    <w:next w:val="Normal"/>
    <w:autoRedefine/>
    <w:uiPriority w:val="99"/>
    <w:rsid w:val="002C128A"/>
    <w:pPr>
      <w:ind w:left="1440" w:hanging="240"/>
    </w:pPr>
  </w:style>
  <w:style w:type="paragraph" w:styleId="Index7">
    <w:name w:val="index 7"/>
    <w:basedOn w:val="Normal"/>
    <w:next w:val="Normal"/>
    <w:autoRedefine/>
    <w:uiPriority w:val="99"/>
    <w:rsid w:val="002C128A"/>
    <w:pPr>
      <w:ind w:left="1680" w:hanging="240"/>
    </w:pPr>
  </w:style>
  <w:style w:type="paragraph" w:styleId="Index8">
    <w:name w:val="index 8"/>
    <w:basedOn w:val="Normal"/>
    <w:next w:val="Normal"/>
    <w:autoRedefine/>
    <w:uiPriority w:val="99"/>
    <w:rsid w:val="002C128A"/>
    <w:pPr>
      <w:ind w:left="1920" w:hanging="240"/>
    </w:pPr>
  </w:style>
  <w:style w:type="paragraph" w:styleId="Index9">
    <w:name w:val="index 9"/>
    <w:basedOn w:val="Normal"/>
    <w:next w:val="Normal"/>
    <w:autoRedefine/>
    <w:uiPriority w:val="99"/>
    <w:rsid w:val="002C128A"/>
    <w:pPr>
      <w:ind w:left="2160" w:hanging="240"/>
    </w:pPr>
  </w:style>
  <w:style w:type="paragraph" w:styleId="IndexHeading">
    <w:name w:val="index heading"/>
    <w:basedOn w:val="Normal"/>
    <w:next w:val="Index1"/>
    <w:uiPriority w:val="99"/>
    <w:rsid w:val="002C128A"/>
    <w:rPr>
      <w:rFonts w:ascii="Arial" w:hAnsi="Arial" w:cs="Arial"/>
      <w:b/>
      <w:bCs/>
    </w:rPr>
  </w:style>
  <w:style w:type="paragraph" w:styleId="List">
    <w:name w:val="List"/>
    <w:basedOn w:val="Normal"/>
    <w:uiPriority w:val="99"/>
    <w:rsid w:val="002C128A"/>
    <w:pPr>
      <w:ind w:left="360" w:hanging="360"/>
    </w:pPr>
  </w:style>
  <w:style w:type="paragraph" w:styleId="List2">
    <w:name w:val="List 2"/>
    <w:basedOn w:val="Normal"/>
    <w:uiPriority w:val="99"/>
    <w:rsid w:val="002C128A"/>
    <w:pPr>
      <w:ind w:left="720" w:hanging="360"/>
    </w:pPr>
  </w:style>
  <w:style w:type="paragraph" w:styleId="List3">
    <w:name w:val="List 3"/>
    <w:basedOn w:val="Normal"/>
    <w:uiPriority w:val="99"/>
    <w:rsid w:val="002C128A"/>
    <w:pPr>
      <w:ind w:left="1080" w:hanging="360"/>
    </w:pPr>
  </w:style>
  <w:style w:type="paragraph" w:styleId="List4">
    <w:name w:val="List 4"/>
    <w:basedOn w:val="Normal"/>
    <w:uiPriority w:val="99"/>
    <w:rsid w:val="002C128A"/>
    <w:pPr>
      <w:ind w:left="1440" w:hanging="360"/>
    </w:pPr>
  </w:style>
  <w:style w:type="paragraph" w:styleId="List5">
    <w:name w:val="List 5"/>
    <w:basedOn w:val="Normal"/>
    <w:uiPriority w:val="99"/>
    <w:rsid w:val="002C128A"/>
    <w:pPr>
      <w:ind w:left="1800" w:hanging="360"/>
    </w:pPr>
  </w:style>
  <w:style w:type="paragraph" w:styleId="ListBullet">
    <w:name w:val="List Bullet"/>
    <w:basedOn w:val="Normal"/>
    <w:autoRedefine/>
    <w:uiPriority w:val="99"/>
    <w:rsid w:val="002C128A"/>
    <w:pPr>
      <w:tabs>
        <w:tab w:val="num" w:pos="360"/>
      </w:tabs>
      <w:ind w:left="360" w:hanging="360"/>
    </w:pPr>
  </w:style>
  <w:style w:type="paragraph" w:styleId="ListBullet2">
    <w:name w:val="List Bullet 2"/>
    <w:basedOn w:val="Normal"/>
    <w:autoRedefine/>
    <w:uiPriority w:val="99"/>
    <w:rsid w:val="002C128A"/>
    <w:pPr>
      <w:tabs>
        <w:tab w:val="num" w:pos="720"/>
      </w:tabs>
      <w:ind w:left="720" w:hanging="360"/>
    </w:pPr>
  </w:style>
  <w:style w:type="paragraph" w:styleId="ListBullet3">
    <w:name w:val="List Bullet 3"/>
    <w:basedOn w:val="Normal"/>
    <w:autoRedefine/>
    <w:uiPriority w:val="99"/>
    <w:rsid w:val="002C128A"/>
    <w:pPr>
      <w:tabs>
        <w:tab w:val="num" w:pos="1080"/>
      </w:tabs>
      <w:ind w:left="1080" w:hanging="360"/>
    </w:pPr>
  </w:style>
  <w:style w:type="paragraph" w:styleId="ListBullet4">
    <w:name w:val="List Bullet 4"/>
    <w:basedOn w:val="Normal"/>
    <w:autoRedefine/>
    <w:uiPriority w:val="99"/>
    <w:rsid w:val="002C128A"/>
    <w:pPr>
      <w:tabs>
        <w:tab w:val="num" w:pos="1440"/>
      </w:tabs>
      <w:ind w:left="1440" w:hanging="360"/>
    </w:pPr>
  </w:style>
  <w:style w:type="paragraph" w:styleId="ListBullet5">
    <w:name w:val="List Bullet 5"/>
    <w:basedOn w:val="Normal"/>
    <w:autoRedefine/>
    <w:uiPriority w:val="99"/>
    <w:rsid w:val="002C128A"/>
    <w:pPr>
      <w:tabs>
        <w:tab w:val="num" w:pos="1800"/>
      </w:tabs>
      <w:ind w:left="1800" w:hanging="360"/>
    </w:pPr>
  </w:style>
  <w:style w:type="paragraph" w:styleId="ListContinue">
    <w:name w:val="List Continue"/>
    <w:basedOn w:val="Normal"/>
    <w:uiPriority w:val="99"/>
    <w:rsid w:val="002C128A"/>
    <w:pPr>
      <w:spacing w:after="120"/>
      <w:ind w:left="360"/>
    </w:pPr>
  </w:style>
  <w:style w:type="paragraph" w:styleId="ListContinue2">
    <w:name w:val="List Continue 2"/>
    <w:basedOn w:val="Normal"/>
    <w:uiPriority w:val="99"/>
    <w:rsid w:val="002C128A"/>
    <w:pPr>
      <w:spacing w:after="120"/>
      <w:ind w:left="720"/>
    </w:pPr>
  </w:style>
  <w:style w:type="paragraph" w:styleId="ListContinue3">
    <w:name w:val="List Continue 3"/>
    <w:basedOn w:val="Normal"/>
    <w:uiPriority w:val="99"/>
    <w:rsid w:val="002C128A"/>
    <w:pPr>
      <w:spacing w:after="120"/>
      <w:ind w:left="1080"/>
    </w:pPr>
  </w:style>
  <w:style w:type="paragraph" w:styleId="ListContinue4">
    <w:name w:val="List Continue 4"/>
    <w:basedOn w:val="Normal"/>
    <w:uiPriority w:val="99"/>
    <w:rsid w:val="002C128A"/>
    <w:pPr>
      <w:spacing w:after="120"/>
      <w:ind w:left="1440"/>
    </w:pPr>
  </w:style>
  <w:style w:type="paragraph" w:styleId="ListContinue5">
    <w:name w:val="List Continue 5"/>
    <w:basedOn w:val="Normal"/>
    <w:uiPriority w:val="99"/>
    <w:rsid w:val="002C128A"/>
    <w:pPr>
      <w:spacing w:after="120"/>
      <w:ind w:left="1800"/>
    </w:pPr>
  </w:style>
  <w:style w:type="paragraph" w:styleId="ListNumber">
    <w:name w:val="List Number"/>
    <w:basedOn w:val="Normal"/>
    <w:uiPriority w:val="99"/>
    <w:rsid w:val="002C128A"/>
    <w:pPr>
      <w:tabs>
        <w:tab w:val="num" w:pos="360"/>
      </w:tabs>
      <w:ind w:left="360" w:hanging="360"/>
    </w:pPr>
  </w:style>
  <w:style w:type="paragraph" w:styleId="ListNumber2">
    <w:name w:val="List Number 2"/>
    <w:basedOn w:val="Normal"/>
    <w:uiPriority w:val="99"/>
    <w:rsid w:val="002C128A"/>
    <w:pPr>
      <w:tabs>
        <w:tab w:val="num" w:pos="720"/>
      </w:tabs>
      <w:ind w:left="720" w:hanging="360"/>
    </w:pPr>
  </w:style>
  <w:style w:type="paragraph" w:styleId="ListNumber3">
    <w:name w:val="List Number 3"/>
    <w:basedOn w:val="Normal"/>
    <w:uiPriority w:val="99"/>
    <w:rsid w:val="002C128A"/>
    <w:pPr>
      <w:tabs>
        <w:tab w:val="num" w:pos="1080"/>
      </w:tabs>
      <w:ind w:left="1080" w:hanging="360"/>
    </w:pPr>
  </w:style>
  <w:style w:type="paragraph" w:styleId="ListNumber4">
    <w:name w:val="List Number 4"/>
    <w:basedOn w:val="Normal"/>
    <w:uiPriority w:val="99"/>
    <w:rsid w:val="002C128A"/>
    <w:pPr>
      <w:tabs>
        <w:tab w:val="num" w:pos="1440"/>
      </w:tabs>
      <w:ind w:left="1440" w:hanging="360"/>
    </w:pPr>
  </w:style>
  <w:style w:type="paragraph" w:styleId="ListNumber5">
    <w:name w:val="List Number 5"/>
    <w:basedOn w:val="Normal"/>
    <w:uiPriority w:val="99"/>
    <w:rsid w:val="002C128A"/>
    <w:pPr>
      <w:tabs>
        <w:tab w:val="num" w:pos="1800"/>
      </w:tabs>
      <w:ind w:left="1800" w:hanging="360"/>
    </w:pPr>
  </w:style>
  <w:style w:type="paragraph" w:styleId="MacroText">
    <w:name w:val="macro"/>
    <w:link w:val="MacroTextChar"/>
    <w:uiPriority w:val="99"/>
    <w:rsid w:val="002C12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rsid w:val="002C128A"/>
    <w:rPr>
      <w:rFonts w:ascii="Courier New" w:hAnsi="Courier New" w:cs="Courier New"/>
    </w:rPr>
  </w:style>
  <w:style w:type="paragraph" w:styleId="MessageHeader">
    <w:name w:val="Message Header"/>
    <w:basedOn w:val="Normal"/>
    <w:link w:val="MessageHeaderChar"/>
    <w:uiPriority w:val="99"/>
    <w:rsid w:val="002C128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2C128A"/>
    <w:rPr>
      <w:rFonts w:ascii="Arial" w:hAnsi="Arial" w:cs="Arial"/>
      <w:sz w:val="24"/>
      <w:szCs w:val="24"/>
      <w:shd w:val="pct20" w:color="auto" w:fill="auto"/>
    </w:rPr>
  </w:style>
  <w:style w:type="paragraph" w:styleId="NormalWeb">
    <w:name w:val="Normal (Web)"/>
    <w:basedOn w:val="Normal"/>
    <w:uiPriority w:val="99"/>
    <w:rsid w:val="002C128A"/>
  </w:style>
  <w:style w:type="paragraph" w:styleId="NormalIndent">
    <w:name w:val="Normal Indent"/>
    <w:basedOn w:val="Normal"/>
    <w:uiPriority w:val="99"/>
    <w:rsid w:val="002C128A"/>
    <w:pPr>
      <w:ind w:left="720"/>
    </w:pPr>
  </w:style>
  <w:style w:type="paragraph" w:styleId="NoteHeading">
    <w:name w:val="Note Heading"/>
    <w:basedOn w:val="Normal"/>
    <w:next w:val="Normal"/>
    <w:link w:val="NoteHeadingChar"/>
    <w:uiPriority w:val="99"/>
    <w:rsid w:val="002C128A"/>
  </w:style>
  <w:style w:type="character" w:customStyle="1" w:styleId="NoteHeadingChar">
    <w:name w:val="Note Heading Char"/>
    <w:basedOn w:val="DefaultParagraphFont"/>
    <w:link w:val="NoteHeading"/>
    <w:uiPriority w:val="99"/>
    <w:rsid w:val="002C128A"/>
    <w:rPr>
      <w:sz w:val="24"/>
      <w:szCs w:val="24"/>
    </w:rPr>
  </w:style>
  <w:style w:type="paragraph" w:styleId="PlainText">
    <w:name w:val="Plain Text"/>
    <w:basedOn w:val="Normal"/>
    <w:link w:val="PlainTextChar"/>
    <w:uiPriority w:val="99"/>
    <w:rsid w:val="002C128A"/>
    <w:rPr>
      <w:rFonts w:ascii="Courier New" w:hAnsi="Courier New" w:cs="Courier New"/>
      <w:sz w:val="20"/>
      <w:szCs w:val="20"/>
    </w:rPr>
  </w:style>
  <w:style w:type="character" w:customStyle="1" w:styleId="PlainTextChar">
    <w:name w:val="Plain Text Char"/>
    <w:basedOn w:val="DefaultParagraphFont"/>
    <w:link w:val="PlainText"/>
    <w:uiPriority w:val="99"/>
    <w:rsid w:val="002C128A"/>
    <w:rPr>
      <w:rFonts w:ascii="Courier New" w:hAnsi="Courier New" w:cs="Courier New"/>
    </w:rPr>
  </w:style>
  <w:style w:type="paragraph" w:styleId="Salutation">
    <w:name w:val="Salutation"/>
    <w:basedOn w:val="Normal"/>
    <w:next w:val="Normal"/>
    <w:link w:val="SalutationChar"/>
    <w:uiPriority w:val="99"/>
    <w:rsid w:val="002C128A"/>
  </w:style>
  <w:style w:type="character" w:customStyle="1" w:styleId="SalutationChar">
    <w:name w:val="Salutation Char"/>
    <w:basedOn w:val="DefaultParagraphFont"/>
    <w:link w:val="Salutation"/>
    <w:uiPriority w:val="99"/>
    <w:rsid w:val="002C128A"/>
    <w:rPr>
      <w:sz w:val="24"/>
      <w:szCs w:val="24"/>
    </w:rPr>
  </w:style>
  <w:style w:type="paragraph" w:styleId="Signature">
    <w:name w:val="Signature"/>
    <w:basedOn w:val="Normal"/>
    <w:link w:val="SignatureChar"/>
    <w:uiPriority w:val="99"/>
    <w:rsid w:val="002C128A"/>
    <w:pPr>
      <w:ind w:left="4320"/>
    </w:pPr>
  </w:style>
  <w:style w:type="character" w:customStyle="1" w:styleId="SignatureChar">
    <w:name w:val="Signature Char"/>
    <w:basedOn w:val="DefaultParagraphFont"/>
    <w:link w:val="Signature"/>
    <w:uiPriority w:val="99"/>
    <w:rsid w:val="002C128A"/>
    <w:rPr>
      <w:sz w:val="24"/>
      <w:szCs w:val="24"/>
    </w:rPr>
  </w:style>
  <w:style w:type="paragraph" w:styleId="Subtitle">
    <w:name w:val="Subtitle"/>
    <w:basedOn w:val="Normal"/>
    <w:link w:val="SubtitleChar"/>
    <w:uiPriority w:val="11"/>
    <w:qFormat/>
    <w:rsid w:val="002C128A"/>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2C128A"/>
    <w:rPr>
      <w:rFonts w:ascii="Arial" w:hAnsi="Arial" w:cs="Arial"/>
      <w:sz w:val="24"/>
      <w:szCs w:val="24"/>
    </w:rPr>
  </w:style>
  <w:style w:type="paragraph" w:styleId="TableofAuthorities">
    <w:name w:val="table of authorities"/>
    <w:basedOn w:val="Normal"/>
    <w:next w:val="Normal"/>
    <w:uiPriority w:val="99"/>
    <w:rsid w:val="002C128A"/>
    <w:pPr>
      <w:ind w:left="240" w:hanging="240"/>
    </w:pPr>
  </w:style>
  <w:style w:type="paragraph" w:styleId="TableofFigures">
    <w:name w:val="table of figures"/>
    <w:basedOn w:val="Normal"/>
    <w:next w:val="Normal"/>
    <w:uiPriority w:val="99"/>
    <w:rsid w:val="002C128A"/>
    <w:pPr>
      <w:ind w:left="480" w:hanging="480"/>
    </w:pPr>
  </w:style>
  <w:style w:type="paragraph" w:styleId="Title">
    <w:name w:val="Title"/>
    <w:basedOn w:val="Normal"/>
    <w:link w:val="TitleChar"/>
    <w:uiPriority w:val="10"/>
    <w:qFormat/>
    <w:rsid w:val="002C128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2C128A"/>
    <w:rPr>
      <w:rFonts w:ascii="Arial" w:hAnsi="Arial" w:cs="Arial"/>
      <w:b/>
      <w:bCs/>
      <w:kern w:val="28"/>
      <w:sz w:val="32"/>
      <w:szCs w:val="32"/>
    </w:rPr>
  </w:style>
  <w:style w:type="paragraph" w:styleId="TOAHeading">
    <w:name w:val="toa heading"/>
    <w:basedOn w:val="Normal"/>
    <w:next w:val="Normal"/>
    <w:uiPriority w:val="99"/>
    <w:rsid w:val="002C128A"/>
    <w:pPr>
      <w:spacing w:before="120"/>
    </w:pPr>
    <w:rPr>
      <w:rFonts w:ascii="Arial" w:hAnsi="Arial" w:cs="Arial"/>
      <w:b/>
      <w:bCs/>
    </w:rPr>
  </w:style>
  <w:style w:type="paragraph" w:styleId="TOC4">
    <w:name w:val="toc 4"/>
    <w:basedOn w:val="Normal"/>
    <w:next w:val="Normal"/>
    <w:autoRedefine/>
    <w:uiPriority w:val="99"/>
    <w:rsid w:val="002C128A"/>
    <w:pPr>
      <w:ind w:left="720"/>
    </w:pPr>
  </w:style>
  <w:style w:type="paragraph" w:styleId="TOC5">
    <w:name w:val="toc 5"/>
    <w:basedOn w:val="Normal"/>
    <w:next w:val="Normal"/>
    <w:autoRedefine/>
    <w:uiPriority w:val="99"/>
    <w:rsid w:val="002C128A"/>
    <w:pPr>
      <w:ind w:left="960"/>
    </w:pPr>
  </w:style>
  <w:style w:type="paragraph" w:styleId="TOC6">
    <w:name w:val="toc 6"/>
    <w:basedOn w:val="Normal"/>
    <w:next w:val="Normal"/>
    <w:autoRedefine/>
    <w:uiPriority w:val="99"/>
    <w:rsid w:val="002C128A"/>
    <w:pPr>
      <w:ind w:left="1200"/>
    </w:pPr>
  </w:style>
  <w:style w:type="paragraph" w:styleId="TOC9">
    <w:name w:val="toc 9"/>
    <w:basedOn w:val="TOC1"/>
    <w:next w:val="Normal"/>
    <w:autoRedefine/>
    <w:uiPriority w:val="99"/>
    <w:rsid w:val="002C128A"/>
    <w:pPr>
      <w:ind w:left="1728"/>
    </w:pPr>
    <w:rPr>
      <w:u w:val="single"/>
    </w:rPr>
  </w:style>
  <w:style w:type="paragraph" w:customStyle="1" w:styleId="MemoHeadingLabel">
    <w:name w:val="Memo Heading Label"/>
    <w:basedOn w:val="MemoHeading"/>
    <w:qFormat/>
    <w:rsid w:val="002C128A"/>
    <w:rPr>
      <w:rFonts w:ascii="Arial" w:hAnsi="Arial"/>
      <w:b/>
    </w:rPr>
  </w:style>
  <w:style w:type="paragraph" w:customStyle="1" w:styleId="First-LevelSubheading">
    <w:name w:val="First-Level Subheading"/>
    <w:basedOn w:val="IssueSubsectionHeading"/>
    <w:next w:val="BodyText"/>
    <w:qFormat/>
    <w:rsid w:val="002C128A"/>
    <w:pPr>
      <w:spacing w:after="0"/>
      <w:outlineLvl w:val="2"/>
    </w:pPr>
    <w:rPr>
      <w:i w:val="0"/>
    </w:rPr>
  </w:style>
  <w:style w:type="paragraph" w:customStyle="1" w:styleId="Second-LevelSubheading">
    <w:name w:val="Second-Level Subheading"/>
    <w:basedOn w:val="First-LevelSubheading"/>
    <w:next w:val="BodyText"/>
    <w:qFormat/>
    <w:rsid w:val="002C128A"/>
    <w:pPr>
      <w:outlineLvl w:val="3"/>
    </w:pPr>
    <w:rPr>
      <w:i/>
    </w:rPr>
  </w:style>
  <w:style w:type="paragraph" w:customStyle="1" w:styleId="TableNumber">
    <w:name w:val="Table Number"/>
    <w:basedOn w:val="BodyText"/>
    <w:next w:val="BodyText"/>
    <w:qFormat/>
    <w:rsid w:val="002C128A"/>
    <w:pPr>
      <w:spacing w:before="480" w:after="0"/>
      <w:jc w:val="center"/>
    </w:pPr>
    <w:rPr>
      <w:rFonts w:ascii="Arial" w:hAnsi="Arial"/>
      <w:b/>
    </w:rPr>
  </w:style>
  <w:style w:type="paragraph" w:customStyle="1" w:styleId="TableTitle">
    <w:name w:val="Table Title"/>
    <w:basedOn w:val="BodyText"/>
    <w:next w:val="BodyText"/>
    <w:qFormat/>
    <w:rsid w:val="002C128A"/>
    <w:pPr>
      <w:spacing w:after="0"/>
      <w:jc w:val="center"/>
    </w:pPr>
    <w:rPr>
      <w:rFonts w:ascii="Arial" w:hAnsi="Arial"/>
      <w:b/>
    </w:rPr>
  </w:style>
  <w:style w:type="paragraph" w:customStyle="1" w:styleId="TableSource">
    <w:name w:val="Table Source"/>
    <w:basedOn w:val="BodyText"/>
    <w:next w:val="BodyText"/>
    <w:qFormat/>
    <w:rsid w:val="002C128A"/>
    <w:pPr>
      <w:spacing w:after="480"/>
      <w:jc w:val="both"/>
    </w:pPr>
  </w:style>
  <w:style w:type="paragraph" w:customStyle="1" w:styleId="PartyName">
    <w:name w:val="Party Name"/>
    <w:basedOn w:val="IssueSubsectionHeading"/>
    <w:next w:val="BodyText"/>
    <w:qFormat/>
    <w:rsid w:val="002C128A"/>
    <w:rPr>
      <w:i w:val="0"/>
    </w:rPr>
  </w:style>
  <w:style w:type="paragraph" w:customStyle="1" w:styleId="Third-LevelSubheading">
    <w:name w:val="Third-Level Subheading"/>
    <w:basedOn w:val="Second-LevelSubheading"/>
    <w:next w:val="BodyText"/>
    <w:qFormat/>
    <w:rsid w:val="002C128A"/>
    <w:pPr>
      <w:ind w:left="1440"/>
      <w:outlineLvl w:val="4"/>
    </w:pPr>
  </w:style>
  <w:style w:type="character" w:customStyle="1" w:styleId="FooterChar">
    <w:name w:val="Footer Char"/>
    <w:link w:val="Footer"/>
    <w:uiPriority w:val="99"/>
    <w:rsid w:val="002C128A"/>
    <w:rPr>
      <w:sz w:val="24"/>
      <w:szCs w:val="24"/>
    </w:rPr>
  </w:style>
  <w:style w:type="character" w:customStyle="1" w:styleId="FootnoteTextChar">
    <w:name w:val="Footnote Text Char"/>
    <w:link w:val="FootnoteText"/>
    <w:uiPriority w:val="99"/>
    <w:rsid w:val="002C128A"/>
  </w:style>
  <w:style w:type="numbering" w:styleId="111111">
    <w:name w:val="Outline List 2"/>
    <w:basedOn w:val="NoList"/>
    <w:rsid w:val="002C128A"/>
    <w:pPr>
      <w:numPr>
        <w:numId w:val="11"/>
      </w:numPr>
    </w:pPr>
  </w:style>
  <w:style w:type="paragraph" w:styleId="NoSpacing">
    <w:name w:val="No Spacing"/>
    <w:basedOn w:val="Normal"/>
    <w:uiPriority w:val="1"/>
    <w:qFormat/>
    <w:rsid w:val="002C128A"/>
    <w:rPr>
      <w:rFonts w:ascii="Calibri" w:eastAsia="Calibri" w:hAnsi="Calibri"/>
      <w:szCs w:val="32"/>
    </w:rPr>
  </w:style>
  <w:style w:type="paragraph" w:styleId="ListParagraph">
    <w:name w:val="List Paragraph"/>
    <w:basedOn w:val="Normal"/>
    <w:uiPriority w:val="34"/>
    <w:qFormat/>
    <w:rsid w:val="002C128A"/>
    <w:pPr>
      <w:ind w:left="720"/>
      <w:contextualSpacing/>
    </w:pPr>
    <w:rPr>
      <w:rFonts w:ascii="Calibri" w:eastAsia="Calibri" w:hAnsi="Calibri"/>
    </w:rPr>
  </w:style>
  <w:style w:type="character" w:styleId="Emphasis">
    <w:name w:val="Emphasis"/>
    <w:uiPriority w:val="20"/>
    <w:qFormat/>
    <w:rsid w:val="002C128A"/>
    <w:rPr>
      <w:i/>
      <w:iCs/>
    </w:rPr>
  </w:style>
  <w:style w:type="paragraph" w:customStyle="1" w:styleId="MotionBody">
    <w:name w:val="MotionBody"/>
    <w:basedOn w:val="Normal"/>
    <w:rsid w:val="007F2B0B"/>
    <w:pPr>
      <w:spacing w:line="480" w:lineRule="auto"/>
      <w:ind w:firstLine="720"/>
      <w:jc w:val="both"/>
    </w:pPr>
  </w:style>
  <w:style w:type="paragraph" w:customStyle="1" w:styleId="InterProdTitle">
    <w:name w:val="InterProdTitle"/>
    <w:basedOn w:val="Normal"/>
    <w:rsid w:val="007F2B0B"/>
    <w:pPr>
      <w:jc w:val="center"/>
    </w:pPr>
    <w:rPr>
      <w:caps/>
      <w:u w:val="single"/>
    </w:rPr>
  </w:style>
  <w:style w:type="numbering" w:styleId="1ai">
    <w:name w:val="Outline List 1"/>
    <w:basedOn w:val="NoList"/>
    <w:rsid w:val="007F2B0B"/>
    <w:pPr>
      <w:numPr>
        <w:numId w:val="20"/>
      </w:numPr>
    </w:pPr>
  </w:style>
  <w:style w:type="numbering" w:styleId="ArticleSection">
    <w:name w:val="Outline List 3"/>
    <w:basedOn w:val="NoList"/>
    <w:rsid w:val="007F2B0B"/>
    <w:pPr>
      <w:numPr>
        <w:numId w:val="21"/>
      </w:numPr>
    </w:pPr>
  </w:style>
  <w:style w:type="character" w:styleId="FollowedHyperlink">
    <w:name w:val="FollowedHyperlink"/>
    <w:uiPriority w:val="99"/>
    <w:unhideWhenUsed/>
    <w:rsid w:val="007F2B0B"/>
    <w:rPr>
      <w:color w:val="800080"/>
      <w:u w:val="single"/>
    </w:rPr>
  </w:style>
  <w:style w:type="character" w:styleId="HTMLAcronym">
    <w:name w:val="HTML Acronym"/>
    <w:uiPriority w:val="99"/>
    <w:unhideWhenUsed/>
    <w:rsid w:val="007F2B0B"/>
  </w:style>
  <w:style w:type="character" w:styleId="HTMLCite">
    <w:name w:val="HTML Cite"/>
    <w:uiPriority w:val="99"/>
    <w:unhideWhenUsed/>
    <w:rsid w:val="007F2B0B"/>
    <w:rPr>
      <w:i/>
      <w:iCs/>
    </w:rPr>
  </w:style>
  <w:style w:type="character" w:styleId="HTMLCode">
    <w:name w:val="HTML Code"/>
    <w:uiPriority w:val="99"/>
    <w:unhideWhenUsed/>
    <w:rsid w:val="007F2B0B"/>
    <w:rPr>
      <w:rFonts w:ascii="Courier New" w:hAnsi="Courier New" w:cs="Courier New"/>
      <w:sz w:val="20"/>
      <w:szCs w:val="20"/>
    </w:rPr>
  </w:style>
  <w:style w:type="character" w:styleId="HTMLDefinition">
    <w:name w:val="HTML Definition"/>
    <w:uiPriority w:val="99"/>
    <w:unhideWhenUsed/>
    <w:rsid w:val="007F2B0B"/>
    <w:rPr>
      <w:i/>
      <w:iCs/>
    </w:rPr>
  </w:style>
  <w:style w:type="character" w:styleId="HTMLKeyboard">
    <w:name w:val="HTML Keyboard"/>
    <w:uiPriority w:val="99"/>
    <w:unhideWhenUsed/>
    <w:rsid w:val="007F2B0B"/>
    <w:rPr>
      <w:rFonts w:ascii="Courier New" w:hAnsi="Courier New" w:cs="Courier New"/>
      <w:sz w:val="20"/>
      <w:szCs w:val="20"/>
    </w:rPr>
  </w:style>
  <w:style w:type="character" w:styleId="HTMLSample">
    <w:name w:val="HTML Sample"/>
    <w:uiPriority w:val="99"/>
    <w:unhideWhenUsed/>
    <w:rsid w:val="007F2B0B"/>
    <w:rPr>
      <w:rFonts w:ascii="Courier New" w:hAnsi="Courier New" w:cs="Courier New"/>
    </w:rPr>
  </w:style>
  <w:style w:type="character" w:styleId="HTMLTypewriter">
    <w:name w:val="HTML Typewriter"/>
    <w:uiPriority w:val="99"/>
    <w:unhideWhenUsed/>
    <w:rsid w:val="007F2B0B"/>
    <w:rPr>
      <w:rFonts w:ascii="Courier New" w:hAnsi="Courier New" w:cs="Courier New"/>
      <w:sz w:val="20"/>
      <w:szCs w:val="20"/>
    </w:rPr>
  </w:style>
  <w:style w:type="character" w:styleId="HTMLVariable">
    <w:name w:val="HTML Variable"/>
    <w:uiPriority w:val="99"/>
    <w:unhideWhenUsed/>
    <w:rsid w:val="007F2B0B"/>
    <w:rPr>
      <w:i/>
      <w:iCs/>
    </w:rPr>
  </w:style>
  <w:style w:type="character" w:styleId="LineNumber">
    <w:name w:val="line number"/>
    <w:uiPriority w:val="99"/>
    <w:unhideWhenUsed/>
    <w:rsid w:val="007F2B0B"/>
  </w:style>
  <w:style w:type="character" w:styleId="Strong">
    <w:name w:val="Strong"/>
    <w:uiPriority w:val="22"/>
    <w:qFormat/>
    <w:rsid w:val="007F2B0B"/>
    <w:rPr>
      <w:b/>
      <w:bCs/>
    </w:rPr>
  </w:style>
  <w:style w:type="table" w:styleId="Table3Deffects1">
    <w:name w:val="Table 3D effects 1"/>
    <w:basedOn w:val="TableNormal"/>
    <w:rsid w:val="007F2B0B"/>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F2B0B"/>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F2B0B"/>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F2B0B"/>
    <w:rPr>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F2B0B"/>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F2B0B"/>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F2B0B"/>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F2B0B"/>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F2B0B"/>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F2B0B"/>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F2B0B"/>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F2B0B"/>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2B0B"/>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F2B0B"/>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F2B0B"/>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F2B0B"/>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F2B0B"/>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F2B0B"/>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F2B0B"/>
    <w:rPr>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F2B0B"/>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F2B0B"/>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F2B0B"/>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F2B0B"/>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F2B0B"/>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F2B0B"/>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F2B0B"/>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F2B0B"/>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F2B0B"/>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F2B0B"/>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F2B0B"/>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F2B0B"/>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F2B0B"/>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F2B0B"/>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F2B0B"/>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F2B0B"/>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F2B0B"/>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F2B0B"/>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F2B0B"/>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F2B0B"/>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F2B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F2B0B"/>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F2B0B"/>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F2B0B"/>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uiPriority w:val="99"/>
    <w:unhideWhenUsed/>
    <w:rsid w:val="007F2B0B"/>
    <w:rPr>
      <w:sz w:val="16"/>
      <w:szCs w:val="16"/>
    </w:rPr>
  </w:style>
  <w:style w:type="character" w:styleId="EndnoteReference">
    <w:name w:val="endnote reference"/>
    <w:uiPriority w:val="99"/>
    <w:unhideWhenUsed/>
    <w:rsid w:val="007F2B0B"/>
    <w:rPr>
      <w:vertAlign w:val="superscript"/>
    </w:rPr>
  </w:style>
  <w:style w:type="paragraph" w:styleId="TOC7">
    <w:name w:val="toc 7"/>
    <w:basedOn w:val="Normal"/>
    <w:next w:val="Normal"/>
    <w:autoRedefine/>
    <w:uiPriority w:val="99"/>
    <w:unhideWhenUsed/>
    <w:rsid w:val="007F2B0B"/>
    <w:pPr>
      <w:ind w:left="1440"/>
    </w:pPr>
  </w:style>
  <w:style w:type="paragraph" w:styleId="TOC8">
    <w:name w:val="toc 8"/>
    <w:basedOn w:val="Normal"/>
    <w:next w:val="Normal"/>
    <w:autoRedefine/>
    <w:uiPriority w:val="99"/>
    <w:unhideWhenUsed/>
    <w:rsid w:val="007F2B0B"/>
    <w:pPr>
      <w:ind w:left="1680"/>
    </w:pPr>
  </w:style>
  <w:style w:type="paragraph" w:styleId="Quote">
    <w:name w:val="Quote"/>
    <w:basedOn w:val="Normal"/>
    <w:next w:val="Normal"/>
    <w:link w:val="QuoteChar"/>
    <w:uiPriority w:val="29"/>
    <w:qFormat/>
    <w:rsid w:val="007F2B0B"/>
    <w:rPr>
      <w:i/>
    </w:rPr>
  </w:style>
  <w:style w:type="character" w:customStyle="1" w:styleId="QuoteChar">
    <w:name w:val="Quote Char"/>
    <w:basedOn w:val="DefaultParagraphFont"/>
    <w:link w:val="Quote"/>
    <w:uiPriority w:val="29"/>
    <w:rsid w:val="007F2B0B"/>
    <w:rPr>
      <w:i/>
      <w:sz w:val="24"/>
      <w:szCs w:val="24"/>
    </w:rPr>
  </w:style>
  <w:style w:type="paragraph" w:styleId="IntenseQuote">
    <w:name w:val="Intense Quote"/>
    <w:basedOn w:val="Normal"/>
    <w:next w:val="Normal"/>
    <w:link w:val="IntenseQuoteChar"/>
    <w:uiPriority w:val="30"/>
    <w:qFormat/>
    <w:rsid w:val="007F2B0B"/>
    <w:pPr>
      <w:ind w:left="720" w:right="720"/>
    </w:pPr>
    <w:rPr>
      <w:b/>
      <w:i/>
      <w:szCs w:val="22"/>
    </w:rPr>
  </w:style>
  <w:style w:type="character" w:customStyle="1" w:styleId="IntenseQuoteChar">
    <w:name w:val="Intense Quote Char"/>
    <w:basedOn w:val="DefaultParagraphFont"/>
    <w:link w:val="IntenseQuote"/>
    <w:uiPriority w:val="30"/>
    <w:rsid w:val="007F2B0B"/>
    <w:rPr>
      <w:b/>
      <w:i/>
      <w:sz w:val="24"/>
      <w:szCs w:val="22"/>
    </w:rPr>
  </w:style>
  <w:style w:type="character" w:styleId="SubtleEmphasis">
    <w:name w:val="Subtle Emphasis"/>
    <w:uiPriority w:val="19"/>
    <w:qFormat/>
    <w:rsid w:val="007F2B0B"/>
    <w:rPr>
      <w:i/>
      <w:color w:val="5A5A5A"/>
    </w:rPr>
  </w:style>
  <w:style w:type="character" w:styleId="IntenseEmphasis">
    <w:name w:val="Intense Emphasis"/>
    <w:uiPriority w:val="21"/>
    <w:qFormat/>
    <w:rsid w:val="007F2B0B"/>
    <w:rPr>
      <w:b/>
      <w:i/>
      <w:sz w:val="24"/>
      <w:szCs w:val="24"/>
      <w:u w:val="single"/>
    </w:rPr>
  </w:style>
  <w:style w:type="character" w:styleId="SubtleReference">
    <w:name w:val="Subtle Reference"/>
    <w:uiPriority w:val="31"/>
    <w:qFormat/>
    <w:rsid w:val="007F2B0B"/>
    <w:rPr>
      <w:sz w:val="24"/>
      <w:szCs w:val="24"/>
      <w:u w:val="single"/>
    </w:rPr>
  </w:style>
  <w:style w:type="character" w:styleId="IntenseReference">
    <w:name w:val="Intense Reference"/>
    <w:uiPriority w:val="32"/>
    <w:qFormat/>
    <w:rsid w:val="007F2B0B"/>
    <w:rPr>
      <w:b/>
      <w:sz w:val="24"/>
      <w:u w:val="single"/>
    </w:rPr>
  </w:style>
  <w:style w:type="character" w:styleId="BookTitle">
    <w:name w:val="Book Title"/>
    <w:uiPriority w:val="33"/>
    <w:qFormat/>
    <w:rsid w:val="007F2B0B"/>
    <w:rPr>
      <w:rFonts w:ascii="Arial" w:eastAsia="MS PGothic" w:hAnsi="Arial"/>
      <w:b/>
      <w:i/>
      <w:sz w:val="24"/>
      <w:szCs w:val="24"/>
    </w:rPr>
  </w:style>
  <w:style w:type="paragraph" w:styleId="TOCHeading">
    <w:name w:val="TOC Heading"/>
    <w:basedOn w:val="Heading1"/>
    <w:next w:val="Normal"/>
    <w:uiPriority w:val="39"/>
    <w:semiHidden/>
    <w:unhideWhenUsed/>
    <w:qFormat/>
    <w:rsid w:val="007F2B0B"/>
    <w:pPr>
      <w:numPr>
        <w:numId w:val="0"/>
      </w:numPr>
      <w:spacing w:before="240" w:after="60"/>
      <w:jc w:val="left"/>
      <w:outlineLvl w:val="9"/>
    </w:pPr>
    <w:rPr>
      <w:rFonts w:ascii="Arial" w:eastAsia="MS PGothic" w:hAnsi="Arial" w:cs="Times New Roman"/>
      <w:b/>
      <w:sz w:val="32"/>
    </w:rPr>
  </w:style>
  <w:style w:type="paragraph" w:customStyle="1" w:styleId="InterProdBody">
    <w:name w:val="InterProdBody"/>
    <w:basedOn w:val="Normal"/>
    <w:rsid w:val="007F2B0B"/>
    <w:pPr>
      <w:spacing w:line="48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uiPriority="0"/>
    <w:lsdException w:name="HTML Bottom of Form"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9"/>
    <w:qFormat/>
    <w:rsid w:val="00CD7132"/>
    <w:pPr>
      <w:keepNext/>
      <w:numPr>
        <w:numId w:val="17"/>
      </w:numPr>
      <w:spacing w:after="240"/>
      <w:jc w:val="both"/>
      <w:outlineLvl w:val="0"/>
    </w:pPr>
    <w:rPr>
      <w:rFonts w:cs="Arial"/>
      <w:bCs/>
      <w:kern w:val="32"/>
      <w:szCs w:val="32"/>
    </w:rPr>
  </w:style>
  <w:style w:type="paragraph" w:styleId="Heading2">
    <w:name w:val="heading 2"/>
    <w:basedOn w:val="Normal"/>
    <w:next w:val="BodyText"/>
    <w:link w:val="Heading2Char"/>
    <w:uiPriority w:val="9"/>
    <w:qFormat/>
    <w:rsid w:val="00CD7132"/>
    <w:pPr>
      <w:keepNext/>
      <w:numPr>
        <w:ilvl w:val="1"/>
        <w:numId w:val="17"/>
      </w:numPr>
      <w:spacing w:after="240"/>
      <w:jc w:val="both"/>
      <w:outlineLvl w:val="1"/>
    </w:pPr>
    <w:rPr>
      <w:rFonts w:cs="Arial"/>
      <w:bCs/>
      <w:iCs/>
      <w:szCs w:val="28"/>
    </w:rPr>
  </w:style>
  <w:style w:type="paragraph" w:styleId="Heading3">
    <w:name w:val="heading 3"/>
    <w:basedOn w:val="BodyText"/>
    <w:next w:val="BodyText"/>
    <w:link w:val="Heading3Char"/>
    <w:uiPriority w:val="9"/>
    <w:qFormat/>
    <w:rsid w:val="00CD7132"/>
    <w:pPr>
      <w:numPr>
        <w:ilvl w:val="2"/>
        <w:numId w:val="17"/>
      </w:numPr>
      <w:spacing w:after="240"/>
      <w:jc w:val="both"/>
      <w:outlineLvl w:val="2"/>
    </w:pPr>
  </w:style>
  <w:style w:type="paragraph" w:styleId="Heading4">
    <w:name w:val="heading 4"/>
    <w:basedOn w:val="Normal"/>
    <w:next w:val="Normal"/>
    <w:link w:val="Heading4Char"/>
    <w:uiPriority w:val="9"/>
    <w:qFormat/>
    <w:rsid w:val="00CD7132"/>
    <w:pPr>
      <w:keepNext/>
      <w:numPr>
        <w:ilvl w:val="3"/>
        <w:numId w:val="17"/>
      </w:numPr>
      <w:spacing w:before="240" w:after="60"/>
      <w:outlineLvl w:val="3"/>
    </w:pPr>
    <w:rPr>
      <w:b/>
      <w:bCs/>
      <w:sz w:val="28"/>
      <w:szCs w:val="28"/>
    </w:rPr>
  </w:style>
  <w:style w:type="paragraph" w:styleId="Heading5">
    <w:name w:val="heading 5"/>
    <w:basedOn w:val="Normal"/>
    <w:next w:val="Normal"/>
    <w:link w:val="Heading5Char"/>
    <w:uiPriority w:val="9"/>
    <w:qFormat/>
    <w:rsid w:val="00CD7132"/>
    <w:pPr>
      <w:numPr>
        <w:ilvl w:val="4"/>
        <w:numId w:val="17"/>
      </w:numPr>
      <w:spacing w:before="240" w:after="60"/>
      <w:outlineLvl w:val="4"/>
    </w:pPr>
    <w:rPr>
      <w:b/>
      <w:bCs/>
      <w:i/>
      <w:iCs/>
      <w:sz w:val="26"/>
      <w:szCs w:val="26"/>
    </w:rPr>
  </w:style>
  <w:style w:type="paragraph" w:styleId="Heading6">
    <w:name w:val="heading 6"/>
    <w:basedOn w:val="Normal"/>
    <w:next w:val="Normal"/>
    <w:link w:val="Heading6Char"/>
    <w:uiPriority w:val="9"/>
    <w:qFormat/>
    <w:rsid w:val="00CD7132"/>
    <w:pPr>
      <w:numPr>
        <w:ilvl w:val="5"/>
        <w:numId w:val="17"/>
      </w:numPr>
      <w:spacing w:before="240" w:after="60"/>
      <w:outlineLvl w:val="5"/>
    </w:pPr>
    <w:rPr>
      <w:b/>
      <w:bCs/>
      <w:sz w:val="22"/>
      <w:szCs w:val="22"/>
    </w:rPr>
  </w:style>
  <w:style w:type="paragraph" w:styleId="Heading7">
    <w:name w:val="heading 7"/>
    <w:basedOn w:val="Normal"/>
    <w:next w:val="Normal"/>
    <w:link w:val="Heading7Char"/>
    <w:uiPriority w:val="9"/>
    <w:qFormat/>
    <w:rsid w:val="00CD7132"/>
    <w:pPr>
      <w:numPr>
        <w:ilvl w:val="6"/>
        <w:numId w:val="17"/>
      </w:numPr>
      <w:spacing w:before="240" w:after="60"/>
      <w:outlineLvl w:val="6"/>
    </w:pPr>
  </w:style>
  <w:style w:type="paragraph" w:styleId="Heading8">
    <w:name w:val="heading 8"/>
    <w:basedOn w:val="Normal"/>
    <w:next w:val="Normal"/>
    <w:link w:val="Heading8Char"/>
    <w:uiPriority w:val="9"/>
    <w:qFormat/>
    <w:rsid w:val="00CD7132"/>
    <w:pPr>
      <w:numPr>
        <w:ilvl w:val="7"/>
        <w:numId w:val="17"/>
      </w:numPr>
      <w:spacing w:before="240" w:after="60"/>
      <w:outlineLvl w:val="7"/>
    </w:pPr>
    <w:rPr>
      <w:i/>
      <w:iCs/>
    </w:rPr>
  </w:style>
  <w:style w:type="paragraph" w:styleId="Heading9">
    <w:name w:val="heading 9"/>
    <w:basedOn w:val="Normal"/>
    <w:next w:val="Normal"/>
    <w:link w:val="Heading9Char"/>
    <w:uiPriority w:val="9"/>
    <w:qFormat/>
    <w:rsid w:val="00CD7132"/>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uiPriority w:val="99"/>
    <w:rsid w:val="00CD7132"/>
  </w:style>
  <w:style w:type="paragraph" w:styleId="Header">
    <w:name w:val="header"/>
    <w:basedOn w:val="Normal"/>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uiPriority w:val="9"/>
    <w:rsid w:val="00CD7132"/>
    <w:rPr>
      <w:rFonts w:cs="Arial"/>
      <w:bCs/>
      <w:kern w:val="32"/>
      <w:sz w:val="24"/>
      <w:szCs w:val="32"/>
    </w:rPr>
  </w:style>
  <w:style w:type="character" w:customStyle="1" w:styleId="Heading9Char">
    <w:name w:val="Heading 9 Char"/>
    <w:link w:val="Heading9"/>
    <w:uiPriority w:val="9"/>
    <w:rsid w:val="00CD7132"/>
    <w:rPr>
      <w:rFonts w:ascii="Arial" w:hAnsi="Arial" w:cs="Arial"/>
      <w:sz w:val="22"/>
      <w:szCs w:val="22"/>
    </w:rPr>
  </w:style>
  <w:style w:type="paragraph" w:styleId="BodyText">
    <w:name w:val="Body Text"/>
    <w:basedOn w:val="Normal"/>
    <w:link w:val="BodyTextChar"/>
    <w:uiPriority w:val="99"/>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uiPriority w:val="9"/>
    <w:rsid w:val="00CD7132"/>
    <w:rPr>
      <w:rFonts w:cs="Arial"/>
      <w:bCs/>
      <w:iCs/>
      <w:sz w:val="24"/>
      <w:szCs w:val="28"/>
    </w:rPr>
  </w:style>
  <w:style w:type="character" w:customStyle="1" w:styleId="Heading3Char">
    <w:name w:val="Heading 3 Char"/>
    <w:link w:val="Heading3"/>
    <w:uiPriority w:val="9"/>
    <w:rsid w:val="00CD7132"/>
    <w:rPr>
      <w:sz w:val="24"/>
      <w:szCs w:val="24"/>
    </w:rPr>
  </w:style>
  <w:style w:type="character" w:customStyle="1" w:styleId="Heading4Char">
    <w:name w:val="Heading 4 Char"/>
    <w:link w:val="Heading4"/>
    <w:uiPriority w:val="9"/>
    <w:rsid w:val="00CD7132"/>
    <w:rPr>
      <w:b/>
      <w:bCs/>
      <w:sz w:val="28"/>
      <w:szCs w:val="28"/>
    </w:rPr>
  </w:style>
  <w:style w:type="character" w:customStyle="1" w:styleId="Heading5Char">
    <w:name w:val="Heading 5 Char"/>
    <w:link w:val="Heading5"/>
    <w:uiPriority w:val="9"/>
    <w:rsid w:val="00CD7132"/>
    <w:rPr>
      <w:b/>
      <w:bCs/>
      <w:i/>
      <w:iCs/>
      <w:sz w:val="26"/>
      <w:szCs w:val="26"/>
    </w:rPr>
  </w:style>
  <w:style w:type="character" w:customStyle="1" w:styleId="Heading6Char">
    <w:name w:val="Heading 6 Char"/>
    <w:link w:val="Heading6"/>
    <w:uiPriority w:val="9"/>
    <w:rsid w:val="00CD7132"/>
    <w:rPr>
      <w:b/>
      <w:bCs/>
      <w:sz w:val="22"/>
      <w:szCs w:val="22"/>
    </w:rPr>
  </w:style>
  <w:style w:type="character" w:customStyle="1" w:styleId="Heading7Char">
    <w:name w:val="Heading 7 Char"/>
    <w:link w:val="Heading7"/>
    <w:uiPriority w:val="9"/>
    <w:rsid w:val="00CD7132"/>
    <w:rPr>
      <w:sz w:val="24"/>
      <w:szCs w:val="24"/>
    </w:rPr>
  </w:style>
  <w:style w:type="character" w:customStyle="1" w:styleId="Heading8Char">
    <w:name w:val="Heading 8 Char"/>
    <w:link w:val="Heading8"/>
    <w:uiPriority w:val="9"/>
    <w:rsid w:val="00CD7132"/>
    <w:rPr>
      <w:i/>
      <w:iCs/>
      <w:sz w:val="24"/>
      <w:szCs w:val="24"/>
    </w:rPr>
  </w:style>
  <w:style w:type="paragraph" w:customStyle="1" w:styleId="MemoAddresses">
    <w:name w:val="Memo Addresses"/>
    <w:basedOn w:val="Normal"/>
    <w:next w:val="Normal"/>
    <w:rsid w:val="002C128A"/>
    <w:pPr>
      <w:spacing w:before="120"/>
      <w:ind w:left="1008" w:hanging="1008"/>
      <w:jc w:val="both"/>
    </w:pPr>
  </w:style>
  <w:style w:type="paragraph" w:customStyle="1" w:styleId="MastHeadPSC">
    <w:name w:val="MastHead PSC"/>
    <w:basedOn w:val="Normal"/>
    <w:next w:val="Normal"/>
    <w:rsid w:val="002C128A"/>
    <w:pPr>
      <w:jc w:val="center"/>
    </w:pPr>
    <w:rPr>
      <w:b/>
      <w:sz w:val="48"/>
      <w:szCs w:val="48"/>
    </w:rPr>
  </w:style>
  <w:style w:type="paragraph" w:customStyle="1" w:styleId="MastHeadMemorandum">
    <w:name w:val="MastHead Memorandum"/>
    <w:basedOn w:val="Normal"/>
    <w:next w:val="Normal"/>
    <w:rsid w:val="002C128A"/>
    <w:pPr>
      <w:jc w:val="center"/>
    </w:pPr>
    <w:rPr>
      <w:b/>
      <w:sz w:val="28"/>
      <w:szCs w:val="28"/>
    </w:rPr>
  </w:style>
  <w:style w:type="paragraph" w:customStyle="1" w:styleId="MastHeadAddress">
    <w:name w:val="MastHead Address"/>
    <w:basedOn w:val="Normal"/>
    <w:next w:val="Normal"/>
    <w:rsid w:val="002C128A"/>
    <w:pPr>
      <w:spacing w:after="200"/>
      <w:jc w:val="center"/>
    </w:pPr>
    <w:rPr>
      <w:b/>
      <w:smallCaps/>
      <w:sz w:val="20"/>
      <w:szCs w:val="20"/>
    </w:rPr>
  </w:style>
  <w:style w:type="paragraph" w:customStyle="1" w:styleId="MastHeadState">
    <w:name w:val="MastHead State"/>
    <w:basedOn w:val="Normal"/>
    <w:next w:val="Normal"/>
    <w:rsid w:val="002C128A"/>
    <w:pPr>
      <w:jc w:val="center"/>
    </w:pPr>
    <w:rPr>
      <w:b/>
      <w:sz w:val="28"/>
      <w:szCs w:val="28"/>
    </w:rPr>
  </w:style>
  <w:style w:type="paragraph" w:customStyle="1" w:styleId="MemoHeading">
    <w:name w:val="Memo Heading"/>
    <w:basedOn w:val="Normal"/>
    <w:next w:val="Normal"/>
    <w:rsid w:val="002C128A"/>
    <w:pPr>
      <w:jc w:val="both"/>
    </w:pPr>
  </w:style>
  <w:style w:type="paragraph" w:customStyle="1" w:styleId="BlockText5">
    <w:name w:val="Block Text .5&quot;"/>
    <w:basedOn w:val="Normal"/>
    <w:rsid w:val="002C128A"/>
    <w:pPr>
      <w:spacing w:after="120"/>
      <w:ind w:left="720" w:right="720"/>
    </w:pPr>
  </w:style>
  <w:style w:type="paragraph" w:customStyle="1" w:styleId="BlockText1">
    <w:name w:val="Block Text 1&quot;"/>
    <w:basedOn w:val="Normal"/>
    <w:rsid w:val="002C128A"/>
    <w:pPr>
      <w:spacing w:after="120"/>
      <w:ind w:left="1440" w:right="1440"/>
    </w:pPr>
  </w:style>
  <w:style w:type="paragraph" w:customStyle="1" w:styleId="BlockText15">
    <w:name w:val="Block Text 1.5&quot;"/>
    <w:basedOn w:val="Normal"/>
    <w:rsid w:val="002C128A"/>
    <w:pPr>
      <w:spacing w:after="120"/>
      <w:ind w:left="2160" w:right="2160"/>
    </w:pPr>
  </w:style>
  <w:style w:type="paragraph" w:customStyle="1" w:styleId="IssueHeading">
    <w:name w:val="Issue Heading"/>
    <w:basedOn w:val="Heading1"/>
    <w:next w:val="BodyText"/>
    <w:link w:val="IssueHeadingChar"/>
    <w:qFormat/>
    <w:rsid w:val="002C128A"/>
    <w:pPr>
      <w:keepNext w:val="0"/>
    </w:pPr>
    <w:rPr>
      <w:rFonts w:ascii="Arial" w:hAnsi="Arial"/>
      <w:b/>
      <w:i/>
    </w:rPr>
  </w:style>
  <w:style w:type="character" w:customStyle="1" w:styleId="IssueHeadingChar">
    <w:name w:val="Issue Heading Char"/>
    <w:link w:val="IssueHeading"/>
    <w:rsid w:val="002C128A"/>
    <w:rPr>
      <w:rFonts w:ascii="Arial" w:hAnsi="Arial" w:cs="Arial"/>
      <w:b/>
      <w:bCs/>
      <w:i/>
      <w:kern w:val="32"/>
      <w:sz w:val="24"/>
      <w:szCs w:val="32"/>
    </w:rPr>
  </w:style>
  <w:style w:type="paragraph" w:customStyle="1" w:styleId="MemoHeadingRe">
    <w:name w:val="Memo Heading Re"/>
    <w:basedOn w:val="MemoHeading"/>
    <w:rsid w:val="002C128A"/>
    <w:pPr>
      <w:tabs>
        <w:tab w:val="left" w:pos="2520"/>
        <w:tab w:val="left" w:pos="2736"/>
      </w:tabs>
    </w:pPr>
  </w:style>
  <w:style w:type="paragraph" w:styleId="TOC1">
    <w:name w:val="toc 1"/>
    <w:basedOn w:val="Normal"/>
    <w:next w:val="Normal"/>
    <w:uiPriority w:val="99"/>
    <w:rsid w:val="002C128A"/>
    <w:pPr>
      <w:tabs>
        <w:tab w:val="left" w:pos="864"/>
        <w:tab w:val="right" w:leader="dot" w:pos="9360"/>
      </w:tabs>
      <w:spacing w:after="240"/>
      <w:ind w:left="864" w:right="360" w:hanging="864"/>
    </w:pPr>
  </w:style>
  <w:style w:type="character" w:styleId="Hyperlink">
    <w:name w:val="Hyperlink"/>
    <w:uiPriority w:val="99"/>
    <w:rsid w:val="002C128A"/>
    <w:rPr>
      <w:color w:val="0000FF"/>
      <w:u w:val="single"/>
    </w:rPr>
  </w:style>
  <w:style w:type="paragraph" w:customStyle="1" w:styleId="RecommendationMajorSectionHeading">
    <w:name w:val="Recommendation Major Section Heading"/>
    <w:basedOn w:val="Heading1"/>
    <w:next w:val="BodyText"/>
    <w:rsid w:val="002C128A"/>
    <w:pPr>
      <w:jc w:val="center"/>
    </w:pPr>
    <w:rPr>
      <w:rFonts w:ascii="Arial" w:hAnsi="Arial"/>
      <w:b/>
    </w:rPr>
  </w:style>
  <w:style w:type="paragraph" w:customStyle="1" w:styleId="IssueSubsectionHeading">
    <w:name w:val="Issue Subsection Heading"/>
    <w:basedOn w:val="Heading2"/>
    <w:next w:val="BodyText"/>
    <w:link w:val="IssueSubsectionHeadingChar"/>
    <w:qFormat/>
    <w:rsid w:val="002C128A"/>
    <w:pPr>
      <w:keepNext w:val="0"/>
    </w:pPr>
    <w:rPr>
      <w:rFonts w:ascii="Arial" w:hAnsi="Arial"/>
      <w:b/>
      <w:i/>
    </w:rPr>
  </w:style>
  <w:style w:type="character" w:customStyle="1" w:styleId="IssueSubsectionHeadingChar">
    <w:name w:val="Issue Subsection Heading Char"/>
    <w:link w:val="IssueSubsectionHeading"/>
    <w:rsid w:val="002C128A"/>
    <w:rPr>
      <w:rFonts w:ascii="Arial" w:hAnsi="Arial" w:cs="Arial"/>
      <w:b/>
      <w:bCs/>
      <w:i/>
      <w:iCs/>
      <w:sz w:val="24"/>
      <w:szCs w:val="28"/>
    </w:rPr>
  </w:style>
  <w:style w:type="paragraph" w:customStyle="1" w:styleId="RecommendationHeading">
    <w:name w:val="Recommendation Heading"/>
    <w:basedOn w:val="Heading1"/>
    <w:next w:val="BodyText"/>
    <w:rsid w:val="002C128A"/>
    <w:pPr>
      <w:keepNext w:val="0"/>
      <w:jc w:val="center"/>
    </w:pPr>
    <w:rPr>
      <w:b/>
      <w:u w:val="single"/>
    </w:rPr>
  </w:style>
  <w:style w:type="paragraph" w:customStyle="1" w:styleId="DiscussionofIssues">
    <w:name w:val="Discussion of Issues"/>
    <w:basedOn w:val="RecommendationMajorSectionHeading"/>
    <w:next w:val="BodyText"/>
    <w:rsid w:val="002C128A"/>
    <w:pPr>
      <w:spacing w:after="0"/>
    </w:pPr>
  </w:style>
  <w:style w:type="paragraph" w:customStyle="1" w:styleId="TOCColumnHeadings">
    <w:name w:val="TOC Column Headings"/>
    <w:basedOn w:val="Normal"/>
    <w:rsid w:val="002C128A"/>
    <w:pPr>
      <w:tabs>
        <w:tab w:val="left" w:pos="864"/>
        <w:tab w:val="right" w:pos="9360"/>
      </w:tabs>
    </w:pPr>
    <w:rPr>
      <w:u w:val="words"/>
    </w:rPr>
  </w:style>
  <w:style w:type="table" w:customStyle="1" w:styleId="TableMasthead">
    <w:name w:val="Table Masthead"/>
    <w:basedOn w:val="TableGrid"/>
    <w:rsid w:val="002C128A"/>
    <w:tblPr/>
  </w:style>
  <w:style w:type="paragraph" w:customStyle="1" w:styleId="StyleHeading1BoldUnderline">
    <w:name w:val="Style Heading 1 + Bold Underline"/>
    <w:basedOn w:val="Heading1"/>
    <w:link w:val="StyleHeading1BoldUnderlineChar"/>
    <w:rsid w:val="002C128A"/>
    <w:pPr>
      <w:keepNext w:val="0"/>
      <w:spacing w:before="240"/>
    </w:pPr>
    <w:rPr>
      <w:b/>
      <w:u w:val="single"/>
    </w:rPr>
  </w:style>
  <w:style w:type="character" w:customStyle="1" w:styleId="StyleHeading1BoldUnderlineChar">
    <w:name w:val="Style Heading 1 + Bold Underline Char"/>
    <w:link w:val="StyleHeading1BoldUnderline"/>
    <w:rsid w:val="002C128A"/>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2C128A"/>
    <w:pPr>
      <w:jc w:val="left"/>
    </w:pPr>
  </w:style>
  <w:style w:type="paragraph" w:styleId="TOC3">
    <w:name w:val="toc 3"/>
    <w:basedOn w:val="TOC2"/>
    <w:next w:val="Normal"/>
    <w:uiPriority w:val="99"/>
    <w:rsid w:val="002C128A"/>
    <w:pPr>
      <w:tabs>
        <w:tab w:val="clear" w:pos="1152"/>
        <w:tab w:val="left" w:pos="1584"/>
      </w:tabs>
      <w:ind w:left="1584" w:hanging="432"/>
    </w:pPr>
  </w:style>
  <w:style w:type="paragraph" w:styleId="TOC2">
    <w:name w:val="toc 2"/>
    <w:basedOn w:val="TOC1"/>
    <w:next w:val="Normal"/>
    <w:uiPriority w:val="99"/>
    <w:rsid w:val="002C128A"/>
    <w:pPr>
      <w:tabs>
        <w:tab w:val="clear" w:pos="864"/>
        <w:tab w:val="left" w:pos="1152"/>
      </w:tabs>
      <w:ind w:left="1152" w:hanging="288"/>
    </w:pPr>
  </w:style>
  <w:style w:type="paragraph" w:styleId="DocumentMap">
    <w:name w:val="Document Map"/>
    <w:basedOn w:val="Normal"/>
    <w:link w:val="DocumentMapChar"/>
    <w:uiPriority w:val="99"/>
    <w:rsid w:val="002C128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2C128A"/>
    <w:rPr>
      <w:rFonts w:ascii="Tahoma" w:hAnsi="Tahoma" w:cs="Tahoma"/>
      <w:sz w:val="24"/>
      <w:szCs w:val="24"/>
      <w:shd w:val="clear" w:color="auto" w:fill="000080"/>
    </w:rPr>
  </w:style>
  <w:style w:type="paragraph" w:styleId="BalloonText">
    <w:name w:val="Balloon Text"/>
    <w:basedOn w:val="Normal"/>
    <w:link w:val="BalloonTextChar"/>
    <w:uiPriority w:val="99"/>
    <w:rsid w:val="002C128A"/>
    <w:rPr>
      <w:rFonts w:ascii="Tahoma" w:hAnsi="Tahoma" w:cs="Tahoma"/>
      <w:sz w:val="16"/>
      <w:szCs w:val="16"/>
    </w:rPr>
  </w:style>
  <w:style w:type="character" w:customStyle="1" w:styleId="BalloonTextChar">
    <w:name w:val="Balloon Text Char"/>
    <w:basedOn w:val="DefaultParagraphFont"/>
    <w:link w:val="BalloonText"/>
    <w:uiPriority w:val="99"/>
    <w:rsid w:val="002C128A"/>
    <w:rPr>
      <w:rFonts w:ascii="Tahoma" w:hAnsi="Tahoma" w:cs="Tahoma"/>
      <w:sz w:val="16"/>
      <w:szCs w:val="16"/>
    </w:rPr>
  </w:style>
  <w:style w:type="paragraph" w:styleId="BlockText">
    <w:name w:val="Block Text"/>
    <w:basedOn w:val="Normal"/>
    <w:uiPriority w:val="99"/>
    <w:rsid w:val="002C128A"/>
    <w:pPr>
      <w:spacing w:after="120"/>
      <w:ind w:left="1440" w:right="1440"/>
    </w:pPr>
  </w:style>
  <w:style w:type="paragraph" w:styleId="BodyText2">
    <w:name w:val="Body Text 2"/>
    <w:basedOn w:val="Normal"/>
    <w:link w:val="BodyText2Char"/>
    <w:uiPriority w:val="99"/>
    <w:rsid w:val="002C128A"/>
    <w:pPr>
      <w:spacing w:after="120" w:line="480" w:lineRule="auto"/>
    </w:pPr>
  </w:style>
  <w:style w:type="character" w:customStyle="1" w:styleId="BodyText2Char">
    <w:name w:val="Body Text 2 Char"/>
    <w:basedOn w:val="DefaultParagraphFont"/>
    <w:link w:val="BodyText2"/>
    <w:uiPriority w:val="99"/>
    <w:rsid w:val="002C128A"/>
    <w:rPr>
      <w:sz w:val="24"/>
      <w:szCs w:val="24"/>
    </w:rPr>
  </w:style>
  <w:style w:type="paragraph" w:styleId="BodyText3">
    <w:name w:val="Body Text 3"/>
    <w:basedOn w:val="Normal"/>
    <w:link w:val="BodyText3Char"/>
    <w:uiPriority w:val="99"/>
    <w:rsid w:val="002C128A"/>
    <w:pPr>
      <w:spacing w:after="120"/>
    </w:pPr>
    <w:rPr>
      <w:sz w:val="16"/>
      <w:szCs w:val="16"/>
    </w:rPr>
  </w:style>
  <w:style w:type="character" w:customStyle="1" w:styleId="BodyText3Char">
    <w:name w:val="Body Text 3 Char"/>
    <w:basedOn w:val="DefaultParagraphFont"/>
    <w:link w:val="BodyText3"/>
    <w:uiPriority w:val="99"/>
    <w:rsid w:val="002C128A"/>
    <w:rPr>
      <w:sz w:val="16"/>
      <w:szCs w:val="16"/>
    </w:rPr>
  </w:style>
  <w:style w:type="paragraph" w:styleId="BodyTextFirstIndent">
    <w:name w:val="Body Text First Indent"/>
    <w:basedOn w:val="BodyText"/>
    <w:link w:val="BodyTextFirstIndentChar"/>
    <w:uiPriority w:val="99"/>
    <w:rsid w:val="002C128A"/>
    <w:pPr>
      <w:ind w:firstLine="210"/>
    </w:pPr>
  </w:style>
  <w:style w:type="character" w:customStyle="1" w:styleId="BodyTextFirstIndentChar">
    <w:name w:val="Body Text First Indent Char"/>
    <w:basedOn w:val="BodyTextChar"/>
    <w:link w:val="BodyTextFirstIndent"/>
    <w:uiPriority w:val="99"/>
    <w:rsid w:val="002C128A"/>
    <w:rPr>
      <w:sz w:val="24"/>
      <w:szCs w:val="24"/>
    </w:rPr>
  </w:style>
  <w:style w:type="paragraph" w:styleId="BodyTextIndent">
    <w:name w:val="Body Text Indent"/>
    <w:basedOn w:val="Normal"/>
    <w:link w:val="BodyTextIndentChar"/>
    <w:uiPriority w:val="99"/>
    <w:rsid w:val="002C128A"/>
    <w:pPr>
      <w:spacing w:after="120"/>
      <w:ind w:left="360"/>
    </w:pPr>
  </w:style>
  <w:style w:type="character" w:customStyle="1" w:styleId="BodyTextIndentChar">
    <w:name w:val="Body Text Indent Char"/>
    <w:basedOn w:val="DefaultParagraphFont"/>
    <w:link w:val="BodyTextIndent"/>
    <w:uiPriority w:val="99"/>
    <w:rsid w:val="002C128A"/>
    <w:rPr>
      <w:sz w:val="24"/>
      <w:szCs w:val="24"/>
    </w:rPr>
  </w:style>
  <w:style w:type="paragraph" w:styleId="BodyTextFirstIndent2">
    <w:name w:val="Body Text First Indent 2"/>
    <w:basedOn w:val="BodyTextIndent"/>
    <w:link w:val="BodyTextFirstIndent2Char"/>
    <w:uiPriority w:val="99"/>
    <w:rsid w:val="002C128A"/>
    <w:pPr>
      <w:ind w:firstLine="210"/>
    </w:pPr>
  </w:style>
  <w:style w:type="character" w:customStyle="1" w:styleId="BodyTextFirstIndent2Char">
    <w:name w:val="Body Text First Indent 2 Char"/>
    <w:basedOn w:val="BodyTextIndentChar"/>
    <w:link w:val="BodyTextFirstIndent2"/>
    <w:uiPriority w:val="99"/>
    <w:rsid w:val="002C128A"/>
    <w:rPr>
      <w:sz w:val="24"/>
      <w:szCs w:val="24"/>
    </w:rPr>
  </w:style>
  <w:style w:type="paragraph" w:styleId="BodyTextIndent2">
    <w:name w:val="Body Text Indent 2"/>
    <w:basedOn w:val="Normal"/>
    <w:link w:val="BodyTextIndent2Char"/>
    <w:uiPriority w:val="99"/>
    <w:rsid w:val="002C128A"/>
    <w:pPr>
      <w:spacing w:after="120" w:line="480" w:lineRule="auto"/>
      <w:ind w:left="360"/>
    </w:pPr>
  </w:style>
  <w:style w:type="character" w:customStyle="1" w:styleId="BodyTextIndent2Char">
    <w:name w:val="Body Text Indent 2 Char"/>
    <w:basedOn w:val="DefaultParagraphFont"/>
    <w:link w:val="BodyTextIndent2"/>
    <w:uiPriority w:val="99"/>
    <w:rsid w:val="002C128A"/>
    <w:rPr>
      <w:sz w:val="24"/>
      <w:szCs w:val="24"/>
    </w:rPr>
  </w:style>
  <w:style w:type="paragraph" w:styleId="BodyTextIndent3">
    <w:name w:val="Body Text Indent 3"/>
    <w:basedOn w:val="Normal"/>
    <w:link w:val="BodyTextIndent3Char"/>
    <w:uiPriority w:val="99"/>
    <w:rsid w:val="002C128A"/>
    <w:pPr>
      <w:spacing w:after="120"/>
      <w:ind w:left="360"/>
    </w:pPr>
    <w:rPr>
      <w:sz w:val="16"/>
      <w:szCs w:val="16"/>
    </w:rPr>
  </w:style>
  <w:style w:type="character" w:customStyle="1" w:styleId="BodyTextIndent3Char">
    <w:name w:val="Body Text Indent 3 Char"/>
    <w:basedOn w:val="DefaultParagraphFont"/>
    <w:link w:val="BodyTextIndent3"/>
    <w:uiPriority w:val="99"/>
    <w:rsid w:val="002C128A"/>
    <w:rPr>
      <w:sz w:val="16"/>
      <w:szCs w:val="16"/>
    </w:rPr>
  </w:style>
  <w:style w:type="paragraph" w:styleId="Caption">
    <w:name w:val="caption"/>
    <w:basedOn w:val="Normal"/>
    <w:next w:val="Normal"/>
    <w:uiPriority w:val="35"/>
    <w:qFormat/>
    <w:rsid w:val="002C128A"/>
    <w:pPr>
      <w:spacing w:before="120" w:after="120"/>
    </w:pPr>
    <w:rPr>
      <w:b/>
      <w:bCs/>
      <w:sz w:val="20"/>
      <w:szCs w:val="20"/>
    </w:rPr>
  </w:style>
  <w:style w:type="paragraph" w:styleId="Closing">
    <w:name w:val="Closing"/>
    <w:basedOn w:val="Normal"/>
    <w:link w:val="ClosingChar"/>
    <w:uiPriority w:val="99"/>
    <w:rsid w:val="002C128A"/>
    <w:pPr>
      <w:ind w:left="4320"/>
    </w:pPr>
  </w:style>
  <w:style w:type="character" w:customStyle="1" w:styleId="ClosingChar">
    <w:name w:val="Closing Char"/>
    <w:basedOn w:val="DefaultParagraphFont"/>
    <w:link w:val="Closing"/>
    <w:uiPriority w:val="99"/>
    <w:rsid w:val="002C128A"/>
    <w:rPr>
      <w:sz w:val="24"/>
      <w:szCs w:val="24"/>
    </w:rPr>
  </w:style>
  <w:style w:type="paragraph" w:styleId="CommentText">
    <w:name w:val="annotation text"/>
    <w:basedOn w:val="Normal"/>
    <w:link w:val="CommentTextChar"/>
    <w:uiPriority w:val="99"/>
    <w:rsid w:val="002C128A"/>
    <w:rPr>
      <w:sz w:val="20"/>
      <w:szCs w:val="20"/>
    </w:rPr>
  </w:style>
  <w:style w:type="character" w:customStyle="1" w:styleId="CommentTextChar">
    <w:name w:val="Comment Text Char"/>
    <w:basedOn w:val="DefaultParagraphFont"/>
    <w:link w:val="CommentText"/>
    <w:uiPriority w:val="99"/>
    <w:rsid w:val="002C128A"/>
  </w:style>
  <w:style w:type="paragraph" w:styleId="CommentSubject">
    <w:name w:val="annotation subject"/>
    <w:basedOn w:val="CommentText"/>
    <w:next w:val="CommentText"/>
    <w:link w:val="CommentSubjectChar"/>
    <w:uiPriority w:val="99"/>
    <w:rsid w:val="002C128A"/>
    <w:rPr>
      <w:b/>
      <w:bCs/>
    </w:rPr>
  </w:style>
  <w:style w:type="character" w:customStyle="1" w:styleId="CommentSubjectChar">
    <w:name w:val="Comment Subject Char"/>
    <w:basedOn w:val="CommentTextChar"/>
    <w:link w:val="CommentSubject"/>
    <w:uiPriority w:val="99"/>
    <w:rsid w:val="002C128A"/>
    <w:rPr>
      <w:b/>
      <w:bCs/>
    </w:rPr>
  </w:style>
  <w:style w:type="paragraph" w:styleId="Date">
    <w:name w:val="Date"/>
    <w:basedOn w:val="Normal"/>
    <w:next w:val="Normal"/>
    <w:link w:val="DateChar"/>
    <w:uiPriority w:val="99"/>
    <w:rsid w:val="002C128A"/>
  </w:style>
  <w:style w:type="character" w:customStyle="1" w:styleId="DateChar">
    <w:name w:val="Date Char"/>
    <w:basedOn w:val="DefaultParagraphFont"/>
    <w:link w:val="Date"/>
    <w:uiPriority w:val="99"/>
    <w:rsid w:val="002C128A"/>
    <w:rPr>
      <w:sz w:val="24"/>
      <w:szCs w:val="24"/>
    </w:rPr>
  </w:style>
  <w:style w:type="paragraph" w:styleId="E-mailSignature">
    <w:name w:val="E-mail Signature"/>
    <w:basedOn w:val="Normal"/>
    <w:link w:val="E-mailSignatureChar"/>
    <w:uiPriority w:val="99"/>
    <w:rsid w:val="002C128A"/>
  </w:style>
  <w:style w:type="character" w:customStyle="1" w:styleId="E-mailSignatureChar">
    <w:name w:val="E-mail Signature Char"/>
    <w:basedOn w:val="DefaultParagraphFont"/>
    <w:link w:val="E-mailSignature"/>
    <w:uiPriority w:val="99"/>
    <w:rsid w:val="002C128A"/>
    <w:rPr>
      <w:sz w:val="24"/>
      <w:szCs w:val="24"/>
    </w:rPr>
  </w:style>
  <w:style w:type="paragraph" w:styleId="EndnoteText">
    <w:name w:val="endnote text"/>
    <w:basedOn w:val="Normal"/>
    <w:link w:val="EndnoteTextChar"/>
    <w:uiPriority w:val="99"/>
    <w:rsid w:val="002C128A"/>
    <w:rPr>
      <w:sz w:val="20"/>
      <w:szCs w:val="20"/>
    </w:rPr>
  </w:style>
  <w:style w:type="character" w:customStyle="1" w:styleId="EndnoteTextChar">
    <w:name w:val="Endnote Text Char"/>
    <w:basedOn w:val="DefaultParagraphFont"/>
    <w:link w:val="EndnoteText"/>
    <w:uiPriority w:val="99"/>
    <w:rsid w:val="002C128A"/>
  </w:style>
  <w:style w:type="paragraph" w:styleId="EnvelopeAddress">
    <w:name w:val="envelope address"/>
    <w:basedOn w:val="Normal"/>
    <w:uiPriority w:val="99"/>
    <w:rsid w:val="002C128A"/>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2C128A"/>
    <w:rPr>
      <w:rFonts w:ascii="Arial" w:hAnsi="Arial" w:cs="Arial"/>
      <w:sz w:val="20"/>
      <w:szCs w:val="20"/>
    </w:rPr>
  </w:style>
  <w:style w:type="paragraph" w:styleId="HTMLAddress">
    <w:name w:val="HTML Address"/>
    <w:basedOn w:val="Normal"/>
    <w:link w:val="HTMLAddressChar"/>
    <w:uiPriority w:val="99"/>
    <w:rsid w:val="002C128A"/>
    <w:rPr>
      <w:i/>
      <w:iCs/>
    </w:rPr>
  </w:style>
  <w:style w:type="character" w:customStyle="1" w:styleId="HTMLAddressChar">
    <w:name w:val="HTML Address Char"/>
    <w:basedOn w:val="DefaultParagraphFont"/>
    <w:link w:val="HTMLAddress"/>
    <w:uiPriority w:val="99"/>
    <w:rsid w:val="002C128A"/>
    <w:rPr>
      <w:i/>
      <w:iCs/>
      <w:sz w:val="24"/>
      <w:szCs w:val="24"/>
    </w:rPr>
  </w:style>
  <w:style w:type="paragraph" w:styleId="HTMLPreformatted">
    <w:name w:val="HTML Preformatted"/>
    <w:basedOn w:val="Normal"/>
    <w:link w:val="HTMLPreformattedChar"/>
    <w:uiPriority w:val="99"/>
    <w:rsid w:val="002C128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C128A"/>
    <w:rPr>
      <w:rFonts w:ascii="Courier New" w:hAnsi="Courier New" w:cs="Courier New"/>
    </w:rPr>
  </w:style>
  <w:style w:type="paragraph" w:styleId="Index1">
    <w:name w:val="index 1"/>
    <w:basedOn w:val="Normal"/>
    <w:next w:val="Normal"/>
    <w:autoRedefine/>
    <w:uiPriority w:val="99"/>
    <w:rsid w:val="002C128A"/>
    <w:pPr>
      <w:ind w:left="240" w:hanging="240"/>
    </w:pPr>
  </w:style>
  <w:style w:type="paragraph" w:styleId="Index2">
    <w:name w:val="index 2"/>
    <w:basedOn w:val="Normal"/>
    <w:next w:val="Normal"/>
    <w:autoRedefine/>
    <w:uiPriority w:val="99"/>
    <w:rsid w:val="002C128A"/>
    <w:pPr>
      <w:ind w:left="480" w:hanging="240"/>
    </w:pPr>
  </w:style>
  <w:style w:type="paragraph" w:styleId="Index3">
    <w:name w:val="index 3"/>
    <w:basedOn w:val="Normal"/>
    <w:next w:val="Normal"/>
    <w:autoRedefine/>
    <w:uiPriority w:val="99"/>
    <w:rsid w:val="002C128A"/>
    <w:pPr>
      <w:ind w:left="720" w:hanging="240"/>
    </w:pPr>
  </w:style>
  <w:style w:type="paragraph" w:styleId="Index4">
    <w:name w:val="index 4"/>
    <w:basedOn w:val="Normal"/>
    <w:next w:val="Normal"/>
    <w:autoRedefine/>
    <w:uiPriority w:val="99"/>
    <w:rsid w:val="002C128A"/>
    <w:pPr>
      <w:ind w:left="960" w:hanging="240"/>
    </w:pPr>
  </w:style>
  <w:style w:type="paragraph" w:styleId="Index5">
    <w:name w:val="index 5"/>
    <w:basedOn w:val="Normal"/>
    <w:next w:val="Normal"/>
    <w:autoRedefine/>
    <w:uiPriority w:val="99"/>
    <w:rsid w:val="002C128A"/>
    <w:pPr>
      <w:ind w:left="1200" w:hanging="240"/>
    </w:pPr>
  </w:style>
  <w:style w:type="paragraph" w:styleId="Index6">
    <w:name w:val="index 6"/>
    <w:basedOn w:val="Normal"/>
    <w:next w:val="Normal"/>
    <w:autoRedefine/>
    <w:uiPriority w:val="99"/>
    <w:rsid w:val="002C128A"/>
    <w:pPr>
      <w:ind w:left="1440" w:hanging="240"/>
    </w:pPr>
  </w:style>
  <w:style w:type="paragraph" w:styleId="Index7">
    <w:name w:val="index 7"/>
    <w:basedOn w:val="Normal"/>
    <w:next w:val="Normal"/>
    <w:autoRedefine/>
    <w:uiPriority w:val="99"/>
    <w:rsid w:val="002C128A"/>
    <w:pPr>
      <w:ind w:left="1680" w:hanging="240"/>
    </w:pPr>
  </w:style>
  <w:style w:type="paragraph" w:styleId="Index8">
    <w:name w:val="index 8"/>
    <w:basedOn w:val="Normal"/>
    <w:next w:val="Normal"/>
    <w:autoRedefine/>
    <w:uiPriority w:val="99"/>
    <w:rsid w:val="002C128A"/>
    <w:pPr>
      <w:ind w:left="1920" w:hanging="240"/>
    </w:pPr>
  </w:style>
  <w:style w:type="paragraph" w:styleId="Index9">
    <w:name w:val="index 9"/>
    <w:basedOn w:val="Normal"/>
    <w:next w:val="Normal"/>
    <w:autoRedefine/>
    <w:uiPriority w:val="99"/>
    <w:rsid w:val="002C128A"/>
    <w:pPr>
      <w:ind w:left="2160" w:hanging="240"/>
    </w:pPr>
  </w:style>
  <w:style w:type="paragraph" w:styleId="IndexHeading">
    <w:name w:val="index heading"/>
    <w:basedOn w:val="Normal"/>
    <w:next w:val="Index1"/>
    <w:uiPriority w:val="99"/>
    <w:rsid w:val="002C128A"/>
    <w:rPr>
      <w:rFonts w:ascii="Arial" w:hAnsi="Arial" w:cs="Arial"/>
      <w:b/>
      <w:bCs/>
    </w:rPr>
  </w:style>
  <w:style w:type="paragraph" w:styleId="List">
    <w:name w:val="List"/>
    <w:basedOn w:val="Normal"/>
    <w:uiPriority w:val="99"/>
    <w:rsid w:val="002C128A"/>
    <w:pPr>
      <w:ind w:left="360" w:hanging="360"/>
    </w:pPr>
  </w:style>
  <w:style w:type="paragraph" w:styleId="List2">
    <w:name w:val="List 2"/>
    <w:basedOn w:val="Normal"/>
    <w:uiPriority w:val="99"/>
    <w:rsid w:val="002C128A"/>
    <w:pPr>
      <w:ind w:left="720" w:hanging="360"/>
    </w:pPr>
  </w:style>
  <w:style w:type="paragraph" w:styleId="List3">
    <w:name w:val="List 3"/>
    <w:basedOn w:val="Normal"/>
    <w:uiPriority w:val="99"/>
    <w:rsid w:val="002C128A"/>
    <w:pPr>
      <w:ind w:left="1080" w:hanging="360"/>
    </w:pPr>
  </w:style>
  <w:style w:type="paragraph" w:styleId="List4">
    <w:name w:val="List 4"/>
    <w:basedOn w:val="Normal"/>
    <w:uiPriority w:val="99"/>
    <w:rsid w:val="002C128A"/>
    <w:pPr>
      <w:ind w:left="1440" w:hanging="360"/>
    </w:pPr>
  </w:style>
  <w:style w:type="paragraph" w:styleId="List5">
    <w:name w:val="List 5"/>
    <w:basedOn w:val="Normal"/>
    <w:uiPriority w:val="99"/>
    <w:rsid w:val="002C128A"/>
    <w:pPr>
      <w:ind w:left="1800" w:hanging="360"/>
    </w:pPr>
  </w:style>
  <w:style w:type="paragraph" w:styleId="ListBullet">
    <w:name w:val="List Bullet"/>
    <w:basedOn w:val="Normal"/>
    <w:autoRedefine/>
    <w:uiPriority w:val="99"/>
    <w:rsid w:val="002C128A"/>
    <w:pPr>
      <w:tabs>
        <w:tab w:val="num" w:pos="360"/>
      </w:tabs>
      <w:ind w:left="360" w:hanging="360"/>
    </w:pPr>
  </w:style>
  <w:style w:type="paragraph" w:styleId="ListBullet2">
    <w:name w:val="List Bullet 2"/>
    <w:basedOn w:val="Normal"/>
    <w:autoRedefine/>
    <w:uiPriority w:val="99"/>
    <w:rsid w:val="002C128A"/>
    <w:pPr>
      <w:tabs>
        <w:tab w:val="num" w:pos="720"/>
      </w:tabs>
      <w:ind w:left="720" w:hanging="360"/>
    </w:pPr>
  </w:style>
  <w:style w:type="paragraph" w:styleId="ListBullet3">
    <w:name w:val="List Bullet 3"/>
    <w:basedOn w:val="Normal"/>
    <w:autoRedefine/>
    <w:uiPriority w:val="99"/>
    <w:rsid w:val="002C128A"/>
    <w:pPr>
      <w:tabs>
        <w:tab w:val="num" w:pos="1080"/>
      </w:tabs>
      <w:ind w:left="1080" w:hanging="360"/>
    </w:pPr>
  </w:style>
  <w:style w:type="paragraph" w:styleId="ListBullet4">
    <w:name w:val="List Bullet 4"/>
    <w:basedOn w:val="Normal"/>
    <w:autoRedefine/>
    <w:uiPriority w:val="99"/>
    <w:rsid w:val="002C128A"/>
    <w:pPr>
      <w:tabs>
        <w:tab w:val="num" w:pos="1440"/>
      </w:tabs>
      <w:ind w:left="1440" w:hanging="360"/>
    </w:pPr>
  </w:style>
  <w:style w:type="paragraph" w:styleId="ListBullet5">
    <w:name w:val="List Bullet 5"/>
    <w:basedOn w:val="Normal"/>
    <w:autoRedefine/>
    <w:uiPriority w:val="99"/>
    <w:rsid w:val="002C128A"/>
    <w:pPr>
      <w:tabs>
        <w:tab w:val="num" w:pos="1800"/>
      </w:tabs>
      <w:ind w:left="1800" w:hanging="360"/>
    </w:pPr>
  </w:style>
  <w:style w:type="paragraph" w:styleId="ListContinue">
    <w:name w:val="List Continue"/>
    <w:basedOn w:val="Normal"/>
    <w:uiPriority w:val="99"/>
    <w:rsid w:val="002C128A"/>
    <w:pPr>
      <w:spacing w:after="120"/>
      <w:ind w:left="360"/>
    </w:pPr>
  </w:style>
  <w:style w:type="paragraph" w:styleId="ListContinue2">
    <w:name w:val="List Continue 2"/>
    <w:basedOn w:val="Normal"/>
    <w:uiPriority w:val="99"/>
    <w:rsid w:val="002C128A"/>
    <w:pPr>
      <w:spacing w:after="120"/>
      <w:ind w:left="720"/>
    </w:pPr>
  </w:style>
  <w:style w:type="paragraph" w:styleId="ListContinue3">
    <w:name w:val="List Continue 3"/>
    <w:basedOn w:val="Normal"/>
    <w:uiPriority w:val="99"/>
    <w:rsid w:val="002C128A"/>
    <w:pPr>
      <w:spacing w:after="120"/>
      <w:ind w:left="1080"/>
    </w:pPr>
  </w:style>
  <w:style w:type="paragraph" w:styleId="ListContinue4">
    <w:name w:val="List Continue 4"/>
    <w:basedOn w:val="Normal"/>
    <w:uiPriority w:val="99"/>
    <w:rsid w:val="002C128A"/>
    <w:pPr>
      <w:spacing w:after="120"/>
      <w:ind w:left="1440"/>
    </w:pPr>
  </w:style>
  <w:style w:type="paragraph" w:styleId="ListContinue5">
    <w:name w:val="List Continue 5"/>
    <w:basedOn w:val="Normal"/>
    <w:uiPriority w:val="99"/>
    <w:rsid w:val="002C128A"/>
    <w:pPr>
      <w:spacing w:after="120"/>
      <w:ind w:left="1800"/>
    </w:pPr>
  </w:style>
  <w:style w:type="paragraph" w:styleId="ListNumber">
    <w:name w:val="List Number"/>
    <w:basedOn w:val="Normal"/>
    <w:uiPriority w:val="99"/>
    <w:rsid w:val="002C128A"/>
    <w:pPr>
      <w:tabs>
        <w:tab w:val="num" w:pos="360"/>
      </w:tabs>
      <w:ind w:left="360" w:hanging="360"/>
    </w:pPr>
  </w:style>
  <w:style w:type="paragraph" w:styleId="ListNumber2">
    <w:name w:val="List Number 2"/>
    <w:basedOn w:val="Normal"/>
    <w:uiPriority w:val="99"/>
    <w:rsid w:val="002C128A"/>
    <w:pPr>
      <w:tabs>
        <w:tab w:val="num" w:pos="720"/>
      </w:tabs>
      <w:ind w:left="720" w:hanging="360"/>
    </w:pPr>
  </w:style>
  <w:style w:type="paragraph" w:styleId="ListNumber3">
    <w:name w:val="List Number 3"/>
    <w:basedOn w:val="Normal"/>
    <w:uiPriority w:val="99"/>
    <w:rsid w:val="002C128A"/>
    <w:pPr>
      <w:tabs>
        <w:tab w:val="num" w:pos="1080"/>
      </w:tabs>
      <w:ind w:left="1080" w:hanging="360"/>
    </w:pPr>
  </w:style>
  <w:style w:type="paragraph" w:styleId="ListNumber4">
    <w:name w:val="List Number 4"/>
    <w:basedOn w:val="Normal"/>
    <w:uiPriority w:val="99"/>
    <w:rsid w:val="002C128A"/>
    <w:pPr>
      <w:tabs>
        <w:tab w:val="num" w:pos="1440"/>
      </w:tabs>
      <w:ind w:left="1440" w:hanging="360"/>
    </w:pPr>
  </w:style>
  <w:style w:type="paragraph" w:styleId="ListNumber5">
    <w:name w:val="List Number 5"/>
    <w:basedOn w:val="Normal"/>
    <w:uiPriority w:val="99"/>
    <w:rsid w:val="002C128A"/>
    <w:pPr>
      <w:tabs>
        <w:tab w:val="num" w:pos="1800"/>
      </w:tabs>
      <w:ind w:left="1800" w:hanging="360"/>
    </w:pPr>
  </w:style>
  <w:style w:type="paragraph" w:styleId="MacroText">
    <w:name w:val="macro"/>
    <w:link w:val="MacroTextChar"/>
    <w:uiPriority w:val="99"/>
    <w:rsid w:val="002C12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rsid w:val="002C128A"/>
    <w:rPr>
      <w:rFonts w:ascii="Courier New" w:hAnsi="Courier New" w:cs="Courier New"/>
    </w:rPr>
  </w:style>
  <w:style w:type="paragraph" w:styleId="MessageHeader">
    <w:name w:val="Message Header"/>
    <w:basedOn w:val="Normal"/>
    <w:link w:val="MessageHeaderChar"/>
    <w:uiPriority w:val="99"/>
    <w:rsid w:val="002C128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2C128A"/>
    <w:rPr>
      <w:rFonts w:ascii="Arial" w:hAnsi="Arial" w:cs="Arial"/>
      <w:sz w:val="24"/>
      <w:szCs w:val="24"/>
      <w:shd w:val="pct20" w:color="auto" w:fill="auto"/>
    </w:rPr>
  </w:style>
  <w:style w:type="paragraph" w:styleId="NormalWeb">
    <w:name w:val="Normal (Web)"/>
    <w:basedOn w:val="Normal"/>
    <w:uiPriority w:val="99"/>
    <w:rsid w:val="002C128A"/>
  </w:style>
  <w:style w:type="paragraph" w:styleId="NormalIndent">
    <w:name w:val="Normal Indent"/>
    <w:basedOn w:val="Normal"/>
    <w:uiPriority w:val="99"/>
    <w:rsid w:val="002C128A"/>
    <w:pPr>
      <w:ind w:left="720"/>
    </w:pPr>
  </w:style>
  <w:style w:type="paragraph" w:styleId="NoteHeading">
    <w:name w:val="Note Heading"/>
    <w:basedOn w:val="Normal"/>
    <w:next w:val="Normal"/>
    <w:link w:val="NoteHeadingChar"/>
    <w:uiPriority w:val="99"/>
    <w:rsid w:val="002C128A"/>
  </w:style>
  <w:style w:type="character" w:customStyle="1" w:styleId="NoteHeadingChar">
    <w:name w:val="Note Heading Char"/>
    <w:basedOn w:val="DefaultParagraphFont"/>
    <w:link w:val="NoteHeading"/>
    <w:uiPriority w:val="99"/>
    <w:rsid w:val="002C128A"/>
    <w:rPr>
      <w:sz w:val="24"/>
      <w:szCs w:val="24"/>
    </w:rPr>
  </w:style>
  <w:style w:type="paragraph" w:styleId="PlainText">
    <w:name w:val="Plain Text"/>
    <w:basedOn w:val="Normal"/>
    <w:link w:val="PlainTextChar"/>
    <w:uiPriority w:val="99"/>
    <w:rsid w:val="002C128A"/>
    <w:rPr>
      <w:rFonts w:ascii="Courier New" w:hAnsi="Courier New" w:cs="Courier New"/>
      <w:sz w:val="20"/>
      <w:szCs w:val="20"/>
    </w:rPr>
  </w:style>
  <w:style w:type="character" w:customStyle="1" w:styleId="PlainTextChar">
    <w:name w:val="Plain Text Char"/>
    <w:basedOn w:val="DefaultParagraphFont"/>
    <w:link w:val="PlainText"/>
    <w:uiPriority w:val="99"/>
    <w:rsid w:val="002C128A"/>
    <w:rPr>
      <w:rFonts w:ascii="Courier New" w:hAnsi="Courier New" w:cs="Courier New"/>
    </w:rPr>
  </w:style>
  <w:style w:type="paragraph" w:styleId="Salutation">
    <w:name w:val="Salutation"/>
    <w:basedOn w:val="Normal"/>
    <w:next w:val="Normal"/>
    <w:link w:val="SalutationChar"/>
    <w:uiPriority w:val="99"/>
    <w:rsid w:val="002C128A"/>
  </w:style>
  <w:style w:type="character" w:customStyle="1" w:styleId="SalutationChar">
    <w:name w:val="Salutation Char"/>
    <w:basedOn w:val="DefaultParagraphFont"/>
    <w:link w:val="Salutation"/>
    <w:uiPriority w:val="99"/>
    <w:rsid w:val="002C128A"/>
    <w:rPr>
      <w:sz w:val="24"/>
      <w:szCs w:val="24"/>
    </w:rPr>
  </w:style>
  <w:style w:type="paragraph" w:styleId="Signature">
    <w:name w:val="Signature"/>
    <w:basedOn w:val="Normal"/>
    <w:link w:val="SignatureChar"/>
    <w:uiPriority w:val="99"/>
    <w:rsid w:val="002C128A"/>
    <w:pPr>
      <w:ind w:left="4320"/>
    </w:pPr>
  </w:style>
  <w:style w:type="character" w:customStyle="1" w:styleId="SignatureChar">
    <w:name w:val="Signature Char"/>
    <w:basedOn w:val="DefaultParagraphFont"/>
    <w:link w:val="Signature"/>
    <w:uiPriority w:val="99"/>
    <w:rsid w:val="002C128A"/>
    <w:rPr>
      <w:sz w:val="24"/>
      <w:szCs w:val="24"/>
    </w:rPr>
  </w:style>
  <w:style w:type="paragraph" w:styleId="Subtitle">
    <w:name w:val="Subtitle"/>
    <w:basedOn w:val="Normal"/>
    <w:link w:val="SubtitleChar"/>
    <w:uiPriority w:val="11"/>
    <w:qFormat/>
    <w:rsid w:val="002C128A"/>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2C128A"/>
    <w:rPr>
      <w:rFonts w:ascii="Arial" w:hAnsi="Arial" w:cs="Arial"/>
      <w:sz w:val="24"/>
      <w:szCs w:val="24"/>
    </w:rPr>
  </w:style>
  <w:style w:type="paragraph" w:styleId="TableofAuthorities">
    <w:name w:val="table of authorities"/>
    <w:basedOn w:val="Normal"/>
    <w:next w:val="Normal"/>
    <w:uiPriority w:val="99"/>
    <w:rsid w:val="002C128A"/>
    <w:pPr>
      <w:ind w:left="240" w:hanging="240"/>
    </w:pPr>
  </w:style>
  <w:style w:type="paragraph" w:styleId="TableofFigures">
    <w:name w:val="table of figures"/>
    <w:basedOn w:val="Normal"/>
    <w:next w:val="Normal"/>
    <w:uiPriority w:val="99"/>
    <w:rsid w:val="002C128A"/>
    <w:pPr>
      <w:ind w:left="480" w:hanging="480"/>
    </w:pPr>
  </w:style>
  <w:style w:type="paragraph" w:styleId="Title">
    <w:name w:val="Title"/>
    <w:basedOn w:val="Normal"/>
    <w:link w:val="TitleChar"/>
    <w:uiPriority w:val="10"/>
    <w:qFormat/>
    <w:rsid w:val="002C128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2C128A"/>
    <w:rPr>
      <w:rFonts w:ascii="Arial" w:hAnsi="Arial" w:cs="Arial"/>
      <w:b/>
      <w:bCs/>
      <w:kern w:val="28"/>
      <w:sz w:val="32"/>
      <w:szCs w:val="32"/>
    </w:rPr>
  </w:style>
  <w:style w:type="paragraph" w:styleId="TOAHeading">
    <w:name w:val="toa heading"/>
    <w:basedOn w:val="Normal"/>
    <w:next w:val="Normal"/>
    <w:uiPriority w:val="99"/>
    <w:rsid w:val="002C128A"/>
    <w:pPr>
      <w:spacing w:before="120"/>
    </w:pPr>
    <w:rPr>
      <w:rFonts w:ascii="Arial" w:hAnsi="Arial" w:cs="Arial"/>
      <w:b/>
      <w:bCs/>
    </w:rPr>
  </w:style>
  <w:style w:type="paragraph" w:styleId="TOC4">
    <w:name w:val="toc 4"/>
    <w:basedOn w:val="Normal"/>
    <w:next w:val="Normal"/>
    <w:autoRedefine/>
    <w:uiPriority w:val="99"/>
    <w:rsid w:val="002C128A"/>
    <w:pPr>
      <w:ind w:left="720"/>
    </w:pPr>
  </w:style>
  <w:style w:type="paragraph" w:styleId="TOC5">
    <w:name w:val="toc 5"/>
    <w:basedOn w:val="Normal"/>
    <w:next w:val="Normal"/>
    <w:autoRedefine/>
    <w:uiPriority w:val="99"/>
    <w:rsid w:val="002C128A"/>
    <w:pPr>
      <w:ind w:left="960"/>
    </w:pPr>
  </w:style>
  <w:style w:type="paragraph" w:styleId="TOC6">
    <w:name w:val="toc 6"/>
    <w:basedOn w:val="Normal"/>
    <w:next w:val="Normal"/>
    <w:autoRedefine/>
    <w:uiPriority w:val="99"/>
    <w:rsid w:val="002C128A"/>
    <w:pPr>
      <w:ind w:left="1200"/>
    </w:pPr>
  </w:style>
  <w:style w:type="paragraph" w:styleId="TOC9">
    <w:name w:val="toc 9"/>
    <w:basedOn w:val="TOC1"/>
    <w:next w:val="Normal"/>
    <w:autoRedefine/>
    <w:uiPriority w:val="99"/>
    <w:rsid w:val="002C128A"/>
    <w:pPr>
      <w:ind w:left="1728"/>
    </w:pPr>
    <w:rPr>
      <w:u w:val="single"/>
    </w:rPr>
  </w:style>
  <w:style w:type="paragraph" w:customStyle="1" w:styleId="MemoHeadingLabel">
    <w:name w:val="Memo Heading Label"/>
    <w:basedOn w:val="MemoHeading"/>
    <w:qFormat/>
    <w:rsid w:val="002C128A"/>
    <w:rPr>
      <w:rFonts w:ascii="Arial" w:hAnsi="Arial"/>
      <w:b/>
    </w:rPr>
  </w:style>
  <w:style w:type="paragraph" w:customStyle="1" w:styleId="First-LevelSubheading">
    <w:name w:val="First-Level Subheading"/>
    <w:basedOn w:val="IssueSubsectionHeading"/>
    <w:next w:val="BodyText"/>
    <w:qFormat/>
    <w:rsid w:val="002C128A"/>
    <w:pPr>
      <w:spacing w:after="0"/>
      <w:outlineLvl w:val="2"/>
    </w:pPr>
    <w:rPr>
      <w:i w:val="0"/>
    </w:rPr>
  </w:style>
  <w:style w:type="paragraph" w:customStyle="1" w:styleId="Second-LevelSubheading">
    <w:name w:val="Second-Level Subheading"/>
    <w:basedOn w:val="First-LevelSubheading"/>
    <w:next w:val="BodyText"/>
    <w:qFormat/>
    <w:rsid w:val="002C128A"/>
    <w:pPr>
      <w:outlineLvl w:val="3"/>
    </w:pPr>
    <w:rPr>
      <w:i/>
    </w:rPr>
  </w:style>
  <w:style w:type="paragraph" w:customStyle="1" w:styleId="TableNumber">
    <w:name w:val="Table Number"/>
    <w:basedOn w:val="BodyText"/>
    <w:next w:val="BodyText"/>
    <w:qFormat/>
    <w:rsid w:val="002C128A"/>
    <w:pPr>
      <w:spacing w:before="480" w:after="0"/>
      <w:jc w:val="center"/>
    </w:pPr>
    <w:rPr>
      <w:rFonts w:ascii="Arial" w:hAnsi="Arial"/>
      <w:b/>
    </w:rPr>
  </w:style>
  <w:style w:type="paragraph" w:customStyle="1" w:styleId="TableTitle">
    <w:name w:val="Table Title"/>
    <w:basedOn w:val="BodyText"/>
    <w:next w:val="BodyText"/>
    <w:qFormat/>
    <w:rsid w:val="002C128A"/>
    <w:pPr>
      <w:spacing w:after="0"/>
      <w:jc w:val="center"/>
    </w:pPr>
    <w:rPr>
      <w:rFonts w:ascii="Arial" w:hAnsi="Arial"/>
      <w:b/>
    </w:rPr>
  </w:style>
  <w:style w:type="paragraph" w:customStyle="1" w:styleId="TableSource">
    <w:name w:val="Table Source"/>
    <w:basedOn w:val="BodyText"/>
    <w:next w:val="BodyText"/>
    <w:qFormat/>
    <w:rsid w:val="002C128A"/>
    <w:pPr>
      <w:spacing w:after="480"/>
      <w:jc w:val="both"/>
    </w:pPr>
  </w:style>
  <w:style w:type="paragraph" w:customStyle="1" w:styleId="PartyName">
    <w:name w:val="Party Name"/>
    <w:basedOn w:val="IssueSubsectionHeading"/>
    <w:next w:val="BodyText"/>
    <w:qFormat/>
    <w:rsid w:val="002C128A"/>
    <w:rPr>
      <w:i w:val="0"/>
    </w:rPr>
  </w:style>
  <w:style w:type="paragraph" w:customStyle="1" w:styleId="Third-LevelSubheading">
    <w:name w:val="Third-Level Subheading"/>
    <w:basedOn w:val="Second-LevelSubheading"/>
    <w:next w:val="BodyText"/>
    <w:qFormat/>
    <w:rsid w:val="002C128A"/>
    <w:pPr>
      <w:ind w:left="1440"/>
      <w:outlineLvl w:val="4"/>
    </w:pPr>
  </w:style>
  <w:style w:type="character" w:customStyle="1" w:styleId="FooterChar">
    <w:name w:val="Footer Char"/>
    <w:link w:val="Footer"/>
    <w:uiPriority w:val="99"/>
    <w:rsid w:val="002C128A"/>
    <w:rPr>
      <w:sz w:val="24"/>
      <w:szCs w:val="24"/>
    </w:rPr>
  </w:style>
  <w:style w:type="character" w:customStyle="1" w:styleId="FootnoteTextChar">
    <w:name w:val="Footnote Text Char"/>
    <w:link w:val="FootnoteText"/>
    <w:uiPriority w:val="99"/>
    <w:rsid w:val="002C128A"/>
  </w:style>
  <w:style w:type="numbering" w:styleId="111111">
    <w:name w:val="Outline List 2"/>
    <w:basedOn w:val="NoList"/>
    <w:rsid w:val="002C128A"/>
    <w:pPr>
      <w:numPr>
        <w:numId w:val="11"/>
      </w:numPr>
    </w:pPr>
  </w:style>
  <w:style w:type="paragraph" w:styleId="NoSpacing">
    <w:name w:val="No Spacing"/>
    <w:basedOn w:val="Normal"/>
    <w:uiPriority w:val="1"/>
    <w:qFormat/>
    <w:rsid w:val="002C128A"/>
    <w:rPr>
      <w:rFonts w:ascii="Calibri" w:eastAsia="Calibri" w:hAnsi="Calibri"/>
      <w:szCs w:val="32"/>
    </w:rPr>
  </w:style>
  <w:style w:type="paragraph" w:styleId="ListParagraph">
    <w:name w:val="List Paragraph"/>
    <w:basedOn w:val="Normal"/>
    <w:uiPriority w:val="34"/>
    <w:qFormat/>
    <w:rsid w:val="002C128A"/>
    <w:pPr>
      <w:ind w:left="720"/>
      <w:contextualSpacing/>
    </w:pPr>
    <w:rPr>
      <w:rFonts w:ascii="Calibri" w:eastAsia="Calibri" w:hAnsi="Calibri"/>
    </w:rPr>
  </w:style>
  <w:style w:type="character" w:styleId="Emphasis">
    <w:name w:val="Emphasis"/>
    <w:uiPriority w:val="20"/>
    <w:qFormat/>
    <w:rsid w:val="002C128A"/>
    <w:rPr>
      <w:i/>
      <w:iCs/>
    </w:rPr>
  </w:style>
  <w:style w:type="paragraph" w:customStyle="1" w:styleId="MotionBody">
    <w:name w:val="MotionBody"/>
    <w:basedOn w:val="Normal"/>
    <w:rsid w:val="007F2B0B"/>
    <w:pPr>
      <w:spacing w:line="480" w:lineRule="auto"/>
      <w:ind w:firstLine="720"/>
      <w:jc w:val="both"/>
    </w:pPr>
  </w:style>
  <w:style w:type="paragraph" w:customStyle="1" w:styleId="InterProdTitle">
    <w:name w:val="InterProdTitle"/>
    <w:basedOn w:val="Normal"/>
    <w:rsid w:val="007F2B0B"/>
    <w:pPr>
      <w:jc w:val="center"/>
    </w:pPr>
    <w:rPr>
      <w:caps/>
      <w:u w:val="single"/>
    </w:rPr>
  </w:style>
  <w:style w:type="numbering" w:styleId="1ai">
    <w:name w:val="Outline List 1"/>
    <w:basedOn w:val="NoList"/>
    <w:rsid w:val="007F2B0B"/>
    <w:pPr>
      <w:numPr>
        <w:numId w:val="20"/>
      </w:numPr>
    </w:pPr>
  </w:style>
  <w:style w:type="numbering" w:styleId="ArticleSection">
    <w:name w:val="Outline List 3"/>
    <w:basedOn w:val="NoList"/>
    <w:rsid w:val="007F2B0B"/>
    <w:pPr>
      <w:numPr>
        <w:numId w:val="21"/>
      </w:numPr>
    </w:pPr>
  </w:style>
  <w:style w:type="character" w:styleId="FollowedHyperlink">
    <w:name w:val="FollowedHyperlink"/>
    <w:uiPriority w:val="99"/>
    <w:unhideWhenUsed/>
    <w:rsid w:val="007F2B0B"/>
    <w:rPr>
      <w:color w:val="800080"/>
      <w:u w:val="single"/>
    </w:rPr>
  </w:style>
  <w:style w:type="character" w:styleId="HTMLAcronym">
    <w:name w:val="HTML Acronym"/>
    <w:uiPriority w:val="99"/>
    <w:unhideWhenUsed/>
    <w:rsid w:val="007F2B0B"/>
  </w:style>
  <w:style w:type="character" w:styleId="HTMLCite">
    <w:name w:val="HTML Cite"/>
    <w:uiPriority w:val="99"/>
    <w:unhideWhenUsed/>
    <w:rsid w:val="007F2B0B"/>
    <w:rPr>
      <w:i/>
      <w:iCs/>
    </w:rPr>
  </w:style>
  <w:style w:type="character" w:styleId="HTMLCode">
    <w:name w:val="HTML Code"/>
    <w:uiPriority w:val="99"/>
    <w:unhideWhenUsed/>
    <w:rsid w:val="007F2B0B"/>
    <w:rPr>
      <w:rFonts w:ascii="Courier New" w:hAnsi="Courier New" w:cs="Courier New"/>
      <w:sz w:val="20"/>
      <w:szCs w:val="20"/>
    </w:rPr>
  </w:style>
  <w:style w:type="character" w:styleId="HTMLDefinition">
    <w:name w:val="HTML Definition"/>
    <w:uiPriority w:val="99"/>
    <w:unhideWhenUsed/>
    <w:rsid w:val="007F2B0B"/>
    <w:rPr>
      <w:i/>
      <w:iCs/>
    </w:rPr>
  </w:style>
  <w:style w:type="character" w:styleId="HTMLKeyboard">
    <w:name w:val="HTML Keyboard"/>
    <w:uiPriority w:val="99"/>
    <w:unhideWhenUsed/>
    <w:rsid w:val="007F2B0B"/>
    <w:rPr>
      <w:rFonts w:ascii="Courier New" w:hAnsi="Courier New" w:cs="Courier New"/>
      <w:sz w:val="20"/>
      <w:szCs w:val="20"/>
    </w:rPr>
  </w:style>
  <w:style w:type="character" w:styleId="HTMLSample">
    <w:name w:val="HTML Sample"/>
    <w:uiPriority w:val="99"/>
    <w:unhideWhenUsed/>
    <w:rsid w:val="007F2B0B"/>
    <w:rPr>
      <w:rFonts w:ascii="Courier New" w:hAnsi="Courier New" w:cs="Courier New"/>
    </w:rPr>
  </w:style>
  <w:style w:type="character" w:styleId="HTMLTypewriter">
    <w:name w:val="HTML Typewriter"/>
    <w:uiPriority w:val="99"/>
    <w:unhideWhenUsed/>
    <w:rsid w:val="007F2B0B"/>
    <w:rPr>
      <w:rFonts w:ascii="Courier New" w:hAnsi="Courier New" w:cs="Courier New"/>
      <w:sz w:val="20"/>
      <w:szCs w:val="20"/>
    </w:rPr>
  </w:style>
  <w:style w:type="character" w:styleId="HTMLVariable">
    <w:name w:val="HTML Variable"/>
    <w:uiPriority w:val="99"/>
    <w:unhideWhenUsed/>
    <w:rsid w:val="007F2B0B"/>
    <w:rPr>
      <w:i/>
      <w:iCs/>
    </w:rPr>
  </w:style>
  <w:style w:type="character" w:styleId="LineNumber">
    <w:name w:val="line number"/>
    <w:uiPriority w:val="99"/>
    <w:unhideWhenUsed/>
    <w:rsid w:val="007F2B0B"/>
  </w:style>
  <w:style w:type="character" w:styleId="Strong">
    <w:name w:val="Strong"/>
    <w:uiPriority w:val="22"/>
    <w:qFormat/>
    <w:rsid w:val="007F2B0B"/>
    <w:rPr>
      <w:b/>
      <w:bCs/>
    </w:rPr>
  </w:style>
  <w:style w:type="table" w:styleId="Table3Deffects1">
    <w:name w:val="Table 3D effects 1"/>
    <w:basedOn w:val="TableNormal"/>
    <w:rsid w:val="007F2B0B"/>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F2B0B"/>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F2B0B"/>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F2B0B"/>
    <w:rPr>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F2B0B"/>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F2B0B"/>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F2B0B"/>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F2B0B"/>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F2B0B"/>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F2B0B"/>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F2B0B"/>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F2B0B"/>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2B0B"/>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F2B0B"/>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F2B0B"/>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F2B0B"/>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F2B0B"/>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F2B0B"/>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F2B0B"/>
    <w:rPr>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F2B0B"/>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F2B0B"/>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F2B0B"/>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F2B0B"/>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F2B0B"/>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F2B0B"/>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F2B0B"/>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F2B0B"/>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F2B0B"/>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F2B0B"/>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F2B0B"/>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F2B0B"/>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F2B0B"/>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F2B0B"/>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F2B0B"/>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F2B0B"/>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F2B0B"/>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F2B0B"/>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F2B0B"/>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F2B0B"/>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F2B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F2B0B"/>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F2B0B"/>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F2B0B"/>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uiPriority w:val="99"/>
    <w:unhideWhenUsed/>
    <w:rsid w:val="007F2B0B"/>
    <w:rPr>
      <w:sz w:val="16"/>
      <w:szCs w:val="16"/>
    </w:rPr>
  </w:style>
  <w:style w:type="character" w:styleId="EndnoteReference">
    <w:name w:val="endnote reference"/>
    <w:uiPriority w:val="99"/>
    <w:unhideWhenUsed/>
    <w:rsid w:val="007F2B0B"/>
    <w:rPr>
      <w:vertAlign w:val="superscript"/>
    </w:rPr>
  </w:style>
  <w:style w:type="paragraph" w:styleId="TOC7">
    <w:name w:val="toc 7"/>
    <w:basedOn w:val="Normal"/>
    <w:next w:val="Normal"/>
    <w:autoRedefine/>
    <w:uiPriority w:val="99"/>
    <w:unhideWhenUsed/>
    <w:rsid w:val="007F2B0B"/>
    <w:pPr>
      <w:ind w:left="1440"/>
    </w:pPr>
  </w:style>
  <w:style w:type="paragraph" w:styleId="TOC8">
    <w:name w:val="toc 8"/>
    <w:basedOn w:val="Normal"/>
    <w:next w:val="Normal"/>
    <w:autoRedefine/>
    <w:uiPriority w:val="99"/>
    <w:unhideWhenUsed/>
    <w:rsid w:val="007F2B0B"/>
    <w:pPr>
      <w:ind w:left="1680"/>
    </w:pPr>
  </w:style>
  <w:style w:type="paragraph" w:styleId="Quote">
    <w:name w:val="Quote"/>
    <w:basedOn w:val="Normal"/>
    <w:next w:val="Normal"/>
    <w:link w:val="QuoteChar"/>
    <w:uiPriority w:val="29"/>
    <w:qFormat/>
    <w:rsid w:val="007F2B0B"/>
    <w:rPr>
      <w:i/>
    </w:rPr>
  </w:style>
  <w:style w:type="character" w:customStyle="1" w:styleId="QuoteChar">
    <w:name w:val="Quote Char"/>
    <w:basedOn w:val="DefaultParagraphFont"/>
    <w:link w:val="Quote"/>
    <w:uiPriority w:val="29"/>
    <w:rsid w:val="007F2B0B"/>
    <w:rPr>
      <w:i/>
      <w:sz w:val="24"/>
      <w:szCs w:val="24"/>
    </w:rPr>
  </w:style>
  <w:style w:type="paragraph" w:styleId="IntenseQuote">
    <w:name w:val="Intense Quote"/>
    <w:basedOn w:val="Normal"/>
    <w:next w:val="Normal"/>
    <w:link w:val="IntenseQuoteChar"/>
    <w:uiPriority w:val="30"/>
    <w:qFormat/>
    <w:rsid w:val="007F2B0B"/>
    <w:pPr>
      <w:ind w:left="720" w:right="720"/>
    </w:pPr>
    <w:rPr>
      <w:b/>
      <w:i/>
      <w:szCs w:val="22"/>
    </w:rPr>
  </w:style>
  <w:style w:type="character" w:customStyle="1" w:styleId="IntenseQuoteChar">
    <w:name w:val="Intense Quote Char"/>
    <w:basedOn w:val="DefaultParagraphFont"/>
    <w:link w:val="IntenseQuote"/>
    <w:uiPriority w:val="30"/>
    <w:rsid w:val="007F2B0B"/>
    <w:rPr>
      <w:b/>
      <w:i/>
      <w:sz w:val="24"/>
      <w:szCs w:val="22"/>
    </w:rPr>
  </w:style>
  <w:style w:type="character" w:styleId="SubtleEmphasis">
    <w:name w:val="Subtle Emphasis"/>
    <w:uiPriority w:val="19"/>
    <w:qFormat/>
    <w:rsid w:val="007F2B0B"/>
    <w:rPr>
      <w:i/>
      <w:color w:val="5A5A5A"/>
    </w:rPr>
  </w:style>
  <w:style w:type="character" w:styleId="IntenseEmphasis">
    <w:name w:val="Intense Emphasis"/>
    <w:uiPriority w:val="21"/>
    <w:qFormat/>
    <w:rsid w:val="007F2B0B"/>
    <w:rPr>
      <w:b/>
      <w:i/>
      <w:sz w:val="24"/>
      <w:szCs w:val="24"/>
      <w:u w:val="single"/>
    </w:rPr>
  </w:style>
  <w:style w:type="character" w:styleId="SubtleReference">
    <w:name w:val="Subtle Reference"/>
    <w:uiPriority w:val="31"/>
    <w:qFormat/>
    <w:rsid w:val="007F2B0B"/>
    <w:rPr>
      <w:sz w:val="24"/>
      <w:szCs w:val="24"/>
      <w:u w:val="single"/>
    </w:rPr>
  </w:style>
  <w:style w:type="character" w:styleId="IntenseReference">
    <w:name w:val="Intense Reference"/>
    <w:uiPriority w:val="32"/>
    <w:qFormat/>
    <w:rsid w:val="007F2B0B"/>
    <w:rPr>
      <w:b/>
      <w:sz w:val="24"/>
      <w:u w:val="single"/>
    </w:rPr>
  </w:style>
  <w:style w:type="character" w:styleId="BookTitle">
    <w:name w:val="Book Title"/>
    <w:uiPriority w:val="33"/>
    <w:qFormat/>
    <w:rsid w:val="007F2B0B"/>
    <w:rPr>
      <w:rFonts w:ascii="Arial" w:eastAsia="MS PGothic" w:hAnsi="Arial"/>
      <w:b/>
      <w:i/>
      <w:sz w:val="24"/>
      <w:szCs w:val="24"/>
    </w:rPr>
  </w:style>
  <w:style w:type="paragraph" w:styleId="TOCHeading">
    <w:name w:val="TOC Heading"/>
    <w:basedOn w:val="Heading1"/>
    <w:next w:val="Normal"/>
    <w:uiPriority w:val="39"/>
    <w:semiHidden/>
    <w:unhideWhenUsed/>
    <w:qFormat/>
    <w:rsid w:val="007F2B0B"/>
    <w:pPr>
      <w:numPr>
        <w:numId w:val="0"/>
      </w:numPr>
      <w:spacing w:before="240" w:after="60"/>
      <w:jc w:val="left"/>
      <w:outlineLvl w:val="9"/>
    </w:pPr>
    <w:rPr>
      <w:rFonts w:ascii="Arial" w:eastAsia="MS PGothic" w:hAnsi="Arial" w:cs="Times New Roman"/>
      <w:b/>
      <w:sz w:val="32"/>
    </w:rPr>
  </w:style>
  <w:style w:type="paragraph" w:customStyle="1" w:styleId="InterProdBody">
    <w:name w:val="InterProdBody"/>
    <w:basedOn w:val="Normal"/>
    <w:rsid w:val="007F2B0B"/>
    <w:pPr>
      <w:spacing w:line="48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7B55F-EF8E-43DA-98BA-4CBAFEB2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40</Pages>
  <Words>11056</Words>
  <Characters>63022</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2015-12-23T16:01:00Z</dcterms:created>
  <dcterms:modified xsi:type="dcterms:W3CDTF">2015-12-23T16:21:00Z</dcterms:modified>
</cp:coreProperties>
</file>