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103B8" w:rsidP="007103B8">
      <w:pPr>
        <w:pStyle w:val="OrderHeading"/>
      </w:pPr>
      <w:r>
        <w:t>BEFORE THE FLORIDA PUBLIC SERVICE COMMISSION</w:t>
      </w:r>
    </w:p>
    <w:p w:rsidR="007103B8" w:rsidRDefault="007103B8" w:rsidP="007103B8">
      <w:pPr>
        <w:pStyle w:val="OrderHeading"/>
      </w:pPr>
    </w:p>
    <w:p w:rsidR="007103B8" w:rsidRDefault="007103B8" w:rsidP="007103B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03B8" w:rsidRPr="00C63FCF" w:rsidTr="003B63EA">
        <w:trPr>
          <w:trHeight w:val="828"/>
        </w:trPr>
        <w:tc>
          <w:tcPr>
            <w:tcW w:w="4788" w:type="dxa"/>
            <w:tcBorders>
              <w:bottom w:val="single" w:sz="8" w:space="0" w:color="auto"/>
              <w:right w:val="double" w:sz="6" w:space="0" w:color="auto"/>
            </w:tcBorders>
            <w:shd w:val="clear" w:color="auto" w:fill="auto"/>
          </w:tcPr>
          <w:p w:rsidR="007103B8" w:rsidRDefault="007103B8" w:rsidP="003B63EA">
            <w:pPr>
              <w:pStyle w:val="OrderBody"/>
              <w:tabs>
                <w:tab w:val="center" w:pos="4320"/>
                <w:tab w:val="right" w:pos="8640"/>
              </w:tabs>
              <w:jc w:val="left"/>
            </w:pPr>
            <w:r>
              <w:t xml:space="preserve">In re: </w:t>
            </w:r>
            <w:bookmarkStart w:id="0" w:name="SSInRe"/>
            <w:bookmarkEnd w:id="0"/>
            <w:r>
              <w:t>Request to opt-out of cost recovery for investor-owned electric utility energy efficiency programs by Wal-Mart Stores East, LP and Sam's East, Inc. and Florida Industrial Power Users Group.</w:t>
            </w:r>
          </w:p>
        </w:tc>
        <w:tc>
          <w:tcPr>
            <w:tcW w:w="4788" w:type="dxa"/>
            <w:tcBorders>
              <w:left w:val="double" w:sz="6" w:space="0" w:color="auto"/>
            </w:tcBorders>
            <w:shd w:val="clear" w:color="auto" w:fill="auto"/>
          </w:tcPr>
          <w:p w:rsidR="007103B8" w:rsidRDefault="007103B8" w:rsidP="007103B8">
            <w:pPr>
              <w:pStyle w:val="OrderBody"/>
            </w:pPr>
            <w:r>
              <w:t xml:space="preserve">DOCKET NO. </w:t>
            </w:r>
            <w:bookmarkStart w:id="1" w:name="SSDocketNo"/>
            <w:bookmarkEnd w:id="1"/>
            <w:r>
              <w:t>140226-EI</w:t>
            </w:r>
          </w:p>
          <w:p w:rsidR="007103B8" w:rsidRDefault="007103B8" w:rsidP="003B63EA">
            <w:pPr>
              <w:pStyle w:val="OrderBody"/>
              <w:tabs>
                <w:tab w:val="center" w:pos="4320"/>
                <w:tab w:val="right" w:pos="8640"/>
              </w:tabs>
              <w:jc w:val="left"/>
            </w:pPr>
            <w:r>
              <w:t xml:space="preserve">ORDER NO. </w:t>
            </w:r>
            <w:bookmarkStart w:id="2" w:name="OrderNo0011"/>
            <w:r w:rsidR="0031012D">
              <w:t>PSC-16-0011-FOF-EI</w:t>
            </w:r>
            <w:bookmarkEnd w:id="2"/>
          </w:p>
          <w:p w:rsidR="007103B8" w:rsidRDefault="007103B8" w:rsidP="003B63EA">
            <w:pPr>
              <w:pStyle w:val="OrderBody"/>
              <w:tabs>
                <w:tab w:val="center" w:pos="4320"/>
                <w:tab w:val="right" w:pos="8640"/>
              </w:tabs>
              <w:jc w:val="left"/>
            </w:pPr>
            <w:r>
              <w:t xml:space="preserve">ISSUED: </w:t>
            </w:r>
            <w:r w:rsidR="0031012D">
              <w:t>January 5, 2016</w:t>
            </w:r>
          </w:p>
        </w:tc>
      </w:tr>
    </w:tbl>
    <w:p w:rsidR="007103B8" w:rsidRDefault="007103B8" w:rsidP="007103B8"/>
    <w:p w:rsidR="007103B8" w:rsidRDefault="007103B8" w:rsidP="007103B8"/>
    <w:p w:rsidR="007103B8" w:rsidRPr="00E46E1F" w:rsidRDefault="007103B8">
      <w:pPr>
        <w:ind w:firstLine="720"/>
        <w:jc w:val="both"/>
      </w:pPr>
      <w:bookmarkStart w:id="3" w:name="Commissioners"/>
      <w:bookmarkEnd w:id="3"/>
      <w:r w:rsidRPr="00E46E1F">
        <w:t>The following Commissioners participated in the disposition of this matter:</w:t>
      </w:r>
    </w:p>
    <w:p w:rsidR="007103B8" w:rsidRPr="00E46E1F" w:rsidRDefault="007103B8"/>
    <w:p w:rsidR="007103B8" w:rsidRDefault="007103B8">
      <w:pPr>
        <w:jc w:val="center"/>
      </w:pPr>
      <w:r>
        <w:t>ART GRAHAM</w:t>
      </w:r>
      <w:r w:rsidRPr="00E46E1F">
        <w:t>, Chairman</w:t>
      </w:r>
    </w:p>
    <w:p w:rsidR="007103B8" w:rsidRDefault="007103B8">
      <w:pPr>
        <w:jc w:val="center"/>
      </w:pPr>
      <w:r w:rsidRPr="00E46E1F">
        <w:t>LISA POLAK EDGAR</w:t>
      </w:r>
    </w:p>
    <w:p w:rsidR="008600D3" w:rsidRDefault="008600D3" w:rsidP="008600D3">
      <w:pPr>
        <w:jc w:val="center"/>
      </w:pPr>
      <w:r>
        <w:t>JULIE I. BROWN</w:t>
      </w:r>
    </w:p>
    <w:p w:rsidR="008600D3" w:rsidRPr="00E46E1F" w:rsidRDefault="008600D3">
      <w:pPr>
        <w:jc w:val="center"/>
      </w:pPr>
    </w:p>
    <w:p w:rsidR="00CB5276" w:rsidRDefault="00CB5276">
      <w:pPr>
        <w:pStyle w:val="OrderBody"/>
      </w:pPr>
    </w:p>
    <w:p w:rsidR="007103B8" w:rsidRDefault="00EE7914" w:rsidP="007103B8">
      <w:pPr>
        <w:pStyle w:val="CenterUnderline"/>
      </w:pPr>
      <w:r>
        <w:t xml:space="preserve">FINAL </w:t>
      </w:r>
      <w:r w:rsidR="007103B8">
        <w:t>ORDER</w:t>
      </w:r>
      <w:bookmarkStart w:id="4" w:name="OrderTitle"/>
      <w:r w:rsidR="007103B8">
        <w:t xml:space="preserve"> </w:t>
      </w:r>
      <w:bookmarkEnd w:id="4"/>
    </w:p>
    <w:p w:rsidR="007103B8" w:rsidRDefault="007103B8" w:rsidP="007103B8">
      <w:pPr>
        <w:pStyle w:val="CenterUnderline"/>
      </w:pPr>
    </w:p>
    <w:p w:rsidR="00CB5276" w:rsidRDefault="00CB5276">
      <w:pPr>
        <w:pStyle w:val="OrderBody"/>
      </w:pPr>
      <w:bookmarkStart w:id="5" w:name="OrderText"/>
      <w:bookmarkEnd w:id="5"/>
    </w:p>
    <w:p w:rsidR="007D24BC" w:rsidRDefault="007D24BC">
      <w:pPr>
        <w:pStyle w:val="OrderBody"/>
      </w:pPr>
      <w:r>
        <w:t>APPEARANCES:</w:t>
      </w:r>
    </w:p>
    <w:p w:rsidR="00AC3F38" w:rsidRDefault="00AC3F38">
      <w:pPr>
        <w:pStyle w:val="OrderBody"/>
      </w:pPr>
    </w:p>
    <w:p w:rsidR="007D24BC" w:rsidRDefault="007D24BC" w:rsidP="007D24BC">
      <w:pPr>
        <w:ind w:left="1440"/>
        <w:jc w:val="both"/>
      </w:pPr>
      <w:r>
        <w:t>JON MOYLE, VICKI GORDON KAUFMAN &amp; KAREN A. PUTNAL</w:t>
      </w:r>
      <w:r w:rsidRPr="00701945">
        <w:t>, ESQUIRE</w:t>
      </w:r>
      <w:r>
        <w:t>S</w:t>
      </w:r>
      <w:r w:rsidRPr="00701945">
        <w:t>,</w:t>
      </w:r>
      <w:r>
        <w:t xml:space="preserve"> </w:t>
      </w:r>
      <w:r w:rsidRPr="0014690D">
        <w:t>118 North Gadsden Street</w:t>
      </w:r>
      <w:r>
        <w:t>, Tallahassee, FL 32301</w:t>
      </w:r>
      <w:r w:rsidRPr="0014690D">
        <w:t xml:space="preserve"> </w:t>
      </w:r>
    </w:p>
    <w:p w:rsidR="007D24BC" w:rsidRPr="00701945" w:rsidRDefault="007D24BC" w:rsidP="007D24BC">
      <w:pPr>
        <w:ind w:left="1440"/>
        <w:jc w:val="both"/>
      </w:pPr>
      <w:r>
        <w:rPr>
          <w:u w:val="single"/>
        </w:rPr>
        <w:t>On behalf of Florida Industrial Power Users Group (FIPUG)</w:t>
      </w:r>
      <w:r w:rsidRPr="00701945">
        <w:t>.</w:t>
      </w:r>
    </w:p>
    <w:p w:rsidR="007D24BC" w:rsidRPr="00701945" w:rsidRDefault="007D24BC" w:rsidP="007D24BC">
      <w:pPr>
        <w:jc w:val="both"/>
      </w:pPr>
    </w:p>
    <w:p w:rsidR="007D24BC" w:rsidRDefault="007D24BC" w:rsidP="007D24BC">
      <w:pPr>
        <w:ind w:left="1440"/>
        <w:jc w:val="both"/>
      </w:pPr>
      <w:r>
        <w:t>ROBERT SCHEFFEL WRIGHT &amp; JOHN T. LAVIA III</w:t>
      </w:r>
      <w:r w:rsidRPr="00701945">
        <w:t>, ESQUIRE</w:t>
      </w:r>
      <w:r>
        <w:t>S</w:t>
      </w:r>
      <w:r w:rsidRPr="00701945">
        <w:t xml:space="preserve">, </w:t>
      </w:r>
    </w:p>
    <w:p w:rsidR="007D24BC" w:rsidRPr="00701945" w:rsidRDefault="007D24BC" w:rsidP="007D24BC">
      <w:pPr>
        <w:ind w:left="1440"/>
        <w:jc w:val="both"/>
      </w:pPr>
      <w:r>
        <w:t>1300 Thomaswood Drive, Tallahassee, FL 32308</w:t>
      </w:r>
    </w:p>
    <w:p w:rsidR="007D24BC" w:rsidRDefault="007D24BC" w:rsidP="007D24BC">
      <w:pPr>
        <w:ind w:left="720" w:firstLine="720"/>
        <w:jc w:val="both"/>
      </w:pPr>
      <w:r w:rsidRPr="00701945">
        <w:rPr>
          <w:u w:val="single"/>
        </w:rPr>
        <w:t>On behalf of</w:t>
      </w:r>
      <w:r>
        <w:rPr>
          <w:u w:val="single"/>
        </w:rPr>
        <w:t xml:space="preserve"> Wal-Mart Stores East, LP’s and Sam’s East Inc</w:t>
      </w:r>
      <w:r w:rsidRPr="00E86416">
        <w:rPr>
          <w:u w:val="single"/>
        </w:rPr>
        <w:t>. (Walmart)</w:t>
      </w:r>
      <w:r w:rsidRPr="00701945">
        <w:t xml:space="preserve"> </w:t>
      </w:r>
    </w:p>
    <w:p w:rsidR="007D24BC" w:rsidRDefault="007D24BC" w:rsidP="007D24BC">
      <w:pPr>
        <w:ind w:left="720" w:firstLine="720"/>
        <w:jc w:val="both"/>
      </w:pPr>
    </w:p>
    <w:p w:rsidR="007D24BC" w:rsidRPr="00701945" w:rsidRDefault="007D24BC" w:rsidP="007D24BC">
      <w:pPr>
        <w:ind w:left="1440"/>
        <w:jc w:val="both"/>
      </w:pPr>
      <w:r>
        <w:t>JAMES W. BREW, OWEN J. KOPON &amp; LAURA A. WYNN</w:t>
      </w:r>
      <w:r w:rsidRPr="00701945">
        <w:t>, ESQUIRE</w:t>
      </w:r>
      <w:r>
        <w:t>S</w:t>
      </w:r>
      <w:r w:rsidRPr="00701945">
        <w:t xml:space="preserve">, </w:t>
      </w:r>
      <w:r>
        <w:t>1025 Thomas Jefferson Street, NW, Eighth Floor, West Tower, Washington, DC 20007</w:t>
      </w:r>
    </w:p>
    <w:p w:rsidR="007D24BC" w:rsidRPr="00701945" w:rsidRDefault="007D24BC" w:rsidP="007D24BC">
      <w:pPr>
        <w:ind w:left="720" w:firstLine="720"/>
        <w:jc w:val="both"/>
      </w:pPr>
      <w:r w:rsidRPr="00701945">
        <w:rPr>
          <w:u w:val="single"/>
        </w:rPr>
        <w:t xml:space="preserve">On behalf of </w:t>
      </w:r>
      <w:r>
        <w:rPr>
          <w:u w:val="single"/>
        </w:rPr>
        <w:t>White Springs Agricultural Chemicals, Inc. (PCS Phosphate)</w:t>
      </w:r>
      <w:r w:rsidRPr="00701945">
        <w:t xml:space="preserve">. </w:t>
      </w:r>
    </w:p>
    <w:p w:rsidR="007D24BC" w:rsidRDefault="007D24BC" w:rsidP="007D24BC">
      <w:pPr>
        <w:ind w:left="720" w:firstLine="720"/>
        <w:jc w:val="both"/>
      </w:pPr>
    </w:p>
    <w:p w:rsidR="007D24BC" w:rsidRPr="00701945" w:rsidRDefault="007D24BC" w:rsidP="007D24BC">
      <w:pPr>
        <w:ind w:left="1440"/>
        <w:jc w:val="both"/>
      </w:pPr>
      <w:r>
        <w:t>JESSICA A. CANO</w:t>
      </w:r>
      <w:r w:rsidRPr="00701945">
        <w:t xml:space="preserve">, ESQUIRE, </w:t>
      </w:r>
      <w:r>
        <w:t>700 Universe Boulevard, Juno Beach, FL 33408</w:t>
      </w:r>
    </w:p>
    <w:p w:rsidR="007D24BC" w:rsidRPr="00701945" w:rsidRDefault="007D24BC" w:rsidP="007D24BC">
      <w:pPr>
        <w:ind w:left="720" w:firstLine="720"/>
        <w:jc w:val="both"/>
      </w:pPr>
      <w:r w:rsidRPr="00701945">
        <w:rPr>
          <w:u w:val="single"/>
        </w:rPr>
        <w:t xml:space="preserve">On behalf of </w:t>
      </w:r>
      <w:r>
        <w:rPr>
          <w:u w:val="single"/>
        </w:rPr>
        <w:t>Florida Power &amp; Light Company (FPL)</w:t>
      </w:r>
      <w:r w:rsidRPr="00701945">
        <w:t xml:space="preserve">. </w:t>
      </w:r>
    </w:p>
    <w:p w:rsidR="007D24BC" w:rsidRDefault="007D24BC" w:rsidP="007D24BC">
      <w:pPr>
        <w:ind w:left="720" w:firstLine="720"/>
        <w:jc w:val="both"/>
      </w:pPr>
    </w:p>
    <w:p w:rsidR="007D24BC" w:rsidRDefault="007D24BC" w:rsidP="007D24BC">
      <w:pPr>
        <w:ind w:left="1440"/>
        <w:jc w:val="both"/>
      </w:pPr>
      <w:r>
        <w:t>DIANNE M. TRIPLETT &amp; MATTHEW R. BERNIER</w:t>
      </w:r>
      <w:r w:rsidRPr="00701945">
        <w:t>, ESQUIRE</w:t>
      </w:r>
      <w:r>
        <w:t>S</w:t>
      </w:r>
      <w:r w:rsidRPr="00701945">
        <w:t xml:space="preserve">, </w:t>
      </w:r>
    </w:p>
    <w:p w:rsidR="007D24BC" w:rsidRPr="00701945" w:rsidRDefault="007D24BC" w:rsidP="007D24BC">
      <w:pPr>
        <w:ind w:left="1440"/>
        <w:jc w:val="both"/>
      </w:pPr>
      <w:r>
        <w:t>299 First Avenue North, St. Petersburg, FL, 33701-3324</w:t>
      </w:r>
    </w:p>
    <w:p w:rsidR="007D24BC" w:rsidRPr="00701945" w:rsidRDefault="007D24BC" w:rsidP="007D24BC">
      <w:pPr>
        <w:ind w:left="720" w:firstLine="720"/>
        <w:jc w:val="both"/>
      </w:pPr>
      <w:r w:rsidRPr="00701945">
        <w:rPr>
          <w:u w:val="single"/>
        </w:rPr>
        <w:t xml:space="preserve">On behalf of </w:t>
      </w:r>
      <w:r>
        <w:rPr>
          <w:u w:val="single"/>
        </w:rPr>
        <w:t>Duke Energy Florida, Inc. (Duke)</w:t>
      </w:r>
      <w:r w:rsidRPr="00701945">
        <w:t xml:space="preserve">. </w:t>
      </w:r>
    </w:p>
    <w:p w:rsidR="007D24BC" w:rsidRDefault="007D24BC" w:rsidP="007D24BC">
      <w:pPr>
        <w:ind w:left="720" w:firstLine="720"/>
        <w:jc w:val="both"/>
      </w:pPr>
    </w:p>
    <w:p w:rsidR="007D24BC" w:rsidRPr="00701945" w:rsidRDefault="007D24BC" w:rsidP="007D24BC">
      <w:pPr>
        <w:ind w:left="1440"/>
        <w:jc w:val="both"/>
      </w:pPr>
      <w:r>
        <w:t>JAMES D. BEASLEY, J. JEFFRY WAHLEN &amp; ASHLEY M. DANIELS</w:t>
      </w:r>
      <w:r w:rsidRPr="00701945">
        <w:t xml:space="preserve"> ESQUIRE</w:t>
      </w:r>
      <w:r>
        <w:t>S</w:t>
      </w:r>
      <w:r w:rsidRPr="00701945">
        <w:t xml:space="preserve">, </w:t>
      </w:r>
      <w:r>
        <w:t>P.O. Box 391, Tallahassee, FL 32302</w:t>
      </w:r>
    </w:p>
    <w:p w:rsidR="007D24BC" w:rsidRPr="00701945" w:rsidRDefault="007D24BC" w:rsidP="007D24BC">
      <w:pPr>
        <w:ind w:left="720" w:firstLine="720"/>
        <w:jc w:val="both"/>
      </w:pPr>
      <w:r w:rsidRPr="00701945">
        <w:rPr>
          <w:u w:val="single"/>
        </w:rPr>
        <w:t xml:space="preserve">On behalf of </w:t>
      </w:r>
      <w:r>
        <w:rPr>
          <w:u w:val="single"/>
        </w:rPr>
        <w:t>Tampa Electric Company (TECO)</w:t>
      </w:r>
      <w:r w:rsidRPr="00701945">
        <w:t xml:space="preserve">. </w:t>
      </w:r>
    </w:p>
    <w:p w:rsidR="007D24BC" w:rsidRDefault="007D24BC" w:rsidP="007D24BC">
      <w:pPr>
        <w:ind w:left="720" w:firstLine="720"/>
        <w:jc w:val="both"/>
      </w:pPr>
    </w:p>
    <w:p w:rsidR="007D24BC" w:rsidRPr="00701945" w:rsidRDefault="007D24BC" w:rsidP="007D24BC">
      <w:pPr>
        <w:ind w:left="1440"/>
        <w:jc w:val="both"/>
      </w:pPr>
      <w:r>
        <w:lastRenderedPageBreak/>
        <w:t>JEFFREY A. STONE, RUSSELL A. BADDERS &amp; STEVEN R. GRIFFIN</w:t>
      </w:r>
      <w:r w:rsidRPr="00701945">
        <w:t>, ESQUIRE</w:t>
      </w:r>
      <w:r>
        <w:t>S</w:t>
      </w:r>
      <w:r w:rsidRPr="00701945">
        <w:t xml:space="preserve">, </w:t>
      </w:r>
      <w:r>
        <w:t>P.O. Box 12950, Pensacola, FL 32591</w:t>
      </w:r>
    </w:p>
    <w:p w:rsidR="007D24BC" w:rsidRPr="00701945" w:rsidRDefault="007D24BC" w:rsidP="007D24BC">
      <w:pPr>
        <w:ind w:left="720" w:firstLine="720"/>
        <w:jc w:val="both"/>
      </w:pPr>
      <w:r w:rsidRPr="00701945">
        <w:rPr>
          <w:u w:val="single"/>
        </w:rPr>
        <w:t xml:space="preserve">On behalf of </w:t>
      </w:r>
      <w:r>
        <w:rPr>
          <w:u w:val="single"/>
        </w:rPr>
        <w:t>Gulf Power Company (GULF)</w:t>
      </w:r>
      <w:r w:rsidRPr="00701945">
        <w:t xml:space="preserve">. </w:t>
      </w:r>
    </w:p>
    <w:p w:rsidR="007D24BC" w:rsidRDefault="007D24BC" w:rsidP="007D24BC">
      <w:pPr>
        <w:ind w:left="720" w:firstLine="720"/>
        <w:jc w:val="both"/>
      </w:pPr>
    </w:p>
    <w:p w:rsidR="007D24BC" w:rsidRDefault="007D24BC" w:rsidP="007D24BC">
      <w:pPr>
        <w:ind w:left="1440"/>
        <w:jc w:val="both"/>
      </w:pPr>
      <w:r>
        <w:t>BETH KEATING</w:t>
      </w:r>
      <w:r w:rsidRPr="00701945">
        <w:t xml:space="preserve">, ESQUIRE, </w:t>
      </w:r>
    </w:p>
    <w:p w:rsidR="007D24BC" w:rsidRPr="00701945" w:rsidRDefault="007D24BC" w:rsidP="007D24BC">
      <w:pPr>
        <w:ind w:left="1440"/>
        <w:jc w:val="both"/>
      </w:pPr>
      <w:r>
        <w:t>215 South Monroe Street, Suite 601, Tallahassee Florida 32301</w:t>
      </w:r>
    </w:p>
    <w:p w:rsidR="007D24BC" w:rsidRPr="00701945" w:rsidRDefault="007D24BC" w:rsidP="007D24BC">
      <w:pPr>
        <w:ind w:left="720" w:firstLine="720"/>
        <w:jc w:val="both"/>
      </w:pPr>
      <w:r w:rsidRPr="00701945">
        <w:rPr>
          <w:u w:val="single"/>
        </w:rPr>
        <w:t xml:space="preserve">On behalf of </w:t>
      </w:r>
      <w:r>
        <w:rPr>
          <w:u w:val="single"/>
        </w:rPr>
        <w:t>Florida Public Utilities Company (FPUC)</w:t>
      </w:r>
      <w:r w:rsidRPr="00701945">
        <w:t xml:space="preserve">. </w:t>
      </w:r>
    </w:p>
    <w:p w:rsidR="007D24BC" w:rsidRDefault="007D24BC" w:rsidP="007D24BC">
      <w:pPr>
        <w:ind w:left="720" w:firstLine="720"/>
        <w:jc w:val="both"/>
      </w:pPr>
    </w:p>
    <w:p w:rsidR="007D24BC" w:rsidRDefault="007D24BC" w:rsidP="007D24BC">
      <w:pPr>
        <w:ind w:left="1440"/>
        <w:jc w:val="both"/>
      </w:pPr>
      <w:r>
        <w:t>GEORGE CAVROS</w:t>
      </w:r>
      <w:r w:rsidRPr="00701945">
        <w:t xml:space="preserve">, ESQUIRE, </w:t>
      </w:r>
    </w:p>
    <w:p w:rsidR="007D24BC" w:rsidRPr="00701945" w:rsidRDefault="007D24BC" w:rsidP="007D24BC">
      <w:pPr>
        <w:ind w:left="1440"/>
        <w:jc w:val="both"/>
      </w:pPr>
      <w:r>
        <w:t>120 E. Oakland Park Blvd., Suite 105, Fort Lauderdale, FL 33334</w:t>
      </w:r>
    </w:p>
    <w:p w:rsidR="007D24BC" w:rsidRPr="00701945" w:rsidRDefault="007D24BC" w:rsidP="007D24BC">
      <w:pPr>
        <w:ind w:left="720" w:firstLine="720"/>
        <w:jc w:val="both"/>
      </w:pPr>
      <w:r w:rsidRPr="00701945">
        <w:rPr>
          <w:u w:val="single"/>
        </w:rPr>
        <w:t xml:space="preserve">On behalf of </w:t>
      </w:r>
      <w:r>
        <w:rPr>
          <w:u w:val="single"/>
        </w:rPr>
        <w:t>Southern Alliance for Clean Energy (SACE)</w:t>
      </w:r>
      <w:r w:rsidRPr="00701945">
        <w:t xml:space="preserve">. </w:t>
      </w:r>
    </w:p>
    <w:p w:rsidR="007D24BC" w:rsidRDefault="007D24BC" w:rsidP="007D24BC">
      <w:pPr>
        <w:ind w:left="720" w:firstLine="720"/>
        <w:jc w:val="both"/>
      </w:pPr>
    </w:p>
    <w:p w:rsidR="007D24BC" w:rsidRDefault="007D24BC" w:rsidP="007D24BC">
      <w:pPr>
        <w:ind w:left="1440"/>
        <w:jc w:val="both"/>
      </w:pPr>
      <w:r>
        <w:t>PATRICIA A. CHRISTENSEN &amp; CHARLES REHWINKEL</w:t>
      </w:r>
      <w:r w:rsidRPr="00701945">
        <w:t>, ESQUIRE</w:t>
      </w:r>
      <w:r>
        <w:t>S</w:t>
      </w:r>
      <w:r w:rsidRPr="00701945">
        <w:t xml:space="preserve">, </w:t>
      </w:r>
    </w:p>
    <w:p w:rsidR="007D24BC" w:rsidRPr="00701945" w:rsidRDefault="007D24BC" w:rsidP="007D24BC">
      <w:pPr>
        <w:ind w:left="1440"/>
        <w:jc w:val="both"/>
      </w:pPr>
      <w:r>
        <w:t>c/o The Florida Legislature, 111 West Madison Street, Room 812, Tallahassee, FL 32399</w:t>
      </w:r>
    </w:p>
    <w:p w:rsidR="007D24BC" w:rsidRPr="00701945" w:rsidRDefault="007D24BC" w:rsidP="007D24BC">
      <w:pPr>
        <w:ind w:left="720" w:firstLine="720"/>
        <w:jc w:val="both"/>
      </w:pPr>
      <w:r w:rsidRPr="00701945">
        <w:rPr>
          <w:u w:val="single"/>
        </w:rPr>
        <w:t xml:space="preserve">On behalf of </w:t>
      </w:r>
      <w:r>
        <w:rPr>
          <w:u w:val="single"/>
        </w:rPr>
        <w:t>Office of the Public Counsel (OPC)</w:t>
      </w:r>
      <w:r w:rsidRPr="00701945">
        <w:t xml:space="preserve">. </w:t>
      </w:r>
    </w:p>
    <w:p w:rsidR="007D24BC" w:rsidRPr="00701945" w:rsidRDefault="007D24BC" w:rsidP="007D24BC">
      <w:pPr>
        <w:jc w:val="both"/>
      </w:pPr>
    </w:p>
    <w:p w:rsidR="007D24BC" w:rsidRPr="00701945" w:rsidRDefault="007D24BC" w:rsidP="007D24BC">
      <w:pPr>
        <w:ind w:left="1440"/>
        <w:jc w:val="both"/>
      </w:pPr>
      <w:r>
        <w:t>LEE ENG TAN</w:t>
      </w:r>
      <w:r w:rsidRPr="00701945">
        <w:t>, ESQUIRE, Florida Public Service Commission, 2540 Shumard Oak Boulevard, Tallahassee, Florida 32399-0850</w:t>
      </w:r>
    </w:p>
    <w:p w:rsidR="007D24BC" w:rsidRPr="00701945" w:rsidRDefault="007D24BC" w:rsidP="007D24BC">
      <w:pPr>
        <w:ind w:left="720" w:firstLine="720"/>
        <w:jc w:val="both"/>
      </w:pPr>
      <w:r w:rsidRPr="00701945">
        <w:rPr>
          <w:u w:val="single"/>
        </w:rPr>
        <w:t>On behalf of the Florida Public Service Commission</w:t>
      </w:r>
      <w:r>
        <w:rPr>
          <w:u w:val="single"/>
        </w:rPr>
        <w:t xml:space="preserve"> (Staff)</w:t>
      </w:r>
      <w:r w:rsidRPr="00701945">
        <w:t>.</w:t>
      </w:r>
    </w:p>
    <w:p w:rsidR="007D24BC" w:rsidRPr="00701945" w:rsidRDefault="007D24BC" w:rsidP="007D24BC">
      <w:pPr>
        <w:jc w:val="both"/>
      </w:pPr>
    </w:p>
    <w:p w:rsidR="007D24BC" w:rsidRPr="00701945" w:rsidRDefault="007D24BC" w:rsidP="007D24BC">
      <w:pPr>
        <w:ind w:left="1440"/>
        <w:jc w:val="both"/>
      </w:pPr>
      <w:r>
        <w:t xml:space="preserve">MARY ANNE HELTON, </w:t>
      </w:r>
      <w:r w:rsidR="00FE3245">
        <w:t xml:space="preserve">ESQUIRE, </w:t>
      </w:r>
      <w:r>
        <w:t>Deputy General Counsel,</w:t>
      </w:r>
      <w:r w:rsidRPr="00701945">
        <w:t xml:space="preserve"> Florida Public Service Commission, 2540 Shumard Oak Boulevard, Tallahassee, Florida 32399-0850</w:t>
      </w:r>
    </w:p>
    <w:p w:rsidR="007D24BC" w:rsidRPr="00701945" w:rsidRDefault="007D24BC" w:rsidP="007D24BC">
      <w:pPr>
        <w:ind w:left="720" w:firstLine="720"/>
        <w:jc w:val="both"/>
      </w:pPr>
      <w:r>
        <w:rPr>
          <w:u w:val="single"/>
        </w:rPr>
        <w:t>Advisor to the</w:t>
      </w:r>
      <w:r w:rsidRPr="00701945">
        <w:rPr>
          <w:u w:val="single"/>
        </w:rPr>
        <w:t xml:space="preserve"> Florida Public Service Commission</w:t>
      </w:r>
      <w:r w:rsidRPr="00701945">
        <w:t>.</w:t>
      </w:r>
    </w:p>
    <w:p w:rsidR="002B77C2" w:rsidRDefault="002B77C2" w:rsidP="002B77C2">
      <w:pPr>
        <w:pStyle w:val="OrderBody"/>
      </w:pPr>
    </w:p>
    <w:p w:rsidR="002B77C2" w:rsidRDefault="002B77C2" w:rsidP="002B77C2">
      <w:pPr>
        <w:pStyle w:val="OrderBody"/>
      </w:pPr>
      <w:r>
        <w:t>BY THE COMMISSION:</w:t>
      </w:r>
    </w:p>
    <w:p w:rsidR="002B77C2" w:rsidRPr="00FE3245" w:rsidRDefault="002B77C2">
      <w:pPr>
        <w:pStyle w:val="OrderBody"/>
      </w:pPr>
    </w:p>
    <w:p w:rsidR="007103B8" w:rsidRPr="00EE7914" w:rsidRDefault="00E01567" w:rsidP="003B63EA">
      <w:pPr>
        <w:spacing w:after="240"/>
        <w:ind w:firstLine="720"/>
        <w:jc w:val="both"/>
      </w:pPr>
      <w:bookmarkStart w:id="6" w:name="CaseBackground"/>
      <w:r>
        <w:t>We</w:t>
      </w:r>
      <w:r w:rsidR="007103B8" w:rsidRPr="00EE7914">
        <w:t xml:space="preserve"> opened this docket to address issues raised by Wal-Mart Stores East, LP and Sam’s East, Inc. (Wal-Mart) and Florida Industrial Power Users Group (FIPUG)</w:t>
      </w:r>
      <w:r w:rsidR="00D40C8F">
        <w:t>, who represent</w:t>
      </w:r>
      <w:r w:rsidR="00612463">
        <w:t xml:space="preserve"> large commercial or industrial customers</w:t>
      </w:r>
      <w:r w:rsidR="007103B8" w:rsidRPr="00EE7914">
        <w:t>. During the October 8, 2014</w:t>
      </w:r>
      <w:r w:rsidR="00AF4251">
        <w:t>,</w:t>
      </w:r>
      <w:r w:rsidR="007103B8" w:rsidRPr="00EE7914">
        <w:t xml:space="preserve"> Prehearing Conference in Docket No. 140002-EG, the Energy Conservation Cost Recovery (ECCR) clause, Wal-Mart and FIPUG (hereafter referred to as the petitioners) proposed issues </w:t>
      </w:r>
      <w:r w:rsidR="00246C67">
        <w:t>to allow</w:t>
      </w:r>
      <w:r w:rsidR="007103B8" w:rsidRPr="00EE7914">
        <w:t xml:space="preserve"> certain large commercial and industrial customers the option of opting out of participating in investor-owned utility-sponsored energy efficiency programs. In return, customers that choose to opt out would not be charged the costs associated with these programs through the ECCR clause. FIPUG and Wal-Mart each proposed different threshold criteria for the large commercial and industrial customers that would be eligible to opt out. Those customers that would be eligible to opt out of energy efficiency programs would still be able to participate in, and would pay the costs associated with, demand response programs. A summary of FIPUG’s and Wal-Mart’s proposals can be found in Attachment A.</w:t>
      </w:r>
    </w:p>
    <w:p w:rsidR="007103B8" w:rsidRPr="00EE7914" w:rsidRDefault="0073644F" w:rsidP="003B63EA">
      <w:pPr>
        <w:spacing w:after="240"/>
        <w:ind w:firstLine="720"/>
        <w:jc w:val="both"/>
      </w:pPr>
      <w:r>
        <w:lastRenderedPageBreak/>
        <w:t>In Docket No. 140002-EG, the</w:t>
      </w:r>
      <w:r w:rsidR="007103B8" w:rsidRPr="00EE7914">
        <w:t xml:space="preserve"> Prehearing Officer, however, ruled that the proposed issues </w:t>
      </w:r>
      <w:r w:rsidR="00612463">
        <w:t>should</w:t>
      </w:r>
      <w:r w:rsidR="007103B8" w:rsidRPr="00EE7914">
        <w:t xml:space="preserve"> be considered in a separate docket.</w:t>
      </w:r>
      <w:r>
        <w:rPr>
          <w:rStyle w:val="FootnoteReference"/>
        </w:rPr>
        <w:footnoteReference w:id="1"/>
      </w:r>
      <w:r w:rsidR="00AF4251">
        <w:t xml:space="preserve"> Consequently, this </w:t>
      </w:r>
      <w:r w:rsidR="007103B8" w:rsidRPr="00EE7914">
        <w:t xml:space="preserve">docket was opened to address the three issues proposed by Wal-Mart and FIPUG. </w:t>
      </w:r>
    </w:p>
    <w:p w:rsidR="007103B8" w:rsidRPr="00EE7914" w:rsidRDefault="0073644F" w:rsidP="00FB1F85">
      <w:pPr>
        <w:ind w:firstLine="720"/>
        <w:jc w:val="both"/>
      </w:pPr>
      <w:r>
        <w:t>In the instant docket, t</w:t>
      </w:r>
      <w:r w:rsidR="007103B8" w:rsidRPr="00EE7914">
        <w:t xml:space="preserve">he five investor-owned </w:t>
      </w:r>
      <w:r w:rsidR="00B478AF">
        <w:t xml:space="preserve">electric </w:t>
      </w:r>
      <w:r w:rsidR="007103B8" w:rsidRPr="00EE7914">
        <w:t>utilities (IOUs)</w:t>
      </w:r>
      <w:r w:rsidR="00D40C8F">
        <w:t>, participated in the hearing,</w:t>
      </w:r>
      <w:r w:rsidR="007103B8" w:rsidRPr="00EE7914">
        <w:t xml:space="preserve"> </w:t>
      </w:r>
      <w:r w:rsidR="00CD3AEE">
        <w:t xml:space="preserve">are </w:t>
      </w:r>
      <w:r w:rsidR="007103B8" w:rsidRPr="00EE7914">
        <w:t>subject to the Florida Energy Efficien</w:t>
      </w:r>
      <w:r w:rsidR="00612463">
        <w:t xml:space="preserve">cy and Conservation Act (FEECA), </w:t>
      </w:r>
      <w:r w:rsidR="00612463" w:rsidRPr="00EE7914">
        <w:t>Sections 366.80 through 366.83 and 4</w:t>
      </w:r>
      <w:r w:rsidR="00CD3AEE">
        <w:t>03.519, Florida Statutes (F.S.).  These IOUs may</w:t>
      </w:r>
      <w:r w:rsidR="00612463" w:rsidRPr="00EE7914">
        <w:t xml:space="preserve"> </w:t>
      </w:r>
      <w:r w:rsidR="007103B8" w:rsidRPr="00EE7914">
        <w:t xml:space="preserve">seek to recover costs associated with </w:t>
      </w:r>
      <w:r w:rsidR="00E01567">
        <w:t xml:space="preserve">our </w:t>
      </w:r>
      <w:r w:rsidR="007103B8" w:rsidRPr="00EE7914">
        <w:t>approved demand-side management (DSM) programs through the ECCR clause. These utilities are: Duke Energy Florida, LLC (DEF), Florida Power &amp; Light Company (FPL), Florida Public Utilities Company (FPUC), Gulf Power Company (Gulf), and Tampa Electric Company (TECO).</w:t>
      </w:r>
      <w:r w:rsidR="00FB1F85">
        <w:t xml:space="preserve">  In addition, w</w:t>
      </w:r>
      <w:r w:rsidR="00E01567">
        <w:t>e</w:t>
      </w:r>
      <w:r w:rsidR="007103B8" w:rsidRPr="00EE7914">
        <w:t xml:space="preserve"> granted intervention to the Southern Alliance for Clean Energy (SACE) and White Springs Agricultural Chemica</w:t>
      </w:r>
      <w:r w:rsidR="001F6606">
        <w:t>ls, Inc. (PCS Phosphate or PCS) and</w:t>
      </w:r>
      <w:r w:rsidR="007103B8" w:rsidRPr="00EE7914">
        <w:t xml:space="preserve"> acknowledged intervention by the Office of the Public Counsel (OPC).</w:t>
      </w:r>
    </w:p>
    <w:p w:rsidR="007103B8" w:rsidRPr="00EE7914" w:rsidRDefault="007103B8" w:rsidP="007103B8">
      <w:pPr>
        <w:jc w:val="both"/>
      </w:pPr>
    </w:p>
    <w:p w:rsidR="00D62F95" w:rsidRDefault="00D62F95" w:rsidP="008600D3">
      <w:pPr>
        <w:ind w:firstLine="720"/>
        <w:jc w:val="both"/>
      </w:pPr>
      <w:r>
        <w:t>By this Order, as discussed in greater detail below, we deny the petitioners’ request to</w:t>
      </w:r>
      <w:r w:rsidRPr="00EE7914">
        <w:t xml:space="preserve"> opt out of participating in</w:t>
      </w:r>
      <w:r w:rsidR="00CD3AEE">
        <w:t>, and contributing to the costs of,</w:t>
      </w:r>
      <w:r w:rsidRPr="00EE7914">
        <w:t xml:space="preserve"> investor-owned utility-sponsored energy efficiency programs.</w:t>
      </w:r>
      <w:r>
        <w:t xml:space="preserve"> As a result, we do not find it necessary that the utilities</w:t>
      </w:r>
      <w:r w:rsidRPr="00EE7914">
        <w:t xml:space="preserve"> be required to separate their ECCR expenditures into two categories, </w:t>
      </w:r>
      <w:r>
        <w:t xml:space="preserve">in order </w:t>
      </w:r>
      <w:r w:rsidRPr="00EE7914">
        <w:t xml:space="preserve">to facilitate an opt-out </w:t>
      </w:r>
      <w:r w:rsidR="00AF4251">
        <w:t>policy</w:t>
      </w:r>
      <w:r>
        <w:t>, nor select criteria for an opt-out policy</w:t>
      </w:r>
      <w:r w:rsidRPr="00EE7914">
        <w:t xml:space="preserve">. </w:t>
      </w:r>
    </w:p>
    <w:p w:rsidR="00D62F95" w:rsidRDefault="00D62F95" w:rsidP="008600D3">
      <w:pPr>
        <w:ind w:firstLine="720"/>
        <w:jc w:val="both"/>
      </w:pPr>
    </w:p>
    <w:p w:rsidR="008600D3" w:rsidRDefault="00E01567" w:rsidP="008600D3">
      <w:pPr>
        <w:ind w:firstLine="720"/>
        <w:jc w:val="both"/>
      </w:pPr>
      <w:r>
        <w:t>We have</w:t>
      </w:r>
      <w:r w:rsidR="007103B8" w:rsidRPr="00EE7914">
        <w:t xml:space="preserve"> jurisdiction over this matter pursuant to </w:t>
      </w:r>
      <w:bookmarkStart w:id="7" w:name="_Toc435626896"/>
      <w:bookmarkStart w:id="8" w:name="DiscussionOfIssues"/>
      <w:bookmarkEnd w:id="6"/>
      <w:r w:rsidR="00612463">
        <w:t>the provisions of FEECA.</w:t>
      </w:r>
    </w:p>
    <w:p w:rsidR="008600D3" w:rsidRDefault="008600D3" w:rsidP="008600D3">
      <w:pPr>
        <w:ind w:firstLine="720"/>
        <w:jc w:val="both"/>
      </w:pPr>
    </w:p>
    <w:p w:rsidR="00612463" w:rsidRPr="00BB3328" w:rsidRDefault="00612463" w:rsidP="00BB3328">
      <w:pPr>
        <w:pStyle w:val="ListParagraph"/>
        <w:keepNext/>
        <w:numPr>
          <w:ilvl w:val="0"/>
          <w:numId w:val="17"/>
        </w:numPr>
        <w:spacing w:after="240"/>
        <w:outlineLvl w:val="0"/>
        <w:rPr>
          <w:b/>
          <w:bCs/>
          <w:kern w:val="32"/>
          <w:szCs w:val="32"/>
          <w:u w:val="single"/>
        </w:rPr>
      </w:pPr>
      <w:bookmarkStart w:id="9" w:name="_Toc435626894"/>
      <w:r w:rsidRPr="00D62F95">
        <w:rPr>
          <w:bCs/>
          <w:kern w:val="32"/>
          <w:szCs w:val="32"/>
          <w:u w:val="single"/>
        </w:rPr>
        <w:t>Background</w:t>
      </w:r>
      <w:bookmarkEnd w:id="9"/>
      <w:r w:rsidRPr="00BB3328">
        <w:rPr>
          <w:b/>
          <w:bCs/>
          <w:kern w:val="32"/>
          <w:szCs w:val="32"/>
          <w:u w:val="single"/>
        </w:rPr>
        <w:fldChar w:fldCharType="begin"/>
      </w:r>
      <w:r w:rsidRPr="00BB3328">
        <w:rPr>
          <w:b/>
          <w:bCs/>
          <w:kern w:val="32"/>
          <w:szCs w:val="32"/>
          <w:u w:val="single"/>
        </w:rPr>
        <w:instrText xml:space="preserve"> TC  "</w:instrText>
      </w:r>
      <w:r w:rsidRPr="00BB3328">
        <w:rPr>
          <w:b/>
          <w:bCs/>
          <w:kern w:val="32"/>
          <w:szCs w:val="32"/>
          <w:u w:val="single"/>
        </w:rPr>
        <w:tab/>
      </w:r>
      <w:bookmarkStart w:id="10" w:name="_Toc94516455"/>
      <w:r w:rsidRPr="00BB3328">
        <w:rPr>
          <w:b/>
          <w:bCs/>
          <w:kern w:val="32"/>
          <w:szCs w:val="32"/>
          <w:u w:val="single"/>
        </w:rPr>
        <w:instrText>Case Background</w:instrText>
      </w:r>
      <w:bookmarkEnd w:id="10"/>
      <w:r w:rsidRPr="00BB3328">
        <w:rPr>
          <w:b/>
          <w:bCs/>
          <w:kern w:val="32"/>
          <w:szCs w:val="32"/>
          <w:u w:val="single"/>
        </w:rPr>
        <w:instrText xml:space="preserve">" \l 1 </w:instrText>
      </w:r>
      <w:r w:rsidRPr="00BB3328">
        <w:rPr>
          <w:b/>
          <w:bCs/>
          <w:kern w:val="32"/>
          <w:szCs w:val="32"/>
          <w:u w:val="single"/>
        </w:rPr>
        <w:fldChar w:fldCharType="end"/>
      </w:r>
    </w:p>
    <w:p w:rsidR="008441E0" w:rsidRPr="00EE7914" w:rsidRDefault="00612463" w:rsidP="008441E0">
      <w:pPr>
        <w:spacing w:after="240"/>
        <w:ind w:firstLine="720"/>
        <w:jc w:val="both"/>
      </w:pPr>
      <w:r w:rsidRPr="00612463">
        <w:rPr>
          <w:bCs/>
          <w:kern w:val="32"/>
          <w:szCs w:val="32"/>
        </w:rPr>
        <w:t>To implement FEECA</w:t>
      </w:r>
      <w:r w:rsidR="008441E0" w:rsidRPr="00612463">
        <w:t>,</w:t>
      </w:r>
      <w:r w:rsidR="008441E0" w:rsidRPr="00EE7914">
        <w:t xml:space="preserve"> </w:t>
      </w:r>
      <w:r w:rsidR="0094033F">
        <w:t>we</w:t>
      </w:r>
      <w:r w:rsidR="008441E0" w:rsidRPr="00EE7914">
        <w:t xml:space="preserve"> adopted Rule 25-17.015, Florida Administrative Code (F.A.C.), which establishes a mechanism whereby unreimbursed costs of conservation programs may be recovered through </w:t>
      </w:r>
      <w:r w:rsidR="00685FB8">
        <w:t xml:space="preserve">the ECCR </w:t>
      </w:r>
      <w:r w:rsidR="008441E0" w:rsidRPr="00EE7914">
        <w:t>clause.</w:t>
      </w:r>
      <w:r w:rsidR="008441E0" w:rsidRPr="00EE7914">
        <w:rPr>
          <w:vertAlign w:val="superscript"/>
        </w:rPr>
        <w:footnoteReference w:id="2"/>
      </w:r>
      <w:r w:rsidR="00CD3B92">
        <w:t xml:space="preserve"> </w:t>
      </w:r>
      <w:r w:rsidR="008441E0" w:rsidRPr="00EE7914">
        <w:t>When t</w:t>
      </w:r>
      <w:r>
        <w:t>he ECCR clause was established</w:t>
      </w:r>
      <w:r w:rsidR="00A52EBB">
        <w:t>,</w:t>
      </w:r>
      <w:r>
        <w:t xml:space="preserve"> w</w:t>
      </w:r>
      <w:r w:rsidR="0094033F">
        <w:t xml:space="preserve">e </w:t>
      </w:r>
      <w:r w:rsidR="008441E0" w:rsidRPr="00EE7914">
        <w:t xml:space="preserve">determined that the costs associated with conservation benefits </w:t>
      </w:r>
      <w:r w:rsidR="00CD3B92">
        <w:t>shall</w:t>
      </w:r>
      <w:r w:rsidR="008441E0" w:rsidRPr="00EE7914">
        <w:t xml:space="preserve"> be spread to all customers, rejecting the notion that only the participants in conservation programs</w:t>
      </w:r>
      <w:r w:rsidR="00685FB8">
        <w:t xml:space="preserve"> should</w:t>
      </w:r>
      <w:r w:rsidR="008441E0" w:rsidRPr="00EE7914">
        <w:t xml:space="preserve"> benefit from those programs.</w:t>
      </w:r>
      <w:r w:rsidR="008441E0" w:rsidRPr="00EE7914">
        <w:rPr>
          <w:vertAlign w:val="superscript"/>
        </w:rPr>
        <w:footnoteReference w:id="3"/>
      </w:r>
    </w:p>
    <w:p w:rsidR="008441E0" w:rsidRPr="00EE7914" w:rsidRDefault="008441E0" w:rsidP="008441E0">
      <w:pPr>
        <w:spacing w:after="240"/>
        <w:ind w:firstLine="720"/>
        <w:jc w:val="both"/>
      </w:pPr>
      <w:r w:rsidRPr="00EE7914">
        <w:t xml:space="preserve">An opt-out </w:t>
      </w:r>
      <w:r w:rsidR="00AF4251">
        <w:t>policy</w:t>
      </w:r>
      <w:r w:rsidR="00AF4251" w:rsidRPr="00EE7914">
        <w:t xml:space="preserve"> </w:t>
      </w:r>
      <w:r w:rsidRPr="00EE7914">
        <w:t xml:space="preserve">would allow certain qualifying customers </w:t>
      </w:r>
      <w:r w:rsidR="00685FB8">
        <w:t>to decide whether to pay for and participate</w:t>
      </w:r>
      <w:r w:rsidRPr="00EE7914">
        <w:t xml:space="preserve"> in utility-fun</w:t>
      </w:r>
      <w:r w:rsidR="00CD3B92">
        <w:t xml:space="preserve">ded energy efficiency programs. </w:t>
      </w:r>
      <w:r w:rsidRPr="00EE7914">
        <w:t>Although FIPUG and Wal-Mart put forward different proposals (Attachment A), both proposals advocate</w:t>
      </w:r>
      <w:r w:rsidR="00685FB8">
        <w:t>d</w:t>
      </w:r>
      <w:r w:rsidRPr="00EE7914">
        <w:t xml:space="preserve"> allowing eligible large customers</w:t>
      </w:r>
      <w:r w:rsidR="00685FB8">
        <w:t xml:space="preserve"> to opt out of participating in</w:t>
      </w:r>
      <w:r w:rsidRPr="00EE7914">
        <w:t xml:space="preserve"> and paying</w:t>
      </w:r>
      <w:r w:rsidR="00B478AF">
        <w:t xml:space="preserve"> the</w:t>
      </w:r>
      <w:r w:rsidRPr="00EE7914">
        <w:t xml:space="preserve"> costs associated with utility-sponsor</w:t>
      </w:r>
      <w:r w:rsidR="00AF4251">
        <w:t>ed energy efficiency programs. The c</w:t>
      </w:r>
      <w:r w:rsidRPr="00EE7914">
        <w:t xml:space="preserve">osts for all types of investor-owned utility-sponsored conservation programs are currently recovered from all ratepayers through the ECCR clause. </w:t>
      </w:r>
    </w:p>
    <w:p w:rsidR="008441E0" w:rsidRPr="00EE7914" w:rsidRDefault="00BF5F36" w:rsidP="008441E0">
      <w:pPr>
        <w:spacing w:after="240"/>
        <w:ind w:firstLine="720"/>
        <w:jc w:val="both"/>
      </w:pPr>
      <w:r>
        <w:t xml:space="preserve">FIPUG and </w:t>
      </w:r>
      <w:r w:rsidRPr="00EE7914">
        <w:t>Wal-Mart</w:t>
      </w:r>
      <w:r>
        <w:t xml:space="preserve"> </w:t>
      </w:r>
      <w:r w:rsidRPr="00EE7914">
        <w:t>are seeking relief from paying for energy efficienc</w:t>
      </w:r>
      <w:r>
        <w:t xml:space="preserve">y program-related ECCR charges, </w:t>
      </w:r>
      <w:r w:rsidRPr="00EE7914">
        <w:t>which they believe do no</w:t>
      </w:r>
      <w:r>
        <w:t xml:space="preserve">t benefit them. </w:t>
      </w:r>
      <w:r w:rsidR="008441E0" w:rsidRPr="00EE7914">
        <w:t xml:space="preserve">The petitioners </w:t>
      </w:r>
      <w:r w:rsidR="0047453F">
        <w:t>and PCS Phosphate</w:t>
      </w:r>
      <w:r w:rsidR="0047453F" w:rsidRPr="00EE7914">
        <w:t xml:space="preserve"> </w:t>
      </w:r>
      <w:r w:rsidR="008441E0" w:rsidRPr="00EE7914">
        <w:t xml:space="preserve">assert that an opt-out policy is justified because custom incentive programs are </w:t>
      </w:r>
      <w:r w:rsidR="008441E0" w:rsidRPr="00EE7914">
        <w:lastRenderedPageBreak/>
        <w:t>unsatisfactory</w:t>
      </w:r>
      <w:r w:rsidR="0047453F">
        <w:t>. Customer incentive programs are programs available through the four largest Florida IOUs, which allow eligible customers to design a custom program to increase conservation efforts and allow for rebates within each IOU’s programs.  The petitioners and PCS Phosphate</w:t>
      </w:r>
      <w:r w:rsidR="008441E0" w:rsidRPr="00EE7914">
        <w:t xml:space="preserve"> </w:t>
      </w:r>
      <w:r w:rsidR="0047453F">
        <w:t>argue that</w:t>
      </w:r>
      <w:r w:rsidR="008441E0" w:rsidRPr="00EE7914">
        <w:t xml:space="preserve"> the petitioners can implement energy efficiency</w:t>
      </w:r>
      <w:r w:rsidR="00CD3B92">
        <w:t xml:space="preserve"> more effectively on their own. </w:t>
      </w:r>
      <w:r w:rsidR="008441E0" w:rsidRPr="00EE7914">
        <w:t xml:space="preserve">The petitioners </w:t>
      </w:r>
      <w:r w:rsidR="001F6606">
        <w:t>and PCS Phosphate</w:t>
      </w:r>
      <w:r w:rsidR="001F6606" w:rsidRPr="00EE7914">
        <w:t xml:space="preserve"> </w:t>
      </w:r>
      <w:r w:rsidR="008441E0" w:rsidRPr="00EE7914">
        <w:t xml:space="preserve">further contend that opt-out </w:t>
      </w:r>
      <w:r w:rsidR="00AF4251">
        <w:t>policies</w:t>
      </w:r>
      <w:r w:rsidR="008441E0" w:rsidRPr="00EE7914">
        <w:t xml:space="preserve"> are offered to l</w:t>
      </w:r>
      <w:r w:rsidR="00CD3B92">
        <w:t xml:space="preserve">arge customers in other states. </w:t>
      </w:r>
      <w:r w:rsidR="00A52EBB">
        <w:t>T</w:t>
      </w:r>
      <w:r w:rsidR="008441E0" w:rsidRPr="00EE7914">
        <w:t>he petitioners</w:t>
      </w:r>
      <w:r w:rsidR="001F6606" w:rsidRPr="001F6606">
        <w:t xml:space="preserve"> </w:t>
      </w:r>
      <w:r w:rsidR="001F6606">
        <w:t>and PCS Phosphate</w:t>
      </w:r>
      <w:r w:rsidR="008441E0" w:rsidRPr="00EE7914">
        <w:t xml:space="preserve"> claim that paying the full ECCR costs in Florida places the</w:t>
      </w:r>
      <w:r w:rsidR="00CD3B92">
        <w:t>m at a competitive disadvantage</w:t>
      </w:r>
      <w:r w:rsidR="00A52EBB">
        <w:t>,</w:t>
      </w:r>
      <w:r w:rsidR="00CD3B92">
        <w:t xml:space="preserve"> </w:t>
      </w:r>
      <w:r w:rsidR="008441E0" w:rsidRPr="00EE7914">
        <w:t xml:space="preserve">and that the Florida economy would become more competitive by allowing an opt-out </w:t>
      </w:r>
      <w:r w:rsidR="00AF4251">
        <w:t>policy</w:t>
      </w:r>
      <w:r w:rsidR="008441E0" w:rsidRPr="00EE7914">
        <w:t xml:space="preserve">. </w:t>
      </w:r>
    </w:p>
    <w:p w:rsidR="008441E0" w:rsidRPr="00EE7914" w:rsidRDefault="008441E0" w:rsidP="008441E0">
      <w:pPr>
        <w:spacing w:after="240"/>
        <w:ind w:firstLine="720"/>
        <w:jc w:val="both"/>
      </w:pPr>
      <w:r w:rsidRPr="00EE7914">
        <w:t xml:space="preserve">Wal-Mart’s opt-out proposal is based on its </w:t>
      </w:r>
      <w:r w:rsidR="001F6606">
        <w:t>assertion</w:t>
      </w:r>
      <w:r w:rsidRPr="00EE7914">
        <w:t xml:space="preserve"> that a customer that implements energy efficiency measures on it</w:t>
      </w:r>
      <w:r w:rsidR="00CD3B92">
        <w:t xml:space="preserve">s own benefits other customers. </w:t>
      </w:r>
      <w:r w:rsidRPr="00EE7914">
        <w:t xml:space="preserve">Therefore, Wal-Mart </w:t>
      </w:r>
      <w:r w:rsidR="001F6606">
        <w:t>argues</w:t>
      </w:r>
      <w:r w:rsidRPr="00EE7914">
        <w:t xml:space="preserve"> that </w:t>
      </w:r>
      <w:r w:rsidR="0094033F">
        <w:t>we</w:t>
      </w:r>
      <w:r w:rsidRPr="00EE7914">
        <w:t xml:space="preserve"> should</w:t>
      </w:r>
    </w:p>
    <w:p w:rsidR="008441E0" w:rsidRPr="00EE7914" w:rsidRDefault="008441E0" w:rsidP="008441E0">
      <w:pPr>
        <w:spacing w:after="240"/>
        <w:ind w:left="720" w:right="720"/>
        <w:jc w:val="both"/>
      </w:pPr>
      <w:r w:rsidRPr="00EE7914">
        <w:t xml:space="preserve">redesign the Florida investor-owned utilities’ Energy Conservation Cost Recovery (“ECCR”) Charges in such a way that the charges for energy efficiency (“EE”) are segregated from the demand side management portion of the ECCR charge… allowing customers who meet defined criteria to satisfy their EE responsibilities by implementing their own EE measures. By virtue of their self-implemented measures, such customers would be exempt from paying ECCR charges for the EE portion. </w:t>
      </w:r>
    </w:p>
    <w:p w:rsidR="008441E0" w:rsidRPr="00EE7914" w:rsidRDefault="008441E0" w:rsidP="00CD3B92">
      <w:pPr>
        <w:spacing w:after="240"/>
        <w:jc w:val="both"/>
      </w:pPr>
      <w:r w:rsidRPr="00EE7914">
        <w:t xml:space="preserve">Wal-Mart also states that an opt-out </w:t>
      </w:r>
      <w:r w:rsidR="00AF4251">
        <w:t xml:space="preserve">policy </w:t>
      </w:r>
      <w:r w:rsidR="0047453F">
        <w:t>would</w:t>
      </w:r>
      <w:r w:rsidRPr="00EE7914">
        <w:t xml:space="preserve"> increase cost-effective energy conservation and energy savings. </w:t>
      </w:r>
      <w:r w:rsidR="0094033F">
        <w:t xml:space="preserve"> </w:t>
      </w:r>
    </w:p>
    <w:p w:rsidR="008441E0" w:rsidRPr="00EE7914" w:rsidRDefault="008441E0" w:rsidP="008441E0">
      <w:pPr>
        <w:spacing w:after="240"/>
        <w:ind w:firstLine="720"/>
        <w:jc w:val="both"/>
      </w:pPr>
      <w:r w:rsidRPr="00EE7914">
        <w:t>FIPUG’s opt-out proposal is based on its belief that the customer knows its energy efficiency needs better than the</w:t>
      </w:r>
      <w:r w:rsidR="00CD3AEE">
        <w:t xml:space="preserve"> utility. FIPUG explains an opt-</w:t>
      </w:r>
      <w:r w:rsidRPr="00EE7914">
        <w:t>out</w:t>
      </w:r>
      <w:r w:rsidR="00B478AF">
        <w:t xml:space="preserve"> </w:t>
      </w:r>
      <w:r w:rsidR="00AF4251">
        <w:t xml:space="preserve">policy </w:t>
      </w:r>
      <w:r w:rsidR="00B478AF">
        <w:t>would give</w:t>
      </w:r>
      <w:r w:rsidRPr="00EE7914">
        <w:t xml:space="preserve"> </w:t>
      </w:r>
    </w:p>
    <w:p w:rsidR="008441E0" w:rsidRPr="00EE7914" w:rsidRDefault="008441E0" w:rsidP="008441E0">
      <w:pPr>
        <w:spacing w:after="240"/>
        <w:ind w:left="720" w:right="720"/>
        <w:jc w:val="both"/>
      </w:pPr>
      <w:r w:rsidRPr="00EE7914">
        <w:t xml:space="preserve">certain qualifying customers a choice between paying for and participating in utility-funded energy efficiency measures or self-funding their own cost-effective energy efficiency improvements. A customer that opts out has either implemented (or committed to fund and implement) its own energy efficiency measures or has determined as a result of an energy audit or analysis that there are no cost-effective measures for the customer. </w:t>
      </w:r>
      <w:r w:rsidR="0094033F">
        <w:t xml:space="preserve"> </w:t>
      </w:r>
    </w:p>
    <w:p w:rsidR="008441E0" w:rsidRPr="00EE7914" w:rsidRDefault="008441E0" w:rsidP="008441E0">
      <w:pPr>
        <w:spacing w:after="240"/>
        <w:ind w:firstLine="720"/>
        <w:jc w:val="both"/>
      </w:pPr>
      <w:r w:rsidRPr="00EE7914">
        <w:t>FIPUG argues that other states have approved an energy efficiency opt-out policy for lar</w:t>
      </w:r>
      <w:r w:rsidR="001F6606">
        <w:t xml:space="preserve">ge customers and </w:t>
      </w:r>
      <w:r w:rsidRPr="00EE7914">
        <w:t xml:space="preserve">insists that its proposed opt-out </w:t>
      </w:r>
      <w:r w:rsidR="00AF4251">
        <w:t>policy</w:t>
      </w:r>
      <w:r w:rsidR="00AF4251" w:rsidRPr="00EE7914">
        <w:t xml:space="preserve"> </w:t>
      </w:r>
      <w:r w:rsidRPr="00EE7914">
        <w:t>would not shift costs or harm other customers. PCS Phosphate asserts that an opt-out</w:t>
      </w:r>
      <w:r w:rsidR="00AF4251">
        <w:t xml:space="preserve"> policy</w:t>
      </w:r>
      <w:r w:rsidRPr="00EE7914">
        <w:t xml:space="preserve"> is a good policy that should not be rejected simply because of worries about administrative considerations and costs. </w:t>
      </w:r>
      <w:r w:rsidR="0094033F">
        <w:t xml:space="preserve"> </w:t>
      </w:r>
    </w:p>
    <w:p w:rsidR="008441E0" w:rsidRPr="00EE7914" w:rsidRDefault="008441E0" w:rsidP="008441E0">
      <w:pPr>
        <w:spacing w:after="240"/>
        <w:ind w:firstLine="720"/>
        <w:jc w:val="both"/>
      </w:pPr>
      <w:r w:rsidRPr="00EE7914">
        <w:t xml:space="preserve">The IOUs argue that all ratepayers benefit from cost-effective </w:t>
      </w:r>
      <w:r w:rsidR="00FE3245">
        <w:t>DSM</w:t>
      </w:r>
      <w:r w:rsidR="00CD3B92">
        <w:t xml:space="preserve"> programs. </w:t>
      </w:r>
      <w:r w:rsidRPr="00EE7914">
        <w:t xml:space="preserve">Therefore, the IOUs </w:t>
      </w:r>
      <w:r w:rsidR="00AF4251">
        <w:t>contend</w:t>
      </w:r>
      <w:r w:rsidRPr="00EE7914">
        <w:t xml:space="preserve"> there is no reason for </w:t>
      </w:r>
      <w:r w:rsidR="008600D3">
        <w:t>us</w:t>
      </w:r>
      <w:r w:rsidRPr="00EE7914">
        <w:t xml:space="preserve"> to change </w:t>
      </w:r>
      <w:r w:rsidR="00B478AF">
        <w:t>our</w:t>
      </w:r>
      <w:r w:rsidRPr="00EE7914">
        <w:t xml:space="preserve"> long standing policy that all ratepa</w:t>
      </w:r>
      <w:r w:rsidR="00CD3B92">
        <w:t xml:space="preserve">yers should share in the costs. </w:t>
      </w:r>
      <w:r w:rsidRPr="00EE7914">
        <w:t xml:space="preserve">The IOUs further </w:t>
      </w:r>
      <w:r w:rsidR="00AF4251">
        <w:t>argue</w:t>
      </w:r>
      <w:r w:rsidRPr="00EE7914">
        <w:t xml:space="preserve"> that</w:t>
      </w:r>
      <w:r w:rsidR="00B478AF">
        <w:t xml:space="preserve"> their </w:t>
      </w:r>
      <w:r w:rsidR="00350A2A">
        <w:t>existing</w:t>
      </w:r>
      <w:r w:rsidR="00B478AF">
        <w:t xml:space="preserve"> </w:t>
      </w:r>
      <w:r w:rsidRPr="00EE7914">
        <w:t xml:space="preserve">custom incentive programs allow the petitioners flexibility to design their </w:t>
      </w:r>
      <w:r w:rsidR="00B478AF">
        <w:t xml:space="preserve">own energy efficiency projects. </w:t>
      </w:r>
      <w:r w:rsidRPr="00EE7914">
        <w:t xml:space="preserve">Additionally, the IOUs insist that an opt-out policy would shift costs and harm non-opt-out customers. </w:t>
      </w:r>
      <w:r w:rsidR="0094033F">
        <w:t xml:space="preserve"> </w:t>
      </w:r>
    </w:p>
    <w:p w:rsidR="008441E0" w:rsidRPr="00EE7914" w:rsidRDefault="008441E0" w:rsidP="0047453F">
      <w:pPr>
        <w:spacing w:after="240"/>
        <w:ind w:firstLine="720"/>
        <w:jc w:val="both"/>
      </w:pPr>
      <w:r w:rsidRPr="00EE7914">
        <w:lastRenderedPageBreak/>
        <w:t xml:space="preserve">FPL </w:t>
      </w:r>
      <w:r w:rsidR="004A7291">
        <w:t>argues</w:t>
      </w:r>
      <w:r w:rsidRPr="00EE7914">
        <w:t xml:space="preserve"> that an opt-out </w:t>
      </w:r>
      <w:r w:rsidR="00AF4251">
        <w:t>policy</w:t>
      </w:r>
      <w:r w:rsidR="00AF4251" w:rsidRPr="00EE7914">
        <w:t xml:space="preserve"> </w:t>
      </w:r>
      <w:r w:rsidRPr="00EE7914">
        <w:t>would harm the general body of ratepayers</w:t>
      </w:r>
      <w:r w:rsidR="00B478AF">
        <w:t xml:space="preserve"> by shifting costs to other ratepayers. </w:t>
      </w:r>
      <w:r w:rsidRPr="00EE7914">
        <w:t xml:space="preserve">FPL also </w:t>
      </w:r>
      <w:r w:rsidR="004A7291">
        <w:t>allows</w:t>
      </w:r>
      <w:r w:rsidRPr="00EE7914">
        <w:t xml:space="preserve"> that an opt-out policy would add administrative costs, and fail t</w:t>
      </w:r>
      <w:r w:rsidR="00B478AF">
        <w:t xml:space="preserve">o advance the mission of FEECA. </w:t>
      </w:r>
      <w:r w:rsidRPr="00EE7914">
        <w:t xml:space="preserve">DEF </w:t>
      </w:r>
      <w:r w:rsidR="004A7291">
        <w:t>contends</w:t>
      </w:r>
      <w:r w:rsidRPr="00EE7914">
        <w:t xml:space="preserve"> that an opt-out policy is unnecessary because DSM programs that pass the Rate Impact Measure (RI</w:t>
      </w:r>
      <w:r w:rsidR="00CD3B92">
        <w:t xml:space="preserve">M) test benefit all ratepayers. </w:t>
      </w:r>
      <w:r w:rsidRPr="00EE7914">
        <w:t xml:space="preserve">DEF </w:t>
      </w:r>
      <w:r w:rsidR="00AF4251">
        <w:t>asserts that it is</w:t>
      </w:r>
      <w:r w:rsidRPr="00EE7914">
        <w:t xml:space="preserve"> concerned that it </w:t>
      </w:r>
      <w:r w:rsidR="0047453F">
        <w:t>would</w:t>
      </w:r>
      <w:r w:rsidRPr="00EE7914">
        <w:t xml:space="preserve"> be difficult to hold harmless customers who do </w:t>
      </w:r>
      <w:r w:rsidR="0047453F">
        <w:t xml:space="preserve">not opt out. </w:t>
      </w:r>
      <w:r w:rsidR="00FE3245">
        <w:t xml:space="preserve">TECO </w:t>
      </w:r>
      <w:r w:rsidR="00AD7E45">
        <w:t xml:space="preserve">and Gulf contend </w:t>
      </w:r>
      <w:r w:rsidR="00FE3245">
        <w:t>that</w:t>
      </w:r>
      <w:r w:rsidR="00AD7E45">
        <w:t xml:space="preserve"> an opt-out </w:t>
      </w:r>
      <w:r w:rsidR="00AF4251">
        <w:t xml:space="preserve">policy </w:t>
      </w:r>
      <w:r w:rsidR="00AD7E45">
        <w:t xml:space="preserve">for certain large customers would be a departure with Commission policy and practice.  TECO further contends the opt-out </w:t>
      </w:r>
      <w:r w:rsidR="00AF4251">
        <w:t xml:space="preserve">policy </w:t>
      </w:r>
      <w:r w:rsidR="00AD7E45">
        <w:t>would be inconsistent with the current handling of conservation costs under FEECA.</w:t>
      </w:r>
      <w:r w:rsidR="00CD3B92">
        <w:t xml:space="preserve"> </w:t>
      </w:r>
      <w:r w:rsidRPr="00EE7914">
        <w:t xml:space="preserve">FPUC </w:t>
      </w:r>
      <w:r w:rsidR="008600D3">
        <w:t>argues</w:t>
      </w:r>
      <w:r w:rsidRPr="00EE7914">
        <w:t xml:space="preserve"> that implementing an opt-out policy would be difficult and that overseeing an opt-out would be outside </w:t>
      </w:r>
      <w:r w:rsidR="0094033F">
        <w:t>our</w:t>
      </w:r>
      <w:r w:rsidRPr="00EE7914">
        <w:t xml:space="preserve"> purview, because </w:t>
      </w:r>
      <w:r w:rsidR="008600D3">
        <w:t>we do</w:t>
      </w:r>
      <w:r w:rsidRPr="00EE7914">
        <w:t xml:space="preserve"> not have authority over the conservation actions of large customers. </w:t>
      </w:r>
      <w:r w:rsidR="0094033F">
        <w:t xml:space="preserve"> </w:t>
      </w:r>
    </w:p>
    <w:p w:rsidR="008441E0" w:rsidRPr="00EE7914" w:rsidRDefault="008441E0" w:rsidP="00CD3B92">
      <w:pPr>
        <w:spacing w:after="240"/>
        <w:ind w:firstLine="720"/>
        <w:jc w:val="both"/>
      </w:pPr>
      <w:r w:rsidRPr="00EE7914">
        <w:t xml:space="preserve">SACE </w:t>
      </w:r>
      <w:r w:rsidR="004A7291">
        <w:t>argues</w:t>
      </w:r>
      <w:r w:rsidRPr="00EE7914">
        <w:t xml:space="preserve"> that the opt-out proposals from the petitioners are not sufficiently developed for </w:t>
      </w:r>
      <w:r w:rsidR="008600D3">
        <w:t>us</w:t>
      </w:r>
      <w:r w:rsidR="00CD3B92">
        <w:t xml:space="preserve"> to approve. O</w:t>
      </w:r>
      <w:r w:rsidRPr="00EE7914">
        <w:t>PC is concerned that an opt-out policy could harm the general body of ratepayers</w:t>
      </w:r>
      <w:r w:rsidR="0094033F">
        <w:t>.</w:t>
      </w:r>
      <w:r w:rsidRPr="00EE7914">
        <w:t xml:space="preserve"> OPC </w:t>
      </w:r>
      <w:r w:rsidR="00AF4251">
        <w:t xml:space="preserve">contends that the petitioners </w:t>
      </w:r>
      <w:r w:rsidRPr="00EE7914">
        <w:t>have not convincingly demonstrated that</w:t>
      </w:r>
      <w:r w:rsidR="00AF4251">
        <w:t xml:space="preserve"> cost shifting as a result of an opt-out policy will not occur. </w:t>
      </w:r>
      <w:r w:rsidRPr="00EE7914">
        <w:t xml:space="preserve">OPC also </w:t>
      </w:r>
      <w:r w:rsidR="00AF4251">
        <w:t>contends</w:t>
      </w:r>
      <w:r w:rsidRPr="00EE7914">
        <w:t xml:space="preserve"> that </w:t>
      </w:r>
      <w:r w:rsidR="00B478AF">
        <w:t xml:space="preserve">the </w:t>
      </w:r>
      <w:r w:rsidRPr="00EE7914">
        <w:t xml:space="preserve">petitioners ignore that they benefit from energy efficiency programs that pass RIM even when the petitioners do not participate. </w:t>
      </w:r>
      <w:r w:rsidR="0094033F">
        <w:t xml:space="preserve"> </w:t>
      </w:r>
    </w:p>
    <w:p w:rsidR="008441E0" w:rsidRPr="00BB3328" w:rsidRDefault="008441E0" w:rsidP="00BB3328">
      <w:pPr>
        <w:pStyle w:val="ListParagraph"/>
        <w:numPr>
          <w:ilvl w:val="0"/>
          <w:numId w:val="18"/>
        </w:numPr>
        <w:jc w:val="both"/>
        <w:outlineLvl w:val="3"/>
        <w:rPr>
          <w:b/>
          <w:bCs/>
          <w:i/>
          <w:iCs/>
          <w:szCs w:val="28"/>
        </w:rPr>
      </w:pPr>
      <w:r w:rsidRPr="00BB3328">
        <w:rPr>
          <w:b/>
          <w:bCs/>
          <w:i/>
          <w:iCs/>
          <w:szCs w:val="28"/>
        </w:rPr>
        <w:t>Opt-Out Policies in Other States</w:t>
      </w:r>
    </w:p>
    <w:p w:rsidR="0054544A" w:rsidRPr="00EE7914" w:rsidRDefault="0054544A" w:rsidP="008441E0">
      <w:pPr>
        <w:ind w:left="720"/>
        <w:jc w:val="both"/>
        <w:outlineLvl w:val="3"/>
        <w:rPr>
          <w:b/>
          <w:bCs/>
          <w:i/>
          <w:iCs/>
          <w:szCs w:val="28"/>
        </w:rPr>
      </w:pPr>
    </w:p>
    <w:p w:rsidR="008441E0" w:rsidRPr="00EE7914" w:rsidRDefault="008441E0" w:rsidP="008441E0">
      <w:pPr>
        <w:ind w:firstLine="720"/>
        <w:jc w:val="both"/>
      </w:pPr>
      <w:r w:rsidRPr="00EE7914">
        <w:t xml:space="preserve">Wal-Mart </w:t>
      </w:r>
      <w:r w:rsidR="00FD582E">
        <w:t>asserts</w:t>
      </w:r>
      <w:r w:rsidRPr="00EE7914">
        <w:t xml:space="preserve"> that Oklahoma has an opt-out policy, with an eligibility threshold of 15 million </w:t>
      </w:r>
      <w:r w:rsidR="00B478AF">
        <w:t>kilowatt-hours (</w:t>
      </w:r>
      <w:r w:rsidRPr="00EE7914">
        <w:t>kWh</w:t>
      </w:r>
      <w:r w:rsidR="00B478AF">
        <w:t>)</w:t>
      </w:r>
      <w:r w:rsidRPr="00EE7914">
        <w:t xml:space="preserve"> of electricity consumption per year aggreg</w:t>
      </w:r>
      <w:r w:rsidR="00CD3B92">
        <w:t xml:space="preserve">ated across all customer sites. </w:t>
      </w:r>
      <w:r w:rsidRPr="00EE7914">
        <w:t xml:space="preserve">Wal-Mart also asserts that opt-outs exist in South Carolina for Duke Energy, as well as for other utilities in Missouri and West Virginia. </w:t>
      </w:r>
    </w:p>
    <w:p w:rsidR="008441E0" w:rsidRPr="00EE7914" w:rsidRDefault="008441E0" w:rsidP="008441E0">
      <w:pPr>
        <w:jc w:val="both"/>
      </w:pPr>
    </w:p>
    <w:p w:rsidR="008441E0" w:rsidRPr="00EE7914" w:rsidRDefault="008441E0" w:rsidP="008441E0">
      <w:pPr>
        <w:ind w:firstLine="720"/>
        <w:jc w:val="both"/>
      </w:pPr>
      <w:r w:rsidRPr="00EE7914">
        <w:t xml:space="preserve">FIPUG </w:t>
      </w:r>
      <w:r w:rsidR="00FD582E">
        <w:t>argues</w:t>
      </w:r>
      <w:r w:rsidRPr="00EE7914">
        <w:t xml:space="preserve"> that opt-out states include Texas, Virginia, Arkansas, Indiana, Louisiana, Missouri, North Carolina, Oklahoma, South Carolina, </w:t>
      </w:r>
      <w:r w:rsidR="00CD3B92">
        <w:t xml:space="preserve">and West Virginia. </w:t>
      </w:r>
      <w:r w:rsidR="00312BE6">
        <w:t xml:space="preserve">Self-direct programs allow participating customers to direct the dollars they would have otherwise contributed to utility-sponsored programs to their own energy efficiency </w:t>
      </w:r>
      <w:r w:rsidR="00AD7E45">
        <w:t>investments.</w:t>
      </w:r>
      <w:r w:rsidR="00AD7E45" w:rsidRPr="00EE7914">
        <w:t xml:space="preserve"> Self</w:t>
      </w:r>
      <w:r w:rsidRPr="00EE7914">
        <w:t>-direct states include several Midwestern states from Ohio to Minnesota, most of the Mountain West and the Northwest United States.</w:t>
      </w:r>
      <w:r w:rsidR="00CD3B92">
        <w:t xml:space="preserve"> </w:t>
      </w:r>
      <w:r w:rsidRPr="00EE7914">
        <w:t xml:space="preserve">Lastly, FIPUG </w:t>
      </w:r>
      <w:r w:rsidR="00FD582E">
        <w:t>argues</w:t>
      </w:r>
      <w:r w:rsidRPr="00EE7914">
        <w:t xml:space="preserve"> that its petition is similar to processes that other states have already done. </w:t>
      </w:r>
    </w:p>
    <w:p w:rsidR="008441E0" w:rsidRPr="00EE7914" w:rsidRDefault="008441E0" w:rsidP="008441E0">
      <w:pPr>
        <w:jc w:val="both"/>
      </w:pPr>
    </w:p>
    <w:p w:rsidR="0054544A" w:rsidRPr="00FB1F85" w:rsidRDefault="008441E0" w:rsidP="00312BE6">
      <w:pPr>
        <w:ind w:firstLine="720"/>
        <w:jc w:val="both"/>
      </w:pPr>
      <w:r w:rsidRPr="00EE7914">
        <w:t xml:space="preserve">TECO </w:t>
      </w:r>
      <w:r w:rsidR="008600D3">
        <w:t>contends</w:t>
      </w:r>
      <w:r w:rsidRPr="00EE7914">
        <w:t xml:space="preserve"> that just because other states have an opt-out </w:t>
      </w:r>
      <w:r w:rsidR="00AF4251">
        <w:t>policy</w:t>
      </w:r>
      <w:r w:rsidR="00AF4251" w:rsidRPr="00EE7914">
        <w:t xml:space="preserve"> </w:t>
      </w:r>
      <w:r w:rsidR="00AF4251">
        <w:t>does not mean that the policy</w:t>
      </w:r>
      <w:r w:rsidR="00CD3B92">
        <w:t xml:space="preserve"> is an ideal path for Florida. </w:t>
      </w:r>
      <w:r w:rsidRPr="00EE7914">
        <w:t xml:space="preserve">TECO also comments that if </w:t>
      </w:r>
      <w:r w:rsidR="008600D3">
        <w:t>we</w:t>
      </w:r>
      <w:r w:rsidRPr="00EE7914">
        <w:t xml:space="preserve"> were to pursue an opt-out policy, </w:t>
      </w:r>
      <w:r w:rsidR="008600D3">
        <w:t>we</w:t>
      </w:r>
      <w:r w:rsidRPr="00EE7914">
        <w:t xml:space="preserve"> should explore opt-out states’ policies, legislative mandates, and cost tests. </w:t>
      </w:r>
      <w:r w:rsidR="00724656">
        <w:t xml:space="preserve"> </w:t>
      </w:r>
      <w:r w:rsidRPr="00EE7914">
        <w:t xml:space="preserve"> FPL </w:t>
      </w:r>
      <w:r w:rsidR="00B478AF">
        <w:t>maintains</w:t>
      </w:r>
      <w:r w:rsidRPr="00EE7914">
        <w:t xml:space="preserve"> that special accommodations may exist in other states due to specific legislativ</w:t>
      </w:r>
      <w:r w:rsidR="00CD3B92">
        <w:t xml:space="preserve">e and regulatory circumstances. </w:t>
      </w:r>
      <w:r w:rsidRPr="00EE7914">
        <w:t xml:space="preserve">FPL </w:t>
      </w:r>
      <w:r w:rsidR="008600D3">
        <w:t>argues</w:t>
      </w:r>
      <w:r w:rsidRPr="00EE7914">
        <w:t xml:space="preserve"> that the petitioners have not proved that </w:t>
      </w:r>
      <w:r w:rsidR="00FE3245">
        <w:t xml:space="preserve">the </w:t>
      </w:r>
      <w:r w:rsidRPr="00EE7914">
        <w:t xml:space="preserve">circumstances that led to opt-outs in other states would be germane to Florida. Like TECO and FPL, </w:t>
      </w:r>
      <w:r w:rsidR="005662CD" w:rsidRPr="00EE7914">
        <w:t xml:space="preserve">DEF </w:t>
      </w:r>
      <w:r w:rsidR="005662CD">
        <w:t>argues</w:t>
      </w:r>
      <w:r w:rsidR="008600D3">
        <w:t xml:space="preserve"> </w:t>
      </w:r>
      <w:r w:rsidRPr="00EE7914">
        <w:t>that other states allow opt-outs, but Florida has specific regulatory characteris</w:t>
      </w:r>
      <w:r w:rsidR="00CD3B92">
        <w:t xml:space="preserve">tics such as the FEECA statute. DEF </w:t>
      </w:r>
      <w:r w:rsidR="00AF4251">
        <w:t xml:space="preserve">also contends </w:t>
      </w:r>
      <w:r w:rsidRPr="00EE7914">
        <w:t>looking at other states that have opt-out criteria, those criteria are often part of the overall landscape that was created and env</w:t>
      </w:r>
      <w:r w:rsidR="00AF4251">
        <w:t xml:space="preserve">isioned for energy efficiency. </w:t>
      </w:r>
      <w:r w:rsidRPr="00EE7914">
        <w:t xml:space="preserve">DEF </w:t>
      </w:r>
      <w:r w:rsidR="00CD3B92">
        <w:t>argues that</w:t>
      </w:r>
      <w:r w:rsidRPr="00EE7914">
        <w:t xml:space="preserve"> </w:t>
      </w:r>
      <w:r w:rsidR="00AF4251">
        <w:t>if we had</w:t>
      </w:r>
      <w:r w:rsidRPr="00EE7914">
        <w:t xml:space="preserve"> a piece of legislation around energy efficiency and demand </w:t>
      </w:r>
      <w:r w:rsidRPr="00EE7914">
        <w:lastRenderedPageBreak/>
        <w:t>response and an opt-out wasn’t contemplated in it, trying to put it in late</w:t>
      </w:r>
      <w:r w:rsidR="00AF4251">
        <w:t>r may not align appropriately.</w:t>
      </w:r>
    </w:p>
    <w:p w:rsidR="0054544A" w:rsidRDefault="0054544A" w:rsidP="0054544A">
      <w:pPr>
        <w:jc w:val="both"/>
        <w:outlineLvl w:val="1"/>
        <w:rPr>
          <w:b/>
          <w:bCs/>
          <w:iCs/>
          <w:szCs w:val="28"/>
        </w:rPr>
      </w:pPr>
    </w:p>
    <w:p w:rsidR="00312BE6" w:rsidRPr="00D62F95" w:rsidRDefault="00312BE6" w:rsidP="00D62F95">
      <w:pPr>
        <w:pStyle w:val="ListParagraph"/>
        <w:numPr>
          <w:ilvl w:val="0"/>
          <w:numId w:val="17"/>
        </w:numPr>
        <w:outlineLvl w:val="1"/>
        <w:rPr>
          <w:u w:val="single"/>
        </w:rPr>
      </w:pPr>
      <w:r w:rsidRPr="00D62F95">
        <w:rPr>
          <w:u w:val="single"/>
        </w:rPr>
        <w:t>Decision</w:t>
      </w:r>
    </w:p>
    <w:p w:rsidR="00312BE6" w:rsidRPr="00312BE6" w:rsidRDefault="00312BE6" w:rsidP="00312BE6">
      <w:pPr>
        <w:ind w:firstLine="720"/>
        <w:jc w:val="center"/>
        <w:outlineLvl w:val="1"/>
        <w:rPr>
          <w:u w:val="single"/>
        </w:rPr>
      </w:pPr>
    </w:p>
    <w:p w:rsidR="008441E0" w:rsidRDefault="00FB1F85" w:rsidP="0054544A">
      <w:pPr>
        <w:ind w:firstLine="720"/>
        <w:jc w:val="both"/>
        <w:outlineLvl w:val="1"/>
      </w:pPr>
      <w:r>
        <w:t xml:space="preserve">Our decision is based upon </w:t>
      </w:r>
      <w:r w:rsidR="00B478AF">
        <w:t>five</w:t>
      </w:r>
      <w:r w:rsidR="008441E0" w:rsidRPr="00EE7914">
        <w:t xml:space="preserve"> </w:t>
      </w:r>
      <w:r w:rsidR="004958CF">
        <w:t>factors</w:t>
      </w:r>
      <w:r w:rsidR="008441E0" w:rsidRPr="00EE7914">
        <w:t xml:space="preserve">: (1) impact on cost-effective conservation, (2) the potential for cost shifting, (3) equity and fairness concerns, (4) availability of custom incentive programs, and (5) implementation issues.  </w:t>
      </w:r>
    </w:p>
    <w:p w:rsidR="0054544A" w:rsidRPr="0054544A" w:rsidRDefault="0054544A" w:rsidP="0054544A">
      <w:pPr>
        <w:ind w:firstLine="720"/>
        <w:jc w:val="both"/>
        <w:outlineLvl w:val="1"/>
        <w:rPr>
          <w:b/>
          <w:bCs/>
          <w:iCs/>
          <w:szCs w:val="28"/>
        </w:rPr>
      </w:pPr>
    </w:p>
    <w:p w:rsidR="008441E0" w:rsidRPr="00BB3328" w:rsidRDefault="008441E0" w:rsidP="00BB3328">
      <w:pPr>
        <w:pStyle w:val="ListParagraph"/>
        <w:numPr>
          <w:ilvl w:val="1"/>
          <w:numId w:val="17"/>
        </w:numPr>
        <w:jc w:val="both"/>
        <w:outlineLvl w:val="3"/>
        <w:rPr>
          <w:b/>
          <w:bCs/>
          <w:i/>
          <w:iCs/>
          <w:szCs w:val="28"/>
        </w:rPr>
      </w:pPr>
      <w:r w:rsidRPr="00BB3328">
        <w:rPr>
          <w:b/>
          <w:bCs/>
          <w:i/>
          <w:iCs/>
          <w:szCs w:val="28"/>
        </w:rPr>
        <w:t>Impact</w:t>
      </w:r>
      <w:r w:rsidR="0054544A" w:rsidRPr="00BB3328">
        <w:rPr>
          <w:b/>
          <w:bCs/>
          <w:i/>
          <w:iCs/>
          <w:szCs w:val="28"/>
        </w:rPr>
        <w:t xml:space="preserve"> on</w:t>
      </w:r>
      <w:r w:rsidRPr="00BB3328">
        <w:rPr>
          <w:b/>
          <w:bCs/>
          <w:i/>
          <w:iCs/>
          <w:szCs w:val="28"/>
        </w:rPr>
        <w:t xml:space="preserve"> Cost-Effective Conservation</w:t>
      </w:r>
    </w:p>
    <w:p w:rsidR="0054544A" w:rsidRPr="00EE7914" w:rsidRDefault="0054544A" w:rsidP="008441E0">
      <w:pPr>
        <w:ind w:left="720"/>
        <w:jc w:val="both"/>
        <w:outlineLvl w:val="3"/>
        <w:rPr>
          <w:b/>
          <w:bCs/>
          <w:i/>
          <w:iCs/>
          <w:szCs w:val="28"/>
        </w:rPr>
      </w:pPr>
    </w:p>
    <w:p w:rsidR="008441E0" w:rsidRPr="00EE7914" w:rsidRDefault="008441E0" w:rsidP="008441E0">
      <w:pPr>
        <w:spacing w:after="240"/>
        <w:ind w:firstLine="720"/>
        <w:jc w:val="both"/>
      </w:pPr>
      <w:r w:rsidRPr="00EE7914">
        <w:t>A key question to consider when evaluating an opt-out policy is whether the proposals will result in more cost-effective conservation than when all ratepayers participate in, and pay for, utility-sponsored energy efficiency pr</w:t>
      </w:r>
      <w:r w:rsidR="00CD3B92">
        <w:t xml:space="preserve">ograms. </w:t>
      </w:r>
      <w:r w:rsidR="008600D3">
        <w:t>We</w:t>
      </w:r>
      <w:r w:rsidRPr="00EE7914">
        <w:t xml:space="preserve"> currently </w:t>
      </w:r>
      <w:r w:rsidR="005662CD" w:rsidRPr="00EE7914">
        <w:t>set</w:t>
      </w:r>
      <w:r w:rsidRPr="00EE7914">
        <w:t xml:space="preserve"> demand-side man</w:t>
      </w:r>
      <w:r w:rsidR="0054544A">
        <w:t>agement (DSM) goals and approve</w:t>
      </w:r>
      <w:r w:rsidRPr="00EE7914">
        <w:t xml:space="preserve"> programs based on whether the associated demand and energy savings are cost-effective under the RIM test.</w:t>
      </w:r>
    </w:p>
    <w:p w:rsidR="008441E0" w:rsidRPr="00EE7914" w:rsidRDefault="008441E0" w:rsidP="008441E0">
      <w:pPr>
        <w:spacing w:after="240"/>
        <w:ind w:firstLine="720"/>
        <w:jc w:val="both"/>
      </w:pPr>
      <w:r w:rsidRPr="00EE7914">
        <w:t xml:space="preserve">The petitioners—FIPUG and Wal-Mart—argue that they know their businesses best. </w:t>
      </w:r>
      <w:r w:rsidR="00724656">
        <w:t xml:space="preserve"> </w:t>
      </w:r>
      <w:r w:rsidR="00CD3B92">
        <w:t xml:space="preserve"> PCS Phosphate agrees. </w:t>
      </w:r>
      <w:r w:rsidRPr="00EE7914">
        <w:t xml:space="preserve">FIPUG </w:t>
      </w:r>
      <w:r w:rsidR="004958CF">
        <w:t xml:space="preserve">asserts that </w:t>
      </w:r>
      <w:r w:rsidRPr="00EE7914">
        <w:t>sophisticated en</w:t>
      </w:r>
      <w:r w:rsidR="004958CF">
        <w:t xml:space="preserve">ergy consumers are better able than the utility </w:t>
      </w:r>
      <w:r w:rsidRPr="00EE7914">
        <w:t xml:space="preserve">to invest in cost-effective energy efficiency measures </w:t>
      </w:r>
      <w:r w:rsidR="004958CF">
        <w:t>that meet their specific needs.</w:t>
      </w:r>
      <w:r w:rsidRPr="00EE7914">
        <w:t xml:space="preserve"> </w:t>
      </w:r>
      <w:r w:rsidR="00724656">
        <w:t xml:space="preserve"> </w:t>
      </w:r>
      <w:r w:rsidRPr="00EE7914">
        <w:t xml:space="preserve"> The petitioners also insist that when they invest in energy efficiency on the</w:t>
      </w:r>
      <w:r w:rsidR="00CD3B92">
        <w:t xml:space="preserve">ir own, all ratepayers benefit. </w:t>
      </w:r>
      <w:r w:rsidRPr="00EE7914">
        <w:t xml:space="preserve">Wal-Mart </w:t>
      </w:r>
      <w:r w:rsidR="008600D3">
        <w:t>contends</w:t>
      </w:r>
      <w:r w:rsidR="004958CF">
        <w:t xml:space="preserve"> that a </w:t>
      </w:r>
      <w:r w:rsidRPr="00EE7914">
        <w:t>customer, whether commercial or industrial, that implements DSM and EE measures on its own yields network benefits for all of</w:t>
      </w:r>
      <w:r w:rsidR="00CD3B92">
        <w:t xml:space="preserve"> the Company’s other customers. </w:t>
      </w:r>
      <w:r w:rsidRPr="00EE7914">
        <w:t xml:space="preserve">These network benefits include reduced overall energy cost that result from the reduced load and </w:t>
      </w:r>
      <w:r w:rsidR="004958CF">
        <w:t>demand of the customers</w:t>
      </w:r>
      <w:r w:rsidR="00D40C8F">
        <w:t>’</w:t>
      </w:r>
      <w:r w:rsidR="004958CF">
        <w:t xml:space="preserve"> system.</w:t>
      </w:r>
      <w:r w:rsidRPr="00EE7914">
        <w:t xml:space="preserve"> </w:t>
      </w:r>
    </w:p>
    <w:p w:rsidR="008441E0" w:rsidRPr="00EE7914" w:rsidRDefault="008441E0" w:rsidP="008441E0">
      <w:pPr>
        <w:ind w:firstLine="720"/>
        <w:jc w:val="both"/>
      </w:pPr>
      <w:r w:rsidRPr="00EE7914">
        <w:t xml:space="preserve">Wal-Mart </w:t>
      </w:r>
      <w:r w:rsidR="004958CF">
        <w:t>asserts</w:t>
      </w:r>
      <w:r w:rsidR="008600D3">
        <w:t xml:space="preserve"> that it </w:t>
      </w:r>
      <w:r w:rsidRPr="00EE7914">
        <w:t>has made a commitment to improve energy efficiency by decreasing the energy intensity of its b</w:t>
      </w:r>
      <w:r w:rsidR="00CD3B92">
        <w:t xml:space="preserve">uildings by 20 percent by 2020. </w:t>
      </w:r>
      <w:r w:rsidRPr="00EE7914">
        <w:t xml:space="preserve">Wal-Mart uses various energy </w:t>
      </w:r>
      <w:r w:rsidR="004A7291">
        <w:t xml:space="preserve">savings technologies including </w:t>
      </w:r>
      <w:r w:rsidR="00D40C8F">
        <w:t>(</w:t>
      </w:r>
      <w:r w:rsidR="004A7291">
        <w:t xml:space="preserve">1) </w:t>
      </w:r>
      <w:r w:rsidRPr="00EE7914">
        <w:t>daylight harvesting and optimization systems that monitor and adjust lighting in</w:t>
      </w:r>
      <w:r w:rsidR="004A7291">
        <w:t xml:space="preserve">tensity, </w:t>
      </w:r>
      <w:r w:rsidR="00D40C8F">
        <w:t>(</w:t>
      </w:r>
      <w:r w:rsidR="004A7291">
        <w:t xml:space="preserve">2) white membrane roofs, </w:t>
      </w:r>
      <w:r w:rsidR="00D40C8F">
        <w:t>(</w:t>
      </w:r>
      <w:r w:rsidR="004A7291">
        <w:t>3)</w:t>
      </w:r>
      <w:r w:rsidR="004958CF">
        <w:t xml:space="preserve"> </w:t>
      </w:r>
      <w:r w:rsidR="004A7291">
        <w:t xml:space="preserve">heat recovery from its refrigeration systems, </w:t>
      </w:r>
      <w:r w:rsidR="00D40C8F">
        <w:t>(</w:t>
      </w:r>
      <w:r w:rsidR="004A7291">
        <w:t>4)</w:t>
      </w:r>
      <w:r w:rsidRPr="00EE7914">
        <w:t xml:space="preserve"> efficient heating, ventilation, and air conditioning systems</w:t>
      </w:r>
      <w:r w:rsidR="00BB3328" w:rsidRPr="00EE7914">
        <w:t xml:space="preserve">, </w:t>
      </w:r>
      <w:r w:rsidR="00D40C8F">
        <w:t>(</w:t>
      </w:r>
      <w:r w:rsidR="00BB3328">
        <w:t>5</w:t>
      </w:r>
      <w:r w:rsidR="004A7291">
        <w:t xml:space="preserve">) </w:t>
      </w:r>
      <w:r w:rsidRPr="00EE7914">
        <w:t xml:space="preserve">LED lighting, and </w:t>
      </w:r>
      <w:r w:rsidR="00D40C8F">
        <w:t>(</w:t>
      </w:r>
      <w:r w:rsidR="004A7291">
        <w:t xml:space="preserve">6) </w:t>
      </w:r>
      <w:r w:rsidRPr="00EE7914">
        <w:t>active dehumidification that dec</w:t>
      </w:r>
      <w:r w:rsidR="00CD3B92">
        <w:t xml:space="preserve">reases electricity consumption. </w:t>
      </w:r>
      <w:r w:rsidRPr="00EE7914">
        <w:t xml:space="preserve">FIPUG did not provide specific information on its members’ energy efficiency projects, but did </w:t>
      </w:r>
      <w:r w:rsidR="004958CF">
        <w:t>assert</w:t>
      </w:r>
      <w:r w:rsidRPr="00EE7914">
        <w:t xml:space="preserve"> that its members have employees</w:t>
      </w:r>
      <w:r w:rsidR="005E0BA4">
        <w:t xml:space="preserve"> who handle energy efficiency concerns.</w:t>
      </w:r>
      <w:r w:rsidRPr="00EE7914">
        <w:t xml:space="preserve"> </w:t>
      </w:r>
      <w:r w:rsidR="00724656">
        <w:t xml:space="preserve"> </w:t>
      </w:r>
    </w:p>
    <w:p w:rsidR="008441E0" w:rsidRPr="00EE7914" w:rsidRDefault="008441E0" w:rsidP="008441E0">
      <w:pPr>
        <w:jc w:val="both"/>
      </w:pPr>
    </w:p>
    <w:p w:rsidR="008441E0" w:rsidRPr="00EE7914" w:rsidRDefault="008441E0" w:rsidP="008441E0">
      <w:pPr>
        <w:spacing w:after="240"/>
        <w:ind w:firstLine="720"/>
        <w:jc w:val="both"/>
      </w:pPr>
      <w:r w:rsidRPr="00EE7914">
        <w:t>The petitioners further argue that paying the ECCR charges takes away from their ability to insta</w:t>
      </w:r>
      <w:r w:rsidR="00CD3B92">
        <w:t xml:space="preserve">ll cost-effective DSM measures. </w:t>
      </w:r>
      <w:r w:rsidRPr="00EE7914">
        <w:t xml:space="preserve">PCS Phosphate </w:t>
      </w:r>
      <w:r w:rsidR="004A7291">
        <w:t xml:space="preserve">argues that </w:t>
      </w:r>
      <w:r w:rsidRPr="00EE7914">
        <w:t>customer charges imposed by the ECCR clause actually deplete the dollars available to those large customers for making the desired e</w:t>
      </w:r>
      <w:r w:rsidR="004A7291">
        <w:t>nergy efficiency improvements.</w:t>
      </w:r>
      <w:r w:rsidR="00724656">
        <w:t xml:space="preserve"> </w:t>
      </w:r>
    </w:p>
    <w:p w:rsidR="008441E0" w:rsidRPr="00EE7914" w:rsidRDefault="008441E0" w:rsidP="008441E0">
      <w:pPr>
        <w:spacing w:after="240"/>
        <w:ind w:firstLine="720"/>
        <w:jc w:val="both"/>
      </w:pPr>
      <w:r w:rsidRPr="00EE7914">
        <w:t xml:space="preserve">The utilities counter the petitioners’ testimony by </w:t>
      </w:r>
      <w:r w:rsidR="004958CF">
        <w:t>arguing</w:t>
      </w:r>
      <w:r w:rsidRPr="00EE7914">
        <w:t xml:space="preserve"> that because </w:t>
      </w:r>
      <w:r w:rsidR="00724656">
        <w:t>we</w:t>
      </w:r>
      <w:r w:rsidR="004B645E">
        <w:t xml:space="preserve"> set goals and approve</w:t>
      </w:r>
      <w:r w:rsidRPr="00EE7914">
        <w:t xml:space="preserve"> programs based on the RIM test, all ratepayers benefit fr</w:t>
      </w:r>
      <w:r w:rsidR="00CD3B92">
        <w:t xml:space="preserve">om cost-effective DSM programs. </w:t>
      </w:r>
      <w:r w:rsidRPr="00EE7914">
        <w:t xml:space="preserve">Gulf </w:t>
      </w:r>
      <w:r w:rsidR="00CD3B92">
        <w:t xml:space="preserve">argues </w:t>
      </w:r>
      <w:r w:rsidR="00724656">
        <w:t>that</w:t>
      </w:r>
      <w:r w:rsidR="00B4493B">
        <w:t xml:space="preserve"> although both Wal-Mart and FIPUG recognize the benefits of DSM programs, there is a failure to acknowledge that RIM-passing energy efficiency programs</w:t>
      </w:r>
      <w:r w:rsidR="00B161C2">
        <w:t xml:space="preserve"> provide</w:t>
      </w:r>
      <w:r w:rsidR="00B4493B">
        <w:t xml:space="preserve"> </w:t>
      </w:r>
      <w:r w:rsidR="004B645E">
        <w:t>benefit</w:t>
      </w:r>
      <w:r w:rsidR="00CD3AEE">
        <w:t>s</w:t>
      </w:r>
      <w:r w:rsidR="00B161C2">
        <w:t xml:space="preserve"> </w:t>
      </w:r>
      <w:r w:rsidR="00CD3AEE">
        <w:t>that exceed</w:t>
      </w:r>
      <w:r w:rsidR="00B161C2">
        <w:t xml:space="preserve"> cost, to</w:t>
      </w:r>
      <w:r w:rsidR="00B4493B">
        <w:t xml:space="preserve"> all customers, regardless of participation. </w:t>
      </w:r>
      <w:r w:rsidR="00724656">
        <w:t xml:space="preserve"> </w:t>
      </w:r>
      <w:r w:rsidR="00FE3245">
        <w:t xml:space="preserve">TECO </w:t>
      </w:r>
      <w:r w:rsidR="005E0BA4">
        <w:t xml:space="preserve">asserts that </w:t>
      </w:r>
      <w:r w:rsidR="00B4493B">
        <w:lastRenderedPageBreak/>
        <w:t xml:space="preserve">the proposed opt-out </w:t>
      </w:r>
      <w:r w:rsidR="00AF4251">
        <w:t>policies</w:t>
      </w:r>
      <w:r w:rsidR="00B4493B">
        <w:t xml:space="preserve"> </w:t>
      </w:r>
      <w:r w:rsidR="005E0BA4">
        <w:t>would preclu</w:t>
      </w:r>
      <w:r w:rsidR="00B4493B">
        <w:t>de</w:t>
      </w:r>
      <w:r w:rsidR="005E0BA4">
        <w:t xml:space="preserve"> certain customers from sharing in the costs of investments in energy efficiency</w:t>
      </w:r>
      <w:r w:rsidR="00B4493B">
        <w:t xml:space="preserve"> even though the investments are </w:t>
      </w:r>
      <w:r w:rsidR="00AD7E45">
        <w:t>beneficial</w:t>
      </w:r>
      <w:r w:rsidR="00B4493B">
        <w:t xml:space="preserve"> to all customers. </w:t>
      </w:r>
      <w:r w:rsidR="00AD7E45">
        <w:t>Similarly</w:t>
      </w:r>
      <w:r w:rsidR="00B4493B">
        <w:t xml:space="preserve">, </w:t>
      </w:r>
      <w:r w:rsidRPr="00EE7914">
        <w:t xml:space="preserve">OPC </w:t>
      </w:r>
      <w:r w:rsidR="00B161C2">
        <w:t>contends</w:t>
      </w:r>
      <w:r w:rsidRPr="00EE7914">
        <w:t xml:space="preserve"> that </w:t>
      </w:r>
      <w:r w:rsidR="005E0BA4">
        <w:t>Wal-Mart’s opt-out proposal does not utilize a RIM test and therefore indicates that all ratepayers will not benefit from the opt-out proposals.</w:t>
      </w:r>
      <w:r w:rsidR="00CD3B92">
        <w:t xml:space="preserve"> </w:t>
      </w:r>
    </w:p>
    <w:p w:rsidR="008441E0" w:rsidRPr="00EE7914" w:rsidRDefault="00B161C2" w:rsidP="00312BE6">
      <w:pPr>
        <w:spacing w:after="240"/>
        <w:ind w:firstLine="720"/>
        <w:jc w:val="both"/>
      </w:pPr>
      <w:r>
        <w:t xml:space="preserve">TECO </w:t>
      </w:r>
      <w:r w:rsidR="004B7EF9">
        <w:t>a</w:t>
      </w:r>
      <w:r w:rsidR="009F401B">
        <w:t>sserts</w:t>
      </w:r>
      <w:r>
        <w:t xml:space="preserve"> that </w:t>
      </w:r>
      <w:r w:rsidR="004B7EF9">
        <w:t xml:space="preserve">in Docket No. 930759-EG, </w:t>
      </w:r>
      <w:r>
        <w:t xml:space="preserve">we </w:t>
      </w:r>
      <w:r w:rsidR="004B7EF9">
        <w:t xml:space="preserve">previously reviewed opt-out proposals which would have significantly </w:t>
      </w:r>
      <w:r w:rsidR="009F401B">
        <w:t>altered</w:t>
      </w:r>
      <w:r w:rsidR="004B7EF9">
        <w:t xml:space="preserve"> the allocation and recovery of costs, with similarities to the instant proceeding.</w:t>
      </w:r>
      <w:r w:rsidR="004958CF" w:rsidRPr="004958CF">
        <w:rPr>
          <w:rStyle w:val="FootnoteReference"/>
        </w:rPr>
        <w:t xml:space="preserve"> </w:t>
      </w:r>
      <w:r w:rsidR="004958CF">
        <w:rPr>
          <w:rStyle w:val="FootnoteReference"/>
        </w:rPr>
        <w:footnoteReference w:id="4"/>
      </w:r>
      <w:r w:rsidR="004B7EF9">
        <w:t xml:space="preserve"> </w:t>
      </w:r>
      <w:r w:rsidR="009F401B">
        <w:t xml:space="preserve">TECO characterized our Order No. PSC-93-1845-FOF-EG as finding </w:t>
      </w:r>
      <w:r w:rsidR="00AD7E45">
        <w:t xml:space="preserve">that </w:t>
      </w:r>
      <w:r w:rsidR="00D40C8F">
        <w:t>(</w:t>
      </w:r>
      <w:r w:rsidR="00AD7E45">
        <w:t>1</w:t>
      </w:r>
      <w:r w:rsidR="009F401B">
        <w:t xml:space="preserve">) </w:t>
      </w:r>
      <w:r w:rsidR="008441E0" w:rsidRPr="00EE7914">
        <w:t>cost-effective conservation program</w:t>
      </w:r>
      <w:r w:rsidR="00D40C8F">
        <w:t>s benefit all customer classes, and (</w:t>
      </w:r>
      <w:r w:rsidR="009F401B">
        <w:t>2) there was</w:t>
      </w:r>
      <w:r w:rsidR="008441E0" w:rsidRPr="00EE7914">
        <w:t xml:space="preserve"> no need to give preferential treatment to</w:t>
      </w:r>
      <w:r w:rsidR="009F401B">
        <w:t xml:space="preserve"> </w:t>
      </w:r>
      <w:r w:rsidR="00D40C8F">
        <w:t>(</w:t>
      </w:r>
      <w:r w:rsidR="009F401B">
        <w:t>a)</w:t>
      </w:r>
      <w:r w:rsidR="008441E0" w:rsidRPr="00EE7914">
        <w:t xml:space="preserve"> certain customer classes </w:t>
      </w:r>
      <w:r w:rsidR="009F401B">
        <w:t xml:space="preserve">or </w:t>
      </w:r>
      <w:r w:rsidR="00D40C8F">
        <w:t>(</w:t>
      </w:r>
      <w:r w:rsidR="009F401B">
        <w:t>b)</w:t>
      </w:r>
      <w:r w:rsidR="008441E0" w:rsidRPr="00EE7914">
        <w:t xml:space="preserve"> </w:t>
      </w:r>
      <w:r w:rsidR="009F401B">
        <w:t xml:space="preserve">certain customers within those </w:t>
      </w:r>
      <w:r w:rsidR="00CD3B92">
        <w:t>classes.</w:t>
      </w:r>
      <w:r w:rsidR="009F401B">
        <w:t xml:space="preserve"> </w:t>
      </w:r>
      <w:r w:rsidR="0012702E">
        <w:t>TECO asserts that</w:t>
      </w:r>
      <w:r w:rsidR="00FD582E">
        <w:t xml:space="preserve">, in deciding a previous request by FIPUG, </w:t>
      </w:r>
      <w:r w:rsidR="009F401B">
        <w:t>we recognized the shared cost/benefit relationship</w:t>
      </w:r>
      <w:r w:rsidR="00DF6746">
        <w:t>.</w:t>
      </w:r>
      <w:r w:rsidR="004958CF">
        <w:rPr>
          <w:rStyle w:val="FootnoteReference"/>
        </w:rPr>
        <w:footnoteReference w:id="5"/>
      </w:r>
      <w:r w:rsidR="00DF6746">
        <w:t xml:space="preserve">  </w:t>
      </w:r>
      <w:r w:rsidR="0012702E">
        <w:t>TECO further contends that we</w:t>
      </w:r>
      <w:r w:rsidR="00724656">
        <w:t xml:space="preserve"> </w:t>
      </w:r>
      <w:r w:rsidR="008441E0" w:rsidRPr="00EE7914">
        <w:t xml:space="preserve">rejected </w:t>
      </w:r>
      <w:r w:rsidR="004958CF">
        <w:t>FIPUG’s</w:t>
      </w:r>
      <w:r w:rsidR="008441E0" w:rsidRPr="00EE7914">
        <w:t xml:space="preserve"> proposal </w:t>
      </w:r>
      <w:r w:rsidR="00312BE6">
        <w:t>because we determined that all customers share benefits</w:t>
      </w:r>
      <w:r w:rsidR="00CD3AEE">
        <w:t xml:space="preserve">, therefore authorized costs should be recovered from all </w:t>
      </w:r>
      <w:r w:rsidR="00312BE6">
        <w:t xml:space="preserve">customers. </w:t>
      </w:r>
    </w:p>
    <w:p w:rsidR="008441E0" w:rsidRPr="00FD582E" w:rsidRDefault="008441E0" w:rsidP="008441E0">
      <w:pPr>
        <w:spacing w:after="240"/>
        <w:ind w:firstLine="720"/>
        <w:jc w:val="both"/>
      </w:pPr>
      <w:r w:rsidRPr="00EE7914">
        <w:t xml:space="preserve">In addition, it is important that </w:t>
      </w:r>
      <w:r w:rsidR="00724656">
        <w:t>our</w:t>
      </w:r>
      <w:r w:rsidRPr="00EE7914">
        <w:t xml:space="preserve"> goals are based on energy and demand savings from incremental energy efficiency and demand-side manage</w:t>
      </w:r>
      <w:r w:rsidR="00CD3B92">
        <w:t xml:space="preserve">ment activities. </w:t>
      </w:r>
      <w:r w:rsidRPr="00EE7914">
        <w:t xml:space="preserve">FIPUG’s proposal allows eligible customers to opt out without investing in incremental energy efficiency measures. </w:t>
      </w:r>
      <w:r w:rsidR="008600D3">
        <w:t xml:space="preserve">FIPUG </w:t>
      </w:r>
      <w:r w:rsidR="00FD582E">
        <w:t>argues</w:t>
      </w:r>
      <w:r w:rsidRPr="00EE7914">
        <w:t xml:space="preserve"> that </w:t>
      </w:r>
      <w:r w:rsidR="008600D3">
        <w:t xml:space="preserve">its </w:t>
      </w:r>
      <w:r w:rsidRPr="00EE7914">
        <w:t>customer eligibility criteria would allow a customer to opt out by providing a le</w:t>
      </w:r>
      <w:r w:rsidR="00FD582E">
        <w:t>tter stating that the customer has invested, or intends to invest</w:t>
      </w:r>
      <w:r w:rsidRPr="00EE7914">
        <w:t xml:space="preserve"> in </w:t>
      </w:r>
      <w:r w:rsidRPr="00FD582E">
        <w:t>energy efficiency or has conducted an energy audit or analysis determining that there are no cost-effective energy efficiency measures</w:t>
      </w:r>
      <w:r w:rsidR="00FD582E" w:rsidRPr="00FD582E">
        <w:t>.</w:t>
      </w:r>
      <w:r w:rsidRPr="00FD582E">
        <w:t xml:space="preserve"> </w:t>
      </w:r>
    </w:p>
    <w:p w:rsidR="008441E0" w:rsidRPr="00BB3328" w:rsidRDefault="008441E0" w:rsidP="00BB3328">
      <w:pPr>
        <w:pStyle w:val="ListParagraph"/>
        <w:numPr>
          <w:ilvl w:val="1"/>
          <w:numId w:val="17"/>
        </w:numPr>
        <w:jc w:val="both"/>
        <w:outlineLvl w:val="3"/>
        <w:rPr>
          <w:b/>
          <w:bCs/>
          <w:i/>
          <w:iCs/>
          <w:szCs w:val="28"/>
        </w:rPr>
      </w:pPr>
      <w:r w:rsidRPr="00BB3328">
        <w:rPr>
          <w:b/>
          <w:bCs/>
          <w:i/>
          <w:iCs/>
          <w:szCs w:val="28"/>
        </w:rPr>
        <w:t>Potential for Cost Shifting</w:t>
      </w:r>
    </w:p>
    <w:p w:rsidR="0054544A" w:rsidRPr="00EE7914" w:rsidRDefault="0054544A" w:rsidP="008441E0">
      <w:pPr>
        <w:ind w:left="720"/>
        <w:jc w:val="both"/>
        <w:outlineLvl w:val="3"/>
        <w:rPr>
          <w:b/>
          <w:bCs/>
          <w:i/>
          <w:iCs/>
          <w:szCs w:val="28"/>
        </w:rPr>
      </w:pPr>
    </w:p>
    <w:p w:rsidR="00FD582E" w:rsidRDefault="00BB3328" w:rsidP="00FD582E">
      <w:pPr>
        <w:ind w:firstLine="720"/>
        <w:jc w:val="both"/>
      </w:pPr>
      <w:r>
        <w:t xml:space="preserve">While </w:t>
      </w:r>
      <w:r w:rsidRPr="00EE7914">
        <w:t xml:space="preserve">Wal-Mart </w:t>
      </w:r>
      <w:r>
        <w:t>argues</w:t>
      </w:r>
      <w:r w:rsidRPr="00EE7914">
        <w:t xml:space="preserve"> that extensive levels of cost</w:t>
      </w:r>
      <w:r>
        <w:t xml:space="preserve"> shifting are unlikely to occur</w:t>
      </w:r>
      <w:r w:rsidRPr="00EE7914">
        <w:t xml:space="preserve">, the utilities </w:t>
      </w:r>
      <w:r>
        <w:t xml:space="preserve">assert </w:t>
      </w:r>
      <w:r w:rsidRPr="00EE7914">
        <w:t xml:space="preserve">that an opt-out </w:t>
      </w:r>
      <w:r w:rsidR="00AF4251">
        <w:t>policy</w:t>
      </w:r>
      <w:r w:rsidR="00AF4251" w:rsidRPr="00EE7914">
        <w:t xml:space="preserve"> </w:t>
      </w:r>
      <w:r w:rsidRPr="00EE7914">
        <w:t>will cause cos</w:t>
      </w:r>
      <w:r>
        <w:t xml:space="preserve">t shifting to other ratepayers. </w:t>
      </w:r>
      <w:r w:rsidR="008441E0" w:rsidRPr="00EE7914">
        <w:t>The</w:t>
      </w:r>
      <w:r w:rsidR="00B478AF">
        <w:t xml:space="preserve"> utilities also express concern</w:t>
      </w:r>
      <w:r w:rsidR="008441E0" w:rsidRPr="00EE7914">
        <w:t xml:space="preserve"> that allowing some customers to opt out will result in DSM program costs being spread over fewer ratepayers, while the utilities’ Commission-a</w:t>
      </w:r>
      <w:r w:rsidR="00CD3B92">
        <w:t xml:space="preserve">pproved goals may be unchanged. </w:t>
      </w:r>
      <w:r w:rsidR="008441E0" w:rsidRPr="00EE7914">
        <w:t xml:space="preserve">DEF </w:t>
      </w:r>
      <w:r w:rsidR="002B77C2">
        <w:t>asserts</w:t>
      </w:r>
      <w:r w:rsidR="008441E0" w:rsidRPr="00EE7914">
        <w:t xml:space="preserve"> that if some opt-out customers insisted there were no cost-effective energy efficiency </w:t>
      </w:r>
      <w:r w:rsidR="002B77C2">
        <w:t>measures</w:t>
      </w:r>
      <w:r w:rsidR="00CD3AEE">
        <w:t>,</w:t>
      </w:r>
      <w:r w:rsidR="008441E0" w:rsidRPr="00EE7914">
        <w:t xml:space="preserve"> part of DEF’s DSM goals would be unchanged. </w:t>
      </w:r>
      <w:r w:rsidR="0052109C">
        <w:t xml:space="preserve"> </w:t>
      </w:r>
      <w:r w:rsidR="00FE3245">
        <w:t xml:space="preserve"> TECO </w:t>
      </w:r>
      <w:r w:rsidR="00BF5F36">
        <w:t>asserts that</w:t>
      </w:r>
      <w:r w:rsidR="00DF6746">
        <w:t xml:space="preserve"> the remaining customers would have to absorb the total amount of cost-effective conservation costs </w:t>
      </w:r>
      <w:r w:rsidR="00CD3AEE">
        <w:t>which would</w:t>
      </w:r>
      <w:r w:rsidR="00DF6746">
        <w:t xml:space="preserve"> inequitably raise rates if some customers</w:t>
      </w:r>
      <w:r w:rsidR="00FE3245">
        <w:t xml:space="preserve"> </w:t>
      </w:r>
      <w:r w:rsidR="00DF6746">
        <w:t xml:space="preserve">did not </w:t>
      </w:r>
      <w:r w:rsidR="00AD7E45">
        <w:t>participate in</w:t>
      </w:r>
      <w:r w:rsidR="00DF6746">
        <w:t xml:space="preserve"> the cost-effective conservation costs.</w:t>
      </w:r>
      <w:r w:rsidR="008441E0" w:rsidRPr="00EE7914">
        <w:t xml:space="preserve"> </w:t>
      </w:r>
    </w:p>
    <w:p w:rsidR="008441E0" w:rsidRPr="00EE7914" w:rsidRDefault="0052109C" w:rsidP="00FD582E">
      <w:pPr>
        <w:ind w:firstLine="720"/>
        <w:jc w:val="both"/>
      </w:pPr>
      <w:r>
        <w:t xml:space="preserve"> </w:t>
      </w:r>
      <w:r w:rsidR="008441E0" w:rsidRPr="00EE7914">
        <w:t xml:space="preserve"> </w:t>
      </w:r>
    </w:p>
    <w:p w:rsidR="00FD582E" w:rsidRDefault="008441E0" w:rsidP="00FD582E">
      <w:pPr>
        <w:spacing w:after="240"/>
        <w:ind w:firstLine="720"/>
        <w:jc w:val="both"/>
      </w:pPr>
      <w:r w:rsidRPr="00EE7914">
        <w:t xml:space="preserve">As for the change, or lack thereof, in the goals, </w:t>
      </w:r>
      <w:r w:rsidR="00B478AF">
        <w:t xml:space="preserve">DEF </w:t>
      </w:r>
      <w:r w:rsidR="00C16DA8">
        <w:t xml:space="preserve">argues that FIPUG is unclear whether consideration for DEF’s goals </w:t>
      </w:r>
      <w:r w:rsidR="00D40C8F">
        <w:t>would</w:t>
      </w:r>
      <w:r w:rsidR="00B07B71">
        <w:t xml:space="preserve"> include energy efficiency savi</w:t>
      </w:r>
      <w:r w:rsidR="00CD3AEE">
        <w:t xml:space="preserve">ngs from participants who opt </w:t>
      </w:r>
      <w:r w:rsidR="00AD7E45">
        <w:t>o</w:t>
      </w:r>
      <w:r w:rsidR="00B07B71">
        <w:t>ut of the cost–effective energy efficiency measures.</w:t>
      </w:r>
      <w:r w:rsidRPr="00EE7914">
        <w:t xml:space="preserve"> </w:t>
      </w:r>
      <w:r w:rsidR="00B07B71">
        <w:t xml:space="preserve"> DEF further contends that Wal-Mart does not include such consideration. In addition, </w:t>
      </w:r>
      <w:r w:rsidR="0052109C">
        <w:t>Gulf argues</w:t>
      </w:r>
      <w:r w:rsidR="00DF6746">
        <w:t xml:space="preserve"> that it must meet the goals and provide programs available to </w:t>
      </w:r>
      <w:r w:rsidR="00CD3AEE">
        <w:t xml:space="preserve">all customers regardless of opt </w:t>
      </w:r>
      <w:r w:rsidR="00DF6746">
        <w:t xml:space="preserve">out by certain </w:t>
      </w:r>
      <w:r w:rsidR="00BB3328">
        <w:t>customers.</w:t>
      </w:r>
      <w:r w:rsidR="002B77C2">
        <w:t xml:space="preserve"> The u</w:t>
      </w:r>
      <w:r w:rsidR="00BB3328" w:rsidRPr="00EE7914">
        <w:t>tilities</w:t>
      </w:r>
      <w:r w:rsidRPr="00EE7914">
        <w:t xml:space="preserve"> </w:t>
      </w:r>
      <w:r w:rsidR="00FD582E">
        <w:t xml:space="preserve">assert that there </w:t>
      </w:r>
      <w:r w:rsidR="00D40C8F">
        <w:t>would</w:t>
      </w:r>
      <w:r w:rsidR="00FD582E">
        <w:t xml:space="preserve"> be</w:t>
      </w:r>
      <w:r w:rsidRPr="00EE7914">
        <w:t xml:space="preserve"> increased administrative costs to implement and maintain an opt-out </w:t>
      </w:r>
      <w:r w:rsidR="00AF4251">
        <w:t>policy</w:t>
      </w:r>
      <w:r w:rsidRPr="00EE7914">
        <w:t xml:space="preserve">. </w:t>
      </w:r>
    </w:p>
    <w:p w:rsidR="008441E0" w:rsidRPr="00EE7914" w:rsidRDefault="008441E0" w:rsidP="00FD582E">
      <w:pPr>
        <w:spacing w:after="240"/>
        <w:ind w:firstLine="720"/>
        <w:jc w:val="both"/>
      </w:pPr>
      <w:r w:rsidRPr="00EE7914">
        <w:lastRenderedPageBreak/>
        <w:t xml:space="preserve">The IOUs assert that residential customers would experience a negative rate impact from certain large commercial and industrial customers opting out of paying for energy efficiency because of: (1) spreading costs over fewer ratepayers, (2) potentially no or few changes to the DSM goals, and (3) administrative costs from an opt-out </w:t>
      </w:r>
      <w:r w:rsidR="00AF4251">
        <w:t>policy</w:t>
      </w:r>
      <w:r w:rsidRPr="00EE7914">
        <w:t xml:space="preserve">. FPL estimates an opt-out policy would cause a $1.4 million to $4.6 million rate impact to residential customers, ranging from a two cents to eight cents monthly bill increase. </w:t>
      </w:r>
      <w:r w:rsidR="00E576DC">
        <w:t xml:space="preserve"> </w:t>
      </w:r>
      <w:r w:rsidRPr="00EE7914">
        <w:t xml:space="preserve">DEF estimates that an opt-out </w:t>
      </w:r>
      <w:r w:rsidR="00AF4251">
        <w:t>policy</w:t>
      </w:r>
      <w:r w:rsidR="00AF4251" w:rsidRPr="00EE7914">
        <w:t xml:space="preserve"> </w:t>
      </w:r>
      <w:r w:rsidRPr="00EE7914">
        <w:t xml:space="preserve">would shift $599,000 to $1,979,000 in revenue requirements to residential ratepayers. TECO estimates that an opt-out </w:t>
      </w:r>
      <w:r w:rsidR="00AF4251">
        <w:t>policy</w:t>
      </w:r>
      <w:r w:rsidR="00AF4251" w:rsidRPr="00EE7914">
        <w:t xml:space="preserve"> </w:t>
      </w:r>
      <w:r w:rsidRPr="00EE7914">
        <w:t xml:space="preserve">would increase the residential ECCR charge from 3.6 to 10.9 percent. Gulf estimates that an opt-out </w:t>
      </w:r>
      <w:r w:rsidR="00AF4251">
        <w:t>policy</w:t>
      </w:r>
      <w:r w:rsidR="00AF4251" w:rsidRPr="00EE7914">
        <w:t xml:space="preserve"> </w:t>
      </w:r>
      <w:r w:rsidRPr="00EE7914">
        <w:t xml:space="preserve">would increase the residential ECCR charge from 6.8 to 21.2 percent. </w:t>
      </w:r>
      <w:r w:rsidR="00E576DC">
        <w:t xml:space="preserve"> </w:t>
      </w:r>
      <w:r w:rsidRPr="00EE7914">
        <w:t xml:space="preserve">  </w:t>
      </w:r>
    </w:p>
    <w:p w:rsidR="008441E0" w:rsidRDefault="008441E0" w:rsidP="008441E0">
      <w:pPr>
        <w:spacing w:after="240"/>
        <w:ind w:firstLine="720"/>
        <w:jc w:val="both"/>
      </w:pPr>
      <w:r w:rsidRPr="00EE7914">
        <w:t>OPC requested the impact on residential rates under three hypothetical scenarios “whereby the largest (by revenue in each tier) non-residential customers comprising 10%, 20% and 30% of non-residential revenues would be eligible for and take</w:t>
      </w:r>
      <w:r w:rsidR="00E576DC">
        <w:t xml:space="preserve"> advantage of such an option.” </w:t>
      </w:r>
      <w:r w:rsidRPr="00EE7914">
        <w:t xml:space="preserve">The IOUs’ responses to OPC’s </w:t>
      </w:r>
      <w:r w:rsidR="00302A6D">
        <w:t xml:space="preserve">requested </w:t>
      </w:r>
      <w:r w:rsidRPr="00EE7914">
        <w:t xml:space="preserve">scenarios are presented in </w:t>
      </w:r>
      <w:r w:rsidR="00B478AF">
        <w:t>T</w:t>
      </w:r>
      <w:r w:rsidR="008600D3">
        <w:t xml:space="preserve">able </w:t>
      </w:r>
      <w:r w:rsidR="00B478AF">
        <w:t xml:space="preserve">1 </w:t>
      </w:r>
      <w:r w:rsidR="00FE3245">
        <w:t xml:space="preserve">below, which </w:t>
      </w:r>
      <w:r w:rsidR="009A779A">
        <w:t>are estimates</w:t>
      </w:r>
      <w:r w:rsidRPr="00EE7914">
        <w:t xml:space="preserve"> that</w:t>
      </w:r>
      <w:r w:rsidR="00FE3245">
        <w:t xml:space="preserve"> are caveated because</w:t>
      </w:r>
      <w:r w:rsidRPr="00EE7914">
        <w:t xml:space="preserve"> the full details of an opt-out </w:t>
      </w:r>
      <w:r w:rsidR="00AF4251">
        <w:t>policy</w:t>
      </w:r>
      <w:r w:rsidR="00AF4251" w:rsidRPr="00EE7914">
        <w:t xml:space="preserve"> </w:t>
      </w:r>
      <w:r w:rsidRPr="00EE7914">
        <w:t xml:space="preserve">are not yet known. </w:t>
      </w:r>
    </w:p>
    <w:p w:rsidR="00B478AF" w:rsidRPr="00FB1F85" w:rsidRDefault="00B478AF" w:rsidP="008441E0">
      <w:pPr>
        <w:keepNext/>
        <w:jc w:val="center"/>
      </w:pPr>
      <w:r w:rsidRPr="00FB1F85">
        <w:t>Table 1</w:t>
      </w:r>
    </w:p>
    <w:p w:rsidR="008441E0" w:rsidRPr="00FB1F85" w:rsidRDefault="008441E0" w:rsidP="008441E0">
      <w:pPr>
        <w:keepNext/>
        <w:jc w:val="center"/>
      </w:pPr>
      <w:r w:rsidRPr="00FB1F85">
        <w:t xml:space="preserve">Impact on Residential Monthly Bills at Varying Percentages </w:t>
      </w:r>
    </w:p>
    <w:p w:rsidR="008441E0" w:rsidRPr="00FB1F85" w:rsidRDefault="008441E0" w:rsidP="008441E0">
      <w:pPr>
        <w:keepNext/>
        <w:jc w:val="center"/>
      </w:pPr>
      <w:r w:rsidRPr="00FB1F85">
        <w:t>of Non-Residential Customers Opting Out</w:t>
      </w:r>
    </w:p>
    <w:tbl>
      <w:tblPr>
        <w:tblStyle w:val="TableGrid"/>
        <w:tblW w:w="0" w:type="auto"/>
        <w:tblLook w:val="04A0" w:firstRow="1" w:lastRow="0" w:firstColumn="1" w:lastColumn="0" w:noHBand="0" w:noVBand="1"/>
      </w:tblPr>
      <w:tblGrid>
        <w:gridCol w:w="2394"/>
        <w:gridCol w:w="2394"/>
        <w:gridCol w:w="2394"/>
        <w:gridCol w:w="2394"/>
      </w:tblGrid>
      <w:tr w:rsidR="008441E0" w:rsidRPr="00FB1F85" w:rsidTr="008441E0">
        <w:trPr>
          <w:trHeight w:val="432"/>
        </w:trPr>
        <w:tc>
          <w:tcPr>
            <w:tcW w:w="2394" w:type="dxa"/>
            <w:vAlign w:val="center"/>
          </w:tcPr>
          <w:p w:rsidR="008441E0" w:rsidRPr="00FB1F85" w:rsidRDefault="008441E0" w:rsidP="008441E0">
            <w:pPr>
              <w:jc w:val="center"/>
            </w:pPr>
          </w:p>
        </w:tc>
        <w:tc>
          <w:tcPr>
            <w:tcW w:w="7182" w:type="dxa"/>
            <w:gridSpan w:val="3"/>
            <w:vAlign w:val="center"/>
          </w:tcPr>
          <w:p w:rsidR="008441E0" w:rsidRPr="00FB1F85" w:rsidRDefault="008441E0" w:rsidP="008441E0">
            <w:pPr>
              <w:jc w:val="center"/>
            </w:pPr>
            <w:r w:rsidRPr="00FB1F85">
              <w:t>Impact on Typical 1,000 kWh Residential Bill</w:t>
            </w:r>
          </w:p>
        </w:tc>
      </w:tr>
      <w:tr w:rsidR="008441E0" w:rsidRPr="00FB1F85" w:rsidTr="008441E0">
        <w:trPr>
          <w:trHeight w:val="432"/>
        </w:trPr>
        <w:tc>
          <w:tcPr>
            <w:tcW w:w="2394" w:type="dxa"/>
            <w:vAlign w:val="center"/>
          </w:tcPr>
          <w:p w:rsidR="008441E0" w:rsidRPr="00FB1F85" w:rsidRDefault="008441E0" w:rsidP="008441E0">
            <w:pPr>
              <w:jc w:val="center"/>
            </w:pPr>
            <w:r w:rsidRPr="00FB1F85">
              <w:t>Utility</w:t>
            </w:r>
          </w:p>
        </w:tc>
        <w:tc>
          <w:tcPr>
            <w:tcW w:w="2394" w:type="dxa"/>
            <w:vAlign w:val="center"/>
          </w:tcPr>
          <w:p w:rsidR="008441E0" w:rsidRPr="00FB1F85" w:rsidRDefault="008441E0" w:rsidP="008441E0">
            <w:pPr>
              <w:jc w:val="center"/>
            </w:pPr>
            <w:r w:rsidRPr="00FB1F85">
              <w:t>10% opt out</w:t>
            </w:r>
          </w:p>
        </w:tc>
        <w:tc>
          <w:tcPr>
            <w:tcW w:w="2394" w:type="dxa"/>
            <w:vAlign w:val="center"/>
          </w:tcPr>
          <w:p w:rsidR="008441E0" w:rsidRPr="00FB1F85" w:rsidRDefault="008441E0" w:rsidP="008441E0">
            <w:pPr>
              <w:jc w:val="center"/>
            </w:pPr>
            <w:r w:rsidRPr="00FB1F85">
              <w:t>20% opt out</w:t>
            </w:r>
          </w:p>
        </w:tc>
        <w:tc>
          <w:tcPr>
            <w:tcW w:w="2394" w:type="dxa"/>
            <w:vAlign w:val="center"/>
          </w:tcPr>
          <w:p w:rsidR="008441E0" w:rsidRPr="00FB1F85" w:rsidRDefault="008441E0" w:rsidP="008441E0">
            <w:pPr>
              <w:jc w:val="center"/>
            </w:pPr>
            <w:r w:rsidRPr="00FB1F85">
              <w:t>30% opt out</w:t>
            </w:r>
          </w:p>
        </w:tc>
      </w:tr>
      <w:tr w:rsidR="008441E0" w:rsidRPr="00EE7914" w:rsidTr="008441E0">
        <w:trPr>
          <w:trHeight w:val="432"/>
        </w:trPr>
        <w:tc>
          <w:tcPr>
            <w:tcW w:w="2394" w:type="dxa"/>
            <w:vAlign w:val="center"/>
          </w:tcPr>
          <w:p w:rsidR="008441E0" w:rsidRPr="00EE7914" w:rsidRDefault="008441E0" w:rsidP="008441E0">
            <w:pPr>
              <w:jc w:val="center"/>
            </w:pPr>
            <w:r w:rsidRPr="00EE7914">
              <w:t>DEF</w:t>
            </w:r>
          </w:p>
        </w:tc>
        <w:tc>
          <w:tcPr>
            <w:tcW w:w="2394" w:type="dxa"/>
            <w:vAlign w:val="center"/>
          </w:tcPr>
          <w:p w:rsidR="008441E0" w:rsidRPr="00EE7914" w:rsidRDefault="008441E0" w:rsidP="008441E0">
            <w:pPr>
              <w:jc w:val="center"/>
            </w:pPr>
            <w:r w:rsidRPr="00EE7914">
              <w:t>$0.03</w:t>
            </w:r>
          </w:p>
        </w:tc>
        <w:tc>
          <w:tcPr>
            <w:tcW w:w="2394" w:type="dxa"/>
            <w:vAlign w:val="center"/>
          </w:tcPr>
          <w:p w:rsidR="008441E0" w:rsidRPr="00EE7914" w:rsidRDefault="008441E0" w:rsidP="008441E0">
            <w:pPr>
              <w:jc w:val="center"/>
            </w:pPr>
            <w:r w:rsidRPr="00EE7914">
              <w:t>$0.06</w:t>
            </w:r>
          </w:p>
        </w:tc>
        <w:tc>
          <w:tcPr>
            <w:tcW w:w="2394" w:type="dxa"/>
            <w:vAlign w:val="center"/>
          </w:tcPr>
          <w:p w:rsidR="008441E0" w:rsidRPr="00EE7914" w:rsidRDefault="008441E0" w:rsidP="008441E0">
            <w:pPr>
              <w:jc w:val="center"/>
            </w:pPr>
            <w:r w:rsidRPr="00EE7914">
              <w:t>$0.10</w:t>
            </w:r>
          </w:p>
        </w:tc>
      </w:tr>
      <w:tr w:rsidR="008441E0" w:rsidRPr="00EE7914" w:rsidTr="008441E0">
        <w:trPr>
          <w:trHeight w:val="432"/>
        </w:trPr>
        <w:tc>
          <w:tcPr>
            <w:tcW w:w="2394" w:type="dxa"/>
            <w:vAlign w:val="center"/>
          </w:tcPr>
          <w:p w:rsidR="008441E0" w:rsidRPr="00EE7914" w:rsidRDefault="008441E0" w:rsidP="008441E0">
            <w:pPr>
              <w:jc w:val="center"/>
            </w:pPr>
            <w:r w:rsidRPr="00EE7914">
              <w:t>FPL</w:t>
            </w:r>
          </w:p>
        </w:tc>
        <w:tc>
          <w:tcPr>
            <w:tcW w:w="2394" w:type="dxa"/>
            <w:vAlign w:val="center"/>
          </w:tcPr>
          <w:p w:rsidR="008441E0" w:rsidRPr="00EE7914" w:rsidRDefault="008441E0" w:rsidP="008441E0">
            <w:pPr>
              <w:jc w:val="center"/>
            </w:pPr>
            <w:r w:rsidRPr="00EE7914">
              <w:t>$0.02</w:t>
            </w:r>
          </w:p>
        </w:tc>
        <w:tc>
          <w:tcPr>
            <w:tcW w:w="2394" w:type="dxa"/>
            <w:vAlign w:val="center"/>
          </w:tcPr>
          <w:p w:rsidR="008441E0" w:rsidRPr="00EE7914" w:rsidRDefault="008441E0" w:rsidP="008441E0">
            <w:pPr>
              <w:jc w:val="center"/>
            </w:pPr>
            <w:r w:rsidRPr="00EE7914">
              <w:t>$0.05</w:t>
            </w:r>
          </w:p>
        </w:tc>
        <w:tc>
          <w:tcPr>
            <w:tcW w:w="2394" w:type="dxa"/>
            <w:vAlign w:val="center"/>
          </w:tcPr>
          <w:p w:rsidR="008441E0" w:rsidRPr="00EE7914" w:rsidRDefault="008441E0" w:rsidP="008441E0">
            <w:pPr>
              <w:jc w:val="center"/>
            </w:pPr>
            <w:r w:rsidRPr="00EE7914">
              <w:t>$0.08</w:t>
            </w:r>
          </w:p>
        </w:tc>
      </w:tr>
      <w:tr w:rsidR="008441E0" w:rsidRPr="00EE7914" w:rsidTr="008441E0">
        <w:trPr>
          <w:trHeight w:val="432"/>
        </w:trPr>
        <w:tc>
          <w:tcPr>
            <w:tcW w:w="2394" w:type="dxa"/>
            <w:vAlign w:val="center"/>
          </w:tcPr>
          <w:p w:rsidR="008441E0" w:rsidRPr="00EE7914" w:rsidRDefault="008441E0" w:rsidP="008441E0">
            <w:pPr>
              <w:jc w:val="center"/>
            </w:pPr>
            <w:r w:rsidRPr="00EE7914">
              <w:t>Gulf</w:t>
            </w:r>
          </w:p>
        </w:tc>
        <w:tc>
          <w:tcPr>
            <w:tcW w:w="2394" w:type="dxa"/>
            <w:vAlign w:val="center"/>
          </w:tcPr>
          <w:p w:rsidR="008441E0" w:rsidRPr="00EE7914" w:rsidRDefault="008441E0" w:rsidP="008441E0">
            <w:pPr>
              <w:jc w:val="center"/>
            </w:pPr>
            <w:r w:rsidRPr="00EE7914">
              <w:t>$0.17</w:t>
            </w:r>
          </w:p>
        </w:tc>
        <w:tc>
          <w:tcPr>
            <w:tcW w:w="2394" w:type="dxa"/>
            <w:vAlign w:val="center"/>
          </w:tcPr>
          <w:p w:rsidR="008441E0" w:rsidRPr="00EE7914" w:rsidRDefault="008441E0" w:rsidP="008441E0">
            <w:pPr>
              <w:jc w:val="center"/>
            </w:pPr>
            <w:r w:rsidRPr="00EE7914">
              <w:t>$0.34</w:t>
            </w:r>
          </w:p>
        </w:tc>
        <w:tc>
          <w:tcPr>
            <w:tcW w:w="2394" w:type="dxa"/>
            <w:vAlign w:val="center"/>
          </w:tcPr>
          <w:p w:rsidR="008441E0" w:rsidRPr="00EE7914" w:rsidRDefault="008441E0" w:rsidP="008441E0">
            <w:pPr>
              <w:jc w:val="center"/>
            </w:pPr>
            <w:r w:rsidRPr="00EE7914">
              <w:t>$0.53</w:t>
            </w:r>
          </w:p>
        </w:tc>
      </w:tr>
      <w:tr w:rsidR="008441E0" w:rsidRPr="00EE7914" w:rsidTr="008441E0">
        <w:trPr>
          <w:trHeight w:val="432"/>
        </w:trPr>
        <w:tc>
          <w:tcPr>
            <w:tcW w:w="2394" w:type="dxa"/>
            <w:vAlign w:val="center"/>
          </w:tcPr>
          <w:p w:rsidR="008441E0" w:rsidRPr="00EE7914" w:rsidRDefault="008441E0" w:rsidP="008441E0">
            <w:pPr>
              <w:jc w:val="center"/>
            </w:pPr>
            <w:r w:rsidRPr="00EE7914">
              <w:t>TECO</w:t>
            </w:r>
          </w:p>
        </w:tc>
        <w:tc>
          <w:tcPr>
            <w:tcW w:w="2394" w:type="dxa"/>
            <w:vAlign w:val="center"/>
          </w:tcPr>
          <w:p w:rsidR="008441E0" w:rsidRPr="00EE7914" w:rsidRDefault="008441E0" w:rsidP="008441E0">
            <w:pPr>
              <w:jc w:val="center"/>
            </w:pPr>
            <w:r w:rsidRPr="00EE7914">
              <w:t>$0.09</w:t>
            </w:r>
          </w:p>
        </w:tc>
        <w:tc>
          <w:tcPr>
            <w:tcW w:w="2394" w:type="dxa"/>
            <w:vAlign w:val="center"/>
          </w:tcPr>
          <w:p w:rsidR="008441E0" w:rsidRPr="00EE7914" w:rsidRDefault="008441E0" w:rsidP="008441E0">
            <w:pPr>
              <w:jc w:val="center"/>
            </w:pPr>
            <w:r w:rsidRPr="00EE7914">
              <w:t>$0.18</w:t>
            </w:r>
          </w:p>
        </w:tc>
        <w:tc>
          <w:tcPr>
            <w:tcW w:w="2394" w:type="dxa"/>
            <w:vAlign w:val="center"/>
          </w:tcPr>
          <w:p w:rsidR="008441E0" w:rsidRPr="00EE7914" w:rsidRDefault="008441E0" w:rsidP="008441E0">
            <w:pPr>
              <w:jc w:val="center"/>
            </w:pPr>
            <w:r w:rsidRPr="00EE7914">
              <w:t>$0.27</w:t>
            </w:r>
          </w:p>
        </w:tc>
      </w:tr>
    </w:tbl>
    <w:p w:rsidR="00E576DC" w:rsidRDefault="00E576DC" w:rsidP="008441E0">
      <w:pPr>
        <w:ind w:firstLine="720"/>
        <w:jc w:val="both"/>
        <w:rPr>
          <w:sz w:val="22"/>
          <w:szCs w:val="22"/>
        </w:rPr>
      </w:pPr>
    </w:p>
    <w:p w:rsidR="008441E0" w:rsidRPr="00EE7914" w:rsidRDefault="008441E0" w:rsidP="008441E0">
      <w:pPr>
        <w:ind w:firstLine="720"/>
        <w:jc w:val="both"/>
      </w:pPr>
      <w:r w:rsidRPr="00EE7914">
        <w:t xml:space="preserve">Wal-Mart argues that opt-out customers would contribute energy savings </w:t>
      </w:r>
      <w:r w:rsidR="00CD3B92">
        <w:t xml:space="preserve">in excess of the shifted costs. </w:t>
      </w:r>
      <w:r w:rsidRPr="00EE7914">
        <w:t>Wal-Mart also contends that an opt-out reduce</w:t>
      </w:r>
      <w:r w:rsidR="00B07B71">
        <w:t>s</w:t>
      </w:r>
      <w:r w:rsidRPr="00EE7914">
        <w:t xml:space="preserve"> the utilities’ p</w:t>
      </w:r>
      <w:r w:rsidR="00B07B71">
        <w:t xml:space="preserve">rogram costs and </w:t>
      </w:r>
      <w:r w:rsidR="00126F64">
        <w:t xml:space="preserve">incremental fuel costs, thereby </w:t>
      </w:r>
      <w:r w:rsidR="00B07B71">
        <w:t>reducing</w:t>
      </w:r>
      <w:r w:rsidRPr="00EE7914">
        <w:t xml:space="preserve"> the need for future generation facilities, </w:t>
      </w:r>
      <w:r w:rsidR="00126F64">
        <w:t>and with no costs shifting to non-participating customers.</w:t>
      </w:r>
      <w:r w:rsidR="00E576DC">
        <w:t xml:space="preserve"> </w:t>
      </w:r>
    </w:p>
    <w:p w:rsidR="008441E0" w:rsidRPr="00EE7914" w:rsidRDefault="008441E0" w:rsidP="008441E0">
      <w:pPr>
        <w:jc w:val="both"/>
      </w:pPr>
    </w:p>
    <w:p w:rsidR="008441E0" w:rsidRPr="00472A5A" w:rsidRDefault="008441E0" w:rsidP="00472A5A">
      <w:pPr>
        <w:ind w:firstLine="720"/>
        <w:jc w:val="both"/>
      </w:pPr>
      <w:r w:rsidRPr="00EE7914">
        <w:t xml:space="preserve">FIPUG </w:t>
      </w:r>
      <w:r w:rsidR="00B07B71">
        <w:t>recommends</w:t>
      </w:r>
      <w:r w:rsidRPr="00EE7914">
        <w:t xml:space="preserve"> that </w:t>
      </w:r>
      <w:r w:rsidR="00E576DC">
        <w:t>we</w:t>
      </w:r>
      <w:r w:rsidR="00B07B71">
        <w:t xml:space="preserve"> create a program that will meet applicable guidelines and harms no customer. </w:t>
      </w:r>
      <w:r w:rsidRPr="00EE7914">
        <w:t xml:space="preserve"> Addressing the cost shifting concern, </w:t>
      </w:r>
      <w:r w:rsidR="00E576DC">
        <w:t>FIPUG</w:t>
      </w:r>
      <w:r w:rsidRPr="00EE7914">
        <w:t xml:space="preserve"> recommends a pilot program to start slow and see the consequences of implem</w:t>
      </w:r>
      <w:r w:rsidR="00F5116A">
        <w:t xml:space="preserve">entation of an opt-out program. </w:t>
      </w:r>
      <w:r w:rsidR="00E576DC">
        <w:t>FIPUG</w:t>
      </w:r>
      <w:r w:rsidRPr="00EE7914">
        <w:t xml:space="preserve"> </w:t>
      </w:r>
      <w:r w:rsidR="00F5116A">
        <w:t>asserts that a cost shift can be avoided i</w:t>
      </w:r>
      <w:r w:rsidRPr="00EE7914">
        <w:t>f done in a prudent and rational way</w:t>
      </w:r>
      <w:r w:rsidR="00F5116A">
        <w:t xml:space="preserve"> and</w:t>
      </w:r>
      <w:r w:rsidR="00AD7E45">
        <w:t xml:space="preserve"> </w:t>
      </w:r>
      <w:r w:rsidR="00AD7E45" w:rsidRPr="00EE7914">
        <w:t>that</w:t>
      </w:r>
      <w:r w:rsidRPr="00EE7914">
        <w:t xml:space="preserve"> a well-designed opt-out program would avoid cost shifts through</w:t>
      </w:r>
      <w:r w:rsidR="00B07B71">
        <w:t xml:space="preserve"> </w:t>
      </w:r>
      <w:r w:rsidR="003D3DD2">
        <w:t>(</w:t>
      </w:r>
      <w:r w:rsidR="00B07B71">
        <w:t>1)</w:t>
      </w:r>
      <w:r w:rsidRPr="00EE7914">
        <w:t xml:space="preserve"> adjustments to existing energy efficiency programs and</w:t>
      </w:r>
      <w:r w:rsidR="00B07B71">
        <w:t xml:space="preserve"> </w:t>
      </w:r>
      <w:r w:rsidR="003D3DD2">
        <w:t>(</w:t>
      </w:r>
      <w:r w:rsidR="00B07B71">
        <w:t>2)</w:t>
      </w:r>
      <w:r w:rsidRPr="00EE7914">
        <w:t xml:space="preserve"> counting the energy efficiency measures con</w:t>
      </w:r>
      <w:r w:rsidR="00B07B71">
        <w:t>tributed by opt-out customers.</w:t>
      </w:r>
      <w:r w:rsidR="00472A5A">
        <w:t xml:space="preserve"> </w:t>
      </w:r>
      <w:r w:rsidRPr="00472A5A">
        <w:t xml:space="preserve">PCS </w:t>
      </w:r>
      <w:r w:rsidR="00B478AF" w:rsidRPr="00472A5A">
        <w:t xml:space="preserve">Phosphate </w:t>
      </w:r>
      <w:r w:rsidRPr="00472A5A">
        <w:t>argues that administrati</w:t>
      </w:r>
      <w:r w:rsidR="00F5116A" w:rsidRPr="00472A5A">
        <w:t xml:space="preserve">ve and implementation </w:t>
      </w:r>
      <w:r w:rsidR="00472A5A">
        <w:t>concerns</w:t>
      </w:r>
      <w:r w:rsidR="00F5116A" w:rsidRPr="00472A5A">
        <w:t xml:space="preserve"> </w:t>
      </w:r>
      <w:r w:rsidR="00472A5A">
        <w:t xml:space="preserve">should not be a </w:t>
      </w:r>
      <w:r w:rsidRPr="00472A5A">
        <w:t>sufficient reason for reject</w:t>
      </w:r>
      <w:r w:rsidR="00472A5A">
        <w:t>ing an otherwise sound policy.</w:t>
      </w:r>
    </w:p>
    <w:p w:rsidR="008441E0" w:rsidRPr="00EE7914" w:rsidRDefault="008441E0" w:rsidP="008441E0">
      <w:pPr>
        <w:jc w:val="both"/>
      </w:pPr>
    </w:p>
    <w:p w:rsidR="008441E0" w:rsidRPr="00EE7914" w:rsidRDefault="008441E0" w:rsidP="008441E0">
      <w:pPr>
        <w:ind w:firstLine="720"/>
        <w:jc w:val="both"/>
      </w:pPr>
      <w:r w:rsidRPr="00EE7914">
        <w:lastRenderedPageBreak/>
        <w:t xml:space="preserve">Wal-Mart states that the reduction in ECCR revenues for the four largest Florida IOUs would be a total of </w:t>
      </w:r>
      <w:r w:rsidR="00472A5A">
        <w:t xml:space="preserve">$344,040 if Wal-Mart opted out and </w:t>
      </w:r>
      <w:r w:rsidRPr="00EE7914">
        <w:t>that the impact on the ECCR revenue requirements of the four largest Florida IOUs from Wal-Mart alone opting out woul</w:t>
      </w:r>
      <w:r w:rsidR="00E576DC">
        <w:t xml:space="preserve">d be </w:t>
      </w:r>
      <w:r w:rsidR="00CD3B92">
        <w:t xml:space="preserve">no more than 0.65 percent. </w:t>
      </w:r>
      <w:r w:rsidRPr="00EE7914">
        <w:t xml:space="preserve">Nevertheless, this analysis does not consider the potential for other large commercial or industrial customers, such </w:t>
      </w:r>
      <w:r w:rsidR="00126F64">
        <w:t>as FIPUG’s members, to opt out.</w:t>
      </w:r>
      <w:r w:rsidRPr="00EE7914">
        <w:t xml:space="preserve"> Wal-Mart doe</w:t>
      </w:r>
      <w:r w:rsidR="00E576DC">
        <w:t xml:space="preserve">s not calculate </w:t>
      </w:r>
      <w:r w:rsidRPr="00EE7914">
        <w:t xml:space="preserve">the cost impact to the utilities from the added administrative expense of an opt-out or the impact on the ability of the utilities to meet the FEECA goals. </w:t>
      </w:r>
    </w:p>
    <w:p w:rsidR="008441E0" w:rsidRPr="00EE7914" w:rsidRDefault="008441E0" w:rsidP="008441E0">
      <w:pPr>
        <w:jc w:val="both"/>
      </w:pPr>
    </w:p>
    <w:p w:rsidR="008441E0" w:rsidRPr="00BB3328" w:rsidRDefault="008441E0" w:rsidP="00BB3328">
      <w:pPr>
        <w:pStyle w:val="ListParagraph"/>
        <w:numPr>
          <w:ilvl w:val="1"/>
          <w:numId w:val="17"/>
        </w:numPr>
        <w:jc w:val="both"/>
        <w:outlineLvl w:val="3"/>
        <w:rPr>
          <w:b/>
          <w:bCs/>
          <w:i/>
          <w:iCs/>
          <w:szCs w:val="28"/>
        </w:rPr>
      </w:pPr>
      <w:r w:rsidRPr="00BB3328">
        <w:rPr>
          <w:b/>
          <w:bCs/>
          <w:i/>
          <w:iCs/>
          <w:szCs w:val="28"/>
        </w:rPr>
        <w:t xml:space="preserve">Equity </w:t>
      </w:r>
      <w:r w:rsidR="00472A5A" w:rsidRPr="00BB3328">
        <w:rPr>
          <w:b/>
          <w:bCs/>
          <w:i/>
          <w:iCs/>
          <w:szCs w:val="28"/>
        </w:rPr>
        <w:t xml:space="preserve">and Fairness </w:t>
      </w:r>
      <w:r w:rsidRPr="00BB3328">
        <w:rPr>
          <w:b/>
          <w:bCs/>
          <w:i/>
          <w:iCs/>
          <w:szCs w:val="28"/>
        </w:rPr>
        <w:t>Concerns</w:t>
      </w:r>
    </w:p>
    <w:p w:rsidR="00B478AF" w:rsidRPr="00EE7914" w:rsidRDefault="00B478AF" w:rsidP="008441E0">
      <w:pPr>
        <w:ind w:left="720"/>
        <w:jc w:val="both"/>
        <w:outlineLvl w:val="3"/>
        <w:rPr>
          <w:b/>
          <w:bCs/>
          <w:i/>
          <w:iCs/>
          <w:szCs w:val="28"/>
        </w:rPr>
      </w:pPr>
    </w:p>
    <w:p w:rsidR="008441E0" w:rsidRPr="00EE7914" w:rsidRDefault="008441E0" w:rsidP="008441E0">
      <w:pPr>
        <w:spacing w:after="240"/>
        <w:ind w:firstLine="720"/>
        <w:jc w:val="both"/>
      </w:pPr>
      <w:r w:rsidRPr="00EE7914">
        <w:t xml:space="preserve">The petitioners </w:t>
      </w:r>
      <w:r w:rsidR="00472A5A">
        <w:t>assert</w:t>
      </w:r>
      <w:r w:rsidRPr="00EE7914">
        <w:t xml:space="preserve"> there would be no equity issues from an opt-out </w:t>
      </w:r>
      <w:r w:rsidR="00AF4251">
        <w:t xml:space="preserve">policy </w:t>
      </w:r>
      <w:r w:rsidR="00472A5A">
        <w:t xml:space="preserve">because there would be </w:t>
      </w:r>
      <w:r w:rsidRPr="00EE7914">
        <w:t>no undue burden placed on the utility’s remaining customers as a result o</w:t>
      </w:r>
      <w:r w:rsidR="00472A5A">
        <w:t>f the current opt-out proposal.</w:t>
      </w:r>
      <w:r w:rsidRPr="00EE7914">
        <w:t xml:space="preserve"> In contrast, the petitioners insist that there is currently an equity concern with paying the full ECCR charges because</w:t>
      </w:r>
      <w:r w:rsidR="00472A5A">
        <w:t>,</w:t>
      </w:r>
      <w:r w:rsidRPr="00EE7914">
        <w:t xml:space="preserve"> for the petitioners, electricity is a large operating cost and the markets in which the petit</w:t>
      </w:r>
      <w:r w:rsidR="00CD3B92">
        <w:t xml:space="preserve">ioners operate are competitive. </w:t>
      </w:r>
      <w:r w:rsidRPr="00EE7914">
        <w:t>Meanwhile, many other states exempt industrial customers from paying for energy efficiency programs. Consequently, the petitioners insist that they are at a competitive disadvantage compared to companies in other states.</w:t>
      </w:r>
    </w:p>
    <w:p w:rsidR="00472A5A" w:rsidRDefault="00472A5A" w:rsidP="00472A5A">
      <w:pPr>
        <w:spacing w:after="240"/>
        <w:ind w:firstLine="720"/>
        <w:jc w:val="both"/>
      </w:pPr>
      <w:r>
        <w:t>Conversely</w:t>
      </w:r>
      <w:r w:rsidR="008441E0" w:rsidRPr="00EE7914">
        <w:t xml:space="preserve">, the utilities insist that an opt-out policy would be unfair to residential customers and other commercial/industrial customers that cannot or do not choose to opt out. FPL </w:t>
      </w:r>
      <w:r w:rsidR="00302A6D">
        <w:t>argues</w:t>
      </w:r>
      <w:r w:rsidR="008441E0" w:rsidRPr="00EE7914">
        <w:t xml:space="preserve"> that other customers will have to pay for </w:t>
      </w:r>
      <w:r w:rsidR="00CD3B92">
        <w:t xml:space="preserve">the costs of an opt-out policy. </w:t>
      </w:r>
      <w:r w:rsidR="008441E0" w:rsidRPr="00EE7914">
        <w:t xml:space="preserve">DEF </w:t>
      </w:r>
      <w:r>
        <w:t>argues</w:t>
      </w:r>
      <w:r w:rsidR="008441E0" w:rsidRPr="00EE7914">
        <w:t xml:space="preserve"> that an opt-out </w:t>
      </w:r>
      <w:r w:rsidR="00AF4251">
        <w:t>policy</w:t>
      </w:r>
      <w:r w:rsidR="00AF4251" w:rsidRPr="00EE7914">
        <w:t xml:space="preserve"> </w:t>
      </w:r>
      <w:r w:rsidR="008441E0" w:rsidRPr="00EE7914">
        <w:t>could r</w:t>
      </w:r>
      <w:r w:rsidR="00CD3B92">
        <w:t xml:space="preserve">equire DEF to change its goals. </w:t>
      </w:r>
      <w:r w:rsidR="00E576DC">
        <w:t>DEF</w:t>
      </w:r>
      <w:r w:rsidR="008441E0" w:rsidRPr="00EE7914">
        <w:t xml:space="preserve"> also </w:t>
      </w:r>
      <w:r w:rsidR="00E576DC">
        <w:t>argues</w:t>
      </w:r>
      <w:r w:rsidR="008441E0" w:rsidRPr="00EE7914">
        <w:t xml:space="preserve"> that in other states, Duke Energy </w:t>
      </w:r>
      <w:r w:rsidR="00AD7E45">
        <w:t xml:space="preserve">combines administrative costs with the overall energy efficiency overhead costs and does not provide a separate cost for opt-out customers. </w:t>
      </w:r>
      <w:r w:rsidR="00CD3B92">
        <w:t xml:space="preserve">Additionally, FPL </w:t>
      </w:r>
      <w:r w:rsidR="00302A6D">
        <w:t>contends</w:t>
      </w:r>
      <w:r w:rsidR="008441E0" w:rsidRPr="00EE7914">
        <w:t xml:space="preserve"> that large commercial and industrial customers who wish to opt out benefit from load management programs that are pai</w:t>
      </w:r>
      <w:r w:rsidR="00CD3B92">
        <w:t>d for by residential customers.</w:t>
      </w:r>
    </w:p>
    <w:p w:rsidR="008441E0" w:rsidRPr="00EE7914" w:rsidRDefault="00CD3B92" w:rsidP="00472A5A">
      <w:pPr>
        <w:spacing w:after="240"/>
        <w:ind w:firstLine="720"/>
        <w:jc w:val="both"/>
      </w:pPr>
      <w:r>
        <w:t xml:space="preserve"> </w:t>
      </w:r>
      <w:r w:rsidR="00B478AF">
        <w:t>The u</w:t>
      </w:r>
      <w:r w:rsidR="008441E0" w:rsidRPr="00EE7914">
        <w:t xml:space="preserve">tilities also </w:t>
      </w:r>
      <w:r w:rsidR="003D3DD2">
        <w:t>argue</w:t>
      </w:r>
      <w:r w:rsidR="008441E0" w:rsidRPr="00EE7914">
        <w:t xml:space="preserve"> that an opt-out policy would be unfair for customers who do not meet the threshold. TECO </w:t>
      </w:r>
      <w:r w:rsidR="00E576DC">
        <w:t>contends</w:t>
      </w:r>
      <w:r w:rsidR="008441E0" w:rsidRPr="00EE7914">
        <w:t xml:space="preserve"> that an opt-out policy </w:t>
      </w:r>
      <w:r w:rsidR="00472A5A">
        <w:t>would be unfair</w:t>
      </w:r>
      <w:r w:rsidR="00AD7E45">
        <w:t xml:space="preserve"> to all non-qualified or non-electing customers.</w:t>
      </w:r>
    </w:p>
    <w:p w:rsidR="008441E0" w:rsidRPr="00EE7914" w:rsidRDefault="00472A5A" w:rsidP="008441E0">
      <w:pPr>
        <w:spacing w:after="240"/>
        <w:ind w:firstLine="720"/>
        <w:jc w:val="both"/>
      </w:pPr>
      <w:r>
        <w:t xml:space="preserve">OPC asserts </w:t>
      </w:r>
      <w:r w:rsidR="008441E0" w:rsidRPr="00EE7914">
        <w:t xml:space="preserve">that FIPUG and Wal-Mart’s proposals as presented appear to fall </w:t>
      </w:r>
      <w:r>
        <w:t>short in meeting the</w:t>
      </w:r>
      <w:r w:rsidR="008441E0" w:rsidRPr="00EE7914">
        <w:t xml:space="preserve"> burden of demonstrating that the proposals would be fair to the general body of ratepayers.</w:t>
      </w:r>
      <w:r w:rsidR="00CD3B92">
        <w:t xml:space="preserve"> </w:t>
      </w:r>
      <w:r w:rsidR="008441E0" w:rsidRPr="00EE7914">
        <w:t xml:space="preserve">OPC </w:t>
      </w:r>
      <w:r>
        <w:t>contends that</w:t>
      </w:r>
      <w:r w:rsidR="008441E0" w:rsidRPr="00EE7914">
        <w:t xml:space="preserve"> it is possible that an opt-out </w:t>
      </w:r>
      <w:r w:rsidR="00AF4251">
        <w:t>policy</w:t>
      </w:r>
      <w:r w:rsidR="00AF4251" w:rsidRPr="00EE7914">
        <w:t xml:space="preserve"> </w:t>
      </w:r>
      <w:r w:rsidR="008441E0" w:rsidRPr="00EE7914">
        <w:t xml:space="preserve">may shift </w:t>
      </w:r>
      <w:r w:rsidR="00C46E61" w:rsidRPr="00EE7914">
        <w:t>costs</w:t>
      </w:r>
      <w:r w:rsidR="008441E0" w:rsidRPr="00EE7914">
        <w:t xml:space="preserve"> </w:t>
      </w:r>
      <w:r>
        <w:t>and that the</w:t>
      </w:r>
      <w:r w:rsidR="008441E0" w:rsidRPr="00EE7914">
        <w:t xml:space="preserve"> petitioners have </w:t>
      </w:r>
      <w:r>
        <w:t>not</w:t>
      </w:r>
      <w:r w:rsidR="008441E0" w:rsidRPr="00EE7914">
        <w:t xml:space="preserve"> conclusively shown that utilities’ DSM energy efficiency costs will fall or that the petitioners’ failure to use a RIM test will leave other customers</w:t>
      </w:r>
      <w:r w:rsidR="00C46E61">
        <w:t xml:space="preserve"> unharmed</w:t>
      </w:r>
      <w:r w:rsidR="008441E0" w:rsidRPr="00EE7914">
        <w:t xml:space="preserve">. </w:t>
      </w:r>
      <w:r w:rsidR="00E576DC">
        <w:t xml:space="preserve"> </w:t>
      </w:r>
    </w:p>
    <w:p w:rsidR="008441E0" w:rsidRPr="00EE7914" w:rsidRDefault="008441E0" w:rsidP="008441E0">
      <w:pPr>
        <w:spacing w:after="240"/>
        <w:ind w:firstLine="720"/>
        <w:jc w:val="both"/>
      </w:pPr>
      <w:r w:rsidRPr="00EE7914">
        <w:t xml:space="preserve">In addition to an energy efficiency specific opt-out </w:t>
      </w:r>
      <w:r w:rsidR="00AF4251">
        <w:t>policy</w:t>
      </w:r>
      <w:r w:rsidRPr="00EE7914">
        <w:t>, large commercial and industrial customers would still benefit from load management credits that are paid for by all customers, in</w:t>
      </w:r>
      <w:r w:rsidR="00E576DC">
        <w:t xml:space="preserve">cluding residential customers. </w:t>
      </w:r>
      <w:r w:rsidR="00472A5A">
        <w:t>FPL asserts that its</w:t>
      </w:r>
      <w:r w:rsidRPr="00EE7914">
        <w:t xml:space="preserve"> ECCR credits to large commercial and industrial customers exceed $50 million per year. TECO </w:t>
      </w:r>
      <w:r w:rsidR="00472A5A">
        <w:t xml:space="preserve">pays load management customers </w:t>
      </w:r>
      <w:r w:rsidRPr="00EE7914">
        <w:t>incentives to be willing to shed load because their willingness to do so yields benefits to the company and its</w:t>
      </w:r>
      <w:r w:rsidR="00472A5A">
        <w:t xml:space="preserve"> </w:t>
      </w:r>
      <w:r w:rsidR="00BB3328">
        <w:t xml:space="preserve">customers. </w:t>
      </w:r>
      <w:r w:rsidR="00D51271">
        <w:t xml:space="preserve">TECO </w:t>
      </w:r>
      <w:r w:rsidR="00302A6D">
        <w:t>argues</w:t>
      </w:r>
      <w:r w:rsidRPr="00EE7914">
        <w:t xml:space="preserve"> that in 2015, </w:t>
      </w:r>
      <w:r w:rsidR="00472A5A">
        <w:t xml:space="preserve">it has </w:t>
      </w:r>
      <w:r w:rsidRPr="00EE7914">
        <w:t>$47 million budge</w:t>
      </w:r>
      <w:r w:rsidR="00B478AF">
        <w:t>te</w:t>
      </w:r>
      <w:r w:rsidR="00472A5A">
        <w:t xml:space="preserve">d for </w:t>
      </w:r>
      <w:r w:rsidR="00CD3AEE">
        <w:t>total</w:t>
      </w:r>
      <w:r w:rsidR="00472A5A">
        <w:t xml:space="preserve"> ECCR expenditures. </w:t>
      </w:r>
      <w:r w:rsidR="00D51271">
        <w:t xml:space="preserve">TECO further </w:t>
      </w:r>
      <w:r w:rsidR="00302A6D">
        <w:t>asserts</w:t>
      </w:r>
      <w:r w:rsidRPr="00EE7914">
        <w:t xml:space="preserve"> that FIPUG’s interruptible customers in the GSLM-2 and GSLM-3 rates receive $17 million per year in credits while contributing $1.7 </w:t>
      </w:r>
      <w:r w:rsidRPr="00EE7914">
        <w:lastRenderedPageBreak/>
        <w:t xml:space="preserve">million to total ECCR costs. According to </w:t>
      </w:r>
      <w:r w:rsidR="00D51271">
        <w:t>TECO</w:t>
      </w:r>
      <w:r w:rsidR="00FE3245">
        <w:t xml:space="preserve">, </w:t>
      </w:r>
      <w:r w:rsidRPr="00EE7914">
        <w:t>they get 35 percent of the money we basically collect to fac</w:t>
      </w:r>
      <w:r w:rsidR="00472A5A">
        <w:t xml:space="preserve">ilitate conservation programs. </w:t>
      </w:r>
      <w:r w:rsidR="00F04280">
        <w:t xml:space="preserve">TECO </w:t>
      </w:r>
      <w:r w:rsidRPr="00EE7914">
        <w:t xml:space="preserve">contends that an opt-out </w:t>
      </w:r>
      <w:r w:rsidR="00AF4251">
        <w:t>policy</w:t>
      </w:r>
      <w:r w:rsidR="00AF4251" w:rsidRPr="00EE7914">
        <w:t xml:space="preserve"> </w:t>
      </w:r>
      <w:r w:rsidRPr="00EE7914">
        <w:t xml:space="preserve">would reduce the annual ECCR costs paid for by FIPUG members from $1.7 million to $900,000, resulting in an $800,000 bill reduction for FIPUG’s members. </w:t>
      </w:r>
      <w:r w:rsidR="00F04280">
        <w:t xml:space="preserve"> </w:t>
      </w:r>
    </w:p>
    <w:p w:rsidR="008441E0" w:rsidRPr="00BB3328" w:rsidRDefault="00B478AF" w:rsidP="00BB3328">
      <w:pPr>
        <w:pStyle w:val="ListParagraph"/>
        <w:numPr>
          <w:ilvl w:val="1"/>
          <w:numId w:val="17"/>
        </w:numPr>
        <w:jc w:val="both"/>
        <w:outlineLvl w:val="3"/>
        <w:rPr>
          <w:b/>
          <w:bCs/>
          <w:i/>
          <w:iCs/>
          <w:szCs w:val="28"/>
        </w:rPr>
      </w:pPr>
      <w:r w:rsidRPr="00BB3328">
        <w:rPr>
          <w:b/>
          <w:bCs/>
          <w:i/>
          <w:iCs/>
          <w:szCs w:val="28"/>
        </w:rPr>
        <w:t>Custom</w:t>
      </w:r>
      <w:r w:rsidR="008441E0" w:rsidRPr="00BB3328">
        <w:rPr>
          <w:b/>
          <w:bCs/>
          <w:i/>
          <w:iCs/>
          <w:szCs w:val="28"/>
        </w:rPr>
        <w:t xml:space="preserve"> Incentive Programs</w:t>
      </w:r>
    </w:p>
    <w:p w:rsidR="0054544A" w:rsidRPr="00EE7914" w:rsidRDefault="0054544A" w:rsidP="008441E0">
      <w:pPr>
        <w:ind w:left="720"/>
        <w:jc w:val="both"/>
        <w:outlineLvl w:val="3"/>
        <w:rPr>
          <w:b/>
          <w:bCs/>
          <w:i/>
          <w:iCs/>
          <w:szCs w:val="28"/>
        </w:rPr>
      </w:pPr>
    </w:p>
    <w:p w:rsidR="00B478AF" w:rsidRDefault="008441E0" w:rsidP="008441E0">
      <w:pPr>
        <w:spacing w:after="240"/>
        <w:ind w:firstLine="720"/>
        <w:jc w:val="both"/>
      </w:pPr>
      <w:r w:rsidRPr="00EE7914">
        <w:t>The four largest Florida IOUs currently offer large commercial and industrial custo</w:t>
      </w:r>
      <w:r w:rsidR="00CD3B92">
        <w:t xml:space="preserve">mers custom incentive programs. </w:t>
      </w:r>
      <w:r w:rsidRPr="00EE7914">
        <w:t>The 2014 expenditures by the four lar</w:t>
      </w:r>
      <w:r w:rsidR="00B478AF">
        <w:t>gest IOUs are shown in Table 2</w:t>
      </w:r>
      <w:r w:rsidR="00F04280">
        <w:t>.</w:t>
      </w:r>
      <w:r w:rsidRPr="00EE7914">
        <w:t xml:space="preserve"> All energy efficiency investments approved for a rebate under the custom incentive programs must pass the RIM test. The four largest IOUs </w:t>
      </w:r>
      <w:r w:rsidR="00472A5A">
        <w:t>argued</w:t>
      </w:r>
      <w:r w:rsidRPr="00EE7914">
        <w:t xml:space="preserve"> that customers may suggest projects to be evaluated for a rebate under the custom incentive </w:t>
      </w:r>
      <w:r w:rsidR="005662CD" w:rsidRPr="00EE7914">
        <w:t>programs</w:t>
      </w:r>
      <w:r w:rsidR="00FE3245">
        <w:t>.</w:t>
      </w:r>
      <w:r w:rsidR="005662CD" w:rsidRPr="00EE7914">
        <w:t xml:space="preserve"> </w:t>
      </w:r>
      <w:r w:rsidR="00126F64">
        <w:t xml:space="preserve">As a business decision, Wal-Mart has not participated in </w:t>
      </w:r>
      <w:r w:rsidR="00126F64" w:rsidRPr="00EE7914">
        <w:t>custom incentive programs offered by the utilities</w:t>
      </w:r>
      <w:r w:rsidR="00126F64">
        <w:t xml:space="preserve"> due to the burdensome process. </w:t>
      </w:r>
      <w:r w:rsidR="002F4D31">
        <w:t xml:space="preserve">Wal-Mart </w:t>
      </w:r>
      <w:r w:rsidR="00472A5A">
        <w:t xml:space="preserve">asserts </w:t>
      </w:r>
      <w:r w:rsidRPr="00EE7914">
        <w:t xml:space="preserve">that </w:t>
      </w:r>
      <w:r w:rsidR="00126F64">
        <w:t xml:space="preserve">the </w:t>
      </w:r>
      <w:r w:rsidRPr="00EE7914">
        <w:t xml:space="preserve">Florida IOUs’ custom incentive programs are burdensome because </w:t>
      </w:r>
      <w:r w:rsidR="00126F64">
        <w:t>of t</w:t>
      </w:r>
      <w:r w:rsidR="00472A5A">
        <w:t>he many forms and audit activities</w:t>
      </w:r>
      <w:r w:rsidR="00126F64">
        <w:t xml:space="preserve"> required for participation. </w:t>
      </w:r>
    </w:p>
    <w:p w:rsidR="008441E0" w:rsidRPr="00EE7914" w:rsidRDefault="00F04280" w:rsidP="00B478AF">
      <w:pPr>
        <w:spacing w:after="240"/>
        <w:ind w:firstLine="720"/>
        <w:jc w:val="both"/>
      </w:pPr>
      <w:r>
        <w:t>We note</w:t>
      </w:r>
      <w:r w:rsidR="008441E0" w:rsidRPr="00EE7914">
        <w:t>, however, that implementing the opt-out proposals could also result in audits and other requirements for the opt-out customers, especially if energy efficiency savings from these customers are</w:t>
      </w:r>
      <w:r w:rsidR="00CD3B92">
        <w:t xml:space="preserve"> counted towards utility goals. </w:t>
      </w:r>
      <w:r w:rsidR="002F4D31">
        <w:t>Wal-Mart</w:t>
      </w:r>
      <w:r w:rsidR="008441E0" w:rsidRPr="00EE7914">
        <w:t xml:space="preserve"> did not offer suggestions to make the utilities’ custom ince</w:t>
      </w:r>
      <w:r w:rsidR="00CD3B92">
        <w:t xml:space="preserve">ntive programs less burdensome. </w:t>
      </w:r>
      <w:r w:rsidR="00472A5A">
        <w:t>R</w:t>
      </w:r>
      <w:r w:rsidR="008441E0" w:rsidRPr="00EE7914">
        <w:t xml:space="preserve">ather than implementing a complex and potentially costly opt-out policy, </w:t>
      </w:r>
      <w:r>
        <w:t>we</w:t>
      </w:r>
      <w:r w:rsidR="008441E0" w:rsidRPr="00EE7914">
        <w:t xml:space="preserve"> </w:t>
      </w:r>
      <w:r w:rsidR="00472A5A">
        <w:t xml:space="preserve">hereby </w:t>
      </w:r>
      <w:r w:rsidR="008441E0" w:rsidRPr="00EE7914">
        <w:t>direct the utilities to work with the petitioners to make the custom incentive programs less burdensome and more responsive to customer needs in order to increase customer participation.</w:t>
      </w:r>
    </w:p>
    <w:p w:rsidR="008441E0" w:rsidRPr="00FB1F85" w:rsidRDefault="00FE3245" w:rsidP="008441E0">
      <w:pPr>
        <w:keepNext/>
        <w:spacing w:before="480"/>
        <w:jc w:val="center"/>
        <w:rPr>
          <w:highlight w:val="yellow"/>
        </w:rPr>
      </w:pPr>
      <w:r w:rsidRPr="00FB1F85">
        <w:t>Table 2</w:t>
      </w:r>
    </w:p>
    <w:p w:rsidR="008441E0" w:rsidRPr="00FB1F85" w:rsidRDefault="008441E0" w:rsidP="008441E0">
      <w:pPr>
        <w:keepNext/>
        <w:jc w:val="center"/>
      </w:pPr>
      <w:r w:rsidRPr="00FB1F85">
        <w:t>Custom Incentive Programs – 2014 IOU Expenditures</w:t>
      </w:r>
    </w:p>
    <w:tbl>
      <w:tblPr>
        <w:tblStyle w:val="TableGrid"/>
        <w:tblW w:w="0" w:type="auto"/>
        <w:tblInd w:w="558" w:type="dxa"/>
        <w:tblLook w:val="04A0" w:firstRow="1" w:lastRow="0" w:firstColumn="1" w:lastColumn="0" w:noHBand="0" w:noVBand="1"/>
      </w:tblPr>
      <w:tblGrid>
        <w:gridCol w:w="2790"/>
        <w:gridCol w:w="2790"/>
        <w:gridCol w:w="2790"/>
      </w:tblGrid>
      <w:tr w:rsidR="008441E0" w:rsidRPr="00FB1F85" w:rsidTr="008441E0">
        <w:trPr>
          <w:trHeight w:val="432"/>
        </w:trPr>
        <w:tc>
          <w:tcPr>
            <w:tcW w:w="2790" w:type="dxa"/>
            <w:vAlign w:val="center"/>
          </w:tcPr>
          <w:p w:rsidR="008441E0" w:rsidRPr="00FB1F85" w:rsidRDefault="008441E0" w:rsidP="008441E0">
            <w:pPr>
              <w:jc w:val="center"/>
            </w:pPr>
            <w:r w:rsidRPr="00FB1F85">
              <w:t>Utility</w:t>
            </w:r>
          </w:p>
        </w:tc>
        <w:tc>
          <w:tcPr>
            <w:tcW w:w="2790" w:type="dxa"/>
            <w:vAlign w:val="center"/>
          </w:tcPr>
          <w:p w:rsidR="008441E0" w:rsidRPr="00FB1F85" w:rsidRDefault="008441E0" w:rsidP="008441E0">
            <w:pPr>
              <w:jc w:val="center"/>
            </w:pPr>
            <w:r w:rsidRPr="00FB1F85">
              <w:t>Total Expenditures</w:t>
            </w:r>
          </w:p>
        </w:tc>
        <w:tc>
          <w:tcPr>
            <w:tcW w:w="2790" w:type="dxa"/>
            <w:vAlign w:val="center"/>
          </w:tcPr>
          <w:p w:rsidR="008441E0" w:rsidRPr="00FB1F85" w:rsidRDefault="008441E0" w:rsidP="008441E0">
            <w:pPr>
              <w:jc w:val="center"/>
            </w:pPr>
            <w:r w:rsidRPr="00FB1F85">
              <w:t>Incentives</w:t>
            </w:r>
          </w:p>
        </w:tc>
      </w:tr>
      <w:tr w:rsidR="008441E0" w:rsidRPr="00EE7914" w:rsidTr="008441E0">
        <w:trPr>
          <w:trHeight w:val="432"/>
        </w:trPr>
        <w:tc>
          <w:tcPr>
            <w:tcW w:w="2790" w:type="dxa"/>
            <w:vAlign w:val="center"/>
          </w:tcPr>
          <w:p w:rsidR="008441E0" w:rsidRPr="00EE7914" w:rsidRDefault="008441E0" w:rsidP="008441E0">
            <w:pPr>
              <w:jc w:val="center"/>
            </w:pPr>
            <w:r w:rsidRPr="00EE7914">
              <w:t>DEF</w:t>
            </w:r>
          </w:p>
        </w:tc>
        <w:tc>
          <w:tcPr>
            <w:tcW w:w="2790" w:type="dxa"/>
            <w:vAlign w:val="center"/>
          </w:tcPr>
          <w:p w:rsidR="008441E0" w:rsidRPr="00EE7914" w:rsidRDefault="008441E0" w:rsidP="008441E0">
            <w:pPr>
              <w:jc w:val="center"/>
            </w:pPr>
            <w:r w:rsidRPr="00EE7914">
              <w:t xml:space="preserve">  $46,117</w:t>
            </w:r>
          </w:p>
        </w:tc>
        <w:tc>
          <w:tcPr>
            <w:tcW w:w="2790" w:type="dxa"/>
            <w:vAlign w:val="center"/>
          </w:tcPr>
          <w:p w:rsidR="008441E0" w:rsidRPr="00EE7914" w:rsidRDefault="008441E0" w:rsidP="008441E0">
            <w:pPr>
              <w:jc w:val="center"/>
            </w:pPr>
            <w:r w:rsidRPr="00EE7914">
              <w:t xml:space="preserve">  $20,944</w:t>
            </w:r>
          </w:p>
        </w:tc>
      </w:tr>
      <w:tr w:rsidR="008441E0" w:rsidRPr="00EE7914" w:rsidTr="008441E0">
        <w:trPr>
          <w:trHeight w:val="432"/>
        </w:trPr>
        <w:tc>
          <w:tcPr>
            <w:tcW w:w="2790" w:type="dxa"/>
            <w:vAlign w:val="center"/>
          </w:tcPr>
          <w:p w:rsidR="008441E0" w:rsidRPr="00EE7914" w:rsidRDefault="008441E0" w:rsidP="008441E0">
            <w:pPr>
              <w:jc w:val="center"/>
            </w:pPr>
            <w:r w:rsidRPr="00EE7914">
              <w:t>FPL</w:t>
            </w:r>
          </w:p>
        </w:tc>
        <w:tc>
          <w:tcPr>
            <w:tcW w:w="2790" w:type="dxa"/>
            <w:vAlign w:val="center"/>
          </w:tcPr>
          <w:p w:rsidR="008441E0" w:rsidRPr="00EE7914" w:rsidRDefault="008441E0" w:rsidP="008441E0">
            <w:pPr>
              <w:jc w:val="center"/>
            </w:pPr>
            <w:r w:rsidRPr="00EE7914">
              <w:t>$289,113</w:t>
            </w:r>
          </w:p>
        </w:tc>
        <w:tc>
          <w:tcPr>
            <w:tcW w:w="2790" w:type="dxa"/>
            <w:vAlign w:val="center"/>
          </w:tcPr>
          <w:p w:rsidR="008441E0" w:rsidRPr="00EE7914" w:rsidRDefault="008441E0" w:rsidP="008441E0">
            <w:pPr>
              <w:jc w:val="center"/>
            </w:pPr>
            <w:r w:rsidRPr="00EE7914">
              <w:t>$245,132</w:t>
            </w:r>
          </w:p>
        </w:tc>
      </w:tr>
      <w:tr w:rsidR="008441E0" w:rsidRPr="00EE7914" w:rsidTr="008441E0">
        <w:trPr>
          <w:trHeight w:val="432"/>
        </w:trPr>
        <w:tc>
          <w:tcPr>
            <w:tcW w:w="2790" w:type="dxa"/>
            <w:vAlign w:val="center"/>
          </w:tcPr>
          <w:p w:rsidR="008441E0" w:rsidRPr="00EE7914" w:rsidRDefault="008441E0" w:rsidP="008441E0">
            <w:pPr>
              <w:jc w:val="center"/>
            </w:pPr>
            <w:r w:rsidRPr="00EE7914">
              <w:t>Gulf</w:t>
            </w:r>
          </w:p>
        </w:tc>
        <w:tc>
          <w:tcPr>
            <w:tcW w:w="2790" w:type="dxa"/>
            <w:vAlign w:val="center"/>
          </w:tcPr>
          <w:p w:rsidR="008441E0" w:rsidRPr="00EE7914" w:rsidRDefault="008441E0" w:rsidP="008441E0">
            <w:pPr>
              <w:jc w:val="center"/>
            </w:pPr>
            <w:r w:rsidRPr="00EE7914">
              <w:t xml:space="preserve">    $1,665</w:t>
            </w:r>
          </w:p>
        </w:tc>
        <w:tc>
          <w:tcPr>
            <w:tcW w:w="2790" w:type="dxa"/>
            <w:vAlign w:val="center"/>
          </w:tcPr>
          <w:p w:rsidR="008441E0" w:rsidRPr="00EE7914" w:rsidRDefault="008441E0" w:rsidP="008441E0">
            <w:pPr>
              <w:jc w:val="center"/>
            </w:pPr>
            <w:r w:rsidRPr="00EE7914">
              <w:t xml:space="preserve">    $1,000</w:t>
            </w:r>
          </w:p>
        </w:tc>
      </w:tr>
      <w:tr w:rsidR="008441E0" w:rsidRPr="00EE7914" w:rsidTr="008441E0">
        <w:trPr>
          <w:trHeight w:val="432"/>
        </w:trPr>
        <w:tc>
          <w:tcPr>
            <w:tcW w:w="2790" w:type="dxa"/>
            <w:vAlign w:val="center"/>
          </w:tcPr>
          <w:p w:rsidR="008441E0" w:rsidRPr="00EE7914" w:rsidRDefault="008441E0" w:rsidP="008441E0">
            <w:pPr>
              <w:jc w:val="center"/>
            </w:pPr>
            <w:r w:rsidRPr="00EE7914">
              <w:t>TECO</w:t>
            </w:r>
          </w:p>
        </w:tc>
        <w:tc>
          <w:tcPr>
            <w:tcW w:w="2790" w:type="dxa"/>
            <w:vAlign w:val="center"/>
          </w:tcPr>
          <w:p w:rsidR="008441E0" w:rsidRPr="00EE7914" w:rsidRDefault="008441E0" w:rsidP="008441E0">
            <w:pPr>
              <w:jc w:val="center"/>
            </w:pPr>
            <w:r w:rsidRPr="00EE7914">
              <w:t>$129,582</w:t>
            </w:r>
          </w:p>
        </w:tc>
        <w:tc>
          <w:tcPr>
            <w:tcW w:w="2790" w:type="dxa"/>
            <w:vAlign w:val="center"/>
          </w:tcPr>
          <w:p w:rsidR="008441E0" w:rsidRPr="00EE7914" w:rsidRDefault="008441E0" w:rsidP="008441E0">
            <w:pPr>
              <w:jc w:val="center"/>
            </w:pPr>
            <w:r w:rsidRPr="00EE7914">
              <w:t>$101,415</w:t>
            </w:r>
          </w:p>
        </w:tc>
      </w:tr>
    </w:tbl>
    <w:p w:rsidR="008441E0" w:rsidRPr="00EE7914" w:rsidRDefault="008441E0" w:rsidP="008441E0">
      <w:pPr>
        <w:spacing w:after="240"/>
        <w:ind w:firstLine="450"/>
        <w:jc w:val="both"/>
        <w:rPr>
          <w:sz w:val="22"/>
          <w:szCs w:val="22"/>
        </w:rPr>
      </w:pPr>
    </w:p>
    <w:p w:rsidR="008441E0" w:rsidRPr="00BB3328" w:rsidRDefault="008441E0" w:rsidP="00BB3328">
      <w:pPr>
        <w:pStyle w:val="ListParagraph"/>
        <w:numPr>
          <w:ilvl w:val="1"/>
          <w:numId w:val="17"/>
        </w:numPr>
        <w:jc w:val="both"/>
        <w:outlineLvl w:val="3"/>
        <w:rPr>
          <w:b/>
          <w:bCs/>
          <w:i/>
          <w:iCs/>
          <w:szCs w:val="28"/>
        </w:rPr>
      </w:pPr>
      <w:r w:rsidRPr="00BB3328">
        <w:rPr>
          <w:b/>
          <w:bCs/>
          <w:i/>
          <w:iCs/>
          <w:szCs w:val="28"/>
        </w:rPr>
        <w:t>Implementation Issues</w:t>
      </w:r>
    </w:p>
    <w:p w:rsidR="00145E16" w:rsidRPr="00EE7914" w:rsidRDefault="00145E16" w:rsidP="008441E0">
      <w:pPr>
        <w:ind w:left="720"/>
        <w:jc w:val="both"/>
        <w:outlineLvl w:val="3"/>
        <w:rPr>
          <w:b/>
          <w:bCs/>
          <w:i/>
          <w:iCs/>
          <w:szCs w:val="28"/>
        </w:rPr>
      </w:pPr>
    </w:p>
    <w:p w:rsidR="00B478AF" w:rsidRDefault="008441E0" w:rsidP="008441E0">
      <w:pPr>
        <w:spacing w:after="240"/>
        <w:ind w:firstLine="720"/>
        <w:jc w:val="both"/>
      </w:pPr>
      <w:r w:rsidRPr="00EE7914">
        <w:t xml:space="preserve">An opt-out policy would lead to numerous implementation issues that could add complexities to </w:t>
      </w:r>
      <w:r w:rsidR="00F04280">
        <w:t>our</w:t>
      </w:r>
      <w:r w:rsidRPr="00EE7914">
        <w:t xml:space="preserve"> processes and increase administrative costs. The petitioners argue that an opt-out can be implemented in such a way as to prevent cost shifting because an opt-out </w:t>
      </w:r>
      <w:r w:rsidR="00AF4251">
        <w:t>policy</w:t>
      </w:r>
      <w:r w:rsidR="00AF4251" w:rsidRPr="00EE7914">
        <w:t xml:space="preserve"> </w:t>
      </w:r>
      <w:r w:rsidRPr="00EE7914">
        <w:t xml:space="preserve">would reduce expected program costs. </w:t>
      </w:r>
      <w:r w:rsidR="00F04280">
        <w:t xml:space="preserve"> </w:t>
      </w:r>
      <w:r w:rsidRPr="00EE7914">
        <w:t xml:space="preserve"> </w:t>
      </w:r>
    </w:p>
    <w:p w:rsidR="008441E0" w:rsidRPr="00EE7914" w:rsidRDefault="008441E0" w:rsidP="008441E0">
      <w:pPr>
        <w:spacing w:after="240"/>
        <w:ind w:firstLine="720"/>
        <w:jc w:val="both"/>
      </w:pPr>
      <w:r w:rsidRPr="00EE7914">
        <w:t xml:space="preserve">Having stated that an opt-out </w:t>
      </w:r>
      <w:r w:rsidR="00AF4251">
        <w:t>policy</w:t>
      </w:r>
      <w:r w:rsidR="00AF4251" w:rsidRPr="00EE7914">
        <w:t xml:space="preserve"> </w:t>
      </w:r>
      <w:r w:rsidRPr="00EE7914">
        <w:t xml:space="preserve">will not shift costs, Wal-Mart then </w:t>
      </w:r>
      <w:r w:rsidR="00145E16">
        <w:t>recommends</w:t>
      </w:r>
      <w:r w:rsidRPr="00EE7914">
        <w:t xml:space="preserve"> </w:t>
      </w:r>
      <w:r w:rsidR="00F04280">
        <w:t>we</w:t>
      </w:r>
      <w:r w:rsidRPr="00EE7914">
        <w:t xml:space="preserve"> allow utilities to count estimated or reported energy efficiency from opt-out customers towards </w:t>
      </w:r>
      <w:r w:rsidRPr="00EE7914">
        <w:lastRenderedPageBreak/>
        <w:t>DSM goals. Wal-Mart</w:t>
      </w:r>
      <w:r w:rsidR="00145E16">
        <w:t xml:space="preserve"> and FIPUG also suggest</w:t>
      </w:r>
      <w:r w:rsidRPr="00EE7914">
        <w:t xml:space="preserve"> that the IOUs split the ECCR charge into an energy efficie</w:t>
      </w:r>
      <w:r w:rsidR="00F04280">
        <w:t xml:space="preserve">ncy portion and a DSM portion. </w:t>
      </w:r>
    </w:p>
    <w:p w:rsidR="008441E0" w:rsidRPr="00EE7914" w:rsidRDefault="008441E0" w:rsidP="008441E0">
      <w:pPr>
        <w:spacing w:after="240"/>
        <w:ind w:firstLine="720"/>
        <w:jc w:val="both"/>
      </w:pPr>
      <w:r w:rsidRPr="00EE7914">
        <w:t>While the petitioners advocate splitting the ECCR charge and counting opt-out energy efficiency investments toward goals, the utilities note that both</w:t>
      </w:r>
      <w:r w:rsidR="00FB1F85">
        <w:t xml:space="preserve"> this</w:t>
      </w:r>
      <w:r w:rsidR="00CD3AEE">
        <w:t xml:space="preserve"> Commission’s and the utilities’ </w:t>
      </w:r>
      <w:r w:rsidRPr="00EE7914">
        <w:t>internal processes would have to change</w:t>
      </w:r>
      <w:r w:rsidR="00145E16">
        <w:t>. The utilities contend that changing these processes</w:t>
      </w:r>
      <w:r w:rsidRPr="00EE7914">
        <w:t xml:space="preserve"> </w:t>
      </w:r>
      <w:r w:rsidR="007D5830">
        <w:t xml:space="preserve">would add costs. FPL </w:t>
      </w:r>
      <w:r w:rsidR="006B1402">
        <w:t>asserts</w:t>
      </w:r>
      <w:r w:rsidR="007D5830">
        <w:t xml:space="preserve"> that there </w:t>
      </w:r>
      <w:r w:rsidR="00126F64">
        <w:t>would be</w:t>
      </w:r>
      <w:r w:rsidR="007D5830">
        <w:t xml:space="preserve"> </w:t>
      </w:r>
      <w:r w:rsidR="00126F64">
        <w:t xml:space="preserve">required </w:t>
      </w:r>
      <w:r w:rsidRPr="00EE7914">
        <w:t xml:space="preserve">modifications to </w:t>
      </w:r>
      <w:r w:rsidR="00126F64">
        <w:t>handle</w:t>
      </w:r>
      <w:r w:rsidRPr="00EE7914">
        <w:t xml:space="preserve"> tracking and hand</w:t>
      </w:r>
      <w:r w:rsidR="00126F64">
        <w:t xml:space="preserve">ling of many accounts. </w:t>
      </w:r>
      <w:r w:rsidR="006B1402">
        <w:t>Such</w:t>
      </w:r>
      <w:r w:rsidR="00126F64">
        <w:t xml:space="preserve"> proce</w:t>
      </w:r>
      <w:r w:rsidR="00CF2359">
        <w:t>ss and system modifications i</w:t>
      </w:r>
      <w:r w:rsidR="00126F64">
        <w:t xml:space="preserve">nclude </w:t>
      </w:r>
      <w:r w:rsidR="003D3DD2">
        <w:t>(</w:t>
      </w:r>
      <w:r w:rsidR="00126F64">
        <w:t>1) b</w:t>
      </w:r>
      <w:r w:rsidRPr="00EE7914">
        <w:t>illing system changes</w:t>
      </w:r>
      <w:r w:rsidR="003D3DD2">
        <w:t>,</w:t>
      </w:r>
      <w:r w:rsidR="00126F64">
        <w:t xml:space="preserve"> </w:t>
      </w:r>
      <w:r w:rsidR="003D3DD2">
        <w:t>(</w:t>
      </w:r>
      <w:r w:rsidR="00126F64">
        <w:t xml:space="preserve">2) </w:t>
      </w:r>
      <w:r w:rsidRPr="00EE7914">
        <w:t>identification of</w:t>
      </w:r>
      <w:r w:rsidR="00126F64">
        <w:t xml:space="preserve"> the ECCR opt-out customers, </w:t>
      </w:r>
      <w:r w:rsidR="003D3DD2">
        <w:t>(</w:t>
      </w:r>
      <w:r w:rsidR="00126F64">
        <w:t xml:space="preserve">3) </w:t>
      </w:r>
      <w:r w:rsidRPr="00EE7914">
        <w:t>creation of the additional charges in the rates and billing tables</w:t>
      </w:r>
      <w:r w:rsidR="00126F64">
        <w:t xml:space="preserve">, and </w:t>
      </w:r>
      <w:r w:rsidR="003D3DD2">
        <w:t>(</w:t>
      </w:r>
      <w:r w:rsidR="00126F64">
        <w:t xml:space="preserve">4) </w:t>
      </w:r>
      <w:r w:rsidR="00CF2359">
        <w:t>changes to the information submitted to the</w:t>
      </w:r>
      <w:r w:rsidR="00FE3245">
        <w:t xml:space="preserve"> </w:t>
      </w:r>
      <w:r w:rsidRPr="00EE7914">
        <w:t>data warehouse, rate report</w:t>
      </w:r>
      <w:r w:rsidR="00126F64">
        <w:t>s and other financial reports.</w:t>
      </w:r>
      <w:r w:rsidR="00CD3B92">
        <w:t xml:space="preserve"> </w:t>
      </w:r>
      <w:r w:rsidRPr="00EE7914">
        <w:t xml:space="preserve">TECO asserts that an opt-out policy would cause </w:t>
      </w:r>
      <w:r w:rsidR="00302A6D">
        <w:t>it</w:t>
      </w:r>
      <w:r w:rsidRPr="00EE7914">
        <w:t xml:space="preserve"> to make programming changes to the customer information and billing system, changes to forecasting processes, and additional work for the customer service department. </w:t>
      </w:r>
      <w:r w:rsidR="00F04280">
        <w:t xml:space="preserve"> </w:t>
      </w:r>
    </w:p>
    <w:p w:rsidR="006B1402" w:rsidRPr="00472A5A" w:rsidRDefault="008441E0" w:rsidP="00A2683A">
      <w:pPr>
        <w:spacing w:after="240"/>
        <w:ind w:firstLine="720"/>
        <w:jc w:val="both"/>
      </w:pPr>
      <w:r w:rsidRPr="00EE7914">
        <w:t xml:space="preserve">Gulf </w:t>
      </w:r>
      <w:r w:rsidR="006B1402">
        <w:t>asserts</w:t>
      </w:r>
      <w:r w:rsidRPr="00EE7914">
        <w:t xml:space="preserve"> that an opt-out policy</w:t>
      </w:r>
      <w:r w:rsidR="00CF2359">
        <w:t xml:space="preserve"> </w:t>
      </w:r>
      <w:r w:rsidR="00CD3AEE">
        <w:t xml:space="preserve">would </w:t>
      </w:r>
      <w:r w:rsidRPr="00EE7914">
        <w:t>also</w:t>
      </w:r>
      <w:r w:rsidR="00CF2359">
        <w:t xml:space="preserve"> </w:t>
      </w:r>
      <w:r w:rsidR="00BB3328">
        <w:t>impact</w:t>
      </w:r>
      <w:r w:rsidR="00CF2359">
        <w:t xml:space="preserve"> its</w:t>
      </w:r>
      <w:r w:rsidR="00CD3AEE">
        <w:t xml:space="preserve"> ability to achieve</w:t>
      </w:r>
      <w:r w:rsidR="00CF2359">
        <w:t xml:space="preserve"> of our DSM goals.</w:t>
      </w:r>
      <w:r w:rsidRPr="00EE7914">
        <w:t xml:space="preserve"> </w:t>
      </w:r>
      <w:r w:rsidR="00BB3328">
        <w:t>Similarly</w:t>
      </w:r>
      <w:r w:rsidR="006B1402">
        <w:t xml:space="preserve">, </w:t>
      </w:r>
      <w:r w:rsidRPr="00EE7914">
        <w:t xml:space="preserve">DEF comments that </w:t>
      </w:r>
      <w:r w:rsidR="00CD3AEE">
        <w:t>we</w:t>
      </w:r>
      <w:r w:rsidRPr="00EE7914">
        <w:t xml:space="preserve"> would need to adjust </w:t>
      </w:r>
      <w:r w:rsidR="00F04280">
        <w:t>our</w:t>
      </w:r>
      <w:r w:rsidRPr="00EE7914">
        <w:t xml:space="preserve"> annual DSM goals. </w:t>
      </w:r>
    </w:p>
    <w:p w:rsidR="00145E16" w:rsidRPr="00472A5A" w:rsidRDefault="008441E0" w:rsidP="00472A5A">
      <w:pPr>
        <w:spacing w:after="240"/>
        <w:ind w:firstLine="720"/>
        <w:jc w:val="both"/>
      </w:pPr>
      <w:r w:rsidRPr="00EE7914">
        <w:t xml:space="preserve">The record is inconclusive </w:t>
      </w:r>
      <w:r w:rsidR="006B1402">
        <w:t>regarding</w:t>
      </w:r>
      <w:r w:rsidRPr="00EE7914">
        <w:t xml:space="preserve"> whether the ability to opt out of paying the ECCR charge will spur greater cost-effective conservation by large customers. Reducing ECCR charges for these large customers will reduce their bills. While these customers may increase their spending due to lower bills, there is no guarantee that these dollars will be invested in energy efficiency measures. Wal-Mart </w:t>
      </w:r>
      <w:r w:rsidR="00302A6D">
        <w:t xml:space="preserve">argues </w:t>
      </w:r>
      <w:r w:rsidRPr="00EE7914">
        <w:t>the customer implementing the EE measure has every incentive to ensure that the implement</w:t>
      </w:r>
      <w:r w:rsidR="00CD3AEE">
        <w:t>ed measures are cost-</w:t>
      </w:r>
      <w:r w:rsidR="00302A6D">
        <w:t>effective.</w:t>
      </w:r>
      <w:r w:rsidRPr="00EE7914">
        <w:t xml:space="preserve"> However, </w:t>
      </w:r>
      <w:r w:rsidR="00B77973">
        <w:t>Wal-Mart</w:t>
      </w:r>
      <w:r w:rsidRPr="00EE7914">
        <w:t xml:space="preserve"> </w:t>
      </w:r>
      <w:r w:rsidR="00DC127A">
        <w:t>asserts</w:t>
      </w:r>
      <w:r w:rsidRPr="00EE7914">
        <w:t xml:space="preserve"> that </w:t>
      </w:r>
      <w:r w:rsidR="00B77973">
        <w:t xml:space="preserve">it </w:t>
      </w:r>
      <w:r w:rsidRPr="00EE7914">
        <w:t xml:space="preserve">does not use </w:t>
      </w:r>
      <w:r w:rsidR="00B77973">
        <w:t xml:space="preserve">our </w:t>
      </w:r>
      <w:r w:rsidRPr="00EE7914">
        <w:t xml:space="preserve">approved cost-effectiveness tests such as the RIM test, the Participants’ test, or the Total Resource Cost test. Because of this answer and a lack of further specifics on how the company and others would evaluate an energy efficiency investment, </w:t>
      </w:r>
      <w:r w:rsidR="00B77973">
        <w:t>we</w:t>
      </w:r>
      <w:r w:rsidRPr="00EE7914">
        <w:t xml:space="preserve"> cannot definitely agree with Wal-Mart that an opt-out </w:t>
      </w:r>
      <w:r w:rsidR="00AF4251">
        <w:t>policy</w:t>
      </w:r>
      <w:r w:rsidR="00AF4251" w:rsidRPr="00EE7914">
        <w:t xml:space="preserve"> </w:t>
      </w:r>
      <w:r w:rsidRPr="00EE7914">
        <w:t>would lead to more cost-effective energy efficiency.</w:t>
      </w:r>
    </w:p>
    <w:p w:rsidR="008441E0" w:rsidRPr="00EE7914" w:rsidRDefault="00B77973" w:rsidP="008441E0">
      <w:pPr>
        <w:ind w:firstLine="720"/>
        <w:jc w:val="both"/>
      </w:pPr>
      <w:r>
        <w:t>We find</w:t>
      </w:r>
      <w:r w:rsidR="008441E0" w:rsidRPr="00EE7914">
        <w:t xml:space="preserve"> that </w:t>
      </w:r>
      <w:r w:rsidR="00A2683A">
        <w:t>designing</w:t>
      </w:r>
      <w:r w:rsidR="008441E0" w:rsidRPr="00EE7914">
        <w:t xml:space="preserve"> an opt-out policy to prevent cost shifting to other ratepayers</w:t>
      </w:r>
      <w:r w:rsidR="00FB1F85">
        <w:t xml:space="preserve"> presents difficulties</w:t>
      </w:r>
      <w:r w:rsidR="008441E0" w:rsidRPr="00EE7914">
        <w:t xml:space="preserve">. At a minimum, preventing cost shifting would require that all additional administrative costs be paid by opt-out customers. Additionally, </w:t>
      </w:r>
      <w:r>
        <w:t>we note</w:t>
      </w:r>
      <w:r w:rsidR="008441E0" w:rsidRPr="00EE7914">
        <w:t xml:space="preserve"> that preventing cost shifting would also require </w:t>
      </w:r>
      <w:r>
        <w:t>us</w:t>
      </w:r>
      <w:r w:rsidR="008441E0" w:rsidRPr="00EE7914">
        <w:t xml:space="preserve"> to either: (1) revisit the IOUs’ DSM goals or (2) count cost-effective verified opt-out savings towards the IOUs’ DSM goals. However, the record is inconclusive regarding whether revisiting the IOUs’ DSM goals or counting verified opt-out customer savings towards the IOUs’ DSM goals would prevent cost shifting.</w:t>
      </w:r>
    </w:p>
    <w:p w:rsidR="00145E16" w:rsidRPr="00EE7914" w:rsidRDefault="00145E16" w:rsidP="00472A5A">
      <w:pPr>
        <w:jc w:val="both"/>
        <w:outlineLvl w:val="3"/>
        <w:rPr>
          <w:b/>
          <w:bCs/>
          <w:i/>
          <w:iCs/>
          <w:szCs w:val="28"/>
        </w:rPr>
      </w:pPr>
    </w:p>
    <w:p w:rsidR="008441E0" w:rsidRPr="00EE7914" w:rsidRDefault="00B77973" w:rsidP="00145E16">
      <w:pPr>
        <w:spacing w:after="240"/>
        <w:ind w:firstLine="720"/>
        <w:jc w:val="both"/>
      </w:pPr>
      <w:r>
        <w:t>We note</w:t>
      </w:r>
      <w:r w:rsidR="008441E0" w:rsidRPr="00EE7914">
        <w:t xml:space="preserve"> that a key contention of the petitioners is that they know their businesses best and are already making energy efficiency investments; therefore</w:t>
      </w:r>
      <w:r w:rsidR="00FB1F85">
        <w:t>,</w:t>
      </w:r>
      <w:r w:rsidR="008441E0" w:rsidRPr="00EE7914">
        <w:t xml:space="preserve"> they should be able to opt out of paying for utility-sponsored energy efficiency</w:t>
      </w:r>
      <w:r w:rsidR="00CD3B92">
        <w:t xml:space="preserve"> programs. </w:t>
      </w:r>
      <w:r w:rsidR="00302A6D">
        <w:t>However, we</w:t>
      </w:r>
      <w:r>
        <w:t xml:space="preserve"> </w:t>
      </w:r>
      <w:r w:rsidR="00302A6D">
        <w:t>note</w:t>
      </w:r>
      <w:r w:rsidR="008441E0" w:rsidRPr="00EE7914">
        <w:t xml:space="preserve"> that residential and small commercial/industrial customers al</w:t>
      </w:r>
      <w:r w:rsidR="00CD3B92">
        <w:t xml:space="preserve">so invest in energy efficiency. Under </w:t>
      </w:r>
      <w:r w:rsidR="00302A6D">
        <w:t>the petitioners’ proposal</w:t>
      </w:r>
      <w:r w:rsidR="008441E0" w:rsidRPr="00EE7914">
        <w:t>, these customers would continue to pay the full ECCR charge. I</w:t>
      </w:r>
      <w:r>
        <w:t>n addition, we agree</w:t>
      </w:r>
      <w:r w:rsidR="008441E0" w:rsidRPr="00EE7914">
        <w:t xml:space="preserve"> with DEF that the administrative costs of an opt-out </w:t>
      </w:r>
      <w:r w:rsidR="00FB1F85">
        <w:t>program</w:t>
      </w:r>
      <w:r w:rsidR="008441E0" w:rsidRPr="00EE7914">
        <w:t xml:space="preserve"> could be combined with overall energy efficiency overhead costs. This practice would mean that</w:t>
      </w:r>
      <w:r w:rsidR="00FB1F85">
        <w:t xml:space="preserve"> ratepayers who do not opt out of </w:t>
      </w:r>
      <w:r w:rsidR="006B69B1" w:rsidRPr="00EE7914">
        <w:t>utility-sponsored energy efficiency</w:t>
      </w:r>
      <w:r w:rsidR="006B69B1">
        <w:t xml:space="preserve"> programs </w:t>
      </w:r>
      <w:r w:rsidR="00FB1F85">
        <w:t>a</w:t>
      </w:r>
      <w:r w:rsidR="008441E0" w:rsidRPr="00EE7914">
        <w:t xml:space="preserve">re unfairly burdened with the administrative costs of accounting for opt-out customers. On the other hand, forecasting and </w:t>
      </w:r>
      <w:r w:rsidR="008441E0" w:rsidRPr="00EE7914">
        <w:lastRenderedPageBreak/>
        <w:t xml:space="preserve">separating the administrative costs of an opt-out </w:t>
      </w:r>
      <w:r w:rsidR="00AF4251">
        <w:t>policy</w:t>
      </w:r>
      <w:r w:rsidR="00AF4251" w:rsidRPr="00EE7914">
        <w:t xml:space="preserve"> </w:t>
      </w:r>
      <w:r w:rsidR="008441E0" w:rsidRPr="00EE7914">
        <w:t>may also be burdensome and costly for the utility and its ratepayers.</w:t>
      </w:r>
    </w:p>
    <w:p w:rsidR="008441E0" w:rsidRPr="00EE7914" w:rsidRDefault="00B77973" w:rsidP="008441E0">
      <w:pPr>
        <w:spacing w:after="240"/>
        <w:ind w:firstLine="720"/>
        <w:jc w:val="both"/>
      </w:pPr>
      <w:r>
        <w:t>We do</w:t>
      </w:r>
      <w:r w:rsidR="008441E0" w:rsidRPr="00EE7914">
        <w:t xml:space="preserve"> not find sufficient evidence in the record to guarantee that opt-out customers would pay for all increased administrative costs, including the costs of internal changes such as billing system changes and </w:t>
      </w:r>
      <w:r>
        <w:t xml:space="preserve">our </w:t>
      </w:r>
      <w:r w:rsidR="008441E0" w:rsidRPr="00EE7914">
        <w:t>specific changes such as changes to a</w:t>
      </w:r>
      <w:r w:rsidR="00A2683A">
        <w:t>nnual reporting and DSM goals. Moreover, t</w:t>
      </w:r>
      <w:r w:rsidR="008441E0" w:rsidRPr="00EE7914">
        <w:t xml:space="preserve">he petitioners have not provided convincing evidence that other customers will not be harmed due to the interaction of an opt-out </w:t>
      </w:r>
      <w:r w:rsidR="00AF4251">
        <w:t>policy</w:t>
      </w:r>
      <w:r w:rsidR="00AF4251" w:rsidRPr="00EE7914">
        <w:t xml:space="preserve"> </w:t>
      </w:r>
      <w:r w:rsidR="008441E0" w:rsidRPr="00EE7914">
        <w:t xml:space="preserve">with </w:t>
      </w:r>
      <w:r>
        <w:t>our</w:t>
      </w:r>
      <w:r w:rsidR="008441E0" w:rsidRPr="00EE7914">
        <w:t xml:space="preserve"> obligation to set goals under FEECA. </w:t>
      </w:r>
      <w:r w:rsidR="00A2683A">
        <w:t>Additionally,</w:t>
      </w:r>
      <w:r>
        <w:t xml:space="preserve"> </w:t>
      </w:r>
      <w:r w:rsidR="008441E0" w:rsidRPr="00EE7914">
        <w:t xml:space="preserve">aggregation of accounts (as proposed by Wal-Mart and FIPUG) may cause equity issues for single stores or smaller chains. If large chains such as Wal-Mart can aggregate stores to decrease their ECCR charges and smaller stores cannot meet the threshold, then the operating cost of Wal-Mart stores will have unfairly decreased relative to the operating cost of Wal-Mart’s competitors. </w:t>
      </w:r>
      <w:r>
        <w:t xml:space="preserve"> </w:t>
      </w:r>
    </w:p>
    <w:p w:rsidR="008441E0" w:rsidRPr="00EE7914" w:rsidRDefault="00B77973" w:rsidP="008441E0">
      <w:pPr>
        <w:spacing w:after="240"/>
        <w:ind w:firstLine="720"/>
        <w:jc w:val="both"/>
      </w:pPr>
      <w:r>
        <w:t>Our</w:t>
      </w:r>
      <w:r w:rsidR="008441E0" w:rsidRPr="00EE7914">
        <w:t xml:space="preserve"> most recent DSM goals order requires that approved energy efficiency savings pass the RIM test and have a payback period greater than two years to minimize the number of free riders.</w:t>
      </w:r>
      <w:r w:rsidR="00302A6D">
        <w:rPr>
          <w:rStyle w:val="FootnoteReference"/>
        </w:rPr>
        <w:footnoteReference w:id="6"/>
      </w:r>
      <w:r w:rsidR="008441E0" w:rsidRPr="00EE7914">
        <w:t xml:space="preserve"> </w:t>
      </w:r>
      <w:r w:rsidR="00E737E8">
        <w:t>We are</w:t>
      </w:r>
      <w:r w:rsidR="008441E0" w:rsidRPr="00EE7914">
        <w:t xml:space="preserve"> concerned that Wal-Mart, FIPUG, and others would be able to opt out of paying for energy efficiency programs without</w:t>
      </w:r>
      <w:r w:rsidR="006B69B1">
        <w:t xml:space="preserve"> a</w:t>
      </w:r>
      <w:r w:rsidR="008441E0" w:rsidRPr="00EE7914">
        <w:t xml:space="preserve"> guarantee that opt-out customers would achieve energy efficiency savings that would pass the RIM test and would have a payback period greater than two years.</w:t>
      </w:r>
      <w:r w:rsidR="00A2683A" w:rsidRPr="00EE7914">
        <w:t xml:space="preserve"> </w:t>
      </w:r>
      <w:r w:rsidR="008441E0" w:rsidRPr="00EE7914">
        <w:t>In response to questioning by OPC</w:t>
      </w:r>
      <w:r w:rsidR="00302A6D">
        <w:t xml:space="preserve"> during the hearing</w:t>
      </w:r>
      <w:r w:rsidR="008441E0" w:rsidRPr="00EE7914">
        <w:t xml:space="preserve">, </w:t>
      </w:r>
      <w:r w:rsidR="00E737E8">
        <w:t>Wal-Mart</w:t>
      </w:r>
      <w:r w:rsidR="008441E0" w:rsidRPr="00EE7914">
        <w:t xml:space="preserve"> acknowledged that </w:t>
      </w:r>
      <w:r w:rsidR="00A2683A">
        <w:t>its</w:t>
      </w:r>
      <w:r w:rsidR="008441E0" w:rsidRPr="00EE7914">
        <w:t xml:space="preserve"> proposal does n</w:t>
      </w:r>
      <w:r w:rsidR="00CD3AEE">
        <w:t>ot rely on a RIM test.</w:t>
      </w:r>
      <w:r w:rsidR="00A2683A">
        <w:t xml:space="preserve"> </w:t>
      </w:r>
      <w:r w:rsidR="00145E16">
        <w:t xml:space="preserve">Wal-Mart </w:t>
      </w:r>
      <w:r w:rsidR="00302A6D">
        <w:t>asserts</w:t>
      </w:r>
      <w:r w:rsidR="008441E0" w:rsidRPr="00EE7914">
        <w:t xml:space="preserve"> that </w:t>
      </w:r>
      <w:r w:rsidR="00DC127A">
        <w:t>it</w:t>
      </w:r>
      <w:r w:rsidR="003D3DD2">
        <w:t xml:space="preserve"> would not oppose </w:t>
      </w:r>
      <w:r w:rsidR="00DC127A">
        <w:t xml:space="preserve">our </w:t>
      </w:r>
      <w:r w:rsidR="00CF2359">
        <w:t>application of a RIM test</w:t>
      </w:r>
      <w:r w:rsidR="00DC127A">
        <w:t xml:space="preserve"> on an </w:t>
      </w:r>
      <w:r w:rsidR="00DC127A" w:rsidRPr="00EE7914">
        <w:t>opt-out customer’s programs</w:t>
      </w:r>
      <w:r w:rsidR="00CF2359">
        <w:t xml:space="preserve">. </w:t>
      </w:r>
      <w:r w:rsidR="008441E0" w:rsidRPr="00EE7914">
        <w:t>FIPUG was silent on using the RIM test on opt-out customers’ energy efficiency investments.</w:t>
      </w:r>
    </w:p>
    <w:p w:rsidR="003D3DD2" w:rsidRDefault="008441E0" w:rsidP="003D3DD2">
      <w:pPr>
        <w:autoSpaceDE w:val="0"/>
        <w:autoSpaceDN w:val="0"/>
        <w:adjustRightInd w:val="0"/>
        <w:ind w:firstLine="720"/>
        <w:jc w:val="both"/>
      </w:pPr>
      <w:r w:rsidRPr="00EE7914">
        <w:t xml:space="preserve">Utility-sponsored programs that pass the RIM test put downward pressure on rates and are therefore beneficial to the general body of ratepayers. The utilities’ approved goals are based on the RIM cost-effectiveness test. Opt-out customers have proposed avoiding ECCR payments by making (or promising to make) energy efficiency decisions that are beneficial to these customers. </w:t>
      </w:r>
      <w:r w:rsidR="00A2683A">
        <w:t>Some</w:t>
      </w:r>
      <w:r w:rsidRPr="00EE7914">
        <w:t xml:space="preserve"> of these investment decisions </w:t>
      </w:r>
      <w:r w:rsidR="00A2683A">
        <w:t>may</w:t>
      </w:r>
      <w:r w:rsidRPr="00EE7914">
        <w:t xml:space="preserve"> not pass the RIM test. Historically, </w:t>
      </w:r>
      <w:r w:rsidR="008600D3">
        <w:t>we have</w:t>
      </w:r>
      <w:r w:rsidRPr="00EE7914">
        <w:t xml:space="preserve"> encouraged cust</w:t>
      </w:r>
      <w:r w:rsidR="00145E16">
        <w:t>omers to use energy efficiently and a</w:t>
      </w:r>
      <w:r w:rsidRPr="00EE7914">
        <w:t>ny customer has an incentive to make energy efficiency decisions that are in his or her own best economic intere</w:t>
      </w:r>
      <w:r w:rsidR="003D3DD2">
        <w:t>st</w:t>
      </w:r>
      <w:r w:rsidR="00E737E8">
        <w:t xml:space="preserve">. However, it is </w:t>
      </w:r>
      <w:r w:rsidR="005662CD">
        <w:t>our</w:t>
      </w:r>
      <w:r w:rsidR="00E737E8">
        <w:t xml:space="preserve"> role </w:t>
      </w:r>
      <w:r w:rsidRPr="00EE7914">
        <w:t xml:space="preserve">to ensure that utility-sponsored programs and related policies are in the best interest of the general body of ratepayers. </w:t>
      </w:r>
      <w:r w:rsidR="00E737E8">
        <w:t>We do</w:t>
      </w:r>
      <w:r w:rsidRPr="00EE7914">
        <w:t xml:space="preserve"> not </w:t>
      </w:r>
      <w:r w:rsidR="006B69B1">
        <w:t>find</w:t>
      </w:r>
      <w:r w:rsidRPr="00EE7914">
        <w:t xml:space="preserve"> </w:t>
      </w:r>
      <w:r w:rsidR="00FE3245">
        <w:t xml:space="preserve">that </w:t>
      </w:r>
      <w:r w:rsidRPr="00EE7914">
        <w:t>Wal-Mart and FIPUG have provided sufficient evidence that their</w:t>
      </w:r>
      <w:r w:rsidR="00E737E8">
        <w:t xml:space="preserve"> energy efficiency investments are beneficial to the general body of ratepayers.</w:t>
      </w:r>
      <w:r w:rsidRPr="00EE7914">
        <w:t xml:space="preserve"> </w:t>
      </w:r>
    </w:p>
    <w:p w:rsidR="003D3DD2" w:rsidRDefault="003D3DD2" w:rsidP="003D3DD2">
      <w:pPr>
        <w:autoSpaceDE w:val="0"/>
        <w:autoSpaceDN w:val="0"/>
        <w:adjustRightInd w:val="0"/>
        <w:ind w:firstLine="720"/>
        <w:jc w:val="both"/>
      </w:pPr>
    </w:p>
    <w:p w:rsidR="008441E0" w:rsidRDefault="00E737E8" w:rsidP="003D3DD2">
      <w:pPr>
        <w:autoSpaceDE w:val="0"/>
        <w:autoSpaceDN w:val="0"/>
        <w:adjustRightInd w:val="0"/>
        <w:ind w:firstLine="720"/>
        <w:jc w:val="both"/>
      </w:pPr>
      <w:r>
        <w:t>We find</w:t>
      </w:r>
      <w:r w:rsidR="008441E0" w:rsidRPr="00EE7914">
        <w:t xml:space="preserve"> that an opt-out </w:t>
      </w:r>
      <w:r w:rsidR="00AF4251">
        <w:t>policy</w:t>
      </w:r>
      <w:r w:rsidR="00AF4251" w:rsidRPr="00EE7914">
        <w:t xml:space="preserve"> </w:t>
      </w:r>
      <w:r w:rsidR="008441E0" w:rsidRPr="00EE7914">
        <w:t xml:space="preserve">would be complex to implement in an appropriate manner that protects ratepayers who do not opt out. Counting savings from opt-out customers toward utility goals would entail additional utility actions and administrative costs, such as verification of opt-out customer savings and more complex annual FEECA reports. Additionally, the record is incomplete on the full implementation details of an opt-out policy. An opt-out policy would require changes to the annual ECCR filings, DSM reporting, and </w:t>
      </w:r>
      <w:r>
        <w:t xml:space="preserve">our </w:t>
      </w:r>
      <w:r w:rsidR="008441E0" w:rsidRPr="00EE7914">
        <w:t xml:space="preserve">DSM goals. As discussed above, at a minimum, an opt-out </w:t>
      </w:r>
      <w:r w:rsidR="00AF4251">
        <w:t>policy</w:t>
      </w:r>
      <w:r w:rsidR="00AF4251" w:rsidRPr="00EE7914">
        <w:t xml:space="preserve"> </w:t>
      </w:r>
      <w:r w:rsidR="008441E0" w:rsidRPr="00EE7914">
        <w:t xml:space="preserve">would require: (1) changes in billing, (2) more complex </w:t>
      </w:r>
      <w:r w:rsidR="008441E0" w:rsidRPr="00EE7914">
        <w:lastRenderedPageBreak/>
        <w:t>ECCR filings, and (3) verification that opt-out customers meet required thresholds.</w:t>
      </w:r>
      <w:r w:rsidR="00A2683A">
        <w:t xml:space="preserve"> T</w:t>
      </w:r>
      <w:r w:rsidR="008441E0" w:rsidRPr="00EE7914">
        <w:t>hese efforts would have corresponding administrative costs.</w:t>
      </w:r>
    </w:p>
    <w:p w:rsidR="003D3DD2" w:rsidRPr="00EE7914" w:rsidRDefault="003D3DD2" w:rsidP="003D3DD2">
      <w:pPr>
        <w:autoSpaceDE w:val="0"/>
        <w:autoSpaceDN w:val="0"/>
        <w:adjustRightInd w:val="0"/>
        <w:ind w:firstLine="720"/>
        <w:jc w:val="both"/>
      </w:pPr>
    </w:p>
    <w:p w:rsidR="008441E0" w:rsidRPr="00EE7914" w:rsidRDefault="00E737E8" w:rsidP="008441E0">
      <w:pPr>
        <w:spacing w:after="240"/>
        <w:ind w:firstLine="720"/>
        <w:jc w:val="both"/>
      </w:pPr>
      <w:r>
        <w:t xml:space="preserve">We </w:t>
      </w:r>
      <w:r w:rsidR="008441E0" w:rsidRPr="00EE7914">
        <w:t xml:space="preserve">deny the petitioners’ request for an opt-out </w:t>
      </w:r>
      <w:r w:rsidR="00AF4251">
        <w:t>policy</w:t>
      </w:r>
      <w:r w:rsidR="00AF4251" w:rsidRPr="00EE7914">
        <w:t xml:space="preserve"> </w:t>
      </w:r>
      <w:r w:rsidR="008441E0" w:rsidRPr="00EE7914">
        <w:t xml:space="preserve">for eligible large commercial and industrial customers. </w:t>
      </w:r>
      <w:r>
        <w:t>We set</w:t>
      </w:r>
      <w:r w:rsidR="008441E0" w:rsidRPr="00EE7914">
        <w:t xml:space="preserve"> goals based on the RIM test. Cost-effective energy efficiency programs that pass the RIM test benefit all ratepayers due to downward pressure on rates. The petitioners have not provided convincing evidence for </w:t>
      </w:r>
      <w:r w:rsidR="008600D3">
        <w:t>us</w:t>
      </w:r>
      <w:r w:rsidR="008441E0" w:rsidRPr="00EE7914">
        <w:t xml:space="preserve"> to alter </w:t>
      </w:r>
      <w:r w:rsidR="00145E16">
        <w:t>our</w:t>
      </w:r>
      <w:r w:rsidR="008441E0" w:rsidRPr="00EE7914">
        <w:t xml:space="preserve"> long-held policy that since all ratepayers benefit from cost-effective DSM measures, all ratepayers </w:t>
      </w:r>
      <w:r w:rsidR="00694FFB">
        <w:t>shall</w:t>
      </w:r>
      <w:r w:rsidR="008441E0" w:rsidRPr="00EE7914">
        <w:t xml:space="preserve"> share in the costs. Additionally, an opt-out policy will be difficult to implement without some degree of cost shifting to</w:t>
      </w:r>
      <w:r w:rsidR="006B69B1">
        <w:t xml:space="preserve"> other ratepayers. As a result</w:t>
      </w:r>
      <w:r w:rsidR="008441E0" w:rsidRPr="00EE7914">
        <w:t xml:space="preserve">, whether from residential customers or from smaller commercial and industrial customers who cannot meet the opt-out criteria, </w:t>
      </w:r>
      <w:r w:rsidR="006B69B1" w:rsidRPr="00EE7914">
        <w:t xml:space="preserve">equity concerns </w:t>
      </w:r>
      <w:r w:rsidR="006B69B1">
        <w:t xml:space="preserve">are </w:t>
      </w:r>
      <w:r w:rsidR="008441E0" w:rsidRPr="00EE7914">
        <w:t>likely to arise from an opt-out policy.</w:t>
      </w:r>
    </w:p>
    <w:p w:rsidR="007103B8" w:rsidRPr="00EE7914" w:rsidRDefault="008441E0" w:rsidP="00187EBF">
      <w:pPr>
        <w:spacing w:after="240"/>
        <w:ind w:firstLine="720"/>
        <w:jc w:val="both"/>
      </w:pPr>
      <w:r w:rsidRPr="00EE7914">
        <w:t>The four largest IOUs currently o</w:t>
      </w:r>
      <w:r w:rsidR="00145E16">
        <w:t xml:space="preserve">ffer custom incentive programs. </w:t>
      </w:r>
      <w:r w:rsidR="00E737E8">
        <w:t>We find</w:t>
      </w:r>
      <w:r w:rsidRPr="00EE7914">
        <w:t xml:space="preserve"> that these programs are a viable alternative to an opt-out program. Under the custom incentive programs, large customers can suggest energy efficiency investments and receive a rebate if the projects pass the RIM test. </w:t>
      </w:r>
      <w:r w:rsidR="00E737E8">
        <w:t xml:space="preserve"> </w:t>
      </w:r>
      <w:r w:rsidRPr="00EE7914">
        <w:t>Wal-Mart does not take advantage of these c</w:t>
      </w:r>
      <w:r w:rsidR="00CF2359">
        <w:t xml:space="preserve">ustom incentive programs due to </w:t>
      </w:r>
      <w:r w:rsidR="003D3DD2">
        <w:t>their alleged</w:t>
      </w:r>
      <w:r w:rsidR="00CF2359">
        <w:t xml:space="preserve"> burdensome nature. </w:t>
      </w:r>
      <w:r w:rsidRPr="00EE7914">
        <w:t xml:space="preserve">FIPUG </w:t>
      </w:r>
      <w:r w:rsidR="00E737E8">
        <w:t>contends</w:t>
      </w:r>
      <w:r w:rsidR="00A2683A">
        <w:t xml:space="preserve"> that customer </w:t>
      </w:r>
      <w:r w:rsidRPr="00EE7914">
        <w:t xml:space="preserve">participation in these custom incentive programs is relatively </w:t>
      </w:r>
      <w:r w:rsidR="00A2683A">
        <w:t>limited</w:t>
      </w:r>
      <w:r w:rsidR="00CD3B92">
        <w:t xml:space="preserve">. </w:t>
      </w:r>
      <w:r w:rsidR="00E737E8">
        <w:t>We</w:t>
      </w:r>
      <w:r w:rsidR="00362D74">
        <w:t xml:space="preserve"> </w:t>
      </w:r>
      <w:r w:rsidR="00A2683A">
        <w:t>hereby</w:t>
      </w:r>
      <w:r w:rsidR="00362D74">
        <w:t xml:space="preserve"> </w:t>
      </w:r>
      <w:r w:rsidRPr="00EE7914">
        <w:t xml:space="preserve">direct the utilities to work with the petitioners to make the custom incentive programs less burdensome and more responsive to customer needs in order to increase customer participation. </w:t>
      </w:r>
      <w:bookmarkEnd w:id="7"/>
    </w:p>
    <w:p w:rsidR="007103B8" w:rsidRPr="00EE7914" w:rsidRDefault="00BB3328" w:rsidP="003B63EA">
      <w:pPr>
        <w:ind w:firstLine="720"/>
        <w:jc w:val="both"/>
      </w:pPr>
      <w:r>
        <w:t xml:space="preserve">Therefore, for the reasons stated above, the petitioners’ request for an opt-out program is denied. </w:t>
      </w:r>
      <w:r w:rsidR="007103B8" w:rsidRPr="00EE7914">
        <w:t xml:space="preserve">The petitioners have suggested separating the costs in the ECCR clause as a means of implementing the proposed opt-out </w:t>
      </w:r>
      <w:r w:rsidR="00AF4251">
        <w:t>policy</w:t>
      </w:r>
      <w:r w:rsidR="007103B8" w:rsidRPr="00EE7914">
        <w:t xml:space="preserve">. </w:t>
      </w:r>
      <w:r w:rsidR="00C604A1">
        <w:t>As we have denied</w:t>
      </w:r>
      <w:r w:rsidR="007103B8" w:rsidRPr="00EE7914">
        <w:t xml:space="preserve"> the petitioners’ request for an opt-out </w:t>
      </w:r>
      <w:r w:rsidR="00AF4251">
        <w:t>policy</w:t>
      </w:r>
      <w:r w:rsidR="007103B8" w:rsidRPr="00EE7914">
        <w:t>, th</w:t>
      </w:r>
      <w:r w:rsidR="006B69B1">
        <w:t>is issue is moot, and no change</w:t>
      </w:r>
      <w:r w:rsidR="007103B8" w:rsidRPr="00EE7914">
        <w:t xml:space="preserve"> to </w:t>
      </w:r>
      <w:r w:rsidR="006B69B1">
        <w:t xml:space="preserve">the </w:t>
      </w:r>
      <w:r w:rsidR="007103B8" w:rsidRPr="00EE7914">
        <w:t>current</w:t>
      </w:r>
      <w:r w:rsidR="006B69B1">
        <w:t xml:space="preserve"> </w:t>
      </w:r>
      <w:r w:rsidR="007103B8" w:rsidRPr="00EE7914">
        <w:t xml:space="preserve">ECCR clause </w:t>
      </w:r>
      <w:r w:rsidR="006B69B1">
        <w:t xml:space="preserve">is </w:t>
      </w:r>
      <w:r w:rsidR="007103B8" w:rsidRPr="00EE7914">
        <w:t>necessary.</w:t>
      </w:r>
      <w:r w:rsidR="00187EBF">
        <w:t xml:space="preserve"> In addition, </w:t>
      </w:r>
      <w:r w:rsidR="003D3DD2">
        <w:t xml:space="preserve">the need to establish </w:t>
      </w:r>
      <w:r w:rsidR="00187EBF">
        <w:t>criteria</w:t>
      </w:r>
      <w:r w:rsidR="007103B8" w:rsidRPr="00EE7914">
        <w:t xml:space="preserve"> </w:t>
      </w:r>
      <w:r w:rsidR="00187EBF">
        <w:t>for an opt-out policy is also moot</w:t>
      </w:r>
      <w:r w:rsidR="002F4D31">
        <w:t xml:space="preserve"> due to the denial of Wal-Mart and FIPUG’s requests</w:t>
      </w:r>
      <w:r w:rsidR="00187EBF">
        <w:t xml:space="preserve">. </w:t>
      </w:r>
      <w:r w:rsidR="007103B8" w:rsidRPr="00EE7914">
        <w:t xml:space="preserve">Therefore, the utilities </w:t>
      </w:r>
      <w:r w:rsidR="00C604A1">
        <w:t>shall</w:t>
      </w:r>
      <w:r w:rsidR="007103B8" w:rsidRPr="00EE7914">
        <w:t xml:space="preserve"> not be required to separate their ECCR expenditures into two categories, </w:t>
      </w:r>
      <w:r w:rsidR="00187EBF">
        <w:t xml:space="preserve">nor </w:t>
      </w:r>
      <w:r w:rsidR="002F4D31">
        <w:t xml:space="preserve">shall we </w:t>
      </w:r>
      <w:r w:rsidR="00187EBF">
        <w:t>select criteria for an opt-out policy</w:t>
      </w:r>
      <w:r w:rsidR="007103B8" w:rsidRPr="00EE7914">
        <w:t xml:space="preserve">. </w:t>
      </w:r>
      <w:r w:rsidR="00050A1F">
        <w:t xml:space="preserve">We do </w:t>
      </w:r>
      <w:r w:rsidR="005662CD">
        <w:t xml:space="preserve">find </w:t>
      </w:r>
      <w:r w:rsidR="00050A1F">
        <w:t xml:space="preserve">that additional information regarding </w:t>
      </w:r>
      <w:r w:rsidR="003D3DD2">
        <w:t>(</w:t>
      </w:r>
      <w:r w:rsidR="00A2683A">
        <w:t xml:space="preserve">1) </w:t>
      </w:r>
      <w:r w:rsidR="00050A1F">
        <w:t xml:space="preserve">the creation of a </w:t>
      </w:r>
      <w:r w:rsidR="007D24BC">
        <w:t xml:space="preserve">potential </w:t>
      </w:r>
      <w:r w:rsidR="00050A1F">
        <w:t>pilot program</w:t>
      </w:r>
      <w:r w:rsidR="00A2683A">
        <w:t xml:space="preserve">, </w:t>
      </w:r>
      <w:r w:rsidR="003D3DD2">
        <w:t>(</w:t>
      </w:r>
      <w:r w:rsidR="00A2683A">
        <w:t xml:space="preserve">2) </w:t>
      </w:r>
      <w:r w:rsidR="007D24BC">
        <w:t>the associated impacts on all ratepayers</w:t>
      </w:r>
      <w:r w:rsidR="003D3DD2">
        <w:t>,</w:t>
      </w:r>
      <w:r w:rsidR="007D24BC">
        <w:t xml:space="preserve"> and </w:t>
      </w:r>
      <w:r w:rsidR="003D3DD2">
        <w:t>(</w:t>
      </w:r>
      <w:r w:rsidR="00A2683A">
        <w:t xml:space="preserve">3) </w:t>
      </w:r>
      <w:r w:rsidR="007D24BC">
        <w:t>on the questions and concerns</w:t>
      </w:r>
      <w:r w:rsidR="0054544A">
        <w:t xml:space="preserve"> discussed in the body of this O</w:t>
      </w:r>
      <w:r w:rsidR="007D24BC">
        <w:t>rder</w:t>
      </w:r>
      <w:r w:rsidR="006B69B1">
        <w:t xml:space="preserve"> may be necessary</w:t>
      </w:r>
      <w:r w:rsidR="007D24BC">
        <w:t>.</w:t>
      </w:r>
      <w:r w:rsidR="006B69B1">
        <w:t xml:space="preserve">  Additionally,</w:t>
      </w:r>
      <w:r w:rsidR="00050A1F">
        <w:t xml:space="preserve"> we find it </w:t>
      </w:r>
      <w:r w:rsidR="005662CD">
        <w:t>appropriate</w:t>
      </w:r>
      <w:r w:rsidR="00050A1F">
        <w:t xml:space="preserve"> that</w:t>
      </w:r>
      <w:r w:rsidR="005662CD">
        <w:t>, if interested,</w:t>
      </w:r>
      <w:r w:rsidR="00050A1F">
        <w:t xml:space="preserve"> the parties shall</w:t>
      </w:r>
      <w:r w:rsidR="005662CD">
        <w:t xml:space="preserve"> submit options for a pilot program to our staff, for consideration by us at a later time.</w:t>
      </w:r>
    </w:p>
    <w:bookmarkEnd w:id="8"/>
    <w:p w:rsidR="0054544A" w:rsidRDefault="0054544A" w:rsidP="007103B8">
      <w:pPr>
        <w:pStyle w:val="OrderBody"/>
      </w:pPr>
    </w:p>
    <w:p w:rsidR="007103B8" w:rsidRDefault="007103B8" w:rsidP="0054544A">
      <w:pPr>
        <w:pStyle w:val="OrderBody"/>
        <w:ind w:firstLine="720"/>
      </w:pPr>
      <w:r w:rsidRPr="00EE7914">
        <w:t>Based on the foregoing, it is</w:t>
      </w:r>
    </w:p>
    <w:p w:rsidR="00C604A1" w:rsidRDefault="00C604A1" w:rsidP="007103B8">
      <w:pPr>
        <w:pStyle w:val="OrderBody"/>
      </w:pPr>
    </w:p>
    <w:p w:rsidR="007103B8" w:rsidRPr="00EE7914" w:rsidRDefault="007103B8" w:rsidP="007103B8">
      <w:pPr>
        <w:pStyle w:val="OrderBody"/>
      </w:pPr>
      <w:r w:rsidRPr="00EE7914">
        <w:tab/>
        <w:t>ORDERED by the Florida Public Service Commission that</w:t>
      </w:r>
      <w:r w:rsidR="00C604A1">
        <w:t xml:space="preserve"> </w:t>
      </w:r>
      <w:r w:rsidR="00187EBF">
        <w:t>Wal-Mart Stores</w:t>
      </w:r>
      <w:r w:rsidR="0054544A">
        <w:t xml:space="preserve"> East, LP and Sam’s East, Inc. </w:t>
      </w:r>
      <w:r w:rsidR="00187EBF">
        <w:t>and</w:t>
      </w:r>
      <w:r w:rsidR="007D24BC">
        <w:t xml:space="preserve"> the</w:t>
      </w:r>
      <w:r w:rsidR="00187EBF">
        <w:t xml:space="preserve"> Florida Industrial Power Users Group request for an opt-out </w:t>
      </w:r>
      <w:r w:rsidR="00AF4251">
        <w:t xml:space="preserve">policy </w:t>
      </w:r>
      <w:r w:rsidR="00187EBF">
        <w:t>for eligible large commercial and industrial customers is hereby denied, as set forth in the body of this Order.</w:t>
      </w:r>
      <w:r w:rsidR="00C604A1">
        <w:t xml:space="preserve"> It is further</w:t>
      </w:r>
    </w:p>
    <w:p w:rsidR="00BB5645" w:rsidRDefault="00BB5645" w:rsidP="007103B8">
      <w:pPr>
        <w:pStyle w:val="OrderBody"/>
      </w:pPr>
    </w:p>
    <w:p w:rsidR="00C604A1" w:rsidRDefault="00C604A1" w:rsidP="007103B8">
      <w:pPr>
        <w:pStyle w:val="OrderBody"/>
      </w:pPr>
      <w:r>
        <w:tab/>
        <w:t xml:space="preserve">ORDERED that </w:t>
      </w:r>
      <w:r w:rsidR="00187EBF" w:rsidRPr="00EE7914">
        <w:t xml:space="preserve">the utilities </w:t>
      </w:r>
      <w:r w:rsidR="00187EBF">
        <w:t>shall</w:t>
      </w:r>
      <w:r w:rsidR="00187EBF" w:rsidRPr="00EE7914">
        <w:t xml:space="preserve"> not be required to separate their ECCR expenditures into two categories, </w:t>
      </w:r>
      <w:r w:rsidR="00187EBF">
        <w:t xml:space="preserve">nor </w:t>
      </w:r>
      <w:r w:rsidR="005662CD">
        <w:t xml:space="preserve">shall we </w:t>
      </w:r>
      <w:r w:rsidR="00187EBF">
        <w:t>select criteria for an opt-out policy</w:t>
      </w:r>
      <w:r w:rsidR="00187EBF" w:rsidRPr="00EE7914">
        <w:t xml:space="preserve">. </w:t>
      </w:r>
      <w:r>
        <w:t xml:space="preserve">  It is further</w:t>
      </w:r>
    </w:p>
    <w:p w:rsidR="005662CD" w:rsidRDefault="005662CD" w:rsidP="007103B8">
      <w:pPr>
        <w:pStyle w:val="OrderBody"/>
      </w:pPr>
    </w:p>
    <w:p w:rsidR="005662CD" w:rsidRPr="00EE7914" w:rsidRDefault="006B69B1" w:rsidP="005662CD">
      <w:pPr>
        <w:ind w:firstLine="720"/>
        <w:jc w:val="both"/>
      </w:pPr>
      <w:r>
        <w:lastRenderedPageBreak/>
        <w:t xml:space="preserve">ORDERED that </w:t>
      </w:r>
      <w:r w:rsidR="007D24BC">
        <w:t>additional information regarding the creation of a potential pilot program and the associated impacts on all ratepayers and on the questions and concerns</w:t>
      </w:r>
      <w:r w:rsidR="0054544A">
        <w:t xml:space="preserve"> discussed in the body of this O</w:t>
      </w:r>
      <w:r w:rsidR="007D24BC">
        <w:t>rder</w:t>
      </w:r>
      <w:r>
        <w:t xml:space="preserve"> may be necessary</w:t>
      </w:r>
      <w:r w:rsidR="007D24BC">
        <w:t xml:space="preserve">. </w:t>
      </w:r>
      <w:r w:rsidR="005662CD">
        <w:t xml:space="preserve">Therefore, we find it appropriate that, if interested, </w:t>
      </w:r>
      <w:r w:rsidR="007D24BC">
        <w:t xml:space="preserve">the </w:t>
      </w:r>
      <w:r w:rsidR="005662CD">
        <w:t>parties shall submit options for a pilot program to our staff, for consideration by us at a later time.</w:t>
      </w:r>
      <w:r w:rsidR="00FE3245">
        <w:t xml:space="preserve">  It is further</w:t>
      </w:r>
    </w:p>
    <w:p w:rsidR="00C604A1" w:rsidRDefault="00C604A1" w:rsidP="007103B8">
      <w:pPr>
        <w:pStyle w:val="OrderBody"/>
      </w:pPr>
    </w:p>
    <w:p w:rsidR="00C604A1" w:rsidRDefault="00C604A1" w:rsidP="007103B8">
      <w:pPr>
        <w:pStyle w:val="OrderBody"/>
      </w:pPr>
      <w:r>
        <w:tab/>
        <w:t>ORDERED that the docket shall be closed 32 days after issuance of the Order, to allow the time for filing an appeal to run.</w:t>
      </w:r>
    </w:p>
    <w:p w:rsidR="0054544A" w:rsidRPr="00EE7914" w:rsidRDefault="0054544A" w:rsidP="007103B8">
      <w:pPr>
        <w:pStyle w:val="OrderBody"/>
      </w:pPr>
    </w:p>
    <w:p w:rsidR="007103B8" w:rsidRDefault="007103B8" w:rsidP="007103B8">
      <w:pPr>
        <w:pStyle w:val="OrderBody"/>
        <w:keepNext/>
        <w:keepLines/>
      </w:pPr>
      <w:r>
        <w:tab/>
        <w:t xml:space="preserve">By ORDER of the Florida Public Service Commission this </w:t>
      </w:r>
      <w:bookmarkStart w:id="11" w:name="replaceDate"/>
      <w:bookmarkEnd w:id="11"/>
      <w:r w:rsidR="0031012D">
        <w:rPr>
          <w:u w:val="single"/>
        </w:rPr>
        <w:t>5th</w:t>
      </w:r>
      <w:r w:rsidR="0031012D">
        <w:t xml:space="preserve"> day of </w:t>
      </w:r>
      <w:r w:rsidR="0031012D">
        <w:rPr>
          <w:u w:val="single"/>
        </w:rPr>
        <w:t>January</w:t>
      </w:r>
      <w:r w:rsidR="0031012D">
        <w:t xml:space="preserve">, </w:t>
      </w:r>
      <w:r w:rsidR="0031012D">
        <w:rPr>
          <w:u w:val="single"/>
        </w:rPr>
        <w:t>2016</w:t>
      </w:r>
      <w:r w:rsidR="0031012D">
        <w:t>.</w:t>
      </w:r>
    </w:p>
    <w:p w:rsidR="0031012D" w:rsidRPr="0031012D" w:rsidRDefault="0031012D" w:rsidP="007103B8">
      <w:pPr>
        <w:pStyle w:val="OrderBody"/>
        <w:keepNext/>
        <w:keepLines/>
      </w:pPr>
    </w:p>
    <w:p w:rsidR="007103B8" w:rsidRDefault="007103B8" w:rsidP="007103B8">
      <w:pPr>
        <w:pStyle w:val="OrderBody"/>
        <w:keepNext/>
        <w:keepLines/>
      </w:pPr>
    </w:p>
    <w:p w:rsidR="007103B8" w:rsidRDefault="007103B8" w:rsidP="007103B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103B8" w:rsidTr="007103B8">
        <w:tc>
          <w:tcPr>
            <w:tcW w:w="720" w:type="dxa"/>
            <w:shd w:val="clear" w:color="auto" w:fill="auto"/>
          </w:tcPr>
          <w:p w:rsidR="007103B8" w:rsidRDefault="007103B8" w:rsidP="007103B8">
            <w:pPr>
              <w:pStyle w:val="OrderBody"/>
              <w:keepNext/>
              <w:keepLines/>
            </w:pPr>
            <w:bookmarkStart w:id="12" w:name="bkmrkSignature" w:colFirst="0" w:colLast="0"/>
          </w:p>
        </w:tc>
        <w:tc>
          <w:tcPr>
            <w:tcW w:w="4320" w:type="dxa"/>
            <w:tcBorders>
              <w:bottom w:val="single" w:sz="4" w:space="0" w:color="auto"/>
            </w:tcBorders>
            <w:shd w:val="clear" w:color="auto" w:fill="auto"/>
          </w:tcPr>
          <w:p w:rsidR="007103B8" w:rsidRDefault="0031012D" w:rsidP="007103B8">
            <w:pPr>
              <w:pStyle w:val="OrderBody"/>
              <w:keepNext/>
              <w:keepLines/>
            </w:pPr>
            <w:r>
              <w:t>/s/ Carlotta S. Stauffer</w:t>
            </w:r>
            <w:bookmarkStart w:id="13" w:name="_GoBack"/>
            <w:bookmarkEnd w:id="13"/>
          </w:p>
        </w:tc>
      </w:tr>
      <w:bookmarkEnd w:id="12"/>
      <w:tr w:rsidR="007103B8" w:rsidTr="007103B8">
        <w:tc>
          <w:tcPr>
            <w:tcW w:w="720" w:type="dxa"/>
            <w:shd w:val="clear" w:color="auto" w:fill="auto"/>
          </w:tcPr>
          <w:p w:rsidR="007103B8" w:rsidRDefault="007103B8" w:rsidP="007103B8">
            <w:pPr>
              <w:pStyle w:val="OrderBody"/>
              <w:keepNext/>
              <w:keepLines/>
            </w:pPr>
          </w:p>
        </w:tc>
        <w:tc>
          <w:tcPr>
            <w:tcW w:w="4320" w:type="dxa"/>
            <w:tcBorders>
              <w:top w:val="single" w:sz="4" w:space="0" w:color="auto"/>
            </w:tcBorders>
            <w:shd w:val="clear" w:color="auto" w:fill="auto"/>
          </w:tcPr>
          <w:p w:rsidR="007103B8" w:rsidRDefault="007103B8" w:rsidP="007103B8">
            <w:pPr>
              <w:pStyle w:val="OrderBody"/>
              <w:keepNext/>
              <w:keepLines/>
            </w:pPr>
            <w:r>
              <w:t>CARLOTTA S. STAUFFER</w:t>
            </w:r>
          </w:p>
          <w:p w:rsidR="007103B8" w:rsidRDefault="007103B8" w:rsidP="007103B8">
            <w:pPr>
              <w:pStyle w:val="OrderBody"/>
              <w:keepNext/>
              <w:keepLines/>
            </w:pPr>
            <w:r>
              <w:t>Commission Clerk</w:t>
            </w:r>
          </w:p>
        </w:tc>
      </w:tr>
    </w:tbl>
    <w:p w:rsidR="007103B8" w:rsidRDefault="007103B8" w:rsidP="007103B8">
      <w:pPr>
        <w:pStyle w:val="OrderSigInfo"/>
        <w:keepNext/>
        <w:keepLines/>
      </w:pPr>
      <w:r>
        <w:t>Florida Public Service Commission</w:t>
      </w:r>
    </w:p>
    <w:p w:rsidR="007103B8" w:rsidRDefault="007103B8" w:rsidP="007103B8">
      <w:pPr>
        <w:pStyle w:val="OrderSigInfo"/>
        <w:keepNext/>
        <w:keepLines/>
      </w:pPr>
      <w:r>
        <w:t>2540 Shumard Oak Boulevard</w:t>
      </w:r>
    </w:p>
    <w:p w:rsidR="007103B8" w:rsidRDefault="007103B8" w:rsidP="007103B8">
      <w:pPr>
        <w:pStyle w:val="OrderSigInfo"/>
        <w:keepNext/>
        <w:keepLines/>
      </w:pPr>
      <w:r>
        <w:t>Tallahassee, Florida  32399</w:t>
      </w:r>
    </w:p>
    <w:p w:rsidR="007103B8" w:rsidRDefault="007103B8" w:rsidP="007103B8">
      <w:pPr>
        <w:pStyle w:val="OrderSigInfo"/>
        <w:keepNext/>
        <w:keepLines/>
      </w:pPr>
      <w:r>
        <w:t>(850) 413</w:t>
      </w:r>
      <w:r>
        <w:noBreakHyphen/>
        <w:t>6770</w:t>
      </w:r>
    </w:p>
    <w:p w:rsidR="007103B8" w:rsidRDefault="007103B8" w:rsidP="007103B8">
      <w:pPr>
        <w:pStyle w:val="OrderSigInfo"/>
        <w:keepNext/>
        <w:keepLines/>
      </w:pPr>
      <w:r>
        <w:t>www.floridapsc.com</w:t>
      </w:r>
    </w:p>
    <w:p w:rsidR="007103B8" w:rsidRDefault="007103B8" w:rsidP="007103B8">
      <w:pPr>
        <w:pStyle w:val="OrderSigInfo"/>
        <w:keepNext/>
        <w:keepLines/>
      </w:pPr>
    </w:p>
    <w:p w:rsidR="007103B8" w:rsidRDefault="007103B8" w:rsidP="007103B8">
      <w:pPr>
        <w:pStyle w:val="OrderSigInfo"/>
        <w:keepNext/>
        <w:keepLines/>
      </w:pPr>
      <w:r>
        <w:t>Copies furnished:  A copy of this document is provided to the parties of record at the time of issuance and, if applicable, interested persons.</w:t>
      </w:r>
    </w:p>
    <w:p w:rsidR="007103B8" w:rsidRDefault="007103B8" w:rsidP="007103B8">
      <w:pPr>
        <w:pStyle w:val="OrderBody"/>
        <w:keepNext/>
        <w:keepLines/>
      </w:pPr>
    </w:p>
    <w:p w:rsidR="007103B8" w:rsidRDefault="007103B8" w:rsidP="007103B8">
      <w:pPr>
        <w:pStyle w:val="OrderBody"/>
        <w:keepNext/>
        <w:keepLines/>
      </w:pPr>
    </w:p>
    <w:p w:rsidR="007103B8" w:rsidRDefault="007103B8" w:rsidP="007103B8">
      <w:pPr>
        <w:pStyle w:val="OrderBody"/>
        <w:keepNext/>
        <w:keepLines/>
      </w:pPr>
      <w:r>
        <w:t>TLT</w:t>
      </w:r>
    </w:p>
    <w:p w:rsidR="003D3DD2" w:rsidRDefault="003D3DD2">
      <w:r>
        <w:br w:type="page"/>
      </w:r>
    </w:p>
    <w:p w:rsidR="007103B8" w:rsidRDefault="007103B8" w:rsidP="007103B8">
      <w:pPr>
        <w:pStyle w:val="OrderBody"/>
      </w:pPr>
    </w:p>
    <w:p w:rsidR="007103B8" w:rsidRDefault="007103B8" w:rsidP="007103B8">
      <w:pPr>
        <w:pStyle w:val="CenterUnderline"/>
      </w:pPr>
      <w:r>
        <w:t>NOTICE OF FURTHER PROCEEDINGS OR JUDICIAL REVIEW</w:t>
      </w:r>
    </w:p>
    <w:p w:rsidR="007103B8" w:rsidRDefault="007103B8" w:rsidP="007103B8">
      <w:pPr>
        <w:pStyle w:val="CenterUnderline"/>
        <w:rPr>
          <w:u w:val="none"/>
        </w:rPr>
      </w:pPr>
    </w:p>
    <w:p w:rsidR="007103B8" w:rsidRDefault="007103B8" w:rsidP="007103B8">
      <w:pPr>
        <w:pStyle w:val="OrderBody"/>
      </w:pPr>
    </w:p>
    <w:p w:rsidR="007103B8" w:rsidRDefault="007103B8" w:rsidP="007103B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103B8" w:rsidRDefault="007103B8" w:rsidP="007103B8">
      <w:pPr>
        <w:pStyle w:val="OrderBody"/>
      </w:pPr>
    </w:p>
    <w:p w:rsidR="007103B8" w:rsidRDefault="007103B8" w:rsidP="007103B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103B8" w:rsidRDefault="007103B8" w:rsidP="007103B8">
      <w:pPr>
        <w:pStyle w:val="OrderBody"/>
        <w:sectPr w:rsidR="007103B8">
          <w:headerReference w:type="default" r:id="rId9"/>
          <w:footerReference w:type="first" r:id="rId10"/>
          <w:pgSz w:w="12240" w:h="15840" w:code="1"/>
          <w:pgMar w:top="1440" w:right="1440" w:bottom="1440" w:left="1440" w:header="720" w:footer="720" w:gutter="0"/>
          <w:cols w:space="720"/>
          <w:titlePg/>
          <w:docGrid w:linePitch="360"/>
        </w:sectPr>
      </w:pPr>
    </w:p>
    <w:p w:rsidR="007103B8" w:rsidRPr="00BB5645" w:rsidRDefault="007103B8" w:rsidP="007103B8">
      <w:pPr>
        <w:jc w:val="center"/>
        <w:rPr>
          <w:b/>
        </w:rPr>
      </w:pPr>
      <w:r w:rsidRPr="00BB5645">
        <w:rPr>
          <w:b/>
        </w:rPr>
        <w:lastRenderedPageBreak/>
        <w:t>Comparison of Petitioners’ Proposals</w:t>
      </w:r>
    </w:p>
    <w:tbl>
      <w:tblPr>
        <w:tblStyle w:val="TableGrid"/>
        <w:tblW w:w="0" w:type="auto"/>
        <w:tblLook w:val="04A0" w:firstRow="1" w:lastRow="0" w:firstColumn="1" w:lastColumn="0" w:noHBand="0" w:noVBand="1"/>
      </w:tblPr>
      <w:tblGrid>
        <w:gridCol w:w="2448"/>
        <w:gridCol w:w="3564"/>
        <w:gridCol w:w="3564"/>
      </w:tblGrid>
      <w:tr w:rsidR="007103B8" w:rsidRPr="007103B8" w:rsidTr="003B63EA">
        <w:tc>
          <w:tcPr>
            <w:tcW w:w="2448" w:type="dxa"/>
          </w:tcPr>
          <w:p w:rsidR="007103B8" w:rsidRPr="007103B8" w:rsidRDefault="007103B8" w:rsidP="007103B8"/>
        </w:tc>
        <w:tc>
          <w:tcPr>
            <w:tcW w:w="3564" w:type="dxa"/>
          </w:tcPr>
          <w:p w:rsidR="007103B8" w:rsidRPr="007103B8" w:rsidRDefault="007103B8" w:rsidP="007103B8">
            <w:pPr>
              <w:jc w:val="center"/>
              <w:rPr>
                <w:b/>
                <w:sz w:val="28"/>
                <w:szCs w:val="28"/>
              </w:rPr>
            </w:pPr>
            <w:r w:rsidRPr="007103B8">
              <w:rPr>
                <w:b/>
                <w:sz w:val="28"/>
                <w:szCs w:val="28"/>
              </w:rPr>
              <w:t>Wal-Mart</w:t>
            </w:r>
          </w:p>
        </w:tc>
        <w:tc>
          <w:tcPr>
            <w:tcW w:w="3564" w:type="dxa"/>
          </w:tcPr>
          <w:p w:rsidR="007103B8" w:rsidRPr="007103B8" w:rsidRDefault="007103B8" w:rsidP="007103B8">
            <w:pPr>
              <w:jc w:val="center"/>
              <w:rPr>
                <w:b/>
                <w:sz w:val="28"/>
                <w:szCs w:val="28"/>
              </w:rPr>
            </w:pPr>
            <w:r w:rsidRPr="007103B8">
              <w:rPr>
                <w:b/>
                <w:sz w:val="28"/>
                <w:szCs w:val="28"/>
              </w:rPr>
              <w:t>FIPUG</w:t>
            </w:r>
          </w:p>
        </w:tc>
      </w:tr>
      <w:tr w:rsidR="007103B8" w:rsidRPr="007103B8" w:rsidTr="003B63EA">
        <w:trPr>
          <w:trHeight w:val="2438"/>
        </w:trPr>
        <w:tc>
          <w:tcPr>
            <w:tcW w:w="2448" w:type="dxa"/>
          </w:tcPr>
          <w:p w:rsidR="007103B8" w:rsidRPr="007103B8" w:rsidRDefault="007103B8" w:rsidP="007103B8">
            <w:pPr>
              <w:rPr>
                <w:b/>
              </w:rPr>
            </w:pPr>
            <w:r w:rsidRPr="007103B8">
              <w:rPr>
                <w:b/>
              </w:rPr>
              <w:t>Basic Proposal –</w:t>
            </w:r>
          </w:p>
          <w:p w:rsidR="007103B8" w:rsidRPr="007103B8" w:rsidRDefault="007103B8" w:rsidP="007103B8">
            <w:pPr>
              <w:rPr>
                <w:b/>
              </w:rPr>
            </w:pPr>
            <w:r w:rsidRPr="007103B8">
              <w:rPr>
                <w:b/>
              </w:rPr>
              <w:t>Energy Efficiency Programs</w:t>
            </w:r>
          </w:p>
        </w:tc>
        <w:tc>
          <w:tcPr>
            <w:tcW w:w="3564" w:type="dxa"/>
          </w:tcPr>
          <w:p w:rsidR="007103B8" w:rsidRPr="007103B8" w:rsidRDefault="007103B8" w:rsidP="007103B8">
            <w:r w:rsidRPr="007103B8">
              <w:t>Would allow customers that meet defined criteria and satisfy their EE responsibilities to opt out of participating in utility-sponsored EE programs. These customers would be exempt from paying costs associated with EE programs through the ECCR charge.</w:t>
            </w:r>
          </w:p>
        </w:tc>
        <w:tc>
          <w:tcPr>
            <w:tcW w:w="3564" w:type="dxa"/>
          </w:tcPr>
          <w:p w:rsidR="007103B8" w:rsidRPr="007103B8" w:rsidRDefault="007103B8" w:rsidP="007103B8">
            <w:r w:rsidRPr="007103B8">
              <w:t xml:space="preserve">Would allow certain customers that have implemented (or plan to implement) EE measures to be exempt from paying ECCR charges for the costs associated with the EE services the utilities provide. </w:t>
            </w:r>
          </w:p>
        </w:tc>
      </w:tr>
      <w:tr w:rsidR="007103B8" w:rsidRPr="007103B8" w:rsidTr="003B63EA">
        <w:trPr>
          <w:trHeight w:val="2249"/>
        </w:trPr>
        <w:tc>
          <w:tcPr>
            <w:tcW w:w="2448" w:type="dxa"/>
          </w:tcPr>
          <w:p w:rsidR="007103B8" w:rsidRPr="007103B8" w:rsidRDefault="007103B8" w:rsidP="007103B8">
            <w:pPr>
              <w:rPr>
                <w:b/>
              </w:rPr>
            </w:pPr>
            <w:r w:rsidRPr="007103B8">
              <w:rPr>
                <w:b/>
              </w:rPr>
              <w:t>Basic Proposal –</w:t>
            </w:r>
          </w:p>
          <w:p w:rsidR="007103B8" w:rsidRPr="007103B8" w:rsidRDefault="007103B8" w:rsidP="007103B8">
            <w:pPr>
              <w:rPr>
                <w:b/>
              </w:rPr>
            </w:pPr>
            <w:r w:rsidRPr="007103B8">
              <w:rPr>
                <w:b/>
              </w:rPr>
              <w:t>Demand Response Programs</w:t>
            </w:r>
          </w:p>
        </w:tc>
        <w:tc>
          <w:tcPr>
            <w:tcW w:w="3564" w:type="dxa"/>
          </w:tcPr>
          <w:p w:rsidR="007103B8" w:rsidRPr="007103B8" w:rsidRDefault="007103B8" w:rsidP="007103B8">
            <w:r w:rsidRPr="007103B8">
              <w:t>Customers that elect to opt out of utility-sponsored EE programs could still participate in utility-sponsored demand response programs and would pay the associated demand response ECCR charges.</w:t>
            </w:r>
          </w:p>
        </w:tc>
        <w:tc>
          <w:tcPr>
            <w:tcW w:w="3564" w:type="dxa"/>
          </w:tcPr>
          <w:p w:rsidR="007103B8" w:rsidRPr="007103B8" w:rsidRDefault="007103B8" w:rsidP="007103B8">
            <w:r w:rsidRPr="007103B8">
              <w:t>Customers that elect to opt out of utility-sponsored EE programs could still participate in utility-sponsored demand response programs and would pay the ECCR charges associated with demand response programs.</w:t>
            </w:r>
          </w:p>
        </w:tc>
      </w:tr>
      <w:tr w:rsidR="007103B8" w:rsidRPr="007103B8" w:rsidTr="003B63EA">
        <w:trPr>
          <w:trHeight w:val="3221"/>
        </w:trPr>
        <w:tc>
          <w:tcPr>
            <w:tcW w:w="2448" w:type="dxa"/>
          </w:tcPr>
          <w:p w:rsidR="007103B8" w:rsidRPr="007103B8" w:rsidRDefault="007103B8" w:rsidP="007103B8">
            <w:pPr>
              <w:rPr>
                <w:b/>
              </w:rPr>
            </w:pPr>
            <w:r w:rsidRPr="007103B8">
              <w:rPr>
                <w:b/>
              </w:rPr>
              <w:t>EE Commitments</w:t>
            </w:r>
          </w:p>
        </w:tc>
        <w:tc>
          <w:tcPr>
            <w:tcW w:w="3564" w:type="dxa"/>
          </w:tcPr>
          <w:p w:rsidR="007103B8" w:rsidRPr="007103B8" w:rsidRDefault="007103B8" w:rsidP="007103B8">
            <w:r w:rsidRPr="007103B8">
              <w:t xml:space="preserve">Customer must certify that it: (1) has implemented within the prior 5 years, EE measures that have reduced the customer’s usage by percentage at least as great as utility’s EE programs, or (2) has performed an energy audit within the previous 3 years and has implemented the recommended measures or has a plan to do so within 2 years. </w:t>
            </w:r>
          </w:p>
        </w:tc>
        <w:tc>
          <w:tcPr>
            <w:tcW w:w="3564" w:type="dxa"/>
          </w:tcPr>
          <w:p w:rsidR="007103B8" w:rsidRPr="007103B8" w:rsidRDefault="007103B8" w:rsidP="007103B8">
            <w:r w:rsidRPr="007103B8">
              <w:t>Customer must provide a letter to utility stating that the customer has invested (or intends to invest) in EE or has conducted an energy audit or analysis determining that there are no cost-effective EE measures.</w:t>
            </w:r>
          </w:p>
        </w:tc>
      </w:tr>
      <w:tr w:rsidR="007103B8" w:rsidRPr="007103B8" w:rsidTr="003B63EA">
        <w:trPr>
          <w:trHeight w:val="854"/>
        </w:trPr>
        <w:tc>
          <w:tcPr>
            <w:tcW w:w="2448" w:type="dxa"/>
          </w:tcPr>
          <w:p w:rsidR="007103B8" w:rsidRPr="007103B8" w:rsidRDefault="007103B8" w:rsidP="007103B8">
            <w:pPr>
              <w:rPr>
                <w:b/>
              </w:rPr>
            </w:pPr>
            <w:r w:rsidRPr="007103B8">
              <w:rPr>
                <w:b/>
              </w:rPr>
              <w:t>Eligibility Threshold</w:t>
            </w:r>
          </w:p>
        </w:tc>
        <w:tc>
          <w:tcPr>
            <w:tcW w:w="3564" w:type="dxa"/>
          </w:tcPr>
          <w:p w:rsidR="007103B8" w:rsidRPr="007103B8" w:rsidRDefault="007103B8" w:rsidP="007103B8">
            <w:r w:rsidRPr="007103B8">
              <w:t xml:space="preserve">Customer energy usage of </w:t>
            </w:r>
          </w:p>
          <w:p w:rsidR="007103B8" w:rsidRPr="007103B8" w:rsidRDefault="007103B8" w:rsidP="007103B8">
            <w:r w:rsidRPr="007103B8">
              <w:t>15 million kWhs per year</w:t>
            </w:r>
          </w:p>
        </w:tc>
        <w:tc>
          <w:tcPr>
            <w:tcW w:w="3564" w:type="dxa"/>
          </w:tcPr>
          <w:p w:rsidR="007103B8" w:rsidRPr="007103B8" w:rsidRDefault="007103B8" w:rsidP="007103B8">
            <w:r w:rsidRPr="007103B8">
              <w:t>Non-residential customers with demand of at least 1 MW</w:t>
            </w:r>
          </w:p>
        </w:tc>
      </w:tr>
      <w:tr w:rsidR="007103B8" w:rsidRPr="007103B8" w:rsidTr="003B63EA">
        <w:trPr>
          <w:trHeight w:val="1205"/>
        </w:trPr>
        <w:tc>
          <w:tcPr>
            <w:tcW w:w="2448" w:type="dxa"/>
          </w:tcPr>
          <w:p w:rsidR="007103B8" w:rsidRPr="007103B8" w:rsidRDefault="007103B8" w:rsidP="007103B8">
            <w:pPr>
              <w:rPr>
                <w:b/>
              </w:rPr>
            </w:pPr>
            <w:r w:rsidRPr="007103B8">
              <w:rPr>
                <w:b/>
              </w:rPr>
              <w:t>Account Aggregation</w:t>
            </w:r>
          </w:p>
        </w:tc>
        <w:tc>
          <w:tcPr>
            <w:tcW w:w="3564" w:type="dxa"/>
          </w:tcPr>
          <w:p w:rsidR="007103B8" w:rsidRPr="007103B8" w:rsidRDefault="007103B8" w:rsidP="007103B8">
            <w:r w:rsidRPr="007103B8">
              <w:t>Yes. Across all eligible accounts, meters, or service locations within each utility’s service territory</w:t>
            </w:r>
          </w:p>
        </w:tc>
        <w:tc>
          <w:tcPr>
            <w:tcW w:w="3564" w:type="dxa"/>
          </w:tcPr>
          <w:p w:rsidR="007103B8" w:rsidRPr="007103B8" w:rsidRDefault="007103B8" w:rsidP="007103B8">
            <w:r w:rsidRPr="007103B8">
              <w:t>Yes. Provided that each of the aggregated facilities is located in the utility’s service area and under common ownership and operation.</w:t>
            </w:r>
          </w:p>
        </w:tc>
      </w:tr>
      <w:tr w:rsidR="007103B8" w:rsidRPr="007103B8" w:rsidTr="003B63EA">
        <w:trPr>
          <w:trHeight w:val="1511"/>
        </w:trPr>
        <w:tc>
          <w:tcPr>
            <w:tcW w:w="2448" w:type="dxa"/>
          </w:tcPr>
          <w:p w:rsidR="007103B8" w:rsidRPr="007103B8" w:rsidRDefault="007103B8" w:rsidP="007103B8">
            <w:pPr>
              <w:rPr>
                <w:b/>
              </w:rPr>
            </w:pPr>
            <w:r w:rsidRPr="007103B8">
              <w:rPr>
                <w:b/>
              </w:rPr>
              <w:t>Other Criteria</w:t>
            </w:r>
          </w:p>
        </w:tc>
        <w:tc>
          <w:tcPr>
            <w:tcW w:w="3564" w:type="dxa"/>
          </w:tcPr>
          <w:p w:rsidR="007103B8" w:rsidRPr="007103B8" w:rsidRDefault="007103B8" w:rsidP="007103B8">
            <w:r w:rsidRPr="007103B8">
              <w:t>Eligible account may not have taken benefits under EE programs within 2 years before (or 2 years after) the opt-out period</w:t>
            </w:r>
          </w:p>
          <w:p w:rsidR="007103B8" w:rsidRPr="007103B8" w:rsidRDefault="007103B8" w:rsidP="007103B8"/>
        </w:tc>
        <w:tc>
          <w:tcPr>
            <w:tcW w:w="3564" w:type="dxa"/>
          </w:tcPr>
          <w:p w:rsidR="007103B8" w:rsidRPr="007103B8" w:rsidRDefault="007103B8" w:rsidP="007103B8">
            <w:r w:rsidRPr="007103B8">
              <w:t>Opt-out letter has a term of not less than 3 years.</w:t>
            </w:r>
          </w:p>
        </w:tc>
      </w:tr>
    </w:tbl>
    <w:p w:rsidR="007103B8" w:rsidRPr="007103B8" w:rsidRDefault="007103B8" w:rsidP="007103B8">
      <w:pPr>
        <w:rPr>
          <w:sz w:val="22"/>
          <w:szCs w:val="22"/>
        </w:rPr>
      </w:pPr>
    </w:p>
    <w:sectPr w:rsidR="007103B8" w:rsidRPr="007103B8" w:rsidSect="003B63EA">
      <w:headerReference w:type="default" r:id="rId1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1E0" w:rsidRDefault="008441E0">
      <w:r>
        <w:separator/>
      </w:r>
    </w:p>
  </w:endnote>
  <w:endnote w:type="continuationSeparator" w:id="0">
    <w:p w:rsidR="008441E0" w:rsidRDefault="0084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1E0" w:rsidRDefault="008441E0">
    <w:pPr>
      <w:pStyle w:val="Footer"/>
    </w:pPr>
  </w:p>
  <w:p w:rsidR="008441E0" w:rsidRDefault="008441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1E0" w:rsidRDefault="008441E0">
      <w:r>
        <w:separator/>
      </w:r>
    </w:p>
  </w:footnote>
  <w:footnote w:type="continuationSeparator" w:id="0">
    <w:p w:rsidR="008441E0" w:rsidRDefault="008441E0">
      <w:r>
        <w:continuationSeparator/>
      </w:r>
    </w:p>
  </w:footnote>
  <w:footnote w:id="1">
    <w:p w:rsidR="0073644F" w:rsidRDefault="0073644F">
      <w:pPr>
        <w:pStyle w:val="FootnoteText"/>
      </w:pPr>
      <w:r>
        <w:rPr>
          <w:rStyle w:val="FootnoteReference"/>
        </w:rPr>
        <w:footnoteRef/>
      </w:r>
      <w:r>
        <w:t xml:space="preserve"> Order No. PSC-14-0583-PHO-EG, issued October 15, 2014, in Docket No. 140002-EG, </w:t>
      </w:r>
      <w:r w:rsidRPr="0054544A">
        <w:rPr>
          <w:i/>
        </w:rPr>
        <w:t>In Re: Energy Conservation Cost Recovery Clause</w:t>
      </w:r>
      <w:r>
        <w:t>.</w:t>
      </w:r>
    </w:p>
  </w:footnote>
  <w:footnote w:id="2">
    <w:p w:rsidR="008441E0" w:rsidRDefault="008441E0" w:rsidP="008441E0">
      <w:pPr>
        <w:pStyle w:val="FootnoteText"/>
      </w:pPr>
      <w:r>
        <w:rPr>
          <w:rStyle w:val="FootnoteReference"/>
        </w:rPr>
        <w:footnoteRef/>
      </w:r>
      <w:r>
        <w:t xml:space="preserve"> Order No. 9974, issued April 24, 1981, in Docket No. 810050-PU, </w:t>
      </w:r>
      <w:r w:rsidRPr="0054544A">
        <w:rPr>
          <w:i/>
        </w:rPr>
        <w:t>In re: Conservation cost recovery clause</w:t>
      </w:r>
      <w:r>
        <w:t>.</w:t>
      </w:r>
    </w:p>
  </w:footnote>
  <w:footnote w:id="3">
    <w:p w:rsidR="008441E0" w:rsidRDefault="008441E0" w:rsidP="008441E0">
      <w:pPr>
        <w:pStyle w:val="FootnoteText"/>
      </w:pPr>
      <w:r>
        <w:rPr>
          <w:rStyle w:val="FootnoteReference"/>
        </w:rPr>
        <w:footnoteRef/>
      </w:r>
      <w:r>
        <w:t xml:space="preserve"> Ibid.</w:t>
      </w:r>
    </w:p>
  </w:footnote>
  <w:footnote w:id="4">
    <w:p w:rsidR="004958CF" w:rsidRPr="004958CF" w:rsidRDefault="004958CF" w:rsidP="004958CF">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rPr>
      </w:pPr>
      <w:r>
        <w:rPr>
          <w:rStyle w:val="FootnoteReference"/>
        </w:rPr>
        <w:footnoteRef/>
      </w:r>
      <w:r>
        <w:t>I</w:t>
      </w:r>
      <w:r w:rsidRPr="004958CF">
        <w:rPr>
          <w:rStyle w:val="FootnoteTextChar"/>
          <w:sz w:val="20"/>
          <w:szCs w:val="20"/>
        </w:rPr>
        <w:t>ssued December 29, 1993, in Docket No. 930759-EG, In Re:  Investigation into appropriate method for allocation and recovery of costs associated with conservation programs</w:t>
      </w:r>
    </w:p>
  </w:footnote>
  <w:footnote w:id="5">
    <w:p w:rsidR="004958CF" w:rsidRDefault="004958CF">
      <w:pPr>
        <w:pStyle w:val="FootnoteText"/>
      </w:pPr>
      <w:r>
        <w:rPr>
          <w:rStyle w:val="FootnoteReference"/>
        </w:rPr>
        <w:footnoteRef/>
      </w:r>
      <w:r>
        <w:t xml:space="preserve"> Order No. 9974, issued </w:t>
      </w:r>
      <w:r w:rsidRPr="00EE7914">
        <w:t xml:space="preserve">April 24, </w:t>
      </w:r>
      <w:r>
        <w:t>1981</w:t>
      </w:r>
    </w:p>
  </w:footnote>
  <w:footnote w:id="6">
    <w:p w:rsidR="00302A6D" w:rsidRDefault="00302A6D">
      <w:pPr>
        <w:pStyle w:val="FootnoteText"/>
      </w:pPr>
      <w:r>
        <w:rPr>
          <w:rStyle w:val="FootnoteReference"/>
        </w:rPr>
        <w:footnoteRef/>
      </w:r>
      <w:r>
        <w:t xml:space="preserve"> </w:t>
      </w:r>
      <w:r w:rsidRPr="009D338D">
        <w:t xml:space="preserve">Order No. </w:t>
      </w:r>
      <w:r>
        <w:t>PSC-14-0696-FOF-EU, issued December 16, 2014,</w:t>
      </w:r>
      <w:r w:rsidRPr="00A755D4">
        <w:t xml:space="preserve"> </w:t>
      </w:r>
      <w:r w:rsidRPr="0092559D">
        <w:t>Dockets Nos. 130199-EI, 130200-EI, 130201-EI, 130202-EI, 130203-EM, and 130204-EM,</w:t>
      </w:r>
      <w:r>
        <w:t xml:space="preserve"> </w:t>
      </w:r>
      <w:r w:rsidRPr="0054544A">
        <w:rPr>
          <w:i/>
        </w:rPr>
        <w:t>In re:  Commission review of numeric conservation goals of FPL, DEF, TECO, Gulf, FPUC, JEA, and OUC</w:t>
      </w:r>
      <w:r>
        <w:t>, pg.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1E0" w:rsidRDefault="008441E0">
    <w:pPr>
      <w:pStyle w:val="OrderHeader"/>
    </w:pPr>
    <w:r>
      <w:t xml:space="preserve">ORDER NO. </w:t>
    </w:r>
    <w:fldSimple w:instr=" REF OrderNo0011 ">
      <w:r w:rsidR="0031012D">
        <w:t>PSC-16-0011-FOF-EI</w:t>
      </w:r>
    </w:fldSimple>
  </w:p>
  <w:p w:rsidR="008441E0" w:rsidRDefault="008441E0">
    <w:pPr>
      <w:pStyle w:val="OrderHeader"/>
    </w:pPr>
    <w:bookmarkStart w:id="14" w:name="HeaderDocketNo"/>
    <w:bookmarkEnd w:id="14"/>
    <w:r>
      <w:t>DOCKET NO. 140226-EI</w:t>
    </w:r>
  </w:p>
  <w:p w:rsidR="008441E0" w:rsidRDefault="008441E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012D">
      <w:rPr>
        <w:rStyle w:val="PageNumber"/>
        <w:noProof/>
      </w:rPr>
      <w:t>15</w:t>
    </w:r>
    <w:r>
      <w:rPr>
        <w:rStyle w:val="PageNumber"/>
      </w:rPr>
      <w:fldChar w:fldCharType="end"/>
    </w:r>
  </w:p>
  <w:p w:rsidR="008441E0" w:rsidRDefault="008441E0">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1E0" w:rsidRDefault="008441E0" w:rsidP="007103B8">
    <w:pPr>
      <w:pStyle w:val="OrderHeader"/>
    </w:pPr>
    <w:r>
      <w:t xml:space="preserve">ORDER NO. </w:t>
    </w:r>
    <w:r w:rsidR="0031012D">
      <w:fldChar w:fldCharType="begin"/>
    </w:r>
    <w:r w:rsidR="0031012D">
      <w:instrText xml:space="preserve"> REF OrderNo0011 </w:instrText>
    </w:r>
    <w:r w:rsidR="0031012D">
      <w:fldChar w:fldCharType="separate"/>
    </w:r>
    <w:r w:rsidR="0031012D">
      <w:t>PSC-16-0011-FOF-EI</w:t>
    </w:r>
    <w:r w:rsidR="0031012D">
      <w:fldChar w:fldCharType="end"/>
    </w:r>
    <w:r>
      <w:tab/>
    </w:r>
    <w:r>
      <w:tab/>
      <w:t>ATTACHMENT A</w:t>
    </w:r>
  </w:p>
  <w:p w:rsidR="008441E0" w:rsidRDefault="008441E0" w:rsidP="007103B8">
    <w:pPr>
      <w:pStyle w:val="OrderHeader"/>
    </w:pPr>
    <w:r>
      <w:t>DOCKET NO. 140226-EI</w:t>
    </w:r>
  </w:p>
  <w:p w:rsidR="008441E0" w:rsidRDefault="008441E0" w:rsidP="007103B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012D">
      <w:rPr>
        <w:rStyle w:val="PageNumber"/>
        <w:noProof/>
      </w:rPr>
      <w:t>16</w:t>
    </w:r>
    <w:r>
      <w:rPr>
        <w:rStyle w:val="PageNumber"/>
      </w:rPr>
      <w:fldChar w:fldCharType="end"/>
    </w:r>
  </w:p>
  <w:p w:rsidR="008441E0" w:rsidRDefault="008441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039331A"/>
    <w:multiLevelType w:val="hybridMultilevel"/>
    <w:tmpl w:val="536E2B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443542"/>
    <w:multiLevelType w:val="hybridMultilevel"/>
    <w:tmpl w:val="6996375A"/>
    <w:lvl w:ilvl="0" w:tplc="3CF63B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B46AA2"/>
    <w:multiLevelType w:val="hybridMultilevel"/>
    <w:tmpl w:val="4E2446C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9D668C"/>
    <w:multiLevelType w:val="hybridMultilevel"/>
    <w:tmpl w:val="77440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462F78"/>
    <w:multiLevelType w:val="hybridMultilevel"/>
    <w:tmpl w:val="E11A3BC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48045A"/>
    <w:multiLevelType w:val="hybridMultilevel"/>
    <w:tmpl w:val="1256C134"/>
    <w:lvl w:ilvl="0" w:tplc="66E26C8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7659F3"/>
    <w:multiLevelType w:val="hybridMultilevel"/>
    <w:tmpl w:val="0FC68FB2"/>
    <w:lvl w:ilvl="0" w:tplc="E28A8378">
      <w:start w:val="1"/>
      <w:numFmt w:val="upp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6F62A4C"/>
    <w:multiLevelType w:val="hybridMultilevel"/>
    <w:tmpl w:val="3B1C1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4"/>
  </w:num>
  <w:num w:numId="13">
    <w:abstractNumId w:val="13"/>
  </w:num>
  <w:num w:numId="14">
    <w:abstractNumId w:val="12"/>
  </w:num>
  <w:num w:numId="15">
    <w:abstractNumId w:val="10"/>
  </w:num>
  <w:num w:numId="16">
    <w:abstractNumId w:val="15"/>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40226-EI"/>
  </w:docVars>
  <w:rsids>
    <w:rsidRoot w:val="007103B8"/>
    <w:rsid w:val="000022B8"/>
    <w:rsid w:val="00050051"/>
    <w:rsid w:val="00050A1F"/>
    <w:rsid w:val="00053AB9"/>
    <w:rsid w:val="00056229"/>
    <w:rsid w:val="00065FC2"/>
    <w:rsid w:val="00090AFC"/>
    <w:rsid w:val="000D06E8"/>
    <w:rsid w:val="000E344D"/>
    <w:rsid w:val="000F3B2C"/>
    <w:rsid w:val="000F7BE3"/>
    <w:rsid w:val="00116AD3"/>
    <w:rsid w:val="00126593"/>
    <w:rsid w:val="00126F64"/>
    <w:rsid w:val="0012702E"/>
    <w:rsid w:val="00142A96"/>
    <w:rsid w:val="00145E16"/>
    <w:rsid w:val="00187E32"/>
    <w:rsid w:val="00187EBF"/>
    <w:rsid w:val="00194E81"/>
    <w:rsid w:val="001A33C9"/>
    <w:rsid w:val="001D008A"/>
    <w:rsid w:val="001F6606"/>
    <w:rsid w:val="002002ED"/>
    <w:rsid w:val="0022721A"/>
    <w:rsid w:val="00230BB9"/>
    <w:rsid w:val="00246C67"/>
    <w:rsid w:val="00252B30"/>
    <w:rsid w:val="002A11AC"/>
    <w:rsid w:val="002A6F30"/>
    <w:rsid w:val="002B4365"/>
    <w:rsid w:val="002B77C2"/>
    <w:rsid w:val="002D7D15"/>
    <w:rsid w:val="002F4D31"/>
    <w:rsid w:val="00302A6D"/>
    <w:rsid w:val="00303FDE"/>
    <w:rsid w:val="0031012D"/>
    <w:rsid w:val="00312BE6"/>
    <w:rsid w:val="003140E8"/>
    <w:rsid w:val="003231C7"/>
    <w:rsid w:val="00331ED0"/>
    <w:rsid w:val="00350A2A"/>
    <w:rsid w:val="0035495B"/>
    <w:rsid w:val="00362D74"/>
    <w:rsid w:val="003744F5"/>
    <w:rsid w:val="00390DD8"/>
    <w:rsid w:val="00394DC6"/>
    <w:rsid w:val="00397C3E"/>
    <w:rsid w:val="003B63EA"/>
    <w:rsid w:val="003D3DD2"/>
    <w:rsid w:val="003D4CCA"/>
    <w:rsid w:val="003D6416"/>
    <w:rsid w:val="003D7311"/>
    <w:rsid w:val="003E1D48"/>
    <w:rsid w:val="0042527B"/>
    <w:rsid w:val="00457DC7"/>
    <w:rsid w:val="00472A5A"/>
    <w:rsid w:val="00472BCC"/>
    <w:rsid w:val="0047453F"/>
    <w:rsid w:val="004958CF"/>
    <w:rsid w:val="004A25CD"/>
    <w:rsid w:val="004A26CC"/>
    <w:rsid w:val="004A7291"/>
    <w:rsid w:val="004B2108"/>
    <w:rsid w:val="004B3A2B"/>
    <w:rsid w:val="004B645E"/>
    <w:rsid w:val="004B7EF9"/>
    <w:rsid w:val="004D2D1B"/>
    <w:rsid w:val="004F2DDE"/>
    <w:rsid w:val="0050097F"/>
    <w:rsid w:val="00514B1F"/>
    <w:rsid w:val="0052109C"/>
    <w:rsid w:val="0054544A"/>
    <w:rsid w:val="00554A1C"/>
    <w:rsid w:val="00556A10"/>
    <w:rsid w:val="005662CD"/>
    <w:rsid w:val="005963C2"/>
    <w:rsid w:val="005B45F7"/>
    <w:rsid w:val="005B63EA"/>
    <w:rsid w:val="005E0BA4"/>
    <w:rsid w:val="00603AD1"/>
    <w:rsid w:val="00612463"/>
    <w:rsid w:val="00660774"/>
    <w:rsid w:val="00660C55"/>
    <w:rsid w:val="00665CC7"/>
    <w:rsid w:val="00675E0F"/>
    <w:rsid w:val="00685FB8"/>
    <w:rsid w:val="00694FFB"/>
    <w:rsid w:val="006A0BF3"/>
    <w:rsid w:val="006B0DA6"/>
    <w:rsid w:val="006B1402"/>
    <w:rsid w:val="006B69B1"/>
    <w:rsid w:val="006C3A65"/>
    <w:rsid w:val="006C547E"/>
    <w:rsid w:val="00704C5D"/>
    <w:rsid w:val="007103B8"/>
    <w:rsid w:val="00724656"/>
    <w:rsid w:val="00733B6B"/>
    <w:rsid w:val="0073644F"/>
    <w:rsid w:val="0076170F"/>
    <w:rsid w:val="0076669C"/>
    <w:rsid w:val="007865E9"/>
    <w:rsid w:val="00792383"/>
    <w:rsid w:val="007D24BC"/>
    <w:rsid w:val="007D3D20"/>
    <w:rsid w:val="007D5830"/>
    <w:rsid w:val="007E3AFD"/>
    <w:rsid w:val="00803189"/>
    <w:rsid w:val="00804E7A"/>
    <w:rsid w:val="00805FBB"/>
    <w:rsid w:val="008169A4"/>
    <w:rsid w:val="008278FE"/>
    <w:rsid w:val="00832598"/>
    <w:rsid w:val="0083397E"/>
    <w:rsid w:val="0083534B"/>
    <w:rsid w:val="008441E0"/>
    <w:rsid w:val="008600D3"/>
    <w:rsid w:val="00863A66"/>
    <w:rsid w:val="00874429"/>
    <w:rsid w:val="00883D9A"/>
    <w:rsid w:val="008919EF"/>
    <w:rsid w:val="008C6A5B"/>
    <w:rsid w:val="008E26A5"/>
    <w:rsid w:val="008E42D2"/>
    <w:rsid w:val="009040EE"/>
    <w:rsid w:val="009057FD"/>
    <w:rsid w:val="00922A7F"/>
    <w:rsid w:val="00923A5E"/>
    <w:rsid w:val="0094033F"/>
    <w:rsid w:val="009509C8"/>
    <w:rsid w:val="00994100"/>
    <w:rsid w:val="009A779A"/>
    <w:rsid w:val="009D4C29"/>
    <w:rsid w:val="009F401B"/>
    <w:rsid w:val="00A07F92"/>
    <w:rsid w:val="00A2683A"/>
    <w:rsid w:val="00A52EBB"/>
    <w:rsid w:val="00A62DAB"/>
    <w:rsid w:val="00A726A6"/>
    <w:rsid w:val="00A97535"/>
    <w:rsid w:val="00AA14CB"/>
    <w:rsid w:val="00AA73F1"/>
    <w:rsid w:val="00AB0E1A"/>
    <w:rsid w:val="00AB1A30"/>
    <w:rsid w:val="00AC3F38"/>
    <w:rsid w:val="00AD1ED3"/>
    <w:rsid w:val="00AD6053"/>
    <w:rsid w:val="00AD7E45"/>
    <w:rsid w:val="00AF4251"/>
    <w:rsid w:val="00B0777D"/>
    <w:rsid w:val="00B07B71"/>
    <w:rsid w:val="00B161C2"/>
    <w:rsid w:val="00B4057A"/>
    <w:rsid w:val="00B40894"/>
    <w:rsid w:val="00B4493B"/>
    <w:rsid w:val="00B45E75"/>
    <w:rsid w:val="00B478AF"/>
    <w:rsid w:val="00B50876"/>
    <w:rsid w:val="00B55EE5"/>
    <w:rsid w:val="00B73DE6"/>
    <w:rsid w:val="00B77973"/>
    <w:rsid w:val="00B85805"/>
    <w:rsid w:val="00B86EF0"/>
    <w:rsid w:val="00B97900"/>
    <w:rsid w:val="00BA44A8"/>
    <w:rsid w:val="00BB3328"/>
    <w:rsid w:val="00BB5645"/>
    <w:rsid w:val="00BF5F36"/>
    <w:rsid w:val="00BF6691"/>
    <w:rsid w:val="00C028FC"/>
    <w:rsid w:val="00C16DA8"/>
    <w:rsid w:val="00C36575"/>
    <w:rsid w:val="00C46E61"/>
    <w:rsid w:val="00C604A1"/>
    <w:rsid w:val="00C66692"/>
    <w:rsid w:val="00C91123"/>
    <w:rsid w:val="00CA71FF"/>
    <w:rsid w:val="00CB5276"/>
    <w:rsid w:val="00CB68D7"/>
    <w:rsid w:val="00CC7E68"/>
    <w:rsid w:val="00CD27A2"/>
    <w:rsid w:val="00CD3AEE"/>
    <w:rsid w:val="00CD3B92"/>
    <w:rsid w:val="00CD7132"/>
    <w:rsid w:val="00CF2359"/>
    <w:rsid w:val="00D30B48"/>
    <w:rsid w:val="00D40C8F"/>
    <w:rsid w:val="00D46FAA"/>
    <w:rsid w:val="00D51271"/>
    <w:rsid w:val="00D57BB2"/>
    <w:rsid w:val="00D62F95"/>
    <w:rsid w:val="00D66998"/>
    <w:rsid w:val="00D8560E"/>
    <w:rsid w:val="00D8758F"/>
    <w:rsid w:val="00DC127A"/>
    <w:rsid w:val="00DC1D94"/>
    <w:rsid w:val="00DE057F"/>
    <w:rsid w:val="00DE2082"/>
    <w:rsid w:val="00DE2289"/>
    <w:rsid w:val="00DF6746"/>
    <w:rsid w:val="00E01567"/>
    <w:rsid w:val="00E04410"/>
    <w:rsid w:val="00E11351"/>
    <w:rsid w:val="00E3255D"/>
    <w:rsid w:val="00E576DC"/>
    <w:rsid w:val="00E737E8"/>
    <w:rsid w:val="00EA172C"/>
    <w:rsid w:val="00EA259B"/>
    <w:rsid w:val="00EA35A3"/>
    <w:rsid w:val="00EA3E6A"/>
    <w:rsid w:val="00EB18EF"/>
    <w:rsid w:val="00EE17DF"/>
    <w:rsid w:val="00EE7914"/>
    <w:rsid w:val="00EF4621"/>
    <w:rsid w:val="00F04280"/>
    <w:rsid w:val="00F277B6"/>
    <w:rsid w:val="00F5116A"/>
    <w:rsid w:val="00F54380"/>
    <w:rsid w:val="00F54B47"/>
    <w:rsid w:val="00F70E84"/>
    <w:rsid w:val="00F9754D"/>
    <w:rsid w:val="00FA6EFD"/>
    <w:rsid w:val="00FB1F85"/>
    <w:rsid w:val="00FB74EA"/>
    <w:rsid w:val="00FD2C9E"/>
    <w:rsid w:val="00FD4786"/>
    <w:rsid w:val="00FD582E"/>
    <w:rsid w:val="00FD616C"/>
    <w:rsid w:val="00FE3245"/>
    <w:rsid w:val="00FF06F4"/>
    <w:rsid w:val="00FF0A00"/>
    <w:rsid w:val="00FF3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7103B8"/>
    <w:pPr>
      <w:spacing w:before="120"/>
      <w:ind w:left="1008" w:hanging="1008"/>
      <w:jc w:val="both"/>
    </w:pPr>
  </w:style>
  <w:style w:type="paragraph" w:customStyle="1" w:styleId="MastHeadPSC">
    <w:name w:val="MastHead PSC"/>
    <w:basedOn w:val="Normal"/>
    <w:next w:val="Normal"/>
    <w:rsid w:val="007103B8"/>
    <w:pPr>
      <w:jc w:val="center"/>
    </w:pPr>
    <w:rPr>
      <w:b/>
      <w:sz w:val="48"/>
      <w:szCs w:val="48"/>
    </w:rPr>
  </w:style>
  <w:style w:type="paragraph" w:customStyle="1" w:styleId="MastHeadMemorandum">
    <w:name w:val="MastHead Memorandum"/>
    <w:basedOn w:val="Normal"/>
    <w:next w:val="Normal"/>
    <w:rsid w:val="007103B8"/>
    <w:pPr>
      <w:jc w:val="center"/>
    </w:pPr>
    <w:rPr>
      <w:b/>
      <w:sz w:val="28"/>
      <w:szCs w:val="28"/>
    </w:rPr>
  </w:style>
  <w:style w:type="paragraph" w:customStyle="1" w:styleId="MastHeadAddress">
    <w:name w:val="MastHead Address"/>
    <w:basedOn w:val="Normal"/>
    <w:next w:val="Normal"/>
    <w:rsid w:val="007103B8"/>
    <w:pPr>
      <w:spacing w:after="200"/>
      <w:jc w:val="center"/>
    </w:pPr>
    <w:rPr>
      <w:b/>
      <w:smallCaps/>
      <w:sz w:val="20"/>
      <w:szCs w:val="20"/>
    </w:rPr>
  </w:style>
  <w:style w:type="paragraph" w:customStyle="1" w:styleId="MastHeadState">
    <w:name w:val="MastHead State"/>
    <w:basedOn w:val="Normal"/>
    <w:next w:val="Normal"/>
    <w:rsid w:val="007103B8"/>
    <w:pPr>
      <w:jc w:val="center"/>
    </w:pPr>
    <w:rPr>
      <w:b/>
      <w:sz w:val="28"/>
      <w:szCs w:val="28"/>
    </w:rPr>
  </w:style>
  <w:style w:type="paragraph" w:customStyle="1" w:styleId="MemoHeading">
    <w:name w:val="Memo Heading"/>
    <w:basedOn w:val="Normal"/>
    <w:next w:val="Normal"/>
    <w:rsid w:val="007103B8"/>
    <w:pPr>
      <w:jc w:val="both"/>
    </w:pPr>
  </w:style>
  <w:style w:type="paragraph" w:customStyle="1" w:styleId="BlockText5">
    <w:name w:val="Block Text .5&quot;"/>
    <w:basedOn w:val="Normal"/>
    <w:rsid w:val="007103B8"/>
    <w:pPr>
      <w:spacing w:after="120"/>
      <w:ind w:left="720" w:right="720"/>
    </w:pPr>
  </w:style>
  <w:style w:type="paragraph" w:customStyle="1" w:styleId="BlockText1">
    <w:name w:val="Block Text 1&quot;"/>
    <w:basedOn w:val="Normal"/>
    <w:rsid w:val="007103B8"/>
    <w:pPr>
      <w:spacing w:after="120"/>
      <w:ind w:left="1440" w:right="1440"/>
    </w:pPr>
  </w:style>
  <w:style w:type="paragraph" w:customStyle="1" w:styleId="BlockText15">
    <w:name w:val="Block Text 1.5&quot;"/>
    <w:basedOn w:val="Normal"/>
    <w:rsid w:val="007103B8"/>
    <w:pPr>
      <w:spacing w:after="120"/>
      <w:ind w:left="2160" w:right="2160"/>
    </w:pPr>
  </w:style>
  <w:style w:type="paragraph" w:customStyle="1" w:styleId="IssueHeading">
    <w:name w:val="Issue Heading"/>
    <w:basedOn w:val="Heading1"/>
    <w:next w:val="BodyText"/>
    <w:link w:val="IssueHeadingChar"/>
    <w:qFormat/>
    <w:rsid w:val="007103B8"/>
    <w:pPr>
      <w:keepNext w:val="0"/>
    </w:pPr>
    <w:rPr>
      <w:rFonts w:ascii="Arial" w:hAnsi="Arial"/>
      <w:b/>
      <w:i/>
    </w:rPr>
  </w:style>
  <w:style w:type="character" w:customStyle="1" w:styleId="IssueHeadingChar">
    <w:name w:val="Issue Heading Char"/>
    <w:link w:val="IssueHeading"/>
    <w:rsid w:val="007103B8"/>
    <w:rPr>
      <w:rFonts w:ascii="Arial" w:hAnsi="Arial" w:cs="Arial"/>
      <w:b/>
      <w:bCs/>
      <w:i/>
      <w:kern w:val="32"/>
      <w:sz w:val="24"/>
      <w:szCs w:val="32"/>
    </w:rPr>
  </w:style>
  <w:style w:type="paragraph" w:customStyle="1" w:styleId="MemoHeadingRe">
    <w:name w:val="Memo Heading Re"/>
    <w:basedOn w:val="MemoHeading"/>
    <w:rsid w:val="007103B8"/>
    <w:pPr>
      <w:tabs>
        <w:tab w:val="left" w:pos="2520"/>
        <w:tab w:val="left" w:pos="2736"/>
      </w:tabs>
    </w:pPr>
  </w:style>
  <w:style w:type="paragraph" w:styleId="TOC1">
    <w:name w:val="toc 1"/>
    <w:basedOn w:val="Normal"/>
    <w:next w:val="Normal"/>
    <w:uiPriority w:val="39"/>
    <w:rsid w:val="007103B8"/>
    <w:pPr>
      <w:tabs>
        <w:tab w:val="right" w:leader="dot" w:pos="9360"/>
      </w:tabs>
      <w:ind w:left="432" w:right="360" w:hanging="432"/>
    </w:pPr>
  </w:style>
  <w:style w:type="character" w:styleId="Hyperlink">
    <w:name w:val="Hyperlink"/>
    <w:uiPriority w:val="99"/>
    <w:rsid w:val="007103B8"/>
    <w:rPr>
      <w:color w:val="0000FF"/>
      <w:u w:val="single"/>
    </w:rPr>
  </w:style>
  <w:style w:type="paragraph" w:customStyle="1" w:styleId="RecommendationMajorSectionHeading">
    <w:name w:val="Recommendation Major Section Heading"/>
    <w:basedOn w:val="Heading1"/>
    <w:next w:val="BodyText"/>
    <w:rsid w:val="007103B8"/>
    <w:pPr>
      <w:jc w:val="center"/>
    </w:pPr>
    <w:rPr>
      <w:rFonts w:ascii="Arial" w:hAnsi="Arial"/>
      <w:b/>
    </w:rPr>
  </w:style>
  <w:style w:type="paragraph" w:customStyle="1" w:styleId="IssueSubsectionHeading">
    <w:name w:val="Issue Subsection Heading"/>
    <w:basedOn w:val="Heading2"/>
    <w:next w:val="BodyText"/>
    <w:link w:val="IssueSubsectionHeadingChar"/>
    <w:qFormat/>
    <w:rsid w:val="007103B8"/>
    <w:pPr>
      <w:keepNext w:val="0"/>
    </w:pPr>
    <w:rPr>
      <w:rFonts w:ascii="Arial" w:hAnsi="Arial"/>
      <w:b/>
      <w:i/>
    </w:rPr>
  </w:style>
  <w:style w:type="character" w:customStyle="1" w:styleId="IssueSubsectionHeadingChar">
    <w:name w:val="Issue Subsection Heading Char"/>
    <w:link w:val="IssueSubsectionHeading"/>
    <w:rsid w:val="007103B8"/>
    <w:rPr>
      <w:rFonts w:ascii="Arial" w:hAnsi="Arial" w:cs="Arial"/>
      <w:b/>
      <w:bCs/>
      <w:i/>
      <w:iCs/>
      <w:sz w:val="24"/>
      <w:szCs w:val="28"/>
    </w:rPr>
  </w:style>
  <w:style w:type="paragraph" w:customStyle="1" w:styleId="RecommendationHeading">
    <w:name w:val="Recommendation Heading"/>
    <w:basedOn w:val="Heading1"/>
    <w:next w:val="BodyText"/>
    <w:rsid w:val="007103B8"/>
    <w:pPr>
      <w:keepNext w:val="0"/>
      <w:jc w:val="center"/>
    </w:pPr>
    <w:rPr>
      <w:b/>
      <w:u w:val="single"/>
    </w:rPr>
  </w:style>
  <w:style w:type="paragraph" w:customStyle="1" w:styleId="DiscussionofIssues">
    <w:name w:val="Discussion of Issues"/>
    <w:basedOn w:val="RecommendationMajorSectionHeading"/>
    <w:next w:val="BodyText"/>
    <w:rsid w:val="007103B8"/>
    <w:pPr>
      <w:spacing w:after="0"/>
    </w:pPr>
  </w:style>
  <w:style w:type="paragraph" w:customStyle="1" w:styleId="TOCColumnHeadings">
    <w:name w:val="TOC Column Headings"/>
    <w:basedOn w:val="Normal"/>
    <w:rsid w:val="007103B8"/>
    <w:pPr>
      <w:tabs>
        <w:tab w:val="left" w:pos="864"/>
        <w:tab w:val="right" w:pos="9360"/>
      </w:tabs>
    </w:pPr>
    <w:rPr>
      <w:u w:val="words"/>
    </w:rPr>
  </w:style>
  <w:style w:type="table" w:customStyle="1" w:styleId="TableMasthead">
    <w:name w:val="Table Masthead"/>
    <w:basedOn w:val="TableGrid"/>
    <w:rsid w:val="007103B8"/>
    <w:tblPr/>
  </w:style>
  <w:style w:type="paragraph" w:customStyle="1" w:styleId="StyleHeading1BoldUnderline">
    <w:name w:val="Style Heading 1 + Bold Underline"/>
    <w:basedOn w:val="Heading1"/>
    <w:link w:val="StyleHeading1BoldUnderlineChar"/>
    <w:rsid w:val="007103B8"/>
    <w:pPr>
      <w:keepNext w:val="0"/>
      <w:spacing w:before="240"/>
    </w:pPr>
    <w:rPr>
      <w:b/>
      <w:u w:val="single"/>
    </w:rPr>
  </w:style>
  <w:style w:type="character" w:customStyle="1" w:styleId="StyleHeading1BoldUnderlineChar">
    <w:name w:val="Style Heading 1 + Bold Underline Char"/>
    <w:link w:val="StyleHeading1BoldUnderline"/>
    <w:rsid w:val="007103B8"/>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7103B8"/>
    <w:pPr>
      <w:jc w:val="left"/>
    </w:pPr>
  </w:style>
  <w:style w:type="paragraph" w:styleId="TOC3">
    <w:name w:val="toc 3"/>
    <w:basedOn w:val="TOC2"/>
    <w:next w:val="Normal"/>
    <w:rsid w:val="007103B8"/>
    <w:pPr>
      <w:tabs>
        <w:tab w:val="clear" w:pos="1152"/>
        <w:tab w:val="left" w:pos="1584"/>
      </w:tabs>
      <w:ind w:left="1584" w:hanging="432"/>
    </w:pPr>
  </w:style>
  <w:style w:type="paragraph" w:styleId="TOC2">
    <w:name w:val="toc 2"/>
    <w:basedOn w:val="TOC1"/>
    <w:next w:val="Normal"/>
    <w:uiPriority w:val="39"/>
    <w:rsid w:val="007103B8"/>
    <w:pPr>
      <w:tabs>
        <w:tab w:val="left" w:pos="1152"/>
      </w:tabs>
      <w:ind w:left="1152" w:hanging="288"/>
    </w:pPr>
  </w:style>
  <w:style w:type="paragraph" w:styleId="DocumentMap">
    <w:name w:val="Document Map"/>
    <w:basedOn w:val="Normal"/>
    <w:link w:val="DocumentMapChar"/>
    <w:rsid w:val="007103B8"/>
    <w:pPr>
      <w:shd w:val="clear" w:color="auto" w:fill="000080"/>
    </w:pPr>
    <w:rPr>
      <w:rFonts w:ascii="Tahoma" w:hAnsi="Tahoma" w:cs="Tahoma"/>
    </w:rPr>
  </w:style>
  <w:style w:type="character" w:customStyle="1" w:styleId="DocumentMapChar">
    <w:name w:val="Document Map Char"/>
    <w:basedOn w:val="DefaultParagraphFont"/>
    <w:link w:val="DocumentMap"/>
    <w:rsid w:val="007103B8"/>
    <w:rPr>
      <w:rFonts w:ascii="Tahoma" w:hAnsi="Tahoma" w:cs="Tahoma"/>
      <w:sz w:val="24"/>
      <w:szCs w:val="24"/>
      <w:shd w:val="clear" w:color="auto" w:fill="000080"/>
    </w:rPr>
  </w:style>
  <w:style w:type="paragraph" w:styleId="BalloonText">
    <w:name w:val="Balloon Text"/>
    <w:basedOn w:val="Normal"/>
    <w:link w:val="BalloonTextChar"/>
    <w:rsid w:val="007103B8"/>
    <w:rPr>
      <w:rFonts w:ascii="Tahoma" w:hAnsi="Tahoma" w:cs="Tahoma"/>
      <w:sz w:val="16"/>
      <w:szCs w:val="16"/>
    </w:rPr>
  </w:style>
  <w:style w:type="character" w:customStyle="1" w:styleId="BalloonTextChar">
    <w:name w:val="Balloon Text Char"/>
    <w:basedOn w:val="DefaultParagraphFont"/>
    <w:link w:val="BalloonText"/>
    <w:rsid w:val="007103B8"/>
    <w:rPr>
      <w:rFonts w:ascii="Tahoma" w:hAnsi="Tahoma" w:cs="Tahoma"/>
      <w:sz w:val="16"/>
      <w:szCs w:val="16"/>
    </w:rPr>
  </w:style>
  <w:style w:type="paragraph" w:styleId="BlockText">
    <w:name w:val="Block Text"/>
    <w:basedOn w:val="Normal"/>
    <w:rsid w:val="007103B8"/>
    <w:pPr>
      <w:spacing w:after="120"/>
      <w:ind w:left="1440" w:right="1440"/>
    </w:pPr>
  </w:style>
  <w:style w:type="paragraph" w:styleId="BodyText2">
    <w:name w:val="Body Text 2"/>
    <w:basedOn w:val="Normal"/>
    <w:link w:val="BodyText2Char"/>
    <w:rsid w:val="007103B8"/>
    <w:pPr>
      <w:spacing w:after="120" w:line="480" w:lineRule="auto"/>
    </w:pPr>
  </w:style>
  <w:style w:type="character" w:customStyle="1" w:styleId="BodyText2Char">
    <w:name w:val="Body Text 2 Char"/>
    <w:basedOn w:val="DefaultParagraphFont"/>
    <w:link w:val="BodyText2"/>
    <w:rsid w:val="007103B8"/>
    <w:rPr>
      <w:sz w:val="24"/>
      <w:szCs w:val="24"/>
    </w:rPr>
  </w:style>
  <w:style w:type="paragraph" w:styleId="BodyText3">
    <w:name w:val="Body Text 3"/>
    <w:basedOn w:val="Normal"/>
    <w:link w:val="BodyText3Char"/>
    <w:rsid w:val="007103B8"/>
    <w:pPr>
      <w:spacing w:after="120"/>
    </w:pPr>
    <w:rPr>
      <w:sz w:val="16"/>
      <w:szCs w:val="16"/>
    </w:rPr>
  </w:style>
  <w:style w:type="character" w:customStyle="1" w:styleId="BodyText3Char">
    <w:name w:val="Body Text 3 Char"/>
    <w:basedOn w:val="DefaultParagraphFont"/>
    <w:link w:val="BodyText3"/>
    <w:rsid w:val="007103B8"/>
    <w:rPr>
      <w:sz w:val="16"/>
      <w:szCs w:val="16"/>
    </w:rPr>
  </w:style>
  <w:style w:type="paragraph" w:styleId="BodyTextFirstIndent">
    <w:name w:val="Body Text First Indent"/>
    <w:basedOn w:val="BodyText"/>
    <w:link w:val="BodyTextFirstIndentChar"/>
    <w:rsid w:val="007103B8"/>
    <w:pPr>
      <w:ind w:firstLine="210"/>
    </w:pPr>
  </w:style>
  <w:style w:type="character" w:customStyle="1" w:styleId="BodyTextFirstIndentChar">
    <w:name w:val="Body Text First Indent Char"/>
    <w:basedOn w:val="BodyTextChar"/>
    <w:link w:val="BodyTextFirstIndent"/>
    <w:rsid w:val="007103B8"/>
    <w:rPr>
      <w:sz w:val="24"/>
      <w:szCs w:val="24"/>
    </w:rPr>
  </w:style>
  <w:style w:type="paragraph" w:styleId="BodyTextIndent">
    <w:name w:val="Body Text Indent"/>
    <w:basedOn w:val="Normal"/>
    <w:link w:val="BodyTextIndentChar"/>
    <w:rsid w:val="007103B8"/>
    <w:pPr>
      <w:spacing w:after="120"/>
      <w:ind w:left="360"/>
    </w:pPr>
  </w:style>
  <w:style w:type="character" w:customStyle="1" w:styleId="BodyTextIndentChar">
    <w:name w:val="Body Text Indent Char"/>
    <w:basedOn w:val="DefaultParagraphFont"/>
    <w:link w:val="BodyTextIndent"/>
    <w:rsid w:val="007103B8"/>
    <w:rPr>
      <w:sz w:val="24"/>
      <w:szCs w:val="24"/>
    </w:rPr>
  </w:style>
  <w:style w:type="paragraph" w:styleId="BodyTextFirstIndent2">
    <w:name w:val="Body Text First Indent 2"/>
    <w:basedOn w:val="BodyTextIndent"/>
    <w:link w:val="BodyTextFirstIndent2Char"/>
    <w:rsid w:val="007103B8"/>
    <w:pPr>
      <w:ind w:firstLine="210"/>
    </w:pPr>
  </w:style>
  <w:style w:type="character" w:customStyle="1" w:styleId="BodyTextFirstIndent2Char">
    <w:name w:val="Body Text First Indent 2 Char"/>
    <w:basedOn w:val="BodyTextIndentChar"/>
    <w:link w:val="BodyTextFirstIndent2"/>
    <w:rsid w:val="007103B8"/>
    <w:rPr>
      <w:sz w:val="24"/>
      <w:szCs w:val="24"/>
    </w:rPr>
  </w:style>
  <w:style w:type="paragraph" w:styleId="BodyTextIndent2">
    <w:name w:val="Body Text Indent 2"/>
    <w:basedOn w:val="Normal"/>
    <w:link w:val="BodyTextIndent2Char"/>
    <w:rsid w:val="007103B8"/>
    <w:pPr>
      <w:spacing w:after="120" w:line="480" w:lineRule="auto"/>
      <w:ind w:left="360"/>
    </w:pPr>
  </w:style>
  <w:style w:type="character" w:customStyle="1" w:styleId="BodyTextIndent2Char">
    <w:name w:val="Body Text Indent 2 Char"/>
    <w:basedOn w:val="DefaultParagraphFont"/>
    <w:link w:val="BodyTextIndent2"/>
    <w:rsid w:val="007103B8"/>
    <w:rPr>
      <w:sz w:val="24"/>
      <w:szCs w:val="24"/>
    </w:rPr>
  </w:style>
  <w:style w:type="paragraph" w:styleId="BodyTextIndent3">
    <w:name w:val="Body Text Indent 3"/>
    <w:basedOn w:val="Normal"/>
    <w:link w:val="BodyTextIndent3Char"/>
    <w:rsid w:val="007103B8"/>
    <w:pPr>
      <w:spacing w:after="120"/>
      <w:ind w:left="360"/>
    </w:pPr>
    <w:rPr>
      <w:sz w:val="16"/>
      <w:szCs w:val="16"/>
    </w:rPr>
  </w:style>
  <w:style w:type="character" w:customStyle="1" w:styleId="BodyTextIndent3Char">
    <w:name w:val="Body Text Indent 3 Char"/>
    <w:basedOn w:val="DefaultParagraphFont"/>
    <w:link w:val="BodyTextIndent3"/>
    <w:rsid w:val="007103B8"/>
    <w:rPr>
      <w:sz w:val="16"/>
      <w:szCs w:val="16"/>
    </w:rPr>
  </w:style>
  <w:style w:type="paragraph" w:styleId="Caption">
    <w:name w:val="caption"/>
    <w:basedOn w:val="Normal"/>
    <w:next w:val="Normal"/>
    <w:qFormat/>
    <w:rsid w:val="007103B8"/>
    <w:pPr>
      <w:spacing w:before="120" w:after="120"/>
    </w:pPr>
    <w:rPr>
      <w:b/>
      <w:bCs/>
      <w:sz w:val="20"/>
      <w:szCs w:val="20"/>
    </w:rPr>
  </w:style>
  <w:style w:type="paragraph" w:styleId="Closing">
    <w:name w:val="Closing"/>
    <w:basedOn w:val="Normal"/>
    <w:link w:val="ClosingChar"/>
    <w:rsid w:val="007103B8"/>
    <w:pPr>
      <w:ind w:left="4320"/>
    </w:pPr>
  </w:style>
  <w:style w:type="character" w:customStyle="1" w:styleId="ClosingChar">
    <w:name w:val="Closing Char"/>
    <w:basedOn w:val="DefaultParagraphFont"/>
    <w:link w:val="Closing"/>
    <w:rsid w:val="007103B8"/>
    <w:rPr>
      <w:sz w:val="24"/>
      <w:szCs w:val="24"/>
    </w:rPr>
  </w:style>
  <w:style w:type="paragraph" w:styleId="CommentText">
    <w:name w:val="annotation text"/>
    <w:basedOn w:val="Normal"/>
    <w:link w:val="CommentTextChar"/>
    <w:rsid w:val="007103B8"/>
    <w:rPr>
      <w:sz w:val="20"/>
      <w:szCs w:val="20"/>
    </w:rPr>
  </w:style>
  <w:style w:type="character" w:customStyle="1" w:styleId="CommentTextChar">
    <w:name w:val="Comment Text Char"/>
    <w:basedOn w:val="DefaultParagraphFont"/>
    <w:link w:val="CommentText"/>
    <w:rsid w:val="007103B8"/>
  </w:style>
  <w:style w:type="paragraph" w:styleId="CommentSubject">
    <w:name w:val="annotation subject"/>
    <w:basedOn w:val="CommentText"/>
    <w:next w:val="CommentText"/>
    <w:link w:val="CommentSubjectChar"/>
    <w:rsid w:val="007103B8"/>
    <w:rPr>
      <w:b/>
      <w:bCs/>
    </w:rPr>
  </w:style>
  <w:style w:type="character" w:customStyle="1" w:styleId="CommentSubjectChar">
    <w:name w:val="Comment Subject Char"/>
    <w:basedOn w:val="CommentTextChar"/>
    <w:link w:val="CommentSubject"/>
    <w:rsid w:val="007103B8"/>
    <w:rPr>
      <w:b/>
      <w:bCs/>
    </w:rPr>
  </w:style>
  <w:style w:type="paragraph" w:styleId="Date">
    <w:name w:val="Date"/>
    <w:basedOn w:val="Normal"/>
    <w:next w:val="Normal"/>
    <w:link w:val="DateChar"/>
    <w:rsid w:val="007103B8"/>
  </w:style>
  <w:style w:type="character" w:customStyle="1" w:styleId="DateChar">
    <w:name w:val="Date Char"/>
    <w:basedOn w:val="DefaultParagraphFont"/>
    <w:link w:val="Date"/>
    <w:rsid w:val="007103B8"/>
    <w:rPr>
      <w:sz w:val="24"/>
      <w:szCs w:val="24"/>
    </w:rPr>
  </w:style>
  <w:style w:type="paragraph" w:styleId="E-mailSignature">
    <w:name w:val="E-mail Signature"/>
    <w:basedOn w:val="Normal"/>
    <w:link w:val="E-mailSignatureChar"/>
    <w:rsid w:val="007103B8"/>
  </w:style>
  <w:style w:type="character" w:customStyle="1" w:styleId="E-mailSignatureChar">
    <w:name w:val="E-mail Signature Char"/>
    <w:basedOn w:val="DefaultParagraphFont"/>
    <w:link w:val="E-mailSignature"/>
    <w:rsid w:val="007103B8"/>
    <w:rPr>
      <w:sz w:val="24"/>
      <w:szCs w:val="24"/>
    </w:rPr>
  </w:style>
  <w:style w:type="paragraph" w:styleId="EndnoteText">
    <w:name w:val="endnote text"/>
    <w:basedOn w:val="Normal"/>
    <w:link w:val="EndnoteTextChar"/>
    <w:rsid w:val="007103B8"/>
    <w:rPr>
      <w:sz w:val="20"/>
      <w:szCs w:val="20"/>
    </w:rPr>
  </w:style>
  <w:style w:type="character" w:customStyle="1" w:styleId="EndnoteTextChar">
    <w:name w:val="Endnote Text Char"/>
    <w:basedOn w:val="DefaultParagraphFont"/>
    <w:link w:val="EndnoteText"/>
    <w:rsid w:val="007103B8"/>
  </w:style>
  <w:style w:type="paragraph" w:styleId="EnvelopeAddress">
    <w:name w:val="envelope address"/>
    <w:basedOn w:val="Normal"/>
    <w:rsid w:val="007103B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103B8"/>
    <w:rPr>
      <w:rFonts w:ascii="Arial" w:hAnsi="Arial" w:cs="Arial"/>
      <w:sz w:val="20"/>
      <w:szCs w:val="20"/>
    </w:rPr>
  </w:style>
  <w:style w:type="paragraph" w:styleId="HTMLAddress">
    <w:name w:val="HTML Address"/>
    <w:basedOn w:val="Normal"/>
    <w:link w:val="HTMLAddressChar"/>
    <w:rsid w:val="007103B8"/>
    <w:rPr>
      <w:i/>
      <w:iCs/>
    </w:rPr>
  </w:style>
  <w:style w:type="character" w:customStyle="1" w:styleId="HTMLAddressChar">
    <w:name w:val="HTML Address Char"/>
    <w:basedOn w:val="DefaultParagraphFont"/>
    <w:link w:val="HTMLAddress"/>
    <w:rsid w:val="007103B8"/>
    <w:rPr>
      <w:i/>
      <w:iCs/>
      <w:sz w:val="24"/>
      <w:szCs w:val="24"/>
    </w:rPr>
  </w:style>
  <w:style w:type="paragraph" w:styleId="HTMLPreformatted">
    <w:name w:val="HTML Preformatted"/>
    <w:basedOn w:val="Normal"/>
    <w:link w:val="HTMLPreformattedChar"/>
    <w:rsid w:val="007103B8"/>
    <w:rPr>
      <w:rFonts w:ascii="Courier New" w:hAnsi="Courier New" w:cs="Courier New"/>
      <w:sz w:val="20"/>
      <w:szCs w:val="20"/>
    </w:rPr>
  </w:style>
  <w:style w:type="character" w:customStyle="1" w:styleId="HTMLPreformattedChar">
    <w:name w:val="HTML Preformatted Char"/>
    <w:basedOn w:val="DefaultParagraphFont"/>
    <w:link w:val="HTMLPreformatted"/>
    <w:rsid w:val="007103B8"/>
    <w:rPr>
      <w:rFonts w:ascii="Courier New" w:hAnsi="Courier New" w:cs="Courier New"/>
    </w:rPr>
  </w:style>
  <w:style w:type="paragraph" w:styleId="Index1">
    <w:name w:val="index 1"/>
    <w:basedOn w:val="Normal"/>
    <w:next w:val="Normal"/>
    <w:autoRedefine/>
    <w:rsid w:val="007103B8"/>
    <w:pPr>
      <w:ind w:left="240" w:hanging="240"/>
    </w:pPr>
  </w:style>
  <w:style w:type="paragraph" w:styleId="Index2">
    <w:name w:val="index 2"/>
    <w:basedOn w:val="Normal"/>
    <w:next w:val="Normal"/>
    <w:autoRedefine/>
    <w:rsid w:val="007103B8"/>
    <w:pPr>
      <w:ind w:left="480" w:hanging="240"/>
    </w:pPr>
  </w:style>
  <w:style w:type="paragraph" w:styleId="Index3">
    <w:name w:val="index 3"/>
    <w:basedOn w:val="Normal"/>
    <w:next w:val="Normal"/>
    <w:autoRedefine/>
    <w:rsid w:val="007103B8"/>
    <w:pPr>
      <w:ind w:left="720" w:hanging="240"/>
    </w:pPr>
  </w:style>
  <w:style w:type="paragraph" w:styleId="Index4">
    <w:name w:val="index 4"/>
    <w:basedOn w:val="Normal"/>
    <w:next w:val="Normal"/>
    <w:autoRedefine/>
    <w:rsid w:val="007103B8"/>
    <w:pPr>
      <w:ind w:left="960" w:hanging="240"/>
    </w:pPr>
  </w:style>
  <w:style w:type="paragraph" w:styleId="Index5">
    <w:name w:val="index 5"/>
    <w:basedOn w:val="Normal"/>
    <w:next w:val="Normal"/>
    <w:autoRedefine/>
    <w:rsid w:val="007103B8"/>
    <w:pPr>
      <w:ind w:left="1200" w:hanging="240"/>
    </w:pPr>
  </w:style>
  <w:style w:type="paragraph" w:styleId="Index6">
    <w:name w:val="index 6"/>
    <w:basedOn w:val="Normal"/>
    <w:next w:val="Normal"/>
    <w:autoRedefine/>
    <w:rsid w:val="007103B8"/>
    <w:pPr>
      <w:ind w:left="1440" w:hanging="240"/>
    </w:pPr>
  </w:style>
  <w:style w:type="paragraph" w:styleId="Index7">
    <w:name w:val="index 7"/>
    <w:basedOn w:val="Normal"/>
    <w:next w:val="Normal"/>
    <w:autoRedefine/>
    <w:rsid w:val="007103B8"/>
    <w:pPr>
      <w:ind w:left="1680" w:hanging="240"/>
    </w:pPr>
  </w:style>
  <w:style w:type="paragraph" w:styleId="Index8">
    <w:name w:val="index 8"/>
    <w:basedOn w:val="Normal"/>
    <w:next w:val="Normal"/>
    <w:autoRedefine/>
    <w:rsid w:val="007103B8"/>
    <w:pPr>
      <w:ind w:left="1920" w:hanging="240"/>
    </w:pPr>
  </w:style>
  <w:style w:type="paragraph" w:styleId="Index9">
    <w:name w:val="index 9"/>
    <w:basedOn w:val="Normal"/>
    <w:next w:val="Normal"/>
    <w:autoRedefine/>
    <w:rsid w:val="007103B8"/>
    <w:pPr>
      <w:ind w:left="2160" w:hanging="240"/>
    </w:pPr>
  </w:style>
  <w:style w:type="paragraph" w:styleId="IndexHeading">
    <w:name w:val="index heading"/>
    <w:basedOn w:val="Normal"/>
    <w:next w:val="Index1"/>
    <w:rsid w:val="007103B8"/>
    <w:rPr>
      <w:rFonts w:ascii="Arial" w:hAnsi="Arial" w:cs="Arial"/>
      <w:b/>
      <w:bCs/>
    </w:rPr>
  </w:style>
  <w:style w:type="paragraph" w:styleId="List">
    <w:name w:val="List"/>
    <w:basedOn w:val="Normal"/>
    <w:rsid w:val="007103B8"/>
    <w:pPr>
      <w:ind w:left="360" w:hanging="360"/>
    </w:pPr>
  </w:style>
  <w:style w:type="paragraph" w:styleId="List2">
    <w:name w:val="List 2"/>
    <w:basedOn w:val="Normal"/>
    <w:rsid w:val="007103B8"/>
    <w:pPr>
      <w:ind w:left="720" w:hanging="360"/>
    </w:pPr>
  </w:style>
  <w:style w:type="paragraph" w:styleId="List3">
    <w:name w:val="List 3"/>
    <w:basedOn w:val="Normal"/>
    <w:rsid w:val="007103B8"/>
    <w:pPr>
      <w:ind w:left="1080" w:hanging="360"/>
    </w:pPr>
  </w:style>
  <w:style w:type="paragraph" w:styleId="List4">
    <w:name w:val="List 4"/>
    <w:basedOn w:val="Normal"/>
    <w:rsid w:val="007103B8"/>
    <w:pPr>
      <w:ind w:left="1440" w:hanging="360"/>
    </w:pPr>
  </w:style>
  <w:style w:type="paragraph" w:styleId="List5">
    <w:name w:val="List 5"/>
    <w:basedOn w:val="Normal"/>
    <w:rsid w:val="007103B8"/>
    <w:pPr>
      <w:ind w:left="1800" w:hanging="360"/>
    </w:pPr>
  </w:style>
  <w:style w:type="paragraph" w:styleId="ListBullet">
    <w:name w:val="List Bullet"/>
    <w:basedOn w:val="Normal"/>
    <w:autoRedefine/>
    <w:rsid w:val="007103B8"/>
    <w:pPr>
      <w:tabs>
        <w:tab w:val="num" w:pos="360"/>
      </w:tabs>
      <w:ind w:left="360" w:hanging="360"/>
    </w:pPr>
  </w:style>
  <w:style w:type="paragraph" w:styleId="ListBullet2">
    <w:name w:val="List Bullet 2"/>
    <w:basedOn w:val="Normal"/>
    <w:autoRedefine/>
    <w:rsid w:val="007103B8"/>
    <w:pPr>
      <w:tabs>
        <w:tab w:val="num" w:pos="720"/>
      </w:tabs>
      <w:ind w:left="720" w:hanging="360"/>
    </w:pPr>
  </w:style>
  <w:style w:type="paragraph" w:styleId="ListBullet3">
    <w:name w:val="List Bullet 3"/>
    <w:basedOn w:val="Normal"/>
    <w:autoRedefine/>
    <w:rsid w:val="007103B8"/>
    <w:pPr>
      <w:tabs>
        <w:tab w:val="num" w:pos="1080"/>
      </w:tabs>
      <w:ind w:left="1080" w:hanging="360"/>
    </w:pPr>
  </w:style>
  <w:style w:type="paragraph" w:styleId="ListBullet4">
    <w:name w:val="List Bullet 4"/>
    <w:basedOn w:val="Normal"/>
    <w:autoRedefine/>
    <w:rsid w:val="007103B8"/>
    <w:pPr>
      <w:tabs>
        <w:tab w:val="num" w:pos="1440"/>
      </w:tabs>
      <w:ind w:left="1440" w:hanging="360"/>
    </w:pPr>
  </w:style>
  <w:style w:type="paragraph" w:styleId="ListBullet5">
    <w:name w:val="List Bullet 5"/>
    <w:basedOn w:val="Normal"/>
    <w:autoRedefine/>
    <w:rsid w:val="007103B8"/>
    <w:pPr>
      <w:tabs>
        <w:tab w:val="num" w:pos="1800"/>
      </w:tabs>
      <w:ind w:left="1800" w:hanging="360"/>
    </w:pPr>
  </w:style>
  <w:style w:type="paragraph" w:styleId="ListContinue">
    <w:name w:val="List Continue"/>
    <w:basedOn w:val="Normal"/>
    <w:rsid w:val="007103B8"/>
    <w:pPr>
      <w:spacing w:after="120"/>
      <w:ind w:left="360"/>
    </w:pPr>
  </w:style>
  <w:style w:type="paragraph" w:styleId="ListContinue2">
    <w:name w:val="List Continue 2"/>
    <w:basedOn w:val="Normal"/>
    <w:rsid w:val="007103B8"/>
    <w:pPr>
      <w:spacing w:after="120"/>
      <w:ind w:left="720"/>
    </w:pPr>
  </w:style>
  <w:style w:type="paragraph" w:styleId="ListContinue3">
    <w:name w:val="List Continue 3"/>
    <w:basedOn w:val="Normal"/>
    <w:rsid w:val="007103B8"/>
    <w:pPr>
      <w:spacing w:after="120"/>
      <w:ind w:left="1080"/>
    </w:pPr>
  </w:style>
  <w:style w:type="paragraph" w:styleId="ListContinue4">
    <w:name w:val="List Continue 4"/>
    <w:basedOn w:val="Normal"/>
    <w:rsid w:val="007103B8"/>
    <w:pPr>
      <w:spacing w:after="120"/>
      <w:ind w:left="1440"/>
    </w:pPr>
  </w:style>
  <w:style w:type="paragraph" w:styleId="ListContinue5">
    <w:name w:val="List Continue 5"/>
    <w:basedOn w:val="Normal"/>
    <w:rsid w:val="007103B8"/>
    <w:pPr>
      <w:spacing w:after="120"/>
      <w:ind w:left="1800"/>
    </w:pPr>
  </w:style>
  <w:style w:type="paragraph" w:styleId="ListNumber">
    <w:name w:val="List Number"/>
    <w:basedOn w:val="Normal"/>
    <w:rsid w:val="007103B8"/>
    <w:pPr>
      <w:tabs>
        <w:tab w:val="num" w:pos="360"/>
      </w:tabs>
      <w:ind w:left="360" w:hanging="360"/>
    </w:pPr>
  </w:style>
  <w:style w:type="paragraph" w:styleId="ListNumber2">
    <w:name w:val="List Number 2"/>
    <w:basedOn w:val="Normal"/>
    <w:rsid w:val="007103B8"/>
    <w:pPr>
      <w:tabs>
        <w:tab w:val="num" w:pos="720"/>
      </w:tabs>
      <w:ind w:left="720" w:hanging="360"/>
    </w:pPr>
  </w:style>
  <w:style w:type="paragraph" w:styleId="ListNumber3">
    <w:name w:val="List Number 3"/>
    <w:basedOn w:val="Normal"/>
    <w:rsid w:val="007103B8"/>
    <w:pPr>
      <w:tabs>
        <w:tab w:val="num" w:pos="1080"/>
      </w:tabs>
      <w:ind w:left="1080" w:hanging="360"/>
    </w:pPr>
  </w:style>
  <w:style w:type="paragraph" w:styleId="ListNumber4">
    <w:name w:val="List Number 4"/>
    <w:basedOn w:val="Normal"/>
    <w:rsid w:val="007103B8"/>
    <w:pPr>
      <w:tabs>
        <w:tab w:val="num" w:pos="1440"/>
      </w:tabs>
      <w:ind w:left="1440" w:hanging="360"/>
    </w:pPr>
  </w:style>
  <w:style w:type="paragraph" w:styleId="ListNumber5">
    <w:name w:val="List Number 5"/>
    <w:basedOn w:val="Normal"/>
    <w:rsid w:val="007103B8"/>
    <w:pPr>
      <w:tabs>
        <w:tab w:val="num" w:pos="1800"/>
      </w:tabs>
      <w:ind w:left="1800" w:hanging="360"/>
    </w:pPr>
  </w:style>
  <w:style w:type="paragraph" w:styleId="MacroText">
    <w:name w:val="macro"/>
    <w:link w:val="MacroTextChar"/>
    <w:rsid w:val="007103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7103B8"/>
    <w:rPr>
      <w:rFonts w:ascii="Courier New" w:hAnsi="Courier New" w:cs="Courier New"/>
    </w:rPr>
  </w:style>
  <w:style w:type="paragraph" w:styleId="MessageHeader">
    <w:name w:val="Message Header"/>
    <w:basedOn w:val="Normal"/>
    <w:link w:val="MessageHeaderChar"/>
    <w:rsid w:val="007103B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7103B8"/>
    <w:rPr>
      <w:rFonts w:ascii="Arial" w:hAnsi="Arial" w:cs="Arial"/>
      <w:sz w:val="24"/>
      <w:szCs w:val="24"/>
      <w:shd w:val="pct20" w:color="auto" w:fill="auto"/>
    </w:rPr>
  </w:style>
  <w:style w:type="paragraph" w:styleId="NormalWeb">
    <w:name w:val="Normal (Web)"/>
    <w:basedOn w:val="Normal"/>
    <w:rsid w:val="007103B8"/>
  </w:style>
  <w:style w:type="paragraph" w:styleId="NormalIndent">
    <w:name w:val="Normal Indent"/>
    <w:basedOn w:val="Normal"/>
    <w:rsid w:val="007103B8"/>
    <w:pPr>
      <w:ind w:left="720"/>
    </w:pPr>
  </w:style>
  <w:style w:type="paragraph" w:styleId="NoteHeading">
    <w:name w:val="Note Heading"/>
    <w:basedOn w:val="Normal"/>
    <w:next w:val="Normal"/>
    <w:link w:val="NoteHeadingChar"/>
    <w:rsid w:val="007103B8"/>
  </w:style>
  <w:style w:type="character" w:customStyle="1" w:styleId="NoteHeadingChar">
    <w:name w:val="Note Heading Char"/>
    <w:basedOn w:val="DefaultParagraphFont"/>
    <w:link w:val="NoteHeading"/>
    <w:rsid w:val="007103B8"/>
    <w:rPr>
      <w:sz w:val="24"/>
      <w:szCs w:val="24"/>
    </w:rPr>
  </w:style>
  <w:style w:type="paragraph" w:styleId="PlainText">
    <w:name w:val="Plain Text"/>
    <w:basedOn w:val="Normal"/>
    <w:link w:val="PlainTextChar"/>
    <w:rsid w:val="007103B8"/>
    <w:rPr>
      <w:rFonts w:ascii="Courier New" w:hAnsi="Courier New" w:cs="Courier New"/>
      <w:sz w:val="20"/>
      <w:szCs w:val="20"/>
    </w:rPr>
  </w:style>
  <w:style w:type="character" w:customStyle="1" w:styleId="PlainTextChar">
    <w:name w:val="Plain Text Char"/>
    <w:basedOn w:val="DefaultParagraphFont"/>
    <w:link w:val="PlainText"/>
    <w:rsid w:val="007103B8"/>
    <w:rPr>
      <w:rFonts w:ascii="Courier New" w:hAnsi="Courier New" w:cs="Courier New"/>
    </w:rPr>
  </w:style>
  <w:style w:type="paragraph" w:styleId="Salutation">
    <w:name w:val="Salutation"/>
    <w:basedOn w:val="Normal"/>
    <w:next w:val="Normal"/>
    <w:link w:val="SalutationChar"/>
    <w:rsid w:val="007103B8"/>
  </w:style>
  <w:style w:type="character" w:customStyle="1" w:styleId="SalutationChar">
    <w:name w:val="Salutation Char"/>
    <w:basedOn w:val="DefaultParagraphFont"/>
    <w:link w:val="Salutation"/>
    <w:rsid w:val="007103B8"/>
    <w:rPr>
      <w:sz w:val="24"/>
      <w:szCs w:val="24"/>
    </w:rPr>
  </w:style>
  <w:style w:type="paragraph" w:styleId="Signature">
    <w:name w:val="Signature"/>
    <w:basedOn w:val="Normal"/>
    <w:link w:val="SignatureChar"/>
    <w:rsid w:val="007103B8"/>
    <w:pPr>
      <w:ind w:left="4320"/>
    </w:pPr>
  </w:style>
  <w:style w:type="character" w:customStyle="1" w:styleId="SignatureChar">
    <w:name w:val="Signature Char"/>
    <w:basedOn w:val="DefaultParagraphFont"/>
    <w:link w:val="Signature"/>
    <w:rsid w:val="007103B8"/>
    <w:rPr>
      <w:sz w:val="24"/>
      <w:szCs w:val="24"/>
    </w:rPr>
  </w:style>
  <w:style w:type="paragraph" w:styleId="Subtitle">
    <w:name w:val="Subtitle"/>
    <w:basedOn w:val="Normal"/>
    <w:link w:val="SubtitleChar"/>
    <w:qFormat/>
    <w:rsid w:val="007103B8"/>
    <w:pPr>
      <w:spacing w:after="60"/>
      <w:jc w:val="center"/>
      <w:outlineLvl w:val="1"/>
    </w:pPr>
    <w:rPr>
      <w:rFonts w:ascii="Arial" w:hAnsi="Arial" w:cs="Arial"/>
    </w:rPr>
  </w:style>
  <w:style w:type="character" w:customStyle="1" w:styleId="SubtitleChar">
    <w:name w:val="Subtitle Char"/>
    <w:basedOn w:val="DefaultParagraphFont"/>
    <w:link w:val="Subtitle"/>
    <w:rsid w:val="007103B8"/>
    <w:rPr>
      <w:rFonts w:ascii="Arial" w:hAnsi="Arial" w:cs="Arial"/>
      <w:sz w:val="24"/>
      <w:szCs w:val="24"/>
    </w:rPr>
  </w:style>
  <w:style w:type="paragraph" w:styleId="TableofAuthorities">
    <w:name w:val="table of authorities"/>
    <w:basedOn w:val="Normal"/>
    <w:next w:val="Normal"/>
    <w:rsid w:val="007103B8"/>
    <w:pPr>
      <w:ind w:left="240" w:hanging="240"/>
    </w:pPr>
  </w:style>
  <w:style w:type="paragraph" w:styleId="TableofFigures">
    <w:name w:val="table of figures"/>
    <w:basedOn w:val="Normal"/>
    <w:next w:val="Normal"/>
    <w:rsid w:val="007103B8"/>
    <w:pPr>
      <w:ind w:left="480" w:hanging="480"/>
    </w:pPr>
  </w:style>
  <w:style w:type="paragraph" w:styleId="Title">
    <w:name w:val="Title"/>
    <w:basedOn w:val="Normal"/>
    <w:link w:val="TitleChar"/>
    <w:qFormat/>
    <w:rsid w:val="007103B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103B8"/>
    <w:rPr>
      <w:rFonts w:ascii="Arial" w:hAnsi="Arial" w:cs="Arial"/>
      <w:b/>
      <w:bCs/>
      <w:kern w:val="28"/>
      <w:sz w:val="32"/>
      <w:szCs w:val="32"/>
    </w:rPr>
  </w:style>
  <w:style w:type="paragraph" w:styleId="TOAHeading">
    <w:name w:val="toa heading"/>
    <w:basedOn w:val="Normal"/>
    <w:next w:val="Normal"/>
    <w:rsid w:val="007103B8"/>
    <w:pPr>
      <w:spacing w:before="120"/>
    </w:pPr>
    <w:rPr>
      <w:rFonts w:ascii="Arial" w:hAnsi="Arial" w:cs="Arial"/>
      <w:b/>
      <w:bCs/>
    </w:rPr>
  </w:style>
  <w:style w:type="paragraph" w:styleId="TOC4">
    <w:name w:val="toc 4"/>
    <w:basedOn w:val="Normal"/>
    <w:next w:val="Normal"/>
    <w:autoRedefine/>
    <w:rsid w:val="007103B8"/>
    <w:pPr>
      <w:ind w:left="720"/>
    </w:pPr>
  </w:style>
  <w:style w:type="paragraph" w:styleId="TOC5">
    <w:name w:val="toc 5"/>
    <w:basedOn w:val="Normal"/>
    <w:next w:val="Normal"/>
    <w:autoRedefine/>
    <w:rsid w:val="007103B8"/>
    <w:pPr>
      <w:ind w:left="960"/>
    </w:pPr>
  </w:style>
  <w:style w:type="paragraph" w:styleId="TOC6">
    <w:name w:val="toc 6"/>
    <w:basedOn w:val="Normal"/>
    <w:next w:val="Normal"/>
    <w:autoRedefine/>
    <w:rsid w:val="007103B8"/>
    <w:pPr>
      <w:ind w:left="1200"/>
    </w:pPr>
  </w:style>
  <w:style w:type="paragraph" w:styleId="TOC9">
    <w:name w:val="toc 9"/>
    <w:basedOn w:val="TOC1"/>
    <w:next w:val="Normal"/>
    <w:autoRedefine/>
    <w:rsid w:val="007103B8"/>
    <w:pPr>
      <w:ind w:left="1728"/>
    </w:pPr>
    <w:rPr>
      <w:u w:val="single"/>
    </w:rPr>
  </w:style>
  <w:style w:type="paragraph" w:customStyle="1" w:styleId="MemoHeadingLabel">
    <w:name w:val="Memo Heading Label"/>
    <w:basedOn w:val="MemoHeading"/>
    <w:qFormat/>
    <w:rsid w:val="007103B8"/>
    <w:rPr>
      <w:rFonts w:ascii="Arial" w:hAnsi="Arial"/>
      <w:b/>
    </w:rPr>
  </w:style>
  <w:style w:type="paragraph" w:customStyle="1" w:styleId="First-LevelSubheading">
    <w:name w:val="First-Level Subheading"/>
    <w:basedOn w:val="IssueSubsectionHeading"/>
    <w:next w:val="BodyText"/>
    <w:qFormat/>
    <w:rsid w:val="007103B8"/>
    <w:pPr>
      <w:spacing w:after="0"/>
    </w:pPr>
    <w:rPr>
      <w:i w:val="0"/>
    </w:rPr>
  </w:style>
  <w:style w:type="paragraph" w:customStyle="1" w:styleId="Second-LevelSubheading">
    <w:name w:val="Second-Level Subheading"/>
    <w:basedOn w:val="First-LevelSubheading"/>
    <w:next w:val="BodyText"/>
    <w:qFormat/>
    <w:rsid w:val="007103B8"/>
    <w:pPr>
      <w:ind w:left="720"/>
      <w:outlineLvl w:val="3"/>
    </w:pPr>
    <w:rPr>
      <w:i/>
    </w:rPr>
  </w:style>
  <w:style w:type="paragraph" w:customStyle="1" w:styleId="TableNumber">
    <w:name w:val="Table Number"/>
    <w:basedOn w:val="BodyText"/>
    <w:next w:val="BodyText"/>
    <w:qFormat/>
    <w:rsid w:val="007103B8"/>
    <w:pPr>
      <w:spacing w:before="480" w:after="0"/>
      <w:jc w:val="center"/>
    </w:pPr>
    <w:rPr>
      <w:rFonts w:ascii="Arial" w:hAnsi="Arial"/>
      <w:b/>
    </w:rPr>
  </w:style>
  <w:style w:type="paragraph" w:customStyle="1" w:styleId="TableTitle">
    <w:name w:val="Table Title"/>
    <w:basedOn w:val="BodyText"/>
    <w:next w:val="BodyText"/>
    <w:qFormat/>
    <w:rsid w:val="007103B8"/>
    <w:pPr>
      <w:spacing w:after="0"/>
      <w:jc w:val="center"/>
    </w:pPr>
    <w:rPr>
      <w:rFonts w:ascii="Arial" w:hAnsi="Arial"/>
      <w:b/>
    </w:rPr>
  </w:style>
  <w:style w:type="paragraph" w:customStyle="1" w:styleId="TableSource">
    <w:name w:val="Table Source"/>
    <w:basedOn w:val="BodyText"/>
    <w:next w:val="BodyText"/>
    <w:qFormat/>
    <w:rsid w:val="007103B8"/>
    <w:pPr>
      <w:spacing w:after="480"/>
      <w:jc w:val="both"/>
    </w:pPr>
  </w:style>
  <w:style w:type="paragraph" w:customStyle="1" w:styleId="PartyName">
    <w:name w:val="Party Name"/>
    <w:basedOn w:val="IssueSubsectionHeading"/>
    <w:next w:val="BodyText"/>
    <w:qFormat/>
    <w:rsid w:val="007103B8"/>
    <w:rPr>
      <w:i w:val="0"/>
    </w:rPr>
  </w:style>
  <w:style w:type="paragraph" w:customStyle="1" w:styleId="Third-LevelSubheading">
    <w:name w:val="Third-Level Subheading"/>
    <w:basedOn w:val="Second-LevelSubheading"/>
    <w:next w:val="BodyText"/>
    <w:qFormat/>
    <w:rsid w:val="007103B8"/>
    <w:pPr>
      <w:ind w:left="1440"/>
      <w:outlineLvl w:val="4"/>
    </w:pPr>
  </w:style>
  <w:style w:type="character" w:customStyle="1" w:styleId="FootnoteTextChar">
    <w:name w:val="Footnote Text Char"/>
    <w:link w:val="FootnoteText"/>
    <w:rsid w:val="007103B8"/>
  </w:style>
  <w:style w:type="paragraph" w:styleId="ListParagraph">
    <w:name w:val="List Paragraph"/>
    <w:basedOn w:val="Normal"/>
    <w:uiPriority w:val="34"/>
    <w:qFormat/>
    <w:rsid w:val="007103B8"/>
    <w:pPr>
      <w:ind w:left="720"/>
    </w:pPr>
  </w:style>
  <w:style w:type="character" w:styleId="CommentReference">
    <w:name w:val="annotation reference"/>
    <w:rsid w:val="007103B8"/>
    <w:rPr>
      <w:sz w:val="16"/>
      <w:szCs w:val="16"/>
    </w:rPr>
  </w:style>
  <w:style w:type="character" w:customStyle="1" w:styleId="text">
    <w:name w:val="text"/>
    <w:rsid w:val="007103B8"/>
  </w:style>
  <w:style w:type="character" w:styleId="EndnoteReference">
    <w:name w:val="endnote reference"/>
    <w:rsid w:val="007103B8"/>
    <w:rPr>
      <w:vertAlign w:val="superscript"/>
    </w:rPr>
  </w:style>
  <w:style w:type="paragraph" w:styleId="Revision">
    <w:name w:val="Revision"/>
    <w:hidden/>
    <w:uiPriority w:val="99"/>
    <w:semiHidden/>
    <w:rsid w:val="007103B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MemoAddresses">
    <w:name w:val="Memo Addresses"/>
    <w:basedOn w:val="Normal"/>
    <w:next w:val="Normal"/>
    <w:rsid w:val="007103B8"/>
    <w:pPr>
      <w:spacing w:before="120"/>
      <w:ind w:left="1008" w:hanging="1008"/>
      <w:jc w:val="both"/>
    </w:pPr>
  </w:style>
  <w:style w:type="paragraph" w:customStyle="1" w:styleId="MastHeadPSC">
    <w:name w:val="MastHead PSC"/>
    <w:basedOn w:val="Normal"/>
    <w:next w:val="Normal"/>
    <w:rsid w:val="007103B8"/>
    <w:pPr>
      <w:jc w:val="center"/>
    </w:pPr>
    <w:rPr>
      <w:b/>
      <w:sz w:val="48"/>
      <w:szCs w:val="48"/>
    </w:rPr>
  </w:style>
  <w:style w:type="paragraph" w:customStyle="1" w:styleId="MastHeadMemorandum">
    <w:name w:val="MastHead Memorandum"/>
    <w:basedOn w:val="Normal"/>
    <w:next w:val="Normal"/>
    <w:rsid w:val="007103B8"/>
    <w:pPr>
      <w:jc w:val="center"/>
    </w:pPr>
    <w:rPr>
      <w:b/>
      <w:sz w:val="28"/>
      <w:szCs w:val="28"/>
    </w:rPr>
  </w:style>
  <w:style w:type="paragraph" w:customStyle="1" w:styleId="MastHeadAddress">
    <w:name w:val="MastHead Address"/>
    <w:basedOn w:val="Normal"/>
    <w:next w:val="Normal"/>
    <w:rsid w:val="007103B8"/>
    <w:pPr>
      <w:spacing w:after="200"/>
      <w:jc w:val="center"/>
    </w:pPr>
    <w:rPr>
      <w:b/>
      <w:smallCaps/>
      <w:sz w:val="20"/>
      <w:szCs w:val="20"/>
    </w:rPr>
  </w:style>
  <w:style w:type="paragraph" w:customStyle="1" w:styleId="MastHeadState">
    <w:name w:val="MastHead State"/>
    <w:basedOn w:val="Normal"/>
    <w:next w:val="Normal"/>
    <w:rsid w:val="007103B8"/>
    <w:pPr>
      <w:jc w:val="center"/>
    </w:pPr>
    <w:rPr>
      <w:b/>
      <w:sz w:val="28"/>
      <w:szCs w:val="28"/>
    </w:rPr>
  </w:style>
  <w:style w:type="paragraph" w:customStyle="1" w:styleId="MemoHeading">
    <w:name w:val="Memo Heading"/>
    <w:basedOn w:val="Normal"/>
    <w:next w:val="Normal"/>
    <w:rsid w:val="007103B8"/>
    <w:pPr>
      <w:jc w:val="both"/>
    </w:pPr>
  </w:style>
  <w:style w:type="paragraph" w:customStyle="1" w:styleId="BlockText5">
    <w:name w:val="Block Text .5&quot;"/>
    <w:basedOn w:val="Normal"/>
    <w:rsid w:val="007103B8"/>
    <w:pPr>
      <w:spacing w:after="120"/>
      <w:ind w:left="720" w:right="720"/>
    </w:pPr>
  </w:style>
  <w:style w:type="paragraph" w:customStyle="1" w:styleId="BlockText1">
    <w:name w:val="Block Text 1&quot;"/>
    <w:basedOn w:val="Normal"/>
    <w:rsid w:val="007103B8"/>
    <w:pPr>
      <w:spacing w:after="120"/>
      <w:ind w:left="1440" w:right="1440"/>
    </w:pPr>
  </w:style>
  <w:style w:type="paragraph" w:customStyle="1" w:styleId="BlockText15">
    <w:name w:val="Block Text 1.5&quot;"/>
    <w:basedOn w:val="Normal"/>
    <w:rsid w:val="007103B8"/>
    <w:pPr>
      <w:spacing w:after="120"/>
      <w:ind w:left="2160" w:right="2160"/>
    </w:pPr>
  </w:style>
  <w:style w:type="paragraph" w:customStyle="1" w:styleId="IssueHeading">
    <w:name w:val="Issue Heading"/>
    <w:basedOn w:val="Heading1"/>
    <w:next w:val="BodyText"/>
    <w:link w:val="IssueHeadingChar"/>
    <w:qFormat/>
    <w:rsid w:val="007103B8"/>
    <w:pPr>
      <w:keepNext w:val="0"/>
    </w:pPr>
    <w:rPr>
      <w:rFonts w:ascii="Arial" w:hAnsi="Arial"/>
      <w:b/>
      <w:i/>
    </w:rPr>
  </w:style>
  <w:style w:type="character" w:customStyle="1" w:styleId="IssueHeadingChar">
    <w:name w:val="Issue Heading Char"/>
    <w:link w:val="IssueHeading"/>
    <w:rsid w:val="007103B8"/>
    <w:rPr>
      <w:rFonts w:ascii="Arial" w:hAnsi="Arial" w:cs="Arial"/>
      <w:b/>
      <w:bCs/>
      <w:i/>
      <w:kern w:val="32"/>
      <w:sz w:val="24"/>
      <w:szCs w:val="32"/>
    </w:rPr>
  </w:style>
  <w:style w:type="paragraph" w:customStyle="1" w:styleId="MemoHeadingRe">
    <w:name w:val="Memo Heading Re"/>
    <w:basedOn w:val="MemoHeading"/>
    <w:rsid w:val="007103B8"/>
    <w:pPr>
      <w:tabs>
        <w:tab w:val="left" w:pos="2520"/>
        <w:tab w:val="left" w:pos="2736"/>
      </w:tabs>
    </w:pPr>
  </w:style>
  <w:style w:type="paragraph" w:styleId="TOC1">
    <w:name w:val="toc 1"/>
    <w:basedOn w:val="Normal"/>
    <w:next w:val="Normal"/>
    <w:uiPriority w:val="39"/>
    <w:rsid w:val="007103B8"/>
    <w:pPr>
      <w:tabs>
        <w:tab w:val="right" w:leader="dot" w:pos="9360"/>
      </w:tabs>
      <w:ind w:left="432" w:right="360" w:hanging="432"/>
    </w:pPr>
  </w:style>
  <w:style w:type="character" w:styleId="Hyperlink">
    <w:name w:val="Hyperlink"/>
    <w:uiPriority w:val="99"/>
    <w:rsid w:val="007103B8"/>
    <w:rPr>
      <w:color w:val="0000FF"/>
      <w:u w:val="single"/>
    </w:rPr>
  </w:style>
  <w:style w:type="paragraph" w:customStyle="1" w:styleId="RecommendationMajorSectionHeading">
    <w:name w:val="Recommendation Major Section Heading"/>
    <w:basedOn w:val="Heading1"/>
    <w:next w:val="BodyText"/>
    <w:rsid w:val="007103B8"/>
    <w:pPr>
      <w:jc w:val="center"/>
    </w:pPr>
    <w:rPr>
      <w:rFonts w:ascii="Arial" w:hAnsi="Arial"/>
      <w:b/>
    </w:rPr>
  </w:style>
  <w:style w:type="paragraph" w:customStyle="1" w:styleId="IssueSubsectionHeading">
    <w:name w:val="Issue Subsection Heading"/>
    <w:basedOn w:val="Heading2"/>
    <w:next w:val="BodyText"/>
    <w:link w:val="IssueSubsectionHeadingChar"/>
    <w:qFormat/>
    <w:rsid w:val="007103B8"/>
    <w:pPr>
      <w:keepNext w:val="0"/>
    </w:pPr>
    <w:rPr>
      <w:rFonts w:ascii="Arial" w:hAnsi="Arial"/>
      <w:b/>
      <w:i/>
    </w:rPr>
  </w:style>
  <w:style w:type="character" w:customStyle="1" w:styleId="IssueSubsectionHeadingChar">
    <w:name w:val="Issue Subsection Heading Char"/>
    <w:link w:val="IssueSubsectionHeading"/>
    <w:rsid w:val="007103B8"/>
    <w:rPr>
      <w:rFonts w:ascii="Arial" w:hAnsi="Arial" w:cs="Arial"/>
      <w:b/>
      <w:bCs/>
      <w:i/>
      <w:iCs/>
      <w:sz w:val="24"/>
      <w:szCs w:val="28"/>
    </w:rPr>
  </w:style>
  <w:style w:type="paragraph" w:customStyle="1" w:styleId="RecommendationHeading">
    <w:name w:val="Recommendation Heading"/>
    <w:basedOn w:val="Heading1"/>
    <w:next w:val="BodyText"/>
    <w:rsid w:val="007103B8"/>
    <w:pPr>
      <w:keepNext w:val="0"/>
      <w:jc w:val="center"/>
    </w:pPr>
    <w:rPr>
      <w:b/>
      <w:u w:val="single"/>
    </w:rPr>
  </w:style>
  <w:style w:type="paragraph" w:customStyle="1" w:styleId="DiscussionofIssues">
    <w:name w:val="Discussion of Issues"/>
    <w:basedOn w:val="RecommendationMajorSectionHeading"/>
    <w:next w:val="BodyText"/>
    <w:rsid w:val="007103B8"/>
    <w:pPr>
      <w:spacing w:after="0"/>
    </w:pPr>
  </w:style>
  <w:style w:type="paragraph" w:customStyle="1" w:styleId="TOCColumnHeadings">
    <w:name w:val="TOC Column Headings"/>
    <w:basedOn w:val="Normal"/>
    <w:rsid w:val="007103B8"/>
    <w:pPr>
      <w:tabs>
        <w:tab w:val="left" w:pos="864"/>
        <w:tab w:val="right" w:pos="9360"/>
      </w:tabs>
    </w:pPr>
    <w:rPr>
      <w:u w:val="words"/>
    </w:rPr>
  </w:style>
  <w:style w:type="table" w:customStyle="1" w:styleId="TableMasthead">
    <w:name w:val="Table Masthead"/>
    <w:basedOn w:val="TableGrid"/>
    <w:rsid w:val="007103B8"/>
    <w:tblPr/>
  </w:style>
  <w:style w:type="paragraph" w:customStyle="1" w:styleId="StyleHeading1BoldUnderline">
    <w:name w:val="Style Heading 1 + Bold Underline"/>
    <w:basedOn w:val="Heading1"/>
    <w:link w:val="StyleHeading1BoldUnderlineChar"/>
    <w:rsid w:val="007103B8"/>
    <w:pPr>
      <w:keepNext w:val="0"/>
      <w:spacing w:before="240"/>
    </w:pPr>
    <w:rPr>
      <w:b/>
      <w:u w:val="single"/>
    </w:rPr>
  </w:style>
  <w:style w:type="character" w:customStyle="1" w:styleId="StyleHeading1BoldUnderlineChar">
    <w:name w:val="Style Heading 1 + Bold Underline Char"/>
    <w:link w:val="StyleHeading1BoldUnderline"/>
    <w:rsid w:val="007103B8"/>
    <w:rPr>
      <w:rFonts w:cs="Arial"/>
      <w:b/>
      <w:bCs/>
      <w:kern w:val="32"/>
      <w:sz w:val="24"/>
      <w:szCs w:val="32"/>
      <w:u w:val="single"/>
    </w:rPr>
  </w:style>
  <w:style w:type="paragraph" w:customStyle="1" w:styleId="RecommendationIssueGroupingSection">
    <w:name w:val="Recommendation Issue Grouping Section"/>
    <w:basedOn w:val="RecommendationMajorSectionHeading"/>
    <w:next w:val="IssueHeading"/>
    <w:rsid w:val="007103B8"/>
    <w:pPr>
      <w:jc w:val="left"/>
    </w:pPr>
  </w:style>
  <w:style w:type="paragraph" w:styleId="TOC3">
    <w:name w:val="toc 3"/>
    <w:basedOn w:val="TOC2"/>
    <w:next w:val="Normal"/>
    <w:rsid w:val="007103B8"/>
    <w:pPr>
      <w:tabs>
        <w:tab w:val="clear" w:pos="1152"/>
        <w:tab w:val="left" w:pos="1584"/>
      </w:tabs>
      <w:ind w:left="1584" w:hanging="432"/>
    </w:pPr>
  </w:style>
  <w:style w:type="paragraph" w:styleId="TOC2">
    <w:name w:val="toc 2"/>
    <w:basedOn w:val="TOC1"/>
    <w:next w:val="Normal"/>
    <w:uiPriority w:val="39"/>
    <w:rsid w:val="007103B8"/>
    <w:pPr>
      <w:tabs>
        <w:tab w:val="left" w:pos="1152"/>
      </w:tabs>
      <w:ind w:left="1152" w:hanging="288"/>
    </w:pPr>
  </w:style>
  <w:style w:type="paragraph" w:styleId="DocumentMap">
    <w:name w:val="Document Map"/>
    <w:basedOn w:val="Normal"/>
    <w:link w:val="DocumentMapChar"/>
    <w:rsid w:val="007103B8"/>
    <w:pPr>
      <w:shd w:val="clear" w:color="auto" w:fill="000080"/>
    </w:pPr>
    <w:rPr>
      <w:rFonts w:ascii="Tahoma" w:hAnsi="Tahoma" w:cs="Tahoma"/>
    </w:rPr>
  </w:style>
  <w:style w:type="character" w:customStyle="1" w:styleId="DocumentMapChar">
    <w:name w:val="Document Map Char"/>
    <w:basedOn w:val="DefaultParagraphFont"/>
    <w:link w:val="DocumentMap"/>
    <w:rsid w:val="007103B8"/>
    <w:rPr>
      <w:rFonts w:ascii="Tahoma" w:hAnsi="Tahoma" w:cs="Tahoma"/>
      <w:sz w:val="24"/>
      <w:szCs w:val="24"/>
      <w:shd w:val="clear" w:color="auto" w:fill="000080"/>
    </w:rPr>
  </w:style>
  <w:style w:type="paragraph" w:styleId="BalloonText">
    <w:name w:val="Balloon Text"/>
    <w:basedOn w:val="Normal"/>
    <w:link w:val="BalloonTextChar"/>
    <w:rsid w:val="007103B8"/>
    <w:rPr>
      <w:rFonts w:ascii="Tahoma" w:hAnsi="Tahoma" w:cs="Tahoma"/>
      <w:sz w:val="16"/>
      <w:szCs w:val="16"/>
    </w:rPr>
  </w:style>
  <w:style w:type="character" w:customStyle="1" w:styleId="BalloonTextChar">
    <w:name w:val="Balloon Text Char"/>
    <w:basedOn w:val="DefaultParagraphFont"/>
    <w:link w:val="BalloonText"/>
    <w:rsid w:val="007103B8"/>
    <w:rPr>
      <w:rFonts w:ascii="Tahoma" w:hAnsi="Tahoma" w:cs="Tahoma"/>
      <w:sz w:val="16"/>
      <w:szCs w:val="16"/>
    </w:rPr>
  </w:style>
  <w:style w:type="paragraph" w:styleId="BlockText">
    <w:name w:val="Block Text"/>
    <w:basedOn w:val="Normal"/>
    <w:rsid w:val="007103B8"/>
    <w:pPr>
      <w:spacing w:after="120"/>
      <w:ind w:left="1440" w:right="1440"/>
    </w:pPr>
  </w:style>
  <w:style w:type="paragraph" w:styleId="BodyText2">
    <w:name w:val="Body Text 2"/>
    <w:basedOn w:val="Normal"/>
    <w:link w:val="BodyText2Char"/>
    <w:rsid w:val="007103B8"/>
    <w:pPr>
      <w:spacing w:after="120" w:line="480" w:lineRule="auto"/>
    </w:pPr>
  </w:style>
  <w:style w:type="character" w:customStyle="1" w:styleId="BodyText2Char">
    <w:name w:val="Body Text 2 Char"/>
    <w:basedOn w:val="DefaultParagraphFont"/>
    <w:link w:val="BodyText2"/>
    <w:rsid w:val="007103B8"/>
    <w:rPr>
      <w:sz w:val="24"/>
      <w:szCs w:val="24"/>
    </w:rPr>
  </w:style>
  <w:style w:type="paragraph" w:styleId="BodyText3">
    <w:name w:val="Body Text 3"/>
    <w:basedOn w:val="Normal"/>
    <w:link w:val="BodyText3Char"/>
    <w:rsid w:val="007103B8"/>
    <w:pPr>
      <w:spacing w:after="120"/>
    </w:pPr>
    <w:rPr>
      <w:sz w:val="16"/>
      <w:szCs w:val="16"/>
    </w:rPr>
  </w:style>
  <w:style w:type="character" w:customStyle="1" w:styleId="BodyText3Char">
    <w:name w:val="Body Text 3 Char"/>
    <w:basedOn w:val="DefaultParagraphFont"/>
    <w:link w:val="BodyText3"/>
    <w:rsid w:val="007103B8"/>
    <w:rPr>
      <w:sz w:val="16"/>
      <w:szCs w:val="16"/>
    </w:rPr>
  </w:style>
  <w:style w:type="paragraph" w:styleId="BodyTextFirstIndent">
    <w:name w:val="Body Text First Indent"/>
    <w:basedOn w:val="BodyText"/>
    <w:link w:val="BodyTextFirstIndentChar"/>
    <w:rsid w:val="007103B8"/>
    <w:pPr>
      <w:ind w:firstLine="210"/>
    </w:pPr>
  </w:style>
  <w:style w:type="character" w:customStyle="1" w:styleId="BodyTextFirstIndentChar">
    <w:name w:val="Body Text First Indent Char"/>
    <w:basedOn w:val="BodyTextChar"/>
    <w:link w:val="BodyTextFirstIndent"/>
    <w:rsid w:val="007103B8"/>
    <w:rPr>
      <w:sz w:val="24"/>
      <w:szCs w:val="24"/>
    </w:rPr>
  </w:style>
  <w:style w:type="paragraph" w:styleId="BodyTextIndent">
    <w:name w:val="Body Text Indent"/>
    <w:basedOn w:val="Normal"/>
    <w:link w:val="BodyTextIndentChar"/>
    <w:rsid w:val="007103B8"/>
    <w:pPr>
      <w:spacing w:after="120"/>
      <w:ind w:left="360"/>
    </w:pPr>
  </w:style>
  <w:style w:type="character" w:customStyle="1" w:styleId="BodyTextIndentChar">
    <w:name w:val="Body Text Indent Char"/>
    <w:basedOn w:val="DefaultParagraphFont"/>
    <w:link w:val="BodyTextIndent"/>
    <w:rsid w:val="007103B8"/>
    <w:rPr>
      <w:sz w:val="24"/>
      <w:szCs w:val="24"/>
    </w:rPr>
  </w:style>
  <w:style w:type="paragraph" w:styleId="BodyTextFirstIndent2">
    <w:name w:val="Body Text First Indent 2"/>
    <w:basedOn w:val="BodyTextIndent"/>
    <w:link w:val="BodyTextFirstIndent2Char"/>
    <w:rsid w:val="007103B8"/>
    <w:pPr>
      <w:ind w:firstLine="210"/>
    </w:pPr>
  </w:style>
  <w:style w:type="character" w:customStyle="1" w:styleId="BodyTextFirstIndent2Char">
    <w:name w:val="Body Text First Indent 2 Char"/>
    <w:basedOn w:val="BodyTextIndentChar"/>
    <w:link w:val="BodyTextFirstIndent2"/>
    <w:rsid w:val="007103B8"/>
    <w:rPr>
      <w:sz w:val="24"/>
      <w:szCs w:val="24"/>
    </w:rPr>
  </w:style>
  <w:style w:type="paragraph" w:styleId="BodyTextIndent2">
    <w:name w:val="Body Text Indent 2"/>
    <w:basedOn w:val="Normal"/>
    <w:link w:val="BodyTextIndent2Char"/>
    <w:rsid w:val="007103B8"/>
    <w:pPr>
      <w:spacing w:after="120" w:line="480" w:lineRule="auto"/>
      <w:ind w:left="360"/>
    </w:pPr>
  </w:style>
  <w:style w:type="character" w:customStyle="1" w:styleId="BodyTextIndent2Char">
    <w:name w:val="Body Text Indent 2 Char"/>
    <w:basedOn w:val="DefaultParagraphFont"/>
    <w:link w:val="BodyTextIndent2"/>
    <w:rsid w:val="007103B8"/>
    <w:rPr>
      <w:sz w:val="24"/>
      <w:szCs w:val="24"/>
    </w:rPr>
  </w:style>
  <w:style w:type="paragraph" w:styleId="BodyTextIndent3">
    <w:name w:val="Body Text Indent 3"/>
    <w:basedOn w:val="Normal"/>
    <w:link w:val="BodyTextIndent3Char"/>
    <w:rsid w:val="007103B8"/>
    <w:pPr>
      <w:spacing w:after="120"/>
      <w:ind w:left="360"/>
    </w:pPr>
    <w:rPr>
      <w:sz w:val="16"/>
      <w:szCs w:val="16"/>
    </w:rPr>
  </w:style>
  <w:style w:type="character" w:customStyle="1" w:styleId="BodyTextIndent3Char">
    <w:name w:val="Body Text Indent 3 Char"/>
    <w:basedOn w:val="DefaultParagraphFont"/>
    <w:link w:val="BodyTextIndent3"/>
    <w:rsid w:val="007103B8"/>
    <w:rPr>
      <w:sz w:val="16"/>
      <w:szCs w:val="16"/>
    </w:rPr>
  </w:style>
  <w:style w:type="paragraph" w:styleId="Caption">
    <w:name w:val="caption"/>
    <w:basedOn w:val="Normal"/>
    <w:next w:val="Normal"/>
    <w:qFormat/>
    <w:rsid w:val="007103B8"/>
    <w:pPr>
      <w:spacing w:before="120" w:after="120"/>
    </w:pPr>
    <w:rPr>
      <w:b/>
      <w:bCs/>
      <w:sz w:val="20"/>
      <w:szCs w:val="20"/>
    </w:rPr>
  </w:style>
  <w:style w:type="paragraph" w:styleId="Closing">
    <w:name w:val="Closing"/>
    <w:basedOn w:val="Normal"/>
    <w:link w:val="ClosingChar"/>
    <w:rsid w:val="007103B8"/>
    <w:pPr>
      <w:ind w:left="4320"/>
    </w:pPr>
  </w:style>
  <w:style w:type="character" w:customStyle="1" w:styleId="ClosingChar">
    <w:name w:val="Closing Char"/>
    <w:basedOn w:val="DefaultParagraphFont"/>
    <w:link w:val="Closing"/>
    <w:rsid w:val="007103B8"/>
    <w:rPr>
      <w:sz w:val="24"/>
      <w:szCs w:val="24"/>
    </w:rPr>
  </w:style>
  <w:style w:type="paragraph" w:styleId="CommentText">
    <w:name w:val="annotation text"/>
    <w:basedOn w:val="Normal"/>
    <w:link w:val="CommentTextChar"/>
    <w:rsid w:val="007103B8"/>
    <w:rPr>
      <w:sz w:val="20"/>
      <w:szCs w:val="20"/>
    </w:rPr>
  </w:style>
  <w:style w:type="character" w:customStyle="1" w:styleId="CommentTextChar">
    <w:name w:val="Comment Text Char"/>
    <w:basedOn w:val="DefaultParagraphFont"/>
    <w:link w:val="CommentText"/>
    <w:rsid w:val="007103B8"/>
  </w:style>
  <w:style w:type="paragraph" w:styleId="CommentSubject">
    <w:name w:val="annotation subject"/>
    <w:basedOn w:val="CommentText"/>
    <w:next w:val="CommentText"/>
    <w:link w:val="CommentSubjectChar"/>
    <w:rsid w:val="007103B8"/>
    <w:rPr>
      <w:b/>
      <w:bCs/>
    </w:rPr>
  </w:style>
  <w:style w:type="character" w:customStyle="1" w:styleId="CommentSubjectChar">
    <w:name w:val="Comment Subject Char"/>
    <w:basedOn w:val="CommentTextChar"/>
    <w:link w:val="CommentSubject"/>
    <w:rsid w:val="007103B8"/>
    <w:rPr>
      <w:b/>
      <w:bCs/>
    </w:rPr>
  </w:style>
  <w:style w:type="paragraph" w:styleId="Date">
    <w:name w:val="Date"/>
    <w:basedOn w:val="Normal"/>
    <w:next w:val="Normal"/>
    <w:link w:val="DateChar"/>
    <w:rsid w:val="007103B8"/>
  </w:style>
  <w:style w:type="character" w:customStyle="1" w:styleId="DateChar">
    <w:name w:val="Date Char"/>
    <w:basedOn w:val="DefaultParagraphFont"/>
    <w:link w:val="Date"/>
    <w:rsid w:val="007103B8"/>
    <w:rPr>
      <w:sz w:val="24"/>
      <w:szCs w:val="24"/>
    </w:rPr>
  </w:style>
  <w:style w:type="paragraph" w:styleId="E-mailSignature">
    <w:name w:val="E-mail Signature"/>
    <w:basedOn w:val="Normal"/>
    <w:link w:val="E-mailSignatureChar"/>
    <w:rsid w:val="007103B8"/>
  </w:style>
  <w:style w:type="character" w:customStyle="1" w:styleId="E-mailSignatureChar">
    <w:name w:val="E-mail Signature Char"/>
    <w:basedOn w:val="DefaultParagraphFont"/>
    <w:link w:val="E-mailSignature"/>
    <w:rsid w:val="007103B8"/>
    <w:rPr>
      <w:sz w:val="24"/>
      <w:szCs w:val="24"/>
    </w:rPr>
  </w:style>
  <w:style w:type="paragraph" w:styleId="EndnoteText">
    <w:name w:val="endnote text"/>
    <w:basedOn w:val="Normal"/>
    <w:link w:val="EndnoteTextChar"/>
    <w:rsid w:val="007103B8"/>
    <w:rPr>
      <w:sz w:val="20"/>
      <w:szCs w:val="20"/>
    </w:rPr>
  </w:style>
  <w:style w:type="character" w:customStyle="1" w:styleId="EndnoteTextChar">
    <w:name w:val="Endnote Text Char"/>
    <w:basedOn w:val="DefaultParagraphFont"/>
    <w:link w:val="EndnoteText"/>
    <w:rsid w:val="007103B8"/>
  </w:style>
  <w:style w:type="paragraph" w:styleId="EnvelopeAddress">
    <w:name w:val="envelope address"/>
    <w:basedOn w:val="Normal"/>
    <w:rsid w:val="007103B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103B8"/>
    <w:rPr>
      <w:rFonts w:ascii="Arial" w:hAnsi="Arial" w:cs="Arial"/>
      <w:sz w:val="20"/>
      <w:szCs w:val="20"/>
    </w:rPr>
  </w:style>
  <w:style w:type="paragraph" w:styleId="HTMLAddress">
    <w:name w:val="HTML Address"/>
    <w:basedOn w:val="Normal"/>
    <w:link w:val="HTMLAddressChar"/>
    <w:rsid w:val="007103B8"/>
    <w:rPr>
      <w:i/>
      <w:iCs/>
    </w:rPr>
  </w:style>
  <w:style w:type="character" w:customStyle="1" w:styleId="HTMLAddressChar">
    <w:name w:val="HTML Address Char"/>
    <w:basedOn w:val="DefaultParagraphFont"/>
    <w:link w:val="HTMLAddress"/>
    <w:rsid w:val="007103B8"/>
    <w:rPr>
      <w:i/>
      <w:iCs/>
      <w:sz w:val="24"/>
      <w:szCs w:val="24"/>
    </w:rPr>
  </w:style>
  <w:style w:type="paragraph" w:styleId="HTMLPreformatted">
    <w:name w:val="HTML Preformatted"/>
    <w:basedOn w:val="Normal"/>
    <w:link w:val="HTMLPreformattedChar"/>
    <w:rsid w:val="007103B8"/>
    <w:rPr>
      <w:rFonts w:ascii="Courier New" w:hAnsi="Courier New" w:cs="Courier New"/>
      <w:sz w:val="20"/>
      <w:szCs w:val="20"/>
    </w:rPr>
  </w:style>
  <w:style w:type="character" w:customStyle="1" w:styleId="HTMLPreformattedChar">
    <w:name w:val="HTML Preformatted Char"/>
    <w:basedOn w:val="DefaultParagraphFont"/>
    <w:link w:val="HTMLPreformatted"/>
    <w:rsid w:val="007103B8"/>
    <w:rPr>
      <w:rFonts w:ascii="Courier New" w:hAnsi="Courier New" w:cs="Courier New"/>
    </w:rPr>
  </w:style>
  <w:style w:type="paragraph" w:styleId="Index1">
    <w:name w:val="index 1"/>
    <w:basedOn w:val="Normal"/>
    <w:next w:val="Normal"/>
    <w:autoRedefine/>
    <w:rsid w:val="007103B8"/>
    <w:pPr>
      <w:ind w:left="240" w:hanging="240"/>
    </w:pPr>
  </w:style>
  <w:style w:type="paragraph" w:styleId="Index2">
    <w:name w:val="index 2"/>
    <w:basedOn w:val="Normal"/>
    <w:next w:val="Normal"/>
    <w:autoRedefine/>
    <w:rsid w:val="007103B8"/>
    <w:pPr>
      <w:ind w:left="480" w:hanging="240"/>
    </w:pPr>
  </w:style>
  <w:style w:type="paragraph" w:styleId="Index3">
    <w:name w:val="index 3"/>
    <w:basedOn w:val="Normal"/>
    <w:next w:val="Normal"/>
    <w:autoRedefine/>
    <w:rsid w:val="007103B8"/>
    <w:pPr>
      <w:ind w:left="720" w:hanging="240"/>
    </w:pPr>
  </w:style>
  <w:style w:type="paragraph" w:styleId="Index4">
    <w:name w:val="index 4"/>
    <w:basedOn w:val="Normal"/>
    <w:next w:val="Normal"/>
    <w:autoRedefine/>
    <w:rsid w:val="007103B8"/>
    <w:pPr>
      <w:ind w:left="960" w:hanging="240"/>
    </w:pPr>
  </w:style>
  <w:style w:type="paragraph" w:styleId="Index5">
    <w:name w:val="index 5"/>
    <w:basedOn w:val="Normal"/>
    <w:next w:val="Normal"/>
    <w:autoRedefine/>
    <w:rsid w:val="007103B8"/>
    <w:pPr>
      <w:ind w:left="1200" w:hanging="240"/>
    </w:pPr>
  </w:style>
  <w:style w:type="paragraph" w:styleId="Index6">
    <w:name w:val="index 6"/>
    <w:basedOn w:val="Normal"/>
    <w:next w:val="Normal"/>
    <w:autoRedefine/>
    <w:rsid w:val="007103B8"/>
    <w:pPr>
      <w:ind w:left="1440" w:hanging="240"/>
    </w:pPr>
  </w:style>
  <w:style w:type="paragraph" w:styleId="Index7">
    <w:name w:val="index 7"/>
    <w:basedOn w:val="Normal"/>
    <w:next w:val="Normal"/>
    <w:autoRedefine/>
    <w:rsid w:val="007103B8"/>
    <w:pPr>
      <w:ind w:left="1680" w:hanging="240"/>
    </w:pPr>
  </w:style>
  <w:style w:type="paragraph" w:styleId="Index8">
    <w:name w:val="index 8"/>
    <w:basedOn w:val="Normal"/>
    <w:next w:val="Normal"/>
    <w:autoRedefine/>
    <w:rsid w:val="007103B8"/>
    <w:pPr>
      <w:ind w:left="1920" w:hanging="240"/>
    </w:pPr>
  </w:style>
  <w:style w:type="paragraph" w:styleId="Index9">
    <w:name w:val="index 9"/>
    <w:basedOn w:val="Normal"/>
    <w:next w:val="Normal"/>
    <w:autoRedefine/>
    <w:rsid w:val="007103B8"/>
    <w:pPr>
      <w:ind w:left="2160" w:hanging="240"/>
    </w:pPr>
  </w:style>
  <w:style w:type="paragraph" w:styleId="IndexHeading">
    <w:name w:val="index heading"/>
    <w:basedOn w:val="Normal"/>
    <w:next w:val="Index1"/>
    <w:rsid w:val="007103B8"/>
    <w:rPr>
      <w:rFonts w:ascii="Arial" w:hAnsi="Arial" w:cs="Arial"/>
      <w:b/>
      <w:bCs/>
    </w:rPr>
  </w:style>
  <w:style w:type="paragraph" w:styleId="List">
    <w:name w:val="List"/>
    <w:basedOn w:val="Normal"/>
    <w:rsid w:val="007103B8"/>
    <w:pPr>
      <w:ind w:left="360" w:hanging="360"/>
    </w:pPr>
  </w:style>
  <w:style w:type="paragraph" w:styleId="List2">
    <w:name w:val="List 2"/>
    <w:basedOn w:val="Normal"/>
    <w:rsid w:val="007103B8"/>
    <w:pPr>
      <w:ind w:left="720" w:hanging="360"/>
    </w:pPr>
  </w:style>
  <w:style w:type="paragraph" w:styleId="List3">
    <w:name w:val="List 3"/>
    <w:basedOn w:val="Normal"/>
    <w:rsid w:val="007103B8"/>
    <w:pPr>
      <w:ind w:left="1080" w:hanging="360"/>
    </w:pPr>
  </w:style>
  <w:style w:type="paragraph" w:styleId="List4">
    <w:name w:val="List 4"/>
    <w:basedOn w:val="Normal"/>
    <w:rsid w:val="007103B8"/>
    <w:pPr>
      <w:ind w:left="1440" w:hanging="360"/>
    </w:pPr>
  </w:style>
  <w:style w:type="paragraph" w:styleId="List5">
    <w:name w:val="List 5"/>
    <w:basedOn w:val="Normal"/>
    <w:rsid w:val="007103B8"/>
    <w:pPr>
      <w:ind w:left="1800" w:hanging="360"/>
    </w:pPr>
  </w:style>
  <w:style w:type="paragraph" w:styleId="ListBullet">
    <w:name w:val="List Bullet"/>
    <w:basedOn w:val="Normal"/>
    <w:autoRedefine/>
    <w:rsid w:val="007103B8"/>
    <w:pPr>
      <w:tabs>
        <w:tab w:val="num" w:pos="360"/>
      </w:tabs>
      <w:ind w:left="360" w:hanging="360"/>
    </w:pPr>
  </w:style>
  <w:style w:type="paragraph" w:styleId="ListBullet2">
    <w:name w:val="List Bullet 2"/>
    <w:basedOn w:val="Normal"/>
    <w:autoRedefine/>
    <w:rsid w:val="007103B8"/>
    <w:pPr>
      <w:tabs>
        <w:tab w:val="num" w:pos="720"/>
      </w:tabs>
      <w:ind w:left="720" w:hanging="360"/>
    </w:pPr>
  </w:style>
  <w:style w:type="paragraph" w:styleId="ListBullet3">
    <w:name w:val="List Bullet 3"/>
    <w:basedOn w:val="Normal"/>
    <w:autoRedefine/>
    <w:rsid w:val="007103B8"/>
    <w:pPr>
      <w:tabs>
        <w:tab w:val="num" w:pos="1080"/>
      </w:tabs>
      <w:ind w:left="1080" w:hanging="360"/>
    </w:pPr>
  </w:style>
  <w:style w:type="paragraph" w:styleId="ListBullet4">
    <w:name w:val="List Bullet 4"/>
    <w:basedOn w:val="Normal"/>
    <w:autoRedefine/>
    <w:rsid w:val="007103B8"/>
    <w:pPr>
      <w:tabs>
        <w:tab w:val="num" w:pos="1440"/>
      </w:tabs>
      <w:ind w:left="1440" w:hanging="360"/>
    </w:pPr>
  </w:style>
  <w:style w:type="paragraph" w:styleId="ListBullet5">
    <w:name w:val="List Bullet 5"/>
    <w:basedOn w:val="Normal"/>
    <w:autoRedefine/>
    <w:rsid w:val="007103B8"/>
    <w:pPr>
      <w:tabs>
        <w:tab w:val="num" w:pos="1800"/>
      </w:tabs>
      <w:ind w:left="1800" w:hanging="360"/>
    </w:pPr>
  </w:style>
  <w:style w:type="paragraph" w:styleId="ListContinue">
    <w:name w:val="List Continue"/>
    <w:basedOn w:val="Normal"/>
    <w:rsid w:val="007103B8"/>
    <w:pPr>
      <w:spacing w:after="120"/>
      <w:ind w:left="360"/>
    </w:pPr>
  </w:style>
  <w:style w:type="paragraph" w:styleId="ListContinue2">
    <w:name w:val="List Continue 2"/>
    <w:basedOn w:val="Normal"/>
    <w:rsid w:val="007103B8"/>
    <w:pPr>
      <w:spacing w:after="120"/>
      <w:ind w:left="720"/>
    </w:pPr>
  </w:style>
  <w:style w:type="paragraph" w:styleId="ListContinue3">
    <w:name w:val="List Continue 3"/>
    <w:basedOn w:val="Normal"/>
    <w:rsid w:val="007103B8"/>
    <w:pPr>
      <w:spacing w:after="120"/>
      <w:ind w:left="1080"/>
    </w:pPr>
  </w:style>
  <w:style w:type="paragraph" w:styleId="ListContinue4">
    <w:name w:val="List Continue 4"/>
    <w:basedOn w:val="Normal"/>
    <w:rsid w:val="007103B8"/>
    <w:pPr>
      <w:spacing w:after="120"/>
      <w:ind w:left="1440"/>
    </w:pPr>
  </w:style>
  <w:style w:type="paragraph" w:styleId="ListContinue5">
    <w:name w:val="List Continue 5"/>
    <w:basedOn w:val="Normal"/>
    <w:rsid w:val="007103B8"/>
    <w:pPr>
      <w:spacing w:after="120"/>
      <w:ind w:left="1800"/>
    </w:pPr>
  </w:style>
  <w:style w:type="paragraph" w:styleId="ListNumber">
    <w:name w:val="List Number"/>
    <w:basedOn w:val="Normal"/>
    <w:rsid w:val="007103B8"/>
    <w:pPr>
      <w:tabs>
        <w:tab w:val="num" w:pos="360"/>
      </w:tabs>
      <w:ind w:left="360" w:hanging="360"/>
    </w:pPr>
  </w:style>
  <w:style w:type="paragraph" w:styleId="ListNumber2">
    <w:name w:val="List Number 2"/>
    <w:basedOn w:val="Normal"/>
    <w:rsid w:val="007103B8"/>
    <w:pPr>
      <w:tabs>
        <w:tab w:val="num" w:pos="720"/>
      </w:tabs>
      <w:ind w:left="720" w:hanging="360"/>
    </w:pPr>
  </w:style>
  <w:style w:type="paragraph" w:styleId="ListNumber3">
    <w:name w:val="List Number 3"/>
    <w:basedOn w:val="Normal"/>
    <w:rsid w:val="007103B8"/>
    <w:pPr>
      <w:tabs>
        <w:tab w:val="num" w:pos="1080"/>
      </w:tabs>
      <w:ind w:left="1080" w:hanging="360"/>
    </w:pPr>
  </w:style>
  <w:style w:type="paragraph" w:styleId="ListNumber4">
    <w:name w:val="List Number 4"/>
    <w:basedOn w:val="Normal"/>
    <w:rsid w:val="007103B8"/>
    <w:pPr>
      <w:tabs>
        <w:tab w:val="num" w:pos="1440"/>
      </w:tabs>
      <w:ind w:left="1440" w:hanging="360"/>
    </w:pPr>
  </w:style>
  <w:style w:type="paragraph" w:styleId="ListNumber5">
    <w:name w:val="List Number 5"/>
    <w:basedOn w:val="Normal"/>
    <w:rsid w:val="007103B8"/>
    <w:pPr>
      <w:tabs>
        <w:tab w:val="num" w:pos="1800"/>
      </w:tabs>
      <w:ind w:left="1800" w:hanging="360"/>
    </w:pPr>
  </w:style>
  <w:style w:type="paragraph" w:styleId="MacroText">
    <w:name w:val="macro"/>
    <w:link w:val="MacroTextChar"/>
    <w:rsid w:val="007103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7103B8"/>
    <w:rPr>
      <w:rFonts w:ascii="Courier New" w:hAnsi="Courier New" w:cs="Courier New"/>
    </w:rPr>
  </w:style>
  <w:style w:type="paragraph" w:styleId="MessageHeader">
    <w:name w:val="Message Header"/>
    <w:basedOn w:val="Normal"/>
    <w:link w:val="MessageHeaderChar"/>
    <w:rsid w:val="007103B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7103B8"/>
    <w:rPr>
      <w:rFonts w:ascii="Arial" w:hAnsi="Arial" w:cs="Arial"/>
      <w:sz w:val="24"/>
      <w:szCs w:val="24"/>
      <w:shd w:val="pct20" w:color="auto" w:fill="auto"/>
    </w:rPr>
  </w:style>
  <w:style w:type="paragraph" w:styleId="NormalWeb">
    <w:name w:val="Normal (Web)"/>
    <w:basedOn w:val="Normal"/>
    <w:rsid w:val="007103B8"/>
  </w:style>
  <w:style w:type="paragraph" w:styleId="NormalIndent">
    <w:name w:val="Normal Indent"/>
    <w:basedOn w:val="Normal"/>
    <w:rsid w:val="007103B8"/>
    <w:pPr>
      <w:ind w:left="720"/>
    </w:pPr>
  </w:style>
  <w:style w:type="paragraph" w:styleId="NoteHeading">
    <w:name w:val="Note Heading"/>
    <w:basedOn w:val="Normal"/>
    <w:next w:val="Normal"/>
    <w:link w:val="NoteHeadingChar"/>
    <w:rsid w:val="007103B8"/>
  </w:style>
  <w:style w:type="character" w:customStyle="1" w:styleId="NoteHeadingChar">
    <w:name w:val="Note Heading Char"/>
    <w:basedOn w:val="DefaultParagraphFont"/>
    <w:link w:val="NoteHeading"/>
    <w:rsid w:val="007103B8"/>
    <w:rPr>
      <w:sz w:val="24"/>
      <w:szCs w:val="24"/>
    </w:rPr>
  </w:style>
  <w:style w:type="paragraph" w:styleId="PlainText">
    <w:name w:val="Plain Text"/>
    <w:basedOn w:val="Normal"/>
    <w:link w:val="PlainTextChar"/>
    <w:rsid w:val="007103B8"/>
    <w:rPr>
      <w:rFonts w:ascii="Courier New" w:hAnsi="Courier New" w:cs="Courier New"/>
      <w:sz w:val="20"/>
      <w:szCs w:val="20"/>
    </w:rPr>
  </w:style>
  <w:style w:type="character" w:customStyle="1" w:styleId="PlainTextChar">
    <w:name w:val="Plain Text Char"/>
    <w:basedOn w:val="DefaultParagraphFont"/>
    <w:link w:val="PlainText"/>
    <w:rsid w:val="007103B8"/>
    <w:rPr>
      <w:rFonts w:ascii="Courier New" w:hAnsi="Courier New" w:cs="Courier New"/>
    </w:rPr>
  </w:style>
  <w:style w:type="paragraph" w:styleId="Salutation">
    <w:name w:val="Salutation"/>
    <w:basedOn w:val="Normal"/>
    <w:next w:val="Normal"/>
    <w:link w:val="SalutationChar"/>
    <w:rsid w:val="007103B8"/>
  </w:style>
  <w:style w:type="character" w:customStyle="1" w:styleId="SalutationChar">
    <w:name w:val="Salutation Char"/>
    <w:basedOn w:val="DefaultParagraphFont"/>
    <w:link w:val="Salutation"/>
    <w:rsid w:val="007103B8"/>
    <w:rPr>
      <w:sz w:val="24"/>
      <w:szCs w:val="24"/>
    </w:rPr>
  </w:style>
  <w:style w:type="paragraph" w:styleId="Signature">
    <w:name w:val="Signature"/>
    <w:basedOn w:val="Normal"/>
    <w:link w:val="SignatureChar"/>
    <w:rsid w:val="007103B8"/>
    <w:pPr>
      <w:ind w:left="4320"/>
    </w:pPr>
  </w:style>
  <w:style w:type="character" w:customStyle="1" w:styleId="SignatureChar">
    <w:name w:val="Signature Char"/>
    <w:basedOn w:val="DefaultParagraphFont"/>
    <w:link w:val="Signature"/>
    <w:rsid w:val="007103B8"/>
    <w:rPr>
      <w:sz w:val="24"/>
      <w:szCs w:val="24"/>
    </w:rPr>
  </w:style>
  <w:style w:type="paragraph" w:styleId="Subtitle">
    <w:name w:val="Subtitle"/>
    <w:basedOn w:val="Normal"/>
    <w:link w:val="SubtitleChar"/>
    <w:qFormat/>
    <w:rsid w:val="007103B8"/>
    <w:pPr>
      <w:spacing w:after="60"/>
      <w:jc w:val="center"/>
      <w:outlineLvl w:val="1"/>
    </w:pPr>
    <w:rPr>
      <w:rFonts w:ascii="Arial" w:hAnsi="Arial" w:cs="Arial"/>
    </w:rPr>
  </w:style>
  <w:style w:type="character" w:customStyle="1" w:styleId="SubtitleChar">
    <w:name w:val="Subtitle Char"/>
    <w:basedOn w:val="DefaultParagraphFont"/>
    <w:link w:val="Subtitle"/>
    <w:rsid w:val="007103B8"/>
    <w:rPr>
      <w:rFonts w:ascii="Arial" w:hAnsi="Arial" w:cs="Arial"/>
      <w:sz w:val="24"/>
      <w:szCs w:val="24"/>
    </w:rPr>
  </w:style>
  <w:style w:type="paragraph" w:styleId="TableofAuthorities">
    <w:name w:val="table of authorities"/>
    <w:basedOn w:val="Normal"/>
    <w:next w:val="Normal"/>
    <w:rsid w:val="007103B8"/>
    <w:pPr>
      <w:ind w:left="240" w:hanging="240"/>
    </w:pPr>
  </w:style>
  <w:style w:type="paragraph" w:styleId="TableofFigures">
    <w:name w:val="table of figures"/>
    <w:basedOn w:val="Normal"/>
    <w:next w:val="Normal"/>
    <w:rsid w:val="007103B8"/>
    <w:pPr>
      <w:ind w:left="480" w:hanging="480"/>
    </w:pPr>
  </w:style>
  <w:style w:type="paragraph" w:styleId="Title">
    <w:name w:val="Title"/>
    <w:basedOn w:val="Normal"/>
    <w:link w:val="TitleChar"/>
    <w:qFormat/>
    <w:rsid w:val="007103B8"/>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103B8"/>
    <w:rPr>
      <w:rFonts w:ascii="Arial" w:hAnsi="Arial" w:cs="Arial"/>
      <w:b/>
      <w:bCs/>
      <w:kern w:val="28"/>
      <w:sz w:val="32"/>
      <w:szCs w:val="32"/>
    </w:rPr>
  </w:style>
  <w:style w:type="paragraph" w:styleId="TOAHeading">
    <w:name w:val="toa heading"/>
    <w:basedOn w:val="Normal"/>
    <w:next w:val="Normal"/>
    <w:rsid w:val="007103B8"/>
    <w:pPr>
      <w:spacing w:before="120"/>
    </w:pPr>
    <w:rPr>
      <w:rFonts w:ascii="Arial" w:hAnsi="Arial" w:cs="Arial"/>
      <w:b/>
      <w:bCs/>
    </w:rPr>
  </w:style>
  <w:style w:type="paragraph" w:styleId="TOC4">
    <w:name w:val="toc 4"/>
    <w:basedOn w:val="Normal"/>
    <w:next w:val="Normal"/>
    <w:autoRedefine/>
    <w:rsid w:val="007103B8"/>
    <w:pPr>
      <w:ind w:left="720"/>
    </w:pPr>
  </w:style>
  <w:style w:type="paragraph" w:styleId="TOC5">
    <w:name w:val="toc 5"/>
    <w:basedOn w:val="Normal"/>
    <w:next w:val="Normal"/>
    <w:autoRedefine/>
    <w:rsid w:val="007103B8"/>
    <w:pPr>
      <w:ind w:left="960"/>
    </w:pPr>
  </w:style>
  <w:style w:type="paragraph" w:styleId="TOC6">
    <w:name w:val="toc 6"/>
    <w:basedOn w:val="Normal"/>
    <w:next w:val="Normal"/>
    <w:autoRedefine/>
    <w:rsid w:val="007103B8"/>
    <w:pPr>
      <w:ind w:left="1200"/>
    </w:pPr>
  </w:style>
  <w:style w:type="paragraph" w:styleId="TOC9">
    <w:name w:val="toc 9"/>
    <w:basedOn w:val="TOC1"/>
    <w:next w:val="Normal"/>
    <w:autoRedefine/>
    <w:rsid w:val="007103B8"/>
    <w:pPr>
      <w:ind w:left="1728"/>
    </w:pPr>
    <w:rPr>
      <w:u w:val="single"/>
    </w:rPr>
  </w:style>
  <w:style w:type="paragraph" w:customStyle="1" w:styleId="MemoHeadingLabel">
    <w:name w:val="Memo Heading Label"/>
    <w:basedOn w:val="MemoHeading"/>
    <w:qFormat/>
    <w:rsid w:val="007103B8"/>
    <w:rPr>
      <w:rFonts w:ascii="Arial" w:hAnsi="Arial"/>
      <w:b/>
    </w:rPr>
  </w:style>
  <w:style w:type="paragraph" w:customStyle="1" w:styleId="First-LevelSubheading">
    <w:name w:val="First-Level Subheading"/>
    <w:basedOn w:val="IssueSubsectionHeading"/>
    <w:next w:val="BodyText"/>
    <w:qFormat/>
    <w:rsid w:val="007103B8"/>
    <w:pPr>
      <w:spacing w:after="0"/>
    </w:pPr>
    <w:rPr>
      <w:i w:val="0"/>
    </w:rPr>
  </w:style>
  <w:style w:type="paragraph" w:customStyle="1" w:styleId="Second-LevelSubheading">
    <w:name w:val="Second-Level Subheading"/>
    <w:basedOn w:val="First-LevelSubheading"/>
    <w:next w:val="BodyText"/>
    <w:qFormat/>
    <w:rsid w:val="007103B8"/>
    <w:pPr>
      <w:ind w:left="720"/>
      <w:outlineLvl w:val="3"/>
    </w:pPr>
    <w:rPr>
      <w:i/>
    </w:rPr>
  </w:style>
  <w:style w:type="paragraph" w:customStyle="1" w:styleId="TableNumber">
    <w:name w:val="Table Number"/>
    <w:basedOn w:val="BodyText"/>
    <w:next w:val="BodyText"/>
    <w:qFormat/>
    <w:rsid w:val="007103B8"/>
    <w:pPr>
      <w:spacing w:before="480" w:after="0"/>
      <w:jc w:val="center"/>
    </w:pPr>
    <w:rPr>
      <w:rFonts w:ascii="Arial" w:hAnsi="Arial"/>
      <w:b/>
    </w:rPr>
  </w:style>
  <w:style w:type="paragraph" w:customStyle="1" w:styleId="TableTitle">
    <w:name w:val="Table Title"/>
    <w:basedOn w:val="BodyText"/>
    <w:next w:val="BodyText"/>
    <w:qFormat/>
    <w:rsid w:val="007103B8"/>
    <w:pPr>
      <w:spacing w:after="0"/>
      <w:jc w:val="center"/>
    </w:pPr>
    <w:rPr>
      <w:rFonts w:ascii="Arial" w:hAnsi="Arial"/>
      <w:b/>
    </w:rPr>
  </w:style>
  <w:style w:type="paragraph" w:customStyle="1" w:styleId="TableSource">
    <w:name w:val="Table Source"/>
    <w:basedOn w:val="BodyText"/>
    <w:next w:val="BodyText"/>
    <w:qFormat/>
    <w:rsid w:val="007103B8"/>
    <w:pPr>
      <w:spacing w:after="480"/>
      <w:jc w:val="both"/>
    </w:pPr>
  </w:style>
  <w:style w:type="paragraph" w:customStyle="1" w:styleId="PartyName">
    <w:name w:val="Party Name"/>
    <w:basedOn w:val="IssueSubsectionHeading"/>
    <w:next w:val="BodyText"/>
    <w:qFormat/>
    <w:rsid w:val="007103B8"/>
    <w:rPr>
      <w:i w:val="0"/>
    </w:rPr>
  </w:style>
  <w:style w:type="paragraph" w:customStyle="1" w:styleId="Third-LevelSubheading">
    <w:name w:val="Third-Level Subheading"/>
    <w:basedOn w:val="Second-LevelSubheading"/>
    <w:next w:val="BodyText"/>
    <w:qFormat/>
    <w:rsid w:val="007103B8"/>
    <w:pPr>
      <w:ind w:left="1440"/>
      <w:outlineLvl w:val="4"/>
    </w:pPr>
  </w:style>
  <w:style w:type="character" w:customStyle="1" w:styleId="FootnoteTextChar">
    <w:name w:val="Footnote Text Char"/>
    <w:link w:val="FootnoteText"/>
    <w:rsid w:val="007103B8"/>
  </w:style>
  <w:style w:type="paragraph" w:styleId="ListParagraph">
    <w:name w:val="List Paragraph"/>
    <w:basedOn w:val="Normal"/>
    <w:uiPriority w:val="34"/>
    <w:qFormat/>
    <w:rsid w:val="007103B8"/>
    <w:pPr>
      <w:ind w:left="720"/>
    </w:pPr>
  </w:style>
  <w:style w:type="character" w:styleId="CommentReference">
    <w:name w:val="annotation reference"/>
    <w:rsid w:val="007103B8"/>
    <w:rPr>
      <w:sz w:val="16"/>
      <w:szCs w:val="16"/>
    </w:rPr>
  </w:style>
  <w:style w:type="character" w:customStyle="1" w:styleId="text">
    <w:name w:val="text"/>
    <w:rsid w:val="007103B8"/>
  </w:style>
  <w:style w:type="character" w:styleId="EndnoteReference">
    <w:name w:val="endnote reference"/>
    <w:rsid w:val="007103B8"/>
    <w:rPr>
      <w:vertAlign w:val="superscript"/>
    </w:rPr>
  </w:style>
  <w:style w:type="paragraph" w:styleId="Revision">
    <w:name w:val="Revision"/>
    <w:hidden/>
    <w:uiPriority w:val="99"/>
    <w:semiHidden/>
    <w:rsid w:val="007103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F202D-17F1-4372-BB6B-424D9B68F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16</Pages>
  <Words>6278</Words>
  <Characters>35789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2016-01-05T18:44:00Z</dcterms:created>
  <dcterms:modified xsi:type="dcterms:W3CDTF">2016-01-05T18:54:00Z</dcterms:modified>
</cp:coreProperties>
</file>