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3F74E0">
            <w:pPr>
              <w:pStyle w:val="MastHeadState"/>
            </w:pPr>
            <w:bookmarkStart w:id="0" w:name="_GoBack"/>
            <w:bookmarkEnd w:id="0"/>
            <w:r>
              <w:t>State of Florida</w:t>
            </w:r>
          </w:p>
          <w:p w:rsidR="007C0528" w:rsidRDefault="00F109D0" w:rsidP="003F74E0">
            <w:pPr>
              <w:jc w:val="center"/>
            </w:pPr>
            <w:r>
              <w:rPr>
                <w:noProof/>
              </w:rPr>
              <w:drawing>
                <wp:inline distT="0" distB="0" distL="0" distR="0">
                  <wp:extent cx="923925" cy="914400"/>
                  <wp:effectExtent l="0" t="0" r="9525" b="0"/>
                  <wp:docPr id="14" name="Picture 14"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rsidP="003F74E0"/>
        </w:tc>
        <w:tc>
          <w:tcPr>
            <w:tcW w:w="7273" w:type="dxa"/>
            <w:gridSpan w:val="2"/>
            <w:tcBorders>
              <w:top w:val="nil"/>
              <w:left w:val="nil"/>
              <w:bottom w:val="single" w:sz="24" w:space="0" w:color="auto"/>
              <w:right w:val="nil"/>
            </w:tcBorders>
            <w:shd w:val="clear" w:color="auto" w:fill="auto"/>
            <w:vAlign w:val="bottom"/>
          </w:tcPr>
          <w:p w:rsidR="007C0528" w:rsidRDefault="007C0528" w:rsidP="003F74E0">
            <w:pPr>
              <w:pStyle w:val="MastHeadPSC"/>
            </w:pPr>
            <w:r>
              <w:t>Public Service Commission</w:t>
            </w:r>
          </w:p>
          <w:p w:rsidR="007C0528" w:rsidRDefault="007C0528" w:rsidP="003F74E0">
            <w:pPr>
              <w:pStyle w:val="MastHeadAddress"/>
              <w:spacing w:after="0"/>
            </w:pPr>
            <w:r>
              <w:t>Capital Circle Office Center ● 2540 Shumard Oak Boulevard</w:t>
            </w:r>
            <w:r>
              <w:br/>
              <w:t>Tallahassee, Florida 32399-0850</w:t>
            </w:r>
          </w:p>
          <w:p w:rsidR="007C0528" w:rsidRDefault="007C0528" w:rsidP="003F74E0">
            <w:pPr>
              <w:pStyle w:val="MastHeadMemorandum"/>
            </w:pPr>
            <w:r>
              <w:t>-M-E-M-O-R-A-N-D-U-M-</w:t>
            </w:r>
          </w:p>
          <w:p w:rsidR="007C0528" w:rsidRDefault="007C0528" w:rsidP="003F74E0">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3F74E0">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4C139D" w:rsidP="003F74E0">
            <w:pPr>
              <w:pStyle w:val="MemoHeading"/>
            </w:pPr>
            <w:bookmarkStart w:id="1" w:name="FilingDate"/>
            <w:r>
              <w:t>January 21,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3F74E0">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3F74E0">
            <w:pPr>
              <w:pStyle w:val="MemoHeading"/>
            </w:pPr>
            <w:r>
              <w:t>Office of Commission Clerk (</w:t>
            </w:r>
            <w:r w:rsidR="0093658B">
              <w:t>Stauffer</w:t>
            </w:r>
            <w:r>
              <w:t>)</w:t>
            </w:r>
          </w:p>
        </w:tc>
      </w:tr>
      <w:tr w:rsidR="004C139D">
        <w:tc>
          <w:tcPr>
            <w:tcW w:w="1254" w:type="dxa"/>
            <w:tcBorders>
              <w:top w:val="nil"/>
              <w:left w:val="nil"/>
              <w:bottom w:val="nil"/>
              <w:right w:val="nil"/>
            </w:tcBorders>
            <w:shd w:val="clear" w:color="auto" w:fill="auto"/>
            <w:tcMar>
              <w:top w:w="288" w:type="dxa"/>
              <w:right w:w="0" w:type="dxa"/>
            </w:tcMar>
          </w:tcPr>
          <w:p w:rsidR="004C139D" w:rsidRDefault="004C139D" w:rsidP="003F74E0">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4C139D" w:rsidRDefault="004C139D" w:rsidP="003F74E0">
            <w:pPr>
              <w:pStyle w:val="MemoHeading"/>
            </w:pPr>
            <w:bookmarkStart w:id="2" w:name="From"/>
            <w:bookmarkEnd w:id="2"/>
            <w:r>
              <w:t>Division of Accounting and Finance (Vogel, T. Brown)</w:t>
            </w:r>
          </w:p>
          <w:p w:rsidR="004C139D" w:rsidRDefault="004C139D" w:rsidP="003F74E0">
            <w:pPr>
              <w:pStyle w:val="MemoHeading"/>
            </w:pPr>
            <w:r>
              <w:t>Division of Economics (Bruce)</w:t>
            </w:r>
          </w:p>
          <w:p w:rsidR="004C139D" w:rsidRDefault="004C139D" w:rsidP="00A77D96">
            <w:pPr>
              <w:pStyle w:val="MemoHeading"/>
            </w:pPr>
            <w:r>
              <w:t>Office of the General Counsel (</w:t>
            </w:r>
            <w:r w:rsidR="00A77D96">
              <w:t>Corbari</w:t>
            </w:r>
            <w:r w:rsidR="00B140D0">
              <w:t>, Lherisson</w:t>
            </w:r>
            <w:r>
              <w:t>)</w:t>
            </w:r>
          </w:p>
        </w:tc>
      </w:tr>
      <w:tr w:rsidR="004C139D">
        <w:tc>
          <w:tcPr>
            <w:tcW w:w="1254" w:type="dxa"/>
            <w:tcBorders>
              <w:top w:val="nil"/>
              <w:left w:val="nil"/>
              <w:bottom w:val="nil"/>
              <w:right w:val="nil"/>
            </w:tcBorders>
            <w:shd w:val="clear" w:color="auto" w:fill="auto"/>
            <w:tcMar>
              <w:top w:w="288" w:type="dxa"/>
              <w:right w:w="0" w:type="dxa"/>
            </w:tcMar>
          </w:tcPr>
          <w:p w:rsidR="004C139D" w:rsidRDefault="004C139D" w:rsidP="003F74E0">
            <w:pPr>
              <w:pStyle w:val="MemoHeadingLabel"/>
            </w:pPr>
            <w:r>
              <w:t>RE:</w:t>
            </w:r>
          </w:p>
        </w:tc>
        <w:tc>
          <w:tcPr>
            <w:tcW w:w="8221" w:type="dxa"/>
            <w:gridSpan w:val="3"/>
            <w:tcBorders>
              <w:top w:val="nil"/>
              <w:left w:val="nil"/>
              <w:bottom w:val="nil"/>
              <w:right w:val="nil"/>
            </w:tcBorders>
            <w:shd w:val="clear" w:color="auto" w:fill="auto"/>
            <w:tcMar>
              <w:top w:w="288" w:type="dxa"/>
            </w:tcMar>
          </w:tcPr>
          <w:p w:rsidR="004C139D" w:rsidRDefault="004C139D" w:rsidP="003F74E0">
            <w:pPr>
              <w:pStyle w:val="MemoHeadingRe"/>
            </w:pPr>
            <w:bookmarkStart w:id="3" w:name="Re"/>
            <w:bookmarkEnd w:id="3"/>
            <w:r>
              <w:t>Docket No. 150257-WS – Application for a staff-assisted rate case in Marion County, by East Marion Utilities, LLC.</w:t>
            </w:r>
          </w:p>
        </w:tc>
      </w:tr>
      <w:tr w:rsidR="004C139D">
        <w:tc>
          <w:tcPr>
            <w:tcW w:w="1254" w:type="dxa"/>
            <w:tcBorders>
              <w:top w:val="nil"/>
              <w:left w:val="nil"/>
              <w:bottom w:val="nil"/>
              <w:right w:val="nil"/>
            </w:tcBorders>
            <w:shd w:val="clear" w:color="auto" w:fill="auto"/>
            <w:tcMar>
              <w:top w:w="288" w:type="dxa"/>
              <w:bottom w:w="0" w:type="dxa"/>
              <w:right w:w="0" w:type="dxa"/>
            </w:tcMar>
          </w:tcPr>
          <w:p w:rsidR="004C139D" w:rsidRDefault="004C139D" w:rsidP="003F74E0">
            <w:pPr>
              <w:pStyle w:val="MemoHeadingLabel"/>
            </w:pPr>
            <w:r>
              <w:t>AGENDA:</w:t>
            </w:r>
          </w:p>
        </w:tc>
        <w:tc>
          <w:tcPr>
            <w:tcW w:w="8221" w:type="dxa"/>
            <w:gridSpan w:val="3"/>
            <w:tcBorders>
              <w:top w:val="nil"/>
              <w:left w:val="nil"/>
              <w:bottom w:val="nil"/>
              <w:right w:val="nil"/>
            </w:tcBorders>
            <w:shd w:val="clear" w:color="auto" w:fill="auto"/>
            <w:tcMar>
              <w:top w:w="288" w:type="dxa"/>
            </w:tcMar>
          </w:tcPr>
          <w:p w:rsidR="004C139D" w:rsidRDefault="004C139D" w:rsidP="003F74E0">
            <w:pPr>
              <w:pStyle w:val="MemoHeading"/>
            </w:pPr>
            <w:bookmarkStart w:id="4" w:name="AgendaDate"/>
            <w:r>
              <w:t>02/02/16</w:t>
            </w:r>
            <w:bookmarkEnd w:id="4"/>
            <w:r>
              <w:t xml:space="preserve"> – </w:t>
            </w:r>
            <w:bookmarkStart w:id="5" w:name="PermittedStatus"/>
            <w:r>
              <w:t>Regular Agenda – Decision on Interim Rates – Participation is at the Discretion of the Commission</w:t>
            </w:r>
            <w:bookmarkEnd w:id="5"/>
          </w:p>
        </w:tc>
      </w:tr>
      <w:tr w:rsidR="004C139D">
        <w:tc>
          <w:tcPr>
            <w:tcW w:w="3690" w:type="dxa"/>
            <w:gridSpan w:val="3"/>
            <w:tcBorders>
              <w:top w:val="nil"/>
              <w:left w:val="nil"/>
              <w:bottom w:val="nil"/>
              <w:right w:val="nil"/>
            </w:tcBorders>
            <w:shd w:val="clear" w:color="auto" w:fill="auto"/>
            <w:tcMar>
              <w:top w:w="288" w:type="dxa"/>
              <w:bottom w:w="0" w:type="dxa"/>
              <w:right w:w="0" w:type="dxa"/>
            </w:tcMar>
          </w:tcPr>
          <w:p w:rsidR="004C139D" w:rsidRDefault="004C139D" w:rsidP="003F74E0">
            <w:pPr>
              <w:pStyle w:val="MemoHeadingLabel"/>
            </w:pPr>
            <w:r>
              <w:t>COMMISSIONERS ASSIGNED:</w:t>
            </w:r>
          </w:p>
        </w:tc>
        <w:tc>
          <w:tcPr>
            <w:tcW w:w="5785" w:type="dxa"/>
            <w:tcBorders>
              <w:top w:val="nil"/>
              <w:left w:val="nil"/>
              <w:bottom w:val="nil"/>
              <w:right w:val="nil"/>
            </w:tcBorders>
            <w:shd w:val="clear" w:color="auto" w:fill="auto"/>
          </w:tcPr>
          <w:p w:rsidR="004C139D" w:rsidRDefault="004C139D" w:rsidP="003F74E0">
            <w:pPr>
              <w:pStyle w:val="MemoHeading"/>
            </w:pPr>
            <w:bookmarkStart w:id="6" w:name="CommissionersAssigned"/>
            <w:bookmarkEnd w:id="6"/>
            <w:r>
              <w:t>All Commissioners</w:t>
            </w:r>
          </w:p>
        </w:tc>
      </w:tr>
      <w:tr w:rsidR="004C139D">
        <w:tc>
          <w:tcPr>
            <w:tcW w:w="3690" w:type="dxa"/>
            <w:gridSpan w:val="3"/>
            <w:tcBorders>
              <w:top w:val="nil"/>
              <w:left w:val="nil"/>
              <w:bottom w:val="nil"/>
              <w:right w:val="nil"/>
            </w:tcBorders>
            <w:shd w:val="clear" w:color="auto" w:fill="auto"/>
            <w:tcMar>
              <w:top w:w="288" w:type="dxa"/>
              <w:bottom w:w="0" w:type="dxa"/>
              <w:right w:w="0" w:type="dxa"/>
            </w:tcMar>
          </w:tcPr>
          <w:p w:rsidR="004C139D" w:rsidRDefault="004C139D" w:rsidP="003F74E0">
            <w:pPr>
              <w:pStyle w:val="MemoHeadingLabel"/>
            </w:pPr>
            <w:r>
              <w:t>PREHEARING OFFICER:</w:t>
            </w:r>
          </w:p>
        </w:tc>
        <w:tc>
          <w:tcPr>
            <w:tcW w:w="5785" w:type="dxa"/>
            <w:tcBorders>
              <w:top w:val="nil"/>
              <w:left w:val="nil"/>
              <w:bottom w:val="nil"/>
              <w:right w:val="nil"/>
            </w:tcBorders>
            <w:shd w:val="clear" w:color="auto" w:fill="auto"/>
          </w:tcPr>
          <w:p w:rsidR="004C139D" w:rsidRDefault="00D048C5" w:rsidP="003F74E0">
            <w:pPr>
              <w:pStyle w:val="MemoHeading"/>
            </w:pPr>
            <w:bookmarkStart w:id="7" w:name="PrehearingOfficer"/>
            <w:bookmarkEnd w:id="7"/>
            <w:r>
              <w:t>Edgar</w:t>
            </w:r>
          </w:p>
        </w:tc>
      </w:tr>
      <w:tr w:rsidR="004C139D" w:rsidTr="0093658B">
        <w:tc>
          <w:tcPr>
            <w:tcW w:w="3690" w:type="dxa"/>
            <w:gridSpan w:val="3"/>
            <w:tcBorders>
              <w:top w:val="nil"/>
              <w:left w:val="nil"/>
              <w:bottom w:val="nil"/>
              <w:right w:val="nil"/>
            </w:tcBorders>
            <w:shd w:val="clear" w:color="auto" w:fill="auto"/>
            <w:tcMar>
              <w:top w:w="288" w:type="dxa"/>
              <w:bottom w:w="0" w:type="dxa"/>
              <w:right w:w="0" w:type="dxa"/>
            </w:tcMar>
          </w:tcPr>
          <w:p w:rsidR="004C139D" w:rsidRDefault="004C139D" w:rsidP="003F74E0">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4C139D" w:rsidRDefault="00464EAC" w:rsidP="003F74E0">
            <w:pPr>
              <w:pStyle w:val="MemoHeading"/>
            </w:pPr>
            <w:r>
              <w:t>02/03/16 (60-Day Suspension Date)</w:t>
            </w:r>
          </w:p>
        </w:tc>
      </w:tr>
      <w:tr w:rsidR="004C139D"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4C139D" w:rsidRDefault="004C139D" w:rsidP="003F74E0">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4C139D" w:rsidRDefault="004C139D" w:rsidP="003F74E0">
            <w:pPr>
              <w:pStyle w:val="MemoHeading"/>
            </w:pPr>
            <w:bookmarkStart w:id="9" w:name="SpecialInstructions"/>
            <w:r>
              <w:t>None</w:t>
            </w:r>
            <w:bookmarkEnd w:id="9"/>
          </w:p>
        </w:tc>
      </w:tr>
    </w:tbl>
    <w:p w:rsidR="007C0528" w:rsidRDefault="007C0528" w:rsidP="003F74E0">
      <w:pPr>
        <w:pStyle w:val="BodyText"/>
        <w:spacing w:after="0"/>
      </w:pPr>
    </w:p>
    <w:p w:rsidR="00CB4C06" w:rsidRDefault="00CB4C06">
      <w:pPr>
        <w:pStyle w:val="RecommendationHeading"/>
      </w:pPr>
      <w:bookmarkStart w:id="10" w:name="RecToC"/>
      <w:bookmarkEnd w:id="10"/>
      <w:r>
        <w:br w:type="page"/>
      </w:r>
      <w:r>
        <w:lastRenderedPageBreak/>
        <w:t>Table of Contents</w:t>
      </w:r>
    </w:p>
    <w:p w:rsidR="00CB4C06" w:rsidRDefault="00CB4C06">
      <w:pPr>
        <w:pStyle w:val="TOCColumnHeadings"/>
      </w:pPr>
      <w:r>
        <w:t>Issue</w:t>
      </w:r>
      <w:r>
        <w:tab/>
        <w:t>Description</w:t>
      </w:r>
      <w:r>
        <w:tab/>
        <w:t>Page</w:t>
      </w:r>
    </w:p>
    <w:p w:rsidR="00474A39" w:rsidRDefault="00CB4C06">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441062473" w:history="1">
        <w:r w:rsidR="00474A39" w:rsidRPr="00A109F6">
          <w:rPr>
            <w:rStyle w:val="Hyperlink"/>
            <w:noProof/>
          </w:rPr>
          <w:tab/>
          <w:t>Case Background</w:t>
        </w:r>
        <w:r w:rsidR="00474A39">
          <w:rPr>
            <w:noProof/>
            <w:webHidden/>
          </w:rPr>
          <w:tab/>
        </w:r>
        <w:r w:rsidR="00474A39">
          <w:rPr>
            <w:noProof/>
            <w:webHidden/>
          </w:rPr>
          <w:fldChar w:fldCharType="begin"/>
        </w:r>
        <w:r w:rsidR="00474A39">
          <w:rPr>
            <w:noProof/>
            <w:webHidden/>
          </w:rPr>
          <w:instrText xml:space="preserve"> PAGEREF _Toc441062473 \h </w:instrText>
        </w:r>
        <w:r w:rsidR="00474A39">
          <w:rPr>
            <w:noProof/>
            <w:webHidden/>
          </w:rPr>
        </w:r>
        <w:r w:rsidR="00474A39">
          <w:rPr>
            <w:noProof/>
            <w:webHidden/>
          </w:rPr>
          <w:fldChar w:fldCharType="separate"/>
        </w:r>
        <w:r w:rsidR="00FD0AAC">
          <w:rPr>
            <w:noProof/>
            <w:webHidden/>
          </w:rPr>
          <w:t>3</w:t>
        </w:r>
        <w:r w:rsidR="00474A39">
          <w:rPr>
            <w:noProof/>
            <w:webHidden/>
          </w:rPr>
          <w:fldChar w:fldCharType="end"/>
        </w:r>
      </w:hyperlink>
    </w:p>
    <w:p w:rsidR="00474A39" w:rsidRDefault="00485861">
      <w:pPr>
        <w:pStyle w:val="TOC1"/>
        <w:rPr>
          <w:rFonts w:asciiTheme="minorHAnsi" w:eastAsiaTheme="minorEastAsia" w:hAnsiTheme="minorHAnsi" w:cstheme="minorBidi"/>
          <w:noProof/>
          <w:sz w:val="22"/>
          <w:szCs w:val="22"/>
        </w:rPr>
      </w:pPr>
      <w:hyperlink w:anchor="_Toc441062474" w:history="1">
        <w:r w:rsidR="00474A39" w:rsidRPr="00A109F6">
          <w:rPr>
            <w:rStyle w:val="Hyperlink"/>
            <w:noProof/>
          </w:rPr>
          <w:t>1</w:t>
        </w:r>
        <w:r w:rsidR="00474A39" w:rsidRPr="00A109F6">
          <w:rPr>
            <w:rStyle w:val="Hyperlink"/>
            <w:noProof/>
          </w:rPr>
          <w:tab/>
          <w:t>Interim Revenues</w:t>
        </w:r>
        <w:r w:rsidR="00474A39">
          <w:rPr>
            <w:noProof/>
            <w:webHidden/>
          </w:rPr>
          <w:tab/>
        </w:r>
        <w:r w:rsidR="00474A39">
          <w:rPr>
            <w:noProof/>
            <w:webHidden/>
          </w:rPr>
          <w:fldChar w:fldCharType="begin"/>
        </w:r>
        <w:r w:rsidR="00474A39">
          <w:rPr>
            <w:noProof/>
            <w:webHidden/>
          </w:rPr>
          <w:instrText xml:space="preserve"> PAGEREF _Toc441062474 \h </w:instrText>
        </w:r>
        <w:r w:rsidR="00474A39">
          <w:rPr>
            <w:noProof/>
            <w:webHidden/>
          </w:rPr>
        </w:r>
        <w:r w:rsidR="00474A39">
          <w:rPr>
            <w:noProof/>
            <w:webHidden/>
          </w:rPr>
          <w:fldChar w:fldCharType="separate"/>
        </w:r>
        <w:r w:rsidR="00FD0AAC">
          <w:rPr>
            <w:noProof/>
            <w:webHidden/>
          </w:rPr>
          <w:t>4</w:t>
        </w:r>
        <w:r w:rsidR="00474A39">
          <w:rPr>
            <w:noProof/>
            <w:webHidden/>
          </w:rPr>
          <w:fldChar w:fldCharType="end"/>
        </w:r>
      </w:hyperlink>
    </w:p>
    <w:p w:rsidR="00474A39" w:rsidRDefault="00485861">
      <w:pPr>
        <w:pStyle w:val="TOC1"/>
        <w:rPr>
          <w:rFonts w:asciiTheme="minorHAnsi" w:eastAsiaTheme="minorEastAsia" w:hAnsiTheme="minorHAnsi" w:cstheme="minorBidi"/>
          <w:noProof/>
          <w:sz w:val="22"/>
          <w:szCs w:val="22"/>
        </w:rPr>
      </w:pPr>
      <w:hyperlink w:anchor="_Toc441062475" w:history="1">
        <w:r w:rsidR="00474A39" w:rsidRPr="00A109F6">
          <w:rPr>
            <w:rStyle w:val="Hyperlink"/>
            <w:noProof/>
          </w:rPr>
          <w:t>2</w:t>
        </w:r>
        <w:r w:rsidR="00474A39" w:rsidRPr="00A109F6">
          <w:rPr>
            <w:rStyle w:val="Hyperlink"/>
            <w:noProof/>
          </w:rPr>
          <w:tab/>
          <w:t>Interim Water Rates</w:t>
        </w:r>
        <w:r w:rsidR="00474A39">
          <w:rPr>
            <w:noProof/>
            <w:webHidden/>
          </w:rPr>
          <w:tab/>
        </w:r>
        <w:r w:rsidR="00474A39">
          <w:rPr>
            <w:noProof/>
            <w:webHidden/>
          </w:rPr>
          <w:fldChar w:fldCharType="begin"/>
        </w:r>
        <w:r w:rsidR="00474A39">
          <w:rPr>
            <w:noProof/>
            <w:webHidden/>
          </w:rPr>
          <w:instrText xml:space="preserve"> PAGEREF _Toc441062475 \h </w:instrText>
        </w:r>
        <w:r w:rsidR="00474A39">
          <w:rPr>
            <w:noProof/>
            <w:webHidden/>
          </w:rPr>
        </w:r>
        <w:r w:rsidR="00474A39">
          <w:rPr>
            <w:noProof/>
            <w:webHidden/>
          </w:rPr>
          <w:fldChar w:fldCharType="separate"/>
        </w:r>
        <w:r w:rsidR="00FD0AAC">
          <w:rPr>
            <w:noProof/>
            <w:webHidden/>
          </w:rPr>
          <w:t>6</w:t>
        </w:r>
        <w:r w:rsidR="00474A39">
          <w:rPr>
            <w:noProof/>
            <w:webHidden/>
          </w:rPr>
          <w:fldChar w:fldCharType="end"/>
        </w:r>
      </w:hyperlink>
    </w:p>
    <w:p w:rsidR="00474A39" w:rsidRDefault="00485861">
      <w:pPr>
        <w:pStyle w:val="TOC1"/>
        <w:rPr>
          <w:rFonts w:asciiTheme="minorHAnsi" w:eastAsiaTheme="minorEastAsia" w:hAnsiTheme="minorHAnsi" w:cstheme="minorBidi"/>
          <w:noProof/>
          <w:sz w:val="22"/>
          <w:szCs w:val="22"/>
        </w:rPr>
      </w:pPr>
      <w:hyperlink w:anchor="_Toc441062476" w:history="1">
        <w:r w:rsidR="00474A39" w:rsidRPr="00A109F6">
          <w:rPr>
            <w:rStyle w:val="Hyperlink"/>
            <w:noProof/>
          </w:rPr>
          <w:t>3</w:t>
        </w:r>
        <w:r w:rsidR="00474A39" w:rsidRPr="00A109F6">
          <w:rPr>
            <w:rStyle w:val="Hyperlink"/>
            <w:noProof/>
          </w:rPr>
          <w:tab/>
          <w:t>Interim Security</w:t>
        </w:r>
        <w:r w:rsidR="00474A39">
          <w:rPr>
            <w:noProof/>
            <w:webHidden/>
          </w:rPr>
          <w:tab/>
        </w:r>
        <w:r w:rsidR="00474A39">
          <w:rPr>
            <w:noProof/>
            <w:webHidden/>
          </w:rPr>
          <w:fldChar w:fldCharType="begin"/>
        </w:r>
        <w:r w:rsidR="00474A39">
          <w:rPr>
            <w:noProof/>
            <w:webHidden/>
          </w:rPr>
          <w:instrText xml:space="preserve"> PAGEREF _Toc441062476 \h </w:instrText>
        </w:r>
        <w:r w:rsidR="00474A39">
          <w:rPr>
            <w:noProof/>
            <w:webHidden/>
          </w:rPr>
        </w:r>
        <w:r w:rsidR="00474A39">
          <w:rPr>
            <w:noProof/>
            <w:webHidden/>
          </w:rPr>
          <w:fldChar w:fldCharType="separate"/>
        </w:r>
        <w:r w:rsidR="00FD0AAC">
          <w:rPr>
            <w:noProof/>
            <w:webHidden/>
          </w:rPr>
          <w:t>7</w:t>
        </w:r>
        <w:r w:rsidR="00474A39">
          <w:rPr>
            <w:noProof/>
            <w:webHidden/>
          </w:rPr>
          <w:fldChar w:fldCharType="end"/>
        </w:r>
      </w:hyperlink>
    </w:p>
    <w:p w:rsidR="00474A39" w:rsidRDefault="00485861">
      <w:pPr>
        <w:pStyle w:val="TOC1"/>
        <w:rPr>
          <w:rFonts w:asciiTheme="minorHAnsi" w:eastAsiaTheme="minorEastAsia" w:hAnsiTheme="minorHAnsi" w:cstheme="minorBidi"/>
          <w:noProof/>
          <w:sz w:val="22"/>
          <w:szCs w:val="22"/>
        </w:rPr>
      </w:pPr>
      <w:hyperlink w:anchor="_Toc441062477" w:history="1">
        <w:r w:rsidR="00474A39" w:rsidRPr="00A109F6">
          <w:rPr>
            <w:rStyle w:val="Hyperlink"/>
            <w:noProof/>
          </w:rPr>
          <w:t>4</w:t>
        </w:r>
        <w:r w:rsidR="00474A39" w:rsidRPr="00A109F6">
          <w:rPr>
            <w:rStyle w:val="Hyperlink"/>
            <w:noProof/>
          </w:rPr>
          <w:tab/>
          <w:t>Close Docket</w:t>
        </w:r>
        <w:r w:rsidR="00474A39">
          <w:rPr>
            <w:noProof/>
            <w:webHidden/>
          </w:rPr>
          <w:tab/>
        </w:r>
        <w:r w:rsidR="00474A39">
          <w:rPr>
            <w:noProof/>
            <w:webHidden/>
          </w:rPr>
          <w:fldChar w:fldCharType="begin"/>
        </w:r>
        <w:r w:rsidR="00474A39">
          <w:rPr>
            <w:noProof/>
            <w:webHidden/>
          </w:rPr>
          <w:instrText xml:space="preserve"> PAGEREF _Toc441062477 \h </w:instrText>
        </w:r>
        <w:r w:rsidR="00474A39">
          <w:rPr>
            <w:noProof/>
            <w:webHidden/>
          </w:rPr>
        </w:r>
        <w:r w:rsidR="00474A39">
          <w:rPr>
            <w:noProof/>
            <w:webHidden/>
          </w:rPr>
          <w:fldChar w:fldCharType="separate"/>
        </w:r>
        <w:r w:rsidR="00FD0AAC">
          <w:rPr>
            <w:noProof/>
            <w:webHidden/>
          </w:rPr>
          <w:t>9</w:t>
        </w:r>
        <w:r w:rsidR="00474A39">
          <w:rPr>
            <w:noProof/>
            <w:webHidden/>
          </w:rPr>
          <w:fldChar w:fldCharType="end"/>
        </w:r>
      </w:hyperlink>
    </w:p>
    <w:p w:rsidR="00474A39" w:rsidRDefault="00485861">
      <w:pPr>
        <w:pStyle w:val="TOC1"/>
        <w:rPr>
          <w:rFonts w:asciiTheme="minorHAnsi" w:eastAsiaTheme="minorEastAsia" w:hAnsiTheme="minorHAnsi" w:cstheme="minorBidi"/>
          <w:noProof/>
          <w:sz w:val="22"/>
          <w:szCs w:val="22"/>
        </w:rPr>
      </w:pPr>
      <w:hyperlink w:anchor="_Toc441062478" w:history="1">
        <w:r w:rsidR="00474A39" w:rsidRPr="00A109F6">
          <w:rPr>
            <w:rStyle w:val="Hyperlink"/>
            <w:noProof/>
          </w:rPr>
          <w:tab/>
          <w:t>Schedule No. 1 Interim Water Rates</w:t>
        </w:r>
        <w:r w:rsidR="00474A39">
          <w:rPr>
            <w:noProof/>
            <w:webHidden/>
          </w:rPr>
          <w:tab/>
        </w:r>
        <w:r w:rsidR="00474A39">
          <w:rPr>
            <w:noProof/>
            <w:webHidden/>
          </w:rPr>
          <w:fldChar w:fldCharType="begin"/>
        </w:r>
        <w:r w:rsidR="00474A39">
          <w:rPr>
            <w:noProof/>
            <w:webHidden/>
          </w:rPr>
          <w:instrText xml:space="preserve"> PAGEREF _Toc441062478 \h </w:instrText>
        </w:r>
        <w:r w:rsidR="00474A39">
          <w:rPr>
            <w:noProof/>
            <w:webHidden/>
          </w:rPr>
        </w:r>
        <w:r w:rsidR="00474A39">
          <w:rPr>
            <w:noProof/>
            <w:webHidden/>
          </w:rPr>
          <w:fldChar w:fldCharType="separate"/>
        </w:r>
        <w:r w:rsidR="00FD0AAC">
          <w:rPr>
            <w:noProof/>
            <w:webHidden/>
          </w:rPr>
          <w:t>10</w:t>
        </w:r>
        <w:r w:rsidR="00474A39">
          <w:rPr>
            <w:noProof/>
            <w:webHidden/>
          </w:rPr>
          <w:fldChar w:fldCharType="end"/>
        </w:r>
      </w:hyperlink>
    </w:p>
    <w:p w:rsidR="00CB4C06" w:rsidRDefault="00CB4C06">
      <w:pPr>
        <w:pStyle w:val="TOCColumnHeadings"/>
      </w:pPr>
      <w:r>
        <w:fldChar w:fldCharType="end"/>
      </w:r>
    </w:p>
    <w:p w:rsidR="00D048C5" w:rsidRDefault="00CB4C06" w:rsidP="00D048C5">
      <w:pPr>
        <w:pStyle w:val="RecommendationMajorSectionHeading"/>
        <w:spacing w:after="0"/>
      </w:pPr>
      <w:r>
        <w:br w:type="page"/>
      </w:r>
      <w:r w:rsidR="00D048C5">
        <w:lastRenderedPageBreak/>
        <w:t>Case Background</w:t>
      </w:r>
    </w:p>
    <w:p w:rsidR="00D048C5" w:rsidRDefault="00D048C5" w:rsidP="00D048C5">
      <w:pPr>
        <w:pStyle w:val="RecommendationMajorSectionHeading"/>
        <w:spacing w:after="0"/>
      </w:pPr>
      <w:r>
        <w:fldChar w:fldCharType="begin"/>
      </w:r>
      <w:r>
        <w:instrText xml:space="preserve"> TC  "</w:instrText>
      </w:r>
      <w:bookmarkStart w:id="11" w:name="_Toc441062473"/>
      <w:r>
        <w:tab/>
        <w:instrText>Case Background</w:instrText>
      </w:r>
      <w:bookmarkEnd w:id="11"/>
      <w:r>
        <w:instrText xml:space="preserve">" \l 1 </w:instrText>
      </w:r>
      <w:r>
        <w:fldChar w:fldCharType="end"/>
      </w:r>
    </w:p>
    <w:p w:rsidR="00D048C5" w:rsidRDefault="00D048C5" w:rsidP="00D048C5">
      <w:pPr>
        <w:jc w:val="both"/>
      </w:pPr>
      <w:r w:rsidRPr="004C139D">
        <w:t>East Marion Utilities, LLC (East Marion</w:t>
      </w:r>
      <w:r>
        <w:t xml:space="preserve"> or u</w:t>
      </w:r>
      <w:r w:rsidRPr="004C139D">
        <w:t xml:space="preserve">tility) is a Class C utility serving </w:t>
      </w:r>
      <w:r>
        <w:t xml:space="preserve">one general service and </w:t>
      </w:r>
      <w:r w:rsidRPr="004C139D">
        <w:t>approximately 100 residential water and wastewater customers in Marion Count</w:t>
      </w:r>
      <w:r>
        <w:t>y</w:t>
      </w:r>
      <w:r w:rsidRPr="004C139D">
        <w:t xml:space="preserve">. Rate base </w:t>
      </w:r>
      <w:r>
        <w:t>w</w:t>
      </w:r>
      <w:r w:rsidRPr="004C139D">
        <w:t xml:space="preserve">as </w:t>
      </w:r>
      <w:r>
        <w:t>last</w:t>
      </w:r>
      <w:r w:rsidRPr="004C139D">
        <w:t xml:space="preserve"> </w:t>
      </w:r>
      <w:r>
        <w:t xml:space="preserve">established </w:t>
      </w:r>
      <w:r w:rsidRPr="004C139D">
        <w:t>by the Commission</w:t>
      </w:r>
      <w:r>
        <w:t xml:space="preserve"> in Order No. PSC-02-1168-PAA-WS.</w:t>
      </w:r>
      <w:r>
        <w:rPr>
          <w:rStyle w:val="FootnoteReference"/>
        </w:rPr>
        <w:footnoteReference w:id="1"/>
      </w:r>
      <w:r>
        <w:t xml:space="preserve"> The net book value </w:t>
      </w:r>
      <w:r w:rsidR="00B140D0">
        <w:t xml:space="preserve">was established </w:t>
      </w:r>
      <w:r>
        <w:t>and current rates were adopted by the Commission</w:t>
      </w:r>
      <w:r w:rsidRPr="004C139D">
        <w:t xml:space="preserve"> in Order No. PSC-15-0576-PAA-WS.</w:t>
      </w:r>
      <w:r w:rsidRPr="004C139D">
        <w:rPr>
          <w:vertAlign w:val="superscript"/>
        </w:rPr>
        <w:footnoteReference w:id="2"/>
      </w:r>
      <w:r w:rsidRPr="004C139D">
        <w:t xml:space="preserve"> According to East Marion’s 2014 annual report, the </w:t>
      </w:r>
      <w:r>
        <w:t>u</w:t>
      </w:r>
      <w:r w:rsidRPr="004C139D">
        <w:t>tility had water and wastewater operating revenues of $23,750 and $35,522, respectively, and operating expenses of $31,504 and $37,071, respectively, resulting in net operating losses of $7,754 and $1,550</w:t>
      </w:r>
      <w:r w:rsidR="00CA6BE9">
        <w:t>, respectively</w:t>
      </w:r>
      <w:r w:rsidRPr="004C139D">
        <w:t>.</w:t>
      </w:r>
    </w:p>
    <w:p w:rsidR="00094505" w:rsidRDefault="00094505" w:rsidP="00D048C5">
      <w:pPr>
        <w:jc w:val="both"/>
      </w:pPr>
    </w:p>
    <w:p w:rsidR="00D048C5" w:rsidRDefault="00D048C5" w:rsidP="00D048C5">
      <w:pPr>
        <w:jc w:val="both"/>
      </w:pPr>
      <w:r>
        <w:t>On December 3, 2015, East Marion filed its application for a staff-assisted rate case. In its application, the utility requested a test year ended December 31, 2015, for final rate purposes.</w:t>
      </w:r>
    </w:p>
    <w:p w:rsidR="00D048C5" w:rsidRDefault="00D048C5" w:rsidP="00D048C5">
      <w:pPr>
        <w:jc w:val="both"/>
      </w:pPr>
    </w:p>
    <w:p w:rsidR="00D048C5" w:rsidRDefault="00D048C5" w:rsidP="00D048C5">
      <w:pPr>
        <w:pStyle w:val="BodyText"/>
        <w:spacing w:after="0"/>
      </w:pPr>
      <w:r>
        <w:t>This recommendation addresses the utility’s interim rates. The Commission has jurisdiction pursuant to Sections 367.082 and</w:t>
      </w:r>
      <w:r>
        <w:rPr>
          <w:color w:val="000000"/>
        </w:rPr>
        <w:t xml:space="preserve"> 367.0814(4),</w:t>
      </w:r>
      <w:r>
        <w:t xml:space="preserve"> Florida Statutes (F.S.).</w:t>
      </w:r>
    </w:p>
    <w:p w:rsidR="00D048C5" w:rsidRDefault="00D048C5">
      <w:pPr>
        <w:rPr>
          <w:rFonts w:ascii="Arial" w:hAnsi="Arial" w:cs="Arial"/>
          <w:b/>
          <w:bCs/>
          <w:kern w:val="32"/>
          <w:szCs w:val="32"/>
        </w:rPr>
      </w:pPr>
    </w:p>
    <w:p w:rsidR="00EA2273" w:rsidRPr="00D048C5" w:rsidRDefault="00EA2273" w:rsidP="00D048C5">
      <w:pPr>
        <w:pStyle w:val="RecommendationMajorSectionHeading"/>
        <w:spacing w:after="0"/>
        <w:sectPr w:rsidR="00EA2273" w:rsidRPr="00D048C5">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rsidP="003F74E0">
      <w:pPr>
        <w:pStyle w:val="RecommendationMajorSectionHeading"/>
        <w:spacing w:after="0"/>
      </w:pPr>
      <w:bookmarkStart w:id="14" w:name="DiscussionOfIssues"/>
      <w:r>
        <w:lastRenderedPageBreak/>
        <w:t>Discussion of Issues</w:t>
      </w:r>
    </w:p>
    <w:p w:rsidR="00094505" w:rsidRPr="00094505" w:rsidRDefault="00094505" w:rsidP="00094505">
      <w:pPr>
        <w:pStyle w:val="BodyText"/>
        <w:spacing w:after="0"/>
      </w:pPr>
    </w:p>
    <w:bookmarkEnd w:id="14"/>
    <w:p w:rsidR="003F74E0" w:rsidRDefault="003F74E0" w:rsidP="003F74E0">
      <w:pPr>
        <w:pStyle w:val="IssueHeading"/>
        <w:spacing w:after="0"/>
        <w:rPr>
          <w:vanish/>
          <w:specVanish/>
        </w:rPr>
      </w:pPr>
      <w:r w:rsidRPr="004C3641">
        <w:t xml:space="preserve">Issue </w:t>
      </w:r>
      <w:r w:rsidR="00485861">
        <w:fldChar w:fldCharType="begin"/>
      </w:r>
      <w:r w:rsidR="00485861">
        <w:instrText xml:space="preserve"> SEQ Issue \* MERGEFORMAT </w:instrText>
      </w:r>
      <w:r w:rsidR="00485861">
        <w:fldChar w:fldCharType="separate"/>
      </w:r>
      <w:r w:rsidR="00FD0AAC">
        <w:rPr>
          <w:noProof/>
        </w:rPr>
        <w:t>1</w:t>
      </w:r>
      <w:r w:rsidR="0048586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5" w:name="_Toc441062474"/>
      <w:r w:rsidR="00FD0AAC">
        <w:rPr>
          <w:noProof/>
        </w:rPr>
        <w:instrText>1</w:instrText>
      </w:r>
      <w:r>
        <w:fldChar w:fldCharType="end"/>
      </w:r>
      <w:r>
        <w:tab/>
      </w:r>
      <w:r w:rsidR="00CB4C06">
        <w:instrText>Interim Revenue</w:instrText>
      </w:r>
      <w:r w:rsidR="005B124D">
        <w:instrText>s</w:instrText>
      </w:r>
      <w:bookmarkEnd w:id="15"/>
      <w:r>
        <w:instrText xml:space="preserve">" \l 1 </w:instrText>
      </w:r>
      <w:r>
        <w:fldChar w:fldCharType="end"/>
      </w:r>
      <w:r>
        <w:t> </w:t>
      </w:r>
    </w:p>
    <w:p w:rsidR="003F74E0" w:rsidRDefault="003F74E0" w:rsidP="003F74E0">
      <w:pPr>
        <w:pStyle w:val="BodyText"/>
        <w:spacing w:after="0"/>
      </w:pPr>
      <w:r>
        <w:t> Should an interim revenue increase be approved?</w:t>
      </w:r>
    </w:p>
    <w:p w:rsidR="009E53F7" w:rsidRDefault="009E53F7" w:rsidP="003F74E0">
      <w:pPr>
        <w:pStyle w:val="BodyText"/>
        <w:spacing w:after="0"/>
      </w:pPr>
    </w:p>
    <w:p w:rsidR="003F74E0" w:rsidRPr="004C3641" w:rsidRDefault="003F74E0" w:rsidP="003F74E0">
      <w:pPr>
        <w:pStyle w:val="IssueSubsectionHeading"/>
        <w:spacing w:after="0"/>
        <w:rPr>
          <w:vanish/>
          <w:specVanish/>
        </w:rPr>
      </w:pPr>
      <w:r w:rsidRPr="004C3641">
        <w:t>Recommendation: </w:t>
      </w:r>
    </w:p>
    <w:p w:rsidR="003F74E0" w:rsidRDefault="003F74E0" w:rsidP="003F74E0">
      <w:pPr>
        <w:pStyle w:val="BodyText"/>
        <w:spacing w:after="0"/>
      </w:pPr>
      <w:r>
        <w:t> Yes</w:t>
      </w:r>
      <w:r w:rsidR="00244E00">
        <w:t>-</w:t>
      </w:r>
      <w:r>
        <w:t xml:space="preserve"> East Marion should be authorized to collect interim revenues as indicated below:</w:t>
      </w:r>
    </w:p>
    <w:p w:rsidR="003F74E0" w:rsidRDefault="003F74E0" w:rsidP="003F74E0">
      <w:pPr>
        <w:pStyle w:val="BodyText"/>
        <w:spacing w:after="0"/>
      </w:pPr>
    </w:p>
    <w:p w:rsidR="003F74E0" w:rsidRDefault="003F74E0" w:rsidP="003F74E0">
      <w:pPr>
        <w:pStyle w:val="BodyText"/>
        <w:spacing w:after="0"/>
      </w:pPr>
    </w:p>
    <w:tbl>
      <w:tblPr>
        <w:tblW w:w="0" w:type="auto"/>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0" w:type="dxa"/>
          <w:right w:w="110" w:type="dxa"/>
        </w:tblCellMar>
        <w:tblLook w:val="0000" w:firstRow="0" w:lastRow="0" w:firstColumn="0" w:lastColumn="0" w:noHBand="0" w:noVBand="0"/>
      </w:tblPr>
      <w:tblGrid>
        <w:gridCol w:w="1425"/>
        <w:gridCol w:w="1710"/>
        <w:gridCol w:w="1539"/>
        <w:gridCol w:w="1596"/>
        <w:gridCol w:w="1368"/>
      </w:tblGrid>
      <w:tr w:rsidR="003F74E0" w:rsidRPr="00180864" w:rsidTr="001506ED">
        <w:trPr>
          <w:cantSplit/>
        </w:trPr>
        <w:tc>
          <w:tcPr>
            <w:tcW w:w="1425" w:type="dxa"/>
          </w:tcPr>
          <w:p w:rsidR="003F74E0" w:rsidRPr="00180864" w:rsidRDefault="003F74E0" w:rsidP="003F74E0">
            <w:pPr>
              <w:rPr>
                <w:color w:val="000000"/>
              </w:rPr>
            </w:pPr>
            <w:r w:rsidRPr="00180864">
              <w:rPr>
                <w:color w:val="000000"/>
                <w:lang w:val="en-CA"/>
              </w:rPr>
              <w:fldChar w:fldCharType="begin"/>
            </w:r>
            <w:r w:rsidRPr="00180864">
              <w:rPr>
                <w:color w:val="000000"/>
                <w:lang w:val="en-CA"/>
              </w:rPr>
              <w:instrText xml:space="preserve"> SEQ CHAPTER \h \r 1</w:instrText>
            </w:r>
            <w:r w:rsidRPr="00180864">
              <w:rPr>
                <w:color w:val="000000"/>
                <w:lang w:val="en-CA"/>
              </w:rPr>
              <w:fldChar w:fldCharType="end"/>
            </w:r>
          </w:p>
        </w:tc>
        <w:tc>
          <w:tcPr>
            <w:tcW w:w="1710" w:type="dxa"/>
          </w:tcPr>
          <w:p w:rsidR="003F74E0" w:rsidRPr="003F74E0" w:rsidRDefault="003F74E0" w:rsidP="003F74E0">
            <w:pPr>
              <w:jc w:val="center"/>
              <w:rPr>
                <w:b/>
                <w:color w:val="000000"/>
                <w:sz w:val="22"/>
              </w:rPr>
            </w:pPr>
            <w:r w:rsidRPr="003F74E0">
              <w:rPr>
                <w:b/>
                <w:color w:val="000000"/>
                <w:sz w:val="22"/>
              </w:rPr>
              <w:t>Adjusted Test</w:t>
            </w:r>
          </w:p>
          <w:p w:rsidR="003F74E0" w:rsidRPr="003F74E0" w:rsidRDefault="003F74E0" w:rsidP="003F74E0">
            <w:pPr>
              <w:jc w:val="center"/>
              <w:rPr>
                <w:b/>
                <w:color w:val="000000"/>
                <w:sz w:val="22"/>
              </w:rPr>
            </w:pPr>
            <w:r w:rsidRPr="003F74E0">
              <w:rPr>
                <w:b/>
                <w:color w:val="000000"/>
                <w:sz w:val="22"/>
              </w:rPr>
              <w:t>Year Revenues</w:t>
            </w:r>
          </w:p>
        </w:tc>
        <w:tc>
          <w:tcPr>
            <w:tcW w:w="1539" w:type="dxa"/>
          </w:tcPr>
          <w:p w:rsidR="003F74E0" w:rsidRPr="003F74E0" w:rsidRDefault="003F74E0" w:rsidP="003F74E0">
            <w:pPr>
              <w:jc w:val="center"/>
              <w:rPr>
                <w:b/>
                <w:color w:val="000000"/>
                <w:sz w:val="22"/>
              </w:rPr>
            </w:pPr>
          </w:p>
          <w:p w:rsidR="003F74E0" w:rsidRPr="003F74E0" w:rsidRDefault="003F74E0" w:rsidP="003F74E0">
            <w:pPr>
              <w:jc w:val="center"/>
              <w:rPr>
                <w:b/>
                <w:color w:val="000000"/>
                <w:sz w:val="22"/>
              </w:rPr>
            </w:pPr>
            <w:r w:rsidRPr="003F74E0">
              <w:rPr>
                <w:b/>
                <w:color w:val="000000"/>
                <w:sz w:val="22"/>
              </w:rPr>
              <w:t xml:space="preserve">$ Increase </w:t>
            </w:r>
          </w:p>
        </w:tc>
        <w:tc>
          <w:tcPr>
            <w:tcW w:w="1596" w:type="dxa"/>
          </w:tcPr>
          <w:p w:rsidR="003F74E0" w:rsidRPr="003F74E0" w:rsidRDefault="003F74E0" w:rsidP="003F74E0">
            <w:pPr>
              <w:jc w:val="center"/>
              <w:rPr>
                <w:b/>
                <w:color w:val="000000"/>
                <w:sz w:val="22"/>
              </w:rPr>
            </w:pPr>
            <w:r w:rsidRPr="003F74E0">
              <w:rPr>
                <w:b/>
                <w:color w:val="000000"/>
                <w:sz w:val="22"/>
              </w:rPr>
              <w:t>Revenue</w:t>
            </w:r>
          </w:p>
          <w:p w:rsidR="003F74E0" w:rsidRPr="003F74E0" w:rsidRDefault="003F74E0" w:rsidP="003F74E0">
            <w:pPr>
              <w:jc w:val="center"/>
              <w:rPr>
                <w:b/>
                <w:color w:val="000000"/>
                <w:sz w:val="22"/>
              </w:rPr>
            </w:pPr>
            <w:r w:rsidRPr="003F74E0">
              <w:rPr>
                <w:b/>
                <w:color w:val="000000"/>
                <w:sz w:val="22"/>
              </w:rPr>
              <w:t>Requirement</w:t>
            </w:r>
          </w:p>
        </w:tc>
        <w:tc>
          <w:tcPr>
            <w:tcW w:w="1368" w:type="dxa"/>
          </w:tcPr>
          <w:p w:rsidR="003F74E0" w:rsidRPr="003F74E0" w:rsidRDefault="003F74E0" w:rsidP="003F74E0">
            <w:pPr>
              <w:jc w:val="center"/>
              <w:rPr>
                <w:b/>
                <w:color w:val="000000"/>
                <w:sz w:val="22"/>
              </w:rPr>
            </w:pPr>
          </w:p>
          <w:p w:rsidR="003F74E0" w:rsidRPr="003F74E0" w:rsidRDefault="003F74E0" w:rsidP="003F74E0">
            <w:pPr>
              <w:jc w:val="center"/>
              <w:rPr>
                <w:b/>
                <w:color w:val="000000"/>
                <w:sz w:val="22"/>
              </w:rPr>
            </w:pPr>
            <w:r w:rsidRPr="003F74E0">
              <w:rPr>
                <w:b/>
                <w:color w:val="000000"/>
                <w:sz w:val="22"/>
              </w:rPr>
              <w:t>% Increase</w:t>
            </w:r>
          </w:p>
        </w:tc>
      </w:tr>
      <w:tr w:rsidR="003F74E0" w:rsidRPr="00180864" w:rsidTr="001506ED">
        <w:trPr>
          <w:cantSplit/>
        </w:trPr>
        <w:tc>
          <w:tcPr>
            <w:tcW w:w="1425" w:type="dxa"/>
          </w:tcPr>
          <w:p w:rsidR="003F74E0" w:rsidRPr="00180864" w:rsidRDefault="003F74E0" w:rsidP="003F74E0">
            <w:pPr>
              <w:rPr>
                <w:color w:val="000000"/>
              </w:rPr>
            </w:pPr>
            <w:r>
              <w:rPr>
                <w:color w:val="000000"/>
              </w:rPr>
              <w:t>Water</w:t>
            </w:r>
          </w:p>
        </w:tc>
        <w:tc>
          <w:tcPr>
            <w:tcW w:w="1710" w:type="dxa"/>
          </w:tcPr>
          <w:p w:rsidR="003F74E0" w:rsidRPr="00180864" w:rsidRDefault="003F74E0" w:rsidP="003F74E0">
            <w:pPr>
              <w:jc w:val="center"/>
              <w:rPr>
                <w:color w:val="000000"/>
              </w:rPr>
            </w:pPr>
            <w:r w:rsidRPr="00D74265">
              <w:t>$</w:t>
            </w:r>
            <w:r>
              <w:t>23,750</w:t>
            </w:r>
          </w:p>
        </w:tc>
        <w:tc>
          <w:tcPr>
            <w:tcW w:w="1539" w:type="dxa"/>
          </w:tcPr>
          <w:p w:rsidR="003F74E0" w:rsidRPr="00180864" w:rsidRDefault="003F74E0" w:rsidP="00346735">
            <w:pPr>
              <w:jc w:val="center"/>
              <w:rPr>
                <w:color w:val="000000"/>
              </w:rPr>
            </w:pPr>
            <w:r w:rsidRPr="00D74265">
              <w:t>$</w:t>
            </w:r>
            <w:r>
              <w:t>4,</w:t>
            </w:r>
            <w:r w:rsidR="00346735">
              <w:t>316</w:t>
            </w:r>
          </w:p>
        </w:tc>
        <w:tc>
          <w:tcPr>
            <w:tcW w:w="1596" w:type="dxa"/>
          </w:tcPr>
          <w:p w:rsidR="003F74E0" w:rsidRPr="00180864" w:rsidRDefault="003F74E0" w:rsidP="00346735">
            <w:pPr>
              <w:jc w:val="center"/>
              <w:rPr>
                <w:color w:val="000000"/>
              </w:rPr>
            </w:pPr>
            <w:r>
              <w:t>$2</w:t>
            </w:r>
            <w:r w:rsidR="00346735">
              <w:t>8,066</w:t>
            </w:r>
          </w:p>
        </w:tc>
        <w:tc>
          <w:tcPr>
            <w:tcW w:w="1368" w:type="dxa"/>
          </w:tcPr>
          <w:p w:rsidR="003F74E0" w:rsidRPr="00180864" w:rsidRDefault="003F74E0" w:rsidP="00346735">
            <w:pPr>
              <w:jc w:val="center"/>
              <w:rPr>
                <w:color w:val="000000"/>
              </w:rPr>
            </w:pPr>
            <w:r>
              <w:rPr>
                <w:color w:val="000000"/>
              </w:rPr>
              <w:t>1</w:t>
            </w:r>
            <w:r w:rsidR="00346735">
              <w:rPr>
                <w:color w:val="000000"/>
              </w:rPr>
              <w:t>8.17</w:t>
            </w:r>
            <w:r>
              <w:rPr>
                <w:color w:val="000000"/>
              </w:rPr>
              <w:t>%</w:t>
            </w:r>
          </w:p>
        </w:tc>
      </w:tr>
      <w:tr w:rsidR="003F74E0" w:rsidRPr="00180864" w:rsidTr="001506ED">
        <w:trPr>
          <w:cantSplit/>
        </w:trPr>
        <w:tc>
          <w:tcPr>
            <w:tcW w:w="1425" w:type="dxa"/>
          </w:tcPr>
          <w:p w:rsidR="003F74E0" w:rsidRDefault="003F74E0" w:rsidP="003F74E0">
            <w:pPr>
              <w:rPr>
                <w:color w:val="000000"/>
              </w:rPr>
            </w:pPr>
            <w:r>
              <w:rPr>
                <w:color w:val="000000"/>
              </w:rPr>
              <w:t>Wastewater</w:t>
            </w:r>
          </w:p>
        </w:tc>
        <w:tc>
          <w:tcPr>
            <w:tcW w:w="1710" w:type="dxa"/>
          </w:tcPr>
          <w:p w:rsidR="003F74E0" w:rsidRPr="00D74265" w:rsidRDefault="003F74E0" w:rsidP="003F74E0">
            <w:pPr>
              <w:jc w:val="center"/>
            </w:pPr>
            <w:r>
              <w:t>$35,522</w:t>
            </w:r>
          </w:p>
        </w:tc>
        <w:tc>
          <w:tcPr>
            <w:tcW w:w="1539" w:type="dxa"/>
          </w:tcPr>
          <w:p w:rsidR="003F74E0" w:rsidRPr="00D74265" w:rsidRDefault="003F74E0" w:rsidP="003F74E0">
            <w:pPr>
              <w:jc w:val="center"/>
            </w:pPr>
            <w:r>
              <w:t>$0</w:t>
            </w:r>
          </w:p>
        </w:tc>
        <w:tc>
          <w:tcPr>
            <w:tcW w:w="1596" w:type="dxa"/>
          </w:tcPr>
          <w:p w:rsidR="003F74E0" w:rsidRDefault="00B140D0" w:rsidP="003F74E0">
            <w:pPr>
              <w:jc w:val="center"/>
              <w:rPr>
                <w:color w:val="000000"/>
              </w:rPr>
            </w:pPr>
            <w:r>
              <w:rPr>
                <w:color w:val="000000"/>
              </w:rPr>
              <w:t>$35,522</w:t>
            </w:r>
          </w:p>
        </w:tc>
        <w:tc>
          <w:tcPr>
            <w:tcW w:w="1368" w:type="dxa"/>
          </w:tcPr>
          <w:p w:rsidR="003F74E0" w:rsidRDefault="003F74E0" w:rsidP="003F74E0">
            <w:pPr>
              <w:jc w:val="center"/>
            </w:pPr>
            <w:r>
              <w:t>0%</w:t>
            </w:r>
          </w:p>
        </w:tc>
      </w:tr>
    </w:tbl>
    <w:p w:rsidR="003F74E0" w:rsidRDefault="003F74E0" w:rsidP="003F74E0">
      <w:pPr>
        <w:pStyle w:val="BodyText"/>
        <w:spacing w:after="0"/>
      </w:pPr>
    </w:p>
    <w:p w:rsidR="009E53F7" w:rsidRDefault="009E53F7" w:rsidP="003F74E0">
      <w:pPr>
        <w:pStyle w:val="BodyText"/>
        <w:spacing w:after="0"/>
      </w:pPr>
    </w:p>
    <w:p w:rsidR="003F74E0" w:rsidRDefault="003F74E0" w:rsidP="003F74E0">
      <w:pPr>
        <w:pStyle w:val="BodyText"/>
        <w:spacing w:after="0"/>
      </w:pPr>
      <w:r w:rsidRPr="005F795C">
        <w:t xml:space="preserve">Revenues are sufficient to cover staff-adjusted O&amp;M expenses for the </w:t>
      </w:r>
      <w:r w:rsidR="00644742">
        <w:t>wastewater system,</w:t>
      </w:r>
      <w:r>
        <w:t xml:space="preserve"> but not the </w:t>
      </w:r>
      <w:r w:rsidRPr="005F795C">
        <w:t xml:space="preserve">water system. As such, an interim revenue increase is warranted for the water system but not the </w:t>
      </w:r>
      <w:r>
        <w:t>waste</w:t>
      </w:r>
      <w:r w:rsidRPr="005F795C">
        <w:t>water system.</w:t>
      </w:r>
      <w:r>
        <w:t xml:space="preserve"> (Vogel)</w:t>
      </w:r>
    </w:p>
    <w:p w:rsidR="003F74E0" w:rsidRDefault="003F74E0" w:rsidP="003F74E0">
      <w:pPr>
        <w:pStyle w:val="BodyText"/>
        <w:spacing w:after="0"/>
      </w:pPr>
    </w:p>
    <w:p w:rsidR="003F74E0" w:rsidRPr="004C3641" w:rsidRDefault="003F74E0" w:rsidP="003F74E0">
      <w:pPr>
        <w:pStyle w:val="IssueSubsectionHeading"/>
        <w:spacing w:after="0"/>
        <w:rPr>
          <w:vanish/>
          <w:specVanish/>
        </w:rPr>
      </w:pPr>
      <w:r w:rsidRPr="004C3641">
        <w:t>Staff Analysis: </w:t>
      </w:r>
    </w:p>
    <w:p w:rsidR="009E53F7" w:rsidRDefault="003F74E0" w:rsidP="009E53F7">
      <w:pPr>
        <w:numPr>
          <w:ilvl w:val="0"/>
          <w:numId w:val="1"/>
        </w:numPr>
        <w:tabs>
          <w:tab w:val="clear" w:pos="360"/>
        </w:tabs>
        <w:ind w:left="0" w:firstLine="720"/>
        <w:jc w:val="both"/>
      </w:pPr>
      <w:r>
        <w:t> </w:t>
      </w:r>
      <w:r w:rsidR="009E53F7" w:rsidRPr="00961D82">
        <w:t xml:space="preserve">On December </w:t>
      </w:r>
      <w:r w:rsidR="009E53F7">
        <w:t>3</w:t>
      </w:r>
      <w:r w:rsidR="009E53F7" w:rsidRPr="00961D82">
        <w:t>, 201</w:t>
      </w:r>
      <w:r w:rsidR="009E53F7">
        <w:t>5</w:t>
      </w:r>
      <w:r w:rsidR="009E53F7" w:rsidRPr="00961D82">
        <w:t xml:space="preserve">, </w:t>
      </w:r>
      <w:r w:rsidR="009E53F7">
        <w:t>East Marion</w:t>
      </w:r>
      <w:r w:rsidR="009E53F7" w:rsidRPr="00961D82">
        <w:t xml:space="preserve"> filed an </w:t>
      </w:r>
      <w:r w:rsidR="009E53F7">
        <w:t xml:space="preserve">application requesting an </w:t>
      </w:r>
      <w:r w:rsidR="009E53F7" w:rsidRPr="00961D82">
        <w:t xml:space="preserve">interim increase in water and wastewater rates. Section 367.0814(4), F.S., </w:t>
      </w:r>
      <w:r w:rsidR="009E53F7">
        <w:t xml:space="preserve">details interim rate increases for </w:t>
      </w:r>
      <w:r w:rsidR="009E53F7" w:rsidRPr="00961D82">
        <w:t>staff-assisted rate cases.</w:t>
      </w:r>
    </w:p>
    <w:p w:rsidR="009E53F7" w:rsidRPr="00961D82" w:rsidRDefault="009E53F7" w:rsidP="009E53F7">
      <w:pPr>
        <w:ind w:left="720"/>
        <w:jc w:val="both"/>
      </w:pPr>
    </w:p>
    <w:p w:rsidR="009E53F7" w:rsidRDefault="009E53F7" w:rsidP="009E53F7">
      <w:pPr>
        <w:ind w:left="720"/>
        <w:jc w:val="both"/>
      </w:pPr>
      <w:r w:rsidRPr="00961D82">
        <w:t>Section 367.0814(4), F.S., states:</w:t>
      </w:r>
    </w:p>
    <w:p w:rsidR="009E53F7" w:rsidRPr="00961D82" w:rsidRDefault="009E53F7" w:rsidP="009E53F7">
      <w:pPr>
        <w:ind w:left="720"/>
        <w:jc w:val="both"/>
      </w:pPr>
    </w:p>
    <w:p w:rsidR="009E53F7" w:rsidRDefault="009E53F7" w:rsidP="009E53F7">
      <w:pPr>
        <w:ind w:left="720" w:right="720"/>
        <w:jc w:val="both"/>
      </w:pPr>
      <w:r w:rsidRPr="00961D82">
        <w:t>(4) The commission may, upon its own motion, or upon petition from the regulated utility, authorize the collection of interim rates until the effective date of the final order. Such interim rates may be based upon a test period different from the test period used in the request for permanent rate relief. To establish interim relief, there must be a demonstration that the operation and maintenance expenses exceed the revenues of the regulated utility, and interim rates shall not exceed the level necessary to cover operation and maintenance expenses as defined by the Uniform System of Accounts for Class C Water and Wastewater Utilities (1996) of the National Association of Regulatory Utility Commissioners.</w:t>
      </w:r>
    </w:p>
    <w:p w:rsidR="009E53F7" w:rsidRDefault="009E53F7" w:rsidP="009E53F7">
      <w:pPr>
        <w:ind w:left="720" w:right="720"/>
        <w:jc w:val="both"/>
      </w:pPr>
    </w:p>
    <w:p w:rsidR="009E53F7" w:rsidRDefault="009E53F7" w:rsidP="00A77D96">
      <w:pPr>
        <w:jc w:val="both"/>
      </w:pPr>
      <w:r w:rsidRPr="00961D82">
        <w:t xml:space="preserve">Staff has reviewed the </w:t>
      </w:r>
      <w:r>
        <w:t>u</w:t>
      </w:r>
      <w:r w:rsidRPr="00961D82">
        <w:t xml:space="preserve">tility’s filed O&amp;M expenses in relation to its revenues. Based on the </w:t>
      </w:r>
      <w:r>
        <w:t>u</w:t>
      </w:r>
      <w:r w:rsidRPr="00961D82">
        <w:t xml:space="preserve">tility’s filing, staff recommends that </w:t>
      </w:r>
      <w:r>
        <w:t>East Marion</w:t>
      </w:r>
      <w:r w:rsidRPr="00961D82">
        <w:t xml:space="preserve"> has demonstrated a </w:t>
      </w:r>
      <w:r w:rsidRPr="00244E00">
        <w:rPr>
          <w:i/>
        </w:rPr>
        <w:t>prima facie</w:t>
      </w:r>
      <w:r w:rsidRPr="00961D82">
        <w:t xml:space="preserve"> entitlement </w:t>
      </w:r>
      <w:r w:rsidR="0095561D">
        <w:t xml:space="preserve">to an interim rate increase </w:t>
      </w:r>
      <w:r w:rsidRPr="00961D82">
        <w:t>in accordance with Section 367.0814</w:t>
      </w:r>
      <w:r w:rsidR="00CA6BE9">
        <w:t>(4), F.S., for the water system</w:t>
      </w:r>
      <w:r w:rsidRPr="00961D82">
        <w:t xml:space="preserve"> but not for the </w:t>
      </w:r>
      <w:r>
        <w:t>waste</w:t>
      </w:r>
      <w:r w:rsidRPr="00961D82">
        <w:t>water system.</w:t>
      </w:r>
    </w:p>
    <w:p w:rsidR="009E53F7" w:rsidRPr="00961D82" w:rsidRDefault="009E53F7" w:rsidP="00A77D96">
      <w:pPr>
        <w:jc w:val="both"/>
      </w:pPr>
    </w:p>
    <w:p w:rsidR="009E53F7" w:rsidRPr="00082F86" w:rsidRDefault="009E53F7" w:rsidP="009E53F7">
      <w:pPr>
        <w:rPr>
          <w:rFonts w:ascii="Arial" w:hAnsi="Arial" w:cs="Arial"/>
          <w:b/>
          <w:bCs/>
          <w:i/>
          <w:iCs/>
          <w:szCs w:val="28"/>
        </w:rPr>
      </w:pPr>
      <w:r w:rsidRPr="00082F86">
        <w:rPr>
          <w:rFonts w:ascii="Arial" w:hAnsi="Arial" w:cs="Arial"/>
          <w:b/>
          <w:bCs/>
          <w:i/>
          <w:iCs/>
          <w:szCs w:val="28"/>
        </w:rPr>
        <w:t>R</w:t>
      </w:r>
      <w:r w:rsidR="00082F86">
        <w:rPr>
          <w:rFonts w:ascii="Arial" w:hAnsi="Arial" w:cs="Arial"/>
          <w:b/>
          <w:bCs/>
          <w:i/>
          <w:iCs/>
          <w:szCs w:val="28"/>
        </w:rPr>
        <w:t>evenue</w:t>
      </w:r>
      <w:r w:rsidRPr="00082F86">
        <w:rPr>
          <w:rFonts w:ascii="Arial" w:hAnsi="Arial" w:cs="Arial"/>
          <w:b/>
          <w:bCs/>
          <w:i/>
          <w:iCs/>
          <w:szCs w:val="28"/>
        </w:rPr>
        <w:t xml:space="preserve"> </w:t>
      </w:r>
      <w:r w:rsidR="00082F86">
        <w:rPr>
          <w:rFonts w:ascii="Arial" w:hAnsi="Arial" w:cs="Arial"/>
          <w:b/>
          <w:bCs/>
          <w:i/>
          <w:iCs/>
          <w:szCs w:val="28"/>
        </w:rPr>
        <w:t>Increase</w:t>
      </w:r>
    </w:p>
    <w:p w:rsidR="009E53F7" w:rsidRPr="00961D82" w:rsidRDefault="009E53F7" w:rsidP="009E53F7">
      <w:pPr>
        <w:jc w:val="both"/>
      </w:pPr>
      <w:r w:rsidRPr="00961D82">
        <w:t>In order to establish interim rate relief as prescribed by Section 367.081</w:t>
      </w:r>
      <w:r>
        <w:t>4(4), F.S., staff utilized the u</w:t>
      </w:r>
      <w:r w:rsidRPr="00961D82">
        <w:t xml:space="preserve">tility’s revenues </w:t>
      </w:r>
      <w:r w:rsidR="00082F86">
        <w:t>reflected in</w:t>
      </w:r>
      <w:r w:rsidRPr="00961D82">
        <w:t xml:space="preserve"> </w:t>
      </w:r>
      <w:r>
        <w:t>its</w:t>
      </w:r>
      <w:r w:rsidRPr="00961D82">
        <w:t xml:space="preserve"> filing</w:t>
      </w:r>
      <w:r>
        <w:t xml:space="preserve">. The </w:t>
      </w:r>
      <w:r w:rsidR="00082F86">
        <w:t xml:space="preserve">filed </w:t>
      </w:r>
      <w:r>
        <w:t>revenues</w:t>
      </w:r>
      <w:r w:rsidRPr="00961D82">
        <w:t xml:space="preserve"> exceeded O&amp;M expenses for the </w:t>
      </w:r>
      <w:r w:rsidR="00346735">
        <w:t>waste</w:t>
      </w:r>
      <w:r w:rsidRPr="00961D82">
        <w:t>water system</w:t>
      </w:r>
      <w:r w:rsidR="00FC2A17">
        <w:t>, but not for the water system.</w:t>
      </w:r>
      <w:r w:rsidRPr="00961D82">
        <w:t xml:space="preserve"> Thus, staff recommends an interim increase for the water system only. The difference between the </w:t>
      </w:r>
      <w:r w:rsidR="00346735">
        <w:t>u</w:t>
      </w:r>
      <w:r w:rsidRPr="00961D82">
        <w:t xml:space="preserve">tility’s revenues and the </w:t>
      </w:r>
      <w:r w:rsidR="00346735">
        <w:t xml:space="preserve">O&amp;M expenses for </w:t>
      </w:r>
      <w:r w:rsidRPr="00961D82">
        <w:t>water is $</w:t>
      </w:r>
      <w:r w:rsidR="00346735">
        <w:t>4,130</w:t>
      </w:r>
      <w:r w:rsidR="00CA6BE9">
        <w:t>.</w:t>
      </w:r>
    </w:p>
    <w:p w:rsidR="009E53F7" w:rsidRDefault="009E53F7" w:rsidP="009E53F7">
      <w:pPr>
        <w:jc w:val="both"/>
      </w:pPr>
      <w:r w:rsidRPr="00961D82">
        <w:lastRenderedPageBreak/>
        <w:t>In addition, the interim water increase should be grossed up to include reg</w:t>
      </w:r>
      <w:r w:rsidR="00346735">
        <w:t xml:space="preserve">ulatory assessment fees (RAFs). </w:t>
      </w:r>
      <w:r w:rsidRPr="00961D82">
        <w:t>The Commission has previously determined that it would be inappropriate to approve an increase in a utility’s rates to cover its operating expenses and deny that same utility the funds to pay RAFs.</w:t>
      </w:r>
      <w:r w:rsidRPr="00961D82">
        <w:rPr>
          <w:vertAlign w:val="superscript"/>
        </w:rPr>
        <w:footnoteReference w:id="3"/>
      </w:r>
      <w:r w:rsidRPr="00961D82">
        <w:t xml:space="preserve"> Furthermore, by approving an interim rate increase that allow</w:t>
      </w:r>
      <w:r w:rsidR="00346735">
        <w:t>s for the payment of RAFs, the u</w:t>
      </w:r>
      <w:r w:rsidRPr="00961D82">
        <w:t xml:space="preserve">tility </w:t>
      </w:r>
      <w:r w:rsidR="0095561D">
        <w:t>should</w:t>
      </w:r>
      <w:r w:rsidRPr="00961D82">
        <w:t xml:space="preserve"> be able t</w:t>
      </w:r>
      <w:r w:rsidR="00346735">
        <w:t>o fully cover its O&amp;M expenses.</w:t>
      </w:r>
      <w:r w:rsidRPr="00961D82">
        <w:t xml:space="preserve"> The RAFs associated with the interim i</w:t>
      </w:r>
      <w:r w:rsidR="00346735">
        <w:t>ncrease is calculated to be $186</w:t>
      </w:r>
      <w:r w:rsidRPr="00961D82">
        <w:t xml:space="preserve"> ($</w:t>
      </w:r>
      <w:r w:rsidR="00346735">
        <w:t>4,130</w:t>
      </w:r>
      <w:r w:rsidRPr="00961D82">
        <w:t xml:space="preserve"> x 4.5%).</w:t>
      </w:r>
    </w:p>
    <w:p w:rsidR="009E53F7" w:rsidRPr="00961D82" w:rsidRDefault="009E53F7" w:rsidP="009E53F7">
      <w:pPr>
        <w:jc w:val="both"/>
      </w:pPr>
    </w:p>
    <w:p w:rsidR="009E53F7" w:rsidRDefault="009E53F7" w:rsidP="009E53F7">
      <w:pPr>
        <w:jc w:val="both"/>
      </w:pPr>
      <w:r w:rsidRPr="00961D82">
        <w:t xml:space="preserve">In total, </w:t>
      </w:r>
      <w:r w:rsidR="00346735">
        <w:t>East Marion</w:t>
      </w:r>
      <w:r w:rsidRPr="00961D82">
        <w:t xml:space="preserve"> should be allowed an interim water revenue increase of $</w:t>
      </w:r>
      <w:r w:rsidR="00346735">
        <w:t>4,316</w:t>
      </w:r>
      <w:r w:rsidRPr="00961D82">
        <w:t xml:space="preserve"> ($</w:t>
      </w:r>
      <w:r w:rsidR="00346735">
        <w:t>4,130</w:t>
      </w:r>
      <w:r w:rsidRPr="00961D82">
        <w:t xml:space="preserve"> + $</w:t>
      </w:r>
      <w:r w:rsidR="00346735">
        <w:t>186</w:t>
      </w:r>
      <w:r w:rsidRPr="00961D82">
        <w:t>) in order to produce revenues sufficient to cove</w:t>
      </w:r>
      <w:r w:rsidR="00FC2A17">
        <w:t xml:space="preserve">r water O&amp;M expenses and RAFs. </w:t>
      </w:r>
      <w:r w:rsidRPr="00961D82">
        <w:t>Thus, staff recommends the appropriate interim revenue requirement should be $</w:t>
      </w:r>
      <w:r w:rsidR="00346735">
        <w:t xml:space="preserve">28,066 for </w:t>
      </w:r>
      <w:r w:rsidR="00FC2A17">
        <w:t>water.</w:t>
      </w:r>
      <w:r w:rsidRPr="00961D82">
        <w:t xml:space="preserve"> This is a</w:t>
      </w:r>
      <w:r w:rsidR="00FC2A17">
        <w:t>n</w:t>
      </w:r>
      <w:r w:rsidRPr="00961D82">
        <w:t xml:space="preserve"> </w:t>
      </w:r>
      <w:r w:rsidR="00346735">
        <w:t>18.17 percent increase above the u</w:t>
      </w:r>
      <w:r w:rsidRPr="00961D82">
        <w:t>tility’s 201</w:t>
      </w:r>
      <w:r w:rsidR="00346735">
        <w:t>4</w:t>
      </w:r>
      <w:r w:rsidRPr="00961D82">
        <w:t xml:space="preserve"> water revenues of $</w:t>
      </w:r>
      <w:r w:rsidR="00346735">
        <w:t>23,750</w:t>
      </w:r>
      <w:r w:rsidR="00FC2A17">
        <w:t xml:space="preserve">. </w:t>
      </w:r>
      <w:r w:rsidRPr="00961D82">
        <w:t xml:space="preserve">Table </w:t>
      </w:r>
      <w:r>
        <w:t>1</w:t>
      </w:r>
      <w:r w:rsidRPr="00961D82">
        <w:t xml:space="preserve"> illustrates staff’s interim increase calculation.</w:t>
      </w:r>
    </w:p>
    <w:p w:rsidR="00346735" w:rsidRDefault="00346735" w:rsidP="009E53F7">
      <w:pPr>
        <w:jc w:val="both"/>
      </w:pPr>
    </w:p>
    <w:p w:rsidR="00346735" w:rsidRPr="00961D82" w:rsidRDefault="00346735" w:rsidP="009E53F7">
      <w:pPr>
        <w:jc w:val="both"/>
      </w:pPr>
    </w:p>
    <w:p w:rsidR="009E53F7" w:rsidRPr="00D048C5" w:rsidRDefault="00D048C5" w:rsidP="00D048C5">
      <w:pPr>
        <w:jc w:val="center"/>
        <w:rPr>
          <w:rFonts w:ascii="Arial" w:hAnsi="Arial" w:cs="Arial"/>
          <w:b/>
        </w:rPr>
      </w:pPr>
      <w:r w:rsidRPr="00D048C5">
        <w:rPr>
          <w:rFonts w:ascii="Arial" w:hAnsi="Arial" w:cs="Arial"/>
          <w:b/>
        </w:rPr>
        <w:t xml:space="preserve">Table </w:t>
      </w:r>
      <w:r w:rsidR="00BB2264" w:rsidRPr="00D048C5">
        <w:rPr>
          <w:rFonts w:ascii="Arial" w:hAnsi="Arial" w:cs="Arial"/>
          <w:b/>
        </w:rPr>
        <w:t>1</w:t>
      </w:r>
    </w:p>
    <w:tbl>
      <w:tblPr>
        <w:tblW w:w="8563" w:type="dxa"/>
        <w:jc w:val="center"/>
        <w:tblLook w:val="04A0" w:firstRow="1" w:lastRow="0" w:firstColumn="1" w:lastColumn="0" w:noHBand="0" w:noVBand="1"/>
      </w:tblPr>
      <w:tblGrid>
        <w:gridCol w:w="6230"/>
        <w:gridCol w:w="1078"/>
        <w:gridCol w:w="1255"/>
      </w:tblGrid>
      <w:tr w:rsidR="009E53F7" w:rsidRPr="00D048C5" w:rsidTr="00346735">
        <w:trPr>
          <w:trHeight w:hRule="exact" w:val="331"/>
          <w:jc w:val="center"/>
        </w:trPr>
        <w:tc>
          <w:tcPr>
            <w:tcW w:w="8563" w:type="dxa"/>
            <w:gridSpan w:val="3"/>
            <w:tcBorders>
              <w:bottom w:val="single" w:sz="4" w:space="0" w:color="auto"/>
            </w:tcBorders>
            <w:shd w:val="clear" w:color="auto" w:fill="auto"/>
            <w:noWrap/>
            <w:vAlign w:val="bottom"/>
          </w:tcPr>
          <w:p w:rsidR="009E53F7" w:rsidRPr="00D048C5" w:rsidRDefault="009E53F7" w:rsidP="00D048C5">
            <w:pPr>
              <w:jc w:val="center"/>
              <w:rPr>
                <w:rFonts w:ascii="Arial" w:hAnsi="Arial" w:cs="Arial"/>
                <w:b/>
              </w:rPr>
            </w:pPr>
            <w:r w:rsidRPr="00D048C5">
              <w:rPr>
                <w:rFonts w:ascii="Arial" w:hAnsi="Arial" w:cs="Arial"/>
                <w:b/>
              </w:rPr>
              <w:t>Determination of Interim Increase</w:t>
            </w:r>
          </w:p>
        </w:tc>
      </w:tr>
      <w:tr w:rsidR="009E53F7" w:rsidRPr="00961D82" w:rsidTr="001506ED">
        <w:trPr>
          <w:trHeight w:hRule="exact" w:val="331"/>
          <w:jc w:val="center"/>
        </w:trPr>
        <w:tc>
          <w:tcPr>
            <w:tcW w:w="6230" w:type="dxa"/>
            <w:tcBorders>
              <w:top w:val="single" w:sz="4" w:space="0" w:color="auto"/>
              <w:left w:val="single" w:sz="4" w:space="0" w:color="auto"/>
              <w:right w:val="single" w:sz="4" w:space="0" w:color="auto"/>
            </w:tcBorders>
            <w:shd w:val="clear" w:color="auto" w:fill="auto"/>
            <w:noWrap/>
            <w:vAlign w:val="bottom"/>
            <w:hideMark/>
          </w:tcPr>
          <w:p w:rsidR="009E53F7" w:rsidRPr="00961D82" w:rsidRDefault="009E53F7" w:rsidP="009E53F7">
            <w:pPr>
              <w:jc w:val="center"/>
              <w:rPr>
                <w:color w:val="000000"/>
                <w:sz w:val="22"/>
                <w:szCs w:val="22"/>
              </w:rPr>
            </w:pPr>
          </w:p>
        </w:tc>
        <w:tc>
          <w:tcPr>
            <w:tcW w:w="1078" w:type="dxa"/>
            <w:tcBorders>
              <w:top w:val="single" w:sz="4" w:space="0" w:color="auto"/>
              <w:left w:val="nil"/>
              <w:bottom w:val="nil"/>
              <w:right w:val="nil"/>
            </w:tcBorders>
            <w:shd w:val="clear" w:color="auto" w:fill="auto"/>
            <w:noWrap/>
            <w:vAlign w:val="bottom"/>
            <w:hideMark/>
          </w:tcPr>
          <w:p w:rsidR="009E53F7" w:rsidRPr="00961D82" w:rsidRDefault="009E53F7" w:rsidP="009E53F7">
            <w:pPr>
              <w:jc w:val="center"/>
              <w:rPr>
                <w:color w:val="000000"/>
                <w:sz w:val="22"/>
                <w:szCs w:val="22"/>
              </w:rPr>
            </w:pPr>
            <w:r w:rsidRPr="00961D82">
              <w:rPr>
                <w:color w:val="000000"/>
                <w:sz w:val="22"/>
                <w:szCs w:val="22"/>
              </w:rPr>
              <w:t xml:space="preserve">Water </w:t>
            </w:r>
          </w:p>
        </w:tc>
        <w:tc>
          <w:tcPr>
            <w:tcW w:w="1255" w:type="dxa"/>
            <w:tcBorders>
              <w:top w:val="single" w:sz="4" w:space="0" w:color="auto"/>
              <w:left w:val="single" w:sz="4" w:space="0" w:color="auto"/>
              <w:bottom w:val="nil"/>
              <w:right w:val="single" w:sz="4" w:space="0" w:color="auto"/>
            </w:tcBorders>
            <w:shd w:val="clear" w:color="auto" w:fill="auto"/>
            <w:noWrap/>
            <w:vAlign w:val="bottom"/>
            <w:hideMark/>
          </w:tcPr>
          <w:p w:rsidR="009E53F7" w:rsidRPr="00961D82" w:rsidRDefault="009E53F7" w:rsidP="009E53F7">
            <w:pPr>
              <w:jc w:val="center"/>
              <w:rPr>
                <w:color w:val="000000"/>
                <w:sz w:val="22"/>
                <w:szCs w:val="22"/>
              </w:rPr>
            </w:pPr>
            <w:r w:rsidRPr="00961D82">
              <w:rPr>
                <w:color w:val="000000"/>
                <w:sz w:val="22"/>
                <w:szCs w:val="22"/>
              </w:rPr>
              <w:t>Wastewater</w:t>
            </w:r>
          </w:p>
        </w:tc>
      </w:tr>
      <w:tr w:rsidR="009E53F7" w:rsidRPr="00961D82" w:rsidTr="001506ED">
        <w:trPr>
          <w:trHeight w:hRule="exact" w:val="331"/>
          <w:jc w:val="center"/>
        </w:trPr>
        <w:tc>
          <w:tcPr>
            <w:tcW w:w="6230" w:type="dxa"/>
            <w:tcBorders>
              <w:left w:val="single" w:sz="4" w:space="0" w:color="auto"/>
              <w:bottom w:val="nil"/>
              <w:right w:val="nil"/>
            </w:tcBorders>
            <w:shd w:val="clear" w:color="auto" w:fill="auto"/>
            <w:noWrap/>
            <w:vAlign w:val="bottom"/>
            <w:hideMark/>
          </w:tcPr>
          <w:p w:rsidR="009E53F7" w:rsidRPr="00382DD6" w:rsidRDefault="009E53F7" w:rsidP="009E53F7">
            <w:pPr>
              <w:rPr>
                <w:sz w:val="22"/>
                <w:szCs w:val="22"/>
              </w:rPr>
            </w:pPr>
            <w:r>
              <w:rPr>
                <w:sz w:val="22"/>
                <w:szCs w:val="22"/>
              </w:rPr>
              <w:t>1.  Utility Adjusted Test Year O&amp;M Expenses</w:t>
            </w:r>
          </w:p>
        </w:tc>
        <w:tc>
          <w:tcPr>
            <w:tcW w:w="1078" w:type="dxa"/>
            <w:tcBorders>
              <w:top w:val="single" w:sz="4" w:space="0" w:color="auto"/>
              <w:left w:val="single" w:sz="4" w:space="0" w:color="auto"/>
              <w:bottom w:val="nil"/>
              <w:right w:val="single" w:sz="4" w:space="0" w:color="auto"/>
            </w:tcBorders>
            <w:shd w:val="clear" w:color="auto" w:fill="auto"/>
            <w:noWrap/>
            <w:vAlign w:val="bottom"/>
            <w:hideMark/>
          </w:tcPr>
          <w:p w:rsidR="009E53F7" w:rsidRPr="00382DD6" w:rsidRDefault="009E53F7" w:rsidP="00B34425">
            <w:pPr>
              <w:jc w:val="right"/>
              <w:rPr>
                <w:sz w:val="22"/>
                <w:szCs w:val="22"/>
              </w:rPr>
            </w:pPr>
            <w:r>
              <w:rPr>
                <w:sz w:val="22"/>
                <w:szCs w:val="22"/>
              </w:rPr>
              <w:t>$</w:t>
            </w:r>
            <w:r w:rsidR="00B34425">
              <w:rPr>
                <w:sz w:val="22"/>
                <w:szCs w:val="22"/>
              </w:rPr>
              <w:t>27,880</w:t>
            </w:r>
          </w:p>
        </w:tc>
        <w:tc>
          <w:tcPr>
            <w:tcW w:w="1255" w:type="dxa"/>
            <w:tcBorders>
              <w:top w:val="single" w:sz="4" w:space="0" w:color="auto"/>
              <w:left w:val="nil"/>
              <w:bottom w:val="nil"/>
              <w:right w:val="single" w:sz="4" w:space="0" w:color="auto"/>
            </w:tcBorders>
            <w:shd w:val="clear" w:color="auto" w:fill="auto"/>
            <w:noWrap/>
            <w:vAlign w:val="bottom"/>
            <w:hideMark/>
          </w:tcPr>
          <w:p w:rsidR="009E53F7" w:rsidRPr="00382DD6" w:rsidRDefault="00B34425" w:rsidP="009E53F7">
            <w:pPr>
              <w:jc w:val="right"/>
              <w:rPr>
                <w:sz w:val="22"/>
                <w:szCs w:val="22"/>
              </w:rPr>
            </w:pPr>
            <w:r>
              <w:rPr>
                <w:sz w:val="22"/>
                <w:szCs w:val="22"/>
              </w:rPr>
              <w:t>$33,083</w:t>
            </w:r>
          </w:p>
        </w:tc>
      </w:tr>
      <w:tr w:rsidR="009E53F7" w:rsidRPr="00961D82" w:rsidTr="001506ED">
        <w:trPr>
          <w:trHeight w:hRule="exact" w:val="331"/>
          <w:jc w:val="center"/>
        </w:trPr>
        <w:tc>
          <w:tcPr>
            <w:tcW w:w="6230" w:type="dxa"/>
            <w:tcBorders>
              <w:top w:val="nil"/>
              <w:left w:val="single" w:sz="4" w:space="0" w:color="auto"/>
              <w:bottom w:val="nil"/>
              <w:right w:val="nil"/>
            </w:tcBorders>
            <w:shd w:val="clear" w:color="auto" w:fill="auto"/>
            <w:vAlign w:val="bottom"/>
            <w:hideMark/>
          </w:tcPr>
          <w:p w:rsidR="009E53F7" w:rsidRPr="00382DD6" w:rsidRDefault="009E53F7" w:rsidP="009E53F7">
            <w:pPr>
              <w:rPr>
                <w:sz w:val="22"/>
                <w:szCs w:val="22"/>
              </w:rPr>
            </w:pPr>
            <w:r>
              <w:rPr>
                <w:sz w:val="22"/>
                <w:szCs w:val="22"/>
              </w:rPr>
              <w:t>2.  Less:  Staff’s Adjustments</w:t>
            </w:r>
          </w:p>
        </w:tc>
        <w:tc>
          <w:tcPr>
            <w:tcW w:w="1078" w:type="dxa"/>
            <w:tcBorders>
              <w:top w:val="nil"/>
              <w:left w:val="single" w:sz="4" w:space="0" w:color="auto"/>
              <w:bottom w:val="nil"/>
              <w:right w:val="single" w:sz="4" w:space="0" w:color="auto"/>
            </w:tcBorders>
            <w:shd w:val="clear" w:color="auto" w:fill="auto"/>
            <w:noWrap/>
            <w:vAlign w:val="bottom"/>
            <w:hideMark/>
          </w:tcPr>
          <w:p w:rsidR="009E53F7" w:rsidRPr="006148D4" w:rsidRDefault="00B34425" w:rsidP="009E53F7">
            <w:pPr>
              <w:jc w:val="right"/>
              <w:rPr>
                <w:sz w:val="22"/>
                <w:szCs w:val="22"/>
                <w:u w:val="single"/>
              </w:rPr>
            </w:pPr>
            <w:r>
              <w:rPr>
                <w:sz w:val="22"/>
                <w:szCs w:val="22"/>
                <w:u w:val="single"/>
              </w:rPr>
              <w:t>$0</w:t>
            </w:r>
          </w:p>
        </w:tc>
        <w:tc>
          <w:tcPr>
            <w:tcW w:w="1255" w:type="dxa"/>
            <w:tcBorders>
              <w:top w:val="nil"/>
              <w:left w:val="nil"/>
              <w:bottom w:val="nil"/>
              <w:right w:val="single" w:sz="4" w:space="0" w:color="auto"/>
            </w:tcBorders>
            <w:shd w:val="clear" w:color="auto" w:fill="auto"/>
            <w:noWrap/>
            <w:vAlign w:val="bottom"/>
            <w:hideMark/>
          </w:tcPr>
          <w:p w:rsidR="009E53F7" w:rsidRPr="006148D4" w:rsidRDefault="009E53F7" w:rsidP="00B34425">
            <w:pPr>
              <w:jc w:val="right"/>
              <w:rPr>
                <w:sz w:val="22"/>
                <w:szCs w:val="22"/>
                <w:u w:val="single"/>
              </w:rPr>
            </w:pPr>
            <w:r w:rsidRPr="006148D4">
              <w:rPr>
                <w:sz w:val="22"/>
                <w:szCs w:val="22"/>
                <w:u w:val="single"/>
              </w:rPr>
              <w:t>$</w:t>
            </w:r>
            <w:r w:rsidR="00B34425">
              <w:rPr>
                <w:sz w:val="22"/>
                <w:szCs w:val="22"/>
                <w:u w:val="single"/>
              </w:rPr>
              <w:t>0</w:t>
            </w:r>
          </w:p>
        </w:tc>
      </w:tr>
      <w:tr w:rsidR="009E53F7" w:rsidRPr="00961D82" w:rsidTr="001506ED">
        <w:trPr>
          <w:trHeight w:hRule="exact" w:val="331"/>
          <w:jc w:val="center"/>
        </w:trPr>
        <w:tc>
          <w:tcPr>
            <w:tcW w:w="6230" w:type="dxa"/>
            <w:tcBorders>
              <w:top w:val="nil"/>
              <w:left w:val="single" w:sz="4" w:space="0" w:color="auto"/>
              <w:bottom w:val="nil"/>
              <w:right w:val="nil"/>
            </w:tcBorders>
            <w:shd w:val="clear" w:color="auto" w:fill="auto"/>
            <w:vAlign w:val="bottom"/>
            <w:hideMark/>
          </w:tcPr>
          <w:p w:rsidR="009E53F7" w:rsidRPr="00382DD6" w:rsidRDefault="009E53F7" w:rsidP="009E53F7">
            <w:pPr>
              <w:rPr>
                <w:sz w:val="22"/>
                <w:szCs w:val="22"/>
              </w:rPr>
            </w:pPr>
            <w:r>
              <w:rPr>
                <w:sz w:val="22"/>
                <w:szCs w:val="22"/>
              </w:rPr>
              <w:t>3.  Staff Adjusted Test Year O&amp;M Expenses</w:t>
            </w:r>
          </w:p>
        </w:tc>
        <w:tc>
          <w:tcPr>
            <w:tcW w:w="1078" w:type="dxa"/>
            <w:tcBorders>
              <w:top w:val="nil"/>
              <w:left w:val="single" w:sz="4" w:space="0" w:color="auto"/>
              <w:bottom w:val="nil"/>
              <w:right w:val="single" w:sz="4" w:space="0" w:color="auto"/>
            </w:tcBorders>
            <w:shd w:val="clear" w:color="auto" w:fill="auto"/>
            <w:noWrap/>
            <w:vAlign w:val="bottom"/>
            <w:hideMark/>
          </w:tcPr>
          <w:p w:rsidR="009E53F7" w:rsidRPr="00382DD6" w:rsidRDefault="009E53F7" w:rsidP="00B34425">
            <w:pPr>
              <w:jc w:val="right"/>
              <w:rPr>
                <w:sz w:val="22"/>
                <w:szCs w:val="22"/>
              </w:rPr>
            </w:pPr>
            <w:r>
              <w:rPr>
                <w:sz w:val="22"/>
                <w:szCs w:val="22"/>
              </w:rPr>
              <w:t>$</w:t>
            </w:r>
            <w:r w:rsidR="00B34425">
              <w:rPr>
                <w:sz w:val="22"/>
                <w:szCs w:val="22"/>
              </w:rPr>
              <w:t>27,880</w:t>
            </w:r>
          </w:p>
        </w:tc>
        <w:tc>
          <w:tcPr>
            <w:tcW w:w="1255" w:type="dxa"/>
            <w:tcBorders>
              <w:top w:val="nil"/>
              <w:left w:val="nil"/>
              <w:bottom w:val="nil"/>
              <w:right w:val="single" w:sz="4" w:space="0" w:color="auto"/>
            </w:tcBorders>
            <w:shd w:val="clear" w:color="auto" w:fill="auto"/>
            <w:noWrap/>
            <w:vAlign w:val="bottom"/>
            <w:hideMark/>
          </w:tcPr>
          <w:p w:rsidR="009E53F7" w:rsidRPr="00382DD6" w:rsidRDefault="009E53F7" w:rsidP="00B34425">
            <w:pPr>
              <w:jc w:val="right"/>
              <w:rPr>
                <w:sz w:val="22"/>
                <w:szCs w:val="22"/>
              </w:rPr>
            </w:pPr>
            <w:r>
              <w:rPr>
                <w:sz w:val="22"/>
                <w:szCs w:val="22"/>
              </w:rPr>
              <w:t>$</w:t>
            </w:r>
            <w:r w:rsidR="00B34425">
              <w:rPr>
                <w:sz w:val="22"/>
                <w:szCs w:val="22"/>
              </w:rPr>
              <w:t>33,083</w:t>
            </w:r>
          </w:p>
        </w:tc>
      </w:tr>
      <w:tr w:rsidR="009E53F7" w:rsidRPr="00961D82" w:rsidTr="001506ED">
        <w:trPr>
          <w:trHeight w:hRule="exact" w:val="331"/>
          <w:jc w:val="center"/>
        </w:trPr>
        <w:tc>
          <w:tcPr>
            <w:tcW w:w="6230" w:type="dxa"/>
            <w:tcBorders>
              <w:top w:val="nil"/>
              <w:left w:val="single" w:sz="4" w:space="0" w:color="auto"/>
              <w:bottom w:val="nil"/>
              <w:right w:val="nil"/>
            </w:tcBorders>
            <w:shd w:val="clear" w:color="auto" w:fill="auto"/>
            <w:noWrap/>
            <w:vAlign w:val="bottom"/>
            <w:hideMark/>
          </w:tcPr>
          <w:p w:rsidR="009E53F7" w:rsidRPr="00382DD6" w:rsidRDefault="009E53F7" w:rsidP="009E53F7">
            <w:pPr>
              <w:rPr>
                <w:sz w:val="22"/>
                <w:szCs w:val="22"/>
              </w:rPr>
            </w:pPr>
            <w:r>
              <w:rPr>
                <w:sz w:val="22"/>
                <w:szCs w:val="22"/>
              </w:rPr>
              <w:t>4.  Less:  Utility Test Year Revenues</w:t>
            </w:r>
          </w:p>
        </w:tc>
        <w:tc>
          <w:tcPr>
            <w:tcW w:w="1078" w:type="dxa"/>
            <w:tcBorders>
              <w:top w:val="nil"/>
              <w:left w:val="single" w:sz="4" w:space="0" w:color="auto"/>
              <w:bottom w:val="nil"/>
              <w:right w:val="single" w:sz="4" w:space="0" w:color="auto"/>
            </w:tcBorders>
            <w:shd w:val="clear" w:color="auto" w:fill="auto"/>
            <w:noWrap/>
            <w:vAlign w:val="bottom"/>
            <w:hideMark/>
          </w:tcPr>
          <w:p w:rsidR="009E53F7" w:rsidRPr="006148D4" w:rsidRDefault="009E53F7" w:rsidP="00B34425">
            <w:pPr>
              <w:jc w:val="right"/>
              <w:rPr>
                <w:sz w:val="22"/>
                <w:szCs w:val="22"/>
                <w:u w:val="single"/>
              </w:rPr>
            </w:pPr>
            <w:r w:rsidRPr="006148D4">
              <w:rPr>
                <w:sz w:val="22"/>
                <w:szCs w:val="22"/>
                <w:u w:val="single"/>
              </w:rPr>
              <w:t>$</w:t>
            </w:r>
            <w:r w:rsidR="00B34425">
              <w:rPr>
                <w:sz w:val="22"/>
                <w:szCs w:val="22"/>
                <w:u w:val="single"/>
              </w:rPr>
              <w:t>23,750</w:t>
            </w:r>
          </w:p>
        </w:tc>
        <w:tc>
          <w:tcPr>
            <w:tcW w:w="1255" w:type="dxa"/>
            <w:tcBorders>
              <w:top w:val="nil"/>
              <w:left w:val="nil"/>
              <w:bottom w:val="nil"/>
              <w:right w:val="single" w:sz="4" w:space="0" w:color="auto"/>
            </w:tcBorders>
            <w:shd w:val="clear" w:color="auto" w:fill="auto"/>
            <w:noWrap/>
            <w:vAlign w:val="bottom"/>
            <w:hideMark/>
          </w:tcPr>
          <w:p w:rsidR="009E53F7" w:rsidRPr="006148D4" w:rsidRDefault="009E53F7" w:rsidP="00B34425">
            <w:pPr>
              <w:jc w:val="right"/>
              <w:rPr>
                <w:sz w:val="22"/>
                <w:szCs w:val="22"/>
                <w:u w:val="single"/>
              </w:rPr>
            </w:pPr>
            <w:r w:rsidRPr="006148D4">
              <w:rPr>
                <w:sz w:val="22"/>
                <w:szCs w:val="22"/>
                <w:u w:val="single"/>
              </w:rPr>
              <w:t>$</w:t>
            </w:r>
            <w:r w:rsidR="00B34425">
              <w:rPr>
                <w:sz w:val="22"/>
                <w:szCs w:val="22"/>
                <w:u w:val="single"/>
              </w:rPr>
              <w:t>35,522</w:t>
            </w:r>
          </w:p>
        </w:tc>
      </w:tr>
      <w:tr w:rsidR="009E53F7" w:rsidRPr="00961D82" w:rsidTr="001506ED">
        <w:trPr>
          <w:trHeight w:hRule="exact" w:val="331"/>
          <w:jc w:val="center"/>
        </w:trPr>
        <w:tc>
          <w:tcPr>
            <w:tcW w:w="6230" w:type="dxa"/>
            <w:tcBorders>
              <w:top w:val="nil"/>
              <w:left w:val="single" w:sz="4" w:space="0" w:color="auto"/>
              <w:bottom w:val="nil"/>
              <w:right w:val="nil"/>
            </w:tcBorders>
            <w:shd w:val="clear" w:color="auto" w:fill="auto"/>
            <w:noWrap/>
            <w:vAlign w:val="bottom"/>
            <w:hideMark/>
          </w:tcPr>
          <w:p w:rsidR="009E53F7" w:rsidRPr="00382DD6" w:rsidRDefault="009E53F7" w:rsidP="009E53F7">
            <w:pPr>
              <w:rPr>
                <w:sz w:val="22"/>
                <w:szCs w:val="22"/>
              </w:rPr>
            </w:pPr>
            <w:r>
              <w:rPr>
                <w:sz w:val="22"/>
                <w:szCs w:val="22"/>
              </w:rPr>
              <w:t>5.  Revenues to Cover O&amp;M Expenses</w:t>
            </w:r>
          </w:p>
        </w:tc>
        <w:tc>
          <w:tcPr>
            <w:tcW w:w="1078" w:type="dxa"/>
            <w:tcBorders>
              <w:top w:val="nil"/>
              <w:left w:val="single" w:sz="4" w:space="0" w:color="auto"/>
              <w:bottom w:val="nil"/>
              <w:right w:val="single" w:sz="4" w:space="0" w:color="auto"/>
            </w:tcBorders>
            <w:shd w:val="clear" w:color="auto" w:fill="auto"/>
            <w:noWrap/>
            <w:vAlign w:val="bottom"/>
            <w:hideMark/>
          </w:tcPr>
          <w:p w:rsidR="009E53F7" w:rsidRPr="00382DD6" w:rsidRDefault="00B34425" w:rsidP="009E53F7">
            <w:pPr>
              <w:jc w:val="right"/>
              <w:rPr>
                <w:sz w:val="22"/>
                <w:szCs w:val="22"/>
              </w:rPr>
            </w:pPr>
            <w:r>
              <w:rPr>
                <w:sz w:val="22"/>
                <w:szCs w:val="22"/>
              </w:rPr>
              <w:t>$4,130</w:t>
            </w:r>
          </w:p>
        </w:tc>
        <w:tc>
          <w:tcPr>
            <w:tcW w:w="1255" w:type="dxa"/>
            <w:tcBorders>
              <w:top w:val="nil"/>
              <w:left w:val="nil"/>
              <w:bottom w:val="nil"/>
              <w:right w:val="single" w:sz="4" w:space="0" w:color="auto"/>
            </w:tcBorders>
            <w:shd w:val="clear" w:color="auto" w:fill="auto"/>
            <w:noWrap/>
            <w:vAlign w:val="bottom"/>
            <w:hideMark/>
          </w:tcPr>
          <w:p w:rsidR="009E53F7" w:rsidRPr="00382DD6" w:rsidRDefault="00B34425" w:rsidP="009E53F7">
            <w:pPr>
              <w:jc w:val="right"/>
              <w:rPr>
                <w:sz w:val="22"/>
                <w:szCs w:val="22"/>
              </w:rPr>
            </w:pPr>
            <w:r>
              <w:rPr>
                <w:sz w:val="22"/>
                <w:szCs w:val="22"/>
              </w:rPr>
              <w:t>($2,439)</w:t>
            </w:r>
          </w:p>
        </w:tc>
      </w:tr>
      <w:tr w:rsidR="009E53F7" w:rsidRPr="00961D82" w:rsidTr="001506ED">
        <w:trPr>
          <w:trHeight w:hRule="exact" w:val="331"/>
          <w:jc w:val="center"/>
        </w:trPr>
        <w:tc>
          <w:tcPr>
            <w:tcW w:w="6230" w:type="dxa"/>
            <w:tcBorders>
              <w:top w:val="nil"/>
              <w:left w:val="single" w:sz="4" w:space="0" w:color="auto"/>
              <w:bottom w:val="nil"/>
              <w:right w:val="nil"/>
            </w:tcBorders>
            <w:shd w:val="clear" w:color="auto" w:fill="auto"/>
            <w:noWrap/>
            <w:vAlign w:val="bottom"/>
            <w:hideMark/>
          </w:tcPr>
          <w:p w:rsidR="009E53F7" w:rsidRPr="00382DD6" w:rsidRDefault="009E53F7" w:rsidP="009E53F7">
            <w:pPr>
              <w:rPr>
                <w:sz w:val="22"/>
                <w:szCs w:val="22"/>
              </w:rPr>
            </w:pPr>
            <w:r>
              <w:rPr>
                <w:sz w:val="22"/>
                <w:szCs w:val="22"/>
              </w:rPr>
              <w:t>6.  Interim Revenue Increase</w:t>
            </w:r>
          </w:p>
        </w:tc>
        <w:tc>
          <w:tcPr>
            <w:tcW w:w="1078" w:type="dxa"/>
            <w:tcBorders>
              <w:top w:val="nil"/>
              <w:left w:val="single" w:sz="4" w:space="0" w:color="auto"/>
              <w:bottom w:val="nil"/>
              <w:right w:val="single" w:sz="4" w:space="0" w:color="auto"/>
            </w:tcBorders>
            <w:shd w:val="clear" w:color="auto" w:fill="auto"/>
            <w:noWrap/>
            <w:vAlign w:val="bottom"/>
            <w:hideMark/>
          </w:tcPr>
          <w:p w:rsidR="009E53F7" w:rsidRPr="00382DD6" w:rsidRDefault="00B34425" w:rsidP="009E53F7">
            <w:pPr>
              <w:jc w:val="right"/>
              <w:rPr>
                <w:sz w:val="22"/>
                <w:szCs w:val="22"/>
              </w:rPr>
            </w:pPr>
            <w:r>
              <w:rPr>
                <w:sz w:val="22"/>
                <w:szCs w:val="22"/>
              </w:rPr>
              <w:t>$4,130</w:t>
            </w:r>
          </w:p>
        </w:tc>
        <w:tc>
          <w:tcPr>
            <w:tcW w:w="1255" w:type="dxa"/>
            <w:tcBorders>
              <w:top w:val="nil"/>
              <w:left w:val="nil"/>
              <w:bottom w:val="nil"/>
              <w:right w:val="single" w:sz="4" w:space="0" w:color="auto"/>
            </w:tcBorders>
            <w:shd w:val="clear" w:color="auto" w:fill="auto"/>
            <w:noWrap/>
            <w:vAlign w:val="bottom"/>
            <w:hideMark/>
          </w:tcPr>
          <w:p w:rsidR="009E53F7" w:rsidRPr="00382DD6" w:rsidRDefault="00B34425" w:rsidP="009E53F7">
            <w:pPr>
              <w:jc w:val="right"/>
              <w:rPr>
                <w:sz w:val="22"/>
                <w:szCs w:val="22"/>
              </w:rPr>
            </w:pPr>
            <w:r>
              <w:rPr>
                <w:sz w:val="22"/>
                <w:szCs w:val="22"/>
              </w:rPr>
              <w:t>$0</w:t>
            </w:r>
          </w:p>
        </w:tc>
      </w:tr>
      <w:tr w:rsidR="009E53F7" w:rsidRPr="00961D82" w:rsidTr="001506ED">
        <w:trPr>
          <w:trHeight w:hRule="exact" w:val="331"/>
          <w:jc w:val="center"/>
        </w:trPr>
        <w:tc>
          <w:tcPr>
            <w:tcW w:w="6230" w:type="dxa"/>
            <w:tcBorders>
              <w:top w:val="nil"/>
              <w:left w:val="single" w:sz="4" w:space="0" w:color="auto"/>
              <w:bottom w:val="nil"/>
              <w:right w:val="nil"/>
            </w:tcBorders>
            <w:shd w:val="clear" w:color="auto" w:fill="auto"/>
            <w:noWrap/>
            <w:vAlign w:val="bottom"/>
          </w:tcPr>
          <w:p w:rsidR="009E53F7" w:rsidRDefault="009E53F7" w:rsidP="009E53F7">
            <w:pPr>
              <w:rPr>
                <w:sz w:val="22"/>
                <w:szCs w:val="22"/>
              </w:rPr>
            </w:pPr>
            <w:r>
              <w:rPr>
                <w:sz w:val="22"/>
                <w:szCs w:val="22"/>
              </w:rPr>
              <w:t>7.  RAFs on Interim Rate Increase</w:t>
            </w:r>
          </w:p>
        </w:tc>
        <w:tc>
          <w:tcPr>
            <w:tcW w:w="1078" w:type="dxa"/>
            <w:tcBorders>
              <w:top w:val="nil"/>
              <w:left w:val="single" w:sz="4" w:space="0" w:color="auto"/>
              <w:bottom w:val="nil"/>
              <w:right w:val="single" w:sz="4" w:space="0" w:color="auto"/>
            </w:tcBorders>
            <w:shd w:val="clear" w:color="auto" w:fill="auto"/>
            <w:noWrap/>
            <w:vAlign w:val="bottom"/>
          </w:tcPr>
          <w:p w:rsidR="009E53F7" w:rsidRPr="00382DD6" w:rsidRDefault="00B34425" w:rsidP="009E53F7">
            <w:pPr>
              <w:jc w:val="right"/>
              <w:rPr>
                <w:sz w:val="22"/>
                <w:szCs w:val="22"/>
              </w:rPr>
            </w:pPr>
            <w:r>
              <w:rPr>
                <w:sz w:val="22"/>
                <w:szCs w:val="22"/>
              </w:rPr>
              <w:t>$186</w:t>
            </w:r>
          </w:p>
        </w:tc>
        <w:tc>
          <w:tcPr>
            <w:tcW w:w="1255" w:type="dxa"/>
            <w:tcBorders>
              <w:top w:val="nil"/>
              <w:left w:val="nil"/>
              <w:bottom w:val="nil"/>
              <w:right w:val="single" w:sz="4" w:space="0" w:color="auto"/>
            </w:tcBorders>
            <w:shd w:val="clear" w:color="auto" w:fill="auto"/>
            <w:noWrap/>
            <w:vAlign w:val="bottom"/>
          </w:tcPr>
          <w:p w:rsidR="009E53F7" w:rsidRPr="00382DD6" w:rsidRDefault="00B34425" w:rsidP="009E53F7">
            <w:pPr>
              <w:jc w:val="right"/>
              <w:rPr>
                <w:sz w:val="22"/>
                <w:szCs w:val="22"/>
              </w:rPr>
            </w:pPr>
            <w:r>
              <w:rPr>
                <w:sz w:val="22"/>
                <w:szCs w:val="22"/>
              </w:rPr>
              <w:t>$0</w:t>
            </w:r>
          </w:p>
        </w:tc>
      </w:tr>
      <w:tr w:rsidR="009E53F7" w:rsidRPr="00961D82" w:rsidTr="001506ED">
        <w:trPr>
          <w:trHeight w:hRule="exact" w:val="331"/>
          <w:jc w:val="center"/>
        </w:trPr>
        <w:tc>
          <w:tcPr>
            <w:tcW w:w="6230" w:type="dxa"/>
            <w:tcBorders>
              <w:top w:val="nil"/>
              <w:left w:val="single" w:sz="4" w:space="0" w:color="auto"/>
              <w:bottom w:val="nil"/>
              <w:right w:val="nil"/>
            </w:tcBorders>
            <w:shd w:val="clear" w:color="auto" w:fill="auto"/>
            <w:noWrap/>
            <w:vAlign w:val="bottom"/>
          </w:tcPr>
          <w:p w:rsidR="009E53F7" w:rsidRDefault="009E53F7" w:rsidP="009E53F7">
            <w:pPr>
              <w:rPr>
                <w:sz w:val="22"/>
                <w:szCs w:val="22"/>
              </w:rPr>
            </w:pPr>
            <w:r>
              <w:rPr>
                <w:sz w:val="22"/>
                <w:szCs w:val="22"/>
              </w:rPr>
              <w:t>8.  Total Interim Revenue Increase ($)</w:t>
            </w:r>
          </w:p>
        </w:tc>
        <w:tc>
          <w:tcPr>
            <w:tcW w:w="1078" w:type="dxa"/>
            <w:tcBorders>
              <w:top w:val="nil"/>
              <w:left w:val="single" w:sz="4" w:space="0" w:color="auto"/>
              <w:bottom w:val="nil"/>
              <w:right w:val="single" w:sz="4" w:space="0" w:color="auto"/>
            </w:tcBorders>
            <w:shd w:val="clear" w:color="auto" w:fill="auto"/>
            <w:noWrap/>
            <w:vAlign w:val="center"/>
          </w:tcPr>
          <w:p w:rsidR="009E53F7" w:rsidRPr="00961D82" w:rsidRDefault="00B34425" w:rsidP="009E53F7">
            <w:pPr>
              <w:jc w:val="right"/>
              <w:rPr>
                <w:color w:val="000000"/>
                <w:sz w:val="22"/>
                <w:szCs w:val="22"/>
                <w:u w:val="double"/>
              </w:rPr>
            </w:pPr>
            <w:r>
              <w:rPr>
                <w:color w:val="000000"/>
                <w:sz w:val="22"/>
                <w:szCs w:val="22"/>
                <w:u w:val="double"/>
              </w:rPr>
              <w:t>$4,316</w:t>
            </w:r>
          </w:p>
        </w:tc>
        <w:tc>
          <w:tcPr>
            <w:tcW w:w="1255" w:type="dxa"/>
            <w:tcBorders>
              <w:top w:val="nil"/>
              <w:left w:val="nil"/>
              <w:bottom w:val="nil"/>
              <w:right w:val="single" w:sz="4" w:space="0" w:color="auto"/>
            </w:tcBorders>
            <w:shd w:val="clear" w:color="auto" w:fill="auto"/>
            <w:noWrap/>
            <w:vAlign w:val="center"/>
          </w:tcPr>
          <w:p w:rsidR="009E53F7" w:rsidRPr="00961D82" w:rsidRDefault="00B34425" w:rsidP="009E53F7">
            <w:pPr>
              <w:jc w:val="right"/>
              <w:rPr>
                <w:color w:val="000000"/>
                <w:sz w:val="22"/>
                <w:szCs w:val="22"/>
                <w:u w:val="double"/>
              </w:rPr>
            </w:pPr>
            <w:r>
              <w:rPr>
                <w:color w:val="000000"/>
                <w:sz w:val="22"/>
                <w:szCs w:val="22"/>
                <w:u w:val="double"/>
              </w:rPr>
              <w:t>$0</w:t>
            </w:r>
          </w:p>
        </w:tc>
      </w:tr>
      <w:tr w:rsidR="009E53F7" w:rsidRPr="00961D82" w:rsidTr="001506ED">
        <w:trPr>
          <w:trHeight w:hRule="exact" w:val="331"/>
          <w:jc w:val="center"/>
        </w:trPr>
        <w:tc>
          <w:tcPr>
            <w:tcW w:w="6230" w:type="dxa"/>
            <w:tcBorders>
              <w:top w:val="nil"/>
              <w:left w:val="single" w:sz="4" w:space="0" w:color="auto"/>
              <w:bottom w:val="single" w:sz="4" w:space="0" w:color="auto"/>
              <w:right w:val="nil"/>
            </w:tcBorders>
            <w:shd w:val="clear" w:color="auto" w:fill="auto"/>
            <w:noWrap/>
            <w:vAlign w:val="bottom"/>
          </w:tcPr>
          <w:p w:rsidR="009E53F7" w:rsidRDefault="009E53F7" w:rsidP="009E53F7">
            <w:pPr>
              <w:rPr>
                <w:sz w:val="22"/>
                <w:szCs w:val="22"/>
              </w:rPr>
            </w:pPr>
            <w:r>
              <w:rPr>
                <w:sz w:val="22"/>
                <w:szCs w:val="22"/>
              </w:rPr>
              <w:t>9.  Total Interim Revenue Increase (%)</w:t>
            </w:r>
          </w:p>
        </w:tc>
        <w:tc>
          <w:tcPr>
            <w:tcW w:w="1078" w:type="dxa"/>
            <w:tcBorders>
              <w:top w:val="nil"/>
              <w:left w:val="single" w:sz="4" w:space="0" w:color="auto"/>
              <w:bottom w:val="single" w:sz="4" w:space="0" w:color="auto"/>
              <w:right w:val="single" w:sz="4" w:space="0" w:color="auto"/>
            </w:tcBorders>
            <w:shd w:val="clear" w:color="auto" w:fill="auto"/>
            <w:noWrap/>
            <w:vAlign w:val="center"/>
          </w:tcPr>
          <w:p w:rsidR="009E53F7" w:rsidRPr="00961D82" w:rsidRDefault="00B34425" w:rsidP="00B34425">
            <w:pPr>
              <w:jc w:val="right"/>
              <w:rPr>
                <w:color w:val="000000"/>
                <w:sz w:val="22"/>
                <w:szCs w:val="22"/>
                <w:u w:val="double"/>
              </w:rPr>
            </w:pPr>
            <w:r>
              <w:rPr>
                <w:color w:val="000000"/>
                <w:sz w:val="22"/>
                <w:szCs w:val="22"/>
                <w:u w:val="double"/>
              </w:rPr>
              <w:t>18.17</w:t>
            </w:r>
            <w:r w:rsidR="009E53F7">
              <w:rPr>
                <w:color w:val="000000"/>
                <w:sz w:val="22"/>
                <w:szCs w:val="22"/>
                <w:u w:val="double"/>
              </w:rPr>
              <w:t>%</w:t>
            </w:r>
          </w:p>
        </w:tc>
        <w:tc>
          <w:tcPr>
            <w:tcW w:w="1255" w:type="dxa"/>
            <w:tcBorders>
              <w:top w:val="nil"/>
              <w:left w:val="nil"/>
              <w:bottom w:val="single" w:sz="4" w:space="0" w:color="auto"/>
              <w:right w:val="single" w:sz="4" w:space="0" w:color="auto"/>
            </w:tcBorders>
            <w:shd w:val="clear" w:color="auto" w:fill="auto"/>
            <w:noWrap/>
            <w:vAlign w:val="center"/>
          </w:tcPr>
          <w:p w:rsidR="009E53F7" w:rsidRPr="00961D82" w:rsidRDefault="00B34425" w:rsidP="009E53F7">
            <w:pPr>
              <w:jc w:val="right"/>
              <w:rPr>
                <w:color w:val="000000"/>
                <w:sz w:val="22"/>
                <w:szCs w:val="22"/>
                <w:u w:val="double"/>
              </w:rPr>
            </w:pPr>
            <w:r>
              <w:rPr>
                <w:color w:val="000000"/>
                <w:sz w:val="22"/>
                <w:szCs w:val="22"/>
                <w:u w:val="double"/>
              </w:rPr>
              <w:t>0%</w:t>
            </w:r>
          </w:p>
        </w:tc>
      </w:tr>
    </w:tbl>
    <w:p w:rsidR="009E53F7" w:rsidRDefault="009E53F7" w:rsidP="009E53F7">
      <w:pPr>
        <w:jc w:val="center"/>
      </w:pPr>
    </w:p>
    <w:p w:rsidR="003F74E0" w:rsidRDefault="003F74E0" w:rsidP="009E53F7">
      <w:pPr>
        <w:pStyle w:val="BodyText"/>
        <w:spacing w:after="0"/>
      </w:pPr>
    </w:p>
    <w:p w:rsidR="001C0950" w:rsidRDefault="001C0950">
      <w:pPr>
        <w:pStyle w:val="IssueHeading"/>
        <w:rPr>
          <w:vanish/>
          <w:specVanish/>
        </w:rPr>
      </w:pPr>
      <w:r w:rsidRPr="004C3641">
        <w:rPr>
          <w:b w:val="0"/>
          <w:i w:val="0"/>
        </w:rPr>
        <w:br w:type="page"/>
      </w:r>
      <w:r w:rsidRPr="004C3641">
        <w:lastRenderedPageBreak/>
        <w:t xml:space="preserve">Issue </w:t>
      </w:r>
      <w:r w:rsidR="00485861">
        <w:fldChar w:fldCharType="begin"/>
      </w:r>
      <w:r w:rsidR="00485861">
        <w:instrText xml:space="preserve"> SEQ Issue \* MERGEFORMAT </w:instrText>
      </w:r>
      <w:r w:rsidR="00485861">
        <w:fldChar w:fldCharType="separate"/>
      </w:r>
      <w:r w:rsidR="00FD0AAC">
        <w:rPr>
          <w:noProof/>
        </w:rPr>
        <w:t>2</w:t>
      </w:r>
      <w:r w:rsidR="0048586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6" w:name="_Toc441062475"/>
      <w:r w:rsidR="00FD0AAC">
        <w:rPr>
          <w:noProof/>
        </w:rPr>
        <w:instrText>2</w:instrText>
      </w:r>
      <w:r>
        <w:fldChar w:fldCharType="end"/>
      </w:r>
      <w:r>
        <w:tab/>
      </w:r>
      <w:r w:rsidR="00CB4C06">
        <w:instrText>Interim Water Rates</w:instrText>
      </w:r>
      <w:bookmarkEnd w:id="16"/>
      <w:r>
        <w:instrText xml:space="preserve">" \l 1 </w:instrText>
      </w:r>
      <w:r>
        <w:fldChar w:fldCharType="end"/>
      </w:r>
      <w:r>
        <w:t> </w:t>
      </w:r>
    </w:p>
    <w:p w:rsidR="001C0950" w:rsidRDefault="001C0950">
      <w:pPr>
        <w:pStyle w:val="BodyText"/>
      </w:pPr>
      <w:r>
        <w:t> What are the appropriate interim water rates?</w:t>
      </w:r>
    </w:p>
    <w:p w:rsidR="001C0950" w:rsidRPr="004C3641" w:rsidRDefault="001C0950">
      <w:pPr>
        <w:pStyle w:val="IssueSubsectionHeading"/>
        <w:rPr>
          <w:vanish/>
          <w:specVanish/>
        </w:rPr>
      </w:pPr>
      <w:r w:rsidRPr="004C3641">
        <w:t>Recommendation: </w:t>
      </w:r>
    </w:p>
    <w:p w:rsidR="00CB4C06" w:rsidRDefault="001C0950" w:rsidP="00CB4C06">
      <w:pPr>
        <w:jc w:val="both"/>
      </w:pPr>
      <w:r>
        <w:t> </w:t>
      </w:r>
      <w:r w:rsidR="00CB4C06">
        <w:t>The interim rate increase of 18</w:t>
      </w:r>
      <w:r w:rsidR="00CB4C06" w:rsidRPr="00141D0D">
        <w:t>.</w:t>
      </w:r>
      <w:r w:rsidR="00CB4C06">
        <w:t xml:space="preserve">71 percent for water should be applied </w:t>
      </w:r>
      <w:r w:rsidR="00CB4C06" w:rsidRPr="00161D2C">
        <w:t>as an ac</w:t>
      </w:r>
      <w:r w:rsidR="00CB4C06">
        <w:t>ross-the-board increase to the service rates in effect as of December 31, 2014</w:t>
      </w:r>
      <w:r w:rsidR="00164C48">
        <w:t>.</w:t>
      </w:r>
      <w:r w:rsidR="00CB4C06">
        <w:t xml:space="preserve"> The rates, as shown on </w:t>
      </w:r>
      <w:r w:rsidR="00CB4C06" w:rsidRPr="00E4436C">
        <w:t xml:space="preserve">Schedule No. </w:t>
      </w:r>
      <w:r w:rsidR="00094505">
        <w:t>1</w:t>
      </w:r>
      <w:r w:rsidR="00CB4C06" w:rsidRPr="00E4436C">
        <w:t>,</w:t>
      </w:r>
      <w:r w:rsidR="00CB4C06">
        <w:t xml:space="preserve"> should be effective for service rendered on or after the stamped approval date on the tariff sheets pursuant to Rule 25-30.475(1), </w:t>
      </w:r>
      <w:r w:rsidR="00244E00">
        <w:t>Florida Administrative Code (</w:t>
      </w:r>
      <w:r w:rsidR="00CB4C06">
        <w:t>F.A.C.</w:t>
      </w:r>
      <w:r w:rsidR="00244E00">
        <w:t>).</w:t>
      </w:r>
      <w:r w:rsidR="00CB4C06">
        <w:t xml:space="preserve"> </w:t>
      </w:r>
      <w:r w:rsidR="00CB4C06" w:rsidRPr="00FC357F">
        <w:t xml:space="preserve">The </w:t>
      </w:r>
      <w:r w:rsidR="00CB4C06">
        <w:t>u</w:t>
      </w:r>
      <w:r w:rsidR="00CB4C06" w:rsidRPr="00FC357F">
        <w:t>tility should file revised tariff sheets and a proposed customer notice to reflect the Commission-approved rates.</w:t>
      </w:r>
      <w:r w:rsidR="00CB4C06">
        <w:t xml:space="preserve"> </w:t>
      </w:r>
      <w:r w:rsidR="00CB4C06" w:rsidRPr="00FC357F">
        <w:t xml:space="preserve">In addition, the approved rates should not be implemented until </w:t>
      </w:r>
      <w:r w:rsidR="00CB4C06">
        <w:t xml:space="preserve">the required security has been filed, </w:t>
      </w:r>
      <w:r w:rsidR="00CB4C06" w:rsidRPr="00FC357F">
        <w:t>staff has approved the proposed customer notice</w:t>
      </w:r>
      <w:r w:rsidR="00CB4C06">
        <w:t>,</w:t>
      </w:r>
      <w:r w:rsidR="00CB4C06" w:rsidRPr="00FC357F">
        <w:t xml:space="preserve"> and the notice has been received by the customers. The </w:t>
      </w:r>
      <w:r w:rsidR="00CB4C06">
        <w:t>u</w:t>
      </w:r>
      <w:r w:rsidR="00CB4C06" w:rsidRPr="00FC357F">
        <w:t>tility should provide proof of the date notice was given within 10 days of the date of the notice</w:t>
      </w:r>
      <w:r w:rsidR="00CB4C06">
        <w:t>. (Bruce)</w:t>
      </w:r>
    </w:p>
    <w:p w:rsidR="001C0950" w:rsidRDefault="001C0950" w:rsidP="00094505">
      <w:pPr>
        <w:pStyle w:val="BodyText"/>
        <w:spacing w:after="0"/>
      </w:pPr>
      <w:r>
        <w:t xml:space="preserve"> </w:t>
      </w:r>
    </w:p>
    <w:p w:rsidR="001C0950" w:rsidRPr="004C3641" w:rsidRDefault="001C0950">
      <w:pPr>
        <w:pStyle w:val="IssueSubsectionHeading"/>
        <w:rPr>
          <w:vanish/>
          <w:specVanish/>
        </w:rPr>
      </w:pPr>
      <w:r w:rsidRPr="004C3641">
        <w:t>Staff Analysis: </w:t>
      </w:r>
    </w:p>
    <w:p w:rsidR="00CB4C06" w:rsidRDefault="001C0950" w:rsidP="00CB4C06">
      <w:pPr>
        <w:jc w:val="both"/>
      </w:pPr>
      <w:r>
        <w:t> </w:t>
      </w:r>
      <w:r w:rsidR="00CB4C06">
        <w:t xml:space="preserve">Staff recommends that interim service rates for East Marion be designed to allow the utility the opportunity to generate annual operating revenues of $27,880 for water. Before removal of miscellaneous revenues, this would result in an increase of </w:t>
      </w:r>
      <w:r w:rsidR="00CB4C06" w:rsidRPr="002259AF">
        <w:t>$</w:t>
      </w:r>
      <w:r w:rsidR="00CB4C06">
        <w:t>4,130 (17</w:t>
      </w:r>
      <w:r w:rsidR="00CB4C06" w:rsidRPr="002259AF">
        <w:t>.</w:t>
      </w:r>
      <w:r w:rsidR="00CB4C06">
        <w:t>39 percent) for water. To determine the appropriate increase to apply to the service rates, miscellaneous revenues should be removed from the test year revenues. The calculation is as follows:</w:t>
      </w:r>
    </w:p>
    <w:p w:rsidR="00CB4C06" w:rsidRDefault="00CB4C06" w:rsidP="00CB4C06">
      <w:pPr>
        <w:jc w:val="both"/>
      </w:pPr>
    </w:p>
    <w:p w:rsidR="00CB4C06" w:rsidRDefault="00CB4C06" w:rsidP="00CB4C06">
      <w:pPr>
        <w:jc w:val="both"/>
      </w:pPr>
    </w:p>
    <w:p w:rsidR="00CB4C06" w:rsidRPr="00DA3273" w:rsidRDefault="00CB4C06" w:rsidP="00CB4C06">
      <w:pPr>
        <w:jc w:val="center"/>
        <w:rPr>
          <w:rFonts w:ascii="Arial" w:hAnsi="Arial" w:cs="Arial"/>
          <w:b/>
        </w:rPr>
      </w:pPr>
      <w:r w:rsidRPr="00DA3273">
        <w:rPr>
          <w:rFonts w:ascii="Arial" w:hAnsi="Arial" w:cs="Arial"/>
          <w:b/>
        </w:rPr>
        <w:t xml:space="preserve">Table </w:t>
      </w:r>
      <w:r w:rsidR="00D048C5">
        <w:rPr>
          <w:rFonts w:ascii="Arial" w:hAnsi="Arial" w:cs="Arial"/>
          <w:b/>
        </w:rPr>
        <w:t>2</w:t>
      </w:r>
    </w:p>
    <w:p w:rsidR="00CB4C06" w:rsidRPr="00DA3273" w:rsidRDefault="00CB4C06" w:rsidP="00CB4C06">
      <w:pPr>
        <w:jc w:val="center"/>
        <w:rPr>
          <w:rFonts w:ascii="Arial" w:hAnsi="Arial" w:cs="Arial"/>
          <w:b/>
        </w:rPr>
      </w:pPr>
      <w:r w:rsidRPr="00DA3273">
        <w:rPr>
          <w:rFonts w:ascii="Arial" w:hAnsi="Arial" w:cs="Arial"/>
          <w:b/>
        </w:rPr>
        <w:t>Percentage Increase Less Miscellaneous Revenues</w:t>
      </w:r>
    </w:p>
    <w:tbl>
      <w:tblPr>
        <w:tblW w:w="7889" w:type="dxa"/>
        <w:jc w:val="center"/>
        <w:tblInd w:w="7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19"/>
        <w:gridCol w:w="6064"/>
        <w:gridCol w:w="1406"/>
      </w:tblGrid>
      <w:tr w:rsidR="00CB4C06" w:rsidTr="00244E00">
        <w:trPr>
          <w:jc w:val="center"/>
        </w:trPr>
        <w:tc>
          <w:tcPr>
            <w:tcW w:w="419" w:type="dxa"/>
            <w:shd w:val="clear" w:color="auto" w:fill="auto"/>
          </w:tcPr>
          <w:p w:rsidR="00CB4C06" w:rsidRDefault="00CB4C06" w:rsidP="001F1595">
            <w:pPr>
              <w:jc w:val="right"/>
            </w:pPr>
          </w:p>
        </w:tc>
        <w:tc>
          <w:tcPr>
            <w:tcW w:w="6064" w:type="dxa"/>
            <w:shd w:val="clear" w:color="auto" w:fill="auto"/>
          </w:tcPr>
          <w:p w:rsidR="00CB4C06" w:rsidRDefault="00CB4C06" w:rsidP="001F1595"/>
        </w:tc>
        <w:tc>
          <w:tcPr>
            <w:tcW w:w="1406" w:type="dxa"/>
            <w:shd w:val="clear" w:color="auto" w:fill="auto"/>
          </w:tcPr>
          <w:p w:rsidR="00CB4C06" w:rsidRPr="00811EC8" w:rsidRDefault="00CB4C06" w:rsidP="001F1595">
            <w:pPr>
              <w:jc w:val="center"/>
              <w:rPr>
                <w:u w:val="single"/>
              </w:rPr>
            </w:pPr>
            <w:r w:rsidRPr="00811EC8">
              <w:rPr>
                <w:u w:val="single"/>
              </w:rPr>
              <w:t>Water</w:t>
            </w:r>
          </w:p>
        </w:tc>
      </w:tr>
      <w:tr w:rsidR="00CB4C06" w:rsidTr="00244E00">
        <w:trPr>
          <w:jc w:val="center"/>
        </w:trPr>
        <w:tc>
          <w:tcPr>
            <w:tcW w:w="419" w:type="dxa"/>
            <w:shd w:val="clear" w:color="auto" w:fill="auto"/>
          </w:tcPr>
          <w:p w:rsidR="00CB4C06" w:rsidRDefault="00CB4C06" w:rsidP="001F1595">
            <w:pPr>
              <w:jc w:val="right"/>
            </w:pPr>
            <w:r>
              <w:t>1</w:t>
            </w:r>
          </w:p>
        </w:tc>
        <w:tc>
          <w:tcPr>
            <w:tcW w:w="6064" w:type="dxa"/>
            <w:shd w:val="clear" w:color="auto" w:fill="auto"/>
          </w:tcPr>
          <w:p w:rsidR="00CB4C06" w:rsidRDefault="00CB4C06" w:rsidP="001F1595">
            <w:r>
              <w:t>Total Test Year Revenues</w:t>
            </w:r>
          </w:p>
        </w:tc>
        <w:tc>
          <w:tcPr>
            <w:tcW w:w="1406" w:type="dxa"/>
            <w:shd w:val="clear" w:color="auto" w:fill="auto"/>
          </w:tcPr>
          <w:p w:rsidR="00CB4C06" w:rsidRDefault="00CB4C06" w:rsidP="001F1595">
            <w:pPr>
              <w:jc w:val="right"/>
            </w:pPr>
            <w:r>
              <w:t>$23,750</w:t>
            </w:r>
          </w:p>
        </w:tc>
      </w:tr>
      <w:tr w:rsidR="00CB4C06" w:rsidTr="00244E00">
        <w:trPr>
          <w:jc w:val="center"/>
        </w:trPr>
        <w:tc>
          <w:tcPr>
            <w:tcW w:w="419" w:type="dxa"/>
            <w:shd w:val="clear" w:color="auto" w:fill="auto"/>
          </w:tcPr>
          <w:p w:rsidR="00CB4C06" w:rsidRDefault="00CB4C06" w:rsidP="001F1595">
            <w:pPr>
              <w:jc w:val="right"/>
            </w:pPr>
          </w:p>
        </w:tc>
        <w:tc>
          <w:tcPr>
            <w:tcW w:w="6064" w:type="dxa"/>
            <w:shd w:val="clear" w:color="auto" w:fill="auto"/>
          </w:tcPr>
          <w:p w:rsidR="00CB4C06" w:rsidRDefault="00CB4C06" w:rsidP="001F1595"/>
        </w:tc>
        <w:tc>
          <w:tcPr>
            <w:tcW w:w="1406" w:type="dxa"/>
            <w:shd w:val="clear" w:color="auto" w:fill="auto"/>
          </w:tcPr>
          <w:p w:rsidR="00CB4C06" w:rsidRDefault="00CB4C06" w:rsidP="001F1595">
            <w:pPr>
              <w:jc w:val="right"/>
            </w:pPr>
          </w:p>
        </w:tc>
      </w:tr>
      <w:tr w:rsidR="00CB4C06" w:rsidTr="00244E00">
        <w:trPr>
          <w:jc w:val="center"/>
        </w:trPr>
        <w:tc>
          <w:tcPr>
            <w:tcW w:w="419" w:type="dxa"/>
            <w:shd w:val="clear" w:color="auto" w:fill="auto"/>
          </w:tcPr>
          <w:p w:rsidR="00CB4C06" w:rsidRDefault="00CB4C06" w:rsidP="001F1595">
            <w:pPr>
              <w:jc w:val="right"/>
            </w:pPr>
            <w:r>
              <w:t>2</w:t>
            </w:r>
          </w:p>
        </w:tc>
        <w:tc>
          <w:tcPr>
            <w:tcW w:w="6064" w:type="dxa"/>
            <w:shd w:val="clear" w:color="auto" w:fill="auto"/>
          </w:tcPr>
          <w:p w:rsidR="00CB4C06" w:rsidRDefault="00CB4C06" w:rsidP="001F1595">
            <w:r>
              <w:t>Less:  Miscellaneous Revenues</w:t>
            </w:r>
          </w:p>
        </w:tc>
        <w:tc>
          <w:tcPr>
            <w:tcW w:w="1406" w:type="dxa"/>
            <w:shd w:val="clear" w:color="auto" w:fill="auto"/>
          </w:tcPr>
          <w:p w:rsidR="00CB4C06" w:rsidRPr="00811EC8" w:rsidRDefault="00CB4C06" w:rsidP="001F1595">
            <w:pPr>
              <w:jc w:val="right"/>
              <w:rPr>
                <w:u w:val="single"/>
              </w:rPr>
            </w:pPr>
            <w:r w:rsidRPr="00811EC8">
              <w:rPr>
                <w:u w:val="single"/>
              </w:rPr>
              <w:t>$</w:t>
            </w:r>
            <w:r>
              <w:rPr>
                <w:u w:val="single"/>
              </w:rPr>
              <w:t>1,675</w:t>
            </w:r>
          </w:p>
        </w:tc>
      </w:tr>
      <w:tr w:rsidR="00CB4C06" w:rsidTr="00244E00">
        <w:trPr>
          <w:jc w:val="center"/>
        </w:trPr>
        <w:tc>
          <w:tcPr>
            <w:tcW w:w="419" w:type="dxa"/>
            <w:shd w:val="clear" w:color="auto" w:fill="auto"/>
          </w:tcPr>
          <w:p w:rsidR="00CB4C06" w:rsidRDefault="00CB4C06" w:rsidP="001F1595">
            <w:pPr>
              <w:jc w:val="right"/>
            </w:pPr>
          </w:p>
        </w:tc>
        <w:tc>
          <w:tcPr>
            <w:tcW w:w="6064" w:type="dxa"/>
            <w:shd w:val="clear" w:color="auto" w:fill="auto"/>
          </w:tcPr>
          <w:p w:rsidR="00CB4C06" w:rsidRDefault="00CB4C06" w:rsidP="001F1595"/>
        </w:tc>
        <w:tc>
          <w:tcPr>
            <w:tcW w:w="1406" w:type="dxa"/>
            <w:shd w:val="clear" w:color="auto" w:fill="auto"/>
          </w:tcPr>
          <w:p w:rsidR="00CB4C06" w:rsidRDefault="00CB4C06" w:rsidP="001F1595">
            <w:pPr>
              <w:jc w:val="right"/>
            </w:pPr>
          </w:p>
        </w:tc>
      </w:tr>
      <w:tr w:rsidR="00CB4C06" w:rsidTr="00244E00">
        <w:trPr>
          <w:jc w:val="center"/>
        </w:trPr>
        <w:tc>
          <w:tcPr>
            <w:tcW w:w="419" w:type="dxa"/>
            <w:shd w:val="clear" w:color="auto" w:fill="auto"/>
          </w:tcPr>
          <w:p w:rsidR="00CB4C06" w:rsidRDefault="00CB4C06" w:rsidP="001F1595">
            <w:pPr>
              <w:jc w:val="right"/>
            </w:pPr>
            <w:r>
              <w:t>3</w:t>
            </w:r>
          </w:p>
        </w:tc>
        <w:tc>
          <w:tcPr>
            <w:tcW w:w="6064" w:type="dxa"/>
            <w:shd w:val="clear" w:color="auto" w:fill="auto"/>
          </w:tcPr>
          <w:p w:rsidR="00CB4C06" w:rsidRDefault="00CB4C06" w:rsidP="001F1595">
            <w:r>
              <w:t>Test Year Revenues from Service Rates</w:t>
            </w:r>
          </w:p>
        </w:tc>
        <w:tc>
          <w:tcPr>
            <w:tcW w:w="1406" w:type="dxa"/>
            <w:shd w:val="clear" w:color="auto" w:fill="auto"/>
          </w:tcPr>
          <w:p w:rsidR="00CB4C06" w:rsidRDefault="00CB4C06" w:rsidP="001F1595">
            <w:pPr>
              <w:jc w:val="right"/>
            </w:pPr>
            <w:r>
              <w:t>$22,075</w:t>
            </w:r>
          </w:p>
        </w:tc>
      </w:tr>
      <w:tr w:rsidR="00CB4C06" w:rsidTr="00244E00">
        <w:trPr>
          <w:jc w:val="center"/>
        </w:trPr>
        <w:tc>
          <w:tcPr>
            <w:tcW w:w="419" w:type="dxa"/>
            <w:shd w:val="clear" w:color="auto" w:fill="auto"/>
          </w:tcPr>
          <w:p w:rsidR="00CB4C06" w:rsidRDefault="00CB4C06" w:rsidP="001F1595">
            <w:pPr>
              <w:jc w:val="right"/>
            </w:pPr>
          </w:p>
        </w:tc>
        <w:tc>
          <w:tcPr>
            <w:tcW w:w="6064" w:type="dxa"/>
            <w:shd w:val="clear" w:color="auto" w:fill="auto"/>
          </w:tcPr>
          <w:p w:rsidR="00CB4C06" w:rsidRDefault="00CB4C06" w:rsidP="001F1595"/>
        </w:tc>
        <w:tc>
          <w:tcPr>
            <w:tcW w:w="1406" w:type="dxa"/>
            <w:shd w:val="clear" w:color="auto" w:fill="auto"/>
          </w:tcPr>
          <w:p w:rsidR="00CB4C06" w:rsidRDefault="00CB4C06" w:rsidP="001F1595">
            <w:pPr>
              <w:jc w:val="right"/>
            </w:pPr>
          </w:p>
        </w:tc>
      </w:tr>
      <w:tr w:rsidR="00CB4C06" w:rsidTr="00244E00">
        <w:trPr>
          <w:jc w:val="center"/>
        </w:trPr>
        <w:tc>
          <w:tcPr>
            <w:tcW w:w="419" w:type="dxa"/>
            <w:shd w:val="clear" w:color="auto" w:fill="auto"/>
          </w:tcPr>
          <w:p w:rsidR="00CB4C06" w:rsidRDefault="00CB4C06" w:rsidP="001F1595">
            <w:pPr>
              <w:jc w:val="right"/>
            </w:pPr>
            <w:r>
              <w:t>4</w:t>
            </w:r>
          </w:p>
        </w:tc>
        <w:tc>
          <w:tcPr>
            <w:tcW w:w="6064" w:type="dxa"/>
            <w:shd w:val="clear" w:color="auto" w:fill="auto"/>
          </w:tcPr>
          <w:p w:rsidR="00CB4C06" w:rsidRDefault="00CB4C06" w:rsidP="001F1595">
            <w:r>
              <w:t>Revenue Increase</w:t>
            </w:r>
          </w:p>
        </w:tc>
        <w:tc>
          <w:tcPr>
            <w:tcW w:w="1406" w:type="dxa"/>
            <w:shd w:val="clear" w:color="auto" w:fill="auto"/>
          </w:tcPr>
          <w:p w:rsidR="00CB4C06" w:rsidRPr="00811EC8" w:rsidRDefault="00CB4C06" w:rsidP="001F1595">
            <w:pPr>
              <w:jc w:val="right"/>
              <w:rPr>
                <w:u w:val="single"/>
              </w:rPr>
            </w:pPr>
            <w:r w:rsidRPr="00474D70">
              <w:rPr>
                <w:u w:val="single"/>
              </w:rPr>
              <w:t>$</w:t>
            </w:r>
            <w:r>
              <w:rPr>
                <w:u w:val="single"/>
              </w:rPr>
              <w:t>4</w:t>
            </w:r>
            <w:r w:rsidRPr="00474D70">
              <w:rPr>
                <w:u w:val="single"/>
              </w:rPr>
              <w:t>,</w:t>
            </w:r>
            <w:r>
              <w:rPr>
                <w:u w:val="single"/>
              </w:rPr>
              <w:t>130</w:t>
            </w:r>
          </w:p>
        </w:tc>
      </w:tr>
      <w:tr w:rsidR="00CB4C06" w:rsidTr="00244E00">
        <w:trPr>
          <w:jc w:val="center"/>
        </w:trPr>
        <w:tc>
          <w:tcPr>
            <w:tcW w:w="419" w:type="dxa"/>
            <w:shd w:val="clear" w:color="auto" w:fill="auto"/>
          </w:tcPr>
          <w:p w:rsidR="00CB4C06" w:rsidRDefault="00CB4C06" w:rsidP="001F1595">
            <w:pPr>
              <w:jc w:val="right"/>
            </w:pPr>
          </w:p>
        </w:tc>
        <w:tc>
          <w:tcPr>
            <w:tcW w:w="6064" w:type="dxa"/>
            <w:shd w:val="clear" w:color="auto" w:fill="auto"/>
          </w:tcPr>
          <w:p w:rsidR="00CB4C06" w:rsidRDefault="00CB4C06" w:rsidP="001F1595"/>
        </w:tc>
        <w:tc>
          <w:tcPr>
            <w:tcW w:w="1406" w:type="dxa"/>
            <w:shd w:val="clear" w:color="auto" w:fill="auto"/>
          </w:tcPr>
          <w:p w:rsidR="00CB4C06" w:rsidRDefault="00CB4C06" w:rsidP="001F1595">
            <w:pPr>
              <w:jc w:val="right"/>
            </w:pPr>
          </w:p>
        </w:tc>
      </w:tr>
      <w:tr w:rsidR="00CB4C06" w:rsidTr="00244E00">
        <w:trPr>
          <w:jc w:val="center"/>
        </w:trPr>
        <w:tc>
          <w:tcPr>
            <w:tcW w:w="419" w:type="dxa"/>
            <w:shd w:val="clear" w:color="auto" w:fill="auto"/>
          </w:tcPr>
          <w:p w:rsidR="00CB4C06" w:rsidRDefault="00CB4C06" w:rsidP="001F1595">
            <w:pPr>
              <w:jc w:val="right"/>
            </w:pPr>
            <w:r>
              <w:t>5</w:t>
            </w:r>
          </w:p>
        </w:tc>
        <w:tc>
          <w:tcPr>
            <w:tcW w:w="6064" w:type="dxa"/>
            <w:shd w:val="clear" w:color="auto" w:fill="auto"/>
          </w:tcPr>
          <w:p w:rsidR="00CB4C06" w:rsidRDefault="00CB4C06" w:rsidP="001F1595">
            <w:r>
              <w:t>% Service Rate Increase (Line 4/Line 3)</w:t>
            </w:r>
          </w:p>
        </w:tc>
        <w:tc>
          <w:tcPr>
            <w:tcW w:w="1406" w:type="dxa"/>
            <w:shd w:val="clear" w:color="auto" w:fill="auto"/>
          </w:tcPr>
          <w:p w:rsidR="00CB4C06" w:rsidRDefault="00CB4C06" w:rsidP="001F1595">
            <w:pPr>
              <w:jc w:val="right"/>
            </w:pPr>
            <w:r>
              <w:t>18.71%</w:t>
            </w:r>
          </w:p>
        </w:tc>
      </w:tr>
    </w:tbl>
    <w:p w:rsidR="00CB4C06" w:rsidRDefault="00244E00" w:rsidP="00244E00">
      <w:pPr>
        <w:ind w:left="720" w:hanging="540"/>
        <w:jc w:val="both"/>
      </w:pPr>
      <w:r>
        <w:tab/>
      </w:r>
      <w:r w:rsidR="00CB4C06">
        <w:t>Source:  Staff’s Recommended Revenue Requirement and MFRs</w:t>
      </w:r>
    </w:p>
    <w:p w:rsidR="00CB4C06" w:rsidRDefault="00CB4C06" w:rsidP="00CB4C06">
      <w:pPr>
        <w:jc w:val="center"/>
      </w:pPr>
    </w:p>
    <w:p w:rsidR="001C0950" w:rsidRDefault="00CB4C06" w:rsidP="00644742">
      <w:pPr>
        <w:jc w:val="both"/>
      </w:pPr>
      <w:r>
        <w:t>Staff recommends that the interim rate increase of 18</w:t>
      </w:r>
      <w:r w:rsidRPr="00141D0D">
        <w:t>.</w:t>
      </w:r>
      <w:r>
        <w:t xml:space="preserve">71 percent for water should be applied </w:t>
      </w:r>
      <w:r w:rsidRPr="00161D2C">
        <w:t>as an ac</w:t>
      </w:r>
      <w:r>
        <w:t>ross-the-board increase to the service rates in effect as of December 31, 2014</w:t>
      </w:r>
      <w:r w:rsidRPr="00161D2C">
        <w:t>.</w:t>
      </w:r>
      <w:r w:rsidR="00164C48">
        <w:rPr>
          <w:rStyle w:val="FootnoteReference"/>
        </w:rPr>
        <w:footnoteReference w:id="4"/>
      </w:r>
      <w:r>
        <w:t xml:space="preserve"> The rates, as shown on Schedule No. </w:t>
      </w:r>
      <w:r w:rsidR="00094505">
        <w:t>1</w:t>
      </w:r>
      <w:r w:rsidRPr="00E4436C">
        <w:t>,</w:t>
      </w:r>
      <w:r>
        <w:t xml:space="preserve"> should be effective for service rendered on or after the stamped approval date on the tariff sheets pursuant to Rule 25-30.475(1), F.A.C. </w:t>
      </w:r>
      <w:r w:rsidRPr="00FC357F">
        <w:t xml:space="preserve">The </w:t>
      </w:r>
      <w:r>
        <w:t>u</w:t>
      </w:r>
      <w:r w:rsidRPr="00FC357F">
        <w:t>tility should file revised tariff sheets and a proposed customer notice to reflect the Commission-approved rates</w:t>
      </w:r>
      <w:r w:rsidR="00474A39" w:rsidRPr="00FC357F">
        <w:t>.</w:t>
      </w:r>
      <w:r w:rsidR="00474A39">
        <w:t xml:space="preserve"> </w:t>
      </w:r>
      <w:r w:rsidRPr="00FC357F">
        <w:t xml:space="preserve">In addition, the approved rates should not be implemented until </w:t>
      </w:r>
      <w:r>
        <w:t xml:space="preserve">the required security has been filed, </w:t>
      </w:r>
      <w:r w:rsidRPr="00FC357F">
        <w:t>staff has approved the proposed customer notice</w:t>
      </w:r>
      <w:r>
        <w:t>,</w:t>
      </w:r>
      <w:r w:rsidRPr="00FC357F">
        <w:t xml:space="preserve"> and the notice has </w:t>
      </w:r>
      <w:r>
        <w:t>been received by the customers.</w:t>
      </w:r>
      <w:r w:rsidRPr="00FC357F">
        <w:t xml:space="preserve"> The </w:t>
      </w:r>
      <w:r>
        <w:t>u</w:t>
      </w:r>
      <w:r w:rsidRPr="00FC357F">
        <w:t>tility should provide proof of the date notice was given within 10 days of the date of the notice</w:t>
      </w:r>
      <w:r>
        <w:t>.</w:t>
      </w:r>
    </w:p>
    <w:p w:rsidR="001C0950" w:rsidRDefault="001C0950">
      <w:pPr>
        <w:pStyle w:val="IssueHeading"/>
        <w:rPr>
          <w:vanish/>
          <w:specVanish/>
        </w:rPr>
      </w:pPr>
      <w:r w:rsidRPr="004C3641">
        <w:rPr>
          <w:b w:val="0"/>
          <w:i w:val="0"/>
        </w:rPr>
        <w:br w:type="page"/>
      </w:r>
      <w:r w:rsidRPr="004C3641">
        <w:lastRenderedPageBreak/>
        <w:t xml:space="preserve">Issue </w:t>
      </w:r>
      <w:r w:rsidR="00485861">
        <w:fldChar w:fldCharType="begin"/>
      </w:r>
      <w:r w:rsidR="00485861">
        <w:instrText xml:space="preserve"> SEQ Issue \* MERGEFORMAT </w:instrText>
      </w:r>
      <w:r w:rsidR="00485861">
        <w:fldChar w:fldCharType="separate"/>
      </w:r>
      <w:r w:rsidR="00FD0AAC">
        <w:rPr>
          <w:noProof/>
        </w:rPr>
        <w:t>3</w:t>
      </w:r>
      <w:r w:rsidR="0048586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7" w:name="_Toc441062476"/>
      <w:r w:rsidR="00FD0AAC">
        <w:rPr>
          <w:noProof/>
        </w:rPr>
        <w:instrText>3</w:instrText>
      </w:r>
      <w:r>
        <w:fldChar w:fldCharType="end"/>
      </w:r>
      <w:r>
        <w:tab/>
      </w:r>
      <w:r w:rsidR="00CB4C06">
        <w:instrText>Interim Securit</w:instrText>
      </w:r>
      <w:r w:rsidR="00B140D0">
        <w:instrText>y</w:instrText>
      </w:r>
      <w:bookmarkEnd w:id="17"/>
      <w:r>
        <w:instrText xml:space="preserve">" \l 1 </w:instrText>
      </w:r>
      <w:r>
        <w:fldChar w:fldCharType="end"/>
      </w:r>
      <w:r>
        <w:t> </w:t>
      </w:r>
    </w:p>
    <w:p w:rsidR="001C0950" w:rsidRDefault="001C0950">
      <w:pPr>
        <w:pStyle w:val="BodyText"/>
      </w:pPr>
      <w:r>
        <w:t> What is the appropriate security to guarantee the interim increase?</w:t>
      </w:r>
    </w:p>
    <w:p w:rsidR="001C0950" w:rsidRPr="004C3641" w:rsidRDefault="001C0950">
      <w:pPr>
        <w:pStyle w:val="IssueSubsectionHeading"/>
        <w:rPr>
          <w:vanish/>
          <w:specVanish/>
        </w:rPr>
      </w:pPr>
      <w:r w:rsidRPr="004C3641">
        <w:t>Recommendation: </w:t>
      </w:r>
    </w:p>
    <w:p w:rsidR="001C0950" w:rsidRDefault="001C0950">
      <w:pPr>
        <w:pStyle w:val="BodyText"/>
      </w:pPr>
      <w:r>
        <w:t> The u</w:t>
      </w:r>
      <w:r w:rsidRPr="00C77292">
        <w:t xml:space="preserve">tility should be required to open an escrow account or secure a surety bond or letter of credit to guarantee any potential refund of revenues collected under interim conditions. If the security provided is an escrow account, </w:t>
      </w:r>
      <w:r w:rsidR="00F109D0">
        <w:t>the u</w:t>
      </w:r>
      <w:r>
        <w:t>tility should deposit $</w:t>
      </w:r>
      <w:r w:rsidR="00F109D0">
        <w:t>360</w:t>
      </w:r>
      <w:r w:rsidRPr="00C77292">
        <w:t xml:space="preserve"> into</w:t>
      </w:r>
      <w:r>
        <w:t xml:space="preserve"> the escrow account each month.</w:t>
      </w:r>
      <w:r w:rsidRPr="00C77292">
        <w:t xml:space="preserve"> Otherwise, the surety bond or letter of credit s</w:t>
      </w:r>
      <w:r>
        <w:t>hould be in the amount of $</w:t>
      </w:r>
      <w:r w:rsidR="00F109D0">
        <w:t>2,880</w:t>
      </w:r>
      <w:r>
        <w:t>.</w:t>
      </w:r>
      <w:r w:rsidRPr="00C77292">
        <w:t xml:space="preserve"> Pursuant to </w:t>
      </w:r>
      <w:r w:rsidR="00F109D0">
        <w:t>Rule 25-30.360(6), F.A.C., the u</w:t>
      </w:r>
      <w:r w:rsidRPr="00C77292">
        <w:t>tility should provide a report by the 20th of each month indicating the monthly and total revenue collected subject to refund. Should a refund be required, the refund should be with interest and in accordance with Rule 25-30.360, F.A.C.</w:t>
      </w:r>
      <w:r>
        <w:t xml:space="preserve"> </w:t>
      </w:r>
      <w:r w:rsidR="00082F86">
        <w:t>(Vogel)</w:t>
      </w:r>
    </w:p>
    <w:p w:rsidR="001C0950" w:rsidRPr="004C3641" w:rsidRDefault="001C0950">
      <w:pPr>
        <w:pStyle w:val="IssueSubsectionHeading"/>
        <w:rPr>
          <w:vanish/>
          <w:specVanish/>
        </w:rPr>
      </w:pPr>
      <w:r w:rsidRPr="004C3641">
        <w:t>Staff Analysis: </w:t>
      </w:r>
    </w:p>
    <w:p w:rsidR="00F109D0" w:rsidRDefault="001C0950" w:rsidP="00BB2264">
      <w:pPr>
        <w:jc w:val="both"/>
      </w:pPr>
      <w:r>
        <w:t> </w:t>
      </w:r>
      <w:r w:rsidR="00F109D0" w:rsidRPr="00F109D0">
        <w:t xml:space="preserve">Pursuant to Section 367.082, F.S., revenues collected under interim rates shall be placed under bond, escrow, letter of credit, or corporate undertaking subject to refund with interest at a </w:t>
      </w:r>
      <w:r w:rsidR="00F109D0">
        <w:t>rate ordered by the Commission.</w:t>
      </w:r>
      <w:r w:rsidR="00F109D0" w:rsidRPr="00F109D0">
        <w:t xml:space="preserve"> As recommended in Issue 1</w:t>
      </w:r>
      <w:r w:rsidR="00644742">
        <w:t xml:space="preserve">, the interim increase for </w:t>
      </w:r>
      <w:r w:rsidR="00F109D0" w:rsidRPr="00F109D0">
        <w:t>water is $</w:t>
      </w:r>
      <w:r w:rsidR="00F109D0">
        <w:t xml:space="preserve">4,316. </w:t>
      </w:r>
      <w:r w:rsidR="00F109D0" w:rsidRPr="00F109D0">
        <w:t>In accordance with Rule 25-30.360, F.A.C., staff calculated the potential refund of revenues and interest collected under interim conditions to be $</w:t>
      </w:r>
      <w:r w:rsidR="00F109D0">
        <w:t>2,880</w:t>
      </w:r>
      <w:r w:rsidR="00F109D0" w:rsidRPr="00F109D0">
        <w:t>.</w:t>
      </w:r>
      <w:r w:rsidR="00F109D0">
        <w:t xml:space="preserve"> </w:t>
      </w:r>
      <w:r w:rsidR="00F109D0" w:rsidRPr="00F109D0">
        <w:t>This amount is based on an estimated eight months of revenue being collected under the recommended interim rates shown on Schedule No. 1.</w:t>
      </w:r>
    </w:p>
    <w:p w:rsidR="00BB2264" w:rsidRDefault="00BB2264" w:rsidP="00BB2264">
      <w:pPr>
        <w:jc w:val="both"/>
      </w:pPr>
    </w:p>
    <w:p w:rsidR="00BB2264" w:rsidRPr="00694AF9" w:rsidRDefault="00BB2264" w:rsidP="00BB2264">
      <w:pPr>
        <w:jc w:val="both"/>
      </w:pPr>
      <w:r w:rsidRPr="00694AF9">
        <w:rPr>
          <w:lang w:val="en-CA"/>
        </w:rPr>
        <w:fldChar w:fldCharType="begin"/>
      </w:r>
      <w:r w:rsidRPr="00694AF9">
        <w:rPr>
          <w:lang w:val="en-CA"/>
        </w:rPr>
        <w:instrText xml:space="preserve"> SEQ CHAPTER \h \r 1</w:instrText>
      </w:r>
      <w:r w:rsidRPr="00694AF9">
        <w:rPr>
          <w:lang w:val="en-CA"/>
        </w:rPr>
        <w:fldChar w:fldCharType="end"/>
      </w:r>
      <w:r w:rsidRPr="00694AF9">
        <w:t>The criteria for a corporate undertaking include sufficient liquidity, ownership equity, profitability, and interest coverage to guarantee any po</w:t>
      </w:r>
      <w:r>
        <w:t xml:space="preserve">tential refund. </w:t>
      </w:r>
      <w:r w:rsidR="00244E00">
        <w:t xml:space="preserve">Because </w:t>
      </w:r>
      <w:r>
        <w:t>East Marion</w:t>
      </w:r>
      <w:r w:rsidRPr="00694AF9">
        <w:t xml:space="preserve"> was purchased</w:t>
      </w:r>
      <w:r w:rsidR="00FC2A17">
        <w:t xml:space="preserve"> from East Marion Sanitary Systems, Inc.</w:t>
      </w:r>
      <w:r w:rsidRPr="00694AF9">
        <w:t xml:space="preserve"> in 201</w:t>
      </w:r>
      <w:r>
        <w:t>5</w:t>
      </w:r>
      <w:r w:rsidRPr="00694AF9">
        <w:t>,</w:t>
      </w:r>
      <w:r w:rsidRPr="00694AF9">
        <w:rPr>
          <w:vertAlign w:val="superscript"/>
        </w:rPr>
        <w:footnoteReference w:id="5"/>
      </w:r>
      <w:r>
        <w:t xml:space="preserve"> the u</w:t>
      </w:r>
      <w:r w:rsidRPr="00694AF9">
        <w:t xml:space="preserve">tility </w:t>
      </w:r>
      <w:r w:rsidR="00E14DEA">
        <w:t xml:space="preserve">does not have a full </w:t>
      </w:r>
      <w:r w:rsidRPr="00694AF9">
        <w:t xml:space="preserve">year of financial statements. </w:t>
      </w:r>
      <w:r>
        <w:t xml:space="preserve">Commission practice is to evaluate </w:t>
      </w:r>
      <w:r w:rsidRPr="00694AF9">
        <w:t>three years of financial sta</w:t>
      </w:r>
      <w:r w:rsidR="00E14DEA">
        <w:t>tements for determining if the u</w:t>
      </w:r>
      <w:r w:rsidRPr="00694AF9">
        <w:t>tility has the financial capability to support a cor</w:t>
      </w:r>
      <w:r w:rsidR="00E14DEA">
        <w:t xml:space="preserve">porate undertaking. </w:t>
      </w:r>
      <w:r w:rsidRPr="00694AF9">
        <w:t xml:space="preserve">Staff recommends </w:t>
      </w:r>
      <w:r w:rsidRPr="00694AF9">
        <w:rPr>
          <w:lang w:val="en-CA"/>
        </w:rPr>
        <w:fldChar w:fldCharType="begin"/>
      </w:r>
      <w:r w:rsidRPr="00694AF9">
        <w:rPr>
          <w:lang w:val="en-CA"/>
        </w:rPr>
        <w:instrText xml:space="preserve"> SEQ CHAPTER \h \r 1</w:instrText>
      </w:r>
      <w:r w:rsidRPr="00694AF9">
        <w:rPr>
          <w:lang w:val="en-CA"/>
        </w:rPr>
        <w:fldChar w:fldCharType="end"/>
      </w:r>
      <w:r w:rsidR="00E14DEA">
        <w:rPr>
          <w:lang w:val="en-CA"/>
        </w:rPr>
        <w:t>East Marion</w:t>
      </w:r>
      <w:r w:rsidRPr="00694AF9">
        <w:t xml:space="preserve"> be required to secure a surety bond, letter of credit, or escrow agreement to guarantee any potential refund of</w:t>
      </w:r>
      <w:r>
        <w:t xml:space="preserve"> water revenues.</w:t>
      </w:r>
    </w:p>
    <w:p w:rsidR="00BB2264" w:rsidRPr="00F109D0" w:rsidRDefault="00BB2264" w:rsidP="00BB2264">
      <w:pPr>
        <w:jc w:val="both"/>
      </w:pPr>
    </w:p>
    <w:p w:rsidR="00F109D0" w:rsidRPr="00F109D0" w:rsidRDefault="00F109D0" w:rsidP="00912390">
      <w:pPr>
        <w:spacing w:after="240"/>
        <w:jc w:val="both"/>
      </w:pPr>
      <w:r w:rsidRPr="00F109D0">
        <w:t xml:space="preserve">If the security provided is an escrow account, said account should be established between the </w:t>
      </w:r>
      <w:r>
        <w:t>u</w:t>
      </w:r>
      <w:r w:rsidRPr="00F109D0">
        <w:t xml:space="preserve">tility and an independent financial institution or the Division of Treasury for the Florida Department of Financial Services pursuant to a written escrow agreement. The Commission should be a party to the written escrow agreement and a signatory to the escrow account. The written escrow agreement should state the following: the account is established at the direction of the Commission for the purpose set forth above; no withdrawals of funds shall occur without the prior approval of the Commission through the Commission Clerk, Office of Commission Clerk; the account shall be interest bearing; information concerning that escrow account shall be available from the institution to the Commission or its representative at all times; the amount of revenue subject to refund shall be deposited in the escrow account within seven days of receipt; and, pursuant to </w:t>
      </w:r>
      <w:r w:rsidRPr="00244E00">
        <w:rPr>
          <w:i/>
        </w:rPr>
        <w:t>Cosentino v. Elson</w:t>
      </w:r>
      <w:r w:rsidRPr="00F109D0">
        <w:t>, 263 So. 2d 253 (Fla 3d DCA 1972), escrow accounts are not subject to garnishments.</w:t>
      </w:r>
    </w:p>
    <w:p w:rsidR="00F109D0" w:rsidRPr="00F109D0" w:rsidRDefault="00F109D0" w:rsidP="00912390">
      <w:pPr>
        <w:spacing w:after="240"/>
        <w:jc w:val="both"/>
      </w:pPr>
      <w:r w:rsidRPr="00F109D0">
        <w:t xml:space="preserve">If the security provided is an escrow account, the </w:t>
      </w:r>
      <w:r>
        <w:t>u</w:t>
      </w:r>
      <w:r w:rsidRPr="00F109D0">
        <w:t>tility should deposit $</w:t>
      </w:r>
      <w:r>
        <w:t>360</w:t>
      </w:r>
      <w:r w:rsidRPr="00F109D0">
        <w:t xml:space="preserve"> into </w:t>
      </w:r>
      <w:r w:rsidR="00E14DEA">
        <w:t xml:space="preserve">the escrow account each month. </w:t>
      </w:r>
      <w:r w:rsidRPr="00F109D0">
        <w:t xml:space="preserve">The escrow agreement should also state that “if a refund to the customers is </w:t>
      </w:r>
      <w:r w:rsidRPr="00F109D0">
        <w:lastRenderedPageBreak/>
        <w:t>required, all interest earned on the escrow account shall be distributed to the customers, and if a refund to the customers is not required, the interest earned on the escr</w:t>
      </w:r>
      <w:r>
        <w:t>ow account shall revert to the u</w:t>
      </w:r>
      <w:r w:rsidRPr="00F109D0">
        <w:t>tility.”</w:t>
      </w:r>
    </w:p>
    <w:p w:rsidR="00F109D0" w:rsidRPr="00F109D0" w:rsidRDefault="00F109D0" w:rsidP="00912390">
      <w:pPr>
        <w:spacing w:after="240"/>
        <w:jc w:val="both"/>
      </w:pPr>
      <w:r w:rsidRPr="00F109D0">
        <w:t>If the security provided is a surety bond or a letter of credit, said instrument should be in the amount of $</w:t>
      </w:r>
      <w:r>
        <w:t>2,880</w:t>
      </w:r>
      <w:r w:rsidRPr="00F109D0">
        <w:t xml:space="preserve">. If the </w:t>
      </w:r>
      <w:r>
        <w:t>u</w:t>
      </w:r>
      <w:r w:rsidRPr="00F109D0">
        <w:t xml:space="preserve">tility chooses a surety bond as security, the surety bond should state that it will be released or terminated only upon subsequent order of the Commission. </w:t>
      </w:r>
      <w:r>
        <w:t>If the u</w:t>
      </w:r>
      <w:r w:rsidRPr="00F109D0">
        <w:t xml:space="preserve">tility chooses to provide a letter of credit as security, the letter of credit should state that it is irrevocable for the period it is in effect and that it will be in effect until a final Commission order is rendered releasing the funds to the </w:t>
      </w:r>
      <w:r>
        <w:t>u</w:t>
      </w:r>
      <w:r w:rsidRPr="00F109D0">
        <w:t>tility or requiring a refund.</w:t>
      </w:r>
    </w:p>
    <w:p w:rsidR="00F109D0" w:rsidRPr="00F109D0" w:rsidRDefault="00F109D0" w:rsidP="00912390">
      <w:pPr>
        <w:spacing w:after="240"/>
        <w:jc w:val="both"/>
      </w:pPr>
      <w:r w:rsidRPr="00F109D0">
        <w:t xml:space="preserve">Regardless of the </w:t>
      </w:r>
      <w:r>
        <w:t>type of security provided, the u</w:t>
      </w:r>
      <w:r w:rsidRPr="00F109D0">
        <w:t xml:space="preserve">tility should keep an accurate and detailed account of all monies it receives. Pursuant to </w:t>
      </w:r>
      <w:r>
        <w:t>Rule 25-30.360(6), F.A.C., the u</w:t>
      </w:r>
      <w:r w:rsidRPr="00F109D0">
        <w:t>tility should provide a report by the 20th day of each month indicating the monthly and total revenu</w:t>
      </w:r>
      <w:r>
        <w:t xml:space="preserve">e collected subject to refund. </w:t>
      </w:r>
      <w:r w:rsidRPr="00F109D0">
        <w:t xml:space="preserve">Should a refund be required, the refund should be with interest and undertaken in accordance with Rule 25-30.360, F.A.C.  </w:t>
      </w:r>
    </w:p>
    <w:p w:rsidR="005959FB" w:rsidRDefault="00F109D0" w:rsidP="00912390">
      <w:pPr>
        <w:pStyle w:val="IssueHeading"/>
        <w:rPr>
          <w:vanish/>
          <w:specVanish/>
        </w:rPr>
      </w:pPr>
      <w:r w:rsidRPr="00F109D0">
        <w:rPr>
          <w:rFonts w:ascii="Times New Roman" w:hAnsi="Times New Roman" w:cs="Times New Roman"/>
          <w:b w:val="0"/>
          <w:bCs w:val="0"/>
          <w:i w:val="0"/>
          <w:kern w:val="0"/>
          <w:szCs w:val="24"/>
        </w:rPr>
        <w:t>In no instance should maintenance and administrative costs associated with any ref</w:t>
      </w:r>
      <w:r w:rsidRPr="00912390">
        <w:rPr>
          <w:rFonts w:ascii="Times New Roman" w:hAnsi="Times New Roman" w:cs="Times New Roman"/>
          <w:b w:val="0"/>
          <w:bCs w:val="0"/>
          <w:i w:val="0"/>
          <w:kern w:val="0"/>
          <w:szCs w:val="24"/>
        </w:rPr>
        <w:t xml:space="preserve">und be borne by the customers. </w:t>
      </w:r>
      <w:r w:rsidRPr="00F109D0">
        <w:rPr>
          <w:rFonts w:ascii="Times New Roman" w:hAnsi="Times New Roman" w:cs="Times New Roman"/>
          <w:b w:val="0"/>
          <w:bCs w:val="0"/>
          <w:i w:val="0"/>
          <w:kern w:val="0"/>
          <w:szCs w:val="24"/>
        </w:rPr>
        <w:t xml:space="preserve">Such costs are the responsibility of, and </w:t>
      </w:r>
      <w:r w:rsidRPr="00912390">
        <w:rPr>
          <w:rFonts w:ascii="Times New Roman" w:hAnsi="Times New Roman" w:cs="Times New Roman"/>
          <w:b w:val="0"/>
          <w:bCs w:val="0"/>
          <w:i w:val="0"/>
          <w:kern w:val="0"/>
          <w:szCs w:val="24"/>
        </w:rPr>
        <w:t>should be borne by, the utility.</w:t>
      </w:r>
      <w:r w:rsidR="005959FB" w:rsidRPr="004C3641">
        <w:rPr>
          <w:b w:val="0"/>
          <w:i w:val="0"/>
        </w:rPr>
        <w:br w:type="page"/>
      </w:r>
      <w:r w:rsidR="005959FB" w:rsidRPr="004C3641">
        <w:lastRenderedPageBreak/>
        <w:t xml:space="preserve">Issue </w:t>
      </w:r>
      <w:r w:rsidR="00485861">
        <w:fldChar w:fldCharType="begin"/>
      </w:r>
      <w:r w:rsidR="00485861">
        <w:instrText xml:space="preserve"> SEQ Issue \* MERGEFORMAT </w:instrText>
      </w:r>
      <w:r w:rsidR="00485861">
        <w:fldChar w:fldCharType="separate"/>
      </w:r>
      <w:r w:rsidR="00FD0AAC">
        <w:rPr>
          <w:noProof/>
        </w:rPr>
        <w:t>4</w:t>
      </w:r>
      <w:r w:rsidR="00485861">
        <w:rPr>
          <w:noProof/>
        </w:rPr>
        <w:fldChar w:fldCharType="end"/>
      </w:r>
      <w:r w:rsidR="005959FB" w:rsidRPr="004C3641">
        <w:t>:</w:t>
      </w:r>
      <w:r w:rsidR="005959FB">
        <w:fldChar w:fldCharType="begin"/>
      </w:r>
      <w:r w:rsidR="005959FB">
        <w:instrText xml:space="preserve"> TC "</w:instrText>
      </w:r>
      <w:r w:rsidR="005959FB">
        <w:fldChar w:fldCharType="begin"/>
      </w:r>
      <w:r w:rsidR="005959FB">
        <w:instrText xml:space="preserve"> SEQ issue \c </w:instrText>
      </w:r>
      <w:r w:rsidR="005959FB">
        <w:fldChar w:fldCharType="separate"/>
      </w:r>
      <w:bookmarkStart w:id="18" w:name="_Toc441062477"/>
      <w:r w:rsidR="00FD0AAC">
        <w:rPr>
          <w:noProof/>
        </w:rPr>
        <w:instrText>4</w:instrText>
      </w:r>
      <w:r w:rsidR="005959FB">
        <w:fldChar w:fldCharType="end"/>
      </w:r>
      <w:r w:rsidR="005959FB">
        <w:tab/>
      </w:r>
      <w:r w:rsidR="00CB4C06">
        <w:instrText>Close Docket</w:instrText>
      </w:r>
      <w:bookmarkEnd w:id="18"/>
      <w:r w:rsidR="005959FB">
        <w:instrText xml:space="preserve">" \l 1 </w:instrText>
      </w:r>
      <w:r w:rsidR="005959FB">
        <w:fldChar w:fldCharType="end"/>
      </w:r>
      <w:r w:rsidR="005959FB">
        <w:t> </w:t>
      </w:r>
    </w:p>
    <w:p w:rsidR="005959FB" w:rsidRDefault="005959FB">
      <w:pPr>
        <w:pStyle w:val="BodyText"/>
      </w:pPr>
      <w:r>
        <w:t> Should this docket be closed?</w:t>
      </w:r>
    </w:p>
    <w:p w:rsidR="005959FB" w:rsidRPr="004C3641" w:rsidRDefault="005959FB">
      <w:pPr>
        <w:pStyle w:val="IssueSubsectionHeading"/>
        <w:rPr>
          <w:vanish/>
          <w:specVanish/>
        </w:rPr>
      </w:pPr>
      <w:r w:rsidRPr="004C3641">
        <w:t>Recommendation: </w:t>
      </w:r>
    </w:p>
    <w:p w:rsidR="005959FB" w:rsidRDefault="005959FB">
      <w:pPr>
        <w:pStyle w:val="BodyText"/>
      </w:pPr>
      <w:r>
        <w:t> </w:t>
      </w:r>
      <w:r w:rsidR="00912390">
        <w:t>No.</w:t>
      </w:r>
      <w:r w:rsidR="00912390" w:rsidRPr="00296A88">
        <w:t xml:space="preserve"> The docket should remain open pending the Co</w:t>
      </w:r>
      <w:r w:rsidR="00912390">
        <w:t>mmission’s final action on the u</w:t>
      </w:r>
      <w:r w:rsidR="00912390" w:rsidRPr="00296A88">
        <w:t>tility’s requested rate increase.</w:t>
      </w:r>
      <w:r>
        <w:t xml:space="preserve"> </w:t>
      </w:r>
      <w:r w:rsidR="00912390">
        <w:t>(</w:t>
      </w:r>
      <w:r w:rsidR="00912390" w:rsidRPr="0064793D">
        <w:t>C</w:t>
      </w:r>
      <w:r w:rsidR="0064793D">
        <w:t>orbari</w:t>
      </w:r>
      <w:r w:rsidR="00244E00">
        <w:t>, Lherisson</w:t>
      </w:r>
      <w:r w:rsidR="00912390">
        <w:t>)</w:t>
      </w:r>
    </w:p>
    <w:p w:rsidR="005959FB" w:rsidRPr="004C3641" w:rsidRDefault="005959FB">
      <w:pPr>
        <w:pStyle w:val="IssueSubsectionHeading"/>
        <w:rPr>
          <w:vanish/>
          <w:specVanish/>
        </w:rPr>
      </w:pPr>
      <w:r w:rsidRPr="004C3641">
        <w:t>Staff Analysis: </w:t>
      </w:r>
    </w:p>
    <w:p w:rsidR="005959FB" w:rsidRDefault="005959FB">
      <w:pPr>
        <w:pStyle w:val="BodyText"/>
      </w:pPr>
      <w:r>
        <w:t> </w:t>
      </w:r>
      <w:r w:rsidR="00912390" w:rsidRPr="00296A88">
        <w:t>The docket should remain open pending the Co</w:t>
      </w:r>
      <w:r w:rsidR="00912390">
        <w:t>mmission’s final action on the u</w:t>
      </w:r>
      <w:r w:rsidR="00912390" w:rsidRPr="00296A88">
        <w:t>tility’s requested rate increase.</w:t>
      </w:r>
    </w:p>
    <w:p w:rsidR="00CB4C06" w:rsidRDefault="00CB4C06" w:rsidP="00F109D0">
      <w:pPr>
        <w:spacing w:after="240"/>
        <w:ind w:firstLine="720"/>
        <w:jc w:val="both"/>
        <w:sectPr w:rsidR="00CB4C06"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tbl>
      <w:tblPr>
        <w:tblW w:w="11156" w:type="dxa"/>
        <w:jc w:val="center"/>
        <w:tblInd w:w="93" w:type="dxa"/>
        <w:tblLook w:val="04A0" w:firstRow="1" w:lastRow="0" w:firstColumn="1" w:lastColumn="0" w:noHBand="0" w:noVBand="1"/>
      </w:tblPr>
      <w:tblGrid>
        <w:gridCol w:w="380"/>
        <w:gridCol w:w="4912"/>
        <w:gridCol w:w="1706"/>
        <w:gridCol w:w="1683"/>
        <w:gridCol w:w="2475"/>
      </w:tblGrid>
      <w:tr w:rsidR="008F7402" w:rsidTr="00094505">
        <w:trPr>
          <w:trHeight w:val="300"/>
          <w:jc w:val="center"/>
        </w:trPr>
        <w:tc>
          <w:tcPr>
            <w:tcW w:w="380" w:type="dxa"/>
            <w:tcBorders>
              <w:top w:val="single" w:sz="8" w:space="0" w:color="auto"/>
              <w:left w:val="single" w:sz="4" w:space="0" w:color="auto"/>
              <w:bottom w:val="nil"/>
              <w:right w:val="nil"/>
            </w:tcBorders>
            <w:shd w:val="clear" w:color="auto" w:fill="auto"/>
            <w:noWrap/>
            <w:vAlign w:val="bottom"/>
            <w:hideMark/>
          </w:tcPr>
          <w:p w:rsidR="008F7402" w:rsidRDefault="008F7402" w:rsidP="001F1595">
            <w:pPr>
              <w:rPr>
                <w:rFonts w:ascii="SWISS" w:hAnsi="SWISS" w:cs="Arial"/>
                <w:sz w:val="20"/>
                <w:szCs w:val="20"/>
              </w:rPr>
            </w:pPr>
            <w:r>
              <w:rPr>
                <w:rFonts w:ascii="SWISS" w:hAnsi="SWISS" w:cs="Arial"/>
                <w:sz w:val="20"/>
                <w:szCs w:val="20"/>
              </w:rPr>
              <w:lastRenderedPageBreak/>
              <w:t> </w:t>
            </w:r>
          </w:p>
        </w:tc>
        <w:tc>
          <w:tcPr>
            <w:tcW w:w="4912" w:type="dxa"/>
            <w:tcBorders>
              <w:top w:val="single" w:sz="8" w:space="0" w:color="auto"/>
              <w:left w:val="nil"/>
              <w:bottom w:val="nil"/>
              <w:right w:val="nil"/>
            </w:tcBorders>
            <w:shd w:val="clear" w:color="auto" w:fill="auto"/>
            <w:noWrap/>
            <w:vAlign w:val="bottom"/>
            <w:hideMark/>
          </w:tcPr>
          <w:p w:rsidR="008F7402" w:rsidRDefault="00D048C5" w:rsidP="00D048C5">
            <w:pPr>
              <w:rPr>
                <w:rFonts w:ascii="SWISS" w:hAnsi="SWISS" w:cs="Arial"/>
                <w:b/>
                <w:bCs/>
                <w:color w:val="000000"/>
                <w:sz w:val="20"/>
                <w:szCs w:val="20"/>
              </w:rPr>
            </w:pPr>
            <w:r>
              <w:fldChar w:fldCharType="begin"/>
            </w:r>
            <w:r>
              <w:instrText xml:space="preserve"> TC "</w:instrText>
            </w:r>
            <w:bookmarkStart w:id="19" w:name="_Toc441062478"/>
            <w:r>
              <w:tab/>
              <w:instrText>Schedule No. 1 Interim Water Rates</w:instrText>
            </w:r>
            <w:bookmarkEnd w:id="19"/>
            <w:r>
              <w:instrText xml:space="preserve">" \l 1 </w:instrText>
            </w:r>
            <w:r>
              <w:fldChar w:fldCharType="end"/>
            </w:r>
            <w:r w:rsidR="008F7402">
              <w:rPr>
                <w:rFonts w:ascii="SWISS" w:hAnsi="SWISS" w:cs="Arial"/>
                <w:b/>
                <w:bCs/>
                <w:color w:val="000000"/>
                <w:sz w:val="20"/>
                <w:szCs w:val="20"/>
              </w:rPr>
              <w:t>EAST MARION SANITARY SYSTEMS, INC.</w:t>
            </w:r>
          </w:p>
        </w:tc>
        <w:tc>
          <w:tcPr>
            <w:tcW w:w="1706" w:type="dxa"/>
            <w:tcBorders>
              <w:top w:val="single" w:sz="8" w:space="0" w:color="auto"/>
              <w:left w:val="nil"/>
              <w:bottom w:val="nil"/>
              <w:right w:val="nil"/>
            </w:tcBorders>
            <w:shd w:val="clear" w:color="auto" w:fill="auto"/>
            <w:noWrap/>
            <w:vAlign w:val="bottom"/>
            <w:hideMark/>
          </w:tcPr>
          <w:p w:rsidR="008F7402" w:rsidRDefault="008F7402" w:rsidP="001F1595">
            <w:pPr>
              <w:rPr>
                <w:rFonts w:ascii="Arial" w:hAnsi="Arial" w:cs="Arial"/>
              </w:rPr>
            </w:pPr>
            <w:r>
              <w:rPr>
                <w:rFonts w:ascii="Arial" w:hAnsi="Arial" w:cs="Arial"/>
              </w:rPr>
              <w:t> </w:t>
            </w:r>
          </w:p>
        </w:tc>
        <w:tc>
          <w:tcPr>
            <w:tcW w:w="1683" w:type="dxa"/>
            <w:tcBorders>
              <w:top w:val="single" w:sz="8" w:space="0" w:color="auto"/>
              <w:left w:val="nil"/>
              <w:bottom w:val="nil"/>
              <w:right w:val="nil"/>
            </w:tcBorders>
            <w:shd w:val="clear" w:color="auto" w:fill="auto"/>
            <w:noWrap/>
            <w:vAlign w:val="bottom"/>
            <w:hideMark/>
          </w:tcPr>
          <w:p w:rsidR="008F7402" w:rsidRDefault="008F7402" w:rsidP="001F1595">
            <w:pPr>
              <w:rPr>
                <w:rFonts w:ascii="Arial" w:hAnsi="Arial" w:cs="Arial"/>
              </w:rPr>
            </w:pPr>
            <w:r>
              <w:rPr>
                <w:rFonts w:ascii="Arial" w:hAnsi="Arial" w:cs="Arial"/>
              </w:rPr>
              <w:t> </w:t>
            </w:r>
          </w:p>
        </w:tc>
        <w:tc>
          <w:tcPr>
            <w:tcW w:w="2475" w:type="dxa"/>
            <w:tcBorders>
              <w:top w:val="single" w:sz="8" w:space="0" w:color="auto"/>
              <w:left w:val="nil"/>
              <w:bottom w:val="nil"/>
              <w:right w:val="single" w:sz="8" w:space="0" w:color="auto"/>
            </w:tcBorders>
            <w:shd w:val="clear" w:color="auto" w:fill="auto"/>
            <w:noWrap/>
            <w:vAlign w:val="bottom"/>
            <w:hideMark/>
          </w:tcPr>
          <w:p w:rsidR="008F7402" w:rsidRDefault="008F7402" w:rsidP="001F1595">
            <w:pPr>
              <w:rPr>
                <w:rFonts w:ascii="Arial" w:hAnsi="Arial" w:cs="Arial"/>
              </w:rPr>
            </w:pPr>
            <w:r>
              <w:rPr>
                <w:rFonts w:ascii="Arial" w:hAnsi="Arial" w:cs="Arial"/>
              </w:rPr>
              <w:t> </w:t>
            </w:r>
          </w:p>
        </w:tc>
      </w:tr>
      <w:tr w:rsidR="008F7402" w:rsidTr="00094505">
        <w:trPr>
          <w:trHeight w:val="300"/>
          <w:jc w:val="center"/>
        </w:trPr>
        <w:tc>
          <w:tcPr>
            <w:tcW w:w="380" w:type="dxa"/>
            <w:tcBorders>
              <w:top w:val="nil"/>
              <w:left w:val="single" w:sz="8" w:space="0" w:color="000000"/>
              <w:right w:val="nil"/>
            </w:tcBorders>
            <w:shd w:val="clear" w:color="auto" w:fill="auto"/>
            <w:noWrap/>
            <w:vAlign w:val="bottom"/>
            <w:hideMark/>
          </w:tcPr>
          <w:p w:rsidR="008F7402" w:rsidRDefault="008F7402" w:rsidP="001F1595">
            <w:pPr>
              <w:rPr>
                <w:rFonts w:ascii="SWISS" w:hAnsi="SWISS" w:cs="Arial"/>
                <w:sz w:val="20"/>
                <w:szCs w:val="20"/>
              </w:rPr>
            </w:pPr>
            <w:r>
              <w:rPr>
                <w:rFonts w:ascii="SWISS" w:hAnsi="SWISS" w:cs="Arial"/>
                <w:sz w:val="20"/>
                <w:szCs w:val="20"/>
              </w:rPr>
              <w:t> </w:t>
            </w:r>
          </w:p>
        </w:tc>
        <w:tc>
          <w:tcPr>
            <w:tcW w:w="4912" w:type="dxa"/>
            <w:tcBorders>
              <w:top w:val="nil"/>
              <w:left w:val="nil"/>
              <w:right w:val="nil"/>
            </w:tcBorders>
            <w:shd w:val="clear" w:color="auto" w:fill="auto"/>
            <w:noWrap/>
            <w:vAlign w:val="bottom"/>
            <w:hideMark/>
          </w:tcPr>
          <w:p w:rsidR="008F7402" w:rsidRDefault="008F7402" w:rsidP="001F1595">
            <w:pPr>
              <w:rPr>
                <w:rFonts w:ascii="SWISS" w:hAnsi="SWISS" w:cs="Arial"/>
                <w:b/>
                <w:bCs/>
                <w:color w:val="000000"/>
                <w:sz w:val="20"/>
                <w:szCs w:val="20"/>
              </w:rPr>
            </w:pPr>
            <w:r>
              <w:rPr>
                <w:rFonts w:ascii="SWISS" w:hAnsi="SWISS" w:cs="Arial"/>
                <w:b/>
                <w:bCs/>
                <w:color w:val="000000"/>
                <w:sz w:val="20"/>
                <w:szCs w:val="20"/>
              </w:rPr>
              <w:t>TEST YEAR ENDED DECEMBER 31, 2014</w:t>
            </w:r>
          </w:p>
        </w:tc>
        <w:tc>
          <w:tcPr>
            <w:tcW w:w="1706" w:type="dxa"/>
            <w:tcBorders>
              <w:top w:val="nil"/>
              <w:left w:val="nil"/>
              <w:bottom w:val="nil"/>
              <w:right w:val="nil"/>
            </w:tcBorders>
            <w:shd w:val="clear" w:color="auto" w:fill="auto"/>
            <w:noWrap/>
            <w:vAlign w:val="bottom"/>
            <w:hideMark/>
          </w:tcPr>
          <w:p w:rsidR="008F7402" w:rsidRDefault="008F7402" w:rsidP="001F1595">
            <w:pPr>
              <w:rPr>
                <w:rFonts w:ascii="SWISS" w:hAnsi="SWISS" w:cs="Arial"/>
                <w:b/>
                <w:bCs/>
                <w:color w:val="000000"/>
                <w:sz w:val="20"/>
                <w:szCs w:val="20"/>
              </w:rPr>
            </w:pPr>
          </w:p>
        </w:tc>
        <w:tc>
          <w:tcPr>
            <w:tcW w:w="1683" w:type="dxa"/>
            <w:tcBorders>
              <w:top w:val="nil"/>
              <w:left w:val="nil"/>
              <w:bottom w:val="nil"/>
              <w:right w:val="nil"/>
            </w:tcBorders>
            <w:shd w:val="clear" w:color="auto" w:fill="auto"/>
            <w:noWrap/>
            <w:vAlign w:val="bottom"/>
            <w:hideMark/>
          </w:tcPr>
          <w:p w:rsidR="008F7402" w:rsidRDefault="008F7402" w:rsidP="001F1595">
            <w:pPr>
              <w:rPr>
                <w:rFonts w:ascii="SWISS" w:hAnsi="SWISS" w:cs="Arial"/>
                <w:b/>
                <w:bCs/>
                <w:color w:val="000000"/>
                <w:sz w:val="20"/>
                <w:szCs w:val="20"/>
              </w:rPr>
            </w:pPr>
          </w:p>
        </w:tc>
        <w:tc>
          <w:tcPr>
            <w:tcW w:w="2475" w:type="dxa"/>
            <w:tcBorders>
              <w:top w:val="nil"/>
              <w:left w:val="nil"/>
              <w:bottom w:val="nil"/>
              <w:right w:val="single" w:sz="8" w:space="0" w:color="000000"/>
            </w:tcBorders>
            <w:shd w:val="clear" w:color="auto" w:fill="auto"/>
            <w:noWrap/>
            <w:vAlign w:val="bottom"/>
            <w:hideMark/>
          </w:tcPr>
          <w:p w:rsidR="008F7402" w:rsidRDefault="008F7402" w:rsidP="008F7402">
            <w:pPr>
              <w:jc w:val="right"/>
              <w:rPr>
                <w:rFonts w:ascii="SWISS" w:hAnsi="SWISS" w:cs="Arial"/>
                <w:b/>
                <w:bCs/>
                <w:color w:val="000000"/>
                <w:sz w:val="20"/>
                <w:szCs w:val="20"/>
              </w:rPr>
            </w:pPr>
            <w:r>
              <w:rPr>
                <w:rFonts w:ascii="SWISS" w:hAnsi="SWISS" w:cs="Arial"/>
                <w:b/>
                <w:bCs/>
                <w:color w:val="000000"/>
                <w:sz w:val="20"/>
                <w:szCs w:val="20"/>
              </w:rPr>
              <w:t>SCHEDULE NO. 1</w:t>
            </w:r>
          </w:p>
        </w:tc>
      </w:tr>
      <w:tr w:rsidR="008F7402" w:rsidTr="00094505">
        <w:trPr>
          <w:trHeight w:val="315"/>
          <w:jc w:val="center"/>
        </w:trPr>
        <w:tc>
          <w:tcPr>
            <w:tcW w:w="380" w:type="dxa"/>
            <w:tcBorders>
              <w:top w:val="nil"/>
              <w:left w:val="single" w:sz="8" w:space="0" w:color="000000"/>
              <w:bottom w:val="single" w:sz="4" w:space="0" w:color="auto"/>
              <w:right w:val="nil"/>
            </w:tcBorders>
            <w:shd w:val="clear" w:color="auto" w:fill="auto"/>
            <w:noWrap/>
            <w:vAlign w:val="bottom"/>
            <w:hideMark/>
          </w:tcPr>
          <w:p w:rsidR="008F7402" w:rsidRDefault="008F7402" w:rsidP="001F1595">
            <w:pPr>
              <w:rPr>
                <w:rFonts w:ascii="SWISS" w:hAnsi="SWISS" w:cs="Arial"/>
                <w:sz w:val="20"/>
                <w:szCs w:val="20"/>
              </w:rPr>
            </w:pPr>
            <w:r>
              <w:rPr>
                <w:rFonts w:ascii="SWISS" w:hAnsi="SWISS" w:cs="Arial"/>
                <w:sz w:val="20"/>
                <w:szCs w:val="20"/>
              </w:rPr>
              <w:t> </w:t>
            </w:r>
          </w:p>
        </w:tc>
        <w:tc>
          <w:tcPr>
            <w:tcW w:w="4912" w:type="dxa"/>
            <w:tcBorders>
              <w:top w:val="nil"/>
              <w:left w:val="nil"/>
              <w:bottom w:val="single" w:sz="4" w:space="0" w:color="auto"/>
              <w:right w:val="nil"/>
            </w:tcBorders>
            <w:shd w:val="clear" w:color="auto" w:fill="auto"/>
            <w:noWrap/>
            <w:vAlign w:val="bottom"/>
            <w:hideMark/>
          </w:tcPr>
          <w:p w:rsidR="008F7402" w:rsidRDefault="008F7402" w:rsidP="001F1595">
            <w:pPr>
              <w:rPr>
                <w:rFonts w:ascii="SWISS" w:hAnsi="SWISS" w:cs="Arial"/>
                <w:b/>
                <w:bCs/>
                <w:color w:val="000000"/>
                <w:sz w:val="20"/>
                <w:szCs w:val="20"/>
              </w:rPr>
            </w:pPr>
            <w:r>
              <w:rPr>
                <w:rFonts w:ascii="SWISS" w:hAnsi="SWISS" w:cs="Arial"/>
                <w:b/>
                <w:bCs/>
                <w:color w:val="000000"/>
                <w:sz w:val="20"/>
                <w:szCs w:val="20"/>
              </w:rPr>
              <w:t>MONTHLY WATER RATES</w:t>
            </w:r>
          </w:p>
        </w:tc>
        <w:tc>
          <w:tcPr>
            <w:tcW w:w="1706" w:type="dxa"/>
            <w:tcBorders>
              <w:top w:val="nil"/>
              <w:left w:val="nil"/>
              <w:bottom w:val="single" w:sz="8" w:space="0" w:color="auto"/>
              <w:right w:val="nil"/>
            </w:tcBorders>
            <w:shd w:val="clear" w:color="auto" w:fill="auto"/>
            <w:noWrap/>
            <w:vAlign w:val="bottom"/>
            <w:hideMark/>
          </w:tcPr>
          <w:p w:rsidR="008F7402" w:rsidRDefault="008F7402" w:rsidP="001F1595">
            <w:pPr>
              <w:rPr>
                <w:rFonts w:ascii="SWISS" w:hAnsi="SWISS" w:cs="Arial"/>
                <w:b/>
                <w:bCs/>
                <w:color w:val="000000"/>
                <w:sz w:val="20"/>
                <w:szCs w:val="20"/>
              </w:rPr>
            </w:pPr>
            <w:r>
              <w:rPr>
                <w:rFonts w:ascii="SWISS" w:hAnsi="SWISS" w:cs="Arial"/>
                <w:b/>
                <w:bCs/>
                <w:color w:val="000000"/>
                <w:sz w:val="20"/>
                <w:szCs w:val="20"/>
              </w:rPr>
              <w:t> </w:t>
            </w:r>
          </w:p>
        </w:tc>
        <w:tc>
          <w:tcPr>
            <w:tcW w:w="1683" w:type="dxa"/>
            <w:tcBorders>
              <w:top w:val="nil"/>
              <w:left w:val="nil"/>
              <w:bottom w:val="single" w:sz="8" w:space="0" w:color="auto"/>
              <w:right w:val="nil"/>
            </w:tcBorders>
            <w:shd w:val="clear" w:color="auto" w:fill="auto"/>
            <w:noWrap/>
            <w:vAlign w:val="bottom"/>
            <w:hideMark/>
          </w:tcPr>
          <w:p w:rsidR="008F7402" w:rsidRDefault="008F7402" w:rsidP="001F1595">
            <w:pPr>
              <w:rPr>
                <w:rFonts w:ascii="SWISS" w:hAnsi="SWISS" w:cs="Arial"/>
                <w:b/>
                <w:bCs/>
                <w:color w:val="000000"/>
                <w:sz w:val="20"/>
                <w:szCs w:val="20"/>
              </w:rPr>
            </w:pPr>
            <w:r>
              <w:rPr>
                <w:rFonts w:ascii="SWISS" w:hAnsi="SWISS" w:cs="Arial"/>
                <w:b/>
                <w:bCs/>
                <w:color w:val="000000"/>
                <w:sz w:val="20"/>
                <w:szCs w:val="20"/>
              </w:rPr>
              <w:t> </w:t>
            </w:r>
          </w:p>
        </w:tc>
        <w:tc>
          <w:tcPr>
            <w:tcW w:w="2475" w:type="dxa"/>
            <w:tcBorders>
              <w:top w:val="nil"/>
              <w:left w:val="nil"/>
              <w:bottom w:val="single" w:sz="8" w:space="0" w:color="auto"/>
              <w:right w:val="single" w:sz="8" w:space="0" w:color="000000"/>
            </w:tcBorders>
            <w:shd w:val="clear" w:color="auto" w:fill="auto"/>
            <w:noWrap/>
            <w:vAlign w:val="bottom"/>
            <w:hideMark/>
          </w:tcPr>
          <w:p w:rsidR="008F7402" w:rsidRDefault="008F7402" w:rsidP="00094505">
            <w:pPr>
              <w:ind w:left="-61"/>
              <w:jc w:val="right"/>
              <w:rPr>
                <w:rFonts w:ascii="SWISS" w:hAnsi="SWISS" w:cs="Arial"/>
                <w:b/>
                <w:bCs/>
                <w:color w:val="000000"/>
                <w:sz w:val="20"/>
                <w:szCs w:val="20"/>
              </w:rPr>
            </w:pPr>
            <w:r>
              <w:rPr>
                <w:rFonts w:ascii="SWISS" w:hAnsi="SWISS" w:cs="Arial"/>
                <w:b/>
                <w:bCs/>
                <w:color w:val="000000"/>
                <w:sz w:val="20"/>
                <w:szCs w:val="20"/>
              </w:rPr>
              <w:t>DOCKET NO. 150257-WS</w:t>
            </w:r>
          </w:p>
        </w:tc>
      </w:tr>
      <w:tr w:rsidR="008F7402" w:rsidTr="00094505">
        <w:trPr>
          <w:trHeight w:val="300"/>
          <w:jc w:val="center"/>
        </w:trPr>
        <w:tc>
          <w:tcPr>
            <w:tcW w:w="380" w:type="dxa"/>
            <w:tcBorders>
              <w:top w:val="single" w:sz="4" w:space="0" w:color="auto"/>
              <w:left w:val="single" w:sz="8" w:space="0" w:color="000000"/>
              <w:bottom w:val="nil"/>
              <w:right w:val="nil"/>
            </w:tcBorders>
            <w:shd w:val="clear" w:color="000000" w:fill="FFFFFF" w:themeFill="background1"/>
            <w:noWrap/>
            <w:vAlign w:val="bottom"/>
            <w:hideMark/>
          </w:tcPr>
          <w:p w:rsidR="008F7402" w:rsidRDefault="008F7402" w:rsidP="001F1595">
            <w:pPr>
              <w:rPr>
                <w:rFonts w:ascii="SWISS" w:hAnsi="SWISS" w:cs="Arial"/>
                <w:sz w:val="20"/>
                <w:szCs w:val="20"/>
              </w:rPr>
            </w:pPr>
            <w:r>
              <w:rPr>
                <w:rFonts w:ascii="SWISS" w:hAnsi="SWISS" w:cs="Arial"/>
                <w:sz w:val="20"/>
                <w:szCs w:val="20"/>
              </w:rPr>
              <w:t> </w:t>
            </w:r>
          </w:p>
        </w:tc>
        <w:tc>
          <w:tcPr>
            <w:tcW w:w="4912" w:type="dxa"/>
            <w:tcBorders>
              <w:top w:val="single" w:sz="4" w:space="0" w:color="auto"/>
              <w:left w:val="nil"/>
              <w:bottom w:val="nil"/>
              <w:right w:val="nil"/>
            </w:tcBorders>
            <w:shd w:val="clear" w:color="000000" w:fill="FFFFFF" w:themeFill="background1"/>
            <w:noWrap/>
            <w:vAlign w:val="bottom"/>
            <w:hideMark/>
          </w:tcPr>
          <w:p w:rsidR="008F7402" w:rsidRDefault="008F7402" w:rsidP="001F1595">
            <w:pPr>
              <w:rPr>
                <w:rFonts w:ascii="SWISS" w:hAnsi="SWISS" w:cs="Arial"/>
                <w:b/>
                <w:bCs/>
                <w:sz w:val="20"/>
                <w:szCs w:val="20"/>
              </w:rPr>
            </w:pPr>
            <w:r>
              <w:rPr>
                <w:rFonts w:ascii="SWISS" w:hAnsi="SWISS" w:cs="Arial"/>
                <w:b/>
                <w:bCs/>
                <w:sz w:val="20"/>
                <w:szCs w:val="20"/>
              </w:rPr>
              <w:t> </w:t>
            </w:r>
          </w:p>
        </w:tc>
        <w:tc>
          <w:tcPr>
            <w:tcW w:w="1706" w:type="dxa"/>
            <w:tcBorders>
              <w:top w:val="nil"/>
              <w:left w:val="nil"/>
              <w:bottom w:val="nil"/>
              <w:right w:val="nil"/>
            </w:tcBorders>
            <w:shd w:val="clear" w:color="000000" w:fill="FFFFFF" w:themeFill="background1"/>
            <w:noWrap/>
            <w:vAlign w:val="bottom"/>
            <w:hideMark/>
          </w:tcPr>
          <w:p w:rsidR="008F7402" w:rsidRDefault="008F7402" w:rsidP="001F1595">
            <w:pPr>
              <w:jc w:val="center"/>
              <w:rPr>
                <w:rFonts w:ascii="SWISS" w:hAnsi="SWISS" w:cs="Arial"/>
                <w:b/>
                <w:bCs/>
                <w:color w:val="000000"/>
                <w:sz w:val="20"/>
                <w:szCs w:val="20"/>
              </w:rPr>
            </w:pPr>
            <w:r>
              <w:rPr>
                <w:rFonts w:ascii="SWISS" w:hAnsi="SWISS" w:cs="Arial"/>
                <w:b/>
                <w:bCs/>
                <w:color w:val="000000"/>
                <w:sz w:val="20"/>
                <w:szCs w:val="20"/>
              </w:rPr>
              <w:t>RATES</w:t>
            </w:r>
          </w:p>
        </w:tc>
        <w:tc>
          <w:tcPr>
            <w:tcW w:w="1683" w:type="dxa"/>
            <w:tcBorders>
              <w:top w:val="nil"/>
              <w:left w:val="nil"/>
              <w:bottom w:val="nil"/>
              <w:right w:val="nil"/>
            </w:tcBorders>
            <w:shd w:val="clear" w:color="000000" w:fill="FFFFFF" w:themeFill="background1"/>
            <w:noWrap/>
            <w:vAlign w:val="bottom"/>
            <w:hideMark/>
          </w:tcPr>
          <w:p w:rsidR="008F7402" w:rsidRDefault="008F7402" w:rsidP="001F1595">
            <w:pPr>
              <w:jc w:val="center"/>
              <w:rPr>
                <w:rFonts w:ascii="SWISS" w:hAnsi="SWISS" w:cs="Arial"/>
                <w:b/>
                <w:bCs/>
                <w:color w:val="000000"/>
                <w:sz w:val="20"/>
                <w:szCs w:val="20"/>
              </w:rPr>
            </w:pPr>
            <w:r>
              <w:rPr>
                <w:rFonts w:ascii="SWISS" w:hAnsi="SWISS" w:cs="Arial"/>
                <w:b/>
                <w:bCs/>
                <w:color w:val="000000"/>
                <w:sz w:val="20"/>
                <w:szCs w:val="20"/>
              </w:rPr>
              <w:t> </w:t>
            </w:r>
          </w:p>
        </w:tc>
        <w:tc>
          <w:tcPr>
            <w:tcW w:w="2475" w:type="dxa"/>
            <w:tcBorders>
              <w:top w:val="nil"/>
              <w:left w:val="nil"/>
              <w:bottom w:val="nil"/>
              <w:right w:val="single" w:sz="8" w:space="0" w:color="000000"/>
            </w:tcBorders>
            <w:shd w:val="clear" w:color="000000" w:fill="FFFFFF" w:themeFill="background1"/>
            <w:noWrap/>
            <w:vAlign w:val="bottom"/>
            <w:hideMark/>
          </w:tcPr>
          <w:p w:rsidR="008F7402" w:rsidRDefault="008F7402" w:rsidP="001F1595">
            <w:pPr>
              <w:jc w:val="center"/>
              <w:rPr>
                <w:rFonts w:ascii="SWISS" w:hAnsi="SWISS" w:cs="Arial"/>
                <w:b/>
                <w:bCs/>
                <w:color w:val="000000"/>
                <w:sz w:val="20"/>
                <w:szCs w:val="20"/>
              </w:rPr>
            </w:pPr>
            <w:r>
              <w:rPr>
                <w:rFonts w:ascii="SWISS" w:hAnsi="SWISS" w:cs="Arial"/>
                <w:b/>
                <w:bCs/>
                <w:color w:val="000000"/>
                <w:sz w:val="20"/>
                <w:szCs w:val="20"/>
              </w:rPr>
              <w:t>STAFF</w:t>
            </w:r>
          </w:p>
        </w:tc>
      </w:tr>
      <w:tr w:rsidR="008F7402" w:rsidTr="00094505">
        <w:trPr>
          <w:trHeight w:val="300"/>
          <w:jc w:val="center"/>
        </w:trPr>
        <w:tc>
          <w:tcPr>
            <w:tcW w:w="380" w:type="dxa"/>
            <w:tcBorders>
              <w:top w:val="nil"/>
              <w:left w:val="single" w:sz="8" w:space="0" w:color="000000"/>
              <w:bottom w:val="nil"/>
              <w:right w:val="nil"/>
            </w:tcBorders>
            <w:shd w:val="clear" w:color="000000" w:fill="FFFFFF" w:themeFill="background1"/>
            <w:noWrap/>
            <w:vAlign w:val="bottom"/>
            <w:hideMark/>
          </w:tcPr>
          <w:p w:rsidR="008F7402" w:rsidRDefault="008F7402" w:rsidP="001F1595">
            <w:pPr>
              <w:rPr>
                <w:rFonts w:ascii="SWISS" w:hAnsi="SWISS" w:cs="Arial"/>
                <w:sz w:val="20"/>
                <w:szCs w:val="20"/>
              </w:rPr>
            </w:pPr>
            <w:r>
              <w:rPr>
                <w:rFonts w:ascii="SWISS" w:hAnsi="SWISS" w:cs="Arial"/>
                <w:sz w:val="20"/>
                <w:szCs w:val="20"/>
              </w:rPr>
              <w:t> </w:t>
            </w:r>
          </w:p>
        </w:tc>
        <w:tc>
          <w:tcPr>
            <w:tcW w:w="4912" w:type="dxa"/>
            <w:tcBorders>
              <w:top w:val="nil"/>
              <w:left w:val="nil"/>
              <w:bottom w:val="nil"/>
              <w:right w:val="nil"/>
            </w:tcBorders>
            <w:shd w:val="clear" w:color="000000" w:fill="FFFFFF" w:themeFill="background1"/>
            <w:noWrap/>
            <w:vAlign w:val="bottom"/>
            <w:hideMark/>
          </w:tcPr>
          <w:p w:rsidR="008F7402" w:rsidRDefault="008F7402" w:rsidP="001F1595">
            <w:pPr>
              <w:rPr>
                <w:rFonts w:ascii="SWISS" w:hAnsi="SWISS" w:cs="Arial"/>
                <w:b/>
                <w:bCs/>
                <w:sz w:val="20"/>
                <w:szCs w:val="20"/>
                <w:u w:val="single"/>
              </w:rPr>
            </w:pPr>
          </w:p>
        </w:tc>
        <w:tc>
          <w:tcPr>
            <w:tcW w:w="1706" w:type="dxa"/>
            <w:tcBorders>
              <w:top w:val="nil"/>
              <w:left w:val="nil"/>
              <w:bottom w:val="nil"/>
              <w:right w:val="nil"/>
            </w:tcBorders>
            <w:shd w:val="clear" w:color="000000" w:fill="FFFFFF" w:themeFill="background1"/>
            <w:noWrap/>
            <w:vAlign w:val="bottom"/>
            <w:hideMark/>
          </w:tcPr>
          <w:p w:rsidR="008F7402" w:rsidRDefault="008F7402" w:rsidP="001F1595">
            <w:pPr>
              <w:jc w:val="center"/>
              <w:rPr>
                <w:rFonts w:ascii="SWISS" w:hAnsi="SWISS" w:cs="Arial"/>
                <w:b/>
                <w:bCs/>
                <w:color w:val="000000"/>
                <w:sz w:val="20"/>
                <w:szCs w:val="20"/>
              </w:rPr>
            </w:pPr>
            <w:r>
              <w:rPr>
                <w:rFonts w:ascii="SWISS" w:hAnsi="SWISS" w:cs="Arial"/>
                <w:b/>
                <w:bCs/>
                <w:color w:val="000000"/>
                <w:sz w:val="20"/>
                <w:szCs w:val="20"/>
              </w:rPr>
              <w:t>AT</w:t>
            </w:r>
          </w:p>
        </w:tc>
        <w:tc>
          <w:tcPr>
            <w:tcW w:w="1683" w:type="dxa"/>
            <w:tcBorders>
              <w:top w:val="nil"/>
              <w:left w:val="nil"/>
              <w:bottom w:val="nil"/>
              <w:right w:val="nil"/>
            </w:tcBorders>
            <w:shd w:val="clear" w:color="000000" w:fill="FFFFFF" w:themeFill="background1"/>
            <w:noWrap/>
            <w:vAlign w:val="bottom"/>
            <w:hideMark/>
          </w:tcPr>
          <w:p w:rsidR="008F7402" w:rsidRDefault="008F7402" w:rsidP="001F1595">
            <w:pPr>
              <w:jc w:val="center"/>
              <w:rPr>
                <w:rFonts w:ascii="SWISS" w:hAnsi="SWISS" w:cs="Arial"/>
                <w:b/>
                <w:bCs/>
                <w:color w:val="000000"/>
                <w:sz w:val="20"/>
                <w:szCs w:val="20"/>
              </w:rPr>
            </w:pPr>
            <w:r>
              <w:rPr>
                <w:rFonts w:ascii="SWISS" w:hAnsi="SWISS" w:cs="Arial"/>
                <w:b/>
                <w:bCs/>
                <w:color w:val="000000"/>
                <w:sz w:val="20"/>
                <w:szCs w:val="20"/>
              </w:rPr>
              <w:t xml:space="preserve">CURRENT </w:t>
            </w:r>
          </w:p>
        </w:tc>
        <w:tc>
          <w:tcPr>
            <w:tcW w:w="2475" w:type="dxa"/>
            <w:tcBorders>
              <w:top w:val="nil"/>
              <w:left w:val="nil"/>
              <w:bottom w:val="nil"/>
              <w:right w:val="single" w:sz="8" w:space="0" w:color="auto"/>
            </w:tcBorders>
            <w:shd w:val="clear" w:color="000000" w:fill="FFFFFF" w:themeFill="background1"/>
            <w:noWrap/>
            <w:vAlign w:val="bottom"/>
            <w:hideMark/>
          </w:tcPr>
          <w:p w:rsidR="008F7402" w:rsidRDefault="008F7402" w:rsidP="001F1595">
            <w:pPr>
              <w:jc w:val="center"/>
              <w:rPr>
                <w:rFonts w:ascii="SWISS" w:hAnsi="SWISS" w:cs="Arial"/>
                <w:b/>
                <w:bCs/>
                <w:color w:val="000000"/>
                <w:sz w:val="20"/>
                <w:szCs w:val="20"/>
              </w:rPr>
            </w:pPr>
            <w:r>
              <w:rPr>
                <w:rFonts w:ascii="SWISS" w:hAnsi="SWISS" w:cs="Arial"/>
                <w:b/>
                <w:bCs/>
                <w:color w:val="000000"/>
                <w:sz w:val="20"/>
                <w:szCs w:val="20"/>
              </w:rPr>
              <w:t>RECOMMENDED</w:t>
            </w:r>
          </w:p>
        </w:tc>
      </w:tr>
      <w:tr w:rsidR="008F7402" w:rsidTr="00094505">
        <w:trPr>
          <w:trHeight w:val="315"/>
          <w:jc w:val="center"/>
        </w:trPr>
        <w:tc>
          <w:tcPr>
            <w:tcW w:w="380" w:type="dxa"/>
            <w:tcBorders>
              <w:top w:val="nil"/>
              <w:left w:val="single" w:sz="8" w:space="0" w:color="000000"/>
              <w:bottom w:val="single" w:sz="8" w:space="0" w:color="000000"/>
              <w:right w:val="nil"/>
            </w:tcBorders>
            <w:shd w:val="clear" w:color="000000" w:fill="FFFFFF" w:themeFill="background1"/>
            <w:noWrap/>
            <w:vAlign w:val="bottom"/>
            <w:hideMark/>
          </w:tcPr>
          <w:p w:rsidR="008F7402" w:rsidRDefault="008F7402" w:rsidP="001F1595">
            <w:pPr>
              <w:rPr>
                <w:rFonts w:ascii="SWISS" w:hAnsi="SWISS" w:cs="Arial"/>
                <w:sz w:val="20"/>
                <w:szCs w:val="20"/>
              </w:rPr>
            </w:pPr>
            <w:r>
              <w:rPr>
                <w:rFonts w:ascii="SWISS" w:hAnsi="SWISS" w:cs="Arial"/>
                <w:sz w:val="20"/>
                <w:szCs w:val="20"/>
              </w:rPr>
              <w:t> </w:t>
            </w:r>
          </w:p>
        </w:tc>
        <w:tc>
          <w:tcPr>
            <w:tcW w:w="4912" w:type="dxa"/>
            <w:tcBorders>
              <w:top w:val="nil"/>
              <w:left w:val="nil"/>
              <w:bottom w:val="single" w:sz="8" w:space="0" w:color="000000"/>
              <w:right w:val="nil"/>
            </w:tcBorders>
            <w:shd w:val="clear" w:color="000000" w:fill="FFFFFF" w:themeFill="background1"/>
            <w:noWrap/>
            <w:vAlign w:val="bottom"/>
            <w:hideMark/>
          </w:tcPr>
          <w:p w:rsidR="008F7402" w:rsidRDefault="008F7402" w:rsidP="001F1595">
            <w:pPr>
              <w:rPr>
                <w:rFonts w:ascii="SWISS" w:hAnsi="SWISS" w:cs="Arial"/>
                <w:b/>
                <w:bCs/>
                <w:sz w:val="20"/>
                <w:szCs w:val="20"/>
                <w:u w:val="single"/>
              </w:rPr>
            </w:pPr>
          </w:p>
        </w:tc>
        <w:tc>
          <w:tcPr>
            <w:tcW w:w="1706" w:type="dxa"/>
            <w:tcBorders>
              <w:top w:val="nil"/>
              <w:left w:val="nil"/>
              <w:bottom w:val="single" w:sz="8" w:space="0" w:color="000000"/>
              <w:right w:val="nil"/>
            </w:tcBorders>
            <w:shd w:val="clear" w:color="000000" w:fill="FFFFFF" w:themeFill="background1"/>
            <w:noWrap/>
            <w:vAlign w:val="bottom"/>
            <w:hideMark/>
          </w:tcPr>
          <w:p w:rsidR="008F7402" w:rsidRDefault="008F7402" w:rsidP="001F1595">
            <w:pPr>
              <w:jc w:val="center"/>
              <w:rPr>
                <w:rFonts w:ascii="SWISS" w:hAnsi="SWISS" w:cs="Arial"/>
                <w:b/>
                <w:bCs/>
                <w:color w:val="000000"/>
                <w:sz w:val="20"/>
                <w:szCs w:val="20"/>
              </w:rPr>
            </w:pPr>
            <w:r>
              <w:rPr>
                <w:rFonts w:ascii="SWISS" w:hAnsi="SWISS" w:cs="Arial"/>
                <w:b/>
                <w:bCs/>
                <w:color w:val="000000"/>
                <w:sz w:val="20"/>
                <w:szCs w:val="20"/>
              </w:rPr>
              <w:t>12/31/2014 (1)</w:t>
            </w:r>
          </w:p>
        </w:tc>
        <w:tc>
          <w:tcPr>
            <w:tcW w:w="1683" w:type="dxa"/>
            <w:tcBorders>
              <w:top w:val="nil"/>
              <w:left w:val="nil"/>
              <w:bottom w:val="single" w:sz="8" w:space="0" w:color="000000"/>
              <w:right w:val="nil"/>
            </w:tcBorders>
            <w:shd w:val="clear" w:color="000000" w:fill="FFFFFF" w:themeFill="background1"/>
            <w:noWrap/>
            <w:vAlign w:val="bottom"/>
            <w:hideMark/>
          </w:tcPr>
          <w:p w:rsidR="008F7402" w:rsidRDefault="008F7402" w:rsidP="001F1595">
            <w:pPr>
              <w:jc w:val="center"/>
              <w:rPr>
                <w:rFonts w:ascii="SWISS" w:hAnsi="SWISS" w:cs="Arial"/>
                <w:b/>
                <w:bCs/>
                <w:color w:val="000000"/>
                <w:sz w:val="20"/>
                <w:szCs w:val="20"/>
              </w:rPr>
            </w:pPr>
            <w:r>
              <w:rPr>
                <w:rFonts w:ascii="SWISS" w:hAnsi="SWISS" w:cs="Arial"/>
                <w:b/>
                <w:bCs/>
                <w:color w:val="000000"/>
                <w:sz w:val="20"/>
                <w:szCs w:val="20"/>
              </w:rPr>
              <w:t>RATES (2)</w:t>
            </w:r>
          </w:p>
        </w:tc>
        <w:tc>
          <w:tcPr>
            <w:tcW w:w="2475" w:type="dxa"/>
            <w:tcBorders>
              <w:top w:val="nil"/>
              <w:left w:val="nil"/>
              <w:bottom w:val="single" w:sz="8" w:space="0" w:color="000000"/>
              <w:right w:val="single" w:sz="8" w:space="0" w:color="000000"/>
            </w:tcBorders>
            <w:shd w:val="clear" w:color="000000" w:fill="FFFFFF" w:themeFill="background1"/>
            <w:noWrap/>
            <w:vAlign w:val="bottom"/>
            <w:hideMark/>
          </w:tcPr>
          <w:p w:rsidR="008F7402" w:rsidRDefault="008F7402" w:rsidP="001F1595">
            <w:pPr>
              <w:jc w:val="center"/>
              <w:rPr>
                <w:rFonts w:ascii="SWISS" w:hAnsi="SWISS" w:cs="Arial"/>
                <w:b/>
                <w:bCs/>
                <w:color w:val="000000"/>
                <w:sz w:val="20"/>
                <w:szCs w:val="20"/>
              </w:rPr>
            </w:pPr>
            <w:r>
              <w:rPr>
                <w:rFonts w:ascii="SWISS" w:hAnsi="SWISS" w:cs="Arial"/>
                <w:b/>
                <w:bCs/>
                <w:color w:val="000000"/>
                <w:sz w:val="20"/>
                <w:szCs w:val="20"/>
              </w:rPr>
              <w:t>INTERIM</w:t>
            </w:r>
          </w:p>
        </w:tc>
      </w:tr>
      <w:tr w:rsidR="008F7402" w:rsidTr="00094505">
        <w:trPr>
          <w:trHeight w:val="300"/>
          <w:jc w:val="center"/>
        </w:trPr>
        <w:tc>
          <w:tcPr>
            <w:tcW w:w="380" w:type="dxa"/>
            <w:tcBorders>
              <w:top w:val="nil"/>
              <w:left w:val="single" w:sz="8" w:space="0" w:color="000000"/>
              <w:bottom w:val="nil"/>
              <w:right w:val="nil"/>
            </w:tcBorders>
            <w:shd w:val="clear" w:color="auto" w:fill="auto"/>
            <w:noWrap/>
            <w:vAlign w:val="bottom"/>
            <w:hideMark/>
          </w:tcPr>
          <w:p w:rsidR="008F7402" w:rsidRDefault="008F7402" w:rsidP="001F1595">
            <w:pPr>
              <w:rPr>
                <w:rFonts w:ascii="SWISS" w:hAnsi="SWISS" w:cs="Arial"/>
                <w:sz w:val="20"/>
                <w:szCs w:val="20"/>
              </w:rPr>
            </w:pPr>
            <w:r>
              <w:rPr>
                <w:rFonts w:ascii="SWISS" w:hAnsi="SWISS" w:cs="Arial"/>
                <w:sz w:val="20"/>
                <w:szCs w:val="20"/>
              </w:rPr>
              <w:t> </w:t>
            </w:r>
          </w:p>
        </w:tc>
        <w:tc>
          <w:tcPr>
            <w:tcW w:w="4912" w:type="dxa"/>
            <w:tcBorders>
              <w:top w:val="nil"/>
              <w:left w:val="nil"/>
              <w:bottom w:val="nil"/>
              <w:right w:val="nil"/>
            </w:tcBorders>
            <w:shd w:val="clear" w:color="auto" w:fill="auto"/>
            <w:noWrap/>
            <w:vAlign w:val="bottom"/>
            <w:hideMark/>
          </w:tcPr>
          <w:p w:rsidR="008F7402" w:rsidRDefault="008F7402" w:rsidP="001F1595">
            <w:pPr>
              <w:rPr>
                <w:rFonts w:ascii="SWISS" w:hAnsi="SWISS" w:cs="Arial"/>
                <w:b/>
                <w:bCs/>
                <w:color w:val="000000"/>
                <w:sz w:val="20"/>
                <w:szCs w:val="20"/>
                <w:u w:val="single"/>
              </w:rPr>
            </w:pPr>
            <w:r>
              <w:rPr>
                <w:rFonts w:ascii="SWISS" w:hAnsi="SWISS" w:cs="Arial"/>
                <w:b/>
                <w:bCs/>
                <w:color w:val="000000"/>
                <w:sz w:val="20"/>
                <w:szCs w:val="20"/>
                <w:u w:val="single"/>
              </w:rPr>
              <w:t>Residential and  General Service</w:t>
            </w:r>
          </w:p>
        </w:tc>
        <w:tc>
          <w:tcPr>
            <w:tcW w:w="1706" w:type="dxa"/>
            <w:tcBorders>
              <w:top w:val="nil"/>
              <w:left w:val="nil"/>
              <w:bottom w:val="nil"/>
              <w:right w:val="nil"/>
            </w:tcBorders>
            <w:shd w:val="clear" w:color="auto" w:fill="auto"/>
            <w:noWrap/>
            <w:vAlign w:val="bottom"/>
            <w:hideMark/>
          </w:tcPr>
          <w:p w:rsidR="008F7402" w:rsidRDefault="008F7402" w:rsidP="001F1595">
            <w:pPr>
              <w:jc w:val="center"/>
              <w:rPr>
                <w:rFonts w:ascii="SWISS" w:hAnsi="SWISS" w:cs="Arial"/>
                <w:b/>
                <w:bCs/>
                <w:color w:val="000000"/>
                <w:sz w:val="20"/>
                <w:szCs w:val="20"/>
              </w:rPr>
            </w:pPr>
          </w:p>
        </w:tc>
        <w:tc>
          <w:tcPr>
            <w:tcW w:w="1683" w:type="dxa"/>
            <w:tcBorders>
              <w:top w:val="nil"/>
              <w:left w:val="nil"/>
              <w:bottom w:val="nil"/>
              <w:right w:val="nil"/>
            </w:tcBorders>
            <w:shd w:val="clear" w:color="auto" w:fill="auto"/>
            <w:noWrap/>
            <w:vAlign w:val="bottom"/>
            <w:hideMark/>
          </w:tcPr>
          <w:p w:rsidR="008F7402" w:rsidRDefault="008F7402" w:rsidP="001F1595">
            <w:pPr>
              <w:jc w:val="center"/>
              <w:rPr>
                <w:rFonts w:ascii="SWISS" w:hAnsi="SWISS" w:cs="Arial"/>
                <w:b/>
                <w:bCs/>
                <w:color w:val="000000"/>
                <w:sz w:val="20"/>
                <w:szCs w:val="20"/>
              </w:rPr>
            </w:pPr>
          </w:p>
        </w:tc>
        <w:tc>
          <w:tcPr>
            <w:tcW w:w="2475" w:type="dxa"/>
            <w:tcBorders>
              <w:top w:val="nil"/>
              <w:left w:val="nil"/>
              <w:bottom w:val="nil"/>
              <w:right w:val="single" w:sz="8" w:space="0" w:color="000000"/>
            </w:tcBorders>
            <w:shd w:val="clear" w:color="auto" w:fill="auto"/>
            <w:noWrap/>
            <w:vAlign w:val="bottom"/>
            <w:hideMark/>
          </w:tcPr>
          <w:p w:rsidR="008F7402" w:rsidRDefault="008F7402" w:rsidP="001F1595">
            <w:pPr>
              <w:jc w:val="center"/>
              <w:rPr>
                <w:rFonts w:ascii="SWISS" w:hAnsi="SWISS" w:cs="Arial"/>
                <w:b/>
                <w:bCs/>
                <w:color w:val="000000"/>
                <w:sz w:val="20"/>
                <w:szCs w:val="20"/>
              </w:rPr>
            </w:pPr>
            <w:r>
              <w:rPr>
                <w:rFonts w:ascii="SWISS" w:hAnsi="SWISS" w:cs="Arial"/>
                <w:b/>
                <w:bCs/>
                <w:color w:val="000000"/>
                <w:sz w:val="20"/>
                <w:szCs w:val="20"/>
              </w:rPr>
              <w:t> </w:t>
            </w:r>
          </w:p>
        </w:tc>
      </w:tr>
      <w:tr w:rsidR="008F7402" w:rsidTr="00094505">
        <w:trPr>
          <w:trHeight w:val="300"/>
          <w:jc w:val="center"/>
        </w:trPr>
        <w:tc>
          <w:tcPr>
            <w:tcW w:w="380" w:type="dxa"/>
            <w:tcBorders>
              <w:top w:val="nil"/>
              <w:left w:val="single" w:sz="8" w:space="0" w:color="000000"/>
              <w:bottom w:val="nil"/>
              <w:right w:val="nil"/>
            </w:tcBorders>
            <w:shd w:val="clear" w:color="auto" w:fill="auto"/>
            <w:noWrap/>
            <w:vAlign w:val="bottom"/>
            <w:hideMark/>
          </w:tcPr>
          <w:p w:rsidR="008F7402" w:rsidRDefault="008F7402" w:rsidP="001F1595">
            <w:pPr>
              <w:rPr>
                <w:rFonts w:ascii="SWISS" w:hAnsi="SWISS" w:cs="Arial"/>
                <w:sz w:val="20"/>
                <w:szCs w:val="20"/>
              </w:rPr>
            </w:pPr>
            <w:r>
              <w:rPr>
                <w:rFonts w:ascii="SWISS" w:hAnsi="SWISS" w:cs="Arial"/>
                <w:sz w:val="20"/>
                <w:szCs w:val="20"/>
              </w:rPr>
              <w:t> </w:t>
            </w:r>
          </w:p>
        </w:tc>
        <w:tc>
          <w:tcPr>
            <w:tcW w:w="4912" w:type="dxa"/>
            <w:tcBorders>
              <w:top w:val="nil"/>
              <w:left w:val="nil"/>
              <w:bottom w:val="nil"/>
              <w:right w:val="nil"/>
            </w:tcBorders>
            <w:shd w:val="clear" w:color="auto" w:fill="auto"/>
            <w:noWrap/>
            <w:vAlign w:val="bottom"/>
            <w:hideMark/>
          </w:tcPr>
          <w:p w:rsidR="008F7402" w:rsidRDefault="008F7402" w:rsidP="001F1595">
            <w:pPr>
              <w:rPr>
                <w:rFonts w:ascii="SWISS" w:hAnsi="SWISS" w:cs="Arial"/>
                <w:color w:val="000000"/>
                <w:sz w:val="20"/>
                <w:szCs w:val="20"/>
              </w:rPr>
            </w:pPr>
            <w:r>
              <w:rPr>
                <w:rFonts w:ascii="SWISS" w:hAnsi="SWISS" w:cs="Arial"/>
                <w:color w:val="000000"/>
                <w:sz w:val="20"/>
                <w:szCs w:val="20"/>
              </w:rPr>
              <w:t>Base Facility Charge by Meter Size</w:t>
            </w:r>
          </w:p>
        </w:tc>
        <w:tc>
          <w:tcPr>
            <w:tcW w:w="1706" w:type="dxa"/>
            <w:tcBorders>
              <w:top w:val="nil"/>
              <w:left w:val="nil"/>
              <w:bottom w:val="nil"/>
              <w:right w:val="nil"/>
            </w:tcBorders>
            <w:shd w:val="clear" w:color="auto" w:fill="auto"/>
            <w:noWrap/>
            <w:vAlign w:val="bottom"/>
            <w:hideMark/>
          </w:tcPr>
          <w:p w:rsidR="008F7402" w:rsidRDefault="008F7402" w:rsidP="001F1595">
            <w:pPr>
              <w:jc w:val="right"/>
              <w:rPr>
                <w:rFonts w:ascii="SWISS" w:hAnsi="SWISS" w:cs="Arial"/>
                <w:color w:val="000000"/>
                <w:sz w:val="20"/>
                <w:szCs w:val="20"/>
              </w:rPr>
            </w:pPr>
          </w:p>
        </w:tc>
        <w:tc>
          <w:tcPr>
            <w:tcW w:w="1683" w:type="dxa"/>
            <w:tcBorders>
              <w:top w:val="nil"/>
              <w:left w:val="nil"/>
              <w:bottom w:val="nil"/>
              <w:right w:val="nil"/>
            </w:tcBorders>
            <w:shd w:val="clear" w:color="auto" w:fill="auto"/>
            <w:noWrap/>
            <w:vAlign w:val="bottom"/>
            <w:hideMark/>
          </w:tcPr>
          <w:p w:rsidR="008F7402" w:rsidRDefault="008F7402" w:rsidP="001F1595">
            <w:pPr>
              <w:jc w:val="right"/>
              <w:rPr>
                <w:rFonts w:ascii="SWISS" w:hAnsi="SWISS" w:cs="Arial"/>
                <w:color w:val="000000"/>
                <w:sz w:val="20"/>
                <w:szCs w:val="20"/>
              </w:rPr>
            </w:pPr>
          </w:p>
        </w:tc>
        <w:tc>
          <w:tcPr>
            <w:tcW w:w="2475" w:type="dxa"/>
            <w:tcBorders>
              <w:top w:val="nil"/>
              <w:left w:val="nil"/>
              <w:bottom w:val="nil"/>
              <w:right w:val="single" w:sz="8" w:space="0" w:color="000000"/>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 </w:t>
            </w:r>
          </w:p>
        </w:tc>
      </w:tr>
      <w:tr w:rsidR="008F7402" w:rsidTr="00094505">
        <w:trPr>
          <w:trHeight w:val="300"/>
          <w:jc w:val="center"/>
        </w:trPr>
        <w:tc>
          <w:tcPr>
            <w:tcW w:w="380" w:type="dxa"/>
            <w:tcBorders>
              <w:top w:val="nil"/>
              <w:left w:val="single" w:sz="8" w:space="0" w:color="000000"/>
              <w:bottom w:val="nil"/>
              <w:right w:val="nil"/>
            </w:tcBorders>
            <w:shd w:val="clear" w:color="auto" w:fill="auto"/>
            <w:noWrap/>
            <w:vAlign w:val="bottom"/>
            <w:hideMark/>
          </w:tcPr>
          <w:p w:rsidR="008F7402" w:rsidRDefault="008F7402" w:rsidP="001F1595">
            <w:pPr>
              <w:rPr>
                <w:rFonts w:ascii="SWISS" w:hAnsi="SWISS" w:cs="Arial"/>
                <w:sz w:val="20"/>
                <w:szCs w:val="20"/>
              </w:rPr>
            </w:pPr>
            <w:r>
              <w:rPr>
                <w:rFonts w:ascii="SWISS" w:hAnsi="SWISS" w:cs="Arial"/>
                <w:sz w:val="20"/>
                <w:szCs w:val="20"/>
              </w:rPr>
              <w:t> </w:t>
            </w:r>
          </w:p>
        </w:tc>
        <w:tc>
          <w:tcPr>
            <w:tcW w:w="4912" w:type="dxa"/>
            <w:tcBorders>
              <w:top w:val="nil"/>
              <w:left w:val="nil"/>
              <w:bottom w:val="nil"/>
              <w:right w:val="nil"/>
            </w:tcBorders>
            <w:shd w:val="clear" w:color="auto" w:fill="auto"/>
            <w:noWrap/>
            <w:vAlign w:val="bottom"/>
            <w:hideMark/>
          </w:tcPr>
          <w:p w:rsidR="008F7402" w:rsidRDefault="008F7402" w:rsidP="001F1595">
            <w:pPr>
              <w:rPr>
                <w:rFonts w:ascii="SWISS" w:hAnsi="SWISS" w:cs="Arial"/>
                <w:color w:val="000000"/>
                <w:sz w:val="20"/>
                <w:szCs w:val="20"/>
              </w:rPr>
            </w:pPr>
            <w:r>
              <w:rPr>
                <w:rFonts w:ascii="SWISS" w:hAnsi="SWISS" w:cs="Arial"/>
                <w:color w:val="000000"/>
                <w:sz w:val="20"/>
                <w:szCs w:val="20"/>
              </w:rPr>
              <w:t>5/8" x 3/4"</w:t>
            </w:r>
          </w:p>
        </w:tc>
        <w:tc>
          <w:tcPr>
            <w:tcW w:w="1706" w:type="dxa"/>
            <w:tcBorders>
              <w:top w:val="nil"/>
              <w:left w:val="nil"/>
              <w:bottom w:val="nil"/>
              <w:right w:val="nil"/>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$9.88</w:t>
            </w:r>
          </w:p>
        </w:tc>
        <w:tc>
          <w:tcPr>
            <w:tcW w:w="1683" w:type="dxa"/>
            <w:tcBorders>
              <w:top w:val="nil"/>
              <w:left w:val="nil"/>
              <w:bottom w:val="nil"/>
              <w:right w:val="nil"/>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$10.05</w:t>
            </w:r>
          </w:p>
        </w:tc>
        <w:tc>
          <w:tcPr>
            <w:tcW w:w="2475" w:type="dxa"/>
            <w:tcBorders>
              <w:top w:val="nil"/>
              <w:left w:val="nil"/>
              <w:bottom w:val="nil"/>
              <w:right w:val="single" w:sz="8" w:space="0" w:color="000000"/>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$11.73</w:t>
            </w:r>
          </w:p>
        </w:tc>
      </w:tr>
      <w:tr w:rsidR="008F7402" w:rsidTr="00094505">
        <w:trPr>
          <w:trHeight w:val="300"/>
          <w:jc w:val="center"/>
        </w:trPr>
        <w:tc>
          <w:tcPr>
            <w:tcW w:w="380" w:type="dxa"/>
            <w:tcBorders>
              <w:top w:val="nil"/>
              <w:left w:val="single" w:sz="8" w:space="0" w:color="000000"/>
              <w:bottom w:val="nil"/>
              <w:right w:val="nil"/>
            </w:tcBorders>
            <w:shd w:val="clear" w:color="auto" w:fill="auto"/>
            <w:noWrap/>
            <w:vAlign w:val="bottom"/>
            <w:hideMark/>
          </w:tcPr>
          <w:p w:rsidR="008F7402" w:rsidRDefault="008F7402" w:rsidP="001F1595">
            <w:pPr>
              <w:rPr>
                <w:rFonts w:ascii="SWISS" w:hAnsi="SWISS" w:cs="Arial"/>
                <w:sz w:val="20"/>
                <w:szCs w:val="20"/>
              </w:rPr>
            </w:pPr>
            <w:r>
              <w:rPr>
                <w:rFonts w:ascii="SWISS" w:hAnsi="SWISS" w:cs="Arial"/>
                <w:sz w:val="20"/>
                <w:szCs w:val="20"/>
              </w:rPr>
              <w:t> </w:t>
            </w:r>
          </w:p>
        </w:tc>
        <w:tc>
          <w:tcPr>
            <w:tcW w:w="4912" w:type="dxa"/>
            <w:tcBorders>
              <w:top w:val="nil"/>
              <w:left w:val="nil"/>
              <w:bottom w:val="nil"/>
              <w:right w:val="nil"/>
            </w:tcBorders>
            <w:shd w:val="clear" w:color="auto" w:fill="auto"/>
            <w:noWrap/>
            <w:vAlign w:val="bottom"/>
            <w:hideMark/>
          </w:tcPr>
          <w:p w:rsidR="008F7402" w:rsidRDefault="008F7402" w:rsidP="001F1595">
            <w:pPr>
              <w:rPr>
                <w:rFonts w:ascii="SWISS" w:hAnsi="SWISS" w:cs="Arial"/>
                <w:color w:val="000000"/>
                <w:sz w:val="20"/>
                <w:szCs w:val="20"/>
              </w:rPr>
            </w:pPr>
            <w:r>
              <w:rPr>
                <w:rFonts w:ascii="SWISS" w:hAnsi="SWISS" w:cs="Arial"/>
                <w:color w:val="000000"/>
                <w:sz w:val="20"/>
                <w:szCs w:val="20"/>
              </w:rPr>
              <w:t>3/4"</w:t>
            </w:r>
          </w:p>
        </w:tc>
        <w:tc>
          <w:tcPr>
            <w:tcW w:w="1706" w:type="dxa"/>
            <w:tcBorders>
              <w:top w:val="nil"/>
              <w:left w:val="nil"/>
              <w:bottom w:val="nil"/>
              <w:right w:val="nil"/>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$14.84</w:t>
            </w:r>
          </w:p>
        </w:tc>
        <w:tc>
          <w:tcPr>
            <w:tcW w:w="1683" w:type="dxa"/>
            <w:tcBorders>
              <w:top w:val="nil"/>
              <w:left w:val="nil"/>
              <w:bottom w:val="nil"/>
              <w:right w:val="nil"/>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$15.10</w:t>
            </w:r>
          </w:p>
        </w:tc>
        <w:tc>
          <w:tcPr>
            <w:tcW w:w="2475" w:type="dxa"/>
            <w:tcBorders>
              <w:top w:val="nil"/>
              <w:left w:val="nil"/>
              <w:bottom w:val="nil"/>
              <w:right w:val="single" w:sz="8" w:space="0" w:color="000000"/>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$17.60</w:t>
            </w:r>
          </w:p>
        </w:tc>
      </w:tr>
      <w:tr w:rsidR="008F7402" w:rsidTr="00094505">
        <w:trPr>
          <w:trHeight w:val="300"/>
          <w:jc w:val="center"/>
        </w:trPr>
        <w:tc>
          <w:tcPr>
            <w:tcW w:w="380" w:type="dxa"/>
            <w:tcBorders>
              <w:top w:val="nil"/>
              <w:left w:val="single" w:sz="8" w:space="0" w:color="000000"/>
              <w:bottom w:val="nil"/>
              <w:right w:val="nil"/>
            </w:tcBorders>
            <w:shd w:val="clear" w:color="auto" w:fill="auto"/>
            <w:noWrap/>
            <w:vAlign w:val="bottom"/>
            <w:hideMark/>
          </w:tcPr>
          <w:p w:rsidR="008F7402" w:rsidRDefault="008F7402" w:rsidP="001F1595">
            <w:pPr>
              <w:rPr>
                <w:rFonts w:ascii="SWISS" w:hAnsi="SWISS" w:cs="Arial"/>
                <w:sz w:val="20"/>
                <w:szCs w:val="20"/>
              </w:rPr>
            </w:pPr>
            <w:r>
              <w:rPr>
                <w:rFonts w:ascii="SWISS" w:hAnsi="SWISS" w:cs="Arial"/>
                <w:sz w:val="20"/>
                <w:szCs w:val="20"/>
              </w:rPr>
              <w:t> </w:t>
            </w:r>
          </w:p>
        </w:tc>
        <w:tc>
          <w:tcPr>
            <w:tcW w:w="4912" w:type="dxa"/>
            <w:tcBorders>
              <w:top w:val="nil"/>
              <w:left w:val="nil"/>
              <w:bottom w:val="nil"/>
              <w:right w:val="nil"/>
            </w:tcBorders>
            <w:shd w:val="clear" w:color="auto" w:fill="auto"/>
            <w:noWrap/>
            <w:vAlign w:val="bottom"/>
            <w:hideMark/>
          </w:tcPr>
          <w:p w:rsidR="008F7402" w:rsidRDefault="008F7402" w:rsidP="001F1595">
            <w:pPr>
              <w:rPr>
                <w:rFonts w:ascii="SWISS" w:hAnsi="SWISS" w:cs="Arial"/>
                <w:color w:val="000000"/>
                <w:sz w:val="20"/>
                <w:szCs w:val="20"/>
              </w:rPr>
            </w:pPr>
            <w:r>
              <w:rPr>
                <w:rFonts w:ascii="SWISS" w:hAnsi="SWISS" w:cs="Arial"/>
                <w:color w:val="000000"/>
                <w:sz w:val="20"/>
                <w:szCs w:val="20"/>
              </w:rPr>
              <w:t>1"</w:t>
            </w:r>
          </w:p>
        </w:tc>
        <w:tc>
          <w:tcPr>
            <w:tcW w:w="1706" w:type="dxa"/>
            <w:tcBorders>
              <w:top w:val="nil"/>
              <w:left w:val="nil"/>
              <w:bottom w:val="nil"/>
              <w:right w:val="nil"/>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$24.72</w:t>
            </w:r>
          </w:p>
        </w:tc>
        <w:tc>
          <w:tcPr>
            <w:tcW w:w="1683" w:type="dxa"/>
            <w:tcBorders>
              <w:top w:val="nil"/>
              <w:left w:val="nil"/>
              <w:bottom w:val="nil"/>
              <w:right w:val="nil"/>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$25.15</w:t>
            </w:r>
          </w:p>
        </w:tc>
        <w:tc>
          <w:tcPr>
            <w:tcW w:w="2475" w:type="dxa"/>
            <w:tcBorders>
              <w:top w:val="nil"/>
              <w:left w:val="nil"/>
              <w:bottom w:val="nil"/>
              <w:right w:val="single" w:sz="8" w:space="0" w:color="000000"/>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$29.33</w:t>
            </w:r>
          </w:p>
        </w:tc>
      </w:tr>
      <w:tr w:rsidR="008F7402" w:rsidTr="00094505">
        <w:trPr>
          <w:trHeight w:val="300"/>
          <w:jc w:val="center"/>
        </w:trPr>
        <w:tc>
          <w:tcPr>
            <w:tcW w:w="380" w:type="dxa"/>
            <w:tcBorders>
              <w:top w:val="nil"/>
              <w:left w:val="single" w:sz="8" w:space="0" w:color="000000"/>
              <w:bottom w:val="nil"/>
              <w:right w:val="nil"/>
            </w:tcBorders>
            <w:shd w:val="clear" w:color="auto" w:fill="auto"/>
            <w:noWrap/>
            <w:vAlign w:val="bottom"/>
            <w:hideMark/>
          </w:tcPr>
          <w:p w:rsidR="008F7402" w:rsidRDefault="008F7402" w:rsidP="001F1595">
            <w:pPr>
              <w:rPr>
                <w:rFonts w:ascii="SWISS" w:hAnsi="SWISS" w:cs="Arial"/>
                <w:sz w:val="20"/>
                <w:szCs w:val="20"/>
              </w:rPr>
            </w:pPr>
            <w:r>
              <w:rPr>
                <w:rFonts w:ascii="SWISS" w:hAnsi="SWISS" w:cs="Arial"/>
                <w:sz w:val="20"/>
                <w:szCs w:val="20"/>
              </w:rPr>
              <w:t> </w:t>
            </w:r>
          </w:p>
        </w:tc>
        <w:tc>
          <w:tcPr>
            <w:tcW w:w="4912" w:type="dxa"/>
            <w:tcBorders>
              <w:top w:val="nil"/>
              <w:left w:val="nil"/>
              <w:bottom w:val="nil"/>
              <w:right w:val="nil"/>
            </w:tcBorders>
            <w:shd w:val="clear" w:color="auto" w:fill="auto"/>
            <w:noWrap/>
            <w:vAlign w:val="bottom"/>
            <w:hideMark/>
          </w:tcPr>
          <w:p w:rsidR="008F7402" w:rsidRDefault="008F7402" w:rsidP="001F1595">
            <w:pPr>
              <w:rPr>
                <w:rFonts w:ascii="SWISS" w:hAnsi="SWISS" w:cs="Arial"/>
                <w:color w:val="000000"/>
                <w:sz w:val="20"/>
                <w:szCs w:val="20"/>
              </w:rPr>
            </w:pPr>
            <w:r>
              <w:rPr>
                <w:rFonts w:ascii="SWISS" w:hAnsi="SWISS" w:cs="Arial"/>
                <w:color w:val="000000"/>
                <w:sz w:val="20"/>
                <w:szCs w:val="20"/>
              </w:rPr>
              <w:t>1-1/2"</w:t>
            </w:r>
          </w:p>
        </w:tc>
        <w:tc>
          <w:tcPr>
            <w:tcW w:w="1706" w:type="dxa"/>
            <w:tcBorders>
              <w:top w:val="nil"/>
              <w:left w:val="nil"/>
              <w:bottom w:val="nil"/>
              <w:right w:val="nil"/>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$49.44</w:t>
            </w:r>
          </w:p>
        </w:tc>
        <w:tc>
          <w:tcPr>
            <w:tcW w:w="1683" w:type="dxa"/>
            <w:tcBorders>
              <w:top w:val="nil"/>
              <w:left w:val="nil"/>
              <w:bottom w:val="nil"/>
              <w:right w:val="nil"/>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$50.29</w:t>
            </w:r>
          </w:p>
        </w:tc>
        <w:tc>
          <w:tcPr>
            <w:tcW w:w="2475" w:type="dxa"/>
            <w:tcBorders>
              <w:top w:val="nil"/>
              <w:left w:val="nil"/>
              <w:bottom w:val="nil"/>
              <w:right w:val="single" w:sz="8" w:space="0" w:color="000000"/>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$58.65</w:t>
            </w:r>
          </w:p>
        </w:tc>
      </w:tr>
      <w:tr w:rsidR="008F7402" w:rsidTr="00094505">
        <w:trPr>
          <w:trHeight w:val="300"/>
          <w:jc w:val="center"/>
        </w:trPr>
        <w:tc>
          <w:tcPr>
            <w:tcW w:w="380" w:type="dxa"/>
            <w:tcBorders>
              <w:top w:val="nil"/>
              <w:left w:val="single" w:sz="8" w:space="0" w:color="000000"/>
              <w:bottom w:val="nil"/>
              <w:right w:val="nil"/>
            </w:tcBorders>
            <w:shd w:val="clear" w:color="auto" w:fill="auto"/>
            <w:noWrap/>
            <w:vAlign w:val="bottom"/>
            <w:hideMark/>
          </w:tcPr>
          <w:p w:rsidR="008F7402" w:rsidRDefault="008F7402" w:rsidP="001F1595">
            <w:pPr>
              <w:rPr>
                <w:rFonts w:ascii="SWISS" w:hAnsi="SWISS" w:cs="Arial"/>
                <w:sz w:val="20"/>
                <w:szCs w:val="20"/>
              </w:rPr>
            </w:pPr>
            <w:r>
              <w:rPr>
                <w:rFonts w:ascii="SWISS" w:hAnsi="SWISS" w:cs="Arial"/>
                <w:sz w:val="20"/>
                <w:szCs w:val="20"/>
              </w:rPr>
              <w:t> </w:t>
            </w:r>
          </w:p>
        </w:tc>
        <w:tc>
          <w:tcPr>
            <w:tcW w:w="4912" w:type="dxa"/>
            <w:tcBorders>
              <w:top w:val="nil"/>
              <w:left w:val="nil"/>
              <w:bottom w:val="nil"/>
              <w:right w:val="nil"/>
            </w:tcBorders>
            <w:shd w:val="clear" w:color="auto" w:fill="auto"/>
            <w:noWrap/>
            <w:vAlign w:val="bottom"/>
            <w:hideMark/>
          </w:tcPr>
          <w:p w:rsidR="008F7402" w:rsidRDefault="008F7402" w:rsidP="001F1595">
            <w:pPr>
              <w:rPr>
                <w:rFonts w:ascii="SWISS" w:hAnsi="SWISS" w:cs="Arial"/>
                <w:color w:val="000000"/>
                <w:sz w:val="20"/>
                <w:szCs w:val="20"/>
              </w:rPr>
            </w:pPr>
            <w:r>
              <w:rPr>
                <w:rFonts w:ascii="SWISS" w:hAnsi="SWISS" w:cs="Arial"/>
                <w:color w:val="000000"/>
                <w:sz w:val="20"/>
                <w:szCs w:val="20"/>
              </w:rPr>
              <w:t>2"</w:t>
            </w:r>
          </w:p>
        </w:tc>
        <w:tc>
          <w:tcPr>
            <w:tcW w:w="1706" w:type="dxa"/>
            <w:tcBorders>
              <w:top w:val="nil"/>
              <w:left w:val="nil"/>
              <w:bottom w:val="nil"/>
              <w:right w:val="nil"/>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$79.11</w:t>
            </w:r>
          </w:p>
        </w:tc>
        <w:tc>
          <w:tcPr>
            <w:tcW w:w="1683" w:type="dxa"/>
            <w:tcBorders>
              <w:top w:val="nil"/>
              <w:left w:val="nil"/>
              <w:bottom w:val="nil"/>
              <w:right w:val="nil"/>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$80.47</w:t>
            </w:r>
          </w:p>
        </w:tc>
        <w:tc>
          <w:tcPr>
            <w:tcW w:w="2475" w:type="dxa"/>
            <w:tcBorders>
              <w:top w:val="nil"/>
              <w:left w:val="nil"/>
              <w:bottom w:val="nil"/>
              <w:right w:val="single" w:sz="8" w:space="0" w:color="000000"/>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$93.84</w:t>
            </w:r>
          </w:p>
        </w:tc>
      </w:tr>
      <w:tr w:rsidR="008F7402" w:rsidTr="00094505">
        <w:trPr>
          <w:trHeight w:val="300"/>
          <w:jc w:val="center"/>
        </w:trPr>
        <w:tc>
          <w:tcPr>
            <w:tcW w:w="380" w:type="dxa"/>
            <w:tcBorders>
              <w:top w:val="nil"/>
              <w:left w:val="single" w:sz="8" w:space="0" w:color="000000"/>
              <w:bottom w:val="nil"/>
              <w:right w:val="nil"/>
            </w:tcBorders>
            <w:shd w:val="clear" w:color="auto" w:fill="auto"/>
            <w:noWrap/>
            <w:vAlign w:val="bottom"/>
            <w:hideMark/>
          </w:tcPr>
          <w:p w:rsidR="008F7402" w:rsidRDefault="008F7402" w:rsidP="001F1595">
            <w:pPr>
              <w:rPr>
                <w:rFonts w:ascii="SWISS" w:hAnsi="SWISS" w:cs="Arial"/>
                <w:sz w:val="20"/>
                <w:szCs w:val="20"/>
              </w:rPr>
            </w:pPr>
            <w:r>
              <w:rPr>
                <w:rFonts w:ascii="SWISS" w:hAnsi="SWISS" w:cs="Arial"/>
                <w:sz w:val="20"/>
                <w:szCs w:val="20"/>
              </w:rPr>
              <w:t> </w:t>
            </w:r>
          </w:p>
        </w:tc>
        <w:tc>
          <w:tcPr>
            <w:tcW w:w="4912" w:type="dxa"/>
            <w:tcBorders>
              <w:top w:val="nil"/>
              <w:left w:val="nil"/>
              <w:bottom w:val="nil"/>
              <w:right w:val="nil"/>
            </w:tcBorders>
            <w:shd w:val="clear" w:color="auto" w:fill="auto"/>
            <w:noWrap/>
            <w:vAlign w:val="bottom"/>
            <w:hideMark/>
          </w:tcPr>
          <w:p w:rsidR="008F7402" w:rsidRDefault="008F7402" w:rsidP="001F1595">
            <w:pPr>
              <w:rPr>
                <w:rFonts w:ascii="SWISS" w:hAnsi="SWISS" w:cs="Arial"/>
                <w:color w:val="000000"/>
                <w:sz w:val="20"/>
                <w:szCs w:val="20"/>
              </w:rPr>
            </w:pPr>
            <w:r>
              <w:rPr>
                <w:rFonts w:ascii="SWISS" w:hAnsi="SWISS" w:cs="Arial"/>
                <w:color w:val="000000"/>
                <w:sz w:val="20"/>
                <w:szCs w:val="20"/>
              </w:rPr>
              <w:t>3"</w:t>
            </w:r>
          </w:p>
        </w:tc>
        <w:tc>
          <w:tcPr>
            <w:tcW w:w="1706" w:type="dxa"/>
            <w:tcBorders>
              <w:top w:val="nil"/>
              <w:left w:val="nil"/>
              <w:bottom w:val="nil"/>
              <w:right w:val="nil"/>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$158.22</w:t>
            </w:r>
          </w:p>
        </w:tc>
        <w:tc>
          <w:tcPr>
            <w:tcW w:w="1683" w:type="dxa"/>
            <w:tcBorders>
              <w:top w:val="nil"/>
              <w:left w:val="nil"/>
              <w:bottom w:val="nil"/>
              <w:right w:val="nil"/>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$160.94</w:t>
            </w:r>
          </w:p>
        </w:tc>
        <w:tc>
          <w:tcPr>
            <w:tcW w:w="2475" w:type="dxa"/>
            <w:tcBorders>
              <w:top w:val="nil"/>
              <w:left w:val="nil"/>
              <w:bottom w:val="nil"/>
              <w:right w:val="single" w:sz="8" w:space="0" w:color="000000"/>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$187.68</w:t>
            </w:r>
          </w:p>
        </w:tc>
      </w:tr>
      <w:tr w:rsidR="008F7402" w:rsidTr="00094505">
        <w:trPr>
          <w:trHeight w:val="300"/>
          <w:jc w:val="center"/>
        </w:trPr>
        <w:tc>
          <w:tcPr>
            <w:tcW w:w="380" w:type="dxa"/>
            <w:tcBorders>
              <w:top w:val="nil"/>
              <w:left w:val="single" w:sz="8" w:space="0" w:color="000000"/>
              <w:bottom w:val="nil"/>
              <w:right w:val="nil"/>
            </w:tcBorders>
            <w:shd w:val="clear" w:color="auto" w:fill="auto"/>
            <w:noWrap/>
            <w:vAlign w:val="bottom"/>
            <w:hideMark/>
          </w:tcPr>
          <w:p w:rsidR="008F7402" w:rsidRDefault="008F7402" w:rsidP="001F1595">
            <w:pPr>
              <w:rPr>
                <w:rFonts w:ascii="SWISS" w:hAnsi="SWISS" w:cs="Arial"/>
                <w:sz w:val="20"/>
                <w:szCs w:val="20"/>
              </w:rPr>
            </w:pPr>
            <w:r>
              <w:rPr>
                <w:rFonts w:ascii="SWISS" w:hAnsi="SWISS" w:cs="Arial"/>
                <w:sz w:val="20"/>
                <w:szCs w:val="20"/>
              </w:rPr>
              <w:t> </w:t>
            </w:r>
          </w:p>
        </w:tc>
        <w:tc>
          <w:tcPr>
            <w:tcW w:w="4912" w:type="dxa"/>
            <w:tcBorders>
              <w:top w:val="nil"/>
              <w:left w:val="nil"/>
              <w:bottom w:val="nil"/>
              <w:right w:val="nil"/>
            </w:tcBorders>
            <w:shd w:val="clear" w:color="auto" w:fill="auto"/>
            <w:noWrap/>
            <w:vAlign w:val="bottom"/>
            <w:hideMark/>
          </w:tcPr>
          <w:p w:rsidR="008F7402" w:rsidRDefault="008F7402" w:rsidP="001F1595">
            <w:pPr>
              <w:rPr>
                <w:rFonts w:ascii="SWISS" w:hAnsi="SWISS" w:cs="Arial"/>
                <w:color w:val="000000"/>
                <w:sz w:val="20"/>
                <w:szCs w:val="20"/>
              </w:rPr>
            </w:pPr>
            <w:r>
              <w:rPr>
                <w:rFonts w:ascii="SWISS" w:hAnsi="SWISS" w:cs="Arial"/>
                <w:color w:val="000000"/>
                <w:sz w:val="20"/>
                <w:szCs w:val="20"/>
              </w:rPr>
              <w:t>4"</w:t>
            </w:r>
          </w:p>
        </w:tc>
        <w:tc>
          <w:tcPr>
            <w:tcW w:w="1706" w:type="dxa"/>
            <w:tcBorders>
              <w:top w:val="nil"/>
              <w:left w:val="nil"/>
              <w:bottom w:val="nil"/>
              <w:right w:val="nil"/>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$247.22</w:t>
            </w:r>
          </w:p>
        </w:tc>
        <w:tc>
          <w:tcPr>
            <w:tcW w:w="1683" w:type="dxa"/>
            <w:tcBorders>
              <w:top w:val="nil"/>
              <w:left w:val="nil"/>
              <w:bottom w:val="nil"/>
              <w:right w:val="nil"/>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$251.47</w:t>
            </w:r>
          </w:p>
        </w:tc>
        <w:tc>
          <w:tcPr>
            <w:tcW w:w="2475" w:type="dxa"/>
            <w:tcBorders>
              <w:top w:val="nil"/>
              <w:left w:val="nil"/>
              <w:bottom w:val="nil"/>
              <w:right w:val="single" w:sz="8" w:space="0" w:color="000000"/>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$293.25</w:t>
            </w:r>
          </w:p>
        </w:tc>
      </w:tr>
      <w:tr w:rsidR="008F7402" w:rsidTr="00094505">
        <w:trPr>
          <w:trHeight w:val="300"/>
          <w:jc w:val="center"/>
        </w:trPr>
        <w:tc>
          <w:tcPr>
            <w:tcW w:w="380" w:type="dxa"/>
            <w:tcBorders>
              <w:top w:val="nil"/>
              <w:left w:val="single" w:sz="8" w:space="0" w:color="000000"/>
              <w:bottom w:val="nil"/>
              <w:right w:val="nil"/>
            </w:tcBorders>
            <w:shd w:val="clear" w:color="auto" w:fill="auto"/>
            <w:noWrap/>
            <w:vAlign w:val="bottom"/>
            <w:hideMark/>
          </w:tcPr>
          <w:p w:rsidR="008F7402" w:rsidRDefault="008F7402" w:rsidP="001F1595">
            <w:pPr>
              <w:rPr>
                <w:rFonts w:ascii="SWISS" w:hAnsi="SWISS" w:cs="Arial"/>
                <w:sz w:val="20"/>
                <w:szCs w:val="20"/>
              </w:rPr>
            </w:pPr>
            <w:r>
              <w:rPr>
                <w:rFonts w:ascii="SWISS" w:hAnsi="SWISS" w:cs="Arial"/>
                <w:sz w:val="20"/>
                <w:szCs w:val="20"/>
              </w:rPr>
              <w:t> </w:t>
            </w:r>
          </w:p>
        </w:tc>
        <w:tc>
          <w:tcPr>
            <w:tcW w:w="4912" w:type="dxa"/>
            <w:tcBorders>
              <w:top w:val="nil"/>
              <w:left w:val="nil"/>
              <w:bottom w:val="nil"/>
              <w:right w:val="nil"/>
            </w:tcBorders>
            <w:shd w:val="clear" w:color="auto" w:fill="auto"/>
            <w:noWrap/>
            <w:vAlign w:val="bottom"/>
            <w:hideMark/>
          </w:tcPr>
          <w:p w:rsidR="008F7402" w:rsidRDefault="008F7402" w:rsidP="001F1595">
            <w:pPr>
              <w:rPr>
                <w:rFonts w:ascii="SWISS" w:hAnsi="SWISS" w:cs="Arial"/>
                <w:color w:val="000000"/>
                <w:sz w:val="20"/>
                <w:szCs w:val="20"/>
              </w:rPr>
            </w:pPr>
            <w:r>
              <w:rPr>
                <w:rFonts w:ascii="SWISS" w:hAnsi="SWISS" w:cs="Arial"/>
                <w:color w:val="000000"/>
                <w:sz w:val="20"/>
                <w:szCs w:val="20"/>
              </w:rPr>
              <w:t>6"</w:t>
            </w:r>
          </w:p>
        </w:tc>
        <w:tc>
          <w:tcPr>
            <w:tcW w:w="1706" w:type="dxa"/>
            <w:tcBorders>
              <w:top w:val="nil"/>
              <w:left w:val="nil"/>
              <w:bottom w:val="nil"/>
              <w:right w:val="nil"/>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$494.43</w:t>
            </w:r>
          </w:p>
        </w:tc>
        <w:tc>
          <w:tcPr>
            <w:tcW w:w="1683" w:type="dxa"/>
            <w:tcBorders>
              <w:top w:val="nil"/>
              <w:left w:val="nil"/>
              <w:bottom w:val="nil"/>
              <w:right w:val="nil"/>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$502.93</w:t>
            </w:r>
          </w:p>
        </w:tc>
        <w:tc>
          <w:tcPr>
            <w:tcW w:w="2475" w:type="dxa"/>
            <w:tcBorders>
              <w:top w:val="nil"/>
              <w:left w:val="nil"/>
              <w:bottom w:val="nil"/>
              <w:right w:val="single" w:sz="8" w:space="0" w:color="000000"/>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$586.50</w:t>
            </w:r>
          </w:p>
        </w:tc>
      </w:tr>
      <w:tr w:rsidR="008F7402" w:rsidTr="00094505">
        <w:trPr>
          <w:trHeight w:val="300"/>
          <w:jc w:val="center"/>
        </w:trPr>
        <w:tc>
          <w:tcPr>
            <w:tcW w:w="380" w:type="dxa"/>
            <w:tcBorders>
              <w:top w:val="nil"/>
              <w:left w:val="single" w:sz="8" w:space="0" w:color="000000"/>
              <w:bottom w:val="nil"/>
              <w:right w:val="nil"/>
            </w:tcBorders>
            <w:shd w:val="clear" w:color="auto" w:fill="auto"/>
            <w:noWrap/>
            <w:vAlign w:val="bottom"/>
            <w:hideMark/>
          </w:tcPr>
          <w:p w:rsidR="008F7402" w:rsidRDefault="008F7402" w:rsidP="001F1595">
            <w:pPr>
              <w:rPr>
                <w:rFonts w:ascii="SWISS" w:hAnsi="SWISS" w:cs="Arial"/>
                <w:sz w:val="20"/>
                <w:szCs w:val="20"/>
              </w:rPr>
            </w:pPr>
            <w:r>
              <w:rPr>
                <w:rFonts w:ascii="SWISS" w:hAnsi="SWISS" w:cs="Arial"/>
                <w:sz w:val="20"/>
                <w:szCs w:val="20"/>
              </w:rPr>
              <w:t> </w:t>
            </w:r>
          </w:p>
        </w:tc>
        <w:tc>
          <w:tcPr>
            <w:tcW w:w="4912" w:type="dxa"/>
            <w:tcBorders>
              <w:top w:val="nil"/>
              <w:left w:val="nil"/>
              <w:bottom w:val="nil"/>
              <w:right w:val="nil"/>
            </w:tcBorders>
            <w:shd w:val="clear" w:color="auto" w:fill="auto"/>
            <w:noWrap/>
            <w:vAlign w:val="bottom"/>
            <w:hideMark/>
          </w:tcPr>
          <w:p w:rsidR="008F7402" w:rsidRDefault="008F7402" w:rsidP="001F1595">
            <w:pPr>
              <w:rPr>
                <w:rFonts w:ascii="SWISS" w:hAnsi="SWISS" w:cs="Arial"/>
                <w:color w:val="000000"/>
                <w:sz w:val="20"/>
                <w:szCs w:val="20"/>
              </w:rPr>
            </w:pPr>
          </w:p>
        </w:tc>
        <w:tc>
          <w:tcPr>
            <w:tcW w:w="1706" w:type="dxa"/>
            <w:tcBorders>
              <w:top w:val="nil"/>
              <w:left w:val="nil"/>
              <w:bottom w:val="nil"/>
              <w:right w:val="nil"/>
            </w:tcBorders>
            <w:shd w:val="clear" w:color="auto" w:fill="auto"/>
            <w:noWrap/>
            <w:vAlign w:val="bottom"/>
            <w:hideMark/>
          </w:tcPr>
          <w:p w:rsidR="008F7402" w:rsidRDefault="008F7402" w:rsidP="001F1595">
            <w:pPr>
              <w:jc w:val="right"/>
              <w:rPr>
                <w:rFonts w:ascii="SWISS" w:hAnsi="SWISS" w:cs="Arial"/>
                <w:color w:val="000000"/>
                <w:sz w:val="20"/>
                <w:szCs w:val="20"/>
              </w:rPr>
            </w:pPr>
          </w:p>
        </w:tc>
        <w:tc>
          <w:tcPr>
            <w:tcW w:w="1683" w:type="dxa"/>
            <w:tcBorders>
              <w:top w:val="nil"/>
              <w:left w:val="nil"/>
              <w:bottom w:val="nil"/>
              <w:right w:val="nil"/>
            </w:tcBorders>
            <w:shd w:val="clear" w:color="auto" w:fill="auto"/>
            <w:noWrap/>
            <w:vAlign w:val="bottom"/>
            <w:hideMark/>
          </w:tcPr>
          <w:p w:rsidR="008F7402" w:rsidRDefault="008F7402" w:rsidP="001F1595">
            <w:pPr>
              <w:jc w:val="right"/>
              <w:rPr>
                <w:rFonts w:ascii="SWISS" w:hAnsi="SWISS" w:cs="Arial"/>
                <w:color w:val="000000"/>
                <w:sz w:val="20"/>
                <w:szCs w:val="20"/>
              </w:rPr>
            </w:pPr>
          </w:p>
        </w:tc>
        <w:tc>
          <w:tcPr>
            <w:tcW w:w="2475" w:type="dxa"/>
            <w:tcBorders>
              <w:top w:val="nil"/>
              <w:left w:val="nil"/>
              <w:bottom w:val="nil"/>
              <w:right w:val="single" w:sz="8" w:space="0" w:color="000000"/>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 </w:t>
            </w:r>
          </w:p>
        </w:tc>
      </w:tr>
      <w:tr w:rsidR="008F7402" w:rsidTr="00094505">
        <w:trPr>
          <w:trHeight w:val="300"/>
          <w:jc w:val="center"/>
        </w:trPr>
        <w:tc>
          <w:tcPr>
            <w:tcW w:w="380" w:type="dxa"/>
            <w:tcBorders>
              <w:top w:val="nil"/>
              <w:left w:val="single" w:sz="8" w:space="0" w:color="000000"/>
              <w:bottom w:val="nil"/>
              <w:right w:val="nil"/>
            </w:tcBorders>
            <w:shd w:val="clear" w:color="auto" w:fill="auto"/>
            <w:noWrap/>
            <w:vAlign w:val="bottom"/>
            <w:hideMark/>
          </w:tcPr>
          <w:p w:rsidR="008F7402" w:rsidRDefault="008F7402" w:rsidP="001F1595">
            <w:pPr>
              <w:rPr>
                <w:rFonts w:ascii="SWISS" w:hAnsi="SWISS" w:cs="Arial"/>
                <w:sz w:val="20"/>
                <w:szCs w:val="20"/>
              </w:rPr>
            </w:pPr>
            <w:r>
              <w:rPr>
                <w:rFonts w:ascii="SWISS" w:hAnsi="SWISS" w:cs="Arial"/>
                <w:sz w:val="20"/>
                <w:szCs w:val="20"/>
              </w:rPr>
              <w:t> </w:t>
            </w:r>
          </w:p>
        </w:tc>
        <w:tc>
          <w:tcPr>
            <w:tcW w:w="4912" w:type="dxa"/>
            <w:tcBorders>
              <w:top w:val="nil"/>
              <w:left w:val="nil"/>
              <w:bottom w:val="nil"/>
              <w:right w:val="nil"/>
            </w:tcBorders>
            <w:shd w:val="clear" w:color="auto" w:fill="auto"/>
            <w:noWrap/>
            <w:vAlign w:val="bottom"/>
            <w:hideMark/>
          </w:tcPr>
          <w:p w:rsidR="008F7402" w:rsidRDefault="008F7402" w:rsidP="001F1595">
            <w:pPr>
              <w:rPr>
                <w:rFonts w:ascii="SWISS" w:hAnsi="SWISS" w:cs="Arial"/>
                <w:color w:val="000000"/>
                <w:sz w:val="20"/>
                <w:szCs w:val="20"/>
              </w:rPr>
            </w:pPr>
            <w:r>
              <w:rPr>
                <w:rFonts w:ascii="SWISS" w:hAnsi="SWISS" w:cs="Arial"/>
                <w:color w:val="000000"/>
                <w:sz w:val="20"/>
                <w:szCs w:val="20"/>
              </w:rPr>
              <w:t>Charge per 1,000 Gallons - Residential</w:t>
            </w:r>
          </w:p>
        </w:tc>
        <w:tc>
          <w:tcPr>
            <w:tcW w:w="1706" w:type="dxa"/>
            <w:tcBorders>
              <w:top w:val="nil"/>
              <w:left w:val="nil"/>
              <w:bottom w:val="nil"/>
              <w:right w:val="nil"/>
            </w:tcBorders>
            <w:shd w:val="clear" w:color="auto" w:fill="auto"/>
            <w:noWrap/>
            <w:vAlign w:val="bottom"/>
            <w:hideMark/>
          </w:tcPr>
          <w:p w:rsidR="008F7402" w:rsidRDefault="008F7402" w:rsidP="001F1595">
            <w:pPr>
              <w:jc w:val="right"/>
              <w:rPr>
                <w:rFonts w:ascii="SWISS" w:hAnsi="SWISS" w:cs="Arial"/>
                <w:color w:val="000000"/>
                <w:sz w:val="20"/>
                <w:szCs w:val="20"/>
              </w:rPr>
            </w:pPr>
          </w:p>
        </w:tc>
        <w:tc>
          <w:tcPr>
            <w:tcW w:w="1683" w:type="dxa"/>
            <w:tcBorders>
              <w:top w:val="nil"/>
              <w:left w:val="nil"/>
              <w:bottom w:val="nil"/>
              <w:right w:val="nil"/>
            </w:tcBorders>
            <w:shd w:val="clear" w:color="auto" w:fill="auto"/>
            <w:noWrap/>
            <w:vAlign w:val="bottom"/>
            <w:hideMark/>
          </w:tcPr>
          <w:p w:rsidR="008F7402" w:rsidRDefault="008F7402" w:rsidP="001F1595">
            <w:pPr>
              <w:jc w:val="right"/>
              <w:rPr>
                <w:rFonts w:ascii="SWISS" w:hAnsi="SWISS" w:cs="Arial"/>
                <w:color w:val="000000"/>
                <w:sz w:val="20"/>
                <w:szCs w:val="20"/>
              </w:rPr>
            </w:pPr>
          </w:p>
        </w:tc>
        <w:tc>
          <w:tcPr>
            <w:tcW w:w="2475" w:type="dxa"/>
            <w:tcBorders>
              <w:top w:val="nil"/>
              <w:left w:val="nil"/>
              <w:bottom w:val="nil"/>
              <w:right w:val="single" w:sz="8" w:space="0" w:color="000000"/>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 </w:t>
            </w:r>
          </w:p>
        </w:tc>
      </w:tr>
      <w:tr w:rsidR="008F7402" w:rsidTr="00094505">
        <w:trPr>
          <w:trHeight w:val="300"/>
          <w:jc w:val="center"/>
        </w:trPr>
        <w:tc>
          <w:tcPr>
            <w:tcW w:w="380" w:type="dxa"/>
            <w:tcBorders>
              <w:top w:val="nil"/>
              <w:left w:val="single" w:sz="8" w:space="0" w:color="000000"/>
              <w:bottom w:val="nil"/>
              <w:right w:val="nil"/>
            </w:tcBorders>
            <w:shd w:val="clear" w:color="auto" w:fill="auto"/>
            <w:noWrap/>
            <w:vAlign w:val="bottom"/>
            <w:hideMark/>
          </w:tcPr>
          <w:p w:rsidR="008F7402" w:rsidRDefault="008F7402" w:rsidP="001F1595">
            <w:pPr>
              <w:rPr>
                <w:rFonts w:ascii="SWISS" w:hAnsi="SWISS" w:cs="Arial"/>
                <w:sz w:val="20"/>
                <w:szCs w:val="20"/>
              </w:rPr>
            </w:pPr>
            <w:r>
              <w:rPr>
                <w:rFonts w:ascii="SWISS" w:hAnsi="SWISS" w:cs="Arial"/>
                <w:sz w:val="20"/>
                <w:szCs w:val="20"/>
              </w:rPr>
              <w:t> </w:t>
            </w:r>
          </w:p>
        </w:tc>
        <w:tc>
          <w:tcPr>
            <w:tcW w:w="4912" w:type="dxa"/>
            <w:tcBorders>
              <w:top w:val="nil"/>
              <w:left w:val="nil"/>
              <w:bottom w:val="nil"/>
              <w:right w:val="nil"/>
            </w:tcBorders>
            <w:shd w:val="clear" w:color="auto" w:fill="auto"/>
            <w:noWrap/>
            <w:vAlign w:val="bottom"/>
            <w:hideMark/>
          </w:tcPr>
          <w:p w:rsidR="008F7402" w:rsidRDefault="008F7402" w:rsidP="001F1595">
            <w:pPr>
              <w:rPr>
                <w:rFonts w:ascii="SWISS" w:hAnsi="SWISS" w:cs="Arial"/>
                <w:color w:val="000000"/>
                <w:sz w:val="20"/>
                <w:szCs w:val="20"/>
              </w:rPr>
            </w:pPr>
            <w:r>
              <w:rPr>
                <w:rFonts w:ascii="SWISS" w:hAnsi="SWISS" w:cs="Arial"/>
                <w:color w:val="000000"/>
                <w:sz w:val="20"/>
                <w:szCs w:val="20"/>
              </w:rPr>
              <w:t>0-10,000 gallons</w:t>
            </w:r>
          </w:p>
        </w:tc>
        <w:tc>
          <w:tcPr>
            <w:tcW w:w="1706" w:type="dxa"/>
            <w:tcBorders>
              <w:top w:val="nil"/>
              <w:left w:val="nil"/>
              <w:bottom w:val="nil"/>
              <w:right w:val="nil"/>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$2.07</w:t>
            </w:r>
          </w:p>
        </w:tc>
        <w:tc>
          <w:tcPr>
            <w:tcW w:w="1683" w:type="dxa"/>
            <w:tcBorders>
              <w:top w:val="nil"/>
              <w:left w:val="nil"/>
              <w:bottom w:val="nil"/>
              <w:right w:val="nil"/>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$2.11</w:t>
            </w:r>
          </w:p>
        </w:tc>
        <w:tc>
          <w:tcPr>
            <w:tcW w:w="2475" w:type="dxa"/>
            <w:tcBorders>
              <w:top w:val="nil"/>
              <w:left w:val="nil"/>
              <w:bottom w:val="nil"/>
              <w:right w:val="single" w:sz="8" w:space="0" w:color="000000"/>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$2.46</w:t>
            </w:r>
          </w:p>
        </w:tc>
      </w:tr>
      <w:tr w:rsidR="008F7402" w:rsidTr="00094505">
        <w:trPr>
          <w:trHeight w:val="300"/>
          <w:jc w:val="center"/>
        </w:trPr>
        <w:tc>
          <w:tcPr>
            <w:tcW w:w="380" w:type="dxa"/>
            <w:tcBorders>
              <w:top w:val="nil"/>
              <w:left w:val="single" w:sz="8" w:space="0" w:color="000000"/>
              <w:bottom w:val="nil"/>
              <w:right w:val="nil"/>
            </w:tcBorders>
            <w:shd w:val="clear" w:color="auto" w:fill="auto"/>
            <w:noWrap/>
            <w:vAlign w:val="bottom"/>
            <w:hideMark/>
          </w:tcPr>
          <w:p w:rsidR="008F7402" w:rsidRDefault="008F7402" w:rsidP="001F1595">
            <w:pPr>
              <w:rPr>
                <w:rFonts w:ascii="SWISS" w:hAnsi="SWISS" w:cs="Arial"/>
                <w:sz w:val="20"/>
                <w:szCs w:val="20"/>
              </w:rPr>
            </w:pPr>
            <w:r>
              <w:rPr>
                <w:rFonts w:ascii="SWISS" w:hAnsi="SWISS" w:cs="Arial"/>
                <w:sz w:val="20"/>
                <w:szCs w:val="20"/>
              </w:rPr>
              <w:t> </w:t>
            </w:r>
          </w:p>
        </w:tc>
        <w:tc>
          <w:tcPr>
            <w:tcW w:w="4912" w:type="dxa"/>
            <w:tcBorders>
              <w:top w:val="nil"/>
              <w:left w:val="nil"/>
              <w:bottom w:val="nil"/>
              <w:right w:val="nil"/>
            </w:tcBorders>
            <w:shd w:val="clear" w:color="auto" w:fill="auto"/>
            <w:noWrap/>
            <w:vAlign w:val="bottom"/>
            <w:hideMark/>
          </w:tcPr>
          <w:p w:rsidR="008F7402" w:rsidRDefault="008F7402" w:rsidP="001F1595">
            <w:pPr>
              <w:rPr>
                <w:rFonts w:ascii="SWISS" w:hAnsi="SWISS" w:cs="Arial"/>
                <w:color w:val="000000"/>
                <w:sz w:val="20"/>
                <w:szCs w:val="20"/>
              </w:rPr>
            </w:pPr>
            <w:r>
              <w:rPr>
                <w:rFonts w:ascii="SWISS" w:hAnsi="SWISS" w:cs="Arial"/>
                <w:color w:val="000000"/>
                <w:sz w:val="20"/>
                <w:szCs w:val="20"/>
              </w:rPr>
              <w:t>Over 10,000 gallons</w:t>
            </w:r>
          </w:p>
        </w:tc>
        <w:tc>
          <w:tcPr>
            <w:tcW w:w="1706" w:type="dxa"/>
            <w:tcBorders>
              <w:top w:val="nil"/>
              <w:left w:val="nil"/>
              <w:bottom w:val="nil"/>
              <w:right w:val="nil"/>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$3.10</w:t>
            </w:r>
          </w:p>
        </w:tc>
        <w:tc>
          <w:tcPr>
            <w:tcW w:w="1683" w:type="dxa"/>
            <w:tcBorders>
              <w:top w:val="nil"/>
              <w:left w:val="nil"/>
              <w:bottom w:val="nil"/>
              <w:right w:val="nil"/>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$3.15</w:t>
            </w:r>
          </w:p>
        </w:tc>
        <w:tc>
          <w:tcPr>
            <w:tcW w:w="2475" w:type="dxa"/>
            <w:tcBorders>
              <w:top w:val="nil"/>
              <w:left w:val="nil"/>
              <w:bottom w:val="nil"/>
              <w:right w:val="single" w:sz="8" w:space="0" w:color="000000"/>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$3.68</w:t>
            </w:r>
          </w:p>
        </w:tc>
      </w:tr>
      <w:tr w:rsidR="008F7402" w:rsidTr="00094505">
        <w:trPr>
          <w:trHeight w:val="300"/>
          <w:jc w:val="center"/>
        </w:trPr>
        <w:tc>
          <w:tcPr>
            <w:tcW w:w="380" w:type="dxa"/>
            <w:tcBorders>
              <w:top w:val="nil"/>
              <w:left w:val="single" w:sz="8" w:space="0" w:color="000000"/>
              <w:bottom w:val="nil"/>
              <w:right w:val="nil"/>
            </w:tcBorders>
            <w:shd w:val="clear" w:color="auto" w:fill="auto"/>
            <w:noWrap/>
            <w:vAlign w:val="bottom"/>
            <w:hideMark/>
          </w:tcPr>
          <w:p w:rsidR="008F7402" w:rsidRDefault="008F7402" w:rsidP="001F1595">
            <w:pPr>
              <w:rPr>
                <w:rFonts w:ascii="SWISS" w:hAnsi="SWISS" w:cs="Arial"/>
                <w:sz w:val="20"/>
                <w:szCs w:val="20"/>
              </w:rPr>
            </w:pPr>
            <w:r>
              <w:rPr>
                <w:rFonts w:ascii="SWISS" w:hAnsi="SWISS" w:cs="Arial"/>
                <w:sz w:val="20"/>
                <w:szCs w:val="20"/>
              </w:rPr>
              <w:t> </w:t>
            </w:r>
          </w:p>
        </w:tc>
        <w:tc>
          <w:tcPr>
            <w:tcW w:w="4912" w:type="dxa"/>
            <w:tcBorders>
              <w:top w:val="nil"/>
              <w:left w:val="nil"/>
              <w:bottom w:val="nil"/>
              <w:right w:val="nil"/>
            </w:tcBorders>
            <w:shd w:val="clear" w:color="auto" w:fill="auto"/>
            <w:noWrap/>
            <w:vAlign w:val="bottom"/>
            <w:hideMark/>
          </w:tcPr>
          <w:p w:rsidR="008F7402" w:rsidRDefault="008F7402" w:rsidP="001F1595">
            <w:pPr>
              <w:rPr>
                <w:rFonts w:ascii="Arial" w:hAnsi="Arial" w:cs="Arial"/>
              </w:rPr>
            </w:pPr>
          </w:p>
        </w:tc>
        <w:tc>
          <w:tcPr>
            <w:tcW w:w="1706" w:type="dxa"/>
            <w:tcBorders>
              <w:top w:val="nil"/>
              <w:left w:val="nil"/>
              <w:bottom w:val="nil"/>
              <w:right w:val="nil"/>
            </w:tcBorders>
            <w:shd w:val="clear" w:color="auto" w:fill="auto"/>
            <w:noWrap/>
            <w:vAlign w:val="bottom"/>
            <w:hideMark/>
          </w:tcPr>
          <w:p w:rsidR="008F7402" w:rsidRDefault="008F7402" w:rsidP="001F1595">
            <w:pPr>
              <w:rPr>
                <w:rFonts w:ascii="SWISS" w:hAnsi="SWISS" w:cs="Arial"/>
                <w:sz w:val="20"/>
                <w:szCs w:val="20"/>
              </w:rPr>
            </w:pPr>
          </w:p>
        </w:tc>
        <w:tc>
          <w:tcPr>
            <w:tcW w:w="1683" w:type="dxa"/>
            <w:tcBorders>
              <w:top w:val="nil"/>
              <w:left w:val="nil"/>
              <w:bottom w:val="nil"/>
              <w:right w:val="nil"/>
            </w:tcBorders>
            <w:shd w:val="clear" w:color="auto" w:fill="auto"/>
            <w:noWrap/>
            <w:vAlign w:val="bottom"/>
            <w:hideMark/>
          </w:tcPr>
          <w:p w:rsidR="008F7402" w:rsidRDefault="008F7402" w:rsidP="001F1595">
            <w:pPr>
              <w:rPr>
                <w:rFonts w:ascii="SWISS" w:hAnsi="SWISS" w:cs="Arial"/>
                <w:sz w:val="20"/>
                <w:szCs w:val="20"/>
              </w:rPr>
            </w:pPr>
          </w:p>
        </w:tc>
        <w:tc>
          <w:tcPr>
            <w:tcW w:w="2475" w:type="dxa"/>
            <w:tcBorders>
              <w:top w:val="nil"/>
              <w:left w:val="nil"/>
              <w:bottom w:val="nil"/>
              <w:right w:val="single" w:sz="8" w:space="0" w:color="000000"/>
            </w:tcBorders>
            <w:shd w:val="clear" w:color="auto" w:fill="auto"/>
            <w:noWrap/>
            <w:vAlign w:val="bottom"/>
            <w:hideMark/>
          </w:tcPr>
          <w:p w:rsidR="008F7402" w:rsidRDefault="008F7402" w:rsidP="001F1595">
            <w:pPr>
              <w:rPr>
                <w:rFonts w:ascii="SWISS" w:hAnsi="SWISS" w:cs="Arial"/>
                <w:sz w:val="20"/>
                <w:szCs w:val="20"/>
              </w:rPr>
            </w:pPr>
            <w:r>
              <w:rPr>
                <w:rFonts w:ascii="SWISS" w:hAnsi="SWISS" w:cs="Arial"/>
                <w:sz w:val="20"/>
                <w:szCs w:val="20"/>
              </w:rPr>
              <w:t> </w:t>
            </w:r>
          </w:p>
        </w:tc>
      </w:tr>
      <w:tr w:rsidR="008F7402" w:rsidTr="00094505">
        <w:trPr>
          <w:trHeight w:val="300"/>
          <w:jc w:val="center"/>
        </w:trPr>
        <w:tc>
          <w:tcPr>
            <w:tcW w:w="380" w:type="dxa"/>
            <w:tcBorders>
              <w:top w:val="nil"/>
              <w:left w:val="single" w:sz="8" w:space="0" w:color="000000"/>
              <w:bottom w:val="nil"/>
              <w:right w:val="nil"/>
            </w:tcBorders>
            <w:shd w:val="clear" w:color="auto" w:fill="auto"/>
            <w:noWrap/>
            <w:vAlign w:val="bottom"/>
            <w:hideMark/>
          </w:tcPr>
          <w:p w:rsidR="008F7402" w:rsidRDefault="008F7402" w:rsidP="001F1595">
            <w:pPr>
              <w:rPr>
                <w:rFonts w:ascii="SWISS" w:hAnsi="SWISS" w:cs="Arial"/>
                <w:sz w:val="20"/>
                <w:szCs w:val="20"/>
              </w:rPr>
            </w:pPr>
            <w:r>
              <w:rPr>
                <w:rFonts w:ascii="SWISS" w:hAnsi="SWISS" w:cs="Arial"/>
                <w:sz w:val="20"/>
                <w:szCs w:val="20"/>
              </w:rPr>
              <w:t> </w:t>
            </w:r>
          </w:p>
        </w:tc>
        <w:tc>
          <w:tcPr>
            <w:tcW w:w="4912" w:type="dxa"/>
            <w:tcBorders>
              <w:top w:val="nil"/>
              <w:left w:val="nil"/>
              <w:bottom w:val="nil"/>
              <w:right w:val="nil"/>
            </w:tcBorders>
            <w:shd w:val="clear" w:color="auto" w:fill="auto"/>
            <w:noWrap/>
            <w:vAlign w:val="bottom"/>
            <w:hideMark/>
          </w:tcPr>
          <w:p w:rsidR="008F7402" w:rsidRDefault="008F7402" w:rsidP="001F1595">
            <w:pPr>
              <w:rPr>
                <w:rFonts w:ascii="SWISS" w:hAnsi="SWISS" w:cs="Arial"/>
                <w:sz w:val="20"/>
                <w:szCs w:val="20"/>
              </w:rPr>
            </w:pPr>
            <w:r>
              <w:rPr>
                <w:rFonts w:ascii="SWISS" w:hAnsi="SWISS" w:cs="Arial"/>
                <w:sz w:val="20"/>
                <w:szCs w:val="20"/>
              </w:rPr>
              <w:t>Charge per 1,000 gallons - General Service</w:t>
            </w:r>
          </w:p>
        </w:tc>
        <w:tc>
          <w:tcPr>
            <w:tcW w:w="1706" w:type="dxa"/>
            <w:tcBorders>
              <w:top w:val="nil"/>
              <w:left w:val="nil"/>
              <w:bottom w:val="nil"/>
              <w:right w:val="nil"/>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$2.42</w:t>
            </w:r>
          </w:p>
        </w:tc>
        <w:tc>
          <w:tcPr>
            <w:tcW w:w="1683" w:type="dxa"/>
            <w:tcBorders>
              <w:top w:val="nil"/>
              <w:left w:val="nil"/>
              <w:bottom w:val="nil"/>
              <w:right w:val="nil"/>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$2.46</w:t>
            </w:r>
          </w:p>
        </w:tc>
        <w:tc>
          <w:tcPr>
            <w:tcW w:w="2475" w:type="dxa"/>
            <w:tcBorders>
              <w:top w:val="nil"/>
              <w:left w:val="nil"/>
              <w:bottom w:val="nil"/>
              <w:right w:val="single" w:sz="8" w:space="0" w:color="000000"/>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$2.87</w:t>
            </w:r>
          </w:p>
        </w:tc>
      </w:tr>
      <w:tr w:rsidR="008F7402" w:rsidTr="00094505">
        <w:trPr>
          <w:trHeight w:val="300"/>
          <w:jc w:val="center"/>
        </w:trPr>
        <w:tc>
          <w:tcPr>
            <w:tcW w:w="380" w:type="dxa"/>
            <w:tcBorders>
              <w:top w:val="nil"/>
              <w:left w:val="single" w:sz="8" w:space="0" w:color="000000"/>
              <w:bottom w:val="nil"/>
              <w:right w:val="nil"/>
            </w:tcBorders>
            <w:shd w:val="clear" w:color="auto" w:fill="auto"/>
            <w:noWrap/>
            <w:vAlign w:val="bottom"/>
            <w:hideMark/>
          </w:tcPr>
          <w:p w:rsidR="008F7402" w:rsidRDefault="008F7402" w:rsidP="001F1595">
            <w:pPr>
              <w:rPr>
                <w:rFonts w:ascii="SWISS" w:hAnsi="SWISS" w:cs="Arial"/>
                <w:sz w:val="20"/>
                <w:szCs w:val="20"/>
              </w:rPr>
            </w:pPr>
            <w:r>
              <w:rPr>
                <w:rFonts w:ascii="SWISS" w:hAnsi="SWISS" w:cs="Arial"/>
                <w:sz w:val="20"/>
                <w:szCs w:val="20"/>
              </w:rPr>
              <w:t> </w:t>
            </w:r>
          </w:p>
        </w:tc>
        <w:tc>
          <w:tcPr>
            <w:tcW w:w="4912" w:type="dxa"/>
            <w:tcBorders>
              <w:top w:val="nil"/>
              <w:left w:val="nil"/>
              <w:bottom w:val="nil"/>
              <w:right w:val="nil"/>
            </w:tcBorders>
            <w:shd w:val="clear" w:color="auto" w:fill="auto"/>
            <w:noWrap/>
            <w:vAlign w:val="bottom"/>
            <w:hideMark/>
          </w:tcPr>
          <w:p w:rsidR="008F7402" w:rsidRDefault="008F7402" w:rsidP="001F1595">
            <w:pPr>
              <w:rPr>
                <w:rFonts w:ascii="Arial" w:hAnsi="Arial" w:cs="Arial"/>
              </w:rPr>
            </w:pPr>
          </w:p>
        </w:tc>
        <w:tc>
          <w:tcPr>
            <w:tcW w:w="1706" w:type="dxa"/>
            <w:tcBorders>
              <w:top w:val="nil"/>
              <w:left w:val="nil"/>
              <w:bottom w:val="nil"/>
              <w:right w:val="nil"/>
            </w:tcBorders>
            <w:shd w:val="clear" w:color="auto" w:fill="auto"/>
            <w:noWrap/>
            <w:vAlign w:val="bottom"/>
            <w:hideMark/>
          </w:tcPr>
          <w:p w:rsidR="008F7402" w:rsidRDefault="008F7402" w:rsidP="001F1595">
            <w:pPr>
              <w:rPr>
                <w:rFonts w:ascii="Arial" w:hAnsi="Arial" w:cs="Arial"/>
              </w:rPr>
            </w:pPr>
          </w:p>
        </w:tc>
        <w:tc>
          <w:tcPr>
            <w:tcW w:w="1683" w:type="dxa"/>
            <w:tcBorders>
              <w:top w:val="nil"/>
              <w:left w:val="nil"/>
              <w:bottom w:val="nil"/>
              <w:right w:val="nil"/>
            </w:tcBorders>
            <w:shd w:val="clear" w:color="auto" w:fill="auto"/>
            <w:noWrap/>
            <w:vAlign w:val="bottom"/>
            <w:hideMark/>
          </w:tcPr>
          <w:p w:rsidR="008F7402" w:rsidRDefault="008F7402" w:rsidP="001F1595">
            <w:pPr>
              <w:rPr>
                <w:rFonts w:ascii="Arial" w:hAnsi="Arial" w:cs="Arial"/>
              </w:rPr>
            </w:pPr>
          </w:p>
        </w:tc>
        <w:tc>
          <w:tcPr>
            <w:tcW w:w="2475" w:type="dxa"/>
            <w:tcBorders>
              <w:top w:val="nil"/>
              <w:left w:val="nil"/>
              <w:bottom w:val="nil"/>
              <w:right w:val="single" w:sz="8" w:space="0" w:color="000000"/>
            </w:tcBorders>
            <w:shd w:val="clear" w:color="auto" w:fill="auto"/>
            <w:noWrap/>
            <w:vAlign w:val="bottom"/>
            <w:hideMark/>
          </w:tcPr>
          <w:p w:rsidR="008F7402" w:rsidRDefault="008F7402" w:rsidP="001F1595">
            <w:pPr>
              <w:rPr>
                <w:rFonts w:ascii="Arial" w:hAnsi="Arial" w:cs="Arial"/>
              </w:rPr>
            </w:pPr>
            <w:r>
              <w:rPr>
                <w:rFonts w:ascii="Arial" w:hAnsi="Arial" w:cs="Arial"/>
              </w:rPr>
              <w:t> </w:t>
            </w:r>
          </w:p>
        </w:tc>
      </w:tr>
      <w:tr w:rsidR="008F7402" w:rsidTr="00094505">
        <w:trPr>
          <w:trHeight w:val="300"/>
          <w:jc w:val="center"/>
        </w:trPr>
        <w:tc>
          <w:tcPr>
            <w:tcW w:w="380" w:type="dxa"/>
            <w:tcBorders>
              <w:top w:val="nil"/>
              <w:left w:val="single" w:sz="8" w:space="0" w:color="000000"/>
              <w:bottom w:val="nil"/>
              <w:right w:val="nil"/>
            </w:tcBorders>
            <w:shd w:val="clear" w:color="auto" w:fill="auto"/>
            <w:noWrap/>
            <w:vAlign w:val="bottom"/>
            <w:hideMark/>
          </w:tcPr>
          <w:p w:rsidR="008F7402" w:rsidRDefault="008F7402" w:rsidP="001F1595">
            <w:pPr>
              <w:rPr>
                <w:rFonts w:ascii="SWISS" w:hAnsi="SWISS" w:cs="Arial"/>
                <w:sz w:val="20"/>
                <w:szCs w:val="20"/>
              </w:rPr>
            </w:pPr>
            <w:r>
              <w:rPr>
                <w:rFonts w:ascii="SWISS" w:hAnsi="SWISS" w:cs="Arial"/>
                <w:sz w:val="20"/>
                <w:szCs w:val="20"/>
              </w:rPr>
              <w:t> </w:t>
            </w:r>
          </w:p>
        </w:tc>
        <w:tc>
          <w:tcPr>
            <w:tcW w:w="4912" w:type="dxa"/>
            <w:tcBorders>
              <w:top w:val="nil"/>
              <w:left w:val="nil"/>
              <w:bottom w:val="nil"/>
              <w:right w:val="nil"/>
            </w:tcBorders>
            <w:shd w:val="clear" w:color="auto" w:fill="auto"/>
            <w:noWrap/>
            <w:vAlign w:val="bottom"/>
            <w:hideMark/>
          </w:tcPr>
          <w:p w:rsidR="008F7402" w:rsidRDefault="008F7402" w:rsidP="001F1595">
            <w:pPr>
              <w:rPr>
                <w:rFonts w:ascii="SWISS" w:hAnsi="SWISS" w:cs="Arial"/>
                <w:b/>
                <w:bCs/>
                <w:color w:val="000000"/>
                <w:sz w:val="20"/>
                <w:szCs w:val="20"/>
                <w:u w:val="single"/>
              </w:rPr>
            </w:pPr>
            <w:r>
              <w:rPr>
                <w:rFonts w:ascii="SWISS" w:hAnsi="SWISS" w:cs="Arial"/>
                <w:b/>
                <w:bCs/>
                <w:color w:val="000000"/>
                <w:sz w:val="20"/>
                <w:szCs w:val="20"/>
                <w:u w:val="single"/>
              </w:rPr>
              <w:t>Typical Residential 5/8" x 3/4" Meter Bill Comparison</w:t>
            </w:r>
          </w:p>
        </w:tc>
        <w:tc>
          <w:tcPr>
            <w:tcW w:w="1706" w:type="dxa"/>
            <w:tcBorders>
              <w:top w:val="nil"/>
              <w:left w:val="nil"/>
              <w:bottom w:val="nil"/>
              <w:right w:val="nil"/>
            </w:tcBorders>
            <w:shd w:val="clear" w:color="auto" w:fill="auto"/>
            <w:noWrap/>
            <w:vAlign w:val="bottom"/>
            <w:hideMark/>
          </w:tcPr>
          <w:p w:rsidR="008F7402" w:rsidRDefault="008F7402" w:rsidP="001F1595">
            <w:pPr>
              <w:jc w:val="right"/>
              <w:rPr>
                <w:rFonts w:ascii="SWISS" w:hAnsi="SWISS" w:cs="Arial"/>
                <w:color w:val="000000"/>
                <w:sz w:val="20"/>
                <w:szCs w:val="20"/>
              </w:rPr>
            </w:pPr>
          </w:p>
        </w:tc>
        <w:tc>
          <w:tcPr>
            <w:tcW w:w="1683" w:type="dxa"/>
            <w:tcBorders>
              <w:top w:val="nil"/>
              <w:left w:val="nil"/>
              <w:bottom w:val="nil"/>
              <w:right w:val="nil"/>
            </w:tcBorders>
            <w:shd w:val="clear" w:color="auto" w:fill="auto"/>
            <w:noWrap/>
            <w:vAlign w:val="bottom"/>
            <w:hideMark/>
          </w:tcPr>
          <w:p w:rsidR="008F7402" w:rsidRDefault="008F7402" w:rsidP="001F1595">
            <w:pPr>
              <w:jc w:val="right"/>
              <w:rPr>
                <w:rFonts w:ascii="SWISS" w:hAnsi="SWISS" w:cs="Arial"/>
                <w:color w:val="000000"/>
                <w:sz w:val="20"/>
                <w:szCs w:val="20"/>
              </w:rPr>
            </w:pPr>
          </w:p>
        </w:tc>
        <w:tc>
          <w:tcPr>
            <w:tcW w:w="2475" w:type="dxa"/>
            <w:tcBorders>
              <w:top w:val="nil"/>
              <w:left w:val="nil"/>
              <w:bottom w:val="nil"/>
              <w:right w:val="single" w:sz="8" w:space="0" w:color="000000"/>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 </w:t>
            </w:r>
          </w:p>
        </w:tc>
      </w:tr>
      <w:tr w:rsidR="008F7402" w:rsidTr="00094505">
        <w:trPr>
          <w:trHeight w:val="300"/>
          <w:jc w:val="center"/>
        </w:trPr>
        <w:tc>
          <w:tcPr>
            <w:tcW w:w="380" w:type="dxa"/>
            <w:tcBorders>
              <w:top w:val="nil"/>
              <w:left w:val="single" w:sz="8" w:space="0" w:color="000000"/>
              <w:bottom w:val="nil"/>
              <w:right w:val="nil"/>
            </w:tcBorders>
            <w:shd w:val="clear" w:color="auto" w:fill="auto"/>
            <w:noWrap/>
            <w:vAlign w:val="bottom"/>
            <w:hideMark/>
          </w:tcPr>
          <w:p w:rsidR="008F7402" w:rsidRDefault="008F7402" w:rsidP="001F1595">
            <w:pPr>
              <w:rPr>
                <w:rFonts w:ascii="SWISS" w:hAnsi="SWISS" w:cs="Arial"/>
                <w:sz w:val="20"/>
                <w:szCs w:val="20"/>
              </w:rPr>
            </w:pPr>
            <w:r>
              <w:rPr>
                <w:rFonts w:ascii="SWISS" w:hAnsi="SWISS" w:cs="Arial"/>
                <w:sz w:val="20"/>
                <w:szCs w:val="20"/>
              </w:rPr>
              <w:t> </w:t>
            </w:r>
          </w:p>
        </w:tc>
        <w:tc>
          <w:tcPr>
            <w:tcW w:w="4912" w:type="dxa"/>
            <w:tcBorders>
              <w:top w:val="nil"/>
              <w:left w:val="nil"/>
              <w:bottom w:val="nil"/>
              <w:right w:val="nil"/>
            </w:tcBorders>
            <w:shd w:val="clear" w:color="auto" w:fill="auto"/>
            <w:noWrap/>
            <w:vAlign w:val="bottom"/>
            <w:hideMark/>
          </w:tcPr>
          <w:p w:rsidR="008F7402" w:rsidRDefault="008F7402" w:rsidP="001F1595">
            <w:pPr>
              <w:rPr>
                <w:rFonts w:ascii="SWISS" w:hAnsi="SWISS" w:cs="Arial"/>
                <w:color w:val="000000"/>
                <w:sz w:val="20"/>
                <w:szCs w:val="20"/>
              </w:rPr>
            </w:pPr>
            <w:r>
              <w:rPr>
                <w:rFonts w:ascii="SWISS" w:hAnsi="SWISS" w:cs="Arial"/>
                <w:color w:val="000000"/>
                <w:sz w:val="20"/>
                <w:szCs w:val="20"/>
              </w:rPr>
              <w:t>3,000 Gallons</w:t>
            </w:r>
          </w:p>
        </w:tc>
        <w:tc>
          <w:tcPr>
            <w:tcW w:w="1706" w:type="dxa"/>
            <w:tcBorders>
              <w:top w:val="nil"/>
              <w:left w:val="nil"/>
              <w:bottom w:val="nil"/>
              <w:right w:val="nil"/>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 xml:space="preserve">$16.09 </w:t>
            </w:r>
          </w:p>
        </w:tc>
        <w:tc>
          <w:tcPr>
            <w:tcW w:w="1683" w:type="dxa"/>
            <w:tcBorders>
              <w:top w:val="nil"/>
              <w:left w:val="nil"/>
              <w:bottom w:val="nil"/>
              <w:right w:val="nil"/>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 xml:space="preserve">$16.38 </w:t>
            </w:r>
          </w:p>
        </w:tc>
        <w:tc>
          <w:tcPr>
            <w:tcW w:w="2475" w:type="dxa"/>
            <w:tcBorders>
              <w:top w:val="nil"/>
              <w:left w:val="nil"/>
              <w:bottom w:val="nil"/>
              <w:right w:val="single" w:sz="8" w:space="0" w:color="000000"/>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 xml:space="preserve">$19.11 </w:t>
            </w:r>
          </w:p>
        </w:tc>
      </w:tr>
      <w:tr w:rsidR="008F7402" w:rsidTr="00094505">
        <w:trPr>
          <w:trHeight w:val="300"/>
          <w:jc w:val="center"/>
        </w:trPr>
        <w:tc>
          <w:tcPr>
            <w:tcW w:w="380" w:type="dxa"/>
            <w:tcBorders>
              <w:top w:val="nil"/>
              <w:left w:val="single" w:sz="8" w:space="0" w:color="000000"/>
              <w:bottom w:val="nil"/>
              <w:right w:val="nil"/>
            </w:tcBorders>
            <w:shd w:val="clear" w:color="auto" w:fill="auto"/>
            <w:noWrap/>
            <w:vAlign w:val="bottom"/>
            <w:hideMark/>
          </w:tcPr>
          <w:p w:rsidR="008F7402" w:rsidRDefault="008F7402" w:rsidP="001F1595">
            <w:pPr>
              <w:rPr>
                <w:rFonts w:ascii="SWISS" w:hAnsi="SWISS" w:cs="Arial"/>
                <w:sz w:val="20"/>
                <w:szCs w:val="20"/>
              </w:rPr>
            </w:pPr>
            <w:r>
              <w:rPr>
                <w:rFonts w:ascii="SWISS" w:hAnsi="SWISS" w:cs="Arial"/>
                <w:sz w:val="20"/>
                <w:szCs w:val="20"/>
              </w:rPr>
              <w:t> </w:t>
            </w:r>
          </w:p>
        </w:tc>
        <w:tc>
          <w:tcPr>
            <w:tcW w:w="4912" w:type="dxa"/>
            <w:tcBorders>
              <w:top w:val="nil"/>
              <w:left w:val="nil"/>
              <w:bottom w:val="nil"/>
              <w:right w:val="nil"/>
            </w:tcBorders>
            <w:shd w:val="clear" w:color="auto" w:fill="auto"/>
            <w:noWrap/>
            <w:vAlign w:val="bottom"/>
            <w:hideMark/>
          </w:tcPr>
          <w:p w:rsidR="008F7402" w:rsidRDefault="008F7402" w:rsidP="001F1595">
            <w:pPr>
              <w:rPr>
                <w:rFonts w:ascii="SWISS" w:hAnsi="SWISS" w:cs="Arial"/>
                <w:color w:val="000000"/>
                <w:sz w:val="20"/>
                <w:szCs w:val="20"/>
              </w:rPr>
            </w:pPr>
            <w:r>
              <w:rPr>
                <w:rFonts w:ascii="SWISS" w:hAnsi="SWISS" w:cs="Arial"/>
                <w:color w:val="000000"/>
                <w:sz w:val="20"/>
                <w:szCs w:val="20"/>
              </w:rPr>
              <w:t>6,000 Gallons</w:t>
            </w:r>
          </w:p>
        </w:tc>
        <w:tc>
          <w:tcPr>
            <w:tcW w:w="1706" w:type="dxa"/>
            <w:tcBorders>
              <w:top w:val="nil"/>
              <w:left w:val="nil"/>
              <w:bottom w:val="nil"/>
              <w:right w:val="nil"/>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 xml:space="preserve">$22.30 </w:t>
            </w:r>
          </w:p>
        </w:tc>
        <w:tc>
          <w:tcPr>
            <w:tcW w:w="1683" w:type="dxa"/>
            <w:tcBorders>
              <w:top w:val="nil"/>
              <w:left w:val="nil"/>
              <w:bottom w:val="nil"/>
              <w:right w:val="nil"/>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 xml:space="preserve">$22.71 </w:t>
            </w:r>
          </w:p>
        </w:tc>
        <w:tc>
          <w:tcPr>
            <w:tcW w:w="2475" w:type="dxa"/>
            <w:tcBorders>
              <w:top w:val="nil"/>
              <w:left w:val="nil"/>
              <w:bottom w:val="nil"/>
              <w:right w:val="single" w:sz="8" w:space="0" w:color="000000"/>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 xml:space="preserve">$26.49 </w:t>
            </w:r>
          </w:p>
        </w:tc>
      </w:tr>
      <w:tr w:rsidR="008F7402" w:rsidTr="00094505">
        <w:trPr>
          <w:trHeight w:val="300"/>
          <w:jc w:val="center"/>
        </w:trPr>
        <w:tc>
          <w:tcPr>
            <w:tcW w:w="380" w:type="dxa"/>
            <w:tcBorders>
              <w:top w:val="nil"/>
              <w:left w:val="single" w:sz="8" w:space="0" w:color="000000"/>
              <w:bottom w:val="nil"/>
              <w:right w:val="nil"/>
            </w:tcBorders>
            <w:shd w:val="clear" w:color="auto" w:fill="auto"/>
            <w:noWrap/>
            <w:vAlign w:val="bottom"/>
            <w:hideMark/>
          </w:tcPr>
          <w:p w:rsidR="008F7402" w:rsidRDefault="008F7402" w:rsidP="001F1595">
            <w:pPr>
              <w:rPr>
                <w:rFonts w:ascii="SWISS" w:hAnsi="SWISS" w:cs="Arial"/>
                <w:sz w:val="20"/>
                <w:szCs w:val="20"/>
              </w:rPr>
            </w:pPr>
            <w:r>
              <w:rPr>
                <w:rFonts w:ascii="SWISS" w:hAnsi="SWISS" w:cs="Arial"/>
                <w:sz w:val="20"/>
                <w:szCs w:val="20"/>
              </w:rPr>
              <w:t> </w:t>
            </w:r>
          </w:p>
        </w:tc>
        <w:tc>
          <w:tcPr>
            <w:tcW w:w="4912" w:type="dxa"/>
            <w:tcBorders>
              <w:top w:val="nil"/>
              <w:left w:val="nil"/>
              <w:bottom w:val="nil"/>
              <w:right w:val="nil"/>
            </w:tcBorders>
            <w:shd w:val="clear" w:color="auto" w:fill="auto"/>
            <w:noWrap/>
            <w:vAlign w:val="bottom"/>
            <w:hideMark/>
          </w:tcPr>
          <w:p w:rsidR="008F7402" w:rsidRDefault="008F7402" w:rsidP="001F1595">
            <w:pPr>
              <w:rPr>
                <w:rFonts w:ascii="SWISS" w:hAnsi="SWISS" w:cs="Arial"/>
                <w:color w:val="000000"/>
                <w:sz w:val="20"/>
                <w:szCs w:val="20"/>
              </w:rPr>
            </w:pPr>
            <w:r>
              <w:rPr>
                <w:rFonts w:ascii="SWISS" w:hAnsi="SWISS" w:cs="Arial"/>
                <w:color w:val="000000"/>
                <w:sz w:val="20"/>
                <w:szCs w:val="20"/>
              </w:rPr>
              <w:t>10,000 Gallons</w:t>
            </w:r>
          </w:p>
        </w:tc>
        <w:tc>
          <w:tcPr>
            <w:tcW w:w="1706" w:type="dxa"/>
            <w:tcBorders>
              <w:top w:val="nil"/>
              <w:left w:val="nil"/>
              <w:bottom w:val="nil"/>
              <w:right w:val="nil"/>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 xml:space="preserve">$30.58 </w:t>
            </w:r>
          </w:p>
        </w:tc>
        <w:tc>
          <w:tcPr>
            <w:tcW w:w="1683" w:type="dxa"/>
            <w:tcBorders>
              <w:top w:val="nil"/>
              <w:left w:val="nil"/>
              <w:bottom w:val="nil"/>
              <w:right w:val="nil"/>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 xml:space="preserve">$31.15 </w:t>
            </w:r>
          </w:p>
        </w:tc>
        <w:tc>
          <w:tcPr>
            <w:tcW w:w="2475" w:type="dxa"/>
            <w:tcBorders>
              <w:top w:val="nil"/>
              <w:left w:val="nil"/>
              <w:bottom w:val="nil"/>
              <w:right w:val="single" w:sz="8" w:space="0" w:color="000000"/>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 xml:space="preserve">$36.33 </w:t>
            </w:r>
          </w:p>
        </w:tc>
      </w:tr>
      <w:tr w:rsidR="008F7402" w:rsidTr="00094505">
        <w:trPr>
          <w:trHeight w:val="300"/>
          <w:jc w:val="center"/>
        </w:trPr>
        <w:tc>
          <w:tcPr>
            <w:tcW w:w="380" w:type="dxa"/>
            <w:tcBorders>
              <w:top w:val="nil"/>
              <w:left w:val="single" w:sz="8" w:space="0" w:color="000000"/>
              <w:bottom w:val="nil"/>
              <w:right w:val="nil"/>
            </w:tcBorders>
            <w:shd w:val="clear" w:color="auto" w:fill="auto"/>
            <w:noWrap/>
            <w:vAlign w:val="bottom"/>
            <w:hideMark/>
          </w:tcPr>
          <w:p w:rsidR="008F7402" w:rsidRDefault="008F7402" w:rsidP="001F1595">
            <w:pPr>
              <w:rPr>
                <w:rFonts w:ascii="SWISS" w:hAnsi="SWISS" w:cs="Arial"/>
                <w:sz w:val="20"/>
                <w:szCs w:val="20"/>
              </w:rPr>
            </w:pPr>
            <w:r>
              <w:rPr>
                <w:rFonts w:ascii="SWISS" w:hAnsi="SWISS" w:cs="Arial"/>
                <w:sz w:val="20"/>
                <w:szCs w:val="20"/>
              </w:rPr>
              <w:t> </w:t>
            </w:r>
          </w:p>
        </w:tc>
        <w:tc>
          <w:tcPr>
            <w:tcW w:w="4912" w:type="dxa"/>
            <w:tcBorders>
              <w:top w:val="nil"/>
              <w:left w:val="nil"/>
              <w:bottom w:val="nil"/>
              <w:right w:val="nil"/>
            </w:tcBorders>
            <w:shd w:val="clear" w:color="auto" w:fill="auto"/>
            <w:noWrap/>
            <w:vAlign w:val="bottom"/>
            <w:hideMark/>
          </w:tcPr>
          <w:p w:rsidR="008F7402" w:rsidRDefault="008F7402" w:rsidP="001F1595">
            <w:pPr>
              <w:rPr>
                <w:rFonts w:ascii="SWISS" w:hAnsi="SWISS" w:cs="Arial"/>
                <w:color w:val="000000"/>
                <w:sz w:val="20"/>
                <w:szCs w:val="20"/>
              </w:rPr>
            </w:pPr>
          </w:p>
        </w:tc>
        <w:tc>
          <w:tcPr>
            <w:tcW w:w="1706" w:type="dxa"/>
            <w:tcBorders>
              <w:top w:val="nil"/>
              <w:left w:val="nil"/>
              <w:bottom w:val="nil"/>
              <w:right w:val="nil"/>
            </w:tcBorders>
            <w:shd w:val="clear" w:color="auto" w:fill="auto"/>
            <w:noWrap/>
            <w:vAlign w:val="bottom"/>
            <w:hideMark/>
          </w:tcPr>
          <w:p w:rsidR="008F7402" w:rsidRDefault="008F7402" w:rsidP="001F1595">
            <w:pPr>
              <w:jc w:val="right"/>
              <w:rPr>
                <w:rFonts w:ascii="SWISS" w:hAnsi="SWISS" w:cs="Arial"/>
                <w:color w:val="000000"/>
                <w:sz w:val="20"/>
                <w:szCs w:val="20"/>
              </w:rPr>
            </w:pPr>
          </w:p>
        </w:tc>
        <w:tc>
          <w:tcPr>
            <w:tcW w:w="1683" w:type="dxa"/>
            <w:tcBorders>
              <w:top w:val="nil"/>
              <w:left w:val="nil"/>
              <w:bottom w:val="nil"/>
              <w:right w:val="nil"/>
            </w:tcBorders>
            <w:shd w:val="clear" w:color="auto" w:fill="auto"/>
            <w:noWrap/>
            <w:vAlign w:val="bottom"/>
            <w:hideMark/>
          </w:tcPr>
          <w:p w:rsidR="008F7402" w:rsidRDefault="008F7402" w:rsidP="001F1595">
            <w:pPr>
              <w:jc w:val="right"/>
              <w:rPr>
                <w:rFonts w:ascii="SWISS" w:hAnsi="SWISS" w:cs="Arial"/>
                <w:color w:val="000000"/>
                <w:sz w:val="20"/>
                <w:szCs w:val="20"/>
              </w:rPr>
            </w:pPr>
          </w:p>
        </w:tc>
        <w:tc>
          <w:tcPr>
            <w:tcW w:w="2475" w:type="dxa"/>
            <w:tcBorders>
              <w:top w:val="nil"/>
              <w:left w:val="nil"/>
              <w:bottom w:val="nil"/>
              <w:right w:val="single" w:sz="8" w:space="0" w:color="000000"/>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 </w:t>
            </w:r>
          </w:p>
        </w:tc>
      </w:tr>
      <w:tr w:rsidR="008F7402" w:rsidTr="00094505">
        <w:trPr>
          <w:trHeight w:val="300"/>
          <w:jc w:val="center"/>
        </w:trPr>
        <w:tc>
          <w:tcPr>
            <w:tcW w:w="380" w:type="dxa"/>
            <w:tcBorders>
              <w:top w:val="nil"/>
              <w:left w:val="single" w:sz="8" w:space="0" w:color="000000"/>
              <w:bottom w:val="nil"/>
              <w:right w:val="nil"/>
            </w:tcBorders>
            <w:shd w:val="clear" w:color="auto" w:fill="auto"/>
            <w:noWrap/>
            <w:vAlign w:val="bottom"/>
            <w:hideMark/>
          </w:tcPr>
          <w:p w:rsidR="008F7402" w:rsidRDefault="008F7402" w:rsidP="001F1595">
            <w:pPr>
              <w:rPr>
                <w:rFonts w:ascii="SWISS" w:hAnsi="SWISS" w:cs="Arial"/>
                <w:sz w:val="20"/>
                <w:szCs w:val="20"/>
              </w:rPr>
            </w:pPr>
            <w:r>
              <w:rPr>
                <w:rFonts w:ascii="SWISS" w:hAnsi="SWISS" w:cs="Arial"/>
                <w:sz w:val="20"/>
                <w:szCs w:val="20"/>
              </w:rPr>
              <w:t> </w:t>
            </w:r>
          </w:p>
        </w:tc>
        <w:tc>
          <w:tcPr>
            <w:tcW w:w="4912" w:type="dxa"/>
            <w:tcBorders>
              <w:top w:val="nil"/>
              <w:left w:val="nil"/>
              <w:bottom w:val="nil"/>
              <w:right w:val="nil"/>
            </w:tcBorders>
            <w:shd w:val="clear" w:color="auto" w:fill="auto"/>
            <w:noWrap/>
            <w:vAlign w:val="bottom"/>
            <w:hideMark/>
          </w:tcPr>
          <w:p w:rsidR="008F7402" w:rsidRDefault="008F7402" w:rsidP="001F1595">
            <w:pPr>
              <w:rPr>
                <w:rFonts w:ascii="SWISS" w:hAnsi="SWISS" w:cs="Arial"/>
                <w:color w:val="000000"/>
                <w:sz w:val="20"/>
                <w:szCs w:val="20"/>
              </w:rPr>
            </w:pPr>
          </w:p>
        </w:tc>
        <w:tc>
          <w:tcPr>
            <w:tcW w:w="1706" w:type="dxa"/>
            <w:tcBorders>
              <w:top w:val="nil"/>
              <w:left w:val="nil"/>
              <w:bottom w:val="nil"/>
              <w:right w:val="nil"/>
            </w:tcBorders>
            <w:shd w:val="clear" w:color="auto" w:fill="auto"/>
            <w:noWrap/>
            <w:vAlign w:val="bottom"/>
            <w:hideMark/>
          </w:tcPr>
          <w:p w:rsidR="008F7402" w:rsidRDefault="008F7402" w:rsidP="001F1595">
            <w:pPr>
              <w:jc w:val="right"/>
              <w:rPr>
                <w:rFonts w:ascii="SWISS" w:hAnsi="SWISS" w:cs="Arial"/>
                <w:color w:val="000000"/>
                <w:sz w:val="20"/>
                <w:szCs w:val="20"/>
              </w:rPr>
            </w:pPr>
          </w:p>
        </w:tc>
        <w:tc>
          <w:tcPr>
            <w:tcW w:w="1683" w:type="dxa"/>
            <w:tcBorders>
              <w:top w:val="nil"/>
              <w:left w:val="nil"/>
              <w:bottom w:val="nil"/>
              <w:right w:val="nil"/>
            </w:tcBorders>
            <w:shd w:val="clear" w:color="auto" w:fill="auto"/>
            <w:noWrap/>
            <w:vAlign w:val="bottom"/>
            <w:hideMark/>
          </w:tcPr>
          <w:p w:rsidR="008F7402" w:rsidRDefault="008F7402" w:rsidP="001F1595">
            <w:pPr>
              <w:jc w:val="right"/>
              <w:rPr>
                <w:rFonts w:ascii="SWISS" w:hAnsi="SWISS" w:cs="Arial"/>
                <w:color w:val="000000"/>
                <w:sz w:val="20"/>
                <w:szCs w:val="20"/>
              </w:rPr>
            </w:pPr>
          </w:p>
        </w:tc>
        <w:tc>
          <w:tcPr>
            <w:tcW w:w="2475" w:type="dxa"/>
            <w:tcBorders>
              <w:top w:val="nil"/>
              <w:left w:val="nil"/>
              <w:bottom w:val="nil"/>
              <w:right w:val="single" w:sz="8" w:space="0" w:color="000000"/>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 </w:t>
            </w:r>
          </w:p>
        </w:tc>
      </w:tr>
      <w:tr w:rsidR="008F7402" w:rsidTr="00094505">
        <w:trPr>
          <w:trHeight w:val="300"/>
          <w:jc w:val="center"/>
        </w:trPr>
        <w:tc>
          <w:tcPr>
            <w:tcW w:w="380" w:type="dxa"/>
            <w:tcBorders>
              <w:top w:val="nil"/>
              <w:left w:val="single" w:sz="8" w:space="0" w:color="000000"/>
              <w:bottom w:val="nil"/>
              <w:right w:val="nil"/>
            </w:tcBorders>
            <w:shd w:val="clear" w:color="auto" w:fill="auto"/>
            <w:noWrap/>
            <w:vAlign w:val="bottom"/>
            <w:hideMark/>
          </w:tcPr>
          <w:p w:rsidR="008F7402" w:rsidRDefault="008F7402" w:rsidP="001F1595">
            <w:pPr>
              <w:rPr>
                <w:rFonts w:ascii="SWISS" w:hAnsi="SWISS" w:cs="Arial"/>
                <w:sz w:val="20"/>
                <w:szCs w:val="20"/>
              </w:rPr>
            </w:pPr>
            <w:r>
              <w:rPr>
                <w:rFonts w:ascii="SWISS" w:hAnsi="SWISS" w:cs="Arial"/>
                <w:sz w:val="20"/>
                <w:szCs w:val="20"/>
              </w:rPr>
              <w:t> </w:t>
            </w:r>
          </w:p>
        </w:tc>
        <w:tc>
          <w:tcPr>
            <w:tcW w:w="6618" w:type="dxa"/>
            <w:gridSpan w:val="2"/>
            <w:tcBorders>
              <w:top w:val="nil"/>
              <w:left w:val="nil"/>
              <w:bottom w:val="nil"/>
              <w:right w:val="nil"/>
            </w:tcBorders>
            <w:shd w:val="clear" w:color="auto" w:fill="auto"/>
            <w:noWrap/>
            <w:vAlign w:val="bottom"/>
            <w:hideMark/>
          </w:tcPr>
          <w:p w:rsidR="008F7402" w:rsidRDefault="008F7402" w:rsidP="001F1595">
            <w:pPr>
              <w:rPr>
                <w:rFonts w:ascii="SWISS" w:hAnsi="SWISS" w:cs="Arial"/>
                <w:color w:val="000000"/>
                <w:sz w:val="20"/>
                <w:szCs w:val="20"/>
              </w:rPr>
            </w:pPr>
            <w:r>
              <w:rPr>
                <w:rFonts w:ascii="SWISS" w:hAnsi="SWISS" w:cs="Arial"/>
                <w:color w:val="000000"/>
                <w:sz w:val="20"/>
                <w:szCs w:val="20"/>
              </w:rPr>
              <w:t>(1) The interim rate increase was applied to the rates at 12/31/2014.</w:t>
            </w:r>
          </w:p>
        </w:tc>
        <w:tc>
          <w:tcPr>
            <w:tcW w:w="1683" w:type="dxa"/>
            <w:tcBorders>
              <w:top w:val="nil"/>
              <w:left w:val="nil"/>
              <w:bottom w:val="nil"/>
              <w:right w:val="nil"/>
            </w:tcBorders>
            <w:shd w:val="clear" w:color="auto" w:fill="auto"/>
            <w:noWrap/>
            <w:vAlign w:val="bottom"/>
            <w:hideMark/>
          </w:tcPr>
          <w:p w:rsidR="008F7402" w:rsidRDefault="008F7402" w:rsidP="001F1595">
            <w:pPr>
              <w:jc w:val="right"/>
              <w:rPr>
                <w:rFonts w:ascii="SWISS" w:hAnsi="SWISS" w:cs="Arial"/>
                <w:color w:val="000000"/>
                <w:sz w:val="20"/>
                <w:szCs w:val="20"/>
              </w:rPr>
            </w:pPr>
          </w:p>
        </w:tc>
        <w:tc>
          <w:tcPr>
            <w:tcW w:w="2475" w:type="dxa"/>
            <w:tcBorders>
              <w:top w:val="nil"/>
              <w:left w:val="nil"/>
              <w:bottom w:val="nil"/>
              <w:right w:val="single" w:sz="8" w:space="0" w:color="000000"/>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 </w:t>
            </w:r>
          </w:p>
        </w:tc>
      </w:tr>
      <w:tr w:rsidR="008F7402" w:rsidTr="00094505">
        <w:trPr>
          <w:trHeight w:val="315"/>
          <w:jc w:val="center"/>
        </w:trPr>
        <w:tc>
          <w:tcPr>
            <w:tcW w:w="380" w:type="dxa"/>
            <w:tcBorders>
              <w:top w:val="nil"/>
              <w:left w:val="single" w:sz="8" w:space="0" w:color="000000"/>
              <w:bottom w:val="single" w:sz="8" w:space="0" w:color="000000"/>
              <w:right w:val="nil"/>
            </w:tcBorders>
            <w:shd w:val="clear" w:color="auto" w:fill="auto"/>
            <w:noWrap/>
            <w:vAlign w:val="bottom"/>
            <w:hideMark/>
          </w:tcPr>
          <w:p w:rsidR="008F7402" w:rsidRDefault="008F7402" w:rsidP="001F1595">
            <w:pPr>
              <w:rPr>
                <w:rFonts w:ascii="SWISS" w:hAnsi="SWISS" w:cs="Arial"/>
                <w:sz w:val="20"/>
                <w:szCs w:val="20"/>
              </w:rPr>
            </w:pPr>
            <w:r>
              <w:rPr>
                <w:rFonts w:ascii="SWISS" w:hAnsi="SWISS" w:cs="Arial"/>
                <w:sz w:val="20"/>
                <w:szCs w:val="20"/>
              </w:rPr>
              <w:t> </w:t>
            </w:r>
          </w:p>
        </w:tc>
        <w:tc>
          <w:tcPr>
            <w:tcW w:w="8301" w:type="dxa"/>
            <w:gridSpan w:val="3"/>
            <w:tcBorders>
              <w:top w:val="nil"/>
              <w:left w:val="nil"/>
              <w:bottom w:val="single" w:sz="8" w:space="0" w:color="000000"/>
              <w:right w:val="nil"/>
            </w:tcBorders>
            <w:shd w:val="clear" w:color="auto" w:fill="auto"/>
            <w:noWrap/>
            <w:vAlign w:val="bottom"/>
            <w:hideMark/>
          </w:tcPr>
          <w:p w:rsidR="008F7402" w:rsidRDefault="008F7402" w:rsidP="001F1595">
            <w:pPr>
              <w:rPr>
                <w:rFonts w:ascii="SWISS" w:hAnsi="SWISS" w:cs="Arial"/>
                <w:color w:val="000000"/>
                <w:sz w:val="20"/>
                <w:szCs w:val="20"/>
              </w:rPr>
            </w:pPr>
            <w:r>
              <w:rPr>
                <w:rFonts w:ascii="SWISS" w:hAnsi="SWISS" w:cs="Arial"/>
                <w:color w:val="000000"/>
                <w:sz w:val="20"/>
                <w:szCs w:val="20"/>
              </w:rPr>
              <w:t>(2) The current rates became effective October 1, 2015 as a result of a price index.</w:t>
            </w:r>
          </w:p>
        </w:tc>
        <w:tc>
          <w:tcPr>
            <w:tcW w:w="2475" w:type="dxa"/>
            <w:tcBorders>
              <w:top w:val="nil"/>
              <w:left w:val="nil"/>
              <w:bottom w:val="single" w:sz="8" w:space="0" w:color="000000"/>
              <w:right w:val="single" w:sz="8" w:space="0" w:color="000000"/>
            </w:tcBorders>
            <w:shd w:val="clear" w:color="auto" w:fill="auto"/>
            <w:noWrap/>
            <w:vAlign w:val="bottom"/>
            <w:hideMark/>
          </w:tcPr>
          <w:p w:rsidR="008F7402" w:rsidRDefault="008F7402" w:rsidP="001F1595">
            <w:pPr>
              <w:jc w:val="right"/>
              <w:rPr>
                <w:rFonts w:ascii="SWISS" w:hAnsi="SWISS" w:cs="Arial"/>
                <w:color w:val="000000"/>
                <w:sz w:val="20"/>
                <w:szCs w:val="20"/>
              </w:rPr>
            </w:pPr>
            <w:r>
              <w:rPr>
                <w:rFonts w:ascii="SWISS" w:hAnsi="SWISS" w:cs="Arial"/>
                <w:color w:val="000000"/>
                <w:sz w:val="20"/>
                <w:szCs w:val="20"/>
              </w:rPr>
              <w:t> </w:t>
            </w:r>
          </w:p>
        </w:tc>
      </w:tr>
    </w:tbl>
    <w:p w:rsidR="00E06484" w:rsidRDefault="00E06484" w:rsidP="00F109D0">
      <w:pPr>
        <w:spacing w:after="240"/>
        <w:ind w:firstLine="720"/>
        <w:jc w:val="both"/>
      </w:pPr>
    </w:p>
    <w:sectPr w:rsidR="00E06484" w:rsidSect="00094505">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39D" w:rsidRDefault="004C139D">
      <w:r>
        <w:separator/>
      </w:r>
    </w:p>
  </w:endnote>
  <w:endnote w:type="continuationSeparator" w:id="0">
    <w:p w:rsidR="004C139D" w:rsidRDefault="004C1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30EF7">
      <w:rPr>
        <w:rStyle w:val="PageNumber"/>
        <w:noProof/>
      </w:rPr>
      <w:t>10</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39D" w:rsidRDefault="004C139D">
      <w:r>
        <w:separator/>
      </w:r>
    </w:p>
  </w:footnote>
  <w:footnote w:type="continuationSeparator" w:id="0">
    <w:p w:rsidR="004C139D" w:rsidRDefault="004C139D">
      <w:r>
        <w:continuationSeparator/>
      </w:r>
    </w:p>
  </w:footnote>
  <w:footnote w:id="1">
    <w:p w:rsidR="00D048C5" w:rsidRPr="00FC2A17" w:rsidRDefault="00D048C5" w:rsidP="00D048C5">
      <w:pPr>
        <w:pStyle w:val="FootnoteText"/>
        <w:rPr>
          <w:i/>
        </w:rPr>
      </w:pPr>
      <w:r>
        <w:rPr>
          <w:rStyle w:val="FootnoteReference"/>
        </w:rPr>
        <w:footnoteRef/>
      </w:r>
      <w:r>
        <w:t xml:space="preserve">Order No. PSC-02-1168-PSS-WS, issued August 26, 2002, in Docket No. 010869-WS, </w:t>
      </w:r>
      <w:r>
        <w:rPr>
          <w:i/>
        </w:rPr>
        <w:t>In re: Application for staff-assisted rate case in Marion County by East Marion Sanitary Systems, Inc.</w:t>
      </w:r>
    </w:p>
  </w:footnote>
  <w:footnote w:id="2">
    <w:p w:rsidR="00D048C5" w:rsidRPr="005D392F" w:rsidRDefault="00CA6BE9" w:rsidP="00D048C5">
      <w:pPr>
        <w:pStyle w:val="FootnoteText"/>
        <w:rPr>
          <w:i/>
        </w:rPr>
      </w:pPr>
      <w:r>
        <w:rPr>
          <w:vertAlign w:val="superscript"/>
        </w:rPr>
        <w:t>2</w:t>
      </w:r>
      <w:r w:rsidR="00D048C5">
        <w:t xml:space="preserve">Order No. PSC-15-0576-PAA-WS, issued December 21, 2015, in Docket No. 150091-WS, </w:t>
      </w:r>
      <w:r w:rsidR="00D048C5" w:rsidRPr="005D392F">
        <w:rPr>
          <w:i/>
        </w:rPr>
        <w:t>In re: Application for approval of transfer of Certificate Nos. 490-W and 425-S from East Marion Sanitary Systems, Inc. to East Marion Utilities, LLC, in Marion County.</w:t>
      </w:r>
    </w:p>
  </w:footnote>
  <w:footnote w:id="3">
    <w:p w:rsidR="009E53F7" w:rsidRPr="00BB2264" w:rsidRDefault="009E53F7" w:rsidP="009E53F7">
      <w:pPr>
        <w:pStyle w:val="FootnoteText"/>
        <w:rPr>
          <w:i/>
        </w:rPr>
      </w:pPr>
      <w:r>
        <w:rPr>
          <w:rStyle w:val="FootnoteReference"/>
        </w:rPr>
        <w:footnoteRef/>
      </w:r>
      <w:r>
        <w:t xml:space="preserve">Order No. PSC-01-1654-FOF-WS, issued August 13, 2001, in Docket No. 010396-WS, </w:t>
      </w:r>
      <w:r w:rsidR="00094505">
        <w:rPr>
          <w:i/>
        </w:rPr>
        <w:t>In re:</w:t>
      </w:r>
      <w:r w:rsidRPr="00BB2264">
        <w:rPr>
          <w:i/>
        </w:rPr>
        <w:t xml:space="preserve"> Application for staff-assisted rate case in Brevard County by Burkim Enterprises, Inc.</w:t>
      </w:r>
    </w:p>
  </w:footnote>
  <w:footnote w:id="4">
    <w:p w:rsidR="00164C48" w:rsidRDefault="00164C48" w:rsidP="00164C48">
      <w:pPr>
        <w:pStyle w:val="FootnoteText"/>
      </w:pPr>
      <w:r>
        <w:rPr>
          <w:rStyle w:val="FootnoteReference"/>
        </w:rPr>
        <w:footnoteRef/>
      </w:r>
      <w:r>
        <w:t>The revenue increase is based on 2014 water revenues. Therefore, the percentage increase should be applied to the rates in effect at year end 2014.</w:t>
      </w:r>
    </w:p>
  </w:footnote>
  <w:footnote w:id="5">
    <w:p w:rsidR="00BB2264" w:rsidRPr="00BB2264" w:rsidRDefault="00BB2264" w:rsidP="00BB2264">
      <w:pPr>
        <w:pStyle w:val="FootnoteText"/>
        <w:rPr>
          <w:i/>
        </w:rPr>
      </w:pPr>
      <w:r>
        <w:rPr>
          <w:rStyle w:val="FootnoteReference"/>
        </w:rPr>
        <w:footnoteRef/>
      </w:r>
      <w:r w:rsidRPr="00354914">
        <w:t>Order No. PSC-</w:t>
      </w:r>
      <w:r>
        <w:t>15</w:t>
      </w:r>
      <w:r w:rsidRPr="00354914">
        <w:t>-</w:t>
      </w:r>
      <w:r>
        <w:t>0576</w:t>
      </w:r>
      <w:r w:rsidRPr="00354914">
        <w:t xml:space="preserve">-PAA-WS, issued </w:t>
      </w:r>
      <w:r>
        <w:t>December 21, 2015</w:t>
      </w:r>
      <w:r w:rsidRPr="00354914">
        <w:t>, in Docket No. 1</w:t>
      </w:r>
      <w:r>
        <w:t>50091</w:t>
      </w:r>
      <w:r w:rsidRPr="00354914">
        <w:t xml:space="preserve">-WS, </w:t>
      </w:r>
      <w:r w:rsidRPr="00BB2264">
        <w:rPr>
          <w:i/>
        </w:rPr>
        <w:t>In re: Application for approval of transfer of Certificate Nos. 490-W and 425-S from East Marion Sanitary Systems, Inc. to East Marion Utility, LLC, in Marion County.</w:t>
      </w:r>
    </w:p>
    <w:p w:rsidR="00BB2264" w:rsidRDefault="00BB2264" w:rsidP="00BB226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4C139D" w:rsidP="00220732">
    <w:pPr>
      <w:pStyle w:val="Header"/>
      <w:tabs>
        <w:tab w:val="clear" w:pos="4320"/>
        <w:tab w:val="clear" w:pos="8640"/>
        <w:tab w:val="right" w:pos="9360"/>
      </w:tabs>
    </w:pPr>
    <w:bookmarkStart w:id="12" w:name="DocketLabel"/>
    <w:r>
      <w:t>Docket No.</w:t>
    </w:r>
    <w:bookmarkEnd w:id="12"/>
    <w:r w:rsidR="00BB3493">
      <w:t xml:space="preserve"> </w:t>
    </w:r>
    <w:bookmarkStart w:id="13" w:name="DocketList"/>
    <w:bookmarkEnd w:id="13"/>
    <w:r w:rsidR="00082F86">
      <w:t>150257-WS</w:t>
    </w:r>
  </w:p>
  <w:p w:rsidR="00BB3493" w:rsidRDefault="00BB3493">
    <w:pPr>
      <w:pStyle w:val="Header"/>
    </w:pPr>
    <w:r>
      <w:t xml:space="preserve">Date: </w:t>
    </w:r>
    <w:r w:rsidR="00485861">
      <w:fldChar w:fldCharType="begin"/>
    </w:r>
    <w:r w:rsidR="00485861">
      <w:instrText xml:space="preserve"> REF FilingDate </w:instrText>
    </w:r>
    <w:r w:rsidR="00485861">
      <w:fldChar w:fldCharType="separate"/>
    </w:r>
    <w:r w:rsidR="00FD0AAC">
      <w:t>January 21, 2016</w:t>
    </w:r>
    <w:r w:rsidR="00485861">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rsidP="00220732">
    <w:pPr>
      <w:pStyle w:val="Header"/>
      <w:tabs>
        <w:tab w:val="clear" w:pos="4320"/>
        <w:tab w:val="clear" w:pos="8640"/>
        <w:tab w:val="right" w:pos="9360"/>
      </w:tabs>
    </w:pPr>
    <w:r>
      <w:fldChar w:fldCharType="begin"/>
    </w:r>
    <w:r>
      <w:instrText xml:space="preserve"> REF DocketLabel</w:instrText>
    </w:r>
    <w:r>
      <w:fldChar w:fldCharType="separate"/>
    </w:r>
    <w:r w:rsidR="00FD0AAC">
      <w:t>Docket No.</w:t>
    </w:r>
    <w:r>
      <w:fldChar w:fldCharType="end"/>
    </w:r>
    <w:r>
      <w:t xml:space="preserve"> </w:t>
    </w:r>
    <w:r w:rsidR="00082F86">
      <w:t>150257-WS</w:t>
    </w:r>
    <w:r>
      <w:fldChar w:fldCharType="begin"/>
    </w:r>
    <w:r>
      <w:instrText xml:space="preserve"> REF DocketList</w:instrText>
    </w:r>
    <w:r>
      <w:fldChar w:fldCharType="end"/>
    </w:r>
    <w:r>
      <w:tab/>
      <w:t xml:space="preserve">Issue </w:t>
    </w:r>
    <w:r w:rsidR="00485861">
      <w:fldChar w:fldCharType="begin"/>
    </w:r>
    <w:r w:rsidR="00485861">
      <w:instrText xml:space="preserve"> Seq Issue \c \* Arabic </w:instrText>
    </w:r>
    <w:r w:rsidR="00485861">
      <w:fldChar w:fldCharType="separate"/>
    </w:r>
    <w:r w:rsidR="00030EF7">
      <w:rPr>
        <w:noProof/>
      </w:rPr>
      <w:t>4</w:t>
    </w:r>
    <w:r w:rsidR="00485861">
      <w:rPr>
        <w:noProof/>
      </w:rPr>
      <w:fldChar w:fldCharType="end"/>
    </w:r>
  </w:p>
  <w:p w:rsidR="00BB3493" w:rsidRDefault="00BB3493">
    <w:pPr>
      <w:pStyle w:val="Header"/>
    </w:pPr>
    <w:r>
      <w:t xml:space="preserve">Date: </w:t>
    </w:r>
    <w:r w:rsidR="00485861">
      <w:fldChar w:fldCharType="begin"/>
    </w:r>
    <w:r w:rsidR="00485861">
      <w:instrText xml:space="preserve"> REF FilingDate </w:instrText>
    </w:r>
    <w:r w:rsidR="00485861">
      <w:fldChar w:fldCharType="separate"/>
    </w:r>
    <w:r w:rsidR="00FD0AAC">
      <w:t>January 21, 2016</w:t>
    </w:r>
    <w:r w:rsidR="00485861">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402" w:rsidRDefault="008F7402" w:rsidP="00220732">
    <w:pPr>
      <w:pStyle w:val="Header"/>
      <w:tabs>
        <w:tab w:val="clear" w:pos="4320"/>
        <w:tab w:val="clear" w:pos="8640"/>
        <w:tab w:val="right" w:pos="9360"/>
      </w:tabs>
    </w:pPr>
    <w:r>
      <w:fldChar w:fldCharType="begin"/>
    </w:r>
    <w:r>
      <w:instrText xml:space="preserve"> REF DocketLabel</w:instrText>
    </w:r>
    <w:r>
      <w:fldChar w:fldCharType="separate"/>
    </w:r>
    <w:r w:rsidR="00FD0AAC">
      <w:t>Docket No.</w:t>
    </w:r>
    <w:r>
      <w:fldChar w:fldCharType="end"/>
    </w:r>
    <w:r>
      <w:t xml:space="preserve"> 150257-WS</w:t>
    </w:r>
    <w:r>
      <w:fldChar w:fldCharType="begin"/>
    </w:r>
    <w:r>
      <w:instrText xml:space="preserve"> REF DocketList</w:instrText>
    </w:r>
    <w:r>
      <w:fldChar w:fldCharType="end"/>
    </w:r>
    <w:r>
      <w:tab/>
      <w:t>Schedule No. 1</w:t>
    </w:r>
  </w:p>
  <w:p w:rsidR="008F7402" w:rsidRDefault="008F7402">
    <w:pPr>
      <w:pStyle w:val="Header"/>
    </w:pPr>
    <w:r>
      <w:t xml:space="preserve">Date: </w:t>
    </w:r>
    <w:r w:rsidR="00485861">
      <w:fldChar w:fldCharType="begin"/>
    </w:r>
    <w:r w:rsidR="00485861">
      <w:instrText xml:space="preserve"> REF FilingDate </w:instrText>
    </w:r>
    <w:r w:rsidR="00485861">
      <w:fldChar w:fldCharType="separate"/>
    </w:r>
    <w:r w:rsidR="00FD0AAC">
      <w:t>January 21, 2016</w:t>
    </w:r>
    <w:r w:rsidR="00485861">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048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ubleSpaceTOC" w:val="False"/>
    <w:docVar w:name="NumberOfIssues" w:val="0"/>
    <w:docVar w:name="StaffInToC" w:val="True"/>
  </w:docVars>
  <w:rsids>
    <w:rsidRoot w:val="004C139D"/>
    <w:rsid w:val="00010E37"/>
    <w:rsid w:val="000277C2"/>
    <w:rsid w:val="00030EF7"/>
    <w:rsid w:val="00035B48"/>
    <w:rsid w:val="00036CE2"/>
    <w:rsid w:val="000437FE"/>
    <w:rsid w:val="00065A06"/>
    <w:rsid w:val="000666F3"/>
    <w:rsid w:val="00070DCB"/>
    <w:rsid w:val="00073120"/>
    <w:rsid w:val="000828D3"/>
    <w:rsid w:val="00082F86"/>
    <w:rsid w:val="00094505"/>
    <w:rsid w:val="000A2B57"/>
    <w:rsid w:val="000A418B"/>
    <w:rsid w:val="000C4431"/>
    <w:rsid w:val="000D4319"/>
    <w:rsid w:val="000F374A"/>
    <w:rsid w:val="00117C8C"/>
    <w:rsid w:val="00124E2E"/>
    <w:rsid w:val="00125ED4"/>
    <w:rsid w:val="001305E9"/>
    <w:rsid w:val="001307AF"/>
    <w:rsid w:val="00135687"/>
    <w:rsid w:val="00164C48"/>
    <w:rsid w:val="00180254"/>
    <w:rsid w:val="00191E1F"/>
    <w:rsid w:val="00192943"/>
    <w:rsid w:val="001A7406"/>
    <w:rsid w:val="001B4FEE"/>
    <w:rsid w:val="001B51C5"/>
    <w:rsid w:val="001B6965"/>
    <w:rsid w:val="001B6F3F"/>
    <w:rsid w:val="001C0950"/>
    <w:rsid w:val="001C52B5"/>
    <w:rsid w:val="001D0D3E"/>
    <w:rsid w:val="001F2245"/>
    <w:rsid w:val="001F6DA1"/>
    <w:rsid w:val="002044E6"/>
    <w:rsid w:val="00205C82"/>
    <w:rsid w:val="00205DC2"/>
    <w:rsid w:val="002163B6"/>
    <w:rsid w:val="00220732"/>
    <w:rsid w:val="00221D32"/>
    <w:rsid w:val="00225C3F"/>
    <w:rsid w:val="00244E00"/>
    <w:rsid w:val="00263D44"/>
    <w:rsid w:val="00292D82"/>
    <w:rsid w:val="002963CB"/>
    <w:rsid w:val="002D226D"/>
    <w:rsid w:val="002F6030"/>
    <w:rsid w:val="003037E1"/>
    <w:rsid w:val="00307E51"/>
    <w:rsid w:val="003103EC"/>
    <w:rsid w:val="003144EF"/>
    <w:rsid w:val="00322F74"/>
    <w:rsid w:val="00340073"/>
    <w:rsid w:val="00346735"/>
    <w:rsid w:val="00372805"/>
    <w:rsid w:val="00373180"/>
    <w:rsid w:val="00375AB9"/>
    <w:rsid w:val="003821A0"/>
    <w:rsid w:val="00385B04"/>
    <w:rsid w:val="003A22A6"/>
    <w:rsid w:val="003A5494"/>
    <w:rsid w:val="003B2510"/>
    <w:rsid w:val="003C2CC4"/>
    <w:rsid w:val="003E0EFC"/>
    <w:rsid w:val="003E4A2B"/>
    <w:rsid w:val="003E76C2"/>
    <w:rsid w:val="003F1679"/>
    <w:rsid w:val="003F4A35"/>
    <w:rsid w:val="003F74E0"/>
    <w:rsid w:val="003F7FDD"/>
    <w:rsid w:val="00402481"/>
    <w:rsid w:val="004042B4"/>
    <w:rsid w:val="00412DAE"/>
    <w:rsid w:val="00431598"/>
    <w:rsid w:val="004426B8"/>
    <w:rsid w:val="00444432"/>
    <w:rsid w:val="00464EAC"/>
    <w:rsid w:val="00471860"/>
    <w:rsid w:val="00474A39"/>
    <w:rsid w:val="004C139D"/>
    <w:rsid w:val="004C3150"/>
    <w:rsid w:val="004C3641"/>
    <w:rsid w:val="004C4390"/>
    <w:rsid w:val="004C4AF7"/>
    <w:rsid w:val="004D2881"/>
    <w:rsid w:val="004D385F"/>
    <w:rsid w:val="004D5B39"/>
    <w:rsid w:val="004E5147"/>
    <w:rsid w:val="00506C03"/>
    <w:rsid w:val="0052572A"/>
    <w:rsid w:val="00543CB3"/>
    <w:rsid w:val="005614BD"/>
    <w:rsid w:val="0057154F"/>
    <w:rsid w:val="00581CA3"/>
    <w:rsid w:val="00587A44"/>
    <w:rsid w:val="005959FB"/>
    <w:rsid w:val="00597730"/>
    <w:rsid w:val="00597DE7"/>
    <w:rsid w:val="005A4AA2"/>
    <w:rsid w:val="005B124D"/>
    <w:rsid w:val="005B34B6"/>
    <w:rsid w:val="005B6C8F"/>
    <w:rsid w:val="005D0F74"/>
    <w:rsid w:val="005D2E7D"/>
    <w:rsid w:val="005D4A8F"/>
    <w:rsid w:val="005D561B"/>
    <w:rsid w:val="005F468D"/>
    <w:rsid w:val="005F69A3"/>
    <w:rsid w:val="00615423"/>
    <w:rsid w:val="006165B2"/>
    <w:rsid w:val="00617276"/>
    <w:rsid w:val="00625D97"/>
    <w:rsid w:val="00625F1C"/>
    <w:rsid w:val="00630CEB"/>
    <w:rsid w:val="00632264"/>
    <w:rsid w:val="00644742"/>
    <w:rsid w:val="006470BC"/>
    <w:rsid w:val="0064793D"/>
    <w:rsid w:val="00667036"/>
    <w:rsid w:val="00673BDB"/>
    <w:rsid w:val="006771B8"/>
    <w:rsid w:val="0068481F"/>
    <w:rsid w:val="00696F5D"/>
    <w:rsid w:val="00697249"/>
    <w:rsid w:val="006B3947"/>
    <w:rsid w:val="006B4293"/>
    <w:rsid w:val="006C31E3"/>
    <w:rsid w:val="00705B04"/>
    <w:rsid w:val="00734820"/>
    <w:rsid w:val="007349DC"/>
    <w:rsid w:val="0074365E"/>
    <w:rsid w:val="007515FD"/>
    <w:rsid w:val="00754206"/>
    <w:rsid w:val="00760D80"/>
    <w:rsid w:val="00780C09"/>
    <w:rsid w:val="00780DDF"/>
    <w:rsid w:val="007834E9"/>
    <w:rsid w:val="00787DBC"/>
    <w:rsid w:val="007A04A1"/>
    <w:rsid w:val="007A1840"/>
    <w:rsid w:val="007C0528"/>
    <w:rsid w:val="007C3D38"/>
    <w:rsid w:val="007D0F35"/>
    <w:rsid w:val="007D4E1D"/>
    <w:rsid w:val="007D4FEB"/>
    <w:rsid w:val="007D6146"/>
    <w:rsid w:val="007E0CE7"/>
    <w:rsid w:val="007F417F"/>
    <w:rsid w:val="00816624"/>
    <w:rsid w:val="00822427"/>
    <w:rsid w:val="00822562"/>
    <w:rsid w:val="00823663"/>
    <w:rsid w:val="00832DDC"/>
    <w:rsid w:val="00850BAC"/>
    <w:rsid w:val="00854A3E"/>
    <w:rsid w:val="00855D08"/>
    <w:rsid w:val="00874344"/>
    <w:rsid w:val="00882155"/>
    <w:rsid w:val="0088233B"/>
    <w:rsid w:val="0088599E"/>
    <w:rsid w:val="00886C37"/>
    <w:rsid w:val="008B62AE"/>
    <w:rsid w:val="008C04B5"/>
    <w:rsid w:val="008C14FA"/>
    <w:rsid w:val="008D4057"/>
    <w:rsid w:val="008F2262"/>
    <w:rsid w:val="008F7402"/>
    <w:rsid w:val="008F7736"/>
    <w:rsid w:val="0090019E"/>
    <w:rsid w:val="00901086"/>
    <w:rsid w:val="00901C8A"/>
    <w:rsid w:val="00905886"/>
    <w:rsid w:val="009070D6"/>
    <w:rsid w:val="009076C6"/>
    <w:rsid w:val="0091019E"/>
    <w:rsid w:val="009106F1"/>
    <w:rsid w:val="00912390"/>
    <w:rsid w:val="009145D6"/>
    <w:rsid w:val="00920E64"/>
    <w:rsid w:val="00922002"/>
    <w:rsid w:val="00924020"/>
    <w:rsid w:val="009271A7"/>
    <w:rsid w:val="0093658B"/>
    <w:rsid w:val="009429FF"/>
    <w:rsid w:val="00945BD6"/>
    <w:rsid w:val="009479FB"/>
    <w:rsid w:val="00951C45"/>
    <w:rsid w:val="0095561D"/>
    <w:rsid w:val="009656F2"/>
    <w:rsid w:val="00966A08"/>
    <w:rsid w:val="00971207"/>
    <w:rsid w:val="00975CB4"/>
    <w:rsid w:val="009863B0"/>
    <w:rsid w:val="00987DE1"/>
    <w:rsid w:val="00990571"/>
    <w:rsid w:val="0099673A"/>
    <w:rsid w:val="009A3330"/>
    <w:rsid w:val="009A5110"/>
    <w:rsid w:val="009A7C96"/>
    <w:rsid w:val="009B2889"/>
    <w:rsid w:val="009C3DB9"/>
    <w:rsid w:val="009D46E5"/>
    <w:rsid w:val="009D568A"/>
    <w:rsid w:val="009E53F7"/>
    <w:rsid w:val="009F04EC"/>
    <w:rsid w:val="009F3B36"/>
    <w:rsid w:val="00A019B9"/>
    <w:rsid w:val="00A12508"/>
    <w:rsid w:val="00A1282B"/>
    <w:rsid w:val="00A13A27"/>
    <w:rsid w:val="00A175B6"/>
    <w:rsid w:val="00A21835"/>
    <w:rsid w:val="00A328EC"/>
    <w:rsid w:val="00A33A51"/>
    <w:rsid w:val="00A41CA6"/>
    <w:rsid w:val="00A47927"/>
    <w:rsid w:val="00A47FFC"/>
    <w:rsid w:val="00A5442F"/>
    <w:rsid w:val="00A54FF9"/>
    <w:rsid w:val="00A56765"/>
    <w:rsid w:val="00A675AC"/>
    <w:rsid w:val="00A7581F"/>
    <w:rsid w:val="00A77D96"/>
    <w:rsid w:val="00A92FB1"/>
    <w:rsid w:val="00A95A0C"/>
    <w:rsid w:val="00AA2765"/>
    <w:rsid w:val="00AA77B5"/>
    <w:rsid w:val="00AB6C5D"/>
    <w:rsid w:val="00AC51A7"/>
    <w:rsid w:val="00AF5F89"/>
    <w:rsid w:val="00AF73CB"/>
    <w:rsid w:val="00B002D6"/>
    <w:rsid w:val="00B05B51"/>
    <w:rsid w:val="00B140D0"/>
    <w:rsid w:val="00B15370"/>
    <w:rsid w:val="00B17BEB"/>
    <w:rsid w:val="00B21A3C"/>
    <w:rsid w:val="00B223C0"/>
    <w:rsid w:val="00B234ED"/>
    <w:rsid w:val="00B25CA3"/>
    <w:rsid w:val="00B34425"/>
    <w:rsid w:val="00B57A6A"/>
    <w:rsid w:val="00B760F1"/>
    <w:rsid w:val="00B7669E"/>
    <w:rsid w:val="00B77DA1"/>
    <w:rsid w:val="00BA0D55"/>
    <w:rsid w:val="00BA37B3"/>
    <w:rsid w:val="00BA4CC6"/>
    <w:rsid w:val="00BB2264"/>
    <w:rsid w:val="00BB3493"/>
    <w:rsid w:val="00BB7468"/>
    <w:rsid w:val="00BC188A"/>
    <w:rsid w:val="00BF5010"/>
    <w:rsid w:val="00C13791"/>
    <w:rsid w:val="00C31BB3"/>
    <w:rsid w:val="00C36977"/>
    <w:rsid w:val="00C477D9"/>
    <w:rsid w:val="00C60BA3"/>
    <w:rsid w:val="00C623F7"/>
    <w:rsid w:val="00C81773"/>
    <w:rsid w:val="00C86896"/>
    <w:rsid w:val="00C907A8"/>
    <w:rsid w:val="00C93211"/>
    <w:rsid w:val="00C942EC"/>
    <w:rsid w:val="00C96047"/>
    <w:rsid w:val="00C979D0"/>
    <w:rsid w:val="00CA0818"/>
    <w:rsid w:val="00CA2C8F"/>
    <w:rsid w:val="00CA30DA"/>
    <w:rsid w:val="00CA3A24"/>
    <w:rsid w:val="00CA6BE9"/>
    <w:rsid w:val="00CB1777"/>
    <w:rsid w:val="00CB33E9"/>
    <w:rsid w:val="00CB4C06"/>
    <w:rsid w:val="00CC10A9"/>
    <w:rsid w:val="00CE2BF8"/>
    <w:rsid w:val="00CE484E"/>
    <w:rsid w:val="00CF0DA8"/>
    <w:rsid w:val="00CF2E25"/>
    <w:rsid w:val="00CF4453"/>
    <w:rsid w:val="00D034D7"/>
    <w:rsid w:val="00D048C5"/>
    <w:rsid w:val="00D04BE4"/>
    <w:rsid w:val="00D14127"/>
    <w:rsid w:val="00D60F02"/>
    <w:rsid w:val="00D66E49"/>
    <w:rsid w:val="00D72F74"/>
    <w:rsid w:val="00D770DE"/>
    <w:rsid w:val="00D81563"/>
    <w:rsid w:val="00D9073E"/>
    <w:rsid w:val="00D9221D"/>
    <w:rsid w:val="00D958DF"/>
    <w:rsid w:val="00D96DA1"/>
    <w:rsid w:val="00DA51E7"/>
    <w:rsid w:val="00DB1C78"/>
    <w:rsid w:val="00DB7D96"/>
    <w:rsid w:val="00DC23FE"/>
    <w:rsid w:val="00DC59E6"/>
    <w:rsid w:val="00DD150B"/>
    <w:rsid w:val="00DD5025"/>
    <w:rsid w:val="00E06484"/>
    <w:rsid w:val="00E14DEA"/>
    <w:rsid w:val="00E20A7D"/>
    <w:rsid w:val="00E275D8"/>
    <w:rsid w:val="00E375CA"/>
    <w:rsid w:val="00E567E8"/>
    <w:rsid w:val="00E64679"/>
    <w:rsid w:val="00E65EBC"/>
    <w:rsid w:val="00E73432"/>
    <w:rsid w:val="00E77B0C"/>
    <w:rsid w:val="00E77FB8"/>
    <w:rsid w:val="00E838B0"/>
    <w:rsid w:val="00E86A7C"/>
    <w:rsid w:val="00E878E1"/>
    <w:rsid w:val="00E95278"/>
    <w:rsid w:val="00EA2273"/>
    <w:rsid w:val="00EB2DB3"/>
    <w:rsid w:val="00EC3FBB"/>
    <w:rsid w:val="00EC6B7A"/>
    <w:rsid w:val="00ED3A87"/>
    <w:rsid w:val="00ED5B67"/>
    <w:rsid w:val="00ED5CA7"/>
    <w:rsid w:val="00EF264C"/>
    <w:rsid w:val="00EF3FEE"/>
    <w:rsid w:val="00F00124"/>
    <w:rsid w:val="00F04B59"/>
    <w:rsid w:val="00F109D0"/>
    <w:rsid w:val="00F114C0"/>
    <w:rsid w:val="00F11741"/>
    <w:rsid w:val="00F12B1C"/>
    <w:rsid w:val="00F13CF8"/>
    <w:rsid w:val="00F15855"/>
    <w:rsid w:val="00F32978"/>
    <w:rsid w:val="00F3536A"/>
    <w:rsid w:val="00F45CB2"/>
    <w:rsid w:val="00F46CC7"/>
    <w:rsid w:val="00F544C0"/>
    <w:rsid w:val="00F55332"/>
    <w:rsid w:val="00F65519"/>
    <w:rsid w:val="00F713C0"/>
    <w:rsid w:val="00F75DDC"/>
    <w:rsid w:val="00F853E1"/>
    <w:rsid w:val="00FA17AC"/>
    <w:rsid w:val="00FA32DE"/>
    <w:rsid w:val="00FA3382"/>
    <w:rsid w:val="00FA59CD"/>
    <w:rsid w:val="00FB1740"/>
    <w:rsid w:val="00FC2A17"/>
    <w:rsid w:val="00FC6D7D"/>
    <w:rsid w:val="00FD0AAC"/>
    <w:rsid w:val="00FD16B0"/>
    <w:rsid w:val="00FD4FED"/>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link w:val="FootnoteText"/>
    <w:rsid w:val="009E53F7"/>
  </w:style>
  <w:style w:type="character" w:styleId="FootnoteReference">
    <w:name w:val="footnote reference"/>
    <w:unhideWhenUsed/>
    <w:rsid w:val="009E53F7"/>
    <w:rPr>
      <w:vertAlign w:val="superscript"/>
    </w:rPr>
  </w:style>
  <w:style w:type="character" w:styleId="EndnoteReference">
    <w:name w:val="endnote reference"/>
    <w:basedOn w:val="DefaultParagraphFont"/>
    <w:rsid w:val="00164C4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link w:val="FootnoteText"/>
    <w:rsid w:val="009E53F7"/>
  </w:style>
  <w:style w:type="character" w:styleId="FootnoteReference">
    <w:name w:val="footnote reference"/>
    <w:unhideWhenUsed/>
    <w:rsid w:val="009E53F7"/>
    <w:rPr>
      <w:vertAlign w:val="superscript"/>
    </w:rPr>
  </w:style>
  <w:style w:type="character" w:styleId="EndnoteReference">
    <w:name w:val="endnote reference"/>
    <w:basedOn w:val="DefaultParagraphFont"/>
    <w:rsid w:val="00164C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8C321-490B-4016-8CF9-CA94FEF33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10</Pages>
  <Words>2186</Words>
  <Characters>12976</Characters>
  <Application>Microsoft Office Word</Application>
  <DocSecurity>0</DocSecurity>
  <Lines>282</Lines>
  <Paragraphs>140</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15022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Matthew Vogel</dc:creator>
  <cp:lastModifiedBy>Lisa Ray</cp:lastModifiedBy>
  <cp:revision>2</cp:revision>
  <cp:lastPrinted>2016-01-21T14:55:00Z</cp:lastPrinted>
  <dcterms:created xsi:type="dcterms:W3CDTF">2016-01-21T16:34:00Z</dcterms:created>
  <dcterms:modified xsi:type="dcterms:W3CDTF">2016-01-21T16:34:00Z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
  </property>
  <property fmtid="{D5CDD505-2E9C-101B-9397-08002B2CF9AE}" pid="3" name="MasterDocument">
    <vt:bool>false</vt:bool>
  </property>
</Properties>
</file>