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DA5" w:rsidRPr="00FC3DA5" w:rsidRDefault="00FC3DA5" w:rsidP="00FC3DA5">
      <w:pPr>
        <w:spacing w:after="0" w:line="240" w:lineRule="auto"/>
        <w:jc w:val="center"/>
        <w:rPr>
          <w:rFonts w:ascii="Times New Roman" w:eastAsia="Times New Roman" w:hAnsi="Times New Roman" w:cs="Times New Roman"/>
        </w:rPr>
      </w:pPr>
      <w:r w:rsidRPr="00FC3DA5">
        <w:rPr>
          <w:rFonts w:ascii="Times New Roman" w:eastAsia="Times New Roman" w:hAnsi="Times New Roman" w:cs="Times New Roman"/>
        </w:rPr>
        <w:t>Notice of Proposed Rule</w:t>
      </w:r>
    </w:p>
    <w:p w:rsidR="00FC3DA5" w:rsidRPr="00FC3DA5" w:rsidRDefault="00FC3DA5" w:rsidP="00FC3DA5">
      <w:pPr>
        <w:spacing w:after="0" w:line="240" w:lineRule="auto"/>
        <w:rPr>
          <w:rFonts w:ascii="Times New Roman" w:eastAsia="Times New Roman" w:hAnsi="Times New Roman" w:cs="Times New Roman"/>
          <w:sz w:val="24"/>
          <w:szCs w:val="24"/>
        </w:rPr>
      </w:pPr>
    </w:p>
    <w:p w:rsidR="00FC3DA5" w:rsidRPr="00FC3DA5" w:rsidRDefault="00FC3DA5" w:rsidP="00FC3DA5">
      <w:pPr>
        <w:spacing w:after="0" w:line="240" w:lineRule="auto"/>
        <w:rPr>
          <w:rFonts w:ascii="Times New Roman" w:eastAsia="Times New Roman" w:hAnsi="Times New Roman" w:cs="Times New Roman"/>
          <w:b/>
          <w:bCs/>
          <w:sz w:val="20"/>
          <w:szCs w:val="20"/>
        </w:rPr>
      </w:pPr>
      <w:hyperlink r:id="rId5" w:tgtFrame="department" w:history="1">
        <w:r w:rsidRPr="00FC3DA5">
          <w:rPr>
            <w:rFonts w:ascii="Times New Roman" w:eastAsia="Times New Roman" w:hAnsi="Times New Roman" w:cs="Times New Roman"/>
            <w:b/>
            <w:bCs/>
            <w:color w:val="0000FF"/>
            <w:sz w:val="20"/>
            <w:szCs w:val="20"/>
            <w:u w:val="single"/>
          </w:rPr>
          <w:t>PUBLIC SERVICE COMMISSION</w:t>
        </w:r>
      </w:hyperlink>
    </w:p>
    <w:p w:rsidR="00FC3DA5" w:rsidRPr="00FC3DA5" w:rsidRDefault="00FC3DA5" w:rsidP="00FC3DA5">
      <w:pPr>
        <w:spacing w:after="240" w:line="312"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 xml:space="preserve">RULE NO.: RULE TITLE: </w:t>
      </w:r>
      <w:r w:rsidRPr="00FC3DA5">
        <w:rPr>
          <w:rFonts w:ascii="Times New Roman" w:eastAsia="Times New Roman" w:hAnsi="Times New Roman" w:cs="Times New Roman"/>
          <w:sz w:val="20"/>
          <w:szCs w:val="20"/>
        </w:rPr>
        <w:br/>
      </w:r>
      <w:hyperlink r:id="rId6" w:tgtFrame="ruleNo" w:history="1">
        <w:r w:rsidRPr="00FC3DA5">
          <w:rPr>
            <w:rFonts w:ascii="Times New Roman" w:eastAsia="Times New Roman" w:hAnsi="Times New Roman" w:cs="Times New Roman"/>
            <w:color w:val="0000FF"/>
            <w:sz w:val="20"/>
            <w:szCs w:val="20"/>
            <w:u w:val="single"/>
          </w:rPr>
          <w:t>25-7.045</w:t>
        </w:r>
      </w:hyperlink>
      <w:r w:rsidRPr="00FC3DA5">
        <w:rPr>
          <w:rFonts w:ascii="Times New Roman" w:eastAsia="Times New Roman" w:hAnsi="Times New Roman" w:cs="Times New Roman"/>
          <w:sz w:val="20"/>
          <w:szCs w:val="20"/>
        </w:rPr>
        <w:t>: Depreciation</w:t>
      </w:r>
      <w:r w:rsidRPr="00FC3DA5">
        <w:rPr>
          <w:rFonts w:ascii="Times New Roman" w:eastAsia="Times New Roman" w:hAnsi="Times New Roman" w:cs="Times New Roman"/>
          <w:sz w:val="20"/>
          <w:szCs w:val="20"/>
        </w:rPr>
        <w:br/>
      </w:r>
      <w:hyperlink r:id="rId7" w:tgtFrame="ruleNo" w:history="1">
        <w:r w:rsidRPr="00FC3DA5">
          <w:rPr>
            <w:rFonts w:ascii="Times New Roman" w:eastAsia="Times New Roman" w:hAnsi="Times New Roman" w:cs="Times New Roman"/>
            <w:color w:val="0000FF"/>
            <w:sz w:val="20"/>
            <w:szCs w:val="20"/>
            <w:u w:val="single"/>
          </w:rPr>
          <w:t>25-7.046</w:t>
        </w:r>
      </w:hyperlink>
      <w:r w:rsidRPr="00FC3DA5">
        <w:rPr>
          <w:rFonts w:ascii="Times New Roman" w:eastAsia="Times New Roman" w:hAnsi="Times New Roman" w:cs="Times New Roman"/>
          <w:sz w:val="20"/>
          <w:szCs w:val="20"/>
        </w:rPr>
        <w:t>: Subcategories of Gas Plant for Depreciation</w:t>
      </w:r>
      <w:r w:rsidRPr="00FC3DA5">
        <w:rPr>
          <w:rFonts w:ascii="Times New Roman" w:eastAsia="Times New Roman" w:hAnsi="Times New Roman" w:cs="Times New Roman"/>
          <w:sz w:val="20"/>
          <w:szCs w:val="20"/>
        </w:rPr>
        <w:br/>
        <w:t xml:space="preserve">PURPOSE AND EFFECT: To update, clarify and streamline depreciation rules for investor-owned gas utilities. </w:t>
      </w:r>
      <w:r w:rsidRPr="00FC3DA5">
        <w:rPr>
          <w:rFonts w:ascii="Times New Roman" w:eastAsia="Times New Roman" w:hAnsi="Times New Roman" w:cs="Times New Roman"/>
          <w:sz w:val="20"/>
          <w:szCs w:val="20"/>
        </w:rPr>
        <w:br/>
        <w:t>Docket No. 150200-PU.</w:t>
      </w:r>
      <w:r w:rsidRPr="00FC3DA5">
        <w:rPr>
          <w:rFonts w:ascii="Times New Roman" w:eastAsia="Times New Roman" w:hAnsi="Times New Roman" w:cs="Times New Roman"/>
          <w:sz w:val="20"/>
          <w:szCs w:val="20"/>
        </w:rPr>
        <w:br/>
        <w:t>SUMMARY: The rule amendments modify and define the rules which prescribe accounting principles and procedures for the calculation of depreciation by gas utilities. Rule 25-7.045 is amended to eliminate the requirement for multiple copies of depreciation studies, provide a specific reference to the Uniform System of Accounts, and codify the Commission’s authority to require a depreciation study at a time set by the Commission. Rule 25-7.046 is amended to specifically reference the Uniform System of Accounts as the standard for depreciation accounts and new depreciation subaccounts.</w:t>
      </w:r>
      <w:r w:rsidRPr="00FC3DA5">
        <w:rPr>
          <w:rFonts w:ascii="Times New Roman" w:eastAsia="Times New Roman" w:hAnsi="Times New Roman" w:cs="Times New Roman"/>
          <w:sz w:val="20"/>
          <w:szCs w:val="20"/>
        </w:rPr>
        <w:br/>
        <w:t xml:space="preserve">SUMMARY OF STATEMENT OF ESTIMATED REGULATORY COSTS AND LEGISLATIVE RATIFICATION: </w:t>
      </w:r>
      <w:r w:rsidRPr="00FC3DA5">
        <w:rPr>
          <w:rFonts w:ascii="Times New Roman" w:eastAsia="Times New Roman" w:hAnsi="Times New Roman" w:cs="Times New Roman"/>
          <w:sz w:val="20"/>
          <w:szCs w:val="20"/>
        </w:rPr>
        <w:b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r w:rsidRPr="00FC3DA5">
        <w:rPr>
          <w:rFonts w:ascii="Times New Roman" w:eastAsia="Times New Roman" w:hAnsi="Times New Roman" w:cs="Times New Roman"/>
          <w:sz w:val="20"/>
          <w:szCs w:val="20"/>
        </w:rPr>
        <w:br/>
        <w:t>The rules are also not likely to have an adverse impact on economic growth, private sector job creation or employment, private sector investment, business competitiveness, productivity, or innovation in excess of $1 million in the aggregate within 5 years after implementation of the rule. The SERC examined the factors required by Section 120.541(2), FS, and concluded that the rule amendments will not have an adverse impact on economic growth, business competitiveness, or small business and that there would likely be transactional cost savings to the individual and entities required to comply with the rules. The amendments to these rules should benefit affected entities by codifying current practices. Affected entities also potentially may benefit from the removal of the requirement for paper copies.</w:t>
      </w:r>
      <w:r w:rsidRPr="00FC3DA5">
        <w:rPr>
          <w:rFonts w:ascii="Times New Roman" w:eastAsia="Times New Roman" w:hAnsi="Times New Roman" w:cs="Times New Roman"/>
          <w:sz w:val="20"/>
          <w:szCs w:val="20"/>
        </w:rPr>
        <w:br/>
        <w:t>The Agency has determined that the proposed rule is not expected to require legislative ratification based on the statement of estimated regulatory costs or if no SERC is required, the information expressly relied upon and described herein: based upon the information in the SERC.</w:t>
      </w:r>
      <w:r w:rsidRPr="00FC3DA5">
        <w:rPr>
          <w:rFonts w:ascii="Times New Roman" w:eastAsia="Times New Roman" w:hAnsi="Times New Roman" w:cs="Times New Roman"/>
          <w:sz w:val="20"/>
          <w:szCs w:val="20"/>
        </w:rPr>
        <w:br/>
        <w:t>Any person who wishes to provide information regarding a statement of estimated regulatory costs, or provide a proposal for a lower cost regulatory alternative must do so in writing within 21 days of this notice.</w:t>
      </w:r>
      <w:r w:rsidRPr="00FC3DA5">
        <w:rPr>
          <w:rFonts w:ascii="Times New Roman" w:eastAsia="Times New Roman" w:hAnsi="Times New Roman" w:cs="Times New Roman"/>
          <w:sz w:val="20"/>
          <w:szCs w:val="20"/>
        </w:rPr>
        <w:br/>
        <w:t xml:space="preserve">RULEMAKING AUTHORITY: </w:t>
      </w:r>
      <w:hyperlink r:id="rId8" w:tgtFrame="statute" w:history="1">
        <w:r w:rsidRPr="00FC3DA5">
          <w:rPr>
            <w:rFonts w:ascii="Times New Roman" w:eastAsia="Times New Roman" w:hAnsi="Times New Roman" w:cs="Times New Roman"/>
            <w:color w:val="0000FF"/>
            <w:sz w:val="20"/>
            <w:szCs w:val="20"/>
            <w:u w:val="single"/>
          </w:rPr>
          <w:t>350.115</w:t>
        </w:r>
      </w:hyperlink>
      <w:r w:rsidRPr="00FC3DA5">
        <w:rPr>
          <w:rFonts w:ascii="Times New Roman" w:eastAsia="Times New Roman" w:hAnsi="Times New Roman" w:cs="Times New Roman"/>
          <w:sz w:val="20"/>
          <w:szCs w:val="20"/>
        </w:rPr>
        <w:t xml:space="preserve">, </w:t>
      </w:r>
      <w:hyperlink r:id="rId9" w:tgtFrame="statute" w:history="1">
        <w:r w:rsidRPr="00FC3DA5">
          <w:rPr>
            <w:rFonts w:ascii="Times New Roman" w:eastAsia="Times New Roman" w:hAnsi="Times New Roman" w:cs="Times New Roman"/>
            <w:color w:val="0000FF"/>
            <w:sz w:val="20"/>
            <w:szCs w:val="20"/>
            <w:u w:val="single"/>
          </w:rPr>
          <w:t>350.127(2)</w:t>
        </w:r>
      </w:hyperlink>
      <w:r w:rsidRPr="00FC3DA5">
        <w:rPr>
          <w:rFonts w:ascii="Times New Roman" w:eastAsia="Times New Roman" w:hAnsi="Times New Roman" w:cs="Times New Roman"/>
          <w:sz w:val="20"/>
          <w:szCs w:val="20"/>
        </w:rPr>
        <w:t xml:space="preserve">, </w:t>
      </w:r>
      <w:hyperlink r:id="rId10" w:tgtFrame="statute" w:history="1">
        <w:r w:rsidRPr="00FC3DA5">
          <w:rPr>
            <w:rFonts w:ascii="Times New Roman" w:eastAsia="Times New Roman" w:hAnsi="Times New Roman" w:cs="Times New Roman"/>
            <w:color w:val="0000FF"/>
            <w:sz w:val="20"/>
            <w:szCs w:val="20"/>
            <w:u w:val="single"/>
          </w:rPr>
          <w:t>366.05(1)</w:t>
        </w:r>
      </w:hyperlink>
      <w:r w:rsidRPr="00FC3DA5">
        <w:rPr>
          <w:rFonts w:ascii="Times New Roman" w:eastAsia="Times New Roman" w:hAnsi="Times New Roman" w:cs="Times New Roman"/>
          <w:sz w:val="20"/>
          <w:szCs w:val="20"/>
        </w:rPr>
        <w:t>, F.S.</w:t>
      </w:r>
      <w:r w:rsidRPr="00FC3DA5">
        <w:rPr>
          <w:rFonts w:ascii="Times New Roman" w:eastAsia="Times New Roman" w:hAnsi="Times New Roman" w:cs="Times New Roman"/>
          <w:sz w:val="20"/>
          <w:szCs w:val="20"/>
        </w:rPr>
        <w:br/>
        <w:t xml:space="preserve">LAW IMPLEMENTED: </w:t>
      </w:r>
      <w:hyperlink r:id="rId11" w:tgtFrame="statute" w:history="1">
        <w:r w:rsidRPr="00FC3DA5">
          <w:rPr>
            <w:rFonts w:ascii="Times New Roman" w:eastAsia="Times New Roman" w:hAnsi="Times New Roman" w:cs="Times New Roman"/>
            <w:color w:val="0000FF"/>
            <w:sz w:val="20"/>
            <w:szCs w:val="20"/>
            <w:u w:val="single"/>
          </w:rPr>
          <w:t>350.115</w:t>
        </w:r>
      </w:hyperlink>
      <w:r w:rsidRPr="00FC3DA5">
        <w:rPr>
          <w:rFonts w:ascii="Times New Roman" w:eastAsia="Times New Roman" w:hAnsi="Times New Roman" w:cs="Times New Roman"/>
          <w:sz w:val="20"/>
          <w:szCs w:val="20"/>
        </w:rPr>
        <w:t xml:space="preserve">, </w:t>
      </w:r>
      <w:hyperlink r:id="rId12" w:tgtFrame="statute" w:history="1">
        <w:r w:rsidRPr="00FC3DA5">
          <w:rPr>
            <w:rFonts w:ascii="Times New Roman" w:eastAsia="Times New Roman" w:hAnsi="Times New Roman" w:cs="Times New Roman"/>
            <w:color w:val="0000FF"/>
            <w:sz w:val="20"/>
            <w:szCs w:val="20"/>
            <w:u w:val="single"/>
          </w:rPr>
          <w:t>366.04(2)(f)</w:t>
        </w:r>
      </w:hyperlink>
      <w:r w:rsidRPr="00FC3DA5">
        <w:rPr>
          <w:rFonts w:ascii="Times New Roman" w:eastAsia="Times New Roman" w:hAnsi="Times New Roman" w:cs="Times New Roman"/>
          <w:sz w:val="20"/>
          <w:szCs w:val="20"/>
        </w:rPr>
        <w:t xml:space="preserve">, </w:t>
      </w:r>
      <w:hyperlink r:id="rId13" w:tgtFrame="statute" w:history="1">
        <w:r w:rsidRPr="00FC3DA5">
          <w:rPr>
            <w:rFonts w:ascii="Times New Roman" w:eastAsia="Times New Roman" w:hAnsi="Times New Roman" w:cs="Times New Roman"/>
            <w:color w:val="0000FF"/>
            <w:sz w:val="20"/>
            <w:szCs w:val="20"/>
            <w:u w:val="single"/>
          </w:rPr>
          <w:t>366.05(1)</w:t>
        </w:r>
      </w:hyperlink>
      <w:r w:rsidRPr="00FC3DA5">
        <w:rPr>
          <w:rFonts w:ascii="Times New Roman" w:eastAsia="Times New Roman" w:hAnsi="Times New Roman" w:cs="Times New Roman"/>
          <w:sz w:val="20"/>
          <w:szCs w:val="20"/>
        </w:rPr>
        <w:t xml:space="preserve">, </w:t>
      </w:r>
      <w:hyperlink r:id="rId14" w:tgtFrame="statute" w:history="1">
        <w:r w:rsidRPr="00FC3DA5">
          <w:rPr>
            <w:rFonts w:ascii="Times New Roman" w:eastAsia="Times New Roman" w:hAnsi="Times New Roman" w:cs="Times New Roman"/>
            <w:color w:val="0000FF"/>
            <w:sz w:val="20"/>
            <w:szCs w:val="20"/>
            <w:u w:val="single"/>
          </w:rPr>
          <w:t>366.06</w:t>
        </w:r>
      </w:hyperlink>
      <w:r w:rsidRPr="00FC3DA5">
        <w:rPr>
          <w:rFonts w:ascii="Times New Roman" w:eastAsia="Times New Roman" w:hAnsi="Times New Roman" w:cs="Times New Roman"/>
          <w:sz w:val="20"/>
          <w:szCs w:val="20"/>
        </w:rPr>
        <w:t xml:space="preserve">, </w:t>
      </w:r>
      <w:hyperlink r:id="rId15" w:tgtFrame="statute" w:history="1">
        <w:r w:rsidRPr="00FC3DA5">
          <w:rPr>
            <w:rFonts w:ascii="Times New Roman" w:eastAsia="Times New Roman" w:hAnsi="Times New Roman" w:cs="Times New Roman"/>
            <w:color w:val="0000FF"/>
            <w:sz w:val="20"/>
            <w:szCs w:val="20"/>
            <w:u w:val="single"/>
          </w:rPr>
          <w:t>366.06(1)</w:t>
        </w:r>
      </w:hyperlink>
      <w:r w:rsidRPr="00FC3DA5">
        <w:rPr>
          <w:rFonts w:ascii="Times New Roman" w:eastAsia="Times New Roman" w:hAnsi="Times New Roman" w:cs="Times New Roman"/>
          <w:sz w:val="20"/>
          <w:szCs w:val="20"/>
        </w:rPr>
        <w:t>, F.S.</w:t>
      </w:r>
      <w:r w:rsidRPr="00FC3DA5">
        <w:rPr>
          <w:rFonts w:ascii="Times New Roman" w:eastAsia="Times New Roman" w:hAnsi="Times New Roman" w:cs="Times New Roman"/>
          <w:sz w:val="20"/>
          <w:szCs w:val="20"/>
        </w:rPr>
        <w:br/>
        <w:t>IF REQUESTED WITHIN 21 DAYS OF THE DATE OF THIS NOTICE, A HEARING WILL BE SCHEDULED AND ANNOUNCED IN THE FAR.</w:t>
      </w:r>
      <w:r w:rsidRPr="00FC3DA5">
        <w:rPr>
          <w:rFonts w:ascii="Times New Roman" w:eastAsia="Times New Roman" w:hAnsi="Times New Roman" w:cs="Times New Roman"/>
          <w:sz w:val="20"/>
          <w:szCs w:val="20"/>
        </w:rPr>
        <w:br/>
        <w:t>THE PERSON TO BE CONTACTED REGARDING THE PROPOSED RULE IS: Pamela H. Page, Office of General Counsel, 2540 Shumard Oak Blvd., Tallahassee, FL 32399-0850, (850) 413-6214, phpage@psc.state.fl.us.</w:t>
      </w:r>
      <w:r w:rsidRPr="00FC3DA5">
        <w:rPr>
          <w:rFonts w:ascii="Times New Roman" w:eastAsia="Times New Roman" w:hAnsi="Times New Roman" w:cs="Times New Roman"/>
          <w:sz w:val="20"/>
          <w:szCs w:val="20"/>
        </w:rPr>
        <w:br/>
      </w:r>
      <w:r w:rsidRPr="00FC3DA5">
        <w:rPr>
          <w:rFonts w:ascii="Times New Roman" w:eastAsia="Times New Roman" w:hAnsi="Times New Roman" w:cs="Times New Roman"/>
          <w:sz w:val="20"/>
          <w:szCs w:val="20"/>
        </w:rPr>
        <w:br/>
        <w:t xml:space="preserve">THE FULL TEXT OF THE PROPOSED RULE IS: </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hyperlink r:id="rId16" w:tgtFrame="ruleNo" w:history="1">
        <w:r w:rsidRPr="00FC3DA5">
          <w:rPr>
            <w:rFonts w:ascii="Times New Roman" w:eastAsia="Times New Roman" w:hAnsi="Times New Roman" w:cs="Times New Roman"/>
            <w:b/>
            <w:color w:val="0000FF"/>
            <w:sz w:val="20"/>
            <w:szCs w:val="20"/>
            <w:u w:val="single"/>
          </w:rPr>
          <w:t>25-7.045</w:t>
        </w:r>
      </w:hyperlink>
      <w:r w:rsidRPr="00FC3DA5">
        <w:rPr>
          <w:rFonts w:ascii="Times New Roman" w:eastAsia="Times New Roman" w:hAnsi="Times New Roman" w:cs="Times New Roman"/>
          <w:b/>
          <w:sz w:val="20"/>
          <w:szCs w:val="20"/>
        </w:rPr>
        <w:t xml:space="preserve"> Depreciation.</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 xml:space="preserve">(1) For the purpose of this </w:t>
      </w:r>
      <w:r w:rsidRPr="00FC3DA5">
        <w:rPr>
          <w:rFonts w:ascii="Times New Roman" w:eastAsia="Times New Roman" w:hAnsi="Times New Roman" w:cs="Times New Roman"/>
          <w:sz w:val="20"/>
          <w:szCs w:val="20"/>
          <w:u w:val="single"/>
        </w:rPr>
        <w:t>rule</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part</w:t>
      </w:r>
      <w:r w:rsidRPr="00FC3DA5">
        <w:rPr>
          <w:rFonts w:ascii="Times New Roman" w:eastAsia="Times New Roman" w:hAnsi="Times New Roman" w:cs="Times New Roman"/>
          <w:sz w:val="20"/>
          <w:szCs w:val="20"/>
        </w:rPr>
        <w:t>, the following definitions shall apply:</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 xml:space="preserve">(a) Category or Category of Depreciable Plant – A grouping of plant for which a depreciation rate is prescribed. </w:t>
      </w:r>
      <w:r w:rsidRPr="00FC3DA5">
        <w:rPr>
          <w:rFonts w:ascii="Times New Roman" w:eastAsia="Times New Roman" w:hAnsi="Times New Roman" w:cs="Times New Roman"/>
          <w:sz w:val="20"/>
          <w:szCs w:val="20"/>
        </w:rPr>
        <w:lastRenderedPageBreak/>
        <w:t xml:space="preserve">At a minimum it </w:t>
      </w:r>
      <w:r w:rsidRPr="00FC3DA5">
        <w:rPr>
          <w:rFonts w:ascii="Times New Roman" w:eastAsia="Times New Roman" w:hAnsi="Times New Roman" w:cs="Times New Roman"/>
          <w:sz w:val="20"/>
          <w:szCs w:val="20"/>
          <w:u w:val="single"/>
        </w:rPr>
        <w:t>shall</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should</w:t>
      </w:r>
      <w:r w:rsidRPr="00FC3DA5">
        <w:rPr>
          <w:rFonts w:ascii="Times New Roman" w:eastAsia="Times New Roman" w:hAnsi="Times New Roman" w:cs="Times New Roman"/>
          <w:sz w:val="20"/>
          <w:szCs w:val="20"/>
        </w:rPr>
        <w:t xml:space="preserve"> include each plant account prescribed in Rule 25-7.046, F.A.C.</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(b) No change.</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 xml:space="preserve">(c) Mortality Data – Historical data by study category showing plant balances, additions, adjustments and retirements, used in analyses for life indications or for calculations of realized life. </w:t>
      </w:r>
      <w:r w:rsidRPr="00FC3DA5">
        <w:rPr>
          <w:rFonts w:ascii="Times New Roman" w:eastAsia="Times New Roman" w:hAnsi="Times New Roman" w:cs="Times New Roman"/>
          <w:strike/>
          <w:sz w:val="20"/>
          <w:szCs w:val="20"/>
        </w:rPr>
        <w:t>Preferably</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z w:val="20"/>
          <w:szCs w:val="20"/>
          <w:u w:val="single"/>
        </w:rPr>
        <w:t>T</w:t>
      </w:r>
      <w:r w:rsidRPr="00FC3DA5">
        <w:rPr>
          <w:rFonts w:ascii="Times New Roman" w:eastAsia="Times New Roman" w:hAnsi="Times New Roman" w:cs="Times New Roman"/>
          <w:strike/>
          <w:sz w:val="20"/>
          <w:szCs w:val="20"/>
        </w:rPr>
        <w:t>t</w:t>
      </w:r>
      <w:r w:rsidRPr="00FC3DA5">
        <w:rPr>
          <w:rFonts w:ascii="Times New Roman" w:eastAsia="Times New Roman" w:hAnsi="Times New Roman" w:cs="Times New Roman"/>
          <w:sz w:val="20"/>
          <w:szCs w:val="20"/>
        </w:rPr>
        <w:t>his is aged data in accord with the following:</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1. through 4. No change.</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(d) Net Book Value - The book cost of an asset or group of assets minus the accumulated depreciation or amortization reserve associated with those assets.</w:t>
      </w:r>
      <w:r w:rsidRPr="00FC3DA5">
        <w:rPr>
          <w:rFonts w:ascii="Times New Roman" w:eastAsia="Times New Roman" w:hAnsi="Times New Roman" w:cs="Times New Roman"/>
          <w:sz w:val="20"/>
          <w:szCs w:val="20"/>
        </w:rPr>
        <w:t xml:space="preserve"> </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(e)</w:t>
      </w:r>
      <w:r w:rsidRPr="00FC3DA5">
        <w:rPr>
          <w:rFonts w:ascii="Times New Roman" w:eastAsia="Times New Roman" w:hAnsi="Times New Roman" w:cs="Times New Roman"/>
          <w:strike/>
          <w:sz w:val="20"/>
          <w:szCs w:val="20"/>
        </w:rPr>
        <w:t>(d)</w:t>
      </w:r>
      <w:r w:rsidRPr="00FC3DA5">
        <w:rPr>
          <w:rFonts w:ascii="Times New Roman" w:eastAsia="Times New Roman" w:hAnsi="Times New Roman" w:cs="Times New Roman"/>
          <w:sz w:val="20"/>
          <w:szCs w:val="20"/>
        </w:rPr>
        <w:t xml:space="preserve"> Remaining Life </w:t>
      </w:r>
      <w:r w:rsidRPr="00FC3DA5">
        <w:rPr>
          <w:rFonts w:ascii="Times New Roman" w:eastAsia="Times New Roman" w:hAnsi="Times New Roman" w:cs="Times New Roman"/>
          <w:sz w:val="20"/>
          <w:szCs w:val="20"/>
          <w:u w:val="single"/>
        </w:rPr>
        <w:t>Technique</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Method</w:t>
      </w:r>
      <w:r w:rsidRPr="00FC3DA5">
        <w:rPr>
          <w:rFonts w:ascii="Times New Roman" w:eastAsia="Times New Roman" w:hAnsi="Times New Roman" w:cs="Times New Roman"/>
          <w:sz w:val="20"/>
          <w:szCs w:val="20"/>
        </w:rPr>
        <w:t xml:space="preserve"> – The method of calculating a depreciation rate based on the unrecovered plant balance, </w:t>
      </w:r>
      <w:r w:rsidRPr="00FC3DA5">
        <w:rPr>
          <w:rFonts w:ascii="Times New Roman" w:eastAsia="Times New Roman" w:hAnsi="Times New Roman" w:cs="Times New Roman"/>
          <w:sz w:val="20"/>
          <w:szCs w:val="20"/>
          <w:u w:val="single"/>
        </w:rPr>
        <w:t>the</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less</w:t>
      </w:r>
      <w:r w:rsidRPr="00FC3DA5">
        <w:rPr>
          <w:rFonts w:ascii="Times New Roman" w:eastAsia="Times New Roman" w:hAnsi="Times New Roman" w:cs="Times New Roman"/>
          <w:sz w:val="20"/>
          <w:szCs w:val="20"/>
        </w:rPr>
        <w:t xml:space="preserve"> average future net salvage and the average remaining life. The formula </w:t>
      </w:r>
      <w:r w:rsidRPr="00FC3DA5">
        <w:rPr>
          <w:rFonts w:ascii="Times New Roman" w:eastAsia="Times New Roman" w:hAnsi="Times New Roman" w:cs="Times New Roman"/>
          <w:strike/>
          <w:sz w:val="20"/>
          <w:szCs w:val="20"/>
        </w:rPr>
        <w:t>for calculating a Remaining Life Rate</w:t>
      </w:r>
      <w:r w:rsidRPr="00FC3DA5">
        <w:rPr>
          <w:rFonts w:ascii="Times New Roman" w:eastAsia="Times New Roman" w:hAnsi="Times New Roman" w:cs="Times New Roman"/>
          <w:sz w:val="20"/>
          <w:szCs w:val="20"/>
        </w:rPr>
        <w:t xml:space="preserve"> is:</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Remaining Life Rate</w:t>
      </w:r>
      <w:r w:rsidRPr="00FC3DA5">
        <w:rPr>
          <w:rFonts w:ascii="Times New Roman" w:eastAsia="Times New Roman" w:hAnsi="Times New Roman" w:cs="Times New Roman"/>
          <w:sz w:val="20"/>
          <w:szCs w:val="20"/>
        </w:rPr>
        <w:tab/>
        <w:t>=</w:t>
      </w: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100% - Reserve % - Average Future Net Salvage %</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rPr>
        <w:tab/>
        <w:t>Average Remaining Life in Years</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(f) Reserve (Accumulated Depreciation) – The amount of depreciation/amortization expense, salvage, cost of removal, adjustments, transfers, and reclassifications accumulated to date.</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(g)</w:t>
      </w:r>
      <w:r w:rsidRPr="00FC3DA5">
        <w:rPr>
          <w:rFonts w:ascii="Times New Roman" w:eastAsia="Times New Roman" w:hAnsi="Times New Roman" w:cs="Times New Roman"/>
          <w:strike/>
          <w:sz w:val="20"/>
          <w:szCs w:val="20"/>
        </w:rPr>
        <w:t>(e)</w:t>
      </w:r>
      <w:r w:rsidRPr="00FC3DA5">
        <w:rPr>
          <w:rFonts w:ascii="Times New Roman" w:eastAsia="Times New Roman" w:hAnsi="Times New Roman" w:cs="Times New Roman"/>
          <w:sz w:val="20"/>
          <w:szCs w:val="20"/>
        </w:rPr>
        <w:t xml:space="preserve"> Reserve Data – Historical data by study category showing reserve balances, debits and credits, such as booked depreciation expense, salvage and cost of removal, and adjustments to the reserve utilized in monitoring reserve activity and position.</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(h)</w:t>
      </w:r>
      <w:r w:rsidRPr="00FC3DA5">
        <w:rPr>
          <w:rFonts w:ascii="Times New Roman" w:eastAsia="Times New Roman" w:hAnsi="Times New Roman" w:cs="Times New Roman"/>
          <w:strike/>
          <w:sz w:val="20"/>
          <w:szCs w:val="20"/>
        </w:rPr>
        <w:t>(f)</w:t>
      </w:r>
      <w:r w:rsidRPr="00FC3DA5">
        <w:rPr>
          <w:rFonts w:ascii="Times New Roman" w:eastAsia="Times New Roman" w:hAnsi="Times New Roman" w:cs="Times New Roman"/>
          <w:sz w:val="20"/>
          <w:szCs w:val="20"/>
        </w:rPr>
        <w:t xml:space="preserve"> Reserve Deficiency – An inadequacy in the reserve of a category as evidenced by a comparison of that reserve indicated as necessary under current projections of life and salvage with that reserve historically accrued. The latter figure may be available from the utility’s records or may require retrospective calculation.</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(i)</w:t>
      </w:r>
      <w:r w:rsidRPr="00FC3DA5">
        <w:rPr>
          <w:rFonts w:ascii="Times New Roman" w:eastAsia="Times New Roman" w:hAnsi="Times New Roman" w:cs="Times New Roman"/>
          <w:strike/>
          <w:sz w:val="20"/>
          <w:szCs w:val="20"/>
        </w:rPr>
        <w:t>(g)</w:t>
      </w:r>
      <w:r w:rsidRPr="00FC3DA5">
        <w:rPr>
          <w:rFonts w:ascii="Times New Roman" w:eastAsia="Times New Roman" w:hAnsi="Times New Roman" w:cs="Times New Roman"/>
          <w:sz w:val="20"/>
          <w:szCs w:val="20"/>
        </w:rPr>
        <w:t xml:space="preserve"> Reserve Surplus – An excess in the reserve of a category as evidenced by a comparison of that reserve indicated as necessary under current projections of life and salvage with that reserve historically accrued. The latter figure may be available from the utility’s records or may require retrospective calculation.</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(j)</w:t>
      </w:r>
      <w:r w:rsidRPr="00FC3DA5">
        <w:rPr>
          <w:rFonts w:ascii="Times New Roman" w:eastAsia="Times New Roman" w:hAnsi="Times New Roman" w:cs="Times New Roman"/>
          <w:strike/>
          <w:sz w:val="20"/>
          <w:szCs w:val="20"/>
        </w:rPr>
        <w:t>(h)</w:t>
      </w:r>
      <w:r w:rsidRPr="00FC3DA5">
        <w:rPr>
          <w:rFonts w:ascii="Times New Roman" w:eastAsia="Times New Roman" w:hAnsi="Times New Roman" w:cs="Times New Roman"/>
          <w:sz w:val="20"/>
          <w:szCs w:val="20"/>
        </w:rPr>
        <w:t xml:space="preserve"> Salvage Data – Historical data by study category showing bookings of retirements, gross salvage and cost of removal used in analysis of trends in gross salvage and cost of removal or for calculations of realized salvage.</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(k)</w:t>
      </w:r>
      <w:r w:rsidRPr="00FC3DA5">
        <w:rPr>
          <w:rFonts w:ascii="Times New Roman" w:eastAsia="Times New Roman" w:hAnsi="Times New Roman" w:cs="Times New Roman"/>
          <w:strike/>
          <w:sz w:val="20"/>
          <w:szCs w:val="20"/>
        </w:rPr>
        <w:t>(i)</w:t>
      </w:r>
      <w:r w:rsidRPr="00FC3DA5">
        <w:rPr>
          <w:rFonts w:ascii="Times New Roman" w:eastAsia="Times New Roman" w:hAnsi="Times New Roman" w:cs="Times New Roman"/>
          <w:sz w:val="20"/>
          <w:szCs w:val="20"/>
        </w:rPr>
        <w:t xml:space="preserve"> Theoretical Reserve or Prospective Theoretical Reserve – A calculated reserve based on components of the proposed rate using the formula:</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Theoretical Reserve = Book Investment – Future Accruals – Future Net Salvage.</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(l)</w:t>
      </w:r>
      <w:r w:rsidRPr="00FC3DA5">
        <w:rPr>
          <w:rFonts w:ascii="Times New Roman" w:eastAsia="Times New Roman" w:hAnsi="Times New Roman" w:cs="Times New Roman"/>
          <w:strike/>
          <w:sz w:val="20"/>
          <w:szCs w:val="20"/>
        </w:rPr>
        <w:t>(j)</w:t>
      </w:r>
      <w:r w:rsidRPr="00FC3DA5">
        <w:rPr>
          <w:rFonts w:ascii="Times New Roman" w:eastAsia="Times New Roman" w:hAnsi="Times New Roman" w:cs="Times New Roman"/>
          <w:sz w:val="20"/>
          <w:szCs w:val="20"/>
        </w:rPr>
        <w:t xml:space="preserve"> Vintage – The year of placement of a group of plant items or investment under study.</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(m)</w:t>
      </w:r>
      <w:r w:rsidRPr="00FC3DA5">
        <w:rPr>
          <w:rFonts w:ascii="Times New Roman" w:eastAsia="Times New Roman" w:hAnsi="Times New Roman" w:cs="Times New Roman"/>
          <w:strike/>
          <w:sz w:val="20"/>
          <w:szCs w:val="20"/>
        </w:rPr>
        <w:t>(k)</w:t>
      </w:r>
      <w:r w:rsidRPr="00FC3DA5">
        <w:rPr>
          <w:rFonts w:ascii="Times New Roman" w:eastAsia="Times New Roman" w:hAnsi="Times New Roman" w:cs="Times New Roman"/>
          <w:sz w:val="20"/>
          <w:szCs w:val="20"/>
        </w:rPr>
        <w:t xml:space="preserve"> Whole Life </w:t>
      </w:r>
      <w:r w:rsidRPr="00FC3DA5">
        <w:rPr>
          <w:rFonts w:ascii="Times New Roman" w:eastAsia="Times New Roman" w:hAnsi="Times New Roman" w:cs="Times New Roman"/>
          <w:sz w:val="20"/>
          <w:szCs w:val="20"/>
          <w:u w:val="single"/>
        </w:rPr>
        <w:t>Technique</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Method</w:t>
      </w:r>
      <w:r w:rsidRPr="00FC3DA5">
        <w:rPr>
          <w:rFonts w:ascii="Times New Roman" w:eastAsia="Times New Roman" w:hAnsi="Times New Roman" w:cs="Times New Roman"/>
          <w:sz w:val="20"/>
          <w:szCs w:val="20"/>
        </w:rPr>
        <w:t xml:space="preserve"> – The method of calculating a depreciation rate based on the </w:t>
      </w:r>
      <w:r w:rsidRPr="00FC3DA5">
        <w:rPr>
          <w:rFonts w:ascii="Times New Roman" w:eastAsia="Times New Roman" w:hAnsi="Times New Roman" w:cs="Times New Roman"/>
          <w:sz w:val="20"/>
          <w:szCs w:val="20"/>
          <w:u w:val="single"/>
        </w:rPr>
        <w:t>w</w:t>
      </w:r>
      <w:r w:rsidRPr="00FC3DA5">
        <w:rPr>
          <w:rFonts w:ascii="Times New Roman" w:eastAsia="Times New Roman" w:hAnsi="Times New Roman" w:cs="Times New Roman"/>
          <w:strike/>
          <w:sz w:val="20"/>
          <w:szCs w:val="20"/>
        </w:rPr>
        <w:t>W</w:t>
      </w:r>
      <w:r w:rsidRPr="00FC3DA5">
        <w:rPr>
          <w:rFonts w:ascii="Times New Roman" w:eastAsia="Times New Roman" w:hAnsi="Times New Roman" w:cs="Times New Roman"/>
          <w:sz w:val="20"/>
          <w:szCs w:val="20"/>
        </w:rPr>
        <w:t xml:space="preserve">hole </w:t>
      </w:r>
      <w:r w:rsidRPr="00FC3DA5">
        <w:rPr>
          <w:rFonts w:ascii="Times New Roman" w:eastAsia="Times New Roman" w:hAnsi="Times New Roman" w:cs="Times New Roman"/>
          <w:sz w:val="20"/>
          <w:szCs w:val="20"/>
          <w:u w:val="single"/>
        </w:rPr>
        <w:t>l</w:t>
      </w:r>
      <w:r w:rsidRPr="00FC3DA5">
        <w:rPr>
          <w:rFonts w:ascii="Times New Roman" w:eastAsia="Times New Roman" w:hAnsi="Times New Roman" w:cs="Times New Roman"/>
          <w:strike/>
          <w:sz w:val="20"/>
          <w:szCs w:val="20"/>
        </w:rPr>
        <w:t>L</w:t>
      </w:r>
      <w:r w:rsidRPr="00FC3DA5">
        <w:rPr>
          <w:rFonts w:ascii="Times New Roman" w:eastAsia="Times New Roman" w:hAnsi="Times New Roman" w:cs="Times New Roman"/>
          <w:sz w:val="20"/>
          <w:szCs w:val="20"/>
        </w:rPr>
        <w:t>ife (</w:t>
      </w:r>
      <w:r w:rsidRPr="00FC3DA5">
        <w:rPr>
          <w:rFonts w:ascii="Times New Roman" w:eastAsia="Times New Roman" w:hAnsi="Times New Roman" w:cs="Times New Roman"/>
          <w:sz w:val="20"/>
          <w:szCs w:val="20"/>
          <w:u w:val="single"/>
        </w:rPr>
        <w:t>a</w:t>
      </w:r>
      <w:r w:rsidRPr="00FC3DA5">
        <w:rPr>
          <w:rFonts w:ascii="Times New Roman" w:eastAsia="Times New Roman" w:hAnsi="Times New Roman" w:cs="Times New Roman"/>
          <w:strike/>
          <w:sz w:val="20"/>
          <w:szCs w:val="20"/>
        </w:rPr>
        <w:t>A</w:t>
      </w:r>
      <w:r w:rsidRPr="00FC3DA5">
        <w:rPr>
          <w:rFonts w:ascii="Times New Roman" w:eastAsia="Times New Roman" w:hAnsi="Times New Roman" w:cs="Times New Roman"/>
          <w:sz w:val="20"/>
          <w:szCs w:val="20"/>
        </w:rPr>
        <w:t xml:space="preserve">verage </w:t>
      </w:r>
      <w:r w:rsidRPr="00FC3DA5">
        <w:rPr>
          <w:rFonts w:ascii="Times New Roman" w:eastAsia="Times New Roman" w:hAnsi="Times New Roman" w:cs="Times New Roman"/>
          <w:sz w:val="20"/>
          <w:szCs w:val="20"/>
          <w:u w:val="single"/>
        </w:rPr>
        <w:t>s</w:t>
      </w:r>
      <w:r w:rsidRPr="00FC3DA5">
        <w:rPr>
          <w:rFonts w:ascii="Times New Roman" w:eastAsia="Times New Roman" w:hAnsi="Times New Roman" w:cs="Times New Roman"/>
          <w:strike/>
          <w:sz w:val="20"/>
          <w:szCs w:val="20"/>
        </w:rPr>
        <w:t>S</w:t>
      </w:r>
      <w:r w:rsidRPr="00FC3DA5">
        <w:rPr>
          <w:rFonts w:ascii="Times New Roman" w:eastAsia="Times New Roman" w:hAnsi="Times New Roman" w:cs="Times New Roman"/>
          <w:sz w:val="20"/>
          <w:szCs w:val="20"/>
        </w:rPr>
        <w:t xml:space="preserve">ervice </w:t>
      </w:r>
      <w:r w:rsidRPr="00FC3DA5">
        <w:rPr>
          <w:rFonts w:ascii="Times New Roman" w:eastAsia="Times New Roman" w:hAnsi="Times New Roman" w:cs="Times New Roman"/>
          <w:sz w:val="20"/>
          <w:szCs w:val="20"/>
          <w:u w:val="single"/>
        </w:rPr>
        <w:t>l</w:t>
      </w:r>
      <w:r w:rsidRPr="00FC3DA5">
        <w:rPr>
          <w:rFonts w:ascii="Times New Roman" w:eastAsia="Times New Roman" w:hAnsi="Times New Roman" w:cs="Times New Roman"/>
          <w:strike/>
          <w:sz w:val="20"/>
          <w:szCs w:val="20"/>
        </w:rPr>
        <w:t>L</w:t>
      </w:r>
      <w:r w:rsidRPr="00FC3DA5">
        <w:rPr>
          <w:rFonts w:ascii="Times New Roman" w:eastAsia="Times New Roman" w:hAnsi="Times New Roman" w:cs="Times New Roman"/>
          <w:sz w:val="20"/>
          <w:szCs w:val="20"/>
        </w:rPr>
        <w:t xml:space="preserve">ife) and the </w:t>
      </w:r>
      <w:r w:rsidRPr="00FC3DA5">
        <w:rPr>
          <w:rFonts w:ascii="Times New Roman" w:eastAsia="Times New Roman" w:hAnsi="Times New Roman" w:cs="Times New Roman"/>
          <w:sz w:val="20"/>
          <w:szCs w:val="20"/>
          <w:u w:val="single"/>
        </w:rPr>
        <w:t>a</w:t>
      </w:r>
      <w:r w:rsidRPr="00FC3DA5">
        <w:rPr>
          <w:rFonts w:ascii="Times New Roman" w:eastAsia="Times New Roman" w:hAnsi="Times New Roman" w:cs="Times New Roman"/>
          <w:strike/>
          <w:sz w:val="20"/>
          <w:szCs w:val="20"/>
        </w:rPr>
        <w:t>A</w:t>
      </w:r>
      <w:r w:rsidRPr="00FC3DA5">
        <w:rPr>
          <w:rFonts w:ascii="Times New Roman" w:eastAsia="Times New Roman" w:hAnsi="Times New Roman" w:cs="Times New Roman"/>
          <w:sz w:val="20"/>
          <w:szCs w:val="20"/>
        </w:rPr>
        <w:t xml:space="preserve">verage </w:t>
      </w:r>
      <w:r w:rsidRPr="00FC3DA5">
        <w:rPr>
          <w:rFonts w:ascii="Times New Roman" w:eastAsia="Times New Roman" w:hAnsi="Times New Roman" w:cs="Times New Roman"/>
          <w:sz w:val="20"/>
          <w:szCs w:val="20"/>
          <w:u w:val="single"/>
        </w:rPr>
        <w:t>n</w:t>
      </w:r>
      <w:r w:rsidRPr="00FC3DA5">
        <w:rPr>
          <w:rFonts w:ascii="Times New Roman" w:eastAsia="Times New Roman" w:hAnsi="Times New Roman" w:cs="Times New Roman"/>
          <w:strike/>
          <w:sz w:val="20"/>
          <w:szCs w:val="20"/>
        </w:rPr>
        <w:t>N</w:t>
      </w:r>
      <w:r w:rsidRPr="00FC3DA5">
        <w:rPr>
          <w:rFonts w:ascii="Times New Roman" w:eastAsia="Times New Roman" w:hAnsi="Times New Roman" w:cs="Times New Roman"/>
          <w:sz w:val="20"/>
          <w:szCs w:val="20"/>
        </w:rPr>
        <w:t xml:space="preserve">et </w:t>
      </w:r>
      <w:r w:rsidRPr="00FC3DA5">
        <w:rPr>
          <w:rFonts w:ascii="Times New Roman" w:eastAsia="Times New Roman" w:hAnsi="Times New Roman" w:cs="Times New Roman"/>
          <w:sz w:val="20"/>
          <w:szCs w:val="20"/>
          <w:u w:val="single"/>
        </w:rPr>
        <w:t>s</w:t>
      </w:r>
      <w:r w:rsidRPr="00FC3DA5">
        <w:rPr>
          <w:rFonts w:ascii="Times New Roman" w:eastAsia="Times New Roman" w:hAnsi="Times New Roman" w:cs="Times New Roman"/>
          <w:strike/>
          <w:sz w:val="20"/>
          <w:szCs w:val="20"/>
        </w:rPr>
        <w:t>S</w:t>
      </w:r>
      <w:r w:rsidRPr="00FC3DA5">
        <w:rPr>
          <w:rFonts w:ascii="Times New Roman" w:eastAsia="Times New Roman" w:hAnsi="Times New Roman" w:cs="Times New Roman"/>
          <w:sz w:val="20"/>
          <w:szCs w:val="20"/>
        </w:rPr>
        <w:t>alvage. Both life and salvage components are the estimated or calculated composite of realized experience and expected activity. The formula is:</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Whole Life Rate</w:t>
      </w:r>
      <w:r w:rsidRPr="00FC3DA5">
        <w:rPr>
          <w:rFonts w:ascii="Times New Roman" w:eastAsia="Times New Roman" w:hAnsi="Times New Roman" w:cs="Times New Roman"/>
          <w:sz w:val="20"/>
          <w:szCs w:val="20"/>
        </w:rPr>
        <w:tab/>
        <w:t>=</w:t>
      </w: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100% - Average Net Salvage %</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rPr>
        <w:tab/>
        <w:t>Average Service Life in Years</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 xml:space="preserve">(2)(a) No utility </w:t>
      </w:r>
      <w:r w:rsidRPr="00FC3DA5">
        <w:rPr>
          <w:rFonts w:ascii="Times New Roman" w:eastAsia="Times New Roman" w:hAnsi="Times New Roman" w:cs="Times New Roman"/>
          <w:sz w:val="20"/>
          <w:szCs w:val="20"/>
          <w:u w:val="single"/>
        </w:rPr>
        <w:t>shall</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may</w:t>
      </w:r>
      <w:r w:rsidRPr="00FC3DA5">
        <w:rPr>
          <w:rFonts w:ascii="Times New Roman" w:eastAsia="Times New Roman" w:hAnsi="Times New Roman" w:cs="Times New Roman"/>
          <w:sz w:val="20"/>
          <w:szCs w:val="20"/>
        </w:rPr>
        <w:t xml:space="preserve"> change any existing depreciation rate or initiate any new depreciation rate without prior Commission approval.</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 xml:space="preserve">(b) No utility </w:t>
      </w:r>
      <w:r w:rsidRPr="00FC3DA5">
        <w:rPr>
          <w:rFonts w:ascii="Times New Roman" w:eastAsia="Times New Roman" w:hAnsi="Times New Roman" w:cs="Times New Roman"/>
          <w:sz w:val="20"/>
          <w:szCs w:val="20"/>
          <w:u w:val="single"/>
        </w:rPr>
        <w:t>shall</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may</w:t>
      </w:r>
      <w:r w:rsidRPr="00FC3DA5">
        <w:rPr>
          <w:rFonts w:ascii="Times New Roman" w:eastAsia="Times New Roman" w:hAnsi="Times New Roman" w:cs="Times New Roman"/>
          <w:sz w:val="20"/>
          <w:szCs w:val="20"/>
        </w:rPr>
        <w:t xml:space="preserve"> reallocate accumulated depreciation reserves among any primary accounts and sub-accounts without prior Commission approval.</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 xml:space="preserve">(c) When plant investment is booked as a transfer from a regulated utility depreciable account to another or from a regulated company to an affiliate, its associated reserve amount shall also be booked as a transfer.  When plant investment is sold from one regulated utility to an affiliate, the associated reserve amount shall also be </w:t>
      </w:r>
      <w:r w:rsidRPr="00FC3DA5">
        <w:rPr>
          <w:rFonts w:ascii="Times New Roman" w:eastAsia="Times New Roman" w:hAnsi="Times New Roman" w:cs="Times New Roman"/>
          <w:sz w:val="20"/>
          <w:szCs w:val="20"/>
          <w:u w:val="single"/>
        </w:rPr>
        <w:lastRenderedPageBreak/>
        <w:t>determined to calculate the net book value of the utility investment being sold.  Methods for determining the reserve amount associated with plant transferred or sold are as follows:</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1. Where vintage reserves are not maintained, synthesization using the currently prescribed curve shape shall be required.  The same reserve percent associated with the original placement vintage of the related investment shall then be used in determining the amount of reserve to transfer.</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2. Where the original placement vintage of the investment being transferred is unknown, the reserve percent applicable to the account in which the investment being transferred resides shall be assumed for determining the reserve amount to transfer.</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3. Where the age of the investment being transferred is known and a history of the prescribed depreciation rates is known, a reserve can be determined by multiplying the age times the investment times the applicable depreciation rate(s).</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4. The Commission shall consider any additional methods submitted by the utilities for determining reserve amounts to transfer.</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 xml:space="preserve">(3)(a) Each utility shall maintain depreciation rates and accumulated depreciation reserves in accounts or subaccounts </w:t>
      </w:r>
      <w:r w:rsidRPr="00FC3DA5">
        <w:rPr>
          <w:rFonts w:ascii="Times New Roman" w:eastAsia="Times New Roman" w:hAnsi="Times New Roman" w:cs="Times New Roman"/>
          <w:sz w:val="20"/>
          <w:szCs w:val="20"/>
          <w:u w:val="single"/>
        </w:rPr>
        <w:t>in accordance with the Uniform System of Accounts for Natural Gas Companies (USOA) as found in the Code of Federal Regulations, Title 18, Subchapter F, Part 201, as revised April 1, 2013, which is incorporated by reference in Rule 25-7.014(1), F.A.C.</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as prescribed by Rule 25-7.046, F.A.C.</w:t>
      </w:r>
      <w:r w:rsidRPr="00FC3DA5">
        <w:rPr>
          <w:rFonts w:ascii="Times New Roman" w:eastAsia="Times New Roman" w:hAnsi="Times New Roman" w:cs="Times New Roman"/>
          <w:sz w:val="20"/>
          <w:szCs w:val="20"/>
        </w:rPr>
        <w:t xml:space="preserve"> Utilities may maintain further sub-categorization.</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(b) No change.</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(4)</w:t>
      </w:r>
      <w:r w:rsidRPr="00FC3DA5">
        <w:rPr>
          <w:rFonts w:ascii="Times New Roman" w:eastAsia="Times New Roman" w:hAnsi="Times New Roman" w:cs="Times New Roman"/>
          <w:sz w:val="20"/>
          <w:szCs w:val="20"/>
          <w:u w:val="single"/>
        </w:rPr>
        <w:t>(a) Each company shall file a study for each category of depreciable property for Commission review at least once every five years from the submission date of the previous study or pursuant to Commission order and within the time specified in the order.</w:t>
      </w:r>
      <w:r w:rsidRPr="00FC3DA5">
        <w:rPr>
          <w:rFonts w:ascii="Times New Roman" w:eastAsia="Times New Roman" w:hAnsi="Times New Roman" w:cs="Times New Roman"/>
          <w:sz w:val="20"/>
          <w:szCs w:val="20"/>
        </w:rPr>
        <w:t xml:space="preserve"> A utility filing a depreciation study, regardless if a change in rates is being requested or not, shall submit to the Office of Commission Clerk </w:t>
      </w:r>
      <w:r w:rsidRPr="00FC3DA5">
        <w:rPr>
          <w:rFonts w:ascii="Times New Roman" w:eastAsia="Times New Roman" w:hAnsi="Times New Roman" w:cs="Times New Roman"/>
          <w:strike/>
          <w:sz w:val="20"/>
          <w:szCs w:val="20"/>
        </w:rPr>
        <w:t>six</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copies of</w:t>
      </w:r>
      <w:r w:rsidRPr="00FC3DA5">
        <w:rPr>
          <w:rFonts w:ascii="Times New Roman" w:eastAsia="Times New Roman" w:hAnsi="Times New Roman" w:cs="Times New Roman"/>
          <w:sz w:val="20"/>
          <w:szCs w:val="20"/>
        </w:rPr>
        <w:t xml:space="preserve"> the information required by </w:t>
      </w:r>
      <w:r w:rsidRPr="00FC3DA5">
        <w:rPr>
          <w:rFonts w:ascii="Times New Roman" w:eastAsia="Times New Roman" w:hAnsi="Times New Roman" w:cs="Times New Roman"/>
          <w:sz w:val="20"/>
          <w:szCs w:val="20"/>
          <w:u w:val="single"/>
        </w:rPr>
        <w:t>paragraphs (5)</w:t>
      </w:r>
      <w:r w:rsidRPr="00FC3DA5">
        <w:rPr>
          <w:rFonts w:ascii="Times New Roman" w:eastAsia="Times New Roman" w:hAnsi="Times New Roman" w:cs="Times New Roman"/>
          <w:strike/>
          <w:sz w:val="20"/>
          <w:szCs w:val="20"/>
        </w:rPr>
        <w:t>(6)</w:t>
      </w:r>
      <w:r w:rsidRPr="00FC3DA5">
        <w:rPr>
          <w:rFonts w:ascii="Times New Roman" w:eastAsia="Times New Roman" w:hAnsi="Times New Roman" w:cs="Times New Roman"/>
          <w:sz w:val="20"/>
          <w:szCs w:val="20"/>
        </w:rPr>
        <w:t xml:space="preserve">(a) through </w:t>
      </w:r>
      <w:r w:rsidRPr="00FC3DA5">
        <w:rPr>
          <w:rFonts w:ascii="Times New Roman" w:eastAsia="Times New Roman" w:hAnsi="Times New Roman" w:cs="Times New Roman"/>
          <w:sz w:val="20"/>
          <w:szCs w:val="20"/>
          <w:u w:val="single"/>
        </w:rPr>
        <w:t>(g)</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(f) and (h)</w:t>
      </w:r>
      <w:r w:rsidRPr="00FC3DA5">
        <w:rPr>
          <w:rFonts w:ascii="Times New Roman" w:eastAsia="Times New Roman" w:hAnsi="Times New Roman" w:cs="Times New Roman"/>
          <w:sz w:val="20"/>
          <w:szCs w:val="20"/>
        </w:rPr>
        <w:t xml:space="preserve"> of this rule </w:t>
      </w:r>
      <w:r w:rsidRPr="00FC3DA5">
        <w:rPr>
          <w:rFonts w:ascii="Times New Roman" w:eastAsia="Times New Roman" w:hAnsi="Times New Roman" w:cs="Times New Roman"/>
          <w:sz w:val="20"/>
          <w:szCs w:val="20"/>
          <w:u w:val="single"/>
        </w:rPr>
        <w:t>in electronic format with formulas intact and unlocked</w:t>
      </w:r>
      <w:r w:rsidRPr="00FC3DA5">
        <w:rPr>
          <w:rFonts w:ascii="Times New Roman" w:eastAsia="Times New Roman" w:hAnsi="Times New Roman" w:cs="Times New Roman"/>
          <w:color w:val="C00000"/>
          <w:sz w:val="20"/>
          <w:szCs w:val="20"/>
          <w:u w:val="single"/>
        </w:rPr>
        <w:t xml:space="preserve"> </w:t>
      </w:r>
      <w:r w:rsidRPr="00FC3DA5">
        <w:rPr>
          <w:rFonts w:ascii="Times New Roman" w:eastAsia="Times New Roman" w:hAnsi="Times New Roman" w:cs="Times New Roman"/>
          <w:strike/>
          <w:sz w:val="20"/>
          <w:szCs w:val="20"/>
        </w:rPr>
        <w:t>and at least three copies of the information required by paragraph (6)(g)</w:t>
      </w:r>
      <w:r w:rsidRPr="00FC3DA5">
        <w:rPr>
          <w:rFonts w:ascii="Times New Roman" w:eastAsia="Times New Roman" w:hAnsi="Times New Roman" w:cs="Times New Roman"/>
          <w:sz w:val="20"/>
          <w:szCs w:val="20"/>
        </w:rPr>
        <w:t xml:space="preserve">. </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(b) A utility proposing an effective date of the beginning of its fiscal year shall submit its depreciation study no later than the mid-point of that fiscal year.</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(c) A utility proposing an effective date coinciding with the expected date of additional revenues initiated through a rate case proceeding shall submit its depreciation study no later than the filing date of its Minimum Filing Requirements.</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(d)  The plant balances may include estimates.  Submitted data including plant and reserve balances or company planning involving estimates shall be brought to the effective date of the proposed rates.</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(e)  The possibility of corrective reserve transfers shall be investigated by the Commission prior to changing depreciation rates.</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(f)</w:t>
      </w:r>
      <w:r w:rsidRPr="00FC3DA5">
        <w:rPr>
          <w:rFonts w:ascii="Times New Roman" w:eastAsia="Times New Roman" w:hAnsi="Times New Roman" w:cs="Times New Roman"/>
          <w:strike/>
          <w:sz w:val="20"/>
          <w:szCs w:val="20"/>
        </w:rPr>
        <w:t>(5)</w:t>
      </w:r>
      <w:r w:rsidRPr="00FC3DA5">
        <w:rPr>
          <w:rFonts w:ascii="Times New Roman" w:eastAsia="Times New Roman" w:hAnsi="Times New Roman" w:cs="Times New Roman"/>
          <w:sz w:val="20"/>
          <w:szCs w:val="20"/>
        </w:rPr>
        <w:t xml:space="preserve"> Upon Commission approval by </w:t>
      </w:r>
      <w:r w:rsidRPr="00FC3DA5">
        <w:rPr>
          <w:rFonts w:ascii="Times New Roman" w:eastAsia="Times New Roman" w:hAnsi="Times New Roman" w:cs="Times New Roman"/>
          <w:sz w:val="20"/>
          <w:szCs w:val="20"/>
          <w:u w:val="single"/>
        </w:rPr>
        <w:t>final</w:t>
      </w:r>
      <w:r w:rsidRPr="00FC3DA5">
        <w:rPr>
          <w:rFonts w:ascii="Times New Roman" w:eastAsia="Times New Roman" w:hAnsi="Times New Roman" w:cs="Times New Roman"/>
          <w:sz w:val="20"/>
          <w:szCs w:val="20"/>
        </w:rPr>
        <w:t xml:space="preserve"> order establishing an effective date, the utility </w:t>
      </w:r>
      <w:r w:rsidRPr="00FC3DA5">
        <w:rPr>
          <w:rFonts w:ascii="Times New Roman" w:eastAsia="Times New Roman" w:hAnsi="Times New Roman" w:cs="Times New Roman"/>
          <w:sz w:val="20"/>
          <w:szCs w:val="20"/>
          <w:u w:val="single"/>
        </w:rPr>
        <w:t>shall</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may</w:t>
      </w:r>
      <w:r w:rsidRPr="00FC3DA5">
        <w:rPr>
          <w:rFonts w:ascii="Times New Roman" w:eastAsia="Times New Roman" w:hAnsi="Times New Roman" w:cs="Times New Roman"/>
          <w:sz w:val="20"/>
          <w:szCs w:val="20"/>
        </w:rPr>
        <w:t xml:space="preserve"> reflect on its books and records the implementation of the </w:t>
      </w:r>
      <w:r w:rsidRPr="00FC3DA5">
        <w:rPr>
          <w:rFonts w:ascii="Times New Roman" w:eastAsia="Times New Roman" w:hAnsi="Times New Roman" w:cs="Times New Roman"/>
          <w:sz w:val="20"/>
          <w:szCs w:val="20"/>
          <w:u w:val="single"/>
        </w:rPr>
        <w:t>depreciation</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proposed</w:t>
      </w:r>
      <w:r w:rsidRPr="00FC3DA5">
        <w:rPr>
          <w:rFonts w:ascii="Times New Roman" w:eastAsia="Times New Roman" w:hAnsi="Times New Roman" w:cs="Times New Roman"/>
          <w:sz w:val="20"/>
          <w:szCs w:val="20"/>
        </w:rPr>
        <w:t xml:space="preserve"> rates</w:t>
      </w:r>
      <w:r w:rsidRPr="00FC3DA5">
        <w:rPr>
          <w:rFonts w:ascii="Times New Roman" w:eastAsia="Times New Roman" w:hAnsi="Times New Roman" w:cs="Times New Roman"/>
          <w:strike/>
          <w:sz w:val="20"/>
          <w:szCs w:val="20"/>
        </w:rPr>
        <w:t>,</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z w:val="20"/>
          <w:szCs w:val="20"/>
          <w:u w:val="single"/>
        </w:rPr>
        <w:t>approved by the Commission</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subject to adjustment when final depreciation rates are approved</w:t>
      </w:r>
      <w:r w:rsidRPr="00FC3DA5">
        <w:rPr>
          <w:rFonts w:ascii="Times New Roman" w:eastAsia="Times New Roman" w:hAnsi="Times New Roman" w:cs="Times New Roman"/>
          <w:sz w:val="20"/>
          <w:szCs w:val="20"/>
        </w:rPr>
        <w:t>.</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(5)</w:t>
      </w:r>
      <w:r w:rsidRPr="00FC3DA5">
        <w:rPr>
          <w:rFonts w:ascii="Times New Roman" w:eastAsia="Times New Roman" w:hAnsi="Times New Roman" w:cs="Times New Roman"/>
          <w:strike/>
          <w:sz w:val="20"/>
          <w:szCs w:val="20"/>
        </w:rPr>
        <w:t>(6)</w:t>
      </w:r>
      <w:r w:rsidRPr="00FC3DA5">
        <w:rPr>
          <w:rFonts w:ascii="Times New Roman" w:eastAsia="Times New Roman" w:hAnsi="Times New Roman" w:cs="Times New Roman"/>
          <w:sz w:val="20"/>
          <w:szCs w:val="20"/>
        </w:rPr>
        <w:t xml:space="preserve"> A depreciation study shall include:</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 xml:space="preserve">(a) A comparison of current and proposed depreciation </w:t>
      </w:r>
      <w:r w:rsidRPr="00FC3DA5">
        <w:rPr>
          <w:rFonts w:ascii="Times New Roman" w:eastAsia="Times New Roman" w:hAnsi="Times New Roman" w:cs="Times New Roman"/>
          <w:strike/>
          <w:sz w:val="20"/>
          <w:szCs w:val="20"/>
        </w:rPr>
        <w:t>rates and</w:t>
      </w:r>
      <w:r w:rsidRPr="00FC3DA5">
        <w:rPr>
          <w:rFonts w:ascii="Times New Roman" w:eastAsia="Times New Roman" w:hAnsi="Times New Roman" w:cs="Times New Roman"/>
          <w:sz w:val="20"/>
          <w:szCs w:val="20"/>
        </w:rPr>
        <w:t xml:space="preserve"> components for each category of depreciable plant. </w:t>
      </w:r>
      <w:r w:rsidRPr="00FC3DA5">
        <w:rPr>
          <w:rFonts w:ascii="Times New Roman" w:eastAsia="Times New Roman" w:hAnsi="Times New Roman" w:cs="Times New Roman"/>
          <w:sz w:val="20"/>
          <w:szCs w:val="20"/>
          <w:u w:val="single"/>
        </w:rPr>
        <w:t>Components include average service life, age, curve shape, net salvage, and average remaining life.</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Current rates shall be identified as to the effective date and proposed rates as to the proposed effective date.</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 xml:space="preserve">(b) A comparison of </w:t>
      </w:r>
      <w:r w:rsidRPr="00FC3DA5">
        <w:rPr>
          <w:rFonts w:ascii="Times New Roman" w:eastAsia="Times New Roman" w:hAnsi="Times New Roman" w:cs="Times New Roman"/>
          <w:sz w:val="20"/>
          <w:szCs w:val="20"/>
          <w:u w:val="single"/>
        </w:rPr>
        <w:t>current and proposed</w:t>
      </w:r>
      <w:r w:rsidRPr="00FC3DA5">
        <w:rPr>
          <w:rFonts w:ascii="Times New Roman" w:eastAsia="Times New Roman" w:hAnsi="Times New Roman" w:cs="Times New Roman"/>
          <w:sz w:val="20"/>
          <w:szCs w:val="20"/>
        </w:rPr>
        <w:t xml:space="preserve"> annual depreciation </w:t>
      </w:r>
      <w:r w:rsidRPr="00FC3DA5">
        <w:rPr>
          <w:rFonts w:ascii="Times New Roman" w:eastAsia="Times New Roman" w:hAnsi="Times New Roman" w:cs="Times New Roman"/>
          <w:sz w:val="20"/>
          <w:szCs w:val="20"/>
          <w:u w:val="single"/>
        </w:rPr>
        <w:t>rates and</w:t>
      </w:r>
      <w:r w:rsidRPr="00FC3DA5">
        <w:rPr>
          <w:rFonts w:ascii="Times New Roman" w:eastAsia="Times New Roman" w:hAnsi="Times New Roman" w:cs="Times New Roman"/>
          <w:sz w:val="20"/>
          <w:szCs w:val="20"/>
        </w:rPr>
        <w:t xml:space="preserve"> expense</w:t>
      </w:r>
      <w:r w:rsidRPr="00FC3DA5">
        <w:rPr>
          <w:rFonts w:ascii="Times New Roman" w:eastAsia="Times New Roman" w:hAnsi="Times New Roman" w:cs="Times New Roman"/>
          <w:sz w:val="20"/>
          <w:szCs w:val="20"/>
          <w:u w:val="single"/>
        </w:rPr>
        <w:t>s</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resulting from current rates with those produced by the proposed rates for each category of depreciable plant</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z w:val="20"/>
          <w:szCs w:val="20"/>
          <w:u w:val="single"/>
        </w:rPr>
        <w:t xml:space="preserve">The comparison of current and </w:t>
      </w:r>
      <w:r w:rsidRPr="00FC3DA5">
        <w:rPr>
          <w:rFonts w:ascii="Times New Roman" w:eastAsia="Times New Roman" w:hAnsi="Times New Roman" w:cs="Times New Roman"/>
          <w:sz w:val="20"/>
          <w:szCs w:val="20"/>
          <w:u w:val="single"/>
        </w:rPr>
        <w:lastRenderedPageBreak/>
        <w:t>proposed rates shall identify the proposed effective date for the proposed rates.  The comparison of current and proposed annual expenses shall be calculated using current and proposed rates for each category of depreciable plant.  Plant balances, reserve balances and percentages, remaining lives, and net salvage percentages shall be included in this comparison for each category of plant.</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The plant balances may involve estimates. Submitted data including plant and reserve balances or company planning involving estimates should be brought to the effective date of the proposed rates.</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 xml:space="preserve">(c) Each recovery and amortization schedule currently in effect </w:t>
      </w:r>
      <w:r w:rsidRPr="00FC3DA5">
        <w:rPr>
          <w:rFonts w:ascii="Times New Roman" w:eastAsia="Times New Roman" w:hAnsi="Times New Roman" w:cs="Times New Roman"/>
          <w:sz w:val="20"/>
          <w:szCs w:val="20"/>
          <w:u w:val="single"/>
        </w:rPr>
        <w:t>shall</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should</w:t>
      </w:r>
      <w:r w:rsidRPr="00FC3DA5">
        <w:rPr>
          <w:rFonts w:ascii="Times New Roman" w:eastAsia="Times New Roman" w:hAnsi="Times New Roman" w:cs="Times New Roman"/>
          <w:sz w:val="20"/>
          <w:szCs w:val="20"/>
        </w:rPr>
        <w:t xml:space="preserve"> be included with any new filing showing total amount amortized, effective date, length of schedule, annual amount amortized and reason for the schedule.</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(d) through (e) No change.</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 xml:space="preserve">(f) An explanation and justification for each study category of depreciable plant defining the specific factors that justify the life and salvage components and rates being proposed. Each explanation and justification shall include substantiating factors utilized by the utility in the design of the depreciation rates for the specific category, e.g., company planning, growth, technology, physical conditions, trends. The explanation and justification shall discuss any proposed transfers of reserve between categories or accounts intended to correct deficient or surplus reserve balances. It </w:t>
      </w:r>
      <w:r w:rsidRPr="00FC3DA5">
        <w:rPr>
          <w:rFonts w:ascii="Times New Roman" w:eastAsia="Times New Roman" w:hAnsi="Times New Roman" w:cs="Times New Roman"/>
          <w:sz w:val="20"/>
          <w:szCs w:val="20"/>
          <w:u w:val="single"/>
        </w:rPr>
        <w:t>shall</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should</w:t>
      </w:r>
      <w:r w:rsidRPr="00FC3DA5">
        <w:rPr>
          <w:rFonts w:ascii="Times New Roman" w:eastAsia="Times New Roman" w:hAnsi="Times New Roman" w:cs="Times New Roman"/>
          <w:sz w:val="20"/>
          <w:szCs w:val="20"/>
        </w:rPr>
        <w:t xml:space="preserve"> also state any statistical or mathematical methods of analysis or calculation used in design of the category rate.</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 xml:space="preserve">(g) </w:t>
      </w:r>
      <w:r w:rsidRPr="00FC3DA5">
        <w:rPr>
          <w:rFonts w:ascii="Times New Roman" w:eastAsia="Times New Roman" w:hAnsi="Times New Roman" w:cs="Times New Roman"/>
          <w:strike/>
          <w:sz w:val="20"/>
          <w:szCs w:val="20"/>
        </w:rPr>
        <w:t>The filing shall contain</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z w:val="20"/>
          <w:szCs w:val="20"/>
          <w:u w:val="single"/>
        </w:rPr>
        <w:t>A</w:t>
      </w:r>
      <w:r w:rsidRPr="00FC3DA5">
        <w:rPr>
          <w:rFonts w:ascii="Times New Roman" w:eastAsia="Times New Roman" w:hAnsi="Times New Roman" w:cs="Times New Roman"/>
          <w:strike/>
          <w:sz w:val="20"/>
          <w:szCs w:val="20"/>
        </w:rPr>
        <w:t>a</w:t>
      </w:r>
      <w:r w:rsidRPr="00FC3DA5">
        <w:rPr>
          <w:rFonts w:ascii="Times New Roman" w:eastAsia="Times New Roman" w:hAnsi="Times New Roman" w:cs="Times New Roman"/>
          <w:sz w:val="20"/>
          <w:szCs w:val="20"/>
        </w:rPr>
        <w:t xml:space="preserve">ll calculations, analysis and numerical basic data used in the design of the depreciation rate for each category of depreciable plant. Numerical data shall include plant activity (gross additions, adjustments, retirements, and plant balance at end of year) as well as reserve activity (retirements, accruals for depreciation expense, salvage, cost of removal, adjustments, transfers and reclassifications and reserve balance at end of year) for each year of activity from the date of the last submitted study to the date of the present study. </w:t>
      </w:r>
      <w:r w:rsidRPr="00FC3DA5">
        <w:rPr>
          <w:rFonts w:ascii="Times New Roman" w:eastAsia="Times New Roman" w:hAnsi="Times New Roman" w:cs="Times New Roman"/>
          <w:sz w:val="20"/>
          <w:szCs w:val="20"/>
          <w:u w:val="single"/>
        </w:rPr>
        <w:t>When available,</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To the degree possible,</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z w:val="20"/>
          <w:szCs w:val="20"/>
          <w:u w:val="single"/>
        </w:rPr>
        <w:t>retirement</w:t>
      </w:r>
      <w:r w:rsidRPr="00FC3DA5">
        <w:rPr>
          <w:rFonts w:ascii="Times New Roman" w:eastAsia="Times New Roman" w:hAnsi="Times New Roman" w:cs="Times New Roman"/>
          <w:sz w:val="20"/>
          <w:szCs w:val="20"/>
        </w:rPr>
        <w:t xml:space="preserve"> data </w:t>
      </w:r>
      <w:r w:rsidRPr="00FC3DA5">
        <w:rPr>
          <w:rFonts w:ascii="Times New Roman" w:eastAsia="Times New Roman" w:hAnsi="Times New Roman" w:cs="Times New Roman"/>
          <w:strike/>
          <w:sz w:val="20"/>
          <w:szCs w:val="20"/>
        </w:rPr>
        <w:t>involving retirements</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z w:val="20"/>
          <w:szCs w:val="20"/>
          <w:u w:val="single"/>
        </w:rPr>
        <w:t>shall</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should</w:t>
      </w:r>
      <w:r w:rsidRPr="00FC3DA5">
        <w:rPr>
          <w:rFonts w:ascii="Times New Roman" w:eastAsia="Times New Roman" w:hAnsi="Times New Roman" w:cs="Times New Roman"/>
          <w:sz w:val="20"/>
          <w:szCs w:val="20"/>
        </w:rPr>
        <w:t xml:space="preserve"> be aged.</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(h) No change.</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(i)</w:t>
      </w:r>
      <w:r w:rsidRPr="00FC3DA5">
        <w:rPr>
          <w:rFonts w:ascii="Times New Roman" w:eastAsia="Times New Roman" w:hAnsi="Times New Roman" w:cs="Times New Roman"/>
          <w:strike/>
          <w:sz w:val="20"/>
          <w:szCs w:val="20"/>
        </w:rPr>
        <w:t>(7)(a) Utilities shall provide</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z w:val="20"/>
          <w:szCs w:val="20"/>
          <w:u w:val="single"/>
        </w:rPr>
        <w:t>C</w:t>
      </w:r>
      <w:r w:rsidRPr="00FC3DA5">
        <w:rPr>
          <w:rFonts w:ascii="Times New Roman" w:eastAsia="Times New Roman" w:hAnsi="Times New Roman" w:cs="Times New Roman"/>
          <w:strike/>
          <w:sz w:val="20"/>
          <w:szCs w:val="20"/>
        </w:rPr>
        <w:t>c</w:t>
      </w:r>
      <w:r w:rsidRPr="00FC3DA5">
        <w:rPr>
          <w:rFonts w:ascii="Times New Roman" w:eastAsia="Times New Roman" w:hAnsi="Times New Roman" w:cs="Times New Roman"/>
          <w:sz w:val="20"/>
          <w:szCs w:val="20"/>
        </w:rPr>
        <w:t xml:space="preserve">alculations of depreciation rates using both the whole life </w:t>
      </w:r>
      <w:r w:rsidRPr="00FC3DA5">
        <w:rPr>
          <w:rFonts w:ascii="Times New Roman" w:eastAsia="Times New Roman" w:hAnsi="Times New Roman" w:cs="Times New Roman"/>
          <w:sz w:val="20"/>
          <w:szCs w:val="20"/>
          <w:u w:val="single"/>
        </w:rPr>
        <w:t>technique</w:t>
      </w:r>
      <w:r w:rsidRPr="00FC3DA5">
        <w:rPr>
          <w:rFonts w:ascii="Times New Roman" w:eastAsia="Times New Roman" w:hAnsi="Times New Roman" w:cs="Times New Roman"/>
          <w:sz w:val="20"/>
          <w:szCs w:val="20"/>
        </w:rPr>
        <w:t xml:space="preserve"> and the remaining life </w:t>
      </w:r>
      <w:r w:rsidRPr="00FC3DA5">
        <w:rPr>
          <w:rFonts w:ascii="Times New Roman" w:eastAsia="Times New Roman" w:hAnsi="Times New Roman" w:cs="Times New Roman"/>
          <w:sz w:val="20"/>
          <w:szCs w:val="20"/>
          <w:u w:val="single"/>
        </w:rPr>
        <w:t>technique</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method</w:t>
      </w:r>
      <w:r w:rsidRPr="00FC3DA5">
        <w:rPr>
          <w:rFonts w:ascii="Times New Roman" w:eastAsia="Times New Roman" w:hAnsi="Times New Roman" w:cs="Times New Roman"/>
          <w:sz w:val="20"/>
          <w:szCs w:val="20"/>
        </w:rPr>
        <w:t xml:space="preserve">. The use of these </w:t>
      </w:r>
      <w:r w:rsidRPr="00FC3DA5">
        <w:rPr>
          <w:rFonts w:ascii="Times New Roman" w:eastAsia="Times New Roman" w:hAnsi="Times New Roman" w:cs="Times New Roman"/>
          <w:sz w:val="20"/>
          <w:szCs w:val="20"/>
          <w:u w:val="single"/>
        </w:rPr>
        <w:t>techniques</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methods</w:t>
      </w:r>
      <w:r w:rsidRPr="00FC3DA5">
        <w:rPr>
          <w:rFonts w:ascii="Times New Roman" w:eastAsia="Times New Roman" w:hAnsi="Times New Roman" w:cs="Times New Roman"/>
          <w:sz w:val="20"/>
          <w:szCs w:val="20"/>
        </w:rPr>
        <w:t xml:space="preserve"> is required for all depreciable categories. Utilities may submit additional studies or methods for consideration by the Commission.</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trike/>
          <w:sz w:val="20"/>
          <w:szCs w:val="20"/>
        </w:rPr>
        <w:t>(b) The possibility of corrective reserve transfers shall be investigated by the Commission prior to changing depreciation rates.</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trike/>
          <w:sz w:val="20"/>
          <w:szCs w:val="20"/>
        </w:rPr>
        <w:t>(8)(a) Each company shall file a study for each category of depreciable property for Commission review at least once every five years from the submission date of the previous study unless otherwise required by the Commission.</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w:t>
      </w:r>
      <w:r w:rsidRPr="00FC3DA5">
        <w:rPr>
          <w:rFonts w:ascii="Times New Roman" w:eastAsia="Times New Roman" w:hAnsi="Times New Roman" w:cs="Times New Roman"/>
          <w:strike/>
          <w:sz w:val="20"/>
          <w:szCs w:val="20"/>
        </w:rPr>
        <w:t>b) A utility proposing an effective date of the beginning of its fiscal year shall submit its depreciation study no later than the mid-point of that fiscal year.</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trike/>
          <w:sz w:val="20"/>
          <w:szCs w:val="20"/>
        </w:rPr>
        <w:t>(c) A utility proposing an effective date coinciding with the expected date of additional revenues initiated through a rate case proceeding shall submit its depreciation study no later than the filing date of its Minimum Filing Requirements.</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(6)</w:t>
      </w:r>
      <w:r w:rsidRPr="00FC3DA5">
        <w:rPr>
          <w:rFonts w:ascii="Times New Roman" w:eastAsia="Times New Roman" w:hAnsi="Times New Roman" w:cs="Times New Roman"/>
          <w:strike/>
          <w:sz w:val="20"/>
          <w:szCs w:val="20"/>
        </w:rPr>
        <w:t>(9)</w:t>
      </w:r>
      <w:r w:rsidRPr="00FC3DA5">
        <w:rPr>
          <w:rFonts w:ascii="Times New Roman" w:eastAsia="Times New Roman" w:hAnsi="Times New Roman" w:cs="Times New Roman"/>
          <w:sz w:val="20"/>
          <w:szCs w:val="20"/>
        </w:rPr>
        <w:t xml:space="preserve"> As part of the filing of the annual report under subsection 25-7.014(3), F.A.C., each utility shall include an annual </w:t>
      </w:r>
      <w:r w:rsidRPr="00FC3DA5">
        <w:rPr>
          <w:rFonts w:ascii="Times New Roman" w:eastAsia="Times New Roman" w:hAnsi="Times New Roman" w:cs="Times New Roman"/>
          <w:sz w:val="20"/>
          <w:szCs w:val="20"/>
          <w:u w:val="single"/>
        </w:rPr>
        <w:t>depreciation</w:t>
      </w:r>
      <w:r w:rsidRPr="00FC3DA5">
        <w:rPr>
          <w:rFonts w:ascii="Times New Roman" w:eastAsia="Times New Roman" w:hAnsi="Times New Roman" w:cs="Times New Roman"/>
          <w:sz w:val="20"/>
          <w:szCs w:val="20"/>
        </w:rPr>
        <w:t xml:space="preserve"> status report. </w:t>
      </w:r>
      <w:r w:rsidRPr="00FC3DA5">
        <w:rPr>
          <w:rFonts w:ascii="Times New Roman" w:eastAsia="Times New Roman" w:hAnsi="Times New Roman" w:cs="Times New Roman"/>
          <w:sz w:val="20"/>
          <w:szCs w:val="20"/>
          <w:u w:val="single"/>
        </w:rPr>
        <w:t>The annual depreciation status report shall be provided in electronic format.</w:t>
      </w:r>
      <w:r w:rsidRPr="00FC3DA5">
        <w:rPr>
          <w:rFonts w:ascii="Times New Roman" w:eastAsia="Times New Roman" w:hAnsi="Times New Roman" w:cs="Times New Roman"/>
          <w:color w:val="C00000"/>
          <w:sz w:val="20"/>
          <w:szCs w:val="20"/>
          <w:u w:val="single"/>
        </w:rPr>
        <w:t xml:space="preserve"> </w:t>
      </w:r>
      <w:r w:rsidRPr="00FC3DA5">
        <w:rPr>
          <w:rFonts w:ascii="Times New Roman" w:eastAsia="Times New Roman" w:hAnsi="Times New Roman" w:cs="Times New Roman"/>
          <w:sz w:val="20"/>
          <w:szCs w:val="20"/>
          <w:u w:val="single"/>
        </w:rPr>
        <w:t xml:space="preserve"> In the electronic format, the formulas must be intact and unlocked.</w:t>
      </w:r>
      <w:r w:rsidRPr="00FC3DA5">
        <w:rPr>
          <w:rFonts w:ascii="Times New Roman" w:eastAsia="Times New Roman" w:hAnsi="Times New Roman" w:cs="Times New Roman"/>
          <w:sz w:val="20"/>
          <w:szCs w:val="20"/>
        </w:rPr>
        <w:t xml:space="preserve">  The </w:t>
      </w:r>
      <w:r w:rsidRPr="00FC3DA5">
        <w:rPr>
          <w:rFonts w:ascii="Times New Roman" w:eastAsia="Times New Roman" w:hAnsi="Times New Roman" w:cs="Times New Roman"/>
          <w:sz w:val="20"/>
          <w:szCs w:val="20"/>
          <w:u w:val="single"/>
        </w:rPr>
        <w:t>annual depreciation status</w:t>
      </w:r>
      <w:r w:rsidRPr="00FC3DA5">
        <w:rPr>
          <w:rFonts w:ascii="Times New Roman" w:eastAsia="Times New Roman" w:hAnsi="Times New Roman" w:cs="Times New Roman"/>
          <w:sz w:val="20"/>
          <w:szCs w:val="20"/>
        </w:rPr>
        <w:t xml:space="preserve"> report shall include booked plant activity (plant balance at the beginning of the year, additions, adjustments, transfers, reclassifications, retirements and plant balance at year end) and reserve activity (reserve balance at the beginning of the year, retirements, accruals, salvage, cost of removal, adjustments, transfers, reclassifications and reserve balance at end of year) for each category of investment for which a depreciation rate, amortization schedule, or capital recovery </w:t>
      </w:r>
      <w:r w:rsidRPr="00FC3DA5">
        <w:rPr>
          <w:rFonts w:ascii="Times New Roman" w:eastAsia="Times New Roman" w:hAnsi="Times New Roman" w:cs="Times New Roman"/>
          <w:sz w:val="20"/>
          <w:szCs w:val="20"/>
        </w:rPr>
        <w:lastRenderedPageBreak/>
        <w:t xml:space="preserve">schedule has been approved. The report shall indicate for each category </w:t>
      </w:r>
      <w:r w:rsidRPr="00FC3DA5">
        <w:rPr>
          <w:rFonts w:ascii="Times New Roman" w:eastAsia="Times New Roman" w:hAnsi="Times New Roman" w:cs="Times New Roman"/>
          <w:strike/>
          <w:sz w:val="20"/>
          <w:szCs w:val="20"/>
        </w:rPr>
        <w:t>that:</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z w:val="20"/>
          <w:szCs w:val="20"/>
          <w:u w:val="single"/>
        </w:rPr>
        <w:t>whether  there has been a change of plans or utility experience since the filing of the last annual depreciation status report requiring a revision of the rates, amortization, or capital recovery schedules. For any category where current conditions indicate a need for revision of depreciation rates, amortization, or capital recovery schedules and no revision is sought, the report shall explain why no revision is requested.</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trike/>
          <w:sz w:val="20"/>
          <w:szCs w:val="20"/>
        </w:rPr>
        <w:t>(a) There has been no change of plans or utility experience requiring a revision of the rates, amortization, or capital recovery schedules; or</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trike/>
          <w:sz w:val="20"/>
          <w:szCs w:val="20"/>
        </w:rPr>
        <w:t>(b) There has been a change requiring a revision of rates, amortization, or capital recovery schedules. For any category where current conditions indicate a need for revision of depreciation rates, amortization, or capital recovery schedules and no revision is sought, the report shall explain why no revision is requested.</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(7)</w:t>
      </w:r>
      <w:r w:rsidRPr="00FC3DA5">
        <w:rPr>
          <w:rFonts w:ascii="Times New Roman" w:eastAsia="Times New Roman" w:hAnsi="Times New Roman" w:cs="Times New Roman"/>
          <w:strike/>
          <w:sz w:val="20"/>
          <w:szCs w:val="20"/>
        </w:rPr>
        <w:t>(10)</w:t>
      </w:r>
      <w:r w:rsidRPr="00FC3DA5">
        <w:rPr>
          <w:rFonts w:ascii="Times New Roman" w:eastAsia="Times New Roman" w:hAnsi="Times New Roman" w:cs="Times New Roman"/>
          <w:sz w:val="20"/>
          <w:szCs w:val="20"/>
        </w:rPr>
        <w:t>(a) Prior to the date of retirement of major installations, the Commission may approve capital recovery schedules to correct associated calculated deficiencies where a utility demonstrates that (1) replacement of an installation or group of installations is prudent, and (2) the associated investment will not be recovered by the time of retirement through the normal depreciation process.</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 xml:space="preserve">(b) The Commission </w:t>
      </w:r>
      <w:r w:rsidRPr="00FC3DA5">
        <w:rPr>
          <w:rFonts w:ascii="Times New Roman" w:eastAsia="Times New Roman" w:hAnsi="Times New Roman" w:cs="Times New Roman"/>
          <w:sz w:val="20"/>
          <w:szCs w:val="20"/>
          <w:u w:val="single"/>
        </w:rPr>
        <w:t>shall</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may</w:t>
      </w:r>
      <w:r w:rsidRPr="00FC3DA5">
        <w:rPr>
          <w:rFonts w:ascii="Times New Roman" w:eastAsia="Times New Roman" w:hAnsi="Times New Roman" w:cs="Times New Roman"/>
          <w:sz w:val="20"/>
          <w:szCs w:val="20"/>
        </w:rPr>
        <w:t xml:space="preserve"> approve a special capital recovery schedule when an installation is designed for a specific purpose or for a limited duration.</w:t>
      </w:r>
    </w:p>
    <w:p w:rsidR="00FC3DA5" w:rsidRPr="00FC3DA5" w:rsidRDefault="00FC3DA5" w:rsidP="00FC3DA5">
      <w:pPr>
        <w:widowControl w:val="0"/>
        <w:tabs>
          <w:tab w:val="left" w:pos="36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sz w:val="20"/>
          <w:szCs w:val="20"/>
        </w:rPr>
        <w:tab/>
        <w:t>(c) No change.</w:t>
      </w:r>
    </w:p>
    <w:p w:rsidR="00FC3DA5" w:rsidRPr="00FC3DA5" w:rsidRDefault="00FC3DA5" w:rsidP="00FC3DA5">
      <w:pPr>
        <w:widowControl w:val="0"/>
        <w:tabs>
          <w:tab w:val="left" w:pos="720"/>
        </w:tabs>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i/>
          <w:sz w:val="20"/>
          <w:szCs w:val="20"/>
        </w:rPr>
        <w:t xml:space="preserve">Rulemaking Authority 350.127(2), </w:t>
      </w:r>
      <w:r w:rsidRPr="00FC3DA5">
        <w:rPr>
          <w:rFonts w:ascii="Times New Roman" w:eastAsia="Times New Roman" w:hAnsi="Times New Roman" w:cs="Times New Roman"/>
          <w:i/>
          <w:sz w:val="20"/>
          <w:szCs w:val="20"/>
          <w:u w:val="single"/>
        </w:rPr>
        <w:t>350.115</w:t>
      </w:r>
      <w:r w:rsidRPr="00FC3DA5">
        <w:rPr>
          <w:rFonts w:ascii="Times New Roman" w:eastAsia="Times New Roman" w:hAnsi="Times New Roman" w:cs="Times New Roman"/>
          <w:i/>
          <w:sz w:val="20"/>
          <w:szCs w:val="20"/>
        </w:rPr>
        <w:t xml:space="preserve">, 366.05(1) FS. Law Implemented 350.115, </w:t>
      </w:r>
      <w:r w:rsidRPr="00FC3DA5">
        <w:rPr>
          <w:rFonts w:ascii="Times New Roman" w:eastAsia="Times New Roman" w:hAnsi="Times New Roman" w:cs="Times New Roman"/>
          <w:i/>
          <w:sz w:val="20"/>
          <w:szCs w:val="20"/>
          <w:u w:val="single"/>
        </w:rPr>
        <w:t>366.04(2(f)</w:t>
      </w:r>
      <w:r w:rsidRPr="00FC3DA5">
        <w:rPr>
          <w:rFonts w:ascii="Times New Roman" w:eastAsia="Times New Roman" w:hAnsi="Times New Roman" w:cs="Times New Roman"/>
          <w:i/>
          <w:sz w:val="20"/>
          <w:szCs w:val="20"/>
        </w:rPr>
        <w:t xml:space="preserve">, 366.06, </w:t>
      </w:r>
      <w:r w:rsidRPr="00FC3DA5">
        <w:rPr>
          <w:rFonts w:ascii="Times New Roman" w:eastAsia="Times New Roman" w:hAnsi="Times New Roman" w:cs="Times New Roman"/>
          <w:i/>
          <w:sz w:val="20"/>
          <w:szCs w:val="20"/>
          <w:u w:val="single"/>
        </w:rPr>
        <w:t>366.06(1)</w:t>
      </w:r>
      <w:r w:rsidRPr="00FC3DA5">
        <w:rPr>
          <w:rFonts w:ascii="Times New Roman" w:eastAsia="Times New Roman" w:hAnsi="Times New Roman" w:cs="Times New Roman"/>
          <w:i/>
          <w:sz w:val="20"/>
          <w:szCs w:val="20"/>
        </w:rPr>
        <w:t xml:space="preserve"> FS. History–New 11-11-82, Amended 1-6-85, Formerly 25-7.45, Amended 4-27-88, 12-12-91, 5-29-08, ________.</w:t>
      </w:r>
    </w:p>
    <w:p w:rsidR="00FC3DA5" w:rsidRPr="00FC3DA5" w:rsidRDefault="00FC3DA5" w:rsidP="00FC3DA5">
      <w:pPr>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b/>
          <w:sz w:val="20"/>
          <w:szCs w:val="20"/>
        </w:rPr>
        <w:t> </w:t>
      </w:r>
    </w:p>
    <w:p w:rsidR="00FC3DA5" w:rsidRPr="00FC3DA5" w:rsidRDefault="00FC3DA5" w:rsidP="00FC3DA5">
      <w:pPr>
        <w:spacing w:after="0" w:line="312" w:lineRule="auto"/>
        <w:rPr>
          <w:rFonts w:ascii="Times New Roman" w:eastAsia="Times New Roman" w:hAnsi="Times New Roman" w:cs="Times New Roman"/>
          <w:sz w:val="24"/>
          <w:szCs w:val="24"/>
        </w:rPr>
      </w:pPr>
      <w:r w:rsidRPr="00FC3DA5">
        <w:rPr>
          <w:rFonts w:ascii="Times New Roman" w:eastAsia="Times New Roman" w:hAnsi="Times New Roman" w:cs="Times New Roman"/>
          <w:b/>
          <w:sz w:val="20"/>
          <w:szCs w:val="20"/>
        </w:rPr>
        <w:t> </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b/>
          <w:sz w:val="20"/>
          <w:szCs w:val="20"/>
        </w:rPr>
        <w:tab/>
        <w:t>25-7.046 Subcategories of Gas Plant for Depreciation.</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t xml:space="preserve">(1) The accounts under subsection (3) below are to be used in the design of depreciation rates. They are intended to group together items which are relatively homogeneous in their expected life and salvage characteristics. Reserve, mortality data, salvage and costs of removal </w:t>
      </w:r>
      <w:r w:rsidRPr="00FC3DA5">
        <w:rPr>
          <w:rFonts w:ascii="Times New Roman" w:eastAsia="Times New Roman" w:hAnsi="Times New Roman" w:cs="Times New Roman"/>
          <w:sz w:val="20"/>
          <w:szCs w:val="20"/>
          <w:u w:val="single"/>
        </w:rPr>
        <w:t>shall</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should</w:t>
      </w:r>
      <w:r w:rsidRPr="00FC3DA5">
        <w:rPr>
          <w:rFonts w:ascii="Times New Roman" w:eastAsia="Times New Roman" w:hAnsi="Times New Roman" w:cs="Times New Roman"/>
          <w:sz w:val="20"/>
          <w:szCs w:val="20"/>
        </w:rPr>
        <w:t xml:space="preserve"> be maintained accordingly for each depreciation category for which a depreciation rate is to be applied. This </w:t>
      </w:r>
      <w:r w:rsidRPr="00FC3DA5">
        <w:rPr>
          <w:rFonts w:ascii="Times New Roman" w:eastAsia="Times New Roman" w:hAnsi="Times New Roman" w:cs="Times New Roman"/>
          <w:sz w:val="20"/>
          <w:szCs w:val="20"/>
          <w:u w:val="single"/>
        </w:rPr>
        <w:t>shall</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should</w:t>
      </w:r>
      <w:r w:rsidRPr="00FC3DA5">
        <w:rPr>
          <w:rFonts w:ascii="Times New Roman" w:eastAsia="Times New Roman" w:hAnsi="Times New Roman" w:cs="Times New Roman"/>
          <w:sz w:val="20"/>
          <w:szCs w:val="20"/>
        </w:rPr>
        <w:t xml:space="preserve"> be done on the books of the company, or as a side record for depreciation study use only.</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t>(2)(a) through (b) No change.</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t xml:space="preserve">(3) </w:t>
      </w:r>
      <w:r w:rsidRPr="00FC3DA5">
        <w:rPr>
          <w:rFonts w:ascii="Times New Roman" w:eastAsia="Times New Roman" w:hAnsi="Times New Roman" w:cs="Times New Roman"/>
          <w:sz w:val="20"/>
          <w:szCs w:val="20"/>
          <w:u w:val="single"/>
        </w:rPr>
        <w:t>The depreciation accounts listed below shall be in accordance with the Uniform System of Accounts for Natural Gas Companies (USOA) as found in the Code of Federal Regulations, Title 18, Subchapter F, Part 201, as revised April 1, 2013, which is incorporated by reference in Rule 25-7.014(1), F.A.C.  New depreciation subaccounts shall be established under these accounts as listed in subsection 25-7.014(1), F.A.C.</w:t>
      </w:r>
      <w:r w:rsidRPr="00FC3DA5">
        <w:rPr>
          <w:rFonts w:ascii="Times New Roman" w:eastAsia="Times New Roman" w:hAnsi="Times New Roman" w:cs="Times New Roman"/>
          <w:i/>
          <w:sz w:val="20"/>
          <w:szCs w:val="20"/>
        </w:rPr>
        <w:t xml:space="preserve"> </w:t>
      </w:r>
      <w:r w:rsidRPr="00FC3DA5">
        <w:rPr>
          <w:rFonts w:ascii="Times New Roman" w:eastAsia="Times New Roman" w:hAnsi="Times New Roman" w:cs="Times New Roman"/>
          <w:strike/>
          <w:sz w:val="20"/>
          <w:szCs w:val="20"/>
        </w:rPr>
        <w:t>The accounts listed below directly follow the primary plant accounts prescribed in the Uniform System of Accounts prescribed by the Federal Energy Regulatory Commission in the Code of Federal Regulations, Title 18, Subchapter F, Part 201, as revised, April 1, 1981, introducing sub-divisions within those accounts for the purpose of uniformity among the companies in depreciation studies.</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(a)</w:t>
      </w:r>
      <w:r w:rsidRPr="00FC3DA5">
        <w:rPr>
          <w:rFonts w:ascii="Times New Roman" w:eastAsia="Times New Roman" w:hAnsi="Times New Roman" w:cs="Times New Roman"/>
          <w:strike/>
          <w:sz w:val="20"/>
          <w:szCs w:val="20"/>
        </w:rPr>
        <w:t>I.</w:t>
      </w:r>
      <w:r w:rsidRPr="00FC3DA5">
        <w:rPr>
          <w:rFonts w:ascii="Times New Roman" w:eastAsia="Times New Roman" w:hAnsi="Times New Roman" w:cs="Times New Roman"/>
          <w:sz w:val="20"/>
          <w:szCs w:val="20"/>
        </w:rPr>
        <w:t xml:space="preserve"> Local Storage Plant.</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1.</w:t>
      </w:r>
      <w:r w:rsidRPr="00FC3DA5">
        <w:rPr>
          <w:rFonts w:ascii="Times New Roman" w:eastAsia="Times New Roman" w:hAnsi="Times New Roman" w:cs="Times New Roman"/>
          <w:strike/>
          <w:sz w:val="20"/>
          <w:szCs w:val="20"/>
        </w:rPr>
        <w:t>A.</w:t>
      </w:r>
      <w:r w:rsidRPr="00FC3DA5">
        <w:rPr>
          <w:rFonts w:ascii="Times New Roman" w:eastAsia="Times New Roman" w:hAnsi="Times New Roman" w:cs="Times New Roman"/>
          <w:sz w:val="20"/>
          <w:szCs w:val="20"/>
        </w:rPr>
        <w:t xml:space="preserve"> Structures and Improvements – (Account 361)</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2.</w:t>
      </w:r>
      <w:r w:rsidRPr="00FC3DA5">
        <w:rPr>
          <w:rFonts w:ascii="Times New Roman" w:eastAsia="Times New Roman" w:hAnsi="Times New Roman" w:cs="Times New Roman"/>
          <w:strike/>
          <w:sz w:val="20"/>
          <w:szCs w:val="20"/>
        </w:rPr>
        <w:t>B.</w:t>
      </w:r>
      <w:r w:rsidRPr="00FC3DA5">
        <w:rPr>
          <w:rFonts w:ascii="Times New Roman" w:eastAsia="Times New Roman" w:hAnsi="Times New Roman" w:cs="Times New Roman"/>
          <w:sz w:val="20"/>
          <w:szCs w:val="20"/>
        </w:rPr>
        <w:t xml:space="preserve"> Gas Holders – (Account 362)</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3.</w:t>
      </w:r>
      <w:r w:rsidRPr="00FC3DA5">
        <w:rPr>
          <w:rFonts w:ascii="Times New Roman" w:eastAsia="Times New Roman" w:hAnsi="Times New Roman" w:cs="Times New Roman"/>
          <w:strike/>
          <w:sz w:val="20"/>
          <w:szCs w:val="20"/>
        </w:rPr>
        <w:t>C.</w:t>
      </w:r>
      <w:r w:rsidRPr="00FC3DA5">
        <w:rPr>
          <w:rFonts w:ascii="Times New Roman" w:eastAsia="Times New Roman" w:hAnsi="Times New Roman" w:cs="Times New Roman"/>
          <w:sz w:val="20"/>
          <w:szCs w:val="20"/>
        </w:rPr>
        <w:t xml:space="preserve"> Other – (Account 363) – Equipment such as compressors, gauges and other instruments used in connection with the storage of gas in holders.</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(b)</w:t>
      </w:r>
      <w:r w:rsidRPr="00FC3DA5">
        <w:rPr>
          <w:rFonts w:ascii="Times New Roman" w:eastAsia="Times New Roman" w:hAnsi="Times New Roman" w:cs="Times New Roman"/>
          <w:strike/>
          <w:sz w:val="20"/>
          <w:szCs w:val="20"/>
        </w:rPr>
        <w:t>II.</w:t>
      </w:r>
      <w:r w:rsidRPr="00FC3DA5">
        <w:rPr>
          <w:rFonts w:ascii="Times New Roman" w:eastAsia="Times New Roman" w:hAnsi="Times New Roman" w:cs="Times New Roman"/>
          <w:sz w:val="20"/>
          <w:szCs w:val="20"/>
        </w:rPr>
        <w:t xml:space="preserve"> Distribution Plant.</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1.</w:t>
      </w:r>
      <w:r w:rsidRPr="00FC3DA5">
        <w:rPr>
          <w:rFonts w:ascii="Times New Roman" w:eastAsia="Times New Roman" w:hAnsi="Times New Roman" w:cs="Times New Roman"/>
          <w:strike/>
          <w:sz w:val="20"/>
          <w:szCs w:val="20"/>
        </w:rPr>
        <w:t>A.</w:t>
      </w:r>
      <w:r w:rsidRPr="00FC3DA5">
        <w:rPr>
          <w:rFonts w:ascii="Times New Roman" w:eastAsia="Times New Roman" w:hAnsi="Times New Roman" w:cs="Times New Roman"/>
          <w:sz w:val="20"/>
          <w:szCs w:val="20"/>
        </w:rPr>
        <w:t xml:space="preserve"> Structures and Improvements – (Account 375)</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2.</w:t>
      </w:r>
      <w:r w:rsidRPr="00FC3DA5">
        <w:rPr>
          <w:rFonts w:ascii="Times New Roman" w:eastAsia="Times New Roman" w:hAnsi="Times New Roman" w:cs="Times New Roman"/>
          <w:strike/>
          <w:sz w:val="20"/>
          <w:szCs w:val="20"/>
        </w:rPr>
        <w:t>B.</w:t>
      </w:r>
      <w:r w:rsidRPr="00FC3DA5">
        <w:rPr>
          <w:rFonts w:ascii="Times New Roman" w:eastAsia="Times New Roman" w:hAnsi="Times New Roman" w:cs="Times New Roman"/>
          <w:sz w:val="20"/>
          <w:szCs w:val="20"/>
        </w:rPr>
        <w:t xml:space="preserve"> Mains – (Account 376) – The following sub-accounts </w:t>
      </w:r>
      <w:r w:rsidRPr="00FC3DA5">
        <w:rPr>
          <w:rFonts w:ascii="Times New Roman" w:eastAsia="Times New Roman" w:hAnsi="Times New Roman" w:cs="Times New Roman"/>
          <w:sz w:val="20"/>
          <w:szCs w:val="20"/>
          <w:u w:val="single"/>
        </w:rPr>
        <w:t>shall</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should</w:t>
      </w:r>
      <w:r w:rsidRPr="00FC3DA5">
        <w:rPr>
          <w:rFonts w:ascii="Times New Roman" w:eastAsia="Times New Roman" w:hAnsi="Times New Roman" w:cs="Times New Roman"/>
          <w:sz w:val="20"/>
          <w:szCs w:val="20"/>
        </w:rPr>
        <w:t xml:space="preserve"> be used:</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a.</w:t>
      </w:r>
      <w:r w:rsidRPr="00FC3DA5">
        <w:rPr>
          <w:rFonts w:ascii="Times New Roman" w:eastAsia="Times New Roman" w:hAnsi="Times New Roman" w:cs="Times New Roman"/>
          <w:strike/>
          <w:sz w:val="20"/>
          <w:szCs w:val="20"/>
        </w:rPr>
        <w:t>1.</w:t>
      </w:r>
      <w:r w:rsidRPr="00FC3DA5">
        <w:rPr>
          <w:rFonts w:ascii="Times New Roman" w:eastAsia="Times New Roman" w:hAnsi="Times New Roman" w:cs="Times New Roman"/>
          <w:sz w:val="20"/>
          <w:szCs w:val="20"/>
        </w:rPr>
        <w:t xml:space="preserve"> Plastic</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b.</w:t>
      </w:r>
      <w:r w:rsidRPr="00FC3DA5">
        <w:rPr>
          <w:rFonts w:ascii="Times New Roman" w:eastAsia="Times New Roman" w:hAnsi="Times New Roman" w:cs="Times New Roman"/>
          <w:strike/>
          <w:sz w:val="20"/>
          <w:szCs w:val="20"/>
        </w:rPr>
        <w:t>2.</w:t>
      </w:r>
      <w:r w:rsidRPr="00FC3DA5">
        <w:rPr>
          <w:rFonts w:ascii="Times New Roman" w:eastAsia="Times New Roman" w:hAnsi="Times New Roman" w:cs="Times New Roman"/>
          <w:sz w:val="20"/>
          <w:szCs w:val="20"/>
        </w:rPr>
        <w:t xml:space="preserve"> Other – cast iron, steel, etc.</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3.</w:t>
      </w:r>
      <w:r w:rsidRPr="00FC3DA5">
        <w:rPr>
          <w:rFonts w:ascii="Times New Roman" w:eastAsia="Times New Roman" w:hAnsi="Times New Roman" w:cs="Times New Roman"/>
          <w:strike/>
          <w:sz w:val="20"/>
          <w:szCs w:val="20"/>
        </w:rPr>
        <w:t>C.</w:t>
      </w:r>
      <w:r w:rsidRPr="00FC3DA5">
        <w:rPr>
          <w:rFonts w:ascii="Times New Roman" w:eastAsia="Times New Roman" w:hAnsi="Times New Roman" w:cs="Times New Roman"/>
          <w:sz w:val="20"/>
          <w:szCs w:val="20"/>
        </w:rPr>
        <w:t xml:space="preserve"> Compressor Station Equipment – (Account 377)</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lastRenderedPageBreak/>
        <w:tab/>
      </w:r>
      <w:r w:rsidRPr="00FC3DA5">
        <w:rPr>
          <w:rFonts w:ascii="Times New Roman" w:eastAsia="Times New Roman" w:hAnsi="Times New Roman" w:cs="Times New Roman"/>
          <w:sz w:val="20"/>
          <w:szCs w:val="20"/>
          <w:u w:val="single"/>
        </w:rPr>
        <w:t>4.</w:t>
      </w:r>
      <w:r w:rsidRPr="00FC3DA5">
        <w:rPr>
          <w:rFonts w:ascii="Times New Roman" w:eastAsia="Times New Roman" w:hAnsi="Times New Roman" w:cs="Times New Roman"/>
          <w:strike/>
          <w:sz w:val="20"/>
          <w:szCs w:val="20"/>
        </w:rPr>
        <w:t>D.</w:t>
      </w:r>
      <w:r w:rsidRPr="00FC3DA5">
        <w:rPr>
          <w:rFonts w:ascii="Times New Roman" w:eastAsia="Times New Roman" w:hAnsi="Times New Roman" w:cs="Times New Roman"/>
          <w:sz w:val="20"/>
          <w:szCs w:val="20"/>
        </w:rPr>
        <w:t xml:space="preserve"> Measuring and Regulating Equipment – General – (Account 378) – Equipment used in measuring and regulating gas in connection with distribution systems other than the measurements of gas deliveries to customers.</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5.</w:t>
      </w:r>
      <w:r w:rsidRPr="00FC3DA5">
        <w:rPr>
          <w:rFonts w:ascii="Times New Roman" w:eastAsia="Times New Roman" w:hAnsi="Times New Roman" w:cs="Times New Roman"/>
          <w:strike/>
          <w:sz w:val="20"/>
          <w:szCs w:val="20"/>
        </w:rPr>
        <w:t>E.</w:t>
      </w:r>
      <w:r w:rsidRPr="00FC3DA5">
        <w:rPr>
          <w:rFonts w:ascii="Times New Roman" w:eastAsia="Times New Roman" w:hAnsi="Times New Roman" w:cs="Times New Roman"/>
          <w:sz w:val="20"/>
          <w:szCs w:val="20"/>
        </w:rPr>
        <w:t xml:space="preserve"> Measuring and Regulating Equipment – City Gate – (Account 379) – Equipment used in measuring of gas at entry points to distribution systems.</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6.</w:t>
      </w:r>
      <w:r w:rsidRPr="00FC3DA5">
        <w:rPr>
          <w:rFonts w:ascii="Times New Roman" w:eastAsia="Times New Roman" w:hAnsi="Times New Roman" w:cs="Times New Roman"/>
          <w:strike/>
          <w:sz w:val="20"/>
          <w:szCs w:val="20"/>
        </w:rPr>
        <w:t>F.</w:t>
      </w:r>
      <w:r w:rsidRPr="00FC3DA5">
        <w:rPr>
          <w:rFonts w:ascii="Times New Roman" w:eastAsia="Times New Roman" w:hAnsi="Times New Roman" w:cs="Times New Roman"/>
          <w:sz w:val="20"/>
          <w:szCs w:val="20"/>
        </w:rPr>
        <w:t xml:space="preserve"> Services – (Account 380) – The following sub-accounts </w:t>
      </w:r>
      <w:r w:rsidRPr="00FC3DA5">
        <w:rPr>
          <w:rFonts w:ascii="Times New Roman" w:eastAsia="Times New Roman" w:hAnsi="Times New Roman" w:cs="Times New Roman"/>
          <w:sz w:val="20"/>
          <w:szCs w:val="20"/>
          <w:u w:val="single"/>
        </w:rPr>
        <w:t>shall</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should</w:t>
      </w:r>
      <w:r w:rsidRPr="00FC3DA5">
        <w:rPr>
          <w:rFonts w:ascii="Times New Roman" w:eastAsia="Times New Roman" w:hAnsi="Times New Roman" w:cs="Times New Roman"/>
          <w:sz w:val="20"/>
          <w:szCs w:val="20"/>
        </w:rPr>
        <w:t xml:space="preserve"> be used:</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a.</w:t>
      </w:r>
      <w:r w:rsidRPr="00FC3DA5">
        <w:rPr>
          <w:rFonts w:ascii="Times New Roman" w:eastAsia="Times New Roman" w:hAnsi="Times New Roman" w:cs="Times New Roman"/>
          <w:strike/>
          <w:sz w:val="20"/>
          <w:szCs w:val="20"/>
        </w:rPr>
        <w:t>1.</w:t>
      </w:r>
      <w:r w:rsidRPr="00FC3DA5">
        <w:rPr>
          <w:rFonts w:ascii="Times New Roman" w:eastAsia="Times New Roman" w:hAnsi="Times New Roman" w:cs="Times New Roman"/>
          <w:sz w:val="20"/>
          <w:szCs w:val="20"/>
        </w:rPr>
        <w:t xml:space="preserve"> Plastic</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b.</w:t>
      </w:r>
      <w:r w:rsidRPr="00FC3DA5">
        <w:rPr>
          <w:rFonts w:ascii="Times New Roman" w:eastAsia="Times New Roman" w:hAnsi="Times New Roman" w:cs="Times New Roman"/>
          <w:strike/>
          <w:sz w:val="20"/>
          <w:szCs w:val="20"/>
        </w:rPr>
        <w:t>2.</w:t>
      </w:r>
      <w:r w:rsidRPr="00FC3DA5">
        <w:rPr>
          <w:rFonts w:ascii="Times New Roman" w:eastAsia="Times New Roman" w:hAnsi="Times New Roman" w:cs="Times New Roman"/>
          <w:sz w:val="20"/>
          <w:szCs w:val="20"/>
        </w:rPr>
        <w:t xml:space="preserve"> Other – cast iron, steel, etc.</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7.</w:t>
      </w:r>
      <w:r w:rsidRPr="00FC3DA5">
        <w:rPr>
          <w:rFonts w:ascii="Times New Roman" w:eastAsia="Times New Roman" w:hAnsi="Times New Roman" w:cs="Times New Roman"/>
          <w:strike/>
          <w:sz w:val="20"/>
          <w:szCs w:val="20"/>
        </w:rPr>
        <w:t>G.</w:t>
      </w:r>
      <w:r w:rsidRPr="00FC3DA5">
        <w:rPr>
          <w:rFonts w:ascii="Times New Roman" w:eastAsia="Times New Roman" w:hAnsi="Times New Roman" w:cs="Times New Roman"/>
          <w:sz w:val="20"/>
          <w:szCs w:val="20"/>
        </w:rPr>
        <w:t xml:space="preserve"> Meters – (Account 381)</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8.</w:t>
      </w:r>
      <w:r w:rsidRPr="00FC3DA5">
        <w:rPr>
          <w:rFonts w:ascii="Times New Roman" w:eastAsia="Times New Roman" w:hAnsi="Times New Roman" w:cs="Times New Roman"/>
          <w:strike/>
          <w:sz w:val="20"/>
          <w:szCs w:val="20"/>
        </w:rPr>
        <w:t>H.</w:t>
      </w:r>
      <w:r w:rsidRPr="00FC3DA5">
        <w:rPr>
          <w:rFonts w:ascii="Times New Roman" w:eastAsia="Times New Roman" w:hAnsi="Times New Roman" w:cs="Times New Roman"/>
          <w:sz w:val="20"/>
          <w:szCs w:val="20"/>
        </w:rPr>
        <w:t xml:space="preserve"> Meter Installations – (Account 382)</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9.</w:t>
      </w:r>
      <w:r w:rsidRPr="00FC3DA5">
        <w:rPr>
          <w:rFonts w:ascii="Times New Roman" w:eastAsia="Times New Roman" w:hAnsi="Times New Roman" w:cs="Times New Roman"/>
          <w:strike/>
          <w:sz w:val="20"/>
          <w:szCs w:val="20"/>
        </w:rPr>
        <w:t>I.</w:t>
      </w:r>
      <w:r w:rsidRPr="00FC3DA5">
        <w:rPr>
          <w:rFonts w:ascii="Times New Roman" w:eastAsia="Times New Roman" w:hAnsi="Times New Roman" w:cs="Times New Roman"/>
          <w:sz w:val="20"/>
          <w:szCs w:val="20"/>
        </w:rPr>
        <w:t xml:space="preserve"> Regulators – (Account 383)</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10.</w:t>
      </w:r>
      <w:r w:rsidRPr="00FC3DA5">
        <w:rPr>
          <w:rFonts w:ascii="Times New Roman" w:eastAsia="Times New Roman" w:hAnsi="Times New Roman" w:cs="Times New Roman"/>
          <w:strike/>
          <w:sz w:val="20"/>
          <w:szCs w:val="20"/>
        </w:rPr>
        <w:t>J.</w:t>
      </w:r>
      <w:r w:rsidRPr="00FC3DA5">
        <w:rPr>
          <w:rFonts w:ascii="Times New Roman" w:eastAsia="Times New Roman" w:hAnsi="Times New Roman" w:cs="Times New Roman"/>
          <w:sz w:val="20"/>
          <w:szCs w:val="20"/>
        </w:rPr>
        <w:t xml:space="preserve"> Regulator Installations – (Account 384)</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11.</w:t>
      </w:r>
      <w:r w:rsidRPr="00FC3DA5">
        <w:rPr>
          <w:rFonts w:ascii="Times New Roman" w:eastAsia="Times New Roman" w:hAnsi="Times New Roman" w:cs="Times New Roman"/>
          <w:strike/>
          <w:sz w:val="20"/>
          <w:szCs w:val="20"/>
        </w:rPr>
        <w:t>K.</w:t>
      </w:r>
      <w:r w:rsidRPr="00FC3DA5">
        <w:rPr>
          <w:rFonts w:ascii="Times New Roman" w:eastAsia="Times New Roman" w:hAnsi="Times New Roman" w:cs="Times New Roman"/>
          <w:sz w:val="20"/>
          <w:szCs w:val="20"/>
        </w:rPr>
        <w:t xml:space="preserve"> Industrial Measuring and Regulating Equipment – (Account 385)</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12.</w:t>
      </w:r>
      <w:r w:rsidRPr="00FC3DA5">
        <w:rPr>
          <w:rFonts w:ascii="Times New Roman" w:eastAsia="Times New Roman" w:hAnsi="Times New Roman" w:cs="Times New Roman"/>
          <w:strike/>
          <w:sz w:val="20"/>
          <w:szCs w:val="20"/>
        </w:rPr>
        <w:t>L.</w:t>
      </w:r>
      <w:r w:rsidRPr="00FC3DA5">
        <w:rPr>
          <w:rFonts w:ascii="Times New Roman" w:eastAsia="Times New Roman" w:hAnsi="Times New Roman" w:cs="Times New Roman"/>
          <w:sz w:val="20"/>
          <w:szCs w:val="20"/>
        </w:rPr>
        <w:t xml:space="preserve"> Other Property on Customer’s Premises – (Account 386) – Investment of equipment owned by the company installed on the customer’s premises that is not includible in other accounts.</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13.</w:t>
      </w:r>
      <w:r w:rsidRPr="00FC3DA5">
        <w:rPr>
          <w:rFonts w:ascii="Times New Roman" w:eastAsia="Times New Roman" w:hAnsi="Times New Roman" w:cs="Times New Roman"/>
          <w:strike/>
          <w:sz w:val="20"/>
          <w:szCs w:val="20"/>
        </w:rPr>
        <w:t>M.</w:t>
      </w:r>
      <w:r w:rsidRPr="00FC3DA5">
        <w:rPr>
          <w:rFonts w:ascii="Times New Roman" w:eastAsia="Times New Roman" w:hAnsi="Times New Roman" w:cs="Times New Roman"/>
          <w:sz w:val="20"/>
          <w:szCs w:val="20"/>
        </w:rPr>
        <w:t xml:space="preserve"> Other Equipment – (Account 387) – Investment in equipment used for the distribution system not included in any of the above accounts such as fire protection equipment, leak detectors, pipe locators</w:t>
      </w:r>
      <w:r w:rsidRPr="00FC3DA5">
        <w:rPr>
          <w:rFonts w:ascii="Times New Roman" w:eastAsia="Times New Roman" w:hAnsi="Times New Roman" w:cs="Times New Roman"/>
          <w:sz w:val="20"/>
          <w:szCs w:val="20"/>
          <w:u w:val="single"/>
        </w:rPr>
        <w:t>.</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 etc.</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(c)</w:t>
      </w:r>
      <w:r w:rsidRPr="00FC3DA5">
        <w:rPr>
          <w:rFonts w:ascii="Times New Roman" w:eastAsia="Times New Roman" w:hAnsi="Times New Roman" w:cs="Times New Roman"/>
          <w:strike/>
          <w:sz w:val="20"/>
          <w:szCs w:val="20"/>
        </w:rPr>
        <w:t>III.</w:t>
      </w:r>
      <w:r w:rsidRPr="00FC3DA5">
        <w:rPr>
          <w:rFonts w:ascii="Times New Roman" w:eastAsia="Times New Roman" w:hAnsi="Times New Roman" w:cs="Times New Roman"/>
          <w:sz w:val="20"/>
          <w:szCs w:val="20"/>
        </w:rPr>
        <w:t xml:space="preserve"> General Plant.</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1.</w:t>
      </w:r>
      <w:r w:rsidRPr="00FC3DA5">
        <w:rPr>
          <w:rFonts w:ascii="Times New Roman" w:eastAsia="Times New Roman" w:hAnsi="Times New Roman" w:cs="Times New Roman"/>
          <w:strike/>
          <w:sz w:val="20"/>
          <w:szCs w:val="20"/>
        </w:rPr>
        <w:t>A</w:t>
      </w:r>
      <w:r w:rsidRPr="00FC3DA5">
        <w:rPr>
          <w:rFonts w:ascii="Times New Roman" w:eastAsia="Times New Roman" w:hAnsi="Times New Roman" w:cs="Times New Roman"/>
          <w:sz w:val="20"/>
          <w:szCs w:val="20"/>
        </w:rPr>
        <w:t>. Structures and Improvements – (Account 390)</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2.</w:t>
      </w:r>
      <w:r w:rsidRPr="00FC3DA5">
        <w:rPr>
          <w:rFonts w:ascii="Times New Roman" w:eastAsia="Times New Roman" w:hAnsi="Times New Roman" w:cs="Times New Roman"/>
          <w:strike/>
          <w:sz w:val="20"/>
          <w:szCs w:val="20"/>
        </w:rPr>
        <w:t>B.</w:t>
      </w:r>
      <w:r w:rsidRPr="00FC3DA5">
        <w:rPr>
          <w:rFonts w:ascii="Times New Roman" w:eastAsia="Times New Roman" w:hAnsi="Times New Roman" w:cs="Times New Roman"/>
          <w:sz w:val="20"/>
          <w:szCs w:val="20"/>
        </w:rPr>
        <w:t xml:space="preserve"> Office Furniture and Equipment – (Account 391) – The following sub-accounts </w:t>
      </w:r>
      <w:r w:rsidRPr="00FC3DA5">
        <w:rPr>
          <w:rFonts w:ascii="Times New Roman" w:eastAsia="Times New Roman" w:hAnsi="Times New Roman" w:cs="Times New Roman"/>
          <w:sz w:val="20"/>
          <w:szCs w:val="20"/>
          <w:u w:val="single"/>
        </w:rPr>
        <w:t>shall</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should</w:t>
      </w:r>
      <w:r w:rsidRPr="00FC3DA5">
        <w:rPr>
          <w:rFonts w:ascii="Times New Roman" w:eastAsia="Times New Roman" w:hAnsi="Times New Roman" w:cs="Times New Roman"/>
          <w:sz w:val="20"/>
          <w:szCs w:val="20"/>
        </w:rPr>
        <w:t xml:space="preserve"> be used:</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a.</w:t>
      </w:r>
      <w:r w:rsidRPr="00FC3DA5">
        <w:rPr>
          <w:rFonts w:ascii="Times New Roman" w:eastAsia="Times New Roman" w:hAnsi="Times New Roman" w:cs="Times New Roman"/>
          <w:strike/>
          <w:sz w:val="20"/>
          <w:szCs w:val="20"/>
        </w:rPr>
        <w:t>1.</w:t>
      </w:r>
      <w:r w:rsidRPr="00FC3DA5">
        <w:rPr>
          <w:rFonts w:ascii="Times New Roman" w:eastAsia="Times New Roman" w:hAnsi="Times New Roman" w:cs="Times New Roman"/>
          <w:sz w:val="20"/>
          <w:szCs w:val="20"/>
        </w:rPr>
        <w:t xml:space="preserve"> Office Furniture – Regular office furniture and furnishings and miscellaneous equipment such as lounge equipment.</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b.</w:t>
      </w:r>
      <w:r w:rsidRPr="00FC3DA5">
        <w:rPr>
          <w:rFonts w:ascii="Times New Roman" w:eastAsia="Times New Roman" w:hAnsi="Times New Roman" w:cs="Times New Roman"/>
          <w:strike/>
          <w:sz w:val="20"/>
          <w:szCs w:val="20"/>
        </w:rPr>
        <w:t>2.</w:t>
      </w:r>
      <w:r w:rsidRPr="00FC3DA5">
        <w:rPr>
          <w:rFonts w:ascii="Times New Roman" w:eastAsia="Times New Roman" w:hAnsi="Times New Roman" w:cs="Times New Roman"/>
          <w:sz w:val="20"/>
          <w:szCs w:val="20"/>
        </w:rPr>
        <w:t xml:space="preserve"> Office devices such as typewriters, calculating, reproducing, addressing, blueprinting, cash registers, check writers and other office machines.</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c.</w:t>
      </w:r>
      <w:r w:rsidRPr="00FC3DA5">
        <w:rPr>
          <w:rFonts w:ascii="Times New Roman" w:eastAsia="Times New Roman" w:hAnsi="Times New Roman" w:cs="Times New Roman"/>
          <w:strike/>
          <w:sz w:val="20"/>
          <w:szCs w:val="20"/>
        </w:rPr>
        <w:t>3.</w:t>
      </w:r>
      <w:r w:rsidRPr="00FC3DA5">
        <w:rPr>
          <w:rFonts w:ascii="Times New Roman" w:eastAsia="Times New Roman" w:hAnsi="Times New Roman" w:cs="Times New Roman"/>
          <w:sz w:val="20"/>
          <w:szCs w:val="20"/>
        </w:rPr>
        <w:t xml:space="preserve"> Computers and peripheral equipment</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3.</w:t>
      </w:r>
      <w:r w:rsidRPr="00FC3DA5">
        <w:rPr>
          <w:rFonts w:ascii="Times New Roman" w:eastAsia="Times New Roman" w:hAnsi="Times New Roman" w:cs="Times New Roman"/>
          <w:strike/>
          <w:sz w:val="20"/>
          <w:szCs w:val="20"/>
        </w:rPr>
        <w:t>C.</w:t>
      </w:r>
      <w:r w:rsidRPr="00FC3DA5">
        <w:rPr>
          <w:rFonts w:ascii="Times New Roman" w:eastAsia="Times New Roman" w:hAnsi="Times New Roman" w:cs="Times New Roman"/>
          <w:sz w:val="20"/>
          <w:szCs w:val="20"/>
        </w:rPr>
        <w:t xml:space="preserve"> Transportation Equipment – (Account 392) – The following sub-accounts </w:t>
      </w:r>
      <w:r w:rsidRPr="00FC3DA5">
        <w:rPr>
          <w:rFonts w:ascii="Times New Roman" w:eastAsia="Times New Roman" w:hAnsi="Times New Roman" w:cs="Times New Roman"/>
          <w:sz w:val="20"/>
          <w:szCs w:val="20"/>
          <w:u w:val="single"/>
        </w:rPr>
        <w:t>shall</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should</w:t>
      </w:r>
      <w:r w:rsidRPr="00FC3DA5">
        <w:rPr>
          <w:rFonts w:ascii="Times New Roman" w:eastAsia="Times New Roman" w:hAnsi="Times New Roman" w:cs="Times New Roman"/>
          <w:sz w:val="20"/>
          <w:szCs w:val="20"/>
        </w:rPr>
        <w:t xml:space="preserve"> be used:</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a.</w:t>
      </w:r>
      <w:r w:rsidRPr="00FC3DA5">
        <w:rPr>
          <w:rFonts w:ascii="Times New Roman" w:eastAsia="Times New Roman" w:hAnsi="Times New Roman" w:cs="Times New Roman"/>
          <w:strike/>
          <w:sz w:val="20"/>
          <w:szCs w:val="20"/>
        </w:rPr>
        <w:t>1.</w:t>
      </w:r>
      <w:r w:rsidRPr="00FC3DA5">
        <w:rPr>
          <w:rFonts w:ascii="Times New Roman" w:eastAsia="Times New Roman" w:hAnsi="Times New Roman" w:cs="Times New Roman"/>
          <w:sz w:val="20"/>
          <w:szCs w:val="20"/>
        </w:rPr>
        <w:t xml:space="preserve"> Passenger cars and light trucks (trucks of one ton capacity or less)</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b.</w:t>
      </w:r>
      <w:r w:rsidRPr="00FC3DA5">
        <w:rPr>
          <w:rFonts w:ascii="Times New Roman" w:eastAsia="Times New Roman" w:hAnsi="Times New Roman" w:cs="Times New Roman"/>
          <w:strike/>
          <w:sz w:val="20"/>
          <w:szCs w:val="20"/>
        </w:rPr>
        <w:t>2.</w:t>
      </w:r>
      <w:r w:rsidRPr="00FC3DA5">
        <w:rPr>
          <w:rFonts w:ascii="Times New Roman" w:eastAsia="Times New Roman" w:hAnsi="Times New Roman" w:cs="Times New Roman"/>
          <w:sz w:val="20"/>
          <w:szCs w:val="20"/>
        </w:rPr>
        <w:t xml:space="preserve"> Heavy trucks (trucks of greater than one ton capacity)</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c.</w:t>
      </w:r>
      <w:r w:rsidRPr="00FC3DA5">
        <w:rPr>
          <w:rFonts w:ascii="Times New Roman" w:eastAsia="Times New Roman" w:hAnsi="Times New Roman" w:cs="Times New Roman"/>
          <w:strike/>
          <w:sz w:val="20"/>
          <w:szCs w:val="20"/>
        </w:rPr>
        <w:t>3.</w:t>
      </w:r>
      <w:r w:rsidRPr="00FC3DA5">
        <w:rPr>
          <w:rFonts w:ascii="Times New Roman" w:eastAsia="Times New Roman" w:hAnsi="Times New Roman" w:cs="Times New Roman"/>
          <w:sz w:val="20"/>
          <w:szCs w:val="20"/>
        </w:rPr>
        <w:t xml:space="preserve"> Special purpose vehicles such as trailers</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d.</w:t>
      </w:r>
      <w:r w:rsidRPr="00FC3DA5">
        <w:rPr>
          <w:rFonts w:ascii="Times New Roman" w:eastAsia="Times New Roman" w:hAnsi="Times New Roman" w:cs="Times New Roman"/>
          <w:strike/>
          <w:sz w:val="20"/>
          <w:szCs w:val="20"/>
        </w:rPr>
        <w:t>4.</w:t>
      </w:r>
      <w:r w:rsidRPr="00FC3DA5">
        <w:rPr>
          <w:rFonts w:ascii="Times New Roman" w:eastAsia="Times New Roman" w:hAnsi="Times New Roman" w:cs="Times New Roman"/>
          <w:sz w:val="20"/>
          <w:szCs w:val="20"/>
        </w:rPr>
        <w:t xml:space="preserve"> Airplanes</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4.</w:t>
      </w:r>
      <w:r w:rsidRPr="00FC3DA5">
        <w:rPr>
          <w:rFonts w:ascii="Times New Roman" w:eastAsia="Times New Roman" w:hAnsi="Times New Roman" w:cs="Times New Roman"/>
          <w:strike/>
          <w:sz w:val="20"/>
          <w:szCs w:val="20"/>
        </w:rPr>
        <w:t>D.</w:t>
      </w:r>
      <w:r w:rsidRPr="00FC3DA5">
        <w:rPr>
          <w:rFonts w:ascii="Times New Roman" w:eastAsia="Times New Roman" w:hAnsi="Times New Roman" w:cs="Times New Roman"/>
          <w:sz w:val="20"/>
          <w:szCs w:val="20"/>
        </w:rPr>
        <w:t xml:space="preserve"> Stores Equipment – (Account 393)</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5.</w:t>
      </w:r>
      <w:r w:rsidRPr="00FC3DA5">
        <w:rPr>
          <w:rFonts w:ascii="Times New Roman" w:eastAsia="Times New Roman" w:hAnsi="Times New Roman" w:cs="Times New Roman"/>
          <w:strike/>
          <w:sz w:val="20"/>
          <w:szCs w:val="20"/>
        </w:rPr>
        <w:t>E.</w:t>
      </w:r>
      <w:r w:rsidRPr="00FC3DA5">
        <w:rPr>
          <w:rFonts w:ascii="Times New Roman" w:eastAsia="Times New Roman" w:hAnsi="Times New Roman" w:cs="Times New Roman"/>
          <w:sz w:val="20"/>
          <w:szCs w:val="20"/>
        </w:rPr>
        <w:t xml:space="preserve"> Tools, Shop and Garage Equipment – (Account 394)</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6.</w:t>
      </w:r>
      <w:r w:rsidRPr="00FC3DA5">
        <w:rPr>
          <w:rFonts w:ascii="Times New Roman" w:eastAsia="Times New Roman" w:hAnsi="Times New Roman" w:cs="Times New Roman"/>
          <w:strike/>
          <w:sz w:val="20"/>
          <w:szCs w:val="20"/>
        </w:rPr>
        <w:t>F.</w:t>
      </w:r>
      <w:r w:rsidRPr="00FC3DA5">
        <w:rPr>
          <w:rFonts w:ascii="Times New Roman" w:eastAsia="Times New Roman" w:hAnsi="Times New Roman" w:cs="Times New Roman"/>
          <w:sz w:val="20"/>
          <w:szCs w:val="20"/>
        </w:rPr>
        <w:t xml:space="preserve"> Laboratory Equipment – (Account 395)</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7.</w:t>
      </w:r>
      <w:r w:rsidRPr="00FC3DA5">
        <w:rPr>
          <w:rFonts w:ascii="Times New Roman" w:eastAsia="Times New Roman" w:hAnsi="Times New Roman" w:cs="Times New Roman"/>
          <w:strike/>
          <w:sz w:val="20"/>
          <w:szCs w:val="20"/>
        </w:rPr>
        <w:t>G.</w:t>
      </w:r>
      <w:r w:rsidRPr="00FC3DA5">
        <w:rPr>
          <w:rFonts w:ascii="Times New Roman" w:eastAsia="Times New Roman" w:hAnsi="Times New Roman" w:cs="Times New Roman"/>
          <w:sz w:val="20"/>
          <w:szCs w:val="20"/>
        </w:rPr>
        <w:t xml:space="preserve"> Power Operated Equipment – (Account 396)</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8.</w:t>
      </w:r>
      <w:r w:rsidRPr="00FC3DA5">
        <w:rPr>
          <w:rFonts w:ascii="Times New Roman" w:eastAsia="Times New Roman" w:hAnsi="Times New Roman" w:cs="Times New Roman"/>
          <w:strike/>
          <w:sz w:val="20"/>
          <w:szCs w:val="20"/>
        </w:rPr>
        <w:t>H.</w:t>
      </w:r>
      <w:r w:rsidRPr="00FC3DA5">
        <w:rPr>
          <w:rFonts w:ascii="Times New Roman" w:eastAsia="Times New Roman" w:hAnsi="Times New Roman" w:cs="Times New Roman"/>
          <w:sz w:val="20"/>
          <w:szCs w:val="20"/>
        </w:rPr>
        <w:t xml:space="preserve"> Communication Equipment – (Account 397)</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r>
      <w:r w:rsidRPr="00FC3DA5">
        <w:rPr>
          <w:rFonts w:ascii="Times New Roman" w:eastAsia="Times New Roman" w:hAnsi="Times New Roman" w:cs="Times New Roman"/>
          <w:sz w:val="20"/>
          <w:szCs w:val="20"/>
          <w:u w:val="single"/>
        </w:rPr>
        <w:t>9.</w:t>
      </w:r>
      <w:r w:rsidRPr="00FC3DA5">
        <w:rPr>
          <w:rFonts w:ascii="Times New Roman" w:eastAsia="Times New Roman" w:hAnsi="Times New Roman" w:cs="Times New Roman"/>
          <w:strike/>
          <w:sz w:val="20"/>
          <w:szCs w:val="20"/>
        </w:rPr>
        <w:t>I.</w:t>
      </w:r>
      <w:r w:rsidRPr="00FC3DA5">
        <w:rPr>
          <w:rFonts w:ascii="Times New Roman" w:eastAsia="Times New Roman" w:hAnsi="Times New Roman" w:cs="Times New Roman"/>
          <w:sz w:val="20"/>
          <w:szCs w:val="20"/>
        </w:rPr>
        <w:t xml:space="preserve"> Miscellaneous Equipment – (Account 398) – Investment in miscellaneous equipment such as kitchen equipment, infirmary equipment</w:t>
      </w:r>
      <w:r w:rsidRPr="00FC3DA5">
        <w:rPr>
          <w:rFonts w:ascii="Times New Roman" w:eastAsia="Times New Roman" w:hAnsi="Times New Roman" w:cs="Times New Roman"/>
          <w:sz w:val="20"/>
          <w:szCs w:val="20"/>
          <w:u w:val="single"/>
        </w:rPr>
        <w:t>.</w:t>
      </w:r>
      <w:r w:rsidRPr="00FC3DA5">
        <w:rPr>
          <w:rFonts w:ascii="Times New Roman" w:eastAsia="Times New Roman" w:hAnsi="Times New Roman" w:cs="Times New Roman"/>
          <w:sz w:val="20"/>
          <w:szCs w:val="20"/>
        </w:rPr>
        <w:t xml:space="preserve"> </w:t>
      </w:r>
      <w:r w:rsidRPr="00FC3DA5">
        <w:rPr>
          <w:rFonts w:ascii="Times New Roman" w:eastAsia="Times New Roman" w:hAnsi="Times New Roman" w:cs="Times New Roman"/>
          <w:strike/>
          <w:sz w:val="20"/>
          <w:szCs w:val="20"/>
        </w:rPr>
        <w:t>, etc.</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t>(4) No change.</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t xml:space="preserve">(a) through (b) No change. </w:t>
      </w:r>
    </w:p>
    <w:p w:rsidR="00FC3DA5" w:rsidRPr="00FC3DA5" w:rsidRDefault="00FC3DA5" w:rsidP="00FC3DA5">
      <w:pPr>
        <w:tabs>
          <w:tab w:val="left" w:pos="360"/>
          <w:tab w:val="left" w:pos="720"/>
        </w:tabs>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tab/>
        <w:t>(c) Where any existing accounts are</w:t>
      </w:r>
      <w:r w:rsidRPr="00FC3DA5">
        <w:rPr>
          <w:rFonts w:ascii="Times New Roman" w:eastAsia="Times New Roman" w:hAnsi="Times New Roman" w:cs="Times New Roman"/>
          <w:strike/>
          <w:sz w:val="20"/>
          <w:szCs w:val="20"/>
        </w:rPr>
        <w:t>, in the opinion of the Commission, essentially</w:t>
      </w:r>
      <w:r w:rsidRPr="00FC3DA5">
        <w:rPr>
          <w:rFonts w:ascii="Times New Roman" w:eastAsia="Times New Roman" w:hAnsi="Times New Roman" w:cs="Times New Roman"/>
          <w:sz w:val="20"/>
          <w:szCs w:val="20"/>
        </w:rPr>
        <w:t xml:space="preserve"> compatible with those listed in subsection (3) for depreciation study purposes, those existing accounts shall be deemed to be in compliance with this rule.</w:t>
      </w:r>
    </w:p>
    <w:p w:rsidR="00FC3DA5" w:rsidRPr="00FC3DA5" w:rsidRDefault="00FC3DA5" w:rsidP="00FC3DA5">
      <w:pPr>
        <w:spacing w:after="0" w:line="240" w:lineRule="auto"/>
        <w:rPr>
          <w:rFonts w:ascii="Times New Roman" w:eastAsia="Times New Roman" w:hAnsi="Times New Roman" w:cs="Times New Roman"/>
          <w:sz w:val="20"/>
          <w:szCs w:val="20"/>
        </w:rPr>
      </w:pPr>
      <w:r w:rsidRPr="00FC3DA5">
        <w:rPr>
          <w:rFonts w:ascii="Times New Roman" w:eastAsia="Times New Roman" w:hAnsi="Times New Roman" w:cs="Times New Roman"/>
          <w:i/>
          <w:sz w:val="20"/>
          <w:szCs w:val="20"/>
        </w:rPr>
        <w:t>Rulemaking</w:t>
      </w:r>
      <w:r w:rsidRPr="00FC3DA5">
        <w:rPr>
          <w:rFonts w:ascii="Times New Roman" w:eastAsia="Times New Roman" w:hAnsi="Times New Roman" w:cs="Times New Roman"/>
          <w:i/>
          <w:sz w:val="20"/>
          <w:szCs w:val="20"/>
          <w:u w:val="single"/>
        </w:rPr>
        <w:t xml:space="preserve"> </w:t>
      </w:r>
      <w:r w:rsidRPr="00FC3DA5">
        <w:rPr>
          <w:rFonts w:ascii="Times New Roman" w:eastAsia="Times New Roman" w:hAnsi="Times New Roman" w:cs="Times New Roman"/>
          <w:i/>
          <w:sz w:val="20"/>
          <w:szCs w:val="20"/>
        </w:rPr>
        <w:t xml:space="preserve">Authority 350.127(2), 366.05(1) FS. Law Implemented 366.05(1), </w:t>
      </w:r>
      <w:r w:rsidRPr="00FC3DA5">
        <w:rPr>
          <w:rFonts w:ascii="Times New Roman" w:eastAsia="Times New Roman" w:hAnsi="Times New Roman" w:cs="Times New Roman"/>
          <w:i/>
          <w:sz w:val="20"/>
          <w:szCs w:val="20"/>
          <w:u w:val="single"/>
        </w:rPr>
        <w:t>366.06(1)</w:t>
      </w:r>
      <w:r w:rsidRPr="00FC3DA5">
        <w:rPr>
          <w:rFonts w:ascii="Times New Roman" w:eastAsia="Times New Roman" w:hAnsi="Times New Roman" w:cs="Times New Roman"/>
          <w:i/>
          <w:sz w:val="20"/>
          <w:szCs w:val="20"/>
        </w:rPr>
        <w:t xml:space="preserve"> FS. History–New 11-7-85. Formerly 25-7.46. Amended, __________. </w:t>
      </w:r>
    </w:p>
    <w:p w:rsidR="00FC3DA5" w:rsidRPr="00FC3DA5" w:rsidRDefault="00FC3DA5" w:rsidP="00FC3DA5">
      <w:pPr>
        <w:spacing w:after="0" w:line="312" w:lineRule="auto"/>
        <w:rPr>
          <w:rFonts w:ascii="Times New Roman" w:eastAsia="Times New Roman" w:hAnsi="Times New Roman" w:cs="Times New Roman"/>
          <w:sz w:val="20"/>
          <w:szCs w:val="20"/>
        </w:rPr>
      </w:pPr>
      <w:r w:rsidRPr="00FC3DA5">
        <w:rPr>
          <w:rFonts w:ascii="Times New Roman" w:eastAsia="Times New Roman" w:hAnsi="Times New Roman" w:cs="Times New Roman"/>
          <w:sz w:val="20"/>
          <w:szCs w:val="20"/>
        </w:rPr>
        <w:br/>
        <w:t>NAME OF PERSON ORIGINATING PROPOSED RULE: Sue Ollila</w:t>
      </w:r>
      <w:r w:rsidRPr="00FC3DA5">
        <w:rPr>
          <w:rFonts w:ascii="Times New Roman" w:eastAsia="Times New Roman" w:hAnsi="Times New Roman" w:cs="Times New Roman"/>
          <w:sz w:val="20"/>
          <w:szCs w:val="20"/>
        </w:rPr>
        <w:br/>
        <w:t>NAME OF AGENCY HEAD WHO APPROVED THE PROPOSED RULE: Florida Public Service Commission</w:t>
      </w:r>
      <w:r w:rsidRPr="00FC3DA5">
        <w:rPr>
          <w:rFonts w:ascii="Times New Roman" w:eastAsia="Times New Roman" w:hAnsi="Times New Roman" w:cs="Times New Roman"/>
          <w:sz w:val="20"/>
          <w:szCs w:val="20"/>
        </w:rPr>
        <w:br/>
        <w:t>DATE PROPOSED RULE APPROVED BY AGENCY HEAD: March 1, 2016</w:t>
      </w:r>
      <w:r w:rsidRPr="00FC3DA5">
        <w:rPr>
          <w:rFonts w:ascii="Times New Roman" w:eastAsia="Times New Roman" w:hAnsi="Times New Roman" w:cs="Times New Roman"/>
          <w:sz w:val="20"/>
          <w:szCs w:val="20"/>
        </w:rPr>
        <w:br/>
        <w:t>DATE NOTICE OF PROPOSED RULE DEVELOPMENT PUBLISHED IN FAR: Volume 41, Number 84, April 30, 2015.</w:t>
      </w:r>
    </w:p>
    <w:p w:rsidR="0003280E" w:rsidRDefault="0003280E"/>
    <w:p w:rsidR="008F6C90" w:rsidRDefault="008F6C90">
      <w:fldSimple w:instr=" FILENAME  \p  \* MERGEFORMAT ">
        <w:r>
          <w:rPr>
            <w:noProof/>
          </w:rPr>
          <w:t>I:\FAR\150200(2).docx</w:t>
        </w:r>
      </w:fldSimple>
      <w:bookmarkStart w:id="0" w:name="_GoBack"/>
      <w:bookmarkEnd w:id="0"/>
    </w:p>
    <w:sectPr w:rsidR="008F6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DA5"/>
    <w:rsid w:val="0003280E"/>
    <w:rsid w:val="008F6C90"/>
    <w:rsid w:val="00FC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3DA5"/>
    <w:rPr>
      <w:color w:val="0000FF"/>
      <w:u w:val="single"/>
    </w:rPr>
  </w:style>
  <w:style w:type="paragraph" w:customStyle="1" w:styleId="rule">
    <w:name w:val="rule"/>
    <w:basedOn w:val="Normal"/>
    <w:rsid w:val="00FC3D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3DA5"/>
    <w:rPr>
      <w:color w:val="0000FF"/>
      <w:u w:val="single"/>
    </w:rPr>
  </w:style>
  <w:style w:type="paragraph" w:customStyle="1" w:styleId="rule">
    <w:name w:val="rule"/>
    <w:basedOn w:val="Normal"/>
    <w:rsid w:val="00FC3D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88764">
      <w:bodyDiv w:val="1"/>
      <w:marLeft w:val="0"/>
      <w:marRight w:val="0"/>
      <w:marTop w:val="0"/>
      <w:marBottom w:val="0"/>
      <w:divBdr>
        <w:top w:val="none" w:sz="0" w:space="0" w:color="auto"/>
        <w:left w:val="none" w:sz="0" w:space="0" w:color="auto"/>
        <w:bottom w:val="none" w:sz="0" w:space="0" w:color="auto"/>
        <w:right w:val="none" w:sz="0" w:space="0" w:color="auto"/>
      </w:divBdr>
      <w:divsChild>
        <w:div w:id="1523662065">
          <w:marLeft w:val="1440"/>
          <w:marRight w:val="0"/>
          <w:marTop w:val="0"/>
          <w:marBottom w:val="0"/>
          <w:divBdr>
            <w:top w:val="none" w:sz="0" w:space="0" w:color="auto"/>
            <w:left w:val="none" w:sz="0" w:space="0" w:color="auto"/>
            <w:bottom w:val="none" w:sz="0" w:space="0" w:color="auto"/>
            <w:right w:val="none" w:sz="0" w:space="0" w:color="auto"/>
          </w:divBdr>
        </w:div>
        <w:div w:id="2035377107">
          <w:marLeft w:val="1440"/>
          <w:marRight w:val="0"/>
          <w:marTop w:val="0"/>
          <w:marBottom w:val="0"/>
          <w:divBdr>
            <w:top w:val="none" w:sz="0" w:space="0" w:color="auto"/>
            <w:left w:val="none" w:sz="0" w:space="0" w:color="auto"/>
            <w:bottom w:val="none" w:sz="0" w:space="0" w:color="auto"/>
            <w:right w:val="none" w:sz="0" w:space="0" w:color="auto"/>
          </w:divBdr>
        </w:div>
        <w:div w:id="1276013687">
          <w:marLeft w:val="1440"/>
          <w:marRight w:val="0"/>
          <w:marTop w:val="0"/>
          <w:marBottom w:val="0"/>
          <w:divBdr>
            <w:top w:val="none" w:sz="0" w:space="0" w:color="auto"/>
            <w:left w:val="none" w:sz="0" w:space="0" w:color="auto"/>
            <w:bottom w:val="none" w:sz="0" w:space="0" w:color="auto"/>
            <w:right w:val="none" w:sz="0" w:space="0" w:color="auto"/>
          </w:divBdr>
        </w:div>
        <w:div w:id="101261009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statute.asp?id=350.115" TargetMode="External"/><Relationship Id="rId13" Type="http://schemas.openxmlformats.org/officeDocument/2006/relationships/hyperlink" Target="https://www.flrules.org/gateway/statute.asp?id=%20366.05(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rules.org/gateway/ruleNo.asp?id=25-7.046" TargetMode="External"/><Relationship Id="rId12" Type="http://schemas.openxmlformats.org/officeDocument/2006/relationships/hyperlink" Target="https://www.flrules.org/gateway/statute.asp?id=%20366.04(2)(f)"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flrules.org/gateway/ruleNo.asp?id=25-7.045" TargetMode="External"/><Relationship Id="rId1" Type="http://schemas.openxmlformats.org/officeDocument/2006/relationships/styles" Target="styles.xml"/><Relationship Id="rId6" Type="http://schemas.openxmlformats.org/officeDocument/2006/relationships/hyperlink" Target="https://www.flrules.org/gateway/ruleNo.asp?id=25-7.045" TargetMode="External"/><Relationship Id="rId11" Type="http://schemas.openxmlformats.org/officeDocument/2006/relationships/hyperlink" Target="https://www.flrules.org/gateway/statute.asp?id=350.115" TargetMode="External"/><Relationship Id="rId5" Type="http://schemas.openxmlformats.org/officeDocument/2006/relationships/hyperlink" Target="https://www.flrules.org/gateway/department.asp?id=25" TargetMode="External"/><Relationship Id="rId15" Type="http://schemas.openxmlformats.org/officeDocument/2006/relationships/hyperlink" Target="https://www.flrules.org/gateway/statute.asp?id=%20366.06(1)" TargetMode="External"/><Relationship Id="rId10" Type="http://schemas.openxmlformats.org/officeDocument/2006/relationships/hyperlink" Target="https://www.flrules.org/gateway/statute.asp?id=%20366.05(1)" TargetMode="External"/><Relationship Id="rId4" Type="http://schemas.openxmlformats.org/officeDocument/2006/relationships/webSettings" Target="webSettings.xml"/><Relationship Id="rId9" Type="http://schemas.openxmlformats.org/officeDocument/2006/relationships/hyperlink" Target="https://www.flrules.org/gateway/statute.asp?id=%20350.127(2)" TargetMode="External"/><Relationship Id="rId14" Type="http://schemas.openxmlformats.org/officeDocument/2006/relationships/hyperlink" Target="https://www.flrules.org/gateway/statute.asp?id=%2036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Velazquez</dc:creator>
  <cp:lastModifiedBy>Felix Velazquez</cp:lastModifiedBy>
  <cp:revision>2</cp:revision>
  <dcterms:created xsi:type="dcterms:W3CDTF">2016-03-04T16:38:00Z</dcterms:created>
  <dcterms:modified xsi:type="dcterms:W3CDTF">2016-03-04T16:39:00Z</dcterms:modified>
</cp:coreProperties>
</file>