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85" w:rsidRPr="00775E85" w:rsidRDefault="00775E85" w:rsidP="00775E85">
      <w:pPr>
        <w:spacing w:after="0" w:line="240" w:lineRule="auto"/>
        <w:jc w:val="center"/>
        <w:rPr>
          <w:rFonts w:ascii="Times New Roman" w:eastAsia="Times New Roman" w:hAnsi="Times New Roman" w:cs="Times New Roman"/>
        </w:rPr>
      </w:pPr>
      <w:r w:rsidRPr="00775E85">
        <w:rPr>
          <w:rFonts w:ascii="Times New Roman" w:eastAsia="Times New Roman" w:hAnsi="Times New Roman" w:cs="Times New Roman"/>
        </w:rPr>
        <w:t>Notice of Proposed Rule</w:t>
      </w:r>
    </w:p>
    <w:p w:rsidR="00775E85" w:rsidRPr="00775E85" w:rsidRDefault="00775E85" w:rsidP="00775E85">
      <w:pPr>
        <w:spacing w:after="0" w:line="240" w:lineRule="auto"/>
        <w:rPr>
          <w:rFonts w:ascii="Times New Roman" w:eastAsia="Times New Roman" w:hAnsi="Times New Roman" w:cs="Times New Roman"/>
          <w:sz w:val="24"/>
          <w:szCs w:val="24"/>
        </w:rPr>
      </w:pPr>
    </w:p>
    <w:p w:rsidR="00775E85" w:rsidRPr="00775E85" w:rsidRDefault="00775E85" w:rsidP="00775E85">
      <w:pPr>
        <w:spacing w:after="0" w:line="240" w:lineRule="auto"/>
        <w:rPr>
          <w:rFonts w:ascii="Times New Roman" w:eastAsia="Times New Roman" w:hAnsi="Times New Roman" w:cs="Times New Roman"/>
          <w:b/>
          <w:bCs/>
          <w:sz w:val="20"/>
          <w:szCs w:val="20"/>
        </w:rPr>
      </w:pPr>
      <w:hyperlink r:id="rId5" w:tgtFrame="department" w:history="1">
        <w:r w:rsidRPr="00775E85">
          <w:rPr>
            <w:rFonts w:ascii="Times New Roman" w:eastAsia="Times New Roman" w:hAnsi="Times New Roman" w:cs="Times New Roman"/>
            <w:b/>
            <w:bCs/>
            <w:color w:val="0000FF"/>
            <w:sz w:val="20"/>
            <w:szCs w:val="20"/>
            <w:u w:val="single"/>
          </w:rPr>
          <w:t>PUBLIC SERVICE COMMISSION</w:t>
        </w:r>
      </w:hyperlink>
    </w:p>
    <w:p w:rsidR="00775E85" w:rsidRPr="00775E85" w:rsidRDefault="00775E85" w:rsidP="00775E85">
      <w:pPr>
        <w:spacing w:after="240" w:line="312" w:lineRule="auto"/>
        <w:rPr>
          <w:rFonts w:ascii="Times New Roman" w:eastAsia="Times New Roman" w:hAnsi="Times New Roman" w:cs="Times New Roman"/>
          <w:sz w:val="20"/>
          <w:szCs w:val="20"/>
        </w:rPr>
      </w:pPr>
      <w:r w:rsidRPr="00775E85">
        <w:rPr>
          <w:rFonts w:ascii="Times New Roman" w:eastAsia="Times New Roman" w:hAnsi="Times New Roman" w:cs="Times New Roman"/>
          <w:sz w:val="20"/>
          <w:szCs w:val="20"/>
        </w:rPr>
        <w:t xml:space="preserve">RULE NO.: RULE TITLE: </w:t>
      </w:r>
      <w:r w:rsidRPr="00775E85">
        <w:rPr>
          <w:rFonts w:ascii="Times New Roman" w:eastAsia="Times New Roman" w:hAnsi="Times New Roman" w:cs="Times New Roman"/>
          <w:sz w:val="20"/>
          <w:szCs w:val="20"/>
        </w:rPr>
        <w:br/>
      </w:r>
      <w:hyperlink r:id="rId6" w:tgtFrame="ruleNo" w:history="1">
        <w:r w:rsidRPr="00775E85">
          <w:rPr>
            <w:rFonts w:ascii="Times New Roman" w:eastAsia="Times New Roman" w:hAnsi="Times New Roman" w:cs="Times New Roman"/>
            <w:color w:val="0000FF"/>
            <w:sz w:val="20"/>
            <w:szCs w:val="20"/>
            <w:u w:val="single"/>
          </w:rPr>
          <w:t>25-6.0436</w:t>
        </w:r>
      </w:hyperlink>
      <w:r w:rsidRPr="00775E85">
        <w:rPr>
          <w:rFonts w:ascii="Times New Roman" w:eastAsia="Times New Roman" w:hAnsi="Times New Roman" w:cs="Times New Roman"/>
          <w:sz w:val="20"/>
          <w:szCs w:val="20"/>
        </w:rPr>
        <w:t>: Depreciation</w:t>
      </w:r>
      <w:r w:rsidRPr="00775E85">
        <w:rPr>
          <w:rFonts w:ascii="Times New Roman" w:eastAsia="Times New Roman" w:hAnsi="Times New Roman" w:cs="Times New Roman"/>
          <w:sz w:val="20"/>
          <w:szCs w:val="20"/>
        </w:rPr>
        <w:br/>
      </w:r>
      <w:hyperlink r:id="rId7" w:tgtFrame="ruleNo" w:history="1">
        <w:r w:rsidRPr="00775E85">
          <w:rPr>
            <w:rFonts w:ascii="Times New Roman" w:eastAsia="Times New Roman" w:hAnsi="Times New Roman" w:cs="Times New Roman"/>
            <w:color w:val="0000FF"/>
            <w:sz w:val="20"/>
            <w:szCs w:val="20"/>
            <w:u w:val="single"/>
          </w:rPr>
          <w:t>25-6.04364</w:t>
        </w:r>
      </w:hyperlink>
      <w:r w:rsidRPr="00775E85">
        <w:rPr>
          <w:rFonts w:ascii="Times New Roman" w:eastAsia="Times New Roman" w:hAnsi="Times New Roman" w:cs="Times New Roman"/>
          <w:sz w:val="20"/>
          <w:szCs w:val="20"/>
        </w:rPr>
        <w:t>: Electric Utilities Dismantlement Studies</w:t>
      </w:r>
      <w:r w:rsidRPr="00775E85">
        <w:rPr>
          <w:rFonts w:ascii="Times New Roman" w:eastAsia="Times New Roman" w:hAnsi="Times New Roman" w:cs="Times New Roman"/>
          <w:sz w:val="20"/>
          <w:szCs w:val="20"/>
        </w:rPr>
        <w:br/>
        <w:t xml:space="preserve">PURPOSE AND EFFECT: To update, clarify and streamline depreciation rules for investor-owned electric utilities. </w:t>
      </w:r>
      <w:r w:rsidRPr="00775E85">
        <w:rPr>
          <w:rFonts w:ascii="Times New Roman" w:eastAsia="Times New Roman" w:hAnsi="Times New Roman" w:cs="Times New Roman"/>
          <w:sz w:val="20"/>
          <w:szCs w:val="20"/>
        </w:rPr>
        <w:br/>
        <w:t>Docket No. 150200-PU</w:t>
      </w:r>
      <w:r w:rsidRPr="00775E85">
        <w:rPr>
          <w:rFonts w:ascii="Times New Roman" w:eastAsia="Times New Roman" w:hAnsi="Times New Roman" w:cs="Times New Roman"/>
          <w:sz w:val="20"/>
          <w:szCs w:val="20"/>
        </w:rPr>
        <w:br/>
        <w:t>SUMMARY: The amendments modify and define the rules which prescribe accounting principles and procedures for the calculation of depreciation by electric utilities. The amendments also address dismantlement accrual by electric utilities. Rule 25-6.0436 is amended to eliminate the requirement for multiple copies of depreciation studies, provide a specific reference to the Uniform System of Accounts, and codify the Commission’s authority to require a depreciation study at a time set by the Commission. Rule 25-6.04364 is amended to apply to all generating units other than fossil fuel, and clarify that this dismantlement rule is not applicable to nuclear generating plants which are addressed in Rule 25-6.04365, F.A.C.</w:t>
      </w:r>
      <w:r w:rsidRPr="00775E85">
        <w:rPr>
          <w:rFonts w:ascii="Times New Roman" w:eastAsia="Times New Roman" w:hAnsi="Times New Roman" w:cs="Times New Roman"/>
          <w:sz w:val="20"/>
          <w:szCs w:val="20"/>
        </w:rPr>
        <w:br/>
        <w:t xml:space="preserve">SUMMARY OF STATEMENT OF ESTIMATED REGULATORY COSTS AND LEGISLATIVE RATIFICATION: </w:t>
      </w:r>
      <w:r w:rsidRPr="00775E85">
        <w:rPr>
          <w:rFonts w:ascii="Times New Roman" w:eastAsia="Times New Roman" w:hAnsi="Times New Roman" w:cs="Times New Roman"/>
          <w:sz w:val="20"/>
          <w:szCs w:val="20"/>
        </w:rPr>
        <w:b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r w:rsidRPr="00775E85">
        <w:rPr>
          <w:rFonts w:ascii="Times New Roman" w:eastAsia="Times New Roman" w:hAnsi="Times New Roman" w:cs="Times New Roman"/>
          <w:sz w:val="20"/>
          <w:szCs w:val="20"/>
        </w:rPr>
        <w:br/>
        <w:t>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required to comply with the rules. The amendments to these rules should benefit affected entities by codifying current practices. Affected entities also potentially may benefit from the removal of the requirement for paper copies.</w:t>
      </w:r>
      <w:r w:rsidRPr="00775E85">
        <w:rPr>
          <w:rFonts w:ascii="Times New Roman" w:eastAsia="Times New Roman" w:hAnsi="Times New Roman" w:cs="Times New Roman"/>
          <w:sz w:val="20"/>
          <w:szCs w:val="20"/>
        </w:rPr>
        <w:b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775E85">
        <w:rPr>
          <w:rFonts w:ascii="Times New Roman" w:eastAsia="Times New Roman" w:hAnsi="Times New Roman" w:cs="Times New Roman"/>
          <w:sz w:val="20"/>
          <w:szCs w:val="20"/>
        </w:rPr>
        <w:br/>
        <w:t>Any person who wishes to provide information regarding a statement of estimated regulatory costs, or provide a proposal for a lower cost regulatory alternative must do so in writing within 21 days of this notice.</w:t>
      </w:r>
      <w:r w:rsidRPr="00775E85">
        <w:rPr>
          <w:rFonts w:ascii="Times New Roman" w:eastAsia="Times New Roman" w:hAnsi="Times New Roman" w:cs="Times New Roman"/>
          <w:sz w:val="20"/>
          <w:szCs w:val="20"/>
        </w:rPr>
        <w:br/>
        <w:t xml:space="preserve">RULEMAKING AUTHORITY: </w:t>
      </w:r>
      <w:hyperlink r:id="rId8" w:tgtFrame="statute" w:history="1">
        <w:r w:rsidRPr="00775E85">
          <w:rPr>
            <w:rFonts w:ascii="Times New Roman" w:eastAsia="Times New Roman" w:hAnsi="Times New Roman" w:cs="Times New Roman"/>
            <w:color w:val="0000FF"/>
            <w:sz w:val="20"/>
            <w:szCs w:val="20"/>
            <w:u w:val="single"/>
          </w:rPr>
          <w:t>366.05(1)</w:t>
        </w:r>
      </w:hyperlink>
      <w:r w:rsidRPr="00775E85">
        <w:rPr>
          <w:rFonts w:ascii="Times New Roman" w:eastAsia="Times New Roman" w:hAnsi="Times New Roman" w:cs="Times New Roman"/>
          <w:sz w:val="20"/>
          <w:szCs w:val="20"/>
        </w:rPr>
        <w:t xml:space="preserve">, </w:t>
      </w:r>
      <w:hyperlink r:id="rId9" w:tgtFrame="statute" w:history="1">
        <w:r w:rsidRPr="00775E85">
          <w:rPr>
            <w:rFonts w:ascii="Times New Roman" w:eastAsia="Times New Roman" w:hAnsi="Times New Roman" w:cs="Times New Roman"/>
            <w:color w:val="0000FF"/>
            <w:sz w:val="20"/>
            <w:szCs w:val="20"/>
            <w:u w:val="single"/>
          </w:rPr>
          <w:t>350.115</w:t>
        </w:r>
      </w:hyperlink>
      <w:r w:rsidRPr="00775E85">
        <w:rPr>
          <w:rFonts w:ascii="Times New Roman" w:eastAsia="Times New Roman" w:hAnsi="Times New Roman" w:cs="Times New Roman"/>
          <w:sz w:val="20"/>
          <w:szCs w:val="20"/>
        </w:rPr>
        <w:t xml:space="preserve">, </w:t>
      </w:r>
      <w:hyperlink r:id="rId10" w:tgtFrame="statute" w:history="1">
        <w:r w:rsidRPr="00775E85">
          <w:rPr>
            <w:rFonts w:ascii="Times New Roman" w:eastAsia="Times New Roman" w:hAnsi="Times New Roman" w:cs="Times New Roman"/>
            <w:color w:val="0000FF"/>
            <w:sz w:val="20"/>
            <w:szCs w:val="20"/>
            <w:u w:val="single"/>
          </w:rPr>
          <w:t>350.127(2)</w:t>
        </w:r>
      </w:hyperlink>
      <w:r w:rsidRPr="00775E85">
        <w:rPr>
          <w:rFonts w:ascii="Times New Roman" w:eastAsia="Times New Roman" w:hAnsi="Times New Roman" w:cs="Times New Roman"/>
          <w:sz w:val="20"/>
          <w:szCs w:val="20"/>
        </w:rPr>
        <w:t>, F.S.</w:t>
      </w:r>
      <w:r w:rsidRPr="00775E85">
        <w:rPr>
          <w:rFonts w:ascii="Times New Roman" w:eastAsia="Times New Roman" w:hAnsi="Times New Roman" w:cs="Times New Roman"/>
          <w:sz w:val="20"/>
          <w:szCs w:val="20"/>
        </w:rPr>
        <w:br/>
        <w:t xml:space="preserve">LAW IMPLEMENTED: </w:t>
      </w:r>
      <w:hyperlink r:id="rId11" w:tgtFrame="statute" w:history="1">
        <w:r w:rsidRPr="00775E85">
          <w:rPr>
            <w:rFonts w:ascii="Times New Roman" w:eastAsia="Times New Roman" w:hAnsi="Times New Roman" w:cs="Times New Roman"/>
            <w:color w:val="0000FF"/>
            <w:sz w:val="20"/>
            <w:szCs w:val="20"/>
            <w:u w:val="single"/>
          </w:rPr>
          <w:t>350.115</w:t>
        </w:r>
      </w:hyperlink>
      <w:r w:rsidRPr="00775E85">
        <w:rPr>
          <w:rFonts w:ascii="Times New Roman" w:eastAsia="Times New Roman" w:hAnsi="Times New Roman" w:cs="Times New Roman"/>
          <w:sz w:val="20"/>
          <w:szCs w:val="20"/>
        </w:rPr>
        <w:t xml:space="preserve">, </w:t>
      </w:r>
      <w:hyperlink r:id="rId12" w:tgtFrame="statute" w:history="1">
        <w:r w:rsidRPr="00775E85">
          <w:rPr>
            <w:rFonts w:ascii="Times New Roman" w:eastAsia="Times New Roman" w:hAnsi="Times New Roman" w:cs="Times New Roman"/>
            <w:color w:val="0000FF"/>
            <w:sz w:val="20"/>
            <w:szCs w:val="20"/>
            <w:u w:val="single"/>
          </w:rPr>
          <w:t>366.04(2)(f)</w:t>
        </w:r>
      </w:hyperlink>
      <w:r w:rsidRPr="00775E85">
        <w:rPr>
          <w:rFonts w:ascii="Times New Roman" w:eastAsia="Times New Roman" w:hAnsi="Times New Roman" w:cs="Times New Roman"/>
          <w:sz w:val="20"/>
          <w:szCs w:val="20"/>
        </w:rPr>
        <w:t xml:space="preserve">, </w:t>
      </w:r>
      <w:hyperlink r:id="rId13" w:tgtFrame="statute" w:history="1">
        <w:r w:rsidRPr="00775E85">
          <w:rPr>
            <w:rFonts w:ascii="Times New Roman" w:eastAsia="Times New Roman" w:hAnsi="Times New Roman" w:cs="Times New Roman"/>
            <w:color w:val="0000FF"/>
            <w:sz w:val="20"/>
            <w:szCs w:val="20"/>
            <w:u w:val="single"/>
          </w:rPr>
          <w:t>366.041</w:t>
        </w:r>
      </w:hyperlink>
      <w:r w:rsidRPr="00775E85">
        <w:rPr>
          <w:rFonts w:ascii="Times New Roman" w:eastAsia="Times New Roman" w:hAnsi="Times New Roman" w:cs="Times New Roman"/>
          <w:sz w:val="20"/>
          <w:szCs w:val="20"/>
        </w:rPr>
        <w:t xml:space="preserve">, </w:t>
      </w:r>
      <w:hyperlink r:id="rId14" w:tgtFrame="statute" w:history="1">
        <w:r w:rsidRPr="00775E85">
          <w:rPr>
            <w:rFonts w:ascii="Times New Roman" w:eastAsia="Times New Roman" w:hAnsi="Times New Roman" w:cs="Times New Roman"/>
            <w:color w:val="0000FF"/>
            <w:sz w:val="20"/>
            <w:szCs w:val="20"/>
            <w:u w:val="single"/>
          </w:rPr>
          <w:t>366.05(1)</w:t>
        </w:r>
      </w:hyperlink>
      <w:r w:rsidRPr="00775E85">
        <w:rPr>
          <w:rFonts w:ascii="Times New Roman" w:eastAsia="Times New Roman" w:hAnsi="Times New Roman" w:cs="Times New Roman"/>
          <w:sz w:val="20"/>
          <w:szCs w:val="20"/>
        </w:rPr>
        <w:t>, F.S.</w:t>
      </w:r>
      <w:r w:rsidRPr="00775E85">
        <w:rPr>
          <w:rFonts w:ascii="Times New Roman" w:eastAsia="Times New Roman" w:hAnsi="Times New Roman" w:cs="Times New Roman"/>
          <w:sz w:val="20"/>
          <w:szCs w:val="20"/>
        </w:rPr>
        <w:br/>
        <w:t>IF REQUESTED WITHIN 21 DAYS OF THE DATE OF THIS NOTICE, A HEARING WILL BE SCHEDULED AND ANNOUNCED IN THE FAR.</w:t>
      </w:r>
      <w:r w:rsidRPr="00775E85">
        <w:rPr>
          <w:rFonts w:ascii="Times New Roman" w:eastAsia="Times New Roman" w:hAnsi="Times New Roman" w:cs="Times New Roman"/>
          <w:sz w:val="20"/>
          <w:szCs w:val="20"/>
        </w:rPr>
        <w:br/>
        <w:t>THE PERSON TO BE CONTACTED REGARDING THE PROPOSED RULE IS: Pamela H. Page, Office of General Counsel, 2540 Shumard Oak Blvd., Tallahassee, FL 32399-0850, (850) 413-6214, phpage@psc.state.fl.us.</w:t>
      </w:r>
      <w:r w:rsidRPr="00775E85">
        <w:rPr>
          <w:rFonts w:ascii="Times New Roman" w:eastAsia="Times New Roman" w:hAnsi="Times New Roman" w:cs="Times New Roman"/>
          <w:sz w:val="20"/>
          <w:szCs w:val="20"/>
        </w:rPr>
        <w:br/>
      </w:r>
      <w:r w:rsidRPr="00775E85">
        <w:rPr>
          <w:rFonts w:ascii="Times New Roman" w:eastAsia="Times New Roman" w:hAnsi="Times New Roman" w:cs="Times New Roman"/>
          <w:sz w:val="20"/>
          <w:szCs w:val="20"/>
        </w:rPr>
        <w:br/>
        <w:t xml:space="preserve">THE FULL TEXT OF THE PROPOSED RULE IS: </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hyperlink r:id="rId15" w:tgtFrame="ruleNo" w:history="1">
        <w:r w:rsidRPr="00775E85">
          <w:rPr>
            <w:rFonts w:ascii="Times New Roman" w:eastAsia="Times New Roman" w:hAnsi="Times New Roman" w:cs="Times New Roman"/>
            <w:b/>
            <w:color w:val="0000FF"/>
            <w:sz w:val="20"/>
            <w:szCs w:val="20"/>
            <w:u w:val="single"/>
          </w:rPr>
          <w:t>25-6.0436</w:t>
        </w:r>
      </w:hyperlink>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b/>
          <w:sz w:val="20"/>
          <w:szCs w:val="20"/>
        </w:rPr>
        <w:t>Depreciation.</w:t>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r w:rsidRPr="00775E85">
        <w:rPr>
          <w:rFonts w:ascii="Times New Roman" w:eastAsia="Times New Roman" w:hAnsi="Times New Roman" w:cs="Times New Roman"/>
          <w:b/>
          <w:sz w:val="20"/>
          <w:szCs w:val="20"/>
        </w:rPr>
        <w:tab/>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(1) For the purposes of this </w:t>
      </w:r>
      <w:r w:rsidRPr="00775E85">
        <w:rPr>
          <w:rFonts w:ascii="Times New Roman" w:eastAsia="Times New Roman" w:hAnsi="Times New Roman" w:cs="Times New Roman"/>
          <w:sz w:val="20"/>
          <w:szCs w:val="20"/>
          <w:u w:val="single"/>
        </w:rPr>
        <w:t>rule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part</w:t>
      </w:r>
      <w:r w:rsidRPr="00775E85">
        <w:rPr>
          <w:rFonts w:ascii="Times New Roman" w:eastAsia="Times New Roman" w:hAnsi="Times New Roman" w:cs="Times New Roman"/>
          <w:sz w:val="20"/>
          <w:szCs w:val="20"/>
        </w:rPr>
        <w:t>, the following definitions shall apply:</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lastRenderedPageBreak/>
        <w:tab/>
        <w:t xml:space="preserve">(a) Category or Category of Depreciable Plant – A grouping of plant for which a depreciation rate is prescribed. At a minimum it </w:t>
      </w:r>
      <w:r w:rsidRPr="00775E85">
        <w:rPr>
          <w:rFonts w:ascii="Times New Roman" w:eastAsia="Times New Roman" w:hAnsi="Times New Roman" w:cs="Times New Roman"/>
          <w:sz w:val="20"/>
          <w:szCs w:val="20"/>
          <w:u w:val="single"/>
        </w:rPr>
        <w:t>shall</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should</w:t>
      </w:r>
      <w:r w:rsidRPr="00775E85">
        <w:rPr>
          <w:rFonts w:ascii="Times New Roman" w:eastAsia="Times New Roman" w:hAnsi="Times New Roman" w:cs="Times New Roman"/>
          <w:sz w:val="20"/>
          <w:szCs w:val="20"/>
        </w:rPr>
        <w:t xml:space="preserve"> include each plant account prescribed in subsection 25-6.014(1), F.A.C.</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(b)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(c) Mortality Data – Historical data by study category showing plant balances, additions, adjustments and retirements, used in analyses for life indications or calculations of realized life. </w:t>
      </w:r>
      <w:r w:rsidRPr="00775E85">
        <w:rPr>
          <w:rFonts w:ascii="Times New Roman" w:eastAsia="Times New Roman" w:hAnsi="Times New Roman" w:cs="Times New Roman"/>
          <w:strike/>
          <w:sz w:val="20"/>
          <w:szCs w:val="20"/>
        </w:rPr>
        <w:t>Preferably,</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T</w:t>
      </w:r>
      <w:r w:rsidRPr="00775E85">
        <w:rPr>
          <w:rFonts w:ascii="Times New Roman" w:eastAsia="Times New Roman" w:hAnsi="Times New Roman" w:cs="Times New Roman"/>
          <w:strike/>
          <w:sz w:val="20"/>
          <w:szCs w:val="20"/>
        </w:rPr>
        <w:t>t</w:t>
      </w:r>
      <w:r w:rsidRPr="00775E85">
        <w:rPr>
          <w:rFonts w:ascii="Times New Roman" w:eastAsia="Times New Roman" w:hAnsi="Times New Roman" w:cs="Times New Roman"/>
          <w:sz w:val="20"/>
          <w:szCs w:val="20"/>
        </w:rPr>
        <w:t>his is aged data in accord with the following:</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1. through 4.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(d)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(e) Remaining Life </w:t>
      </w:r>
      <w:r w:rsidRPr="00775E85">
        <w:rPr>
          <w:rFonts w:ascii="Times New Roman" w:eastAsia="Times New Roman" w:hAnsi="Times New Roman" w:cs="Times New Roman"/>
          <w:sz w:val="20"/>
          <w:szCs w:val="20"/>
          <w:u w:val="single"/>
        </w:rPr>
        <w:t>Technique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Method</w:t>
      </w:r>
      <w:r w:rsidRPr="00775E85">
        <w:rPr>
          <w:rFonts w:ascii="Times New Roman" w:eastAsia="Times New Roman" w:hAnsi="Times New Roman" w:cs="Times New Roman"/>
          <w:sz w:val="20"/>
          <w:szCs w:val="20"/>
        </w:rPr>
        <w:t xml:space="preserve"> – The method of calculating a depreciation rate based on the unrecovered plant balance, </w:t>
      </w:r>
      <w:r w:rsidRPr="00775E85">
        <w:rPr>
          <w:rFonts w:ascii="Times New Roman" w:eastAsia="Times New Roman" w:hAnsi="Times New Roman" w:cs="Times New Roman"/>
          <w:sz w:val="20"/>
          <w:szCs w:val="20"/>
          <w:u w:val="single"/>
        </w:rPr>
        <w:t>the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less</w:t>
      </w:r>
      <w:r w:rsidRPr="00775E85">
        <w:rPr>
          <w:rFonts w:ascii="Times New Roman" w:eastAsia="Times New Roman" w:hAnsi="Times New Roman" w:cs="Times New Roman"/>
          <w:sz w:val="20"/>
          <w:szCs w:val="20"/>
        </w:rPr>
        <w:t xml:space="preserve"> average future net salvage</w:t>
      </w:r>
      <w:r w:rsidRPr="00775E85">
        <w:rPr>
          <w:rFonts w:ascii="Times New Roman" w:eastAsia="Times New Roman" w:hAnsi="Times New Roman" w:cs="Times New Roman"/>
          <w:sz w:val="20"/>
          <w:szCs w:val="20"/>
          <w:u w:val="single"/>
        </w:rPr>
        <w:t>,</w:t>
      </w:r>
      <w:r w:rsidRPr="00775E85">
        <w:rPr>
          <w:rFonts w:ascii="Times New Roman" w:eastAsia="Times New Roman" w:hAnsi="Times New Roman" w:cs="Times New Roman"/>
          <w:sz w:val="20"/>
          <w:szCs w:val="20"/>
        </w:rPr>
        <w:t xml:space="preserve"> and the average remaining life. The formula </w:t>
      </w:r>
      <w:r w:rsidRPr="00775E85">
        <w:rPr>
          <w:rFonts w:ascii="Times New Roman" w:eastAsia="Times New Roman" w:hAnsi="Times New Roman" w:cs="Times New Roman"/>
          <w:strike/>
          <w:sz w:val="20"/>
          <w:szCs w:val="20"/>
        </w:rPr>
        <w:t>for calculating a Remaining Life Rate</w:t>
      </w:r>
      <w:r w:rsidRPr="00775E85">
        <w:rPr>
          <w:rFonts w:ascii="Times New Roman" w:eastAsia="Times New Roman" w:hAnsi="Times New Roman" w:cs="Times New Roman"/>
          <w:sz w:val="20"/>
          <w:szCs w:val="20"/>
        </w:rPr>
        <w:t xml:space="preserve"> is: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tbl>
      <w:tblPr>
        <w:tblW w:w="0" w:type="auto"/>
        <w:tblLayout w:type="fixed"/>
        <w:tblCellMar>
          <w:left w:w="0" w:type="dxa"/>
          <w:right w:w="0" w:type="dxa"/>
        </w:tblCellMar>
        <w:tblLook w:val="04A0" w:firstRow="1" w:lastRow="0" w:firstColumn="1" w:lastColumn="0" w:noHBand="0" w:noVBand="1"/>
      </w:tblPr>
      <w:tblGrid>
        <w:gridCol w:w="374"/>
        <w:gridCol w:w="2116"/>
        <w:gridCol w:w="360"/>
        <w:gridCol w:w="5700"/>
      </w:tblGrid>
      <w:tr w:rsidR="00775E85" w:rsidRPr="00775E85" w:rsidTr="00775E85">
        <w:tc>
          <w:tcPr>
            <w:tcW w:w="374"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tc>
        <w:tc>
          <w:tcPr>
            <w:tcW w:w="2116"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Remaining Life Rate</w:t>
            </w:r>
          </w:p>
        </w:tc>
        <w:tc>
          <w:tcPr>
            <w:tcW w:w="360"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w:t>
            </w:r>
          </w:p>
        </w:tc>
        <w:tc>
          <w:tcPr>
            <w:tcW w:w="5700"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xml:space="preserve"> 100% - Reserve % - Average Future Net Salvage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__________________________________</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Average Remaining Life in Years</w:t>
            </w:r>
          </w:p>
        </w:tc>
      </w:tr>
    </w:tbl>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(f) through (l) No change.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(m) Whole Life </w:t>
      </w:r>
      <w:r w:rsidRPr="00775E85">
        <w:rPr>
          <w:rFonts w:ascii="Times New Roman" w:eastAsia="Times New Roman" w:hAnsi="Times New Roman" w:cs="Times New Roman"/>
          <w:sz w:val="20"/>
          <w:szCs w:val="20"/>
          <w:u w:val="single"/>
        </w:rPr>
        <w:t>Technique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Method</w:t>
      </w:r>
      <w:r w:rsidRPr="00775E85">
        <w:rPr>
          <w:rFonts w:ascii="Times New Roman" w:eastAsia="Times New Roman" w:hAnsi="Times New Roman" w:cs="Times New Roman"/>
          <w:sz w:val="20"/>
          <w:szCs w:val="20"/>
        </w:rPr>
        <w:t xml:space="preserve"> – The method of calculating a depreciation rate based on the </w:t>
      </w:r>
      <w:r w:rsidRPr="00775E85">
        <w:rPr>
          <w:rFonts w:ascii="Times New Roman" w:eastAsia="Times New Roman" w:hAnsi="Times New Roman" w:cs="Times New Roman"/>
          <w:sz w:val="20"/>
          <w:szCs w:val="20"/>
          <w:u w:val="single"/>
        </w:rPr>
        <w:t>w</w:t>
      </w:r>
      <w:r w:rsidRPr="00775E85">
        <w:rPr>
          <w:rFonts w:ascii="Times New Roman" w:eastAsia="Times New Roman" w:hAnsi="Times New Roman" w:cs="Times New Roman"/>
          <w:strike/>
          <w:sz w:val="20"/>
          <w:szCs w:val="20"/>
        </w:rPr>
        <w:t>W</w:t>
      </w:r>
      <w:r w:rsidRPr="00775E85">
        <w:rPr>
          <w:rFonts w:ascii="Times New Roman" w:eastAsia="Times New Roman" w:hAnsi="Times New Roman" w:cs="Times New Roman"/>
          <w:sz w:val="20"/>
          <w:szCs w:val="20"/>
        </w:rPr>
        <w:t xml:space="preserve">hole </w:t>
      </w:r>
      <w:r w:rsidRPr="00775E85">
        <w:rPr>
          <w:rFonts w:ascii="Times New Roman" w:eastAsia="Times New Roman" w:hAnsi="Times New Roman" w:cs="Times New Roman"/>
          <w:sz w:val="20"/>
          <w:szCs w:val="20"/>
          <w:u w:val="single"/>
        </w:rPr>
        <w:t>l</w:t>
      </w:r>
      <w:r w:rsidRPr="00775E85">
        <w:rPr>
          <w:rFonts w:ascii="Times New Roman" w:eastAsia="Times New Roman" w:hAnsi="Times New Roman" w:cs="Times New Roman"/>
          <w:strike/>
          <w:sz w:val="20"/>
          <w:szCs w:val="20"/>
        </w:rPr>
        <w:t>L</w:t>
      </w:r>
      <w:r w:rsidRPr="00775E85">
        <w:rPr>
          <w:rFonts w:ascii="Times New Roman" w:eastAsia="Times New Roman" w:hAnsi="Times New Roman" w:cs="Times New Roman"/>
          <w:sz w:val="20"/>
          <w:szCs w:val="20"/>
        </w:rPr>
        <w:t>ife (</w:t>
      </w:r>
      <w:r w:rsidRPr="00775E85">
        <w:rPr>
          <w:rFonts w:ascii="Times New Roman" w:eastAsia="Times New Roman" w:hAnsi="Times New Roman" w:cs="Times New Roman"/>
          <w:sz w:val="20"/>
          <w:szCs w:val="20"/>
          <w:u w:val="single"/>
        </w:rPr>
        <w:t>a</w:t>
      </w:r>
      <w:r w:rsidRPr="00775E85">
        <w:rPr>
          <w:rFonts w:ascii="Times New Roman" w:eastAsia="Times New Roman" w:hAnsi="Times New Roman" w:cs="Times New Roman"/>
          <w:strike/>
          <w:sz w:val="20"/>
          <w:szCs w:val="20"/>
        </w:rPr>
        <w:t>A</w:t>
      </w:r>
      <w:r w:rsidRPr="00775E85">
        <w:rPr>
          <w:rFonts w:ascii="Times New Roman" w:eastAsia="Times New Roman" w:hAnsi="Times New Roman" w:cs="Times New Roman"/>
          <w:sz w:val="20"/>
          <w:szCs w:val="20"/>
        </w:rPr>
        <w:t xml:space="preserve">verage </w:t>
      </w:r>
      <w:r w:rsidRPr="00775E85">
        <w:rPr>
          <w:rFonts w:ascii="Times New Roman" w:eastAsia="Times New Roman" w:hAnsi="Times New Roman" w:cs="Times New Roman"/>
          <w:sz w:val="20"/>
          <w:szCs w:val="20"/>
          <w:u w:val="single"/>
        </w:rPr>
        <w:t>s</w:t>
      </w:r>
      <w:r w:rsidRPr="00775E85">
        <w:rPr>
          <w:rFonts w:ascii="Times New Roman" w:eastAsia="Times New Roman" w:hAnsi="Times New Roman" w:cs="Times New Roman"/>
          <w:strike/>
          <w:sz w:val="20"/>
          <w:szCs w:val="20"/>
        </w:rPr>
        <w:t>S</w:t>
      </w:r>
      <w:r w:rsidRPr="00775E85">
        <w:rPr>
          <w:rFonts w:ascii="Times New Roman" w:eastAsia="Times New Roman" w:hAnsi="Times New Roman" w:cs="Times New Roman"/>
          <w:sz w:val="20"/>
          <w:szCs w:val="20"/>
        </w:rPr>
        <w:t xml:space="preserve">ervice </w:t>
      </w:r>
      <w:r w:rsidRPr="00775E85">
        <w:rPr>
          <w:rFonts w:ascii="Times New Roman" w:eastAsia="Times New Roman" w:hAnsi="Times New Roman" w:cs="Times New Roman"/>
          <w:sz w:val="20"/>
          <w:szCs w:val="20"/>
          <w:u w:val="single"/>
        </w:rPr>
        <w:t>l</w:t>
      </w:r>
      <w:r w:rsidRPr="00775E85">
        <w:rPr>
          <w:rFonts w:ascii="Times New Roman" w:eastAsia="Times New Roman" w:hAnsi="Times New Roman" w:cs="Times New Roman"/>
          <w:strike/>
          <w:sz w:val="20"/>
          <w:szCs w:val="20"/>
        </w:rPr>
        <w:t>L</w:t>
      </w:r>
      <w:r w:rsidRPr="00775E85">
        <w:rPr>
          <w:rFonts w:ascii="Times New Roman" w:eastAsia="Times New Roman" w:hAnsi="Times New Roman" w:cs="Times New Roman"/>
          <w:sz w:val="20"/>
          <w:szCs w:val="20"/>
        </w:rPr>
        <w:t xml:space="preserve">ife) and the </w:t>
      </w:r>
      <w:r w:rsidRPr="00775E85">
        <w:rPr>
          <w:rFonts w:ascii="Times New Roman" w:eastAsia="Times New Roman" w:hAnsi="Times New Roman" w:cs="Times New Roman"/>
          <w:sz w:val="20"/>
          <w:szCs w:val="20"/>
          <w:u w:val="single"/>
        </w:rPr>
        <w:t>a</w:t>
      </w:r>
      <w:r w:rsidRPr="00775E85">
        <w:rPr>
          <w:rFonts w:ascii="Times New Roman" w:eastAsia="Times New Roman" w:hAnsi="Times New Roman" w:cs="Times New Roman"/>
          <w:strike/>
          <w:sz w:val="20"/>
          <w:szCs w:val="20"/>
        </w:rPr>
        <w:t>A</w:t>
      </w:r>
      <w:r w:rsidRPr="00775E85">
        <w:rPr>
          <w:rFonts w:ascii="Times New Roman" w:eastAsia="Times New Roman" w:hAnsi="Times New Roman" w:cs="Times New Roman"/>
          <w:sz w:val="20"/>
          <w:szCs w:val="20"/>
        </w:rPr>
        <w:t xml:space="preserve">verage </w:t>
      </w:r>
      <w:r w:rsidRPr="00775E85">
        <w:rPr>
          <w:rFonts w:ascii="Times New Roman" w:eastAsia="Times New Roman" w:hAnsi="Times New Roman" w:cs="Times New Roman"/>
          <w:sz w:val="20"/>
          <w:szCs w:val="20"/>
          <w:u w:val="single"/>
        </w:rPr>
        <w:t>n</w:t>
      </w:r>
      <w:r w:rsidRPr="00775E85">
        <w:rPr>
          <w:rFonts w:ascii="Times New Roman" w:eastAsia="Times New Roman" w:hAnsi="Times New Roman" w:cs="Times New Roman"/>
          <w:strike/>
          <w:sz w:val="20"/>
          <w:szCs w:val="20"/>
        </w:rPr>
        <w:t>N</w:t>
      </w:r>
      <w:r w:rsidRPr="00775E85">
        <w:rPr>
          <w:rFonts w:ascii="Times New Roman" w:eastAsia="Times New Roman" w:hAnsi="Times New Roman" w:cs="Times New Roman"/>
          <w:sz w:val="20"/>
          <w:szCs w:val="20"/>
        </w:rPr>
        <w:t xml:space="preserve">et </w:t>
      </w:r>
      <w:r w:rsidRPr="00775E85">
        <w:rPr>
          <w:rFonts w:ascii="Times New Roman" w:eastAsia="Times New Roman" w:hAnsi="Times New Roman" w:cs="Times New Roman"/>
          <w:sz w:val="20"/>
          <w:szCs w:val="20"/>
          <w:u w:val="single"/>
        </w:rPr>
        <w:t>s</w:t>
      </w:r>
      <w:r w:rsidRPr="00775E85">
        <w:rPr>
          <w:rFonts w:ascii="Times New Roman" w:eastAsia="Times New Roman" w:hAnsi="Times New Roman" w:cs="Times New Roman"/>
          <w:strike/>
          <w:sz w:val="20"/>
          <w:szCs w:val="20"/>
        </w:rPr>
        <w:t>S</w:t>
      </w:r>
      <w:r w:rsidRPr="00775E85">
        <w:rPr>
          <w:rFonts w:ascii="Times New Roman" w:eastAsia="Times New Roman" w:hAnsi="Times New Roman" w:cs="Times New Roman"/>
          <w:sz w:val="20"/>
          <w:szCs w:val="20"/>
        </w:rPr>
        <w:t>alvage. Both life and salvage components are the estimated or calculated composite of realized experience and expected activity. The formula is:</w:t>
      </w:r>
    </w:p>
    <w:tbl>
      <w:tblPr>
        <w:tblW w:w="0" w:type="auto"/>
        <w:tblLayout w:type="fixed"/>
        <w:tblCellMar>
          <w:left w:w="0" w:type="dxa"/>
          <w:right w:w="0" w:type="dxa"/>
        </w:tblCellMar>
        <w:tblLook w:val="04A0" w:firstRow="1" w:lastRow="0" w:firstColumn="1" w:lastColumn="0" w:noHBand="0" w:noVBand="1"/>
      </w:tblPr>
      <w:tblGrid>
        <w:gridCol w:w="360"/>
        <w:gridCol w:w="1684"/>
        <w:gridCol w:w="331"/>
        <w:gridCol w:w="3655"/>
      </w:tblGrid>
      <w:tr w:rsidR="00775E85" w:rsidRPr="00775E85" w:rsidTr="00775E85">
        <w:tc>
          <w:tcPr>
            <w:tcW w:w="360"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tc>
        <w:tc>
          <w:tcPr>
            <w:tcW w:w="1684"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Whole Life Rate</w:t>
            </w:r>
          </w:p>
        </w:tc>
        <w:tc>
          <w:tcPr>
            <w:tcW w:w="331"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w:t>
            </w:r>
          </w:p>
        </w:tc>
        <w:tc>
          <w:tcPr>
            <w:tcW w:w="3655" w:type="dxa"/>
            <w:tcBorders>
              <w:top w:val="nil"/>
              <w:left w:val="nil"/>
              <w:bottom w:val="nil"/>
              <w:right w:val="nil"/>
            </w:tcBorders>
            <w:shd w:val="clear" w:color="auto" w:fill="auto"/>
            <w:hideMark/>
          </w:tcPr>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100% - Average Net Salvage %</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__________________________</w:t>
            </w:r>
          </w:p>
          <w:p w:rsidR="00775E85" w:rsidRPr="00775E85" w:rsidRDefault="00775E85" w:rsidP="00775E85">
            <w:pPr>
              <w:widowControl w:val="0"/>
              <w:tabs>
                <w:tab w:val="left" w:pos="360"/>
                <w:tab w:val="left" w:pos="720"/>
              </w:tabs>
              <w:spacing w:after="0" w:line="240"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Average Service Life in Years</w:t>
            </w:r>
          </w:p>
        </w:tc>
      </w:tr>
    </w:tbl>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(2)(a) through (b)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(c) When plant investment is booked as a transfer from a regulated utility depreciable account to another or from a regulated company to an affiliate, </w:t>
      </w:r>
      <w:r w:rsidRPr="00775E85">
        <w:rPr>
          <w:rFonts w:ascii="Times New Roman" w:eastAsia="Times New Roman" w:hAnsi="Times New Roman" w:cs="Times New Roman"/>
          <w:sz w:val="20"/>
          <w:szCs w:val="20"/>
          <w:u w:val="single"/>
        </w:rPr>
        <w:t>its associated</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an appropriate</w:t>
      </w:r>
      <w:r w:rsidRPr="00775E85">
        <w:rPr>
          <w:rFonts w:ascii="Times New Roman" w:eastAsia="Times New Roman" w:hAnsi="Times New Roman" w:cs="Times New Roman"/>
          <w:sz w:val="20"/>
          <w:szCs w:val="20"/>
        </w:rPr>
        <w:t xml:space="preserve"> reserve amount shall also be booked as a transfer. When plant investment is sold from one regulated utility to an affiliate, </w:t>
      </w:r>
      <w:r w:rsidRPr="00775E85">
        <w:rPr>
          <w:rFonts w:ascii="Times New Roman" w:eastAsia="Times New Roman" w:hAnsi="Times New Roman" w:cs="Times New Roman"/>
          <w:sz w:val="20"/>
          <w:szCs w:val="20"/>
          <w:u w:val="single"/>
        </w:rPr>
        <w:t>the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an appropriate</w:t>
      </w:r>
      <w:r w:rsidRPr="00775E85">
        <w:rPr>
          <w:rFonts w:ascii="Times New Roman" w:eastAsia="Times New Roman" w:hAnsi="Times New Roman" w:cs="Times New Roman"/>
          <w:sz w:val="20"/>
          <w:szCs w:val="20"/>
        </w:rPr>
        <w:t xml:space="preserve"> associated reserve amount shall also be determined to calculate the net book value of the utility investment being sold. </w:t>
      </w:r>
      <w:r w:rsidRPr="00775E85">
        <w:rPr>
          <w:rFonts w:ascii="Times New Roman" w:eastAsia="Times New Roman" w:hAnsi="Times New Roman" w:cs="Times New Roman"/>
          <w:strike/>
          <w:sz w:val="20"/>
          <w:szCs w:val="20"/>
        </w:rPr>
        <w:t>Appropriate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M</w:t>
      </w:r>
      <w:r w:rsidRPr="00775E85">
        <w:rPr>
          <w:rFonts w:ascii="Times New Roman" w:eastAsia="Times New Roman" w:hAnsi="Times New Roman" w:cs="Times New Roman"/>
          <w:strike/>
          <w:sz w:val="20"/>
          <w:szCs w:val="20"/>
        </w:rPr>
        <w:t>m</w:t>
      </w:r>
      <w:r w:rsidRPr="00775E85">
        <w:rPr>
          <w:rFonts w:ascii="Times New Roman" w:eastAsia="Times New Roman" w:hAnsi="Times New Roman" w:cs="Times New Roman"/>
          <w:sz w:val="20"/>
          <w:szCs w:val="20"/>
        </w:rPr>
        <w:t xml:space="preserve">ethods for determining the </w:t>
      </w:r>
      <w:r w:rsidRPr="00775E85">
        <w:rPr>
          <w:rFonts w:ascii="Times New Roman" w:eastAsia="Times New Roman" w:hAnsi="Times New Roman" w:cs="Times New Roman"/>
          <w:strike/>
          <w:sz w:val="20"/>
          <w:szCs w:val="20"/>
        </w:rPr>
        <w:t>appropriate</w:t>
      </w:r>
      <w:r w:rsidRPr="00775E85">
        <w:rPr>
          <w:rFonts w:ascii="Times New Roman" w:eastAsia="Times New Roman" w:hAnsi="Times New Roman" w:cs="Times New Roman"/>
          <w:sz w:val="20"/>
          <w:szCs w:val="20"/>
        </w:rPr>
        <w:t xml:space="preserve"> reserve amount associated with plant transferred or sold are as follows: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1. Where vintage reserves are not maintained, synthesization using the currently prescribed curve shape </w:t>
      </w:r>
      <w:r w:rsidRPr="00775E85">
        <w:rPr>
          <w:rFonts w:ascii="Times New Roman" w:eastAsia="Times New Roman" w:hAnsi="Times New Roman" w:cs="Times New Roman"/>
          <w:sz w:val="20"/>
          <w:szCs w:val="20"/>
          <w:u w:val="single"/>
        </w:rPr>
        <w:t>shall</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may</w:t>
      </w:r>
      <w:r w:rsidRPr="00775E85">
        <w:rPr>
          <w:rFonts w:ascii="Times New Roman" w:eastAsia="Times New Roman" w:hAnsi="Times New Roman" w:cs="Times New Roman"/>
          <w:sz w:val="20"/>
          <w:szCs w:val="20"/>
        </w:rPr>
        <w:t xml:space="preserve"> be required. The same reserve percent associated with the original placement vintage of the related investment shall then be used in determining the </w:t>
      </w:r>
      <w:r w:rsidRPr="00775E85">
        <w:rPr>
          <w:rFonts w:ascii="Times New Roman" w:eastAsia="Times New Roman" w:hAnsi="Times New Roman" w:cs="Times New Roman"/>
          <w:strike/>
          <w:sz w:val="20"/>
          <w:szCs w:val="20"/>
        </w:rPr>
        <w:t>appropriate</w:t>
      </w:r>
      <w:r w:rsidRPr="00775E85">
        <w:rPr>
          <w:rFonts w:ascii="Times New Roman" w:eastAsia="Times New Roman" w:hAnsi="Times New Roman" w:cs="Times New Roman"/>
          <w:sz w:val="20"/>
          <w:szCs w:val="20"/>
        </w:rPr>
        <w:t xml:space="preserve"> amount of reserve to transfer.</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2. Where the original placement vintage of the investment being transferred is unknown, the reserve percent applicable to the account in which the investment being transferred resides may be assumed </w:t>
      </w:r>
      <w:r w:rsidRPr="00775E85">
        <w:rPr>
          <w:rFonts w:ascii="Times New Roman" w:eastAsia="Times New Roman" w:hAnsi="Times New Roman" w:cs="Times New Roman"/>
          <w:strike/>
          <w:sz w:val="20"/>
          <w:szCs w:val="20"/>
        </w:rPr>
        <w:t>as appropriate</w:t>
      </w:r>
      <w:r w:rsidRPr="00775E85">
        <w:rPr>
          <w:rFonts w:ascii="Times New Roman" w:eastAsia="Times New Roman" w:hAnsi="Times New Roman" w:cs="Times New Roman"/>
          <w:sz w:val="20"/>
          <w:szCs w:val="20"/>
        </w:rPr>
        <w:t xml:space="preserve"> for determining the reserve amount to transfer.</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3.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4. The Commission shall consider any additional methods submitted by the utilities for determining the </w:t>
      </w:r>
      <w:r w:rsidRPr="00775E85">
        <w:rPr>
          <w:rFonts w:ascii="Times New Roman" w:eastAsia="Times New Roman" w:hAnsi="Times New Roman" w:cs="Times New Roman"/>
          <w:strike/>
          <w:sz w:val="20"/>
          <w:szCs w:val="20"/>
        </w:rPr>
        <w:t>appropriate</w:t>
      </w:r>
      <w:r w:rsidRPr="00775E85">
        <w:rPr>
          <w:rFonts w:ascii="Times New Roman" w:eastAsia="Times New Roman" w:hAnsi="Times New Roman" w:cs="Times New Roman"/>
          <w:sz w:val="20"/>
          <w:szCs w:val="20"/>
        </w:rPr>
        <w:t xml:space="preserve"> reserve amounts to transfer.</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(3)(a) Each utility shall maintain depreciation rates and accumulated depreciation reserves in accounts or subaccounts </w:t>
      </w:r>
      <w:r w:rsidRPr="00775E85">
        <w:rPr>
          <w:rFonts w:ascii="Times New Roman" w:eastAsia="Times New Roman" w:hAnsi="Times New Roman" w:cs="Times New Roman"/>
          <w:sz w:val="20"/>
          <w:szCs w:val="20"/>
          <w:u w:val="single"/>
        </w:rPr>
        <w:t xml:space="preserve">in accordance with the Uniform System of Accounts for </w:t>
      </w:r>
      <w:r w:rsidRPr="00775E85">
        <w:rPr>
          <w:rFonts w:ascii="Times New Roman" w:eastAsia="Times New Roman" w:hAnsi="Times New Roman" w:cs="Times New Roman"/>
          <w:color w:val="000000"/>
          <w:sz w:val="20"/>
          <w:szCs w:val="20"/>
          <w:u w:val="single"/>
        </w:rPr>
        <w:t xml:space="preserve">Public Utilities and Licensees as found in the Code of Federal Regulations, Title 18, Subchapter C, Part 101, for Major Utilities as revised </w:t>
      </w:r>
      <w:r w:rsidRPr="00775E85">
        <w:rPr>
          <w:rFonts w:ascii="Times New Roman" w:eastAsia="Times New Roman" w:hAnsi="Times New Roman" w:cs="Times New Roman"/>
          <w:sz w:val="20"/>
          <w:szCs w:val="20"/>
          <w:u w:val="single"/>
        </w:rPr>
        <w:t xml:space="preserve">April 1, 2013, which is </w:t>
      </w:r>
      <w:r w:rsidRPr="00775E85">
        <w:rPr>
          <w:rFonts w:ascii="Times New Roman" w:eastAsia="Times New Roman" w:hAnsi="Times New Roman" w:cs="Times New Roman"/>
          <w:sz w:val="20"/>
          <w:szCs w:val="20"/>
          <w:u w:val="single"/>
        </w:rPr>
        <w:lastRenderedPageBreak/>
        <w:t>incorporated by reference in Rule 25-6.014, F.A.C.</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as prescribed by subsection 25-6.014(1), F.A.C.</w:t>
      </w:r>
      <w:r w:rsidRPr="00775E85">
        <w:rPr>
          <w:rFonts w:ascii="Times New Roman" w:eastAsia="Times New Roman" w:hAnsi="Times New Roman" w:cs="Times New Roman"/>
          <w:sz w:val="20"/>
          <w:szCs w:val="20"/>
        </w:rPr>
        <w:t xml:space="preserve"> Utilities may maintain further sub-categorization.</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(b) No change.</w:t>
      </w:r>
      <w:r w:rsidRPr="00775E85">
        <w:rPr>
          <w:rFonts w:ascii="Times New Roman" w:eastAsia="Times New Roman" w:hAnsi="Times New Roman" w:cs="Times New Roman"/>
          <w:strike/>
          <w:sz w:val="20"/>
          <w:szCs w:val="20"/>
        </w:rPr>
        <w:t xml:space="preserve">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(4)</w:t>
      </w:r>
      <w:r w:rsidRPr="00775E85">
        <w:rPr>
          <w:rFonts w:ascii="Times New Roman" w:eastAsia="Times New Roman" w:hAnsi="Times New Roman" w:cs="Times New Roman"/>
          <w:sz w:val="20"/>
          <w:szCs w:val="20"/>
          <w:u w:val="single"/>
        </w:rPr>
        <w:t>(a) Each company shall file a depreciation study for each category of depreciable property for Commission review at least once every four years from the submission date of the previous study or pursuant to Commission order and within the time specified in the order.</w:t>
      </w:r>
      <w:r w:rsidRPr="00775E85">
        <w:rPr>
          <w:rFonts w:ascii="Times New Roman" w:eastAsia="Times New Roman" w:hAnsi="Times New Roman" w:cs="Times New Roman"/>
          <w:sz w:val="20"/>
          <w:szCs w:val="20"/>
        </w:rPr>
        <w:t xml:space="preserve">   A utility filing a depreciation study, regardless if a change in rates is being requested or not, shall submit to the Office of Commission Clerk </w:t>
      </w:r>
      <w:r w:rsidRPr="00775E85">
        <w:rPr>
          <w:rFonts w:ascii="Times New Roman" w:eastAsia="Times New Roman" w:hAnsi="Times New Roman" w:cs="Times New Roman"/>
          <w:strike/>
          <w:sz w:val="20"/>
          <w:szCs w:val="20"/>
        </w:rPr>
        <w:t>six</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copies of</w:t>
      </w:r>
      <w:r w:rsidRPr="00775E85">
        <w:rPr>
          <w:rFonts w:ascii="Times New Roman" w:eastAsia="Times New Roman" w:hAnsi="Times New Roman" w:cs="Times New Roman"/>
          <w:sz w:val="20"/>
          <w:szCs w:val="20"/>
        </w:rPr>
        <w:t xml:space="preserve"> the information required by paragraphs </w:t>
      </w:r>
      <w:r w:rsidRPr="00775E85">
        <w:rPr>
          <w:rFonts w:ascii="Times New Roman" w:eastAsia="Times New Roman" w:hAnsi="Times New Roman" w:cs="Times New Roman"/>
          <w:sz w:val="20"/>
          <w:szCs w:val="20"/>
          <w:u w:val="single"/>
        </w:rPr>
        <w:t>(5)</w:t>
      </w:r>
      <w:r w:rsidRPr="00775E85">
        <w:rPr>
          <w:rFonts w:ascii="Times New Roman" w:eastAsia="Times New Roman" w:hAnsi="Times New Roman" w:cs="Times New Roman"/>
          <w:strike/>
          <w:sz w:val="20"/>
          <w:szCs w:val="20"/>
        </w:rPr>
        <w:t>(6)</w:t>
      </w:r>
      <w:r w:rsidRPr="00775E85">
        <w:rPr>
          <w:rFonts w:ascii="Times New Roman" w:eastAsia="Times New Roman" w:hAnsi="Times New Roman" w:cs="Times New Roman"/>
          <w:sz w:val="20"/>
          <w:szCs w:val="20"/>
        </w:rPr>
        <w:t xml:space="preserve">(a) through </w:t>
      </w:r>
      <w:r w:rsidRPr="00775E85">
        <w:rPr>
          <w:rFonts w:ascii="Times New Roman" w:eastAsia="Times New Roman" w:hAnsi="Times New Roman" w:cs="Times New Roman"/>
          <w:sz w:val="20"/>
          <w:szCs w:val="20"/>
          <w:u w:val="single"/>
        </w:rPr>
        <w:t>(g)</w:t>
      </w:r>
      <w:r w:rsidRPr="00775E85">
        <w:rPr>
          <w:rFonts w:ascii="Times New Roman" w:eastAsia="Times New Roman" w:hAnsi="Times New Roman" w:cs="Times New Roman"/>
          <w:strike/>
          <w:sz w:val="20"/>
          <w:szCs w:val="20"/>
        </w:rPr>
        <w:t>(f)</w:t>
      </w:r>
      <w:r w:rsidRPr="00775E85">
        <w:rPr>
          <w:rFonts w:ascii="Times New Roman" w:eastAsia="Times New Roman" w:hAnsi="Times New Roman" w:cs="Times New Roman"/>
          <w:sz w:val="20"/>
          <w:szCs w:val="20"/>
        </w:rPr>
        <w:t xml:space="preserve"> of this rule </w:t>
      </w:r>
      <w:r w:rsidRPr="00775E85">
        <w:rPr>
          <w:rFonts w:ascii="Times New Roman" w:eastAsia="Times New Roman" w:hAnsi="Times New Roman" w:cs="Times New Roman"/>
          <w:sz w:val="20"/>
          <w:szCs w:val="20"/>
          <w:u w:val="single"/>
        </w:rPr>
        <w:t>in electronic format with formulas intact and unlocked</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and at least</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three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copies of the information required by paragraph (6)(g)</w:t>
      </w:r>
      <w:r w:rsidRPr="00775E85">
        <w:rPr>
          <w:rFonts w:ascii="Times New Roman" w:eastAsia="Times New Roman" w:hAnsi="Times New Roman" w:cs="Times New Roman"/>
          <w:sz w:val="20"/>
          <w:szCs w:val="20"/>
        </w:rPr>
        <w:t xml:space="preserve">.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(b) A utility proposing an effective date of the beginning of its fiscal year shall submit its depreciation study no later than the mid-point of that fiscal year.</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(c) A utility proposing an effective date coinciding with the expected date of a revenue change initiated through a rate case proceeding shall submit its depreciation study no later than the filing date of its Minimum Filing Requirements.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(d) The plant balances may include estimates.  Submitted data including plant and reserve balances or company planning involving estimates shall be brought to the effective date of the proposed rates.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(e) The possibility of corrective reserve transfers shall be investigated by the Commission prior to changing depreciation rates.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(f)</w:t>
      </w:r>
      <w:r w:rsidRPr="00775E85">
        <w:rPr>
          <w:rFonts w:ascii="Times New Roman" w:eastAsia="Times New Roman" w:hAnsi="Times New Roman" w:cs="Times New Roman"/>
          <w:strike/>
          <w:sz w:val="20"/>
          <w:szCs w:val="20"/>
        </w:rPr>
        <w:t>(5)</w:t>
      </w:r>
      <w:r w:rsidRPr="00775E85">
        <w:rPr>
          <w:rFonts w:ascii="Times New Roman" w:eastAsia="Times New Roman" w:hAnsi="Times New Roman" w:cs="Times New Roman"/>
          <w:sz w:val="20"/>
          <w:szCs w:val="20"/>
        </w:rPr>
        <w:t xml:space="preserve"> Upon Commission approval by </w:t>
      </w:r>
      <w:r w:rsidRPr="00775E85">
        <w:rPr>
          <w:rFonts w:ascii="Times New Roman" w:eastAsia="Times New Roman" w:hAnsi="Times New Roman" w:cs="Times New Roman"/>
          <w:sz w:val="20"/>
          <w:szCs w:val="20"/>
          <w:u w:val="single"/>
        </w:rPr>
        <w:t>final</w:t>
      </w:r>
      <w:r w:rsidRPr="00775E85">
        <w:rPr>
          <w:rFonts w:ascii="Times New Roman" w:eastAsia="Times New Roman" w:hAnsi="Times New Roman" w:cs="Times New Roman"/>
          <w:sz w:val="20"/>
          <w:szCs w:val="20"/>
        </w:rPr>
        <w:t xml:space="preserve"> order establishing an effective date, the utility shall reflect on its books and records the implementation of the </w:t>
      </w:r>
      <w:r w:rsidRPr="00775E85">
        <w:rPr>
          <w:rFonts w:ascii="Times New Roman" w:eastAsia="Times New Roman" w:hAnsi="Times New Roman" w:cs="Times New Roman"/>
          <w:sz w:val="20"/>
          <w:szCs w:val="20"/>
          <w:u w:val="single"/>
        </w:rPr>
        <w:t>depreciation</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proposed</w:t>
      </w:r>
      <w:r w:rsidRPr="00775E85">
        <w:rPr>
          <w:rFonts w:ascii="Times New Roman" w:eastAsia="Times New Roman" w:hAnsi="Times New Roman" w:cs="Times New Roman"/>
          <w:sz w:val="20"/>
          <w:szCs w:val="20"/>
        </w:rPr>
        <w:t xml:space="preserve"> rates </w:t>
      </w:r>
      <w:r w:rsidRPr="00775E85">
        <w:rPr>
          <w:rFonts w:ascii="Times New Roman" w:eastAsia="Times New Roman" w:hAnsi="Times New Roman" w:cs="Times New Roman"/>
          <w:sz w:val="20"/>
          <w:szCs w:val="20"/>
          <w:u w:val="single"/>
        </w:rPr>
        <w:t>approved by the Commission</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subject to adjustment when final depreciation rates are approved</w:t>
      </w:r>
      <w:r w:rsidRPr="00775E85">
        <w:rPr>
          <w:rFonts w:ascii="Times New Roman" w:eastAsia="Times New Roman" w:hAnsi="Times New Roman" w:cs="Times New Roman"/>
          <w:sz w:val="20"/>
          <w:szCs w:val="20"/>
        </w:rPr>
        <w:t>.</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(5)</w:t>
      </w:r>
      <w:r w:rsidRPr="00775E85">
        <w:rPr>
          <w:rFonts w:ascii="Times New Roman" w:eastAsia="Times New Roman" w:hAnsi="Times New Roman" w:cs="Times New Roman"/>
          <w:strike/>
          <w:sz w:val="20"/>
          <w:szCs w:val="20"/>
        </w:rPr>
        <w:t>(6)</w:t>
      </w:r>
      <w:r w:rsidRPr="00775E85">
        <w:rPr>
          <w:rFonts w:ascii="Times New Roman" w:eastAsia="Times New Roman" w:hAnsi="Times New Roman" w:cs="Times New Roman"/>
          <w:sz w:val="20"/>
          <w:szCs w:val="20"/>
        </w:rPr>
        <w:t xml:space="preserve"> A depreciation study shall include: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(a) A comparison of current and proposed depreciation </w:t>
      </w:r>
      <w:r w:rsidRPr="00775E85">
        <w:rPr>
          <w:rFonts w:ascii="Times New Roman" w:eastAsia="Times New Roman" w:hAnsi="Times New Roman" w:cs="Times New Roman"/>
          <w:strike/>
          <w:sz w:val="20"/>
          <w:szCs w:val="20"/>
        </w:rPr>
        <w:t>rates and</w:t>
      </w:r>
      <w:r w:rsidRPr="00775E85">
        <w:rPr>
          <w:rFonts w:ascii="Times New Roman" w:eastAsia="Times New Roman" w:hAnsi="Times New Roman" w:cs="Times New Roman"/>
          <w:sz w:val="20"/>
          <w:szCs w:val="20"/>
        </w:rPr>
        <w:t xml:space="preserve"> components for each category of depreciable plant. </w:t>
      </w:r>
      <w:r w:rsidRPr="00775E85">
        <w:rPr>
          <w:rFonts w:ascii="Times New Roman" w:eastAsia="Times New Roman" w:hAnsi="Times New Roman" w:cs="Times New Roman"/>
          <w:sz w:val="20"/>
          <w:szCs w:val="20"/>
          <w:u w:val="single"/>
        </w:rPr>
        <w:t>Components include average service life, age, curve shape, net salvage, and average remaining life.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Current rates shall be identified as to the effective date and proposed rates as to the proposed effective date.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(b) A comparison of </w:t>
      </w:r>
      <w:r w:rsidRPr="00775E85">
        <w:rPr>
          <w:rFonts w:ascii="Times New Roman" w:eastAsia="Times New Roman" w:hAnsi="Times New Roman" w:cs="Times New Roman"/>
          <w:sz w:val="20"/>
          <w:szCs w:val="20"/>
          <w:u w:val="single"/>
        </w:rPr>
        <w:t>current and proposed</w:t>
      </w:r>
      <w:r w:rsidRPr="00775E85">
        <w:rPr>
          <w:rFonts w:ascii="Times New Roman" w:eastAsia="Times New Roman" w:hAnsi="Times New Roman" w:cs="Times New Roman"/>
          <w:sz w:val="20"/>
          <w:szCs w:val="20"/>
        </w:rPr>
        <w:t xml:space="preserve"> annual depreciation </w:t>
      </w:r>
      <w:r w:rsidRPr="00775E85">
        <w:rPr>
          <w:rFonts w:ascii="Times New Roman" w:eastAsia="Times New Roman" w:hAnsi="Times New Roman" w:cs="Times New Roman"/>
          <w:sz w:val="20"/>
          <w:szCs w:val="20"/>
          <w:u w:val="single"/>
        </w:rPr>
        <w:t>rates and</w:t>
      </w:r>
      <w:r w:rsidRPr="00775E85">
        <w:rPr>
          <w:rFonts w:ascii="Times New Roman" w:eastAsia="Times New Roman" w:hAnsi="Times New Roman" w:cs="Times New Roman"/>
          <w:sz w:val="20"/>
          <w:szCs w:val="20"/>
        </w:rPr>
        <w:t xml:space="preserve"> expense</w:t>
      </w:r>
      <w:r w:rsidRPr="00775E85">
        <w:rPr>
          <w:rFonts w:ascii="Times New Roman" w:eastAsia="Times New Roman" w:hAnsi="Times New Roman" w:cs="Times New Roman"/>
          <w:sz w:val="20"/>
          <w:szCs w:val="20"/>
          <w:u w:val="single"/>
        </w:rPr>
        <w:t>s</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as of the proposed effective date, resulting from current rates with those produced by the proposed rates for each category of depreciable plant</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The comparison of current and 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The plant balances may involve estimates. Submitted data including plant and reserve balances or company planning involving estimates shall be brought to the effective date of the proposed rates.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(c) Each recovery and amortization schedule currently in effect </w:t>
      </w:r>
      <w:r w:rsidRPr="00775E85">
        <w:rPr>
          <w:rFonts w:ascii="Times New Roman" w:eastAsia="Times New Roman" w:hAnsi="Times New Roman" w:cs="Times New Roman"/>
          <w:sz w:val="20"/>
          <w:szCs w:val="20"/>
          <w:u w:val="single"/>
        </w:rPr>
        <w:t>shall</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should</w:t>
      </w:r>
      <w:r w:rsidRPr="00775E85">
        <w:rPr>
          <w:rFonts w:ascii="Times New Roman" w:eastAsia="Times New Roman" w:hAnsi="Times New Roman" w:cs="Times New Roman"/>
          <w:sz w:val="20"/>
          <w:szCs w:val="20"/>
        </w:rPr>
        <w:t xml:space="preserve"> be included with any new filing showing total amount amortized, effective date, length of schedule, annual amount amortized and reason for the schedule.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(d) through (e)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775E85">
        <w:rPr>
          <w:rFonts w:ascii="Times New Roman" w:eastAsia="Times New Roman" w:hAnsi="Times New Roman" w:cs="Times New Roman"/>
          <w:sz w:val="20"/>
          <w:szCs w:val="20"/>
          <w:u w:val="single"/>
        </w:rPr>
        <w:t>shall</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should</w:t>
      </w:r>
      <w:r w:rsidRPr="00775E85">
        <w:rPr>
          <w:rFonts w:ascii="Times New Roman" w:eastAsia="Times New Roman" w:hAnsi="Times New Roman" w:cs="Times New Roman"/>
          <w:sz w:val="20"/>
          <w:szCs w:val="20"/>
        </w:rPr>
        <w:t xml:space="preserve"> also state any statistical or mathematical methods of analysis or calculation used in design </w:t>
      </w:r>
      <w:r w:rsidRPr="00775E85">
        <w:rPr>
          <w:rFonts w:ascii="Times New Roman" w:eastAsia="Times New Roman" w:hAnsi="Times New Roman" w:cs="Times New Roman"/>
          <w:sz w:val="20"/>
          <w:szCs w:val="20"/>
        </w:rPr>
        <w:lastRenderedPageBreak/>
        <w:t>of the category rate.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(g) </w:t>
      </w:r>
      <w:r w:rsidRPr="00775E85">
        <w:rPr>
          <w:rFonts w:ascii="Times New Roman" w:eastAsia="Times New Roman" w:hAnsi="Times New Roman" w:cs="Times New Roman"/>
          <w:strike/>
          <w:sz w:val="20"/>
          <w:szCs w:val="20"/>
        </w:rPr>
        <w:t>The filing shall contain</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A</w:t>
      </w:r>
      <w:r w:rsidRPr="00775E85">
        <w:rPr>
          <w:rFonts w:ascii="Times New Roman" w:eastAsia="Times New Roman" w:hAnsi="Times New Roman" w:cs="Times New Roman"/>
          <w:strike/>
          <w:sz w:val="20"/>
          <w:szCs w:val="20"/>
        </w:rPr>
        <w:t>a</w:t>
      </w:r>
      <w:r w:rsidRPr="00775E85">
        <w:rPr>
          <w:rFonts w:ascii="Times New Roman" w:eastAsia="Times New Roman" w:hAnsi="Times New Roman" w:cs="Times New Roman"/>
          <w:sz w:val="20"/>
          <w:szCs w:val="20"/>
        </w:rPr>
        <w:t xml:space="preserve">ll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775E85">
        <w:rPr>
          <w:rFonts w:ascii="Times New Roman" w:eastAsia="Times New Roman" w:hAnsi="Times New Roman" w:cs="Times New Roman"/>
          <w:sz w:val="20"/>
          <w:szCs w:val="20"/>
          <w:u w:val="single"/>
        </w:rPr>
        <w:t>When available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To the degree possible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retirement</w:t>
      </w:r>
      <w:r w:rsidRPr="00775E85">
        <w:rPr>
          <w:rFonts w:ascii="Times New Roman" w:eastAsia="Times New Roman" w:hAnsi="Times New Roman" w:cs="Times New Roman"/>
          <w:sz w:val="20"/>
          <w:szCs w:val="20"/>
        </w:rPr>
        <w:t xml:space="preserve"> data </w:t>
      </w:r>
      <w:r w:rsidRPr="00775E85">
        <w:rPr>
          <w:rFonts w:ascii="Times New Roman" w:eastAsia="Times New Roman" w:hAnsi="Times New Roman" w:cs="Times New Roman"/>
          <w:strike/>
          <w:sz w:val="20"/>
          <w:szCs w:val="20"/>
        </w:rPr>
        <w:t>involving retirements</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shall</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should</w:t>
      </w:r>
      <w:r w:rsidRPr="00775E85">
        <w:rPr>
          <w:rFonts w:ascii="Times New Roman" w:eastAsia="Times New Roman" w:hAnsi="Times New Roman" w:cs="Times New Roman"/>
          <w:sz w:val="20"/>
          <w:szCs w:val="20"/>
        </w:rPr>
        <w:t xml:space="preserve"> be aged.</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(h) No change.</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(i)</w:t>
      </w:r>
      <w:r w:rsidRPr="00775E85">
        <w:rPr>
          <w:rFonts w:ascii="Times New Roman" w:eastAsia="Times New Roman" w:hAnsi="Times New Roman" w:cs="Times New Roman"/>
          <w:strike/>
          <w:sz w:val="20"/>
          <w:szCs w:val="20"/>
        </w:rPr>
        <w:t>(7)(a) Utilities shall provide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C</w:t>
      </w:r>
      <w:r w:rsidRPr="00775E85">
        <w:rPr>
          <w:rFonts w:ascii="Times New Roman" w:eastAsia="Times New Roman" w:hAnsi="Times New Roman" w:cs="Times New Roman"/>
          <w:strike/>
          <w:sz w:val="20"/>
          <w:szCs w:val="20"/>
        </w:rPr>
        <w:t>c</w:t>
      </w:r>
      <w:r w:rsidRPr="00775E85">
        <w:rPr>
          <w:rFonts w:ascii="Times New Roman" w:eastAsia="Times New Roman" w:hAnsi="Times New Roman" w:cs="Times New Roman"/>
          <w:sz w:val="20"/>
          <w:szCs w:val="20"/>
        </w:rPr>
        <w:t xml:space="preserve">alculations of depreciation rates using both the whole life </w:t>
      </w:r>
      <w:r w:rsidRPr="00775E85">
        <w:rPr>
          <w:rFonts w:ascii="Times New Roman" w:eastAsia="Times New Roman" w:hAnsi="Times New Roman" w:cs="Times New Roman"/>
          <w:sz w:val="20"/>
          <w:szCs w:val="20"/>
          <w:u w:val="single"/>
        </w:rPr>
        <w:t>technique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method</w:t>
      </w:r>
      <w:r w:rsidRPr="00775E85">
        <w:rPr>
          <w:rFonts w:ascii="Times New Roman" w:eastAsia="Times New Roman" w:hAnsi="Times New Roman" w:cs="Times New Roman"/>
          <w:sz w:val="20"/>
          <w:szCs w:val="20"/>
        </w:rPr>
        <w:t xml:space="preserve"> and the remaining life </w:t>
      </w:r>
      <w:r w:rsidRPr="00775E85">
        <w:rPr>
          <w:rFonts w:ascii="Times New Roman" w:eastAsia="Times New Roman" w:hAnsi="Times New Roman" w:cs="Times New Roman"/>
          <w:sz w:val="20"/>
          <w:szCs w:val="20"/>
          <w:u w:val="single"/>
        </w:rPr>
        <w:t>technique</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method</w:t>
      </w:r>
      <w:r w:rsidRPr="00775E85">
        <w:rPr>
          <w:rFonts w:ascii="Times New Roman" w:eastAsia="Times New Roman" w:hAnsi="Times New Roman" w:cs="Times New Roman"/>
          <w:sz w:val="20"/>
          <w:szCs w:val="20"/>
        </w:rPr>
        <w:t xml:space="preserve">. The use of these </w:t>
      </w:r>
      <w:r w:rsidRPr="00775E85">
        <w:rPr>
          <w:rFonts w:ascii="Times New Roman" w:eastAsia="Times New Roman" w:hAnsi="Times New Roman" w:cs="Times New Roman"/>
          <w:sz w:val="20"/>
          <w:szCs w:val="20"/>
          <w:u w:val="single"/>
        </w:rPr>
        <w:t>techniques</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methods</w:t>
      </w:r>
      <w:r w:rsidRPr="00775E85">
        <w:rPr>
          <w:rFonts w:ascii="Times New Roman" w:eastAsia="Times New Roman" w:hAnsi="Times New Roman" w:cs="Times New Roman"/>
          <w:sz w:val="20"/>
          <w:szCs w:val="20"/>
        </w:rPr>
        <w:t xml:space="preserve"> is required for all depreciable categories. Utilities may submit additional studies or methods for consideration by the Commission.</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(b) The possibility of corrective reserve transfers shall be investigated by the Commission prior to changing depreciation rates.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(8)(a) Each company shall file a study for each category of depreciable property for Commission review at least once every four years from the submission date of the previous study unless otherwise required by the Commission.</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(b) A utility proposing an effective date of the beginning of its fiscal year shall submit its depreciation study no later than the mid-point of that fiscal year.</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(c) A utility proposing an effective date coinciding with the expected date of additional revenues initiated through a rate case proceeding shall submit its depreciation study no later than the filing date of its Minimum Filing Requirements.</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(6)</w:t>
      </w:r>
      <w:r w:rsidRPr="00775E85">
        <w:rPr>
          <w:rFonts w:ascii="Times New Roman" w:eastAsia="Times New Roman" w:hAnsi="Times New Roman" w:cs="Times New Roman"/>
          <w:strike/>
          <w:sz w:val="20"/>
          <w:szCs w:val="20"/>
        </w:rPr>
        <w:t>(9)</w:t>
      </w:r>
      <w:r w:rsidRPr="00775E85">
        <w:rPr>
          <w:rFonts w:ascii="Times New Roman" w:eastAsia="Times New Roman" w:hAnsi="Times New Roman" w:cs="Times New Roman"/>
          <w:sz w:val="20"/>
          <w:szCs w:val="20"/>
        </w:rPr>
        <w:t xml:space="preserve"> As part of the filing of the annual report pursuant to Rule 25-6.135, F.A.C., each utility shall include an annual </w:t>
      </w:r>
      <w:r w:rsidRPr="00775E85">
        <w:rPr>
          <w:rFonts w:ascii="Times New Roman" w:eastAsia="Times New Roman" w:hAnsi="Times New Roman" w:cs="Times New Roman"/>
          <w:sz w:val="20"/>
          <w:szCs w:val="20"/>
          <w:u w:val="single"/>
        </w:rPr>
        <w:t>depreciation</w:t>
      </w:r>
      <w:r w:rsidRPr="00775E85">
        <w:rPr>
          <w:rFonts w:ascii="Times New Roman" w:eastAsia="Times New Roman" w:hAnsi="Times New Roman" w:cs="Times New Roman"/>
          <w:sz w:val="20"/>
          <w:szCs w:val="20"/>
        </w:rPr>
        <w:t xml:space="preserve"> status report. The </w:t>
      </w:r>
      <w:r w:rsidRPr="00775E85">
        <w:rPr>
          <w:rFonts w:ascii="Times New Roman" w:eastAsia="Times New Roman" w:hAnsi="Times New Roman" w:cs="Times New Roman"/>
          <w:sz w:val="20"/>
          <w:szCs w:val="20"/>
          <w:u w:val="single"/>
        </w:rPr>
        <w:t>annual depreciation status</w:t>
      </w:r>
      <w:r w:rsidRPr="00775E85">
        <w:rPr>
          <w:rFonts w:ascii="Times New Roman" w:eastAsia="Times New Roman" w:hAnsi="Times New Roman" w:cs="Times New Roman"/>
          <w:sz w:val="20"/>
          <w:szCs w:val="20"/>
        </w:rPr>
        <w:t xml:space="preserve"> report</w:t>
      </w:r>
      <w:r w:rsidRPr="00775E85">
        <w:rPr>
          <w:rFonts w:ascii="Times New Roman" w:eastAsia="Times New Roman" w:hAnsi="Times New Roman" w:cs="Times New Roman"/>
          <w:strike/>
          <w:sz w:val="20"/>
          <w:szCs w:val="20"/>
        </w:rPr>
        <w:t>s</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shall be provided in electronic format.  In the electronic format, the formulas must be intact and unlocked.</w:t>
      </w:r>
      <w:r w:rsidRPr="00775E85">
        <w:rPr>
          <w:rFonts w:ascii="Times New Roman" w:eastAsia="Times New Roman" w:hAnsi="Times New Roman" w:cs="Times New Roman"/>
          <w:sz w:val="20"/>
          <w:szCs w:val="20"/>
        </w:rPr>
        <w:t xml:space="preserve"> The </w:t>
      </w:r>
      <w:r w:rsidRPr="00775E85">
        <w:rPr>
          <w:rFonts w:ascii="Times New Roman" w:eastAsia="Times New Roman" w:hAnsi="Times New Roman" w:cs="Times New Roman"/>
          <w:sz w:val="20"/>
          <w:szCs w:val="20"/>
          <w:u w:val="single"/>
        </w:rPr>
        <w:t>annual depreciation status</w:t>
      </w:r>
      <w:r w:rsidRPr="00775E85">
        <w:rPr>
          <w:rFonts w:ascii="Times New Roman" w:eastAsia="Times New Roman" w:hAnsi="Times New Roman" w:cs="Times New Roman"/>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year end) for each category of investment for which a depreciation rate, amortization, or capital recovery schedule has been approved. The report shall indicate for each category </w:t>
      </w:r>
      <w:r w:rsidRPr="00775E85">
        <w:rPr>
          <w:rFonts w:ascii="Times New Roman" w:eastAsia="Times New Roman" w:hAnsi="Times New Roman" w:cs="Times New Roman"/>
          <w:strike/>
          <w:sz w:val="20"/>
          <w:szCs w:val="20"/>
        </w:rPr>
        <w:t>that:</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whether there has been a change of plans or utility experience since the filing of the last annual depreciation status report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(a) There has been no change of plans or utility experience requiring a revision of rates, amortization or capital recovery schedules; or</w:t>
      </w:r>
      <w:r w:rsidRPr="00775E85">
        <w:rPr>
          <w:rFonts w:ascii="Times New Roman" w:eastAsia="Times New Roman" w:hAnsi="Times New Roman" w:cs="Times New Roman"/>
          <w:sz w:val="20"/>
          <w:szCs w:val="20"/>
        </w:rPr>
        <w:t xml:space="preserve"> </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trike/>
          <w:sz w:val="20"/>
          <w:szCs w:val="20"/>
        </w:rPr>
        <w:t>(b) There has been a change requiring a revision of rates, amortization or capital recovery schedules.</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r>
      <w:r w:rsidRPr="00775E85">
        <w:rPr>
          <w:rFonts w:ascii="Times New Roman" w:eastAsia="Times New Roman" w:hAnsi="Times New Roman" w:cs="Times New Roman"/>
          <w:sz w:val="20"/>
          <w:szCs w:val="20"/>
          <w:u w:val="single"/>
        </w:rPr>
        <w:t>(7)</w:t>
      </w:r>
      <w:r w:rsidRPr="00775E85">
        <w:rPr>
          <w:rFonts w:ascii="Times New Roman" w:eastAsia="Times New Roman" w:hAnsi="Times New Roman" w:cs="Times New Roman"/>
          <w:strike/>
          <w:sz w:val="20"/>
          <w:szCs w:val="20"/>
        </w:rPr>
        <w:t>(10) For any category where current conditions indicate a need for revision of depreciation rates, amortization or capital recovery schedules and no revision is sought, the report shall explain why no revision is requested.</w:t>
      </w:r>
    </w:p>
    <w:p w:rsidR="00775E85" w:rsidRPr="00775E85" w:rsidRDefault="00775E85" w:rsidP="00775E85">
      <w:pPr>
        <w:widowControl w:val="0"/>
        <w:tabs>
          <w:tab w:val="left" w:pos="360"/>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(a) through (c) No change.</w:t>
      </w:r>
    </w:p>
    <w:p w:rsidR="00775E85" w:rsidRPr="00775E85" w:rsidRDefault="00775E85" w:rsidP="00775E85">
      <w:pPr>
        <w:widowControl w:val="0"/>
        <w:tabs>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i/>
          <w:sz w:val="20"/>
          <w:szCs w:val="20"/>
        </w:rPr>
        <w:t xml:space="preserve">Rulemaking Authority </w:t>
      </w:r>
      <w:r w:rsidRPr="00775E85">
        <w:rPr>
          <w:rFonts w:ascii="Times New Roman" w:eastAsia="Times New Roman" w:hAnsi="Times New Roman" w:cs="Times New Roman"/>
          <w:i/>
          <w:sz w:val="20"/>
          <w:szCs w:val="20"/>
          <w:u w:val="single"/>
        </w:rPr>
        <w:t>350.115</w:t>
      </w:r>
      <w:r w:rsidRPr="00775E85">
        <w:rPr>
          <w:rFonts w:ascii="Times New Roman" w:eastAsia="Times New Roman" w:hAnsi="Times New Roman" w:cs="Times New Roman"/>
          <w:i/>
          <w:sz w:val="20"/>
          <w:szCs w:val="20"/>
        </w:rPr>
        <w:t>, 350.127(2), 366.05(1), FS. Law Implemented 350.115, 366.04(2)(f), 366.06(1) FS. History–New 11-11-82, Amended 1-6-85, Formerly 25-6.436, Amended 4-27-88, 12-12-91, 12-11-00, 5-29-08, _____________.</w:t>
      </w:r>
    </w:p>
    <w:p w:rsidR="00775E85" w:rsidRPr="00775E85" w:rsidRDefault="00775E85" w:rsidP="00775E85">
      <w:pPr>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b/>
          <w:sz w:val="20"/>
          <w:szCs w:val="20"/>
        </w:rPr>
        <w:lastRenderedPageBreak/>
        <w:tab/>
        <w:t>25-6.04364 Electric Utilities Dismantlement Studies.</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(1) Each utility that owns a </w:t>
      </w:r>
      <w:r w:rsidRPr="00775E85">
        <w:rPr>
          <w:rFonts w:ascii="Times New Roman" w:eastAsia="Times New Roman" w:hAnsi="Times New Roman" w:cs="Times New Roman"/>
          <w:strike/>
          <w:sz w:val="20"/>
          <w:szCs w:val="20"/>
        </w:rPr>
        <w:t>fossil fuel</w:t>
      </w:r>
      <w:r w:rsidRPr="00775E85">
        <w:rPr>
          <w:rFonts w:ascii="Times New Roman" w:eastAsia="Times New Roman" w:hAnsi="Times New Roman" w:cs="Times New Roman"/>
          <w:sz w:val="20"/>
          <w:szCs w:val="20"/>
        </w:rPr>
        <w:t xml:space="preserve"> generating unit is required to establish a dismantlement accrual as approved by the Commission to accumulate a reserve </w:t>
      </w:r>
      <w:r w:rsidRPr="00775E85">
        <w:rPr>
          <w:rFonts w:ascii="Times New Roman" w:eastAsia="Times New Roman" w:hAnsi="Times New Roman" w:cs="Times New Roman"/>
          <w:strike/>
          <w:sz w:val="20"/>
          <w:szCs w:val="20"/>
        </w:rPr>
        <w:t>that is sufficient</w:t>
      </w:r>
      <w:r w:rsidRPr="00775E85">
        <w:rPr>
          <w:rFonts w:ascii="Times New Roman" w:eastAsia="Times New Roman" w:hAnsi="Times New Roman" w:cs="Times New Roman"/>
          <w:sz w:val="20"/>
          <w:szCs w:val="20"/>
        </w:rPr>
        <w:t xml:space="preserve"> to meet all expenses at the time of dismantlement. The purpose of the study required by subsection (3) is to obtain </w:t>
      </w:r>
      <w:r w:rsidRPr="00775E85">
        <w:rPr>
          <w:rFonts w:ascii="Times New Roman" w:eastAsia="Times New Roman" w:hAnsi="Times New Roman" w:cs="Times New Roman"/>
          <w:strike/>
          <w:sz w:val="20"/>
          <w:szCs w:val="20"/>
        </w:rPr>
        <w:t>sufficient</w:t>
      </w:r>
      <w:r w:rsidRPr="00775E85">
        <w:rPr>
          <w:rFonts w:ascii="Times New Roman" w:eastAsia="Times New Roman" w:hAnsi="Times New Roman" w:cs="Times New Roman"/>
          <w:sz w:val="20"/>
          <w:szCs w:val="20"/>
        </w:rPr>
        <w:t xml:space="preserve"> information to update cost estimates based on new developments, additional information, technological improvements, and forecasts; to evaluate alternative methodologies; and to revise the annual accrual needed to recover the costs. </w:t>
      </w:r>
      <w:r w:rsidRPr="00775E85">
        <w:rPr>
          <w:rFonts w:ascii="Times New Roman" w:eastAsia="Times New Roman" w:hAnsi="Times New Roman" w:cs="Times New Roman"/>
          <w:sz w:val="20"/>
          <w:szCs w:val="20"/>
          <w:u w:val="single"/>
        </w:rPr>
        <w:t>This rule does not apply to nuclear generating plants, which are addressed in Rule 25-6.04365, F.A.C.</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(2) For the purpose of this rule, the following definitions shall apply:</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(a) No change.</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(b) “Dismantlement.” The process of safely managing, removing, demolishing, disposing, or converting for reuse the materials and equipment that remain at the </w:t>
      </w:r>
      <w:r w:rsidRPr="00775E85">
        <w:rPr>
          <w:rFonts w:ascii="Times New Roman" w:eastAsia="Times New Roman" w:hAnsi="Times New Roman" w:cs="Times New Roman"/>
          <w:strike/>
          <w:sz w:val="20"/>
          <w:szCs w:val="20"/>
        </w:rPr>
        <w:t>fossil fuel</w:t>
      </w:r>
      <w:r w:rsidRPr="00775E85">
        <w:rPr>
          <w:rFonts w:ascii="Times New Roman" w:eastAsia="Times New Roman" w:hAnsi="Times New Roman" w:cs="Times New Roman"/>
          <w:sz w:val="20"/>
          <w:szCs w:val="20"/>
        </w:rPr>
        <w:t xml:space="preserve"> generating unit following its retirement from service and restoring the site to a marketable or useable condition.</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(c) No change.</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(3) Each utility shall file a dismantlement study for each generating site once every 4 years from the submission date of the previous study </w:t>
      </w:r>
      <w:r w:rsidRPr="00775E85">
        <w:rPr>
          <w:rFonts w:ascii="Times New Roman" w:eastAsia="Times New Roman" w:hAnsi="Times New Roman" w:cs="Times New Roman"/>
          <w:sz w:val="20"/>
          <w:szCs w:val="20"/>
          <w:u w:val="single"/>
        </w:rPr>
        <w:t>or pursuant to</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trike/>
          <w:sz w:val="20"/>
          <w:szCs w:val="20"/>
        </w:rPr>
        <w:t>unless otherwise required by</w:t>
      </w:r>
      <w:r w:rsidRPr="00775E85">
        <w:rPr>
          <w:rFonts w:ascii="Times New Roman" w:eastAsia="Times New Roman" w:hAnsi="Times New Roman" w:cs="Times New Roman"/>
          <w:sz w:val="20"/>
          <w:szCs w:val="20"/>
        </w:rPr>
        <w:t xml:space="preserve"> Commission order</w:t>
      </w:r>
      <w:r w:rsidRPr="00775E85">
        <w:rPr>
          <w:rFonts w:ascii="Times New Roman" w:eastAsia="Times New Roman" w:hAnsi="Times New Roman" w:cs="Times New Roman"/>
          <w:strike/>
          <w:sz w:val="20"/>
          <w:szCs w:val="20"/>
        </w:rPr>
        <w:t>.</w:t>
      </w:r>
      <w:r w:rsidRPr="00775E85">
        <w:rPr>
          <w:rFonts w:ascii="Times New Roman" w:eastAsia="Times New Roman" w:hAnsi="Times New Roman" w:cs="Times New Roman"/>
          <w:sz w:val="20"/>
          <w:szCs w:val="20"/>
        </w:rPr>
        <w:t xml:space="preserve"> </w:t>
      </w:r>
      <w:r w:rsidRPr="00775E85">
        <w:rPr>
          <w:rFonts w:ascii="Times New Roman" w:eastAsia="Times New Roman" w:hAnsi="Times New Roman" w:cs="Times New Roman"/>
          <w:sz w:val="20"/>
          <w:szCs w:val="20"/>
          <w:u w:val="single"/>
        </w:rPr>
        <w:t>and within the time specified in the order.</w:t>
      </w:r>
      <w:r w:rsidRPr="00775E85">
        <w:rPr>
          <w:rFonts w:ascii="Times New Roman" w:eastAsia="Times New Roman" w:hAnsi="Times New Roman" w:cs="Times New Roman"/>
          <w:sz w:val="20"/>
          <w:szCs w:val="20"/>
        </w:rPr>
        <w:t xml:space="preserve"> The study shall be site-specific unless a showing is made by the utility that a site-specific study is not possible. A utility may file a study sooner than 4 years. Each utility’s dismantlement study shall include:</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 xml:space="preserve">(a) A narrative describing each </w:t>
      </w:r>
      <w:r w:rsidRPr="00775E85">
        <w:rPr>
          <w:rFonts w:ascii="Times New Roman" w:eastAsia="Times New Roman" w:hAnsi="Times New Roman" w:cs="Times New Roman"/>
          <w:strike/>
          <w:sz w:val="20"/>
          <w:szCs w:val="20"/>
        </w:rPr>
        <w:t>fossil fuel</w:t>
      </w:r>
      <w:r w:rsidRPr="00775E85">
        <w:rPr>
          <w:rFonts w:ascii="Times New Roman" w:eastAsia="Times New Roman" w:hAnsi="Times New Roman" w:cs="Times New Roman"/>
          <w:sz w:val="20"/>
          <w:szCs w:val="20"/>
        </w:rPr>
        <w:t xml:space="preserve"> generating unit, including the in-service date and estimated retirement date.</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(b) through (m) No change.</w:t>
      </w:r>
    </w:p>
    <w:p w:rsidR="00775E85" w:rsidRPr="00775E85" w:rsidRDefault="00775E85" w:rsidP="00775E85">
      <w:pPr>
        <w:widowControl w:val="0"/>
        <w:tabs>
          <w:tab w:val="left" w:pos="36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ab/>
        <w:t>(4) through (8) No change.</w:t>
      </w:r>
    </w:p>
    <w:p w:rsidR="00775E85" w:rsidRPr="00775E85" w:rsidRDefault="00775E85" w:rsidP="00775E85">
      <w:pPr>
        <w:widowControl w:val="0"/>
        <w:tabs>
          <w:tab w:val="left" w:pos="720"/>
        </w:tabs>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i/>
          <w:sz w:val="20"/>
          <w:szCs w:val="20"/>
        </w:rPr>
        <w:t>Rulemaking Authority 350.115, 350.127(2)</w:t>
      </w:r>
      <w:r w:rsidRPr="00775E85">
        <w:rPr>
          <w:rFonts w:ascii="Times New Roman" w:eastAsia="Times New Roman" w:hAnsi="Times New Roman" w:cs="Times New Roman"/>
          <w:i/>
          <w:sz w:val="20"/>
          <w:szCs w:val="20"/>
          <w:u w:val="single"/>
        </w:rPr>
        <w:t>, 366.05(1)</w:t>
      </w:r>
      <w:r w:rsidRPr="00775E85">
        <w:rPr>
          <w:rFonts w:ascii="Times New Roman" w:eastAsia="Times New Roman" w:hAnsi="Times New Roman" w:cs="Times New Roman"/>
          <w:i/>
          <w:sz w:val="20"/>
          <w:szCs w:val="20"/>
        </w:rPr>
        <w:t xml:space="preserve"> FS. Law Implemented 366.041,</w:t>
      </w:r>
      <w:r w:rsidRPr="00775E85">
        <w:rPr>
          <w:rFonts w:ascii="Times New Roman" w:eastAsia="Times New Roman" w:hAnsi="Times New Roman" w:cs="Times New Roman"/>
          <w:i/>
          <w:sz w:val="20"/>
          <w:szCs w:val="20"/>
          <w:u w:val="single"/>
        </w:rPr>
        <w:t xml:space="preserve"> 366.05(1)</w:t>
      </w:r>
      <w:r w:rsidRPr="00775E85">
        <w:rPr>
          <w:rFonts w:ascii="Times New Roman" w:eastAsia="Times New Roman" w:hAnsi="Times New Roman" w:cs="Times New Roman"/>
          <w:i/>
          <w:sz w:val="20"/>
          <w:szCs w:val="20"/>
        </w:rPr>
        <w:t>, 366.06(1) FS. History–New 12-30-03, Amended _____________.</w:t>
      </w:r>
    </w:p>
    <w:p w:rsidR="00775E85" w:rsidRPr="00775E85" w:rsidRDefault="00775E85" w:rsidP="00775E85">
      <w:pPr>
        <w:spacing w:after="0" w:line="312" w:lineRule="auto"/>
        <w:rPr>
          <w:rFonts w:ascii="Times New Roman" w:eastAsia="Times New Roman" w:hAnsi="Times New Roman" w:cs="Times New Roman"/>
          <w:sz w:val="24"/>
          <w:szCs w:val="24"/>
        </w:rPr>
      </w:pPr>
      <w:r w:rsidRPr="00775E85">
        <w:rPr>
          <w:rFonts w:ascii="Times New Roman" w:eastAsia="Times New Roman" w:hAnsi="Times New Roman" w:cs="Times New Roman"/>
          <w:sz w:val="20"/>
          <w:szCs w:val="20"/>
        </w:rPr>
        <w:t> </w:t>
      </w:r>
    </w:p>
    <w:p w:rsidR="00775E85" w:rsidRPr="00775E85" w:rsidRDefault="00775E85" w:rsidP="00775E85">
      <w:pPr>
        <w:spacing w:after="0" w:line="312" w:lineRule="auto"/>
        <w:rPr>
          <w:rFonts w:ascii="Times New Roman" w:eastAsia="Times New Roman" w:hAnsi="Times New Roman" w:cs="Times New Roman"/>
          <w:sz w:val="20"/>
          <w:szCs w:val="20"/>
        </w:rPr>
      </w:pPr>
      <w:r w:rsidRPr="00775E85">
        <w:rPr>
          <w:rFonts w:ascii="Times New Roman" w:eastAsia="Times New Roman" w:hAnsi="Times New Roman" w:cs="Times New Roman"/>
          <w:sz w:val="20"/>
          <w:szCs w:val="20"/>
        </w:rPr>
        <w:br/>
        <w:t>NAME OF PERSON ORIGINATING PROPOSED RULE: Sue Ollila</w:t>
      </w:r>
      <w:r w:rsidRPr="00775E85">
        <w:rPr>
          <w:rFonts w:ascii="Times New Roman" w:eastAsia="Times New Roman" w:hAnsi="Times New Roman" w:cs="Times New Roman"/>
          <w:sz w:val="20"/>
          <w:szCs w:val="20"/>
        </w:rPr>
        <w:br/>
        <w:t>NAME OF AGENCY HEAD WHO APPROVED THE PROPOSED RULE: Florida Public Service Commission</w:t>
      </w:r>
      <w:r w:rsidRPr="00775E85">
        <w:rPr>
          <w:rFonts w:ascii="Times New Roman" w:eastAsia="Times New Roman" w:hAnsi="Times New Roman" w:cs="Times New Roman"/>
          <w:sz w:val="20"/>
          <w:szCs w:val="20"/>
        </w:rPr>
        <w:br/>
        <w:t>DATE PROPOSED RULE APPROVED BY AGENCY HEAD: March 1, 2016</w:t>
      </w:r>
      <w:r w:rsidRPr="00775E85">
        <w:rPr>
          <w:rFonts w:ascii="Times New Roman" w:eastAsia="Times New Roman" w:hAnsi="Times New Roman" w:cs="Times New Roman"/>
          <w:sz w:val="20"/>
          <w:szCs w:val="20"/>
        </w:rPr>
        <w:br/>
        <w:t>DATE NOTICE OF PROPOSED RULE DEVELOPMENT PUBLISHED IN FAR: Volume 41, Number 84, April 30, 2015.</w:t>
      </w:r>
    </w:p>
    <w:p w:rsidR="0003280E" w:rsidRDefault="0003280E"/>
    <w:p w:rsidR="001904FF" w:rsidRDefault="001904FF">
      <w:fldSimple w:instr=" FILENAME  \p  \* MERGEFORMAT ">
        <w:r>
          <w:rPr>
            <w:noProof/>
          </w:rPr>
          <w:t>I:\FAR\150200.docx</w:t>
        </w:r>
      </w:fldSimple>
      <w:bookmarkStart w:id="0" w:name="_GoBack"/>
      <w:bookmarkEnd w:id="0"/>
    </w:p>
    <w:sectPr w:rsidR="0019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85"/>
    <w:rsid w:val="0003280E"/>
    <w:rsid w:val="001904FF"/>
    <w:rsid w:val="0077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E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5E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15996">
      <w:bodyDiv w:val="1"/>
      <w:marLeft w:val="0"/>
      <w:marRight w:val="0"/>
      <w:marTop w:val="0"/>
      <w:marBottom w:val="0"/>
      <w:divBdr>
        <w:top w:val="none" w:sz="0" w:space="0" w:color="auto"/>
        <w:left w:val="none" w:sz="0" w:space="0" w:color="auto"/>
        <w:bottom w:val="none" w:sz="0" w:space="0" w:color="auto"/>
        <w:right w:val="none" w:sz="0" w:space="0" w:color="auto"/>
      </w:divBdr>
      <w:divsChild>
        <w:div w:id="968439729">
          <w:marLeft w:val="1440"/>
          <w:marRight w:val="0"/>
          <w:marTop w:val="0"/>
          <w:marBottom w:val="0"/>
          <w:divBdr>
            <w:top w:val="none" w:sz="0" w:space="0" w:color="auto"/>
            <w:left w:val="none" w:sz="0" w:space="0" w:color="auto"/>
            <w:bottom w:val="none" w:sz="0" w:space="0" w:color="auto"/>
            <w:right w:val="none" w:sz="0" w:space="0" w:color="auto"/>
          </w:divBdr>
        </w:div>
        <w:div w:id="185024008">
          <w:marLeft w:val="1440"/>
          <w:marRight w:val="0"/>
          <w:marTop w:val="0"/>
          <w:marBottom w:val="0"/>
          <w:divBdr>
            <w:top w:val="none" w:sz="0" w:space="0" w:color="auto"/>
            <w:left w:val="none" w:sz="0" w:space="0" w:color="auto"/>
            <w:bottom w:val="none" w:sz="0" w:space="0" w:color="auto"/>
            <w:right w:val="none" w:sz="0" w:space="0" w:color="auto"/>
          </w:divBdr>
        </w:div>
        <w:div w:id="627053142">
          <w:marLeft w:val="1440"/>
          <w:marRight w:val="0"/>
          <w:marTop w:val="0"/>
          <w:marBottom w:val="0"/>
          <w:divBdr>
            <w:top w:val="none" w:sz="0" w:space="0" w:color="auto"/>
            <w:left w:val="none" w:sz="0" w:space="0" w:color="auto"/>
            <w:bottom w:val="none" w:sz="0" w:space="0" w:color="auto"/>
            <w:right w:val="none" w:sz="0" w:space="0" w:color="auto"/>
          </w:divBdr>
        </w:div>
        <w:div w:id="194565188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statute.asp?id=366.05(1)" TargetMode="External"/><Relationship Id="rId13" Type="http://schemas.openxmlformats.org/officeDocument/2006/relationships/hyperlink" Target="https://www.flrules.org/gateway/statute.asp?id=%20366.041" TargetMode="External"/><Relationship Id="rId3" Type="http://schemas.openxmlformats.org/officeDocument/2006/relationships/settings" Target="settings.xml"/><Relationship Id="rId7" Type="http://schemas.openxmlformats.org/officeDocument/2006/relationships/hyperlink" Target="https://www.flrules.org/gateway/ruleNo.asp?id=25-6.04364" TargetMode="External"/><Relationship Id="rId12" Type="http://schemas.openxmlformats.org/officeDocument/2006/relationships/hyperlink" Target="https://www.flrules.org/gateway/statute.asp?id=%20366.04(2)(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lrules.org/gateway/ruleNo.asp?id=25-6.0436" TargetMode="External"/><Relationship Id="rId11" Type="http://schemas.openxmlformats.org/officeDocument/2006/relationships/hyperlink" Target="https://www.flrules.org/gateway/statute.asp?id=350.115" TargetMode="External"/><Relationship Id="rId5" Type="http://schemas.openxmlformats.org/officeDocument/2006/relationships/hyperlink" Target="https://www.flrules.org/gateway/department.asp?id=25" TargetMode="External"/><Relationship Id="rId15" Type="http://schemas.openxmlformats.org/officeDocument/2006/relationships/hyperlink" Target="https://www.flrules.org/gateway/ruleNo.asp?id=25-6.0436" TargetMode="External"/><Relationship Id="rId10" Type="http://schemas.openxmlformats.org/officeDocument/2006/relationships/hyperlink" Target="https://www.flrules.org/gateway/statute.asp?id=%20350.127(2)" TargetMode="External"/><Relationship Id="rId4" Type="http://schemas.openxmlformats.org/officeDocument/2006/relationships/webSettings" Target="webSettings.xml"/><Relationship Id="rId9" Type="http://schemas.openxmlformats.org/officeDocument/2006/relationships/hyperlink" Target="https://www.flrules.org/gateway/statute.asp?id=%20350.115" TargetMode="External"/><Relationship Id="rId14" Type="http://schemas.openxmlformats.org/officeDocument/2006/relationships/hyperlink" Target="https://www.flrules.org/gateway/statute.asp?id=%20366.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Velazquez</dc:creator>
  <cp:lastModifiedBy>Felix Velazquez</cp:lastModifiedBy>
  <cp:revision>2</cp:revision>
  <dcterms:created xsi:type="dcterms:W3CDTF">2016-03-04T16:34:00Z</dcterms:created>
  <dcterms:modified xsi:type="dcterms:W3CDTF">2016-03-04T16:35:00Z</dcterms:modified>
</cp:coreProperties>
</file>