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E35D1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D25FC">
            <w:pPr>
              <w:pStyle w:val="MemoHeading"/>
            </w:pPr>
            <w:bookmarkStart w:id="0" w:name="FilingDate"/>
            <w:r>
              <w:t>March 24,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1D25FC">
            <w:pPr>
              <w:pStyle w:val="MemoHeading"/>
            </w:pPr>
            <w:bookmarkStart w:id="1" w:name="From"/>
            <w:r>
              <w:t>Division of Economics (Guffey)</w:t>
            </w:r>
            <w:bookmarkEnd w:id="1"/>
          </w:p>
          <w:p w:rsidR="002527AC" w:rsidRPr="002527AC" w:rsidRDefault="002527AC" w:rsidP="002527AC">
            <w:r>
              <w:t>Office of the General Counsel (Mapp)</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D25FC">
            <w:pPr>
              <w:pStyle w:val="MemoHeadingRe"/>
            </w:pPr>
            <w:bookmarkStart w:id="2" w:name="Re"/>
            <w:r>
              <w:t>Docket No. 160029-GU – Petition by Peoples Gas System for approval of special contract with United Parcel Service, Inc.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D25FC">
            <w:pPr>
              <w:pStyle w:val="MemoHeading"/>
            </w:pPr>
            <w:bookmarkStart w:id="3" w:name="AgendaDate"/>
            <w:r>
              <w:t>04/05/16</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539E9">
            <w:pPr>
              <w:pStyle w:val="MemoHeading"/>
            </w:pPr>
            <w:bookmarkStart w:id="5" w:name="CommissionersAssigned"/>
            <w:bookmarkEnd w:id="5"/>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539E9">
            <w:pPr>
              <w:pStyle w:val="MemoHeading"/>
            </w:pPr>
            <w:bookmarkStart w:id="6" w:name="PrehearingOfficer"/>
            <w:r>
              <w:t>Graham</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1D25FC">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D25FC">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bookmarkStart w:id="12" w:name="_GoBack"/>
      <w:bookmarkEnd w:id="12"/>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E35D1A">
      <w:pPr>
        <w:pStyle w:val="BodyText"/>
      </w:pPr>
      <w:r>
        <w:t xml:space="preserve">On February 4, 2016, Peoples Gas System (Peoples) filed a petition </w:t>
      </w:r>
      <w:r w:rsidR="004F19CC">
        <w:t xml:space="preserve">for </w:t>
      </w:r>
      <w:r>
        <w:t>approval of a special contract with United Parcel Service, Inc. (UPS). Peoples proposes to extend its distribution facilities to provide natural gas transportation service to a compressed natural gas (CNG) vehicle fueling station to be constructed by UPS to serve its fleet in the Orlando operating center.</w:t>
      </w:r>
    </w:p>
    <w:p w:rsidR="00671B45" w:rsidRDefault="00542CFC" w:rsidP="00671B45">
      <w:pPr>
        <w:pStyle w:val="BodyText"/>
      </w:pPr>
      <w:r>
        <w:t xml:space="preserve">UPS currently </w:t>
      </w:r>
      <w:r w:rsidR="00F914C2">
        <w:t>has a fleet of</w:t>
      </w:r>
      <w:r>
        <w:t xml:space="preserve"> 5</w:t>
      </w:r>
      <w:r w:rsidR="009B79DC">
        <w:t>,</w:t>
      </w:r>
      <w:r>
        <w:t xml:space="preserve">400 vehicles which operate on alternative fuels and advanced technology. </w:t>
      </w:r>
      <w:r w:rsidR="002C77DB">
        <w:t xml:space="preserve">UPS </w:t>
      </w:r>
      <w:r>
        <w:t xml:space="preserve">expanded its use of CNG in 2015 and continues to build CNG stations across the country to support its daily operations. </w:t>
      </w:r>
      <w:r w:rsidR="00534AE5">
        <w:t xml:space="preserve">The proposed Orlando facility will </w:t>
      </w:r>
      <w:r w:rsidR="005A61A4">
        <w:t xml:space="preserve">initially </w:t>
      </w:r>
      <w:r w:rsidR="00534AE5">
        <w:t xml:space="preserve">serve 30 </w:t>
      </w:r>
      <w:r w:rsidR="00671B45">
        <w:t>vehicles</w:t>
      </w:r>
      <w:r w:rsidR="00534AE5">
        <w:t xml:space="preserve"> </w:t>
      </w:r>
      <w:r w:rsidR="005A61A4">
        <w:t xml:space="preserve">with </w:t>
      </w:r>
      <w:r w:rsidR="00315417">
        <w:t>opportunities</w:t>
      </w:r>
      <w:r w:rsidR="005A61A4">
        <w:t xml:space="preserve"> for future expansion. The 30 CNG fueled </w:t>
      </w:r>
      <w:r w:rsidR="00671B45">
        <w:t>vehicles</w:t>
      </w:r>
      <w:r w:rsidR="005A61A4">
        <w:t xml:space="preserve"> </w:t>
      </w:r>
      <w:r w:rsidR="00534AE5">
        <w:t xml:space="preserve">will displace </w:t>
      </w:r>
      <w:r w:rsidR="002C77DB">
        <w:t xml:space="preserve">the use of </w:t>
      </w:r>
      <w:r w:rsidR="00534AE5">
        <w:t xml:space="preserve">700,000 gallons of traditional fuels annually. </w:t>
      </w:r>
      <w:r w:rsidR="00671B45">
        <w:t>Section 334.044(33)(a)4</w:t>
      </w:r>
      <w:r w:rsidR="00FB0EF1">
        <w:t>.,</w:t>
      </w:r>
      <w:r w:rsidR="00671B45">
        <w:t xml:space="preserve"> Florida Statutes, (F.S.), encourages the increased use of natural gas to reduce transportation costs for businesses and residents within the state. </w:t>
      </w:r>
    </w:p>
    <w:p w:rsidR="00617271" w:rsidRDefault="00DD558A">
      <w:pPr>
        <w:pStyle w:val="BodyText"/>
      </w:pPr>
      <w:r>
        <w:lastRenderedPageBreak/>
        <w:t>During the evaluation of th</w:t>
      </w:r>
      <w:r w:rsidR="00617271">
        <w:t>is</w:t>
      </w:r>
      <w:r>
        <w:t xml:space="preserve"> petition, staff issu</w:t>
      </w:r>
      <w:r w:rsidR="00617271">
        <w:t xml:space="preserve">ed </w:t>
      </w:r>
      <w:r w:rsidR="002527AC">
        <w:t>its first</w:t>
      </w:r>
      <w:r w:rsidR="00617271">
        <w:t xml:space="preserve"> data request to Peoples for which responses were received on March 3, 2016. </w:t>
      </w:r>
      <w:r w:rsidR="002527AC">
        <w:t>After reviewing the responses, staff issued a second dat</w:t>
      </w:r>
      <w:r w:rsidR="00342667">
        <w:t>a</w:t>
      </w:r>
      <w:r w:rsidR="002527AC">
        <w:t xml:space="preserve"> request on March 9, 2016</w:t>
      </w:r>
      <w:r w:rsidR="00844808">
        <w:t>,</w:t>
      </w:r>
      <w:r w:rsidR="002527AC">
        <w:t xml:space="preserve"> for which responses were received on March 11, 2016. </w:t>
      </w:r>
      <w:r w:rsidR="00E64953">
        <w:t>The Office of the Public Counsel (</w:t>
      </w:r>
      <w:r w:rsidR="00617271">
        <w:t>OPC</w:t>
      </w:r>
      <w:r w:rsidR="00E64953">
        <w:t>)</w:t>
      </w:r>
      <w:r w:rsidR="00617271">
        <w:t xml:space="preserve"> filed a Notice of In</w:t>
      </w:r>
      <w:r w:rsidR="00E64953">
        <w:t>tervention on February 17, 2016, which was granted by Order No. PSC-16-0097-PCO-GU, issued March 9, 2016.</w:t>
      </w:r>
    </w:p>
    <w:p w:rsidR="00DD558A" w:rsidRDefault="00F914C2">
      <w:pPr>
        <w:pStyle w:val="BodyText"/>
      </w:pPr>
      <w:r>
        <w:t xml:space="preserve">Rule 25-9.034(1), </w:t>
      </w:r>
      <w:r w:rsidR="00671B45">
        <w:t>Florida Administrative Code, (</w:t>
      </w:r>
      <w:r>
        <w:t>F</w:t>
      </w:r>
      <w:r w:rsidR="00671B45">
        <w:t>.</w:t>
      </w:r>
      <w:r>
        <w:t>A</w:t>
      </w:r>
      <w:r w:rsidR="00671B45">
        <w:t>.</w:t>
      </w:r>
      <w:r>
        <w:t>C</w:t>
      </w:r>
      <w:r w:rsidR="00671B45">
        <w:t>.)</w:t>
      </w:r>
      <w:r>
        <w:t xml:space="preserve">, </w:t>
      </w:r>
      <w:r w:rsidR="001E76B3">
        <w:t xml:space="preserve">requires that whenever a special contract is entered into by a utility for the sale of its product or service in a manner not specifically covered by its filed regulations and standard approved rate schedules, such </w:t>
      </w:r>
      <w:r w:rsidR="00E64953">
        <w:t xml:space="preserve">a </w:t>
      </w:r>
      <w:r w:rsidR="001E76B3">
        <w:t xml:space="preserve">contract must be approved by the </w:t>
      </w:r>
      <w:r w:rsidR="00E64953">
        <w:t>Florida Public Service Commission (</w:t>
      </w:r>
      <w:r w:rsidR="001E76B3">
        <w:t>Commission</w:t>
      </w:r>
      <w:r w:rsidR="00E64953">
        <w:t>)</w:t>
      </w:r>
      <w:r w:rsidR="001E76B3">
        <w:t xml:space="preserve"> prior to its execution. </w:t>
      </w:r>
      <w:r w:rsidR="00DD558A">
        <w:t>The Commission has jurisdiction over this matter pursuant to Section 366.</w:t>
      </w:r>
      <w:r w:rsidR="000D137B">
        <w:t>04, F</w:t>
      </w:r>
      <w:r w:rsidR="00844808">
        <w:t>.</w:t>
      </w:r>
      <w:r w:rsidR="00310DA6">
        <w:t>S</w:t>
      </w:r>
      <w:r w:rsidR="000D137B">
        <w:t>.</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67E78" w:rsidRPr="00367E78" w:rsidRDefault="00367E78">
      <w:pPr>
        <w:pStyle w:val="IssueHeading"/>
        <w:rPr>
          <w:b w:val="0"/>
          <w:i w:val="0"/>
          <w:vanish/>
          <w:specVanish/>
        </w:rPr>
      </w:pPr>
      <w:r w:rsidRPr="004C3641">
        <w:t xml:space="preserve">Issue </w:t>
      </w:r>
      <w:fldSimple w:instr=" SEQ Issue \* MERGEFORMAT ">
        <w:r w:rsidR="00B93A23">
          <w:rPr>
            <w:noProof/>
          </w:rPr>
          <w:t>1</w:t>
        </w:r>
      </w:fldSimple>
      <w:r w:rsidRPr="004C3641">
        <w:t>:</w:t>
      </w:r>
      <w:r w:rsidRPr="00367E78">
        <w:rPr>
          <w:b w:val="0"/>
          <w:i w:val="0"/>
        </w:rPr>
        <w:fldChar w:fldCharType="begin"/>
      </w:r>
      <w:r w:rsidRPr="00367E78">
        <w:rPr>
          <w:b w:val="0"/>
          <w:i w:val="0"/>
        </w:rPr>
        <w:instrText xml:space="preserve"> TC "</w:instrText>
      </w:r>
      <w:r w:rsidRPr="00367E78">
        <w:rPr>
          <w:b w:val="0"/>
          <w:i w:val="0"/>
        </w:rPr>
        <w:fldChar w:fldCharType="begin"/>
      </w:r>
      <w:r w:rsidRPr="00367E78">
        <w:rPr>
          <w:b w:val="0"/>
          <w:i w:val="0"/>
        </w:rPr>
        <w:instrText xml:space="preserve"> SEQ issue \c </w:instrText>
      </w:r>
      <w:r w:rsidRPr="00367E78">
        <w:rPr>
          <w:b w:val="0"/>
          <w:i w:val="0"/>
        </w:rPr>
        <w:fldChar w:fldCharType="separate"/>
      </w:r>
      <w:r w:rsidR="00B93A23">
        <w:rPr>
          <w:b w:val="0"/>
          <w:i w:val="0"/>
          <w:noProof/>
        </w:rPr>
        <w:instrText>1</w:instrText>
      </w:r>
      <w:r w:rsidRPr="00367E78">
        <w:rPr>
          <w:b w:val="0"/>
          <w:i w:val="0"/>
        </w:rPr>
        <w:fldChar w:fldCharType="end"/>
      </w:r>
      <w:r w:rsidRPr="00367E78">
        <w:rPr>
          <w:b w:val="0"/>
          <w:i w:val="0"/>
        </w:rPr>
        <w:tab/>
        <w:instrText xml:space="preserve">" \l 1 </w:instrText>
      </w:r>
      <w:r w:rsidRPr="00367E78">
        <w:rPr>
          <w:b w:val="0"/>
          <w:i w:val="0"/>
        </w:rPr>
        <w:fldChar w:fldCharType="end"/>
      </w:r>
      <w:r w:rsidRPr="00367E78">
        <w:rPr>
          <w:b w:val="0"/>
          <w:i w:val="0"/>
        </w:rPr>
        <w:t> </w:t>
      </w:r>
    </w:p>
    <w:p w:rsidR="00367E78" w:rsidRPr="00367E78" w:rsidRDefault="00367E78">
      <w:pPr>
        <w:pStyle w:val="BodyText"/>
      </w:pPr>
      <w:r w:rsidRPr="00367E78">
        <w:t xml:space="preserve"> Should the Commission approve the special contract between </w:t>
      </w:r>
      <w:r w:rsidR="00310DA6" w:rsidRPr="00367E78">
        <w:t>Peoples</w:t>
      </w:r>
      <w:r w:rsidRPr="00367E78">
        <w:t xml:space="preserve"> and UPS?</w:t>
      </w:r>
    </w:p>
    <w:p w:rsidR="00367E78" w:rsidRPr="004C3641" w:rsidRDefault="00367E78">
      <w:pPr>
        <w:pStyle w:val="IssueSubsectionHeading"/>
        <w:rPr>
          <w:vanish/>
          <w:specVanish/>
        </w:rPr>
      </w:pPr>
      <w:r w:rsidRPr="004C3641">
        <w:t>Recommendation: </w:t>
      </w:r>
    </w:p>
    <w:p w:rsidR="00367E78" w:rsidRPr="00367E78" w:rsidRDefault="00367E78">
      <w:pPr>
        <w:pStyle w:val="BodyText"/>
      </w:pPr>
      <w:r>
        <w:t> </w:t>
      </w:r>
      <w:r w:rsidRPr="00367E78">
        <w:t xml:space="preserve">Yes. The Commission should approve the special contract between Peoples and UPS. (Guffey) </w:t>
      </w:r>
    </w:p>
    <w:p w:rsidR="00367E78" w:rsidRPr="004C3641" w:rsidRDefault="00367E78">
      <w:pPr>
        <w:pStyle w:val="IssueSubsectionHeading"/>
        <w:rPr>
          <w:vanish/>
          <w:specVanish/>
        </w:rPr>
      </w:pPr>
      <w:r w:rsidRPr="004C3641">
        <w:t>Staff Analysis: </w:t>
      </w:r>
    </w:p>
    <w:p w:rsidR="00367E78" w:rsidRDefault="00367E78" w:rsidP="00367E78">
      <w:pPr>
        <w:pStyle w:val="IssueHeading"/>
        <w:rPr>
          <w:rFonts w:ascii="Times New Roman" w:hAnsi="Times New Roman" w:cs="Times New Roman"/>
          <w:b w:val="0"/>
          <w:i w:val="0"/>
        </w:rPr>
      </w:pPr>
      <w:r>
        <w:t> </w:t>
      </w:r>
      <w:r>
        <w:rPr>
          <w:rFonts w:ascii="Times New Roman" w:hAnsi="Times New Roman" w:cs="Times New Roman"/>
          <w:b w:val="0"/>
          <w:i w:val="0"/>
        </w:rPr>
        <w:t xml:space="preserve">As required by Rule 25-9.034(1), F.A.C., Peoples filed for Commission approval of its proposed special contract with UPS. </w:t>
      </w:r>
      <w:r w:rsidR="00671B45">
        <w:rPr>
          <w:rFonts w:ascii="Times New Roman" w:hAnsi="Times New Roman" w:cs="Times New Roman"/>
          <w:b w:val="0"/>
          <w:i w:val="0"/>
        </w:rPr>
        <w:t xml:space="preserve">In order to provide natural gas to UPS’s proposed CNG filling station, </w:t>
      </w:r>
      <w:r>
        <w:rPr>
          <w:rFonts w:ascii="Times New Roman" w:hAnsi="Times New Roman" w:cs="Times New Roman"/>
          <w:b w:val="0"/>
          <w:i w:val="0"/>
        </w:rPr>
        <w:t>Peoples will extend its distribution facilities by 3.8 miles of 6-inch coated steel pipes. The confidential dollar per therm distribution charge contained in the contract is higher than the otherwise applicable tariff rate to allow Peoples to recover the cost of the pipeline extension made to UPS</w:t>
      </w:r>
      <w:r w:rsidR="00671B45">
        <w:rPr>
          <w:rFonts w:ascii="Times New Roman" w:hAnsi="Times New Roman" w:cs="Times New Roman"/>
          <w:b w:val="0"/>
          <w:i w:val="0"/>
        </w:rPr>
        <w:t>’</w:t>
      </w:r>
      <w:r>
        <w:rPr>
          <w:rFonts w:ascii="Times New Roman" w:hAnsi="Times New Roman" w:cs="Times New Roman"/>
          <w:b w:val="0"/>
          <w:i w:val="0"/>
        </w:rPr>
        <w:t xml:space="preserve"> planned </w:t>
      </w:r>
      <w:r w:rsidR="00310DA6">
        <w:rPr>
          <w:rFonts w:ascii="Times New Roman" w:hAnsi="Times New Roman" w:cs="Times New Roman"/>
          <w:b w:val="0"/>
          <w:i w:val="0"/>
        </w:rPr>
        <w:t>fueling</w:t>
      </w:r>
      <w:r>
        <w:rPr>
          <w:rFonts w:ascii="Times New Roman" w:hAnsi="Times New Roman" w:cs="Times New Roman"/>
          <w:b w:val="0"/>
          <w:i w:val="0"/>
        </w:rPr>
        <w:t xml:space="preserve"> station. In addition to the distribution charge contained in the contract, UPS will be responsible for all other applicable charges</w:t>
      </w:r>
      <w:r w:rsidR="00671B45">
        <w:rPr>
          <w:rFonts w:ascii="Times New Roman" w:hAnsi="Times New Roman" w:cs="Times New Roman"/>
          <w:b w:val="0"/>
          <w:i w:val="0"/>
        </w:rPr>
        <w:t xml:space="preserve"> and clauses of Rate Schedule GS-5,</w:t>
      </w:r>
      <w:r>
        <w:rPr>
          <w:rFonts w:ascii="Times New Roman" w:hAnsi="Times New Roman" w:cs="Times New Roman"/>
          <w:b w:val="0"/>
          <w:i w:val="0"/>
        </w:rPr>
        <w:t xml:space="preserve"> such as the customer charge, </w:t>
      </w:r>
      <w:r w:rsidR="00E859E6">
        <w:rPr>
          <w:rFonts w:ascii="Times New Roman" w:hAnsi="Times New Roman" w:cs="Times New Roman"/>
          <w:b w:val="0"/>
          <w:i w:val="0"/>
        </w:rPr>
        <w:t xml:space="preserve">swing service charge, </w:t>
      </w:r>
      <w:r w:rsidR="00A73034">
        <w:rPr>
          <w:rFonts w:ascii="Times New Roman" w:hAnsi="Times New Roman" w:cs="Times New Roman"/>
          <w:b w:val="0"/>
          <w:i w:val="0"/>
        </w:rPr>
        <w:t>e</w:t>
      </w:r>
      <w:r>
        <w:rPr>
          <w:rFonts w:ascii="Times New Roman" w:hAnsi="Times New Roman" w:cs="Times New Roman"/>
          <w:b w:val="0"/>
          <w:i w:val="0"/>
        </w:rPr>
        <w:t xml:space="preserve">nergy </w:t>
      </w:r>
      <w:r w:rsidR="00A73034">
        <w:rPr>
          <w:rFonts w:ascii="Times New Roman" w:hAnsi="Times New Roman" w:cs="Times New Roman"/>
          <w:b w:val="0"/>
          <w:i w:val="0"/>
        </w:rPr>
        <w:t>c</w:t>
      </w:r>
      <w:r>
        <w:rPr>
          <w:rFonts w:ascii="Times New Roman" w:hAnsi="Times New Roman" w:cs="Times New Roman"/>
          <w:b w:val="0"/>
          <w:i w:val="0"/>
        </w:rPr>
        <w:t xml:space="preserve">onservation </w:t>
      </w:r>
      <w:r w:rsidR="00A73034">
        <w:rPr>
          <w:rFonts w:ascii="Times New Roman" w:hAnsi="Times New Roman" w:cs="Times New Roman"/>
          <w:b w:val="0"/>
          <w:i w:val="0"/>
        </w:rPr>
        <w:t>c</w:t>
      </w:r>
      <w:r>
        <w:rPr>
          <w:rFonts w:ascii="Times New Roman" w:hAnsi="Times New Roman" w:cs="Times New Roman"/>
          <w:b w:val="0"/>
          <w:i w:val="0"/>
        </w:rPr>
        <w:t xml:space="preserve">ost </w:t>
      </w:r>
      <w:r w:rsidR="00A73034">
        <w:rPr>
          <w:rFonts w:ascii="Times New Roman" w:hAnsi="Times New Roman" w:cs="Times New Roman"/>
          <w:b w:val="0"/>
          <w:i w:val="0"/>
        </w:rPr>
        <w:t>r</w:t>
      </w:r>
      <w:r>
        <w:rPr>
          <w:rFonts w:ascii="Times New Roman" w:hAnsi="Times New Roman" w:cs="Times New Roman"/>
          <w:b w:val="0"/>
          <w:i w:val="0"/>
        </w:rPr>
        <w:t xml:space="preserve">ecovery </w:t>
      </w:r>
      <w:r w:rsidR="00A73034">
        <w:rPr>
          <w:rFonts w:ascii="Times New Roman" w:hAnsi="Times New Roman" w:cs="Times New Roman"/>
          <w:b w:val="0"/>
          <w:i w:val="0"/>
        </w:rPr>
        <w:t>c</w:t>
      </w:r>
      <w:r>
        <w:rPr>
          <w:rFonts w:ascii="Times New Roman" w:hAnsi="Times New Roman" w:cs="Times New Roman"/>
          <w:b w:val="0"/>
          <w:i w:val="0"/>
        </w:rPr>
        <w:t>lause</w:t>
      </w:r>
      <w:r w:rsidR="00E859E6">
        <w:rPr>
          <w:rFonts w:ascii="Times New Roman" w:hAnsi="Times New Roman" w:cs="Times New Roman"/>
          <w:b w:val="0"/>
          <w:i w:val="0"/>
        </w:rPr>
        <w:t xml:space="preserve">, and cast iron bare steel </w:t>
      </w:r>
      <w:r w:rsidR="00315417">
        <w:rPr>
          <w:rFonts w:ascii="Times New Roman" w:hAnsi="Times New Roman" w:cs="Times New Roman"/>
          <w:b w:val="0"/>
          <w:i w:val="0"/>
        </w:rPr>
        <w:t>replacement</w:t>
      </w:r>
      <w:r w:rsidR="00E859E6">
        <w:rPr>
          <w:rFonts w:ascii="Times New Roman" w:hAnsi="Times New Roman" w:cs="Times New Roman"/>
          <w:b w:val="0"/>
          <w:i w:val="0"/>
        </w:rPr>
        <w:t xml:space="preserve"> surcharge</w:t>
      </w:r>
      <w:r>
        <w:rPr>
          <w:rFonts w:ascii="Times New Roman" w:hAnsi="Times New Roman" w:cs="Times New Roman"/>
          <w:b w:val="0"/>
          <w:i w:val="0"/>
        </w:rPr>
        <w:t>.</w:t>
      </w:r>
    </w:p>
    <w:p w:rsidR="00C02C2D" w:rsidRDefault="00367E78" w:rsidP="00367E78">
      <w:pPr>
        <w:pStyle w:val="BodyText"/>
      </w:pPr>
      <w:r w:rsidRPr="00E859E6">
        <w:t xml:space="preserve">Peoples will provide natural gas </w:t>
      </w:r>
      <w:r w:rsidR="00310DA6" w:rsidRPr="00E859E6">
        <w:t>transportation</w:t>
      </w:r>
      <w:r w:rsidRPr="00E859E6">
        <w:t xml:space="preserve"> service</w:t>
      </w:r>
      <w:r w:rsidR="006A3FB1">
        <w:t xml:space="preserve"> only</w:t>
      </w:r>
      <w:r w:rsidRPr="00E859E6">
        <w:t xml:space="preserve"> to UPS</w:t>
      </w:r>
      <w:r w:rsidR="00E345D8">
        <w:t>; the natural gas UPS will compress and sell as CNG will be provided by a gas marketer</w:t>
      </w:r>
      <w:r w:rsidR="00E859E6">
        <w:t>.</w:t>
      </w:r>
      <w:r w:rsidR="000A3932">
        <w:t xml:space="preserve"> </w:t>
      </w:r>
      <w:r w:rsidR="00E345D8">
        <w:t>Specifically,</w:t>
      </w:r>
      <w:r w:rsidR="000A3932">
        <w:t xml:space="preserve"> UPS </w:t>
      </w:r>
      <w:r w:rsidR="00C02C2D">
        <w:t xml:space="preserve">will receive </w:t>
      </w:r>
      <w:r w:rsidR="00A87A5F">
        <w:t xml:space="preserve">transportation </w:t>
      </w:r>
      <w:r w:rsidR="00C02C2D">
        <w:t xml:space="preserve">service </w:t>
      </w:r>
      <w:r w:rsidR="000A3932">
        <w:t xml:space="preserve">under Peoples Natural Choice Transportation Service Rider (Rider NCTS). </w:t>
      </w:r>
      <w:r w:rsidR="00C02C2D">
        <w:t xml:space="preserve"> Rider NCTS customers acquire gas from a gas marketer as a part of a customer pool</w:t>
      </w:r>
      <w:r w:rsidR="000A3932">
        <w:t>.</w:t>
      </w:r>
      <w:r w:rsidR="00C02C2D">
        <w:t xml:space="preserve"> The gas marketer delivers gas to Peoples’ distribution system for all Rider NCTS customers, and Peoples subsequently transports the gas to the customers.</w:t>
      </w:r>
      <w:r w:rsidR="000A3932">
        <w:t xml:space="preserve"> </w:t>
      </w:r>
      <w:r w:rsidR="00A87A5F">
        <w:t>All Rider NCTS customers are required to execute a Letter of Authorization, which is a contract setting forth the terms and conditions under which Peoples will provide transportation service to the customer.</w:t>
      </w:r>
      <w:r w:rsidR="00540497">
        <w:rPr>
          <w:rStyle w:val="FootnoteReference"/>
        </w:rPr>
        <w:footnoteReference w:id="1"/>
      </w:r>
      <w:r w:rsidR="00A87A5F">
        <w:t xml:space="preserve"> UPS has executed the Letter of Authorization.</w:t>
      </w:r>
      <w:r w:rsidR="00540497">
        <w:t xml:space="preserve"> The proposed special contract, for which Peoples seeks Commission approval</w:t>
      </w:r>
      <w:r w:rsidR="00636D40">
        <w:t xml:space="preserve"> because it contains a charge that is higher than standard tariff rates</w:t>
      </w:r>
      <w:r w:rsidR="00540497">
        <w:t>, is an addendum to the Letter of Authorization.</w:t>
      </w:r>
      <w:r w:rsidR="00AE15C8">
        <w:t xml:space="preserve"> The redacted special contract is shown </w:t>
      </w:r>
      <w:r w:rsidR="00E64953">
        <w:t>as</w:t>
      </w:r>
      <w:r w:rsidR="00AE15C8">
        <w:t xml:space="preserve"> </w:t>
      </w:r>
      <w:r w:rsidR="00E64953">
        <w:t>Attachment</w:t>
      </w:r>
      <w:r w:rsidR="00AE15C8">
        <w:t xml:space="preserve"> A to the </w:t>
      </w:r>
      <w:r w:rsidR="00E64953">
        <w:t>recommendation</w:t>
      </w:r>
      <w:r w:rsidR="00AE15C8">
        <w:t>.</w:t>
      </w:r>
      <w:r w:rsidR="00E64953">
        <w:t xml:space="preserve"> </w:t>
      </w:r>
      <w:r w:rsidR="00A87A5F">
        <w:t xml:space="preserve">  </w:t>
      </w:r>
    </w:p>
    <w:p w:rsidR="00367E78" w:rsidRDefault="000A3932" w:rsidP="00367E78">
      <w:pPr>
        <w:pStyle w:val="BodyText"/>
      </w:pPr>
      <w:r>
        <w:t xml:space="preserve">The term of the contract is 10 years and </w:t>
      </w:r>
      <w:r w:rsidR="00856B95">
        <w:t>can be extended</w:t>
      </w:r>
      <w:r>
        <w:t xml:space="preserve"> for an additional five years upon mutual agreement by Peoples and UPS under the otherwise applicable rate schedule and tariff rate as approved by the Commission and in effect at </w:t>
      </w:r>
      <w:r w:rsidR="00856B95">
        <w:t>the time of the extension of the term.</w:t>
      </w:r>
    </w:p>
    <w:p w:rsidR="00A87A5F" w:rsidRDefault="00856B95" w:rsidP="00367E78">
      <w:pPr>
        <w:pStyle w:val="BodyText"/>
      </w:pPr>
      <w:r>
        <w:t xml:space="preserve">Peoples provided a </w:t>
      </w:r>
      <w:r w:rsidR="004443F8">
        <w:t>confidential</w:t>
      </w:r>
      <w:r>
        <w:t xml:space="preserve"> cost of service study </w:t>
      </w:r>
      <w:r w:rsidR="00F70891">
        <w:t>to show that</w:t>
      </w:r>
      <w:r>
        <w:t xml:space="preserve"> the revenue</w:t>
      </w:r>
      <w:r w:rsidR="00F70891">
        <w:t>s</w:t>
      </w:r>
      <w:r>
        <w:t xml:space="preserve"> generated by charges </w:t>
      </w:r>
      <w:r w:rsidR="00F70891">
        <w:t xml:space="preserve">contained </w:t>
      </w:r>
      <w:r>
        <w:t xml:space="preserve">in the contract will cover the annual operating cost of </w:t>
      </w:r>
      <w:r w:rsidR="004443F8">
        <w:t>providing</w:t>
      </w:r>
      <w:r>
        <w:t xml:space="preserve"> natural gas to UPS. The estimated annual costs associated with the facility extension include</w:t>
      </w:r>
      <w:r w:rsidR="00181327">
        <w:t xml:space="preserve"> operation and </w:t>
      </w:r>
      <w:r w:rsidR="002C77DB">
        <w:t>maintenance</w:t>
      </w:r>
      <w:r w:rsidR="00181327">
        <w:t>, depreciation, taxes</w:t>
      </w:r>
      <w:r w:rsidR="00F70891">
        <w:t>,</w:t>
      </w:r>
      <w:r w:rsidR="00181327">
        <w:t xml:space="preserve"> and return on investment. </w:t>
      </w:r>
    </w:p>
    <w:p w:rsidR="00856B95" w:rsidRDefault="00A87A5F" w:rsidP="00367E78">
      <w:pPr>
        <w:pStyle w:val="BodyText"/>
      </w:pPr>
      <w:r>
        <w:t xml:space="preserve">Peoples </w:t>
      </w:r>
      <w:r w:rsidR="003E7F93">
        <w:t>stated</w:t>
      </w:r>
      <w:r w:rsidR="00B97558">
        <w:t xml:space="preserve"> that only a </w:t>
      </w:r>
      <w:r w:rsidR="009E20C9">
        <w:t xml:space="preserve">certain </w:t>
      </w:r>
      <w:r w:rsidR="00B97558">
        <w:t xml:space="preserve">portion of the </w:t>
      </w:r>
      <w:r w:rsidR="009E20C9">
        <w:t xml:space="preserve">extension </w:t>
      </w:r>
      <w:r w:rsidR="00B97558">
        <w:t xml:space="preserve">costs </w:t>
      </w:r>
      <w:r w:rsidR="009E20C9">
        <w:t xml:space="preserve">(according to the amount of gas usage) </w:t>
      </w:r>
      <w:r w:rsidR="00B97558">
        <w:t>are allocated to UPS</w:t>
      </w:r>
      <w:r w:rsidR="000942DF">
        <w:t xml:space="preserve"> </w:t>
      </w:r>
      <w:r w:rsidR="009E20C9">
        <w:t xml:space="preserve">who will be the first customer on the </w:t>
      </w:r>
      <w:r>
        <w:t>new distribution</w:t>
      </w:r>
      <w:r w:rsidR="009E20C9">
        <w:t xml:space="preserve"> line</w:t>
      </w:r>
      <w:r w:rsidR="00B97558">
        <w:t xml:space="preserve">.  </w:t>
      </w:r>
      <w:r w:rsidR="005657E7">
        <w:t>Peoples</w:t>
      </w:r>
      <w:r w:rsidR="00915214">
        <w:t xml:space="preserve"> </w:t>
      </w:r>
      <w:r w:rsidR="00AA4B2E">
        <w:t>explained</w:t>
      </w:r>
      <w:r w:rsidR="00915214">
        <w:t xml:space="preserve"> that </w:t>
      </w:r>
      <w:r w:rsidR="00E64953">
        <w:t>it</w:t>
      </w:r>
      <w:r w:rsidR="009E20C9">
        <w:t xml:space="preserve"> </w:t>
      </w:r>
      <w:r w:rsidR="00775FAD">
        <w:t>anticipate</w:t>
      </w:r>
      <w:r w:rsidR="00342667">
        <w:t>s</w:t>
      </w:r>
      <w:r w:rsidR="009E20C9">
        <w:t xml:space="preserve"> other gas customers, including a large industrial customer</w:t>
      </w:r>
      <w:r>
        <w:t>,</w:t>
      </w:r>
      <w:r w:rsidR="009E20C9">
        <w:t xml:space="preserve"> </w:t>
      </w:r>
      <w:r w:rsidR="005657E7">
        <w:t xml:space="preserve">to come on line </w:t>
      </w:r>
      <w:r w:rsidR="00775FAD">
        <w:t>later in</w:t>
      </w:r>
      <w:r w:rsidR="009E20C9">
        <w:t xml:space="preserve"> 2016 </w:t>
      </w:r>
      <w:r w:rsidR="005657E7">
        <w:t xml:space="preserve">who would then be allocated </w:t>
      </w:r>
      <w:r w:rsidR="00775FAD">
        <w:t xml:space="preserve">most of </w:t>
      </w:r>
      <w:r w:rsidR="005657E7">
        <w:t>the remain</w:t>
      </w:r>
      <w:r w:rsidR="00775FAD">
        <w:t xml:space="preserve">ing </w:t>
      </w:r>
      <w:r w:rsidR="005657E7">
        <w:t>pipeline extension cost</w:t>
      </w:r>
      <w:r w:rsidR="00844808">
        <w:t>.</w:t>
      </w:r>
      <w:r w:rsidR="00AA4B2E">
        <w:t xml:space="preserve"> </w:t>
      </w:r>
      <w:r w:rsidR="00844808">
        <w:t>T</w:t>
      </w:r>
      <w:r w:rsidR="00775FAD">
        <w:t xml:space="preserve">he remaining </w:t>
      </w:r>
      <w:r w:rsidR="00FE7E77">
        <w:t xml:space="preserve">capacity </w:t>
      </w:r>
      <w:r w:rsidR="00775FAD">
        <w:t xml:space="preserve">of the gas line will be used for system reinforcement and peaking </w:t>
      </w:r>
      <w:r w:rsidR="00775FAD">
        <w:lastRenderedPageBreak/>
        <w:t xml:space="preserve">requirements. </w:t>
      </w:r>
      <w:r w:rsidR="00181327">
        <w:t>The cont</w:t>
      </w:r>
      <w:r w:rsidR="00C20791">
        <w:t>r</w:t>
      </w:r>
      <w:r w:rsidR="00181327">
        <w:t xml:space="preserve">act also provides for annual minimum volumes to be taken or paid for during the term of </w:t>
      </w:r>
      <w:r w:rsidR="002C77DB">
        <w:t>the</w:t>
      </w:r>
      <w:r w:rsidR="00181327">
        <w:t xml:space="preserve"> contract. </w:t>
      </w:r>
    </w:p>
    <w:p w:rsidR="00367E78" w:rsidRDefault="00367E78" w:rsidP="00367E78">
      <w:pPr>
        <w:pStyle w:val="IssueHeading"/>
        <w:rPr>
          <w:rFonts w:ascii="Times New Roman" w:hAnsi="Times New Roman" w:cs="Times New Roman"/>
          <w:b w:val="0"/>
          <w:i w:val="0"/>
        </w:rPr>
      </w:pPr>
      <w:r>
        <w:rPr>
          <w:rFonts w:ascii="Times New Roman" w:hAnsi="Times New Roman" w:cs="Times New Roman"/>
          <w:b w:val="0"/>
          <w:i w:val="0"/>
        </w:rPr>
        <w:t xml:space="preserve">Staff recommends that the Commission approve the </w:t>
      </w:r>
      <w:r w:rsidR="00A87A5F">
        <w:rPr>
          <w:rFonts w:ascii="Times New Roman" w:hAnsi="Times New Roman" w:cs="Times New Roman"/>
          <w:b w:val="0"/>
          <w:i w:val="0"/>
        </w:rPr>
        <w:t xml:space="preserve">proposed </w:t>
      </w:r>
      <w:r>
        <w:rPr>
          <w:rFonts w:ascii="Times New Roman" w:hAnsi="Times New Roman" w:cs="Times New Roman"/>
          <w:b w:val="0"/>
          <w:i w:val="0"/>
        </w:rPr>
        <w:t xml:space="preserve">special contract between Peoples and UPS as it will generate revenues in </w:t>
      </w:r>
      <w:r w:rsidR="00310DA6">
        <w:rPr>
          <w:rFonts w:ascii="Times New Roman" w:hAnsi="Times New Roman" w:cs="Times New Roman"/>
          <w:b w:val="0"/>
          <w:i w:val="0"/>
        </w:rPr>
        <w:t>excess</w:t>
      </w:r>
      <w:r>
        <w:rPr>
          <w:rFonts w:ascii="Times New Roman" w:hAnsi="Times New Roman" w:cs="Times New Roman"/>
          <w:b w:val="0"/>
          <w:i w:val="0"/>
        </w:rPr>
        <w:t xml:space="preserve"> of the cost of service, </w:t>
      </w:r>
      <w:r w:rsidR="00E64953">
        <w:rPr>
          <w:rFonts w:ascii="Times New Roman" w:hAnsi="Times New Roman" w:cs="Times New Roman"/>
          <w:b w:val="0"/>
          <w:i w:val="0"/>
        </w:rPr>
        <w:t xml:space="preserve">and </w:t>
      </w:r>
      <w:r>
        <w:rPr>
          <w:rFonts w:ascii="Times New Roman" w:hAnsi="Times New Roman" w:cs="Times New Roman"/>
          <w:b w:val="0"/>
          <w:i w:val="0"/>
        </w:rPr>
        <w:t>thereby provid</w:t>
      </w:r>
      <w:r w:rsidR="00E64953">
        <w:rPr>
          <w:rFonts w:ascii="Times New Roman" w:hAnsi="Times New Roman" w:cs="Times New Roman"/>
          <w:b w:val="0"/>
          <w:i w:val="0"/>
        </w:rPr>
        <w:t>e</w:t>
      </w:r>
      <w:r>
        <w:rPr>
          <w:rFonts w:ascii="Times New Roman" w:hAnsi="Times New Roman" w:cs="Times New Roman"/>
          <w:b w:val="0"/>
          <w:i w:val="0"/>
        </w:rPr>
        <w:t xml:space="preserve"> benefits to Peoples’ general body of ratepayers.</w:t>
      </w:r>
    </w:p>
    <w:p w:rsidR="00367E78" w:rsidRDefault="00367E78">
      <w:pPr>
        <w:pStyle w:val="IssueHeading"/>
        <w:rPr>
          <w:vanish/>
          <w:specVanish/>
        </w:rPr>
      </w:pPr>
      <w:r w:rsidRPr="004C3641">
        <w:rPr>
          <w:b w:val="0"/>
          <w:i w:val="0"/>
        </w:rPr>
        <w:br w:type="page"/>
      </w:r>
      <w:r w:rsidRPr="004C3641">
        <w:lastRenderedPageBreak/>
        <w:t xml:space="preserve">Issue </w:t>
      </w:r>
      <w:r w:rsidRPr="004C3641">
        <w:fldChar w:fldCharType="begin"/>
      </w:r>
      <w:r w:rsidR="00176301">
        <w:instrText>seq issue \r 2</w:instrText>
      </w:r>
      <w:r w:rsidRPr="004C3641">
        <w:fldChar w:fldCharType="separate"/>
      </w:r>
      <w:r w:rsidR="00B93A23">
        <w:rPr>
          <w:noProof/>
        </w:rPr>
        <w:t>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r w:rsidR="00B93A23">
        <w:rPr>
          <w:noProof/>
        </w:rPr>
        <w:instrText>2</w:instrText>
      </w:r>
      <w:r>
        <w:fldChar w:fldCharType="end"/>
      </w:r>
      <w:r>
        <w:tab/>
        <w:instrText xml:space="preserve">" \l 1 </w:instrText>
      </w:r>
      <w:r>
        <w:fldChar w:fldCharType="end"/>
      </w:r>
      <w:r>
        <w:t> </w:t>
      </w:r>
    </w:p>
    <w:p w:rsidR="00367E78" w:rsidRDefault="00367E78">
      <w:pPr>
        <w:pStyle w:val="BodyText"/>
      </w:pPr>
      <w:r>
        <w:t> Should this docket be closed?</w:t>
      </w:r>
    </w:p>
    <w:p w:rsidR="00367E78" w:rsidRPr="004C3641" w:rsidRDefault="00367E78">
      <w:pPr>
        <w:pStyle w:val="IssueSubsectionHeading"/>
        <w:rPr>
          <w:vanish/>
          <w:specVanish/>
        </w:rPr>
      </w:pPr>
      <w:r w:rsidRPr="004C3641">
        <w:t>Recommendation: </w:t>
      </w:r>
    </w:p>
    <w:p w:rsidR="00367E78" w:rsidRDefault="00367E78">
      <w:pPr>
        <w:pStyle w:val="BodyText"/>
      </w:pPr>
      <w:r>
        <w:t> </w:t>
      </w:r>
      <w:r w:rsidR="00310DA6">
        <w:t>If no protest is filed by a person whose substantial interests are affected within 21 days of the issuance of the Order, this docket should be closed upon the issuance of a Consummating Order. (</w:t>
      </w:r>
      <w:r w:rsidR="00CC1DAF">
        <w:t>Mapp</w:t>
      </w:r>
      <w:r w:rsidR="00310DA6">
        <w:t>)</w:t>
      </w:r>
      <w:r>
        <w:t xml:space="preserve"> </w:t>
      </w:r>
    </w:p>
    <w:p w:rsidR="00367E78" w:rsidRPr="004C3641" w:rsidRDefault="00367E78">
      <w:pPr>
        <w:pStyle w:val="IssueSubsectionHeading"/>
        <w:rPr>
          <w:vanish/>
          <w:specVanish/>
        </w:rPr>
      </w:pPr>
      <w:r w:rsidRPr="004C3641">
        <w:t>Staff Analysis: </w:t>
      </w:r>
    </w:p>
    <w:p w:rsidR="00367E78" w:rsidRDefault="00367E78">
      <w:pPr>
        <w:pStyle w:val="BodyText"/>
      </w:pPr>
      <w:r>
        <w:t> </w:t>
      </w:r>
      <w:r w:rsidR="00310DA6">
        <w:t>If no protest is filed by a person whose substantial interests are affected within 21 days of the issuance of the Order, this docket should be closed upon the issuance of a Consummating Order.</w:t>
      </w:r>
    </w:p>
    <w:p w:rsidR="009F7CA8" w:rsidRDefault="009F7CA8" w:rsidP="0071127C">
      <w:pPr>
        <w:pStyle w:val="BodyText"/>
        <w:sectPr w:rsidR="009F7CA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71127C" w:rsidRDefault="009F7CA8" w:rsidP="0071127C">
      <w:pPr>
        <w:pStyle w:val="BodyText"/>
      </w:pPr>
      <w:r>
        <w:rPr>
          <w:noProof/>
        </w:rPr>
        <w:lastRenderedPageBreak/>
        <w:drawing>
          <wp:inline distT="0" distB="0" distL="0" distR="0" wp14:anchorId="35270422" wp14:editId="76CA4203">
            <wp:extent cx="5943600" cy="66636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6663690"/>
                    </a:xfrm>
                    <a:prstGeom prst="rect">
                      <a:avLst/>
                    </a:prstGeom>
                  </pic:spPr>
                </pic:pic>
              </a:graphicData>
            </a:graphic>
          </wp:inline>
        </w:drawing>
      </w:r>
    </w:p>
    <w:p w:rsidR="009F7CA8" w:rsidRDefault="009F7CA8">
      <w:r>
        <w:br w:type="page"/>
      </w:r>
    </w:p>
    <w:p w:rsidR="009F7CA8" w:rsidRDefault="009F7CA8" w:rsidP="0071127C">
      <w:pPr>
        <w:pStyle w:val="BodyText"/>
      </w:pPr>
      <w:r>
        <w:rPr>
          <w:noProof/>
        </w:rPr>
        <w:lastRenderedPageBreak/>
        <w:drawing>
          <wp:inline distT="0" distB="0" distL="0" distR="0" wp14:anchorId="16DA9C60" wp14:editId="377840AA">
            <wp:extent cx="5943600" cy="6728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6728460"/>
                    </a:xfrm>
                    <a:prstGeom prst="rect">
                      <a:avLst/>
                    </a:prstGeom>
                  </pic:spPr>
                </pic:pic>
              </a:graphicData>
            </a:graphic>
          </wp:inline>
        </w:drawing>
      </w:r>
    </w:p>
    <w:p w:rsidR="009F7CA8" w:rsidRDefault="009F7CA8" w:rsidP="009F7CA8">
      <w:r>
        <w:br w:type="page"/>
      </w:r>
    </w:p>
    <w:p w:rsidR="009F7CA8" w:rsidRPr="0071127C" w:rsidRDefault="009F7CA8" w:rsidP="0071127C">
      <w:pPr>
        <w:pStyle w:val="BodyText"/>
      </w:pPr>
      <w:r>
        <w:rPr>
          <w:noProof/>
        </w:rPr>
        <w:lastRenderedPageBreak/>
        <w:drawing>
          <wp:inline distT="0" distB="0" distL="0" distR="0" wp14:anchorId="1DC1369B" wp14:editId="60FF82F5">
            <wp:extent cx="5943600" cy="67024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6702425"/>
                    </a:xfrm>
                    <a:prstGeom prst="rect">
                      <a:avLst/>
                    </a:prstGeom>
                  </pic:spPr>
                </pic:pic>
              </a:graphicData>
            </a:graphic>
          </wp:inline>
        </w:drawing>
      </w:r>
    </w:p>
    <w:sectPr w:rsidR="009F7CA8" w:rsidRPr="0071127C"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015" w:rsidRDefault="00335015">
      <w:r>
        <w:separator/>
      </w:r>
    </w:p>
  </w:endnote>
  <w:endnote w:type="continuationSeparator" w:id="0">
    <w:p w:rsidR="00335015" w:rsidRDefault="0033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305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015" w:rsidRDefault="00335015">
      <w:r>
        <w:separator/>
      </w:r>
    </w:p>
  </w:footnote>
  <w:footnote w:type="continuationSeparator" w:id="0">
    <w:p w:rsidR="00335015" w:rsidRDefault="00335015">
      <w:r>
        <w:continuationSeparator/>
      </w:r>
    </w:p>
  </w:footnote>
  <w:footnote w:id="1">
    <w:p w:rsidR="00540497" w:rsidRDefault="00540497">
      <w:pPr>
        <w:pStyle w:val="FootnoteText"/>
      </w:pPr>
      <w:r>
        <w:rPr>
          <w:rStyle w:val="FootnoteReference"/>
        </w:rPr>
        <w:footnoteRef/>
      </w:r>
      <w:r>
        <w:t xml:space="preserve"> The Letter of Authorization is a standard form and does not require Commission approval.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1D25FC"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160029-GU</w:t>
    </w:r>
    <w:bookmarkEnd w:id="15"/>
  </w:p>
  <w:p w:rsidR="00BB3493" w:rsidRDefault="00BB3493">
    <w:pPr>
      <w:pStyle w:val="Header"/>
    </w:pPr>
    <w:r>
      <w:t xml:space="preserve">Date: </w:t>
    </w:r>
    <w:fldSimple w:instr=" REF FilingDate ">
      <w:r w:rsidR="00B93A23">
        <w:t>March 24,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B93A23">
      <w:t>Docket No.</w:t>
    </w:r>
    <w:r>
      <w:fldChar w:fldCharType="end"/>
    </w:r>
    <w:r>
      <w:t xml:space="preserve"> </w:t>
    </w:r>
    <w:r>
      <w:fldChar w:fldCharType="begin"/>
    </w:r>
    <w:r>
      <w:instrText xml:space="preserve"> REF DocketList</w:instrText>
    </w:r>
    <w:r>
      <w:fldChar w:fldCharType="separate"/>
    </w:r>
    <w:r w:rsidR="00B93A23">
      <w:t>160029-GU</w:t>
    </w:r>
    <w:r>
      <w:fldChar w:fldCharType="end"/>
    </w:r>
    <w:r>
      <w:tab/>
      <w:t xml:space="preserve">Issue </w:t>
    </w:r>
    <w:fldSimple w:instr=" Seq Issue \c \* Arabic ">
      <w:r w:rsidR="00B93A23">
        <w:rPr>
          <w:noProof/>
        </w:rPr>
        <w:t>2</w:t>
      </w:r>
    </w:fldSimple>
  </w:p>
  <w:p w:rsidR="00BB3493" w:rsidRDefault="00BB3493">
    <w:pPr>
      <w:pStyle w:val="Header"/>
    </w:pPr>
    <w:r>
      <w:t xml:space="preserve">Date: </w:t>
    </w:r>
    <w:fldSimple w:instr=" REF FilingDate ">
      <w:r w:rsidR="00B93A23">
        <w:t>March 24,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CA8" w:rsidRDefault="009F7CA8" w:rsidP="00220732">
    <w:pPr>
      <w:pStyle w:val="Header"/>
      <w:tabs>
        <w:tab w:val="clear" w:pos="4320"/>
        <w:tab w:val="clear" w:pos="8640"/>
        <w:tab w:val="right" w:pos="9360"/>
      </w:tabs>
    </w:pPr>
    <w:r>
      <w:fldChar w:fldCharType="begin"/>
    </w:r>
    <w:r>
      <w:instrText xml:space="preserve"> REF DocketLabel</w:instrText>
    </w:r>
    <w:r>
      <w:fldChar w:fldCharType="separate"/>
    </w:r>
    <w:r w:rsidR="00B93A23">
      <w:t>Docket No.</w:t>
    </w:r>
    <w:r>
      <w:fldChar w:fldCharType="end"/>
    </w:r>
    <w:r>
      <w:t xml:space="preserve"> </w:t>
    </w:r>
    <w:r>
      <w:fldChar w:fldCharType="begin"/>
    </w:r>
    <w:r>
      <w:instrText xml:space="preserve"> REF DocketList</w:instrText>
    </w:r>
    <w:r>
      <w:fldChar w:fldCharType="separate"/>
    </w:r>
    <w:r w:rsidR="00B93A23">
      <w:t>160029-GU</w:t>
    </w:r>
    <w:r>
      <w:fldChar w:fldCharType="end"/>
    </w:r>
    <w:r>
      <w:tab/>
      <w:t>Attachment A</w:t>
    </w:r>
  </w:p>
  <w:p w:rsidR="009F7CA8" w:rsidRDefault="009F7CA8">
    <w:pPr>
      <w:pStyle w:val="Header"/>
    </w:pPr>
    <w:r>
      <w:t xml:space="preserve">Date: </w:t>
    </w:r>
    <w:fldSimple w:instr=" REF FilingDate ">
      <w:r w:rsidR="00B93A23">
        <w:t>March 24, 2016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EA403E6-7A8C-4C2A-9BDF-3D11F44704CF}"/>
    <w:docVar w:name="dgnword-eventsink" w:val="241698120"/>
    <w:docVar w:name="NumberOfIssues" w:val="0"/>
    <w:docVar w:name="StaffInToC" w:val="True"/>
  </w:docVars>
  <w:rsids>
    <w:rsidRoot w:val="001D25FC"/>
    <w:rsid w:val="00010E37"/>
    <w:rsid w:val="000247C5"/>
    <w:rsid w:val="000277C2"/>
    <w:rsid w:val="00035B48"/>
    <w:rsid w:val="00036CE2"/>
    <w:rsid w:val="000413E7"/>
    <w:rsid w:val="000437FE"/>
    <w:rsid w:val="00065A06"/>
    <w:rsid w:val="000666F3"/>
    <w:rsid w:val="00070DCB"/>
    <w:rsid w:val="00073120"/>
    <w:rsid w:val="000828D3"/>
    <w:rsid w:val="000942DF"/>
    <w:rsid w:val="000A2B57"/>
    <w:rsid w:val="000A3932"/>
    <w:rsid w:val="000A418B"/>
    <w:rsid w:val="000C4431"/>
    <w:rsid w:val="000D137B"/>
    <w:rsid w:val="000D4319"/>
    <w:rsid w:val="000F374A"/>
    <w:rsid w:val="00111723"/>
    <w:rsid w:val="00117C8C"/>
    <w:rsid w:val="00124E2E"/>
    <w:rsid w:val="00125ED4"/>
    <w:rsid w:val="001305E9"/>
    <w:rsid w:val="001307AF"/>
    <w:rsid w:val="0013483A"/>
    <w:rsid w:val="00135687"/>
    <w:rsid w:val="00171A90"/>
    <w:rsid w:val="00176301"/>
    <w:rsid w:val="00180254"/>
    <w:rsid w:val="00181327"/>
    <w:rsid w:val="00191E1F"/>
    <w:rsid w:val="00192943"/>
    <w:rsid w:val="001A7406"/>
    <w:rsid w:val="001B4FEE"/>
    <w:rsid w:val="001B51C5"/>
    <w:rsid w:val="001B6F3F"/>
    <w:rsid w:val="001C52B5"/>
    <w:rsid w:val="001D0D3E"/>
    <w:rsid w:val="001D25FC"/>
    <w:rsid w:val="001E76B3"/>
    <w:rsid w:val="001F2245"/>
    <w:rsid w:val="001F6DA1"/>
    <w:rsid w:val="002044E6"/>
    <w:rsid w:val="00205C82"/>
    <w:rsid w:val="00205DC2"/>
    <w:rsid w:val="002163B6"/>
    <w:rsid w:val="00220732"/>
    <w:rsid w:val="00221D32"/>
    <w:rsid w:val="00225C3F"/>
    <w:rsid w:val="002527AC"/>
    <w:rsid w:val="00263D44"/>
    <w:rsid w:val="00282EAF"/>
    <w:rsid w:val="00292D82"/>
    <w:rsid w:val="002963CB"/>
    <w:rsid w:val="002C77DB"/>
    <w:rsid w:val="002D226D"/>
    <w:rsid w:val="002F6030"/>
    <w:rsid w:val="003037E1"/>
    <w:rsid w:val="00307E51"/>
    <w:rsid w:val="003103EC"/>
    <w:rsid w:val="00310DA6"/>
    <w:rsid w:val="003144EF"/>
    <w:rsid w:val="00315417"/>
    <w:rsid w:val="00322F74"/>
    <w:rsid w:val="00335015"/>
    <w:rsid w:val="00340073"/>
    <w:rsid w:val="00342667"/>
    <w:rsid w:val="00367E78"/>
    <w:rsid w:val="00372805"/>
    <w:rsid w:val="00373180"/>
    <w:rsid w:val="00375AB9"/>
    <w:rsid w:val="003821A0"/>
    <w:rsid w:val="00385B04"/>
    <w:rsid w:val="003A22A6"/>
    <w:rsid w:val="003A5494"/>
    <w:rsid w:val="003A7048"/>
    <w:rsid w:val="003B2510"/>
    <w:rsid w:val="003C2CC4"/>
    <w:rsid w:val="003E0EFC"/>
    <w:rsid w:val="003E4A2B"/>
    <w:rsid w:val="003E76C2"/>
    <w:rsid w:val="003E7F93"/>
    <w:rsid w:val="003F1679"/>
    <w:rsid w:val="003F4A35"/>
    <w:rsid w:val="003F7FDD"/>
    <w:rsid w:val="00402481"/>
    <w:rsid w:val="004042B4"/>
    <w:rsid w:val="00412DAE"/>
    <w:rsid w:val="00431598"/>
    <w:rsid w:val="004426B8"/>
    <w:rsid w:val="004443F8"/>
    <w:rsid w:val="00444432"/>
    <w:rsid w:val="00471860"/>
    <w:rsid w:val="004C3150"/>
    <w:rsid w:val="004C3641"/>
    <w:rsid w:val="004C4390"/>
    <w:rsid w:val="004C4AF7"/>
    <w:rsid w:val="004D2881"/>
    <w:rsid w:val="004D385F"/>
    <w:rsid w:val="004D5B39"/>
    <w:rsid w:val="004E5147"/>
    <w:rsid w:val="004F19CC"/>
    <w:rsid w:val="00506C03"/>
    <w:rsid w:val="0052572A"/>
    <w:rsid w:val="00534AE5"/>
    <w:rsid w:val="00540497"/>
    <w:rsid w:val="00542CFC"/>
    <w:rsid w:val="00543CB3"/>
    <w:rsid w:val="00554A2E"/>
    <w:rsid w:val="005614BD"/>
    <w:rsid w:val="005657E7"/>
    <w:rsid w:val="0057154F"/>
    <w:rsid w:val="0057423E"/>
    <w:rsid w:val="00581CA3"/>
    <w:rsid w:val="00587A44"/>
    <w:rsid w:val="00597730"/>
    <w:rsid w:val="005977EC"/>
    <w:rsid w:val="00597DE7"/>
    <w:rsid w:val="005A4AA2"/>
    <w:rsid w:val="005A61A4"/>
    <w:rsid w:val="005B34B6"/>
    <w:rsid w:val="005B6C8F"/>
    <w:rsid w:val="005D0F74"/>
    <w:rsid w:val="005D2E7D"/>
    <w:rsid w:val="005D4A8F"/>
    <w:rsid w:val="005D561B"/>
    <w:rsid w:val="005F468D"/>
    <w:rsid w:val="005F69A3"/>
    <w:rsid w:val="00615423"/>
    <w:rsid w:val="006165B2"/>
    <w:rsid w:val="00617271"/>
    <w:rsid w:val="00617276"/>
    <w:rsid w:val="00625D97"/>
    <w:rsid w:val="00625F1C"/>
    <w:rsid w:val="00627DCB"/>
    <w:rsid w:val="00630CEB"/>
    <w:rsid w:val="00632264"/>
    <w:rsid w:val="00636D40"/>
    <w:rsid w:val="006470BC"/>
    <w:rsid w:val="00667036"/>
    <w:rsid w:val="00671B45"/>
    <w:rsid w:val="00673BDB"/>
    <w:rsid w:val="006771B8"/>
    <w:rsid w:val="0068481F"/>
    <w:rsid w:val="0069305A"/>
    <w:rsid w:val="00696F5D"/>
    <w:rsid w:val="00697249"/>
    <w:rsid w:val="006A3FB1"/>
    <w:rsid w:val="006B3947"/>
    <w:rsid w:val="006B4293"/>
    <w:rsid w:val="006C31E3"/>
    <w:rsid w:val="006D06E4"/>
    <w:rsid w:val="006E598D"/>
    <w:rsid w:val="006F416A"/>
    <w:rsid w:val="0070437D"/>
    <w:rsid w:val="00705B04"/>
    <w:rsid w:val="0071127C"/>
    <w:rsid w:val="00734820"/>
    <w:rsid w:val="007349DC"/>
    <w:rsid w:val="0074365E"/>
    <w:rsid w:val="007515FD"/>
    <w:rsid w:val="00760D80"/>
    <w:rsid w:val="00775FAD"/>
    <w:rsid w:val="00780C09"/>
    <w:rsid w:val="00780DDF"/>
    <w:rsid w:val="007834E9"/>
    <w:rsid w:val="00787DBC"/>
    <w:rsid w:val="007A04A1"/>
    <w:rsid w:val="007A1840"/>
    <w:rsid w:val="007C0528"/>
    <w:rsid w:val="007C3D38"/>
    <w:rsid w:val="007D0F35"/>
    <w:rsid w:val="007D4FEB"/>
    <w:rsid w:val="007D6146"/>
    <w:rsid w:val="007D6814"/>
    <w:rsid w:val="007E0CE7"/>
    <w:rsid w:val="007F417F"/>
    <w:rsid w:val="00816624"/>
    <w:rsid w:val="00822427"/>
    <w:rsid w:val="00822562"/>
    <w:rsid w:val="00823663"/>
    <w:rsid w:val="00832DDC"/>
    <w:rsid w:val="00844808"/>
    <w:rsid w:val="00850BAC"/>
    <w:rsid w:val="00854A3E"/>
    <w:rsid w:val="00855D08"/>
    <w:rsid w:val="00856B95"/>
    <w:rsid w:val="00874344"/>
    <w:rsid w:val="00882155"/>
    <w:rsid w:val="0088233B"/>
    <w:rsid w:val="0088599E"/>
    <w:rsid w:val="00886C37"/>
    <w:rsid w:val="0089161A"/>
    <w:rsid w:val="008A3B9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15214"/>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B79DC"/>
    <w:rsid w:val="009C3DB9"/>
    <w:rsid w:val="009D46E5"/>
    <w:rsid w:val="009D568A"/>
    <w:rsid w:val="009E20C9"/>
    <w:rsid w:val="009F04EC"/>
    <w:rsid w:val="009F3B36"/>
    <w:rsid w:val="009F5496"/>
    <w:rsid w:val="009F7CA8"/>
    <w:rsid w:val="00A019B9"/>
    <w:rsid w:val="00A12508"/>
    <w:rsid w:val="00A1282B"/>
    <w:rsid w:val="00A13A27"/>
    <w:rsid w:val="00A175B6"/>
    <w:rsid w:val="00A21835"/>
    <w:rsid w:val="00A22A10"/>
    <w:rsid w:val="00A328EC"/>
    <w:rsid w:val="00A33A51"/>
    <w:rsid w:val="00A41CA6"/>
    <w:rsid w:val="00A47927"/>
    <w:rsid w:val="00A47FFC"/>
    <w:rsid w:val="00A5442F"/>
    <w:rsid w:val="00A54FF9"/>
    <w:rsid w:val="00A56765"/>
    <w:rsid w:val="00A675AC"/>
    <w:rsid w:val="00A73034"/>
    <w:rsid w:val="00A7581F"/>
    <w:rsid w:val="00A87A5F"/>
    <w:rsid w:val="00A92FB1"/>
    <w:rsid w:val="00A95A0C"/>
    <w:rsid w:val="00AA2765"/>
    <w:rsid w:val="00AA4B2E"/>
    <w:rsid w:val="00AA77B5"/>
    <w:rsid w:val="00AB6C5D"/>
    <w:rsid w:val="00AC51A7"/>
    <w:rsid w:val="00AE15C8"/>
    <w:rsid w:val="00AF5F89"/>
    <w:rsid w:val="00AF73CB"/>
    <w:rsid w:val="00B002D6"/>
    <w:rsid w:val="00B05B51"/>
    <w:rsid w:val="00B15370"/>
    <w:rsid w:val="00B17BEB"/>
    <w:rsid w:val="00B21A3C"/>
    <w:rsid w:val="00B223C0"/>
    <w:rsid w:val="00B234ED"/>
    <w:rsid w:val="00B25CA3"/>
    <w:rsid w:val="00B57A6A"/>
    <w:rsid w:val="00B760F1"/>
    <w:rsid w:val="00B7669E"/>
    <w:rsid w:val="00B77DA1"/>
    <w:rsid w:val="00B93A23"/>
    <w:rsid w:val="00B97558"/>
    <w:rsid w:val="00BA0D55"/>
    <w:rsid w:val="00BA37B3"/>
    <w:rsid w:val="00BA4CC6"/>
    <w:rsid w:val="00BB3493"/>
    <w:rsid w:val="00BB7468"/>
    <w:rsid w:val="00BC188A"/>
    <w:rsid w:val="00BC57BA"/>
    <w:rsid w:val="00BD3B4F"/>
    <w:rsid w:val="00BF5010"/>
    <w:rsid w:val="00C02C2D"/>
    <w:rsid w:val="00C13791"/>
    <w:rsid w:val="00C20791"/>
    <w:rsid w:val="00C31BB3"/>
    <w:rsid w:val="00C36977"/>
    <w:rsid w:val="00C477D9"/>
    <w:rsid w:val="00C60BA3"/>
    <w:rsid w:val="00C623F7"/>
    <w:rsid w:val="00C81773"/>
    <w:rsid w:val="00C86896"/>
    <w:rsid w:val="00C907A8"/>
    <w:rsid w:val="00C93211"/>
    <w:rsid w:val="00C942EC"/>
    <w:rsid w:val="00C96047"/>
    <w:rsid w:val="00C979D0"/>
    <w:rsid w:val="00CA0818"/>
    <w:rsid w:val="00CA2C8F"/>
    <w:rsid w:val="00CA30DA"/>
    <w:rsid w:val="00CA3A24"/>
    <w:rsid w:val="00CA530B"/>
    <w:rsid w:val="00CB1777"/>
    <w:rsid w:val="00CB33E9"/>
    <w:rsid w:val="00CC10A9"/>
    <w:rsid w:val="00CC1DAF"/>
    <w:rsid w:val="00CE12E1"/>
    <w:rsid w:val="00CE2BF8"/>
    <w:rsid w:val="00CE484E"/>
    <w:rsid w:val="00CF0DA8"/>
    <w:rsid w:val="00CF2E25"/>
    <w:rsid w:val="00CF4453"/>
    <w:rsid w:val="00D034D7"/>
    <w:rsid w:val="00D04BE4"/>
    <w:rsid w:val="00D14127"/>
    <w:rsid w:val="00D539E9"/>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D5025"/>
    <w:rsid w:val="00DD558A"/>
    <w:rsid w:val="00E06484"/>
    <w:rsid w:val="00E20A7D"/>
    <w:rsid w:val="00E275D8"/>
    <w:rsid w:val="00E345D8"/>
    <w:rsid w:val="00E35B2F"/>
    <w:rsid w:val="00E35D1A"/>
    <w:rsid w:val="00E375CA"/>
    <w:rsid w:val="00E567E8"/>
    <w:rsid w:val="00E64679"/>
    <w:rsid w:val="00E64953"/>
    <w:rsid w:val="00E65EBC"/>
    <w:rsid w:val="00E73432"/>
    <w:rsid w:val="00E77B0C"/>
    <w:rsid w:val="00E77FB8"/>
    <w:rsid w:val="00E838B0"/>
    <w:rsid w:val="00E859E6"/>
    <w:rsid w:val="00E86A7C"/>
    <w:rsid w:val="00E878E1"/>
    <w:rsid w:val="00E87F2C"/>
    <w:rsid w:val="00E95278"/>
    <w:rsid w:val="00EA15ED"/>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36088"/>
    <w:rsid w:val="00F45CB2"/>
    <w:rsid w:val="00F544C0"/>
    <w:rsid w:val="00F55332"/>
    <w:rsid w:val="00F65519"/>
    <w:rsid w:val="00F70891"/>
    <w:rsid w:val="00F713C0"/>
    <w:rsid w:val="00F75DDC"/>
    <w:rsid w:val="00F853E1"/>
    <w:rsid w:val="00F914C2"/>
    <w:rsid w:val="00FA17AC"/>
    <w:rsid w:val="00FA32DE"/>
    <w:rsid w:val="00FA3382"/>
    <w:rsid w:val="00FA59CD"/>
    <w:rsid w:val="00FB0EF1"/>
    <w:rsid w:val="00FB1740"/>
    <w:rsid w:val="00FC6D7D"/>
    <w:rsid w:val="00FD16B0"/>
    <w:rsid w:val="00FD4FED"/>
    <w:rsid w:val="00FE59EC"/>
    <w:rsid w:val="00FE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5404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5404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AE5A2-08FC-4C9C-A9C4-770FC15F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278</TotalTime>
  <Pages>8</Pages>
  <Words>1014</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Sevini Guffey</cp:lastModifiedBy>
  <cp:revision>18</cp:revision>
  <cp:lastPrinted>2016-03-21T15:04:00Z</cp:lastPrinted>
  <dcterms:created xsi:type="dcterms:W3CDTF">2016-03-17T12:22:00Z</dcterms:created>
  <dcterms:modified xsi:type="dcterms:W3CDTF">2016-03-21T15:16:00Z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160029-GU</vt:lpwstr>
  </property>
  <property fmtid="{D5CDD505-2E9C-101B-9397-08002B2CF9AE}" pid="3" name="MasterDocument">
    <vt:bool>false</vt:bool>
  </property>
</Properties>
</file>