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C37DA7">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E63AB">
            <w:pPr>
              <w:pStyle w:val="MemoHeading"/>
            </w:pPr>
            <w:bookmarkStart w:id="1" w:name="FilingDate"/>
            <w:r>
              <w:t>May 26,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E63AB" w:rsidRDefault="00DE63AB">
            <w:pPr>
              <w:pStyle w:val="MemoHeading"/>
            </w:pPr>
            <w:bookmarkStart w:id="2" w:name="From"/>
            <w:r>
              <w:t>Division of Economics (Guffey)</w:t>
            </w:r>
          </w:p>
          <w:p w:rsidR="007C0528" w:rsidRDefault="00DE63AB">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E63AB">
            <w:pPr>
              <w:pStyle w:val="MemoHeadingRe"/>
            </w:pPr>
            <w:bookmarkStart w:id="3" w:name="Re"/>
            <w:r>
              <w:t>Docket No. 160090-EI – Petition for limited extension of experimental large business incentive rate rider, medium business incentive rate rider, and small business incentive rate rider, by Gulf Power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E63AB">
            <w:pPr>
              <w:pStyle w:val="MemoHeading"/>
            </w:pPr>
            <w:bookmarkStart w:id="4" w:name="AgendaDate"/>
            <w:r>
              <w:t>06/09/16</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E63A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E63AB">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C4A8A" w:rsidP="007752A8">
            <w:pPr>
              <w:pStyle w:val="MemoHeading"/>
            </w:pPr>
            <w:r>
              <w:t>60 Day Suspension Date</w:t>
            </w:r>
            <w:r w:rsidR="007752A8">
              <w:t xml:space="preserve">: </w:t>
            </w:r>
            <w:r>
              <w:t>June 18, 2016</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E63AB">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B907A5" w:rsidRDefault="00A00C5A">
      <w:pPr>
        <w:pStyle w:val="BodyText"/>
      </w:pPr>
      <w:r>
        <w:t xml:space="preserve">On April 18, 2016, Gulf Power Company (Gulf or </w:t>
      </w:r>
      <w:r w:rsidR="000813AC">
        <w:t>c</w:t>
      </w:r>
      <w:r>
        <w:t xml:space="preserve">ompany) filed a petition requesting a </w:t>
      </w:r>
      <w:r w:rsidRPr="00FF7820">
        <w:t>limited</w:t>
      </w:r>
      <w:r>
        <w:t xml:space="preserve"> extension of the </w:t>
      </w:r>
      <w:r w:rsidR="00321005">
        <w:t>c</w:t>
      </w:r>
      <w:r w:rsidR="00382B84">
        <w:t>ompany’s</w:t>
      </w:r>
      <w:r>
        <w:t xml:space="preserve"> experimental Large Business Incentive Rate Rider (LBIR), Medium Business Incentive Rate Rider</w:t>
      </w:r>
      <w:r w:rsidR="009B49F8">
        <w:t xml:space="preserve"> </w:t>
      </w:r>
      <w:r>
        <w:t xml:space="preserve">(MBIR), and Small Business Incentive Rate Rider (SBIR), collectively </w:t>
      </w:r>
      <w:r w:rsidR="00382B84">
        <w:t>referred to</w:t>
      </w:r>
      <w:r>
        <w:t xml:space="preserve"> as the </w:t>
      </w:r>
      <w:r w:rsidR="000813AC">
        <w:t>r</w:t>
      </w:r>
      <w:r>
        <w:t xml:space="preserve">iders. The </w:t>
      </w:r>
      <w:r w:rsidR="000813AC">
        <w:t>r</w:t>
      </w:r>
      <w:r>
        <w:t>iders</w:t>
      </w:r>
      <w:r w:rsidR="0085530B">
        <w:t xml:space="preserve"> were introduced </w:t>
      </w:r>
      <w:r w:rsidR="000813AC">
        <w:t xml:space="preserve">in the </w:t>
      </w:r>
      <w:r w:rsidR="0085530B">
        <w:t xml:space="preserve">Stipulation and </w:t>
      </w:r>
      <w:r w:rsidR="00382B84">
        <w:t>Settlement</w:t>
      </w:r>
      <w:r w:rsidR="0085530B">
        <w:t xml:space="preserve"> Agreement</w:t>
      </w:r>
      <w:r w:rsidR="000813AC">
        <w:t xml:space="preserve"> </w:t>
      </w:r>
      <w:r w:rsidR="00FC4A8A">
        <w:t xml:space="preserve">that </w:t>
      </w:r>
      <w:r w:rsidR="000813AC">
        <w:t>the Commission approved</w:t>
      </w:r>
      <w:r w:rsidR="0085530B">
        <w:t xml:space="preserve"> during Gulf’s 2013 base rate proceeding</w:t>
      </w:r>
      <w:r w:rsidR="00777910">
        <w:t xml:space="preserve"> as a three-year pilot program (January 1, 2014 through December 31, 2016)</w:t>
      </w:r>
      <w:r w:rsidR="0085530B">
        <w:t>.</w:t>
      </w:r>
      <w:r w:rsidR="00827CE2">
        <w:rPr>
          <w:rStyle w:val="FootnoteReference"/>
        </w:rPr>
        <w:footnoteReference w:id="1"/>
      </w:r>
      <w:r w:rsidR="0085530B">
        <w:t xml:space="preserve"> The </w:t>
      </w:r>
      <w:r w:rsidR="000813AC">
        <w:t>r</w:t>
      </w:r>
      <w:r w:rsidR="0085530B">
        <w:t>iders, which require a five-year ele</w:t>
      </w:r>
      <w:r w:rsidR="003D244E">
        <w:t>ctric service contract, provide</w:t>
      </w:r>
      <w:r w:rsidR="0085530B">
        <w:t xml:space="preserve"> </w:t>
      </w:r>
      <w:r w:rsidR="000813AC">
        <w:t xml:space="preserve">base rate </w:t>
      </w:r>
      <w:r w:rsidR="0085530B">
        <w:t xml:space="preserve">credits </w:t>
      </w:r>
      <w:r w:rsidR="00901386">
        <w:t xml:space="preserve">for new businesses that meet certain </w:t>
      </w:r>
      <w:r w:rsidR="000813AC">
        <w:t xml:space="preserve">requirements such </w:t>
      </w:r>
      <w:r w:rsidR="00901386">
        <w:t xml:space="preserve">as </w:t>
      </w:r>
      <w:r w:rsidR="00321005">
        <w:t>minimum size</w:t>
      </w:r>
      <w:r w:rsidR="000813AC">
        <w:t xml:space="preserve">, </w:t>
      </w:r>
      <w:r w:rsidR="00901386">
        <w:t>job creation</w:t>
      </w:r>
      <w:r w:rsidR="003D244E">
        <w:t>,</w:t>
      </w:r>
      <w:r w:rsidR="000813AC">
        <w:t xml:space="preserve"> and verification that the availability of the riders are a significant factor in the customer’s location or expansion decision. </w:t>
      </w:r>
    </w:p>
    <w:p w:rsidR="00382B84" w:rsidRDefault="00382B84">
      <w:pPr>
        <w:pStyle w:val="BodyText"/>
      </w:pPr>
      <w:r>
        <w:lastRenderedPageBreak/>
        <w:t xml:space="preserve">Staff issued one data request to Gulf on April 26, 2016, for which responses were received on </w:t>
      </w:r>
      <w:r w:rsidRPr="00C741E3">
        <w:t>May 10, 2016</w:t>
      </w:r>
      <w:r>
        <w:t xml:space="preserve">. </w:t>
      </w:r>
      <w:r w:rsidR="008451FF">
        <w:t xml:space="preserve">After reviewing the responses, staff requested the </w:t>
      </w:r>
      <w:r w:rsidR="00321005">
        <w:t>c</w:t>
      </w:r>
      <w:r w:rsidR="008451FF">
        <w:t xml:space="preserve">ompany’s employment verification form referenced in a response which was </w:t>
      </w:r>
      <w:r w:rsidR="000813AC">
        <w:t>filed in the docket</w:t>
      </w:r>
      <w:r w:rsidR="008451FF">
        <w:t xml:space="preserve"> on May 16, 2016. </w:t>
      </w:r>
      <w:r>
        <w:t xml:space="preserve">The tariff pages with proposed changes are contained in Attachment A of this recommendation. The Commission has jurisdiction over this matter pursuant to Sections 288.035 and 366.06, Florida Statutes.  </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9525DD" w:rsidRDefault="009525DD">
      <w:pPr>
        <w:pStyle w:val="IssueHeading"/>
        <w:rPr>
          <w:vanish/>
          <w:specVanish/>
        </w:rPr>
      </w:pPr>
      <w:r w:rsidRPr="004C3641">
        <w:t xml:space="preserve">Issue </w:t>
      </w:r>
      <w:r w:rsidR="007E7ED7">
        <w:fldChar w:fldCharType="begin"/>
      </w:r>
      <w:r w:rsidR="007E7ED7">
        <w:instrText xml:space="preserve"> SEQ Issue \* MERGEFORMAT </w:instrText>
      </w:r>
      <w:r w:rsidR="007E7ED7">
        <w:fldChar w:fldCharType="separate"/>
      </w:r>
      <w:r w:rsidR="00AB0339">
        <w:rPr>
          <w:noProof/>
        </w:rPr>
        <w:t>1</w:t>
      </w:r>
      <w:r w:rsidR="007E7ED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B0339">
        <w:rPr>
          <w:noProof/>
        </w:rPr>
        <w:instrText>1</w:instrText>
      </w:r>
      <w:r>
        <w:fldChar w:fldCharType="end"/>
      </w:r>
      <w:r>
        <w:tab/>
        <w:instrText xml:space="preserve">" \l 1 </w:instrText>
      </w:r>
      <w:r>
        <w:fldChar w:fldCharType="end"/>
      </w:r>
      <w:r>
        <w:t> </w:t>
      </w:r>
    </w:p>
    <w:p w:rsidR="009525DD" w:rsidRDefault="009525DD">
      <w:pPr>
        <w:pStyle w:val="BodyText"/>
      </w:pPr>
      <w:r>
        <w:t> Should the Commission approve Gulf's petition for a</w:t>
      </w:r>
      <w:r w:rsidR="006B63BE">
        <w:t xml:space="preserve">n </w:t>
      </w:r>
      <w:r w:rsidR="00B907A5">
        <w:t>extension</w:t>
      </w:r>
      <w:r>
        <w:t xml:space="preserve"> of its </w:t>
      </w:r>
      <w:r w:rsidR="00FF7820">
        <w:t>b</w:t>
      </w:r>
      <w:r>
        <w:t xml:space="preserve">usiness </w:t>
      </w:r>
      <w:r w:rsidR="00FF7820">
        <w:t>i</w:t>
      </w:r>
      <w:r>
        <w:t xml:space="preserve">ncentive </w:t>
      </w:r>
      <w:r w:rsidR="00FF7820">
        <w:t>r</w:t>
      </w:r>
      <w:r>
        <w:t xml:space="preserve">ate </w:t>
      </w:r>
      <w:r w:rsidR="00FF7820">
        <w:t>r</w:t>
      </w:r>
      <w:r>
        <w:t>iders until December 31, 2017?</w:t>
      </w:r>
    </w:p>
    <w:p w:rsidR="009525DD" w:rsidRPr="004C3641" w:rsidRDefault="009525DD">
      <w:pPr>
        <w:pStyle w:val="IssueSubsectionHeading"/>
        <w:rPr>
          <w:vanish/>
          <w:specVanish/>
        </w:rPr>
      </w:pPr>
      <w:r w:rsidRPr="004C3641">
        <w:t>Recommendation: </w:t>
      </w:r>
    </w:p>
    <w:p w:rsidR="009525DD" w:rsidRDefault="009525DD">
      <w:pPr>
        <w:pStyle w:val="BodyText"/>
      </w:pPr>
      <w:r>
        <w:t> </w:t>
      </w:r>
      <w:r w:rsidR="00B907A5">
        <w:t>Yes, the Commission should approve Gulf's petition for a</w:t>
      </w:r>
      <w:r w:rsidR="00321005">
        <w:t xml:space="preserve">n </w:t>
      </w:r>
      <w:r w:rsidR="00B907A5">
        <w:t xml:space="preserve">extension of its </w:t>
      </w:r>
      <w:r w:rsidR="00FF7820">
        <w:t>business incentive rate riders</w:t>
      </w:r>
      <w:r w:rsidR="00B907A5">
        <w:t xml:space="preserve"> until December 31, 2017</w:t>
      </w:r>
      <w:r w:rsidR="00D52A1D">
        <w:t xml:space="preserve">. </w:t>
      </w:r>
      <w:r>
        <w:t>(Guffey)</w:t>
      </w:r>
    </w:p>
    <w:p w:rsidR="009525DD" w:rsidRPr="004C3641" w:rsidRDefault="009525DD">
      <w:pPr>
        <w:pStyle w:val="IssueSubsectionHeading"/>
        <w:rPr>
          <w:vanish/>
          <w:specVanish/>
        </w:rPr>
      </w:pPr>
      <w:r w:rsidRPr="004C3641">
        <w:t>Staff Analysis: </w:t>
      </w:r>
    </w:p>
    <w:p w:rsidR="00087123" w:rsidRDefault="009525DD" w:rsidP="00D52A1D">
      <w:pPr>
        <w:pStyle w:val="BodyText"/>
      </w:pPr>
      <w:r>
        <w:t> </w:t>
      </w:r>
      <w:r w:rsidR="0093772F">
        <w:t xml:space="preserve">The business incentive rate riders are designed to attract new </w:t>
      </w:r>
      <w:r w:rsidR="00C741E3">
        <w:t>commercial and industrial customers</w:t>
      </w:r>
      <w:r w:rsidR="0093772F">
        <w:t xml:space="preserve"> to </w:t>
      </w:r>
      <w:r w:rsidR="00641202">
        <w:t>Gulf’s service territory</w:t>
      </w:r>
      <w:r w:rsidR="003D244E">
        <w:t xml:space="preserve">, </w:t>
      </w:r>
      <w:r w:rsidR="0093772F">
        <w:t xml:space="preserve">and foster economic growth. </w:t>
      </w:r>
      <w:r w:rsidR="00087123">
        <w:t xml:space="preserve">The </w:t>
      </w:r>
      <w:r w:rsidR="00641202">
        <w:t>r</w:t>
      </w:r>
      <w:r w:rsidR="00087123">
        <w:t xml:space="preserve">iders offer base rate electric price incentives over a four-year period for new or expanding businesses that meet certain electric load, </w:t>
      </w:r>
      <w:r w:rsidR="00641202">
        <w:t xml:space="preserve">and </w:t>
      </w:r>
      <w:r w:rsidR="00087123">
        <w:t>job creation</w:t>
      </w:r>
      <w:r w:rsidR="00FF7820">
        <w:t xml:space="preserve"> requirements</w:t>
      </w:r>
      <w:r w:rsidR="00641202">
        <w:t>. The LBIR also requires new</w:t>
      </w:r>
      <w:r w:rsidR="00087123">
        <w:t xml:space="preserve"> capital investment </w:t>
      </w:r>
      <w:r w:rsidR="00641202">
        <w:t>of at least $1 million</w:t>
      </w:r>
      <w:r w:rsidR="00087123">
        <w:t>.</w:t>
      </w:r>
      <w:r w:rsidR="00087123" w:rsidRPr="00087123">
        <w:t xml:space="preserve"> </w:t>
      </w:r>
      <w:r w:rsidR="00FF7820">
        <w:t>As shown in Table 1-1, t</w:t>
      </w:r>
      <w:r w:rsidR="00D52A1D">
        <w:t xml:space="preserve">he </w:t>
      </w:r>
      <w:r w:rsidR="00777910">
        <w:t xml:space="preserve">three </w:t>
      </w:r>
      <w:r w:rsidR="00641202">
        <w:t>r</w:t>
      </w:r>
      <w:r w:rsidR="00D52A1D">
        <w:t xml:space="preserve">iders </w:t>
      </w:r>
      <w:r w:rsidR="00D25C1D">
        <w:t>require</w:t>
      </w:r>
      <w:r w:rsidR="00D52A1D">
        <w:t xml:space="preserve"> that the customers h</w:t>
      </w:r>
      <w:r w:rsidR="00087123" w:rsidRPr="00EC7A38">
        <w:t>ire and maintain the following number of full-time employees within one year of receiving power service at the qualified delivery point</w:t>
      </w:r>
      <w:r w:rsidR="00D52A1D">
        <w:t xml:space="preserve">. </w:t>
      </w:r>
    </w:p>
    <w:p w:rsidR="00D52A1D" w:rsidRDefault="00D52A1D" w:rsidP="00D52A1D">
      <w:pPr>
        <w:pStyle w:val="TableNumber"/>
        <w:keepNext/>
      </w:pPr>
      <w:r>
        <w:t xml:space="preserve">Table </w:t>
      </w:r>
      <w:r w:rsidR="007E7ED7">
        <w:fldChar w:fldCharType="begin"/>
      </w:r>
      <w:r w:rsidR="007E7ED7">
        <w:instrText xml:space="preserve"> </w:instrText>
      </w:r>
      <w:r w:rsidR="007E7ED7">
        <w:instrText xml:space="preserve">SEQ Issue \c </w:instrText>
      </w:r>
      <w:r w:rsidR="007E7ED7">
        <w:fldChar w:fldCharType="separate"/>
      </w:r>
      <w:r w:rsidR="00AB0339">
        <w:rPr>
          <w:noProof/>
        </w:rPr>
        <w:t>1</w:t>
      </w:r>
      <w:r w:rsidR="007E7ED7">
        <w:rPr>
          <w:noProof/>
        </w:rPr>
        <w:fldChar w:fldCharType="end"/>
      </w:r>
      <w:r>
        <w:t>-</w:t>
      </w:r>
      <w:r w:rsidR="00FE0CE0">
        <w:t>1</w:t>
      </w:r>
    </w:p>
    <w:p w:rsidR="00D52A1D" w:rsidRDefault="00D52A1D" w:rsidP="00D52A1D">
      <w:pPr>
        <w:pStyle w:val="TableTitle"/>
        <w:keepNext/>
      </w:pPr>
      <w:r>
        <w:t>Required Full Time Employees</w:t>
      </w:r>
    </w:p>
    <w:tbl>
      <w:tblPr>
        <w:tblStyle w:val="TableGrid"/>
        <w:tblW w:w="0" w:type="auto"/>
        <w:tblInd w:w="648" w:type="dxa"/>
        <w:tblLook w:val="04A0" w:firstRow="1" w:lastRow="0" w:firstColumn="1" w:lastColumn="0" w:noHBand="0" w:noVBand="1"/>
      </w:tblPr>
      <w:tblGrid>
        <w:gridCol w:w="1890"/>
        <w:gridCol w:w="2790"/>
        <w:gridCol w:w="4248"/>
      </w:tblGrid>
      <w:tr w:rsidR="00641202" w:rsidTr="00FF7820">
        <w:tc>
          <w:tcPr>
            <w:tcW w:w="1890" w:type="dxa"/>
          </w:tcPr>
          <w:p w:rsidR="00641202" w:rsidRPr="00AD4FD5" w:rsidRDefault="00641202" w:rsidP="00856BF8">
            <w:pPr>
              <w:jc w:val="center"/>
              <w:rPr>
                <w:b/>
              </w:rPr>
            </w:pPr>
            <w:r>
              <w:rPr>
                <w:b/>
              </w:rPr>
              <w:t>Riders</w:t>
            </w:r>
          </w:p>
        </w:tc>
        <w:tc>
          <w:tcPr>
            <w:tcW w:w="2790" w:type="dxa"/>
          </w:tcPr>
          <w:p w:rsidR="00641202" w:rsidRPr="00AD4FD5" w:rsidRDefault="00641202" w:rsidP="00856BF8">
            <w:pPr>
              <w:jc w:val="center"/>
              <w:rPr>
                <w:b/>
              </w:rPr>
            </w:pPr>
            <w:r w:rsidRPr="00AD4FD5">
              <w:rPr>
                <w:b/>
              </w:rPr>
              <w:t>kW Load</w:t>
            </w:r>
          </w:p>
        </w:tc>
        <w:tc>
          <w:tcPr>
            <w:tcW w:w="4248" w:type="dxa"/>
          </w:tcPr>
          <w:p w:rsidR="00641202" w:rsidRPr="00AD4FD5" w:rsidRDefault="00641202" w:rsidP="00856BF8">
            <w:pPr>
              <w:jc w:val="center"/>
              <w:rPr>
                <w:b/>
              </w:rPr>
            </w:pPr>
            <w:r w:rsidRPr="00AD4FD5">
              <w:rPr>
                <w:b/>
              </w:rPr>
              <w:t>Number of Full Time Employees</w:t>
            </w:r>
          </w:p>
        </w:tc>
      </w:tr>
      <w:tr w:rsidR="00641202" w:rsidTr="00FF7820">
        <w:tc>
          <w:tcPr>
            <w:tcW w:w="1890" w:type="dxa"/>
          </w:tcPr>
          <w:p w:rsidR="00641202" w:rsidRPr="00EC7A38" w:rsidRDefault="00641202" w:rsidP="00641202">
            <w:r>
              <w:t>SBIR</w:t>
            </w:r>
          </w:p>
        </w:tc>
        <w:tc>
          <w:tcPr>
            <w:tcW w:w="2790" w:type="dxa"/>
          </w:tcPr>
          <w:p w:rsidR="00641202" w:rsidRDefault="00641202" w:rsidP="00856BF8">
            <w:r w:rsidRPr="00EC7A38">
              <w:t>200 to 349</w:t>
            </w:r>
          </w:p>
        </w:tc>
        <w:tc>
          <w:tcPr>
            <w:tcW w:w="4248" w:type="dxa"/>
          </w:tcPr>
          <w:p w:rsidR="00641202" w:rsidRDefault="00641202" w:rsidP="00856BF8">
            <w:r>
              <w:t>10</w:t>
            </w:r>
          </w:p>
        </w:tc>
      </w:tr>
      <w:tr w:rsidR="00641202" w:rsidTr="00FF7820">
        <w:tc>
          <w:tcPr>
            <w:tcW w:w="1890" w:type="dxa"/>
          </w:tcPr>
          <w:p w:rsidR="00641202" w:rsidRPr="00EC7A38" w:rsidRDefault="00641202" w:rsidP="00856BF8">
            <w:r>
              <w:t>MBIR</w:t>
            </w:r>
          </w:p>
        </w:tc>
        <w:tc>
          <w:tcPr>
            <w:tcW w:w="2790" w:type="dxa"/>
          </w:tcPr>
          <w:p w:rsidR="00641202" w:rsidRDefault="00641202" w:rsidP="00856BF8">
            <w:r w:rsidRPr="00EC7A38">
              <w:t>350 to 999</w:t>
            </w:r>
          </w:p>
        </w:tc>
        <w:tc>
          <w:tcPr>
            <w:tcW w:w="4248" w:type="dxa"/>
          </w:tcPr>
          <w:p w:rsidR="00641202" w:rsidRDefault="00641202" w:rsidP="00856BF8">
            <w:r>
              <w:t>25</w:t>
            </w:r>
          </w:p>
        </w:tc>
      </w:tr>
      <w:tr w:rsidR="00641202" w:rsidTr="00FF7820">
        <w:tc>
          <w:tcPr>
            <w:tcW w:w="1890" w:type="dxa"/>
          </w:tcPr>
          <w:p w:rsidR="00641202" w:rsidRPr="00EC7A38" w:rsidRDefault="00641202" w:rsidP="00856BF8">
            <w:r>
              <w:t>LBIR</w:t>
            </w:r>
          </w:p>
        </w:tc>
        <w:tc>
          <w:tcPr>
            <w:tcW w:w="2790" w:type="dxa"/>
          </w:tcPr>
          <w:p w:rsidR="00641202" w:rsidRDefault="00641202" w:rsidP="00856BF8">
            <w:r w:rsidRPr="00EC7A38">
              <w:t>1,000 kW or greater</w:t>
            </w:r>
          </w:p>
        </w:tc>
        <w:tc>
          <w:tcPr>
            <w:tcW w:w="4248" w:type="dxa"/>
          </w:tcPr>
          <w:p w:rsidR="00641202" w:rsidRDefault="00641202" w:rsidP="00856BF8">
            <w:r w:rsidRPr="00AD4FD5">
              <w:t xml:space="preserve">25 </w:t>
            </w:r>
            <w:r>
              <w:t>FTEs</w:t>
            </w:r>
            <w:r w:rsidRPr="00AD4FD5">
              <w:t xml:space="preserve"> per 1,000 kW of qualifying load</w:t>
            </w:r>
          </w:p>
        </w:tc>
      </w:tr>
    </w:tbl>
    <w:p w:rsidR="00D52A1D" w:rsidRDefault="00D52A1D" w:rsidP="00D52A1D">
      <w:pPr>
        <w:pStyle w:val="TableSource"/>
        <w:ind w:firstLine="720"/>
      </w:pPr>
      <w:r>
        <w:t xml:space="preserve">Source: Tariff Sheet Nos. </w:t>
      </w:r>
      <w:r w:rsidR="00FE0CE0">
        <w:t>6.93, 6.95, 6.97.</w:t>
      </w:r>
    </w:p>
    <w:p w:rsidR="005F241C" w:rsidRDefault="00D52A1D" w:rsidP="005F241C">
      <w:pPr>
        <w:pStyle w:val="TableSource"/>
      </w:pPr>
      <w:r>
        <w:t xml:space="preserve">To take service under the </w:t>
      </w:r>
      <w:r w:rsidR="000E3B06">
        <w:t>r</w:t>
      </w:r>
      <w:r>
        <w:t>iders, the customer</w:t>
      </w:r>
      <w:r w:rsidR="000E3B06">
        <w:t>s</w:t>
      </w:r>
      <w:r w:rsidR="00087123" w:rsidRPr="00EC7A38">
        <w:t xml:space="preserve"> must agree to a m</w:t>
      </w:r>
      <w:r>
        <w:t xml:space="preserve">inimum </w:t>
      </w:r>
      <w:r w:rsidR="00F67558">
        <w:t>five</w:t>
      </w:r>
      <w:r>
        <w:t>-year service agreement and s</w:t>
      </w:r>
      <w:r w:rsidR="00087123" w:rsidRPr="00EC7A38">
        <w:t>ubmit documentation verifying the current number of full-time employees</w:t>
      </w:r>
      <w:r w:rsidR="00F67558">
        <w:t xml:space="preserve">. </w:t>
      </w:r>
      <w:r w:rsidR="000C5D48">
        <w:t xml:space="preserve">The </w:t>
      </w:r>
      <w:r w:rsidR="00A90B38">
        <w:t>r</w:t>
      </w:r>
      <w:r w:rsidR="000C5D48">
        <w:t xml:space="preserve">ider customers are required to annually complete an employment verification form before receiving additional year credits. </w:t>
      </w:r>
      <w:r w:rsidR="00F67558">
        <w:t>Table 1-2 illustrates the credits that will be applied to base demand and energy charges.</w:t>
      </w:r>
      <w:r w:rsidR="005F241C">
        <w:t xml:space="preserve"> </w:t>
      </w:r>
    </w:p>
    <w:p w:rsidR="00831E1E" w:rsidRDefault="00831E1E" w:rsidP="00831E1E">
      <w:pPr>
        <w:pStyle w:val="TableNumber"/>
        <w:keepNext/>
      </w:pPr>
      <w:r>
        <w:t xml:space="preserve">Table </w:t>
      </w:r>
      <w:r w:rsidR="007E7ED7">
        <w:fldChar w:fldCharType="begin"/>
      </w:r>
      <w:r w:rsidR="007E7ED7">
        <w:instrText xml:space="preserve"> SEQ Issue \c </w:instrText>
      </w:r>
      <w:r w:rsidR="007E7ED7">
        <w:fldChar w:fldCharType="separate"/>
      </w:r>
      <w:r w:rsidR="00AB0339">
        <w:rPr>
          <w:noProof/>
        </w:rPr>
        <w:t>1</w:t>
      </w:r>
      <w:r w:rsidR="007E7ED7">
        <w:rPr>
          <w:noProof/>
        </w:rPr>
        <w:fldChar w:fldCharType="end"/>
      </w:r>
      <w:r>
        <w:t>-</w:t>
      </w:r>
      <w:r w:rsidR="00FE0CE0">
        <w:t>2</w:t>
      </w:r>
    </w:p>
    <w:p w:rsidR="00831E1E" w:rsidRDefault="00831E1E" w:rsidP="00831E1E">
      <w:pPr>
        <w:pStyle w:val="TableTitle"/>
        <w:keepNext/>
      </w:pPr>
      <w:r>
        <w:t xml:space="preserve">Percentage Reduction in Base </w:t>
      </w:r>
      <w:r w:rsidR="003D244E">
        <w:t>Demand &amp; Energy</w:t>
      </w:r>
      <w:r>
        <w:t xml:space="preserve"> Charges </w:t>
      </w:r>
    </w:p>
    <w:tbl>
      <w:tblPr>
        <w:tblStyle w:val="TableGrid"/>
        <w:tblW w:w="0" w:type="auto"/>
        <w:tblLook w:val="04A0" w:firstRow="1" w:lastRow="0" w:firstColumn="1" w:lastColumn="0" w:noHBand="0" w:noVBand="1"/>
      </w:tblPr>
      <w:tblGrid>
        <w:gridCol w:w="2394"/>
        <w:gridCol w:w="2394"/>
        <w:gridCol w:w="2394"/>
        <w:gridCol w:w="2394"/>
      </w:tblGrid>
      <w:tr w:rsidR="00831E1E" w:rsidRPr="00831E1E" w:rsidTr="00831E1E">
        <w:tc>
          <w:tcPr>
            <w:tcW w:w="2394" w:type="dxa"/>
          </w:tcPr>
          <w:p w:rsidR="00831E1E" w:rsidRPr="00831E1E" w:rsidRDefault="00831E1E" w:rsidP="00831E1E">
            <w:pPr>
              <w:jc w:val="center"/>
              <w:rPr>
                <w:b/>
              </w:rPr>
            </w:pPr>
            <w:r w:rsidRPr="00831E1E">
              <w:rPr>
                <w:b/>
              </w:rPr>
              <w:t>Year</w:t>
            </w:r>
          </w:p>
        </w:tc>
        <w:tc>
          <w:tcPr>
            <w:tcW w:w="2394" w:type="dxa"/>
          </w:tcPr>
          <w:p w:rsidR="00831E1E" w:rsidRPr="00831E1E" w:rsidRDefault="00A90B38" w:rsidP="00831E1E">
            <w:pPr>
              <w:jc w:val="center"/>
              <w:rPr>
                <w:b/>
              </w:rPr>
            </w:pPr>
            <w:r>
              <w:rPr>
                <w:b/>
              </w:rPr>
              <w:t>SBIR</w:t>
            </w:r>
          </w:p>
        </w:tc>
        <w:tc>
          <w:tcPr>
            <w:tcW w:w="2394" w:type="dxa"/>
          </w:tcPr>
          <w:p w:rsidR="00831E1E" w:rsidRPr="00831E1E" w:rsidRDefault="00A90B38" w:rsidP="00831E1E">
            <w:pPr>
              <w:jc w:val="center"/>
              <w:rPr>
                <w:b/>
              </w:rPr>
            </w:pPr>
            <w:r>
              <w:rPr>
                <w:b/>
              </w:rPr>
              <w:t>MBIR</w:t>
            </w:r>
          </w:p>
        </w:tc>
        <w:tc>
          <w:tcPr>
            <w:tcW w:w="2394" w:type="dxa"/>
          </w:tcPr>
          <w:p w:rsidR="00831E1E" w:rsidRPr="00831E1E" w:rsidRDefault="00A90B38" w:rsidP="00831E1E">
            <w:pPr>
              <w:jc w:val="center"/>
              <w:rPr>
                <w:b/>
              </w:rPr>
            </w:pPr>
            <w:r>
              <w:rPr>
                <w:b/>
              </w:rPr>
              <w:t>LBIR</w:t>
            </w:r>
          </w:p>
        </w:tc>
      </w:tr>
      <w:tr w:rsidR="00831E1E" w:rsidTr="00831E1E">
        <w:tc>
          <w:tcPr>
            <w:tcW w:w="2394" w:type="dxa"/>
          </w:tcPr>
          <w:p w:rsidR="00831E1E" w:rsidRDefault="00831E1E" w:rsidP="00831E1E">
            <w:pPr>
              <w:jc w:val="center"/>
            </w:pPr>
            <w:r>
              <w:t>1</w:t>
            </w:r>
          </w:p>
        </w:tc>
        <w:tc>
          <w:tcPr>
            <w:tcW w:w="2394" w:type="dxa"/>
          </w:tcPr>
          <w:p w:rsidR="00831E1E" w:rsidRDefault="00831E1E" w:rsidP="00831E1E">
            <w:pPr>
              <w:jc w:val="center"/>
            </w:pPr>
            <w:r>
              <w:t>20%</w:t>
            </w:r>
          </w:p>
        </w:tc>
        <w:tc>
          <w:tcPr>
            <w:tcW w:w="2394" w:type="dxa"/>
          </w:tcPr>
          <w:p w:rsidR="00831E1E" w:rsidRDefault="00831E1E" w:rsidP="00831E1E">
            <w:pPr>
              <w:jc w:val="center"/>
            </w:pPr>
            <w:r>
              <w:t>40%</w:t>
            </w:r>
          </w:p>
        </w:tc>
        <w:tc>
          <w:tcPr>
            <w:tcW w:w="2394" w:type="dxa"/>
          </w:tcPr>
          <w:p w:rsidR="00831E1E" w:rsidRDefault="00831E1E" w:rsidP="00831E1E">
            <w:pPr>
              <w:jc w:val="center"/>
            </w:pPr>
            <w:r>
              <w:t>60%</w:t>
            </w:r>
          </w:p>
        </w:tc>
      </w:tr>
      <w:tr w:rsidR="00831E1E" w:rsidTr="00831E1E">
        <w:tc>
          <w:tcPr>
            <w:tcW w:w="2394" w:type="dxa"/>
          </w:tcPr>
          <w:p w:rsidR="00831E1E" w:rsidRDefault="00831E1E" w:rsidP="00831E1E">
            <w:pPr>
              <w:jc w:val="center"/>
            </w:pPr>
            <w:r>
              <w:t>2</w:t>
            </w:r>
          </w:p>
        </w:tc>
        <w:tc>
          <w:tcPr>
            <w:tcW w:w="2394" w:type="dxa"/>
          </w:tcPr>
          <w:p w:rsidR="00831E1E" w:rsidRDefault="00831E1E" w:rsidP="00831E1E">
            <w:pPr>
              <w:jc w:val="center"/>
            </w:pPr>
            <w:r>
              <w:t>15%</w:t>
            </w:r>
          </w:p>
        </w:tc>
        <w:tc>
          <w:tcPr>
            <w:tcW w:w="2394" w:type="dxa"/>
          </w:tcPr>
          <w:p w:rsidR="00831E1E" w:rsidRDefault="00831E1E" w:rsidP="00831E1E">
            <w:pPr>
              <w:jc w:val="center"/>
            </w:pPr>
            <w:r>
              <w:t>30%</w:t>
            </w:r>
          </w:p>
        </w:tc>
        <w:tc>
          <w:tcPr>
            <w:tcW w:w="2394" w:type="dxa"/>
          </w:tcPr>
          <w:p w:rsidR="00831E1E" w:rsidRDefault="00831E1E" w:rsidP="00831E1E">
            <w:pPr>
              <w:jc w:val="center"/>
            </w:pPr>
            <w:r>
              <w:t>45%</w:t>
            </w:r>
          </w:p>
        </w:tc>
      </w:tr>
      <w:tr w:rsidR="00831E1E" w:rsidTr="00831E1E">
        <w:tc>
          <w:tcPr>
            <w:tcW w:w="2394" w:type="dxa"/>
          </w:tcPr>
          <w:p w:rsidR="00831E1E" w:rsidRDefault="00831E1E" w:rsidP="00831E1E">
            <w:pPr>
              <w:jc w:val="center"/>
            </w:pPr>
            <w:r>
              <w:t>3</w:t>
            </w:r>
          </w:p>
        </w:tc>
        <w:tc>
          <w:tcPr>
            <w:tcW w:w="2394" w:type="dxa"/>
          </w:tcPr>
          <w:p w:rsidR="00831E1E" w:rsidRDefault="00831E1E" w:rsidP="00831E1E">
            <w:pPr>
              <w:jc w:val="center"/>
            </w:pPr>
            <w:r>
              <w:t>10%</w:t>
            </w:r>
          </w:p>
        </w:tc>
        <w:tc>
          <w:tcPr>
            <w:tcW w:w="2394" w:type="dxa"/>
          </w:tcPr>
          <w:p w:rsidR="00831E1E" w:rsidRDefault="00831E1E" w:rsidP="00831E1E">
            <w:pPr>
              <w:jc w:val="center"/>
            </w:pPr>
            <w:r>
              <w:t>20%</w:t>
            </w:r>
          </w:p>
        </w:tc>
        <w:tc>
          <w:tcPr>
            <w:tcW w:w="2394" w:type="dxa"/>
          </w:tcPr>
          <w:p w:rsidR="00831E1E" w:rsidRDefault="00831E1E" w:rsidP="00831E1E">
            <w:pPr>
              <w:jc w:val="center"/>
            </w:pPr>
            <w:r>
              <w:t>30%</w:t>
            </w:r>
          </w:p>
        </w:tc>
      </w:tr>
      <w:tr w:rsidR="00831E1E" w:rsidTr="00831E1E">
        <w:tc>
          <w:tcPr>
            <w:tcW w:w="2394" w:type="dxa"/>
          </w:tcPr>
          <w:p w:rsidR="00831E1E" w:rsidRDefault="00831E1E" w:rsidP="00831E1E">
            <w:pPr>
              <w:jc w:val="center"/>
            </w:pPr>
            <w:r>
              <w:t>4</w:t>
            </w:r>
          </w:p>
        </w:tc>
        <w:tc>
          <w:tcPr>
            <w:tcW w:w="2394" w:type="dxa"/>
          </w:tcPr>
          <w:p w:rsidR="00831E1E" w:rsidRDefault="00831E1E" w:rsidP="00831E1E">
            <w:pPr>
              <w:jc w:val="center"/>
            </w:pPr>
            <w:r>
              <w:t>5%</w:t>
            </w:r>
          </w:p>
        </w:tc>
        <w:tc>
          <w:tcPr>
            <w:tcW w:w="2394" w:type="dxa"/>
          </w:tcPr>
          <w:p w:rsidR="00831E1E" w:rsidRDefault="00831E1E" w:rsidP="00831E1E">
            <w:pPr>
              <w:jc w:val="center"/>
            </w:pPr>
            <w:r>
              <w:t>10%</w:t>
            </w:r>
          </w:p>
        </w:tc>
        <w:tc>
          <w:tcPr>
            <w:tcW w:w="2394" w:type="dxa"/>
          </w:tcPr>
          <w:p w:rsidR="00831E1E" w:rsidRDefault="00831E1E" w:rsidP="00831E1E">
            <w:pPr>
              <w:jc w:val="center"/>
            </w:pPr>
            <w:r>
              <w:t>15%</w:t>
            </w:r>
          </w:p>
        </w:tc>
      </w:tr>
      <w:tr w:rsidR="00831E1E" w:rsidTr="00831E1E">
        <w:tc>
          <w:tcPr>
            <w:tcW w:w="2394" w:type="dxa"/>
          </w:tcPr>
          <w:p w:rsidR="00831E1E" w:rsidRDefault="00831E1E" w:rsidP="00831E1E">
            <w:pPr>
              <w:jc w:val="center"/>
            </w:pPr>
            <w:r>
              <w:t>5</w:t>
            </w:r>
          </w:p>
        </w:tc>
        <w:tc>
          <w:tcPr>
            <w:tcW w:w="2394" w:type="dxa"/>
          </w:tcPr>
          <w:p w:rsidR="00831E1E" w:rsidRDefault="00831E1E" w:rsidP="00831E1E">
            <w:pPr>
              <w:jc w:val="center"/>
            </w:pPr>
            <w:r>
              <w:t>0%</w:t>
            </w:r>
          </w:p>
        </w:tc>
        <w:tc>
          <w:tcPr>
            <w:tcW w:w="2394" w:type="dxa"/>
          </w:tcPr>
          <w:p w:rsidR="00831E1E" w:rsidRDefault="00831E1E" w:rsidP="00831E1E">
            <w:pPr>
              <w:jc w:val="center"/>
            </w:pPr>
            <w:r>
              <w:t>0%</w:t>
            </w:r>
          </w:p>
        </w:tc>
        <w:tc>
          <w:tcPr>
            <w:tcW w:w="2394" w:type="dxa"/>
          </w:tcPr>
          <w:p w:rsidR="00831E1E" w:rsidRDefault="00831E1E" w:rsidP="00831E1E">
            <w:pPr>
              <w:jc w:val="center"/>
            </w:pPr>
            <w:r>
              <w:t>0%</w:t>
            </w:r>
          </w:p>
        </w:tc>
      </w:tr>
    </w:tbl>
    <w:p w:rsidR="00AD4FD5" w:rsidRDefault="00831E1E" w:rsidP="00F67558">
      <w:pPr>
        <w:pStyle w:val="TableSource"/>
        <w:rPr>
          <w:rFonts w:ascii="Arial" w:hAnsi="Arial"/>
          <w:b/>
        </w:rPr>
      </w:pPr>
      <w:r>
        <w:t xml:space="preserve">Source: Tariff Sheet Nos. </w:t>
      </w:r>
      <w:r w:rsidR="00F67558">
        <w:t>6.93, 6.95, 6.97.</w:t>
      </w:r>
      <w:r w:rsidR="00AD4FD5">
        <w:br w:type="page"/>
      </w:r>
    </w:p>
    <w:p w:rsidR="00FF7820" w:rsidRDefault="008A0307" w:rsidP="008A0307">
      <w:pPr>
        <w:pStyle w:val="TableSource"/>
        <w:spacing w:before="100" w:beforeAutospacing="1" w:after="100" w:afterAutospacing="1"/>
      </w:pPr>
      <w:r>
        <w:lastRenderedPageBreak/>
        <w:t>Gulf stated</w:t>
      </w:r>
      <w:r w:rsidR="00FF7820">
        <w:t xml:space="preserve"> in </w:t>
      </w:r>
      <w:r w:rsidR="00086768">
        <w:t xml:space="preserve">its </w:t>
      </w:r>
      <w:r w:rsidR="00FF7820">
        <w:t>response to staff discovery</w:t>
      </w:r>
      <w:r>
        <w:t xml:space="preserve"> that </w:t>
      </w:r>
      <w:r w:rsidR="00777910">
        <w:t xml:space="preserve">since its approval </w:t>
      </w:r>
      <w:r>
        <w:t xml:space="preserve">the program has </w:t>
      </w:r>
      <w:r w:rsidR="00CE7DF9">
        <w:t xml:space="preserve">attracted </w:t>
      </w:r>
      <w:r w:rsidR="00FF7820">
        <w:t>two retail establishments that started service under the riders in 2015. This</w:t>
      </w:r>
      <w:r w:rsidR="000C5D48">
        <w:t xml:space="preserve"> </w:t>
      </w:r>
      <w:r w:rsidR="00CE7DF9">
        <w:t>new load result</w:t>
      </w:r>
      <w:r w:rsidR="00FF7820">
        <w:t>ed</w:t>
      </w:r>
      <w:r w:rsidR="00CE7DF9">
        <w:t xml:space="preserve"> in </w:t>
      </w:r>
      <w:r>
        <w:t xml:space="preserve">approximately </w:t>
      </w:r>
      <w:r w:rsidR="000C5D48">
        <w:t>$75,735</w:t>
      </w:r>
      <w:r>
        <w:t xml:space="preserve"> in incremental base revenue</w:t>
      </w:r>
      <w:r w:rsidR="00FF7820">
        <w:t xml:space="preserve"> and the addition of 79 employees in Gulf’s service territory</w:t>
      </w:r>
      <w:r w:rsidR="000C5D48">
        <w:t xml:space="preserve">. </w:t>
      </w:r>
      <w:r w:rsidR="00FF7820">
        <w:t>The discount amount associated with the new load to date is</w:t>
      </w:r>
      <w:r w:rsidR="00CC25FB">
        <w:t xml:space="preserve"> $9,513.</w:t>
      </w:r>
      <w:r w:rsidR="00FF7820">
        <w:t xml:space="preserve"> </w:t>
      </w:r>
    </w:p>
    <w:p w:rsidR="00D52A1D" w:rsidRDefault="00D52A1D" w:rsidP="008A0307">
      <w:pPr>
        <w:pStyle w:val="TableSource"/>
        <w:spacing w:before="100" w:beforeAutospacing="1" w:after="100" w:afterAutospacing="1"/>
      </w:pPr>
      <w:r>
        <w:t>Gulf</w:t>
      </w:r>
      <w:r w:rsidR="00B01F06">
        <w:t xml:space="preserve"> </w:t>
      </w:r>
      <w:r w:rsidR="00777910">
        <w:t>explained</w:t>
      </w:r>
      <w:r>
        <w:t xml:space="preserve"> in its petition</w:t>
      </w:r>
      <w:r w:rsidR="00B01F06">
        <w:t xml:space="preserve"> </w:t>
      </w:r>
      <w:r>
        <w:t xml:space="preserve">that </w:t>
      </w:r>
      <w:r w:rsidR="000E4E15">
        <w:t xml:space="preserve">it has received commitments from one new and one expanding customer with a possibility of adding 5,300 new jobs and approximately 4.5 </w:t>
      </w:r>
      <w:r w:rsidR="00B01F06">
        <w:t>megawatts (</w:t>
      </w:r>
      <w:r w:rsidR="000E4E15">
        <w:t>MW</w:t>
      </w:r>
      <w:r w:rsidR="00B01F06">
        <w:t>)</w:t>
      </w:r>
      <w:r w:rsidR="000E4E15">
        <w:t xml:space="preserve"> of new load. The availability of the </w:t>
      </w:r>
      <w:r w:rsidR="00B01F06">
        <w:t>r</w:t>
      </w:r>
      <w:r w:rsidR="000E4E15">
        <w:t xml:space="preserve">iders was a significant factor for the </w:t>
      </w:r>
      <w:r w:rsidR="00D25C1D">
        <w:t>customers</w:t>
      </w:r>
      <w:r w:rsidR="00D002EE">
        <w:t>’</w:t>
      </w:r>
      <w:r w:rsidR="000E4E15">
        <w:t xml:space="preserve"> </w:t>
      </w:r>
      <w:r w:rsidR="00D002EE">
        <w:t xml:space="preserve">decisions </w:t>
      </w:r>
      <w:r w:rsidR="000E4E15">
        <w:t xml:space="preserve">to </w:t>
      </w:r>
      <w:r w:rsidR="00D25C1D">
        <w:t>take</w:t>
      </w:r>
      <w:r w:rsidR="000E4E15">
        <w:t xml:space="preserve"> service from Gulf. The customers have commenced initial constr</w:t>
      </w:r>
      <w:r w:rsidR="003D244E">
        <w:t>u</w:t>
      </w:r>
      <w:r w:rsidR="000E4E15">
        <w:t xml:space="preserve">ction work but do not </w:t>
      </w:r>
      <w:r w:rsidR="00D25C1D">
        <w:t>anticipate</w:t>
      </w:r>
      <w:r w:rsidR="000E4E15">
        <w:t xml:space="preserve"> completion of construction and taking service prior to the expiration of the</w:t>
      </w:r>
      <w:r w:rsidR="009A2E36">
        <w:t xml:space="preserve"> current</w:t>
      </w:r>
      <w:r w:rsidR="000E4E15">
        <w:t xml:space="preserve"> </w:t>
      </w:r>
      <w:r w:rsidR="00321005">
        <w:t>r</w:t>
      </w:r>
      <w:r w:rsidR="000E4E15">
        <w:t>iders</w:t>
      </w:r>
      <w:r w:rsidR="009A2E36">
        <w:t xml:space="preserve"> on December 31, 2016</w:t>
      </w:r>
      <w:r w:rsidR="000E4E15">
        <w:t xml:space="preserve">. The </w:t>
      </w:r>
      <w:r w:rsidR="00FC4A8A">
        <w:t>c</w:t>
      </w:r>
      <w:r w:rsidR="000E4E15">
        <w:t>ompany is also actively negotiating with four potential customers</w:t>
      </w:r>
      <w:r w:rsidR="007C0027">
        <w:t xml:space="preserve"> to relocate/expand</w:t>
      </w:r>
      <w:r w:rsidR="000E4E15">
        <w:t xml:space="preserve">. If successful, </w:t>
      </w:r>
      <w:r w:rsidR="00777910">
        <w:t xml:space="preserve">Gulf stated </w:t>
      </w:r>
      <w:r w:rsidR="000E4E15">
        <w:t>they</w:t>
      </w:r>
      <w:r w:rsidR="007C0027">
        <w:t xml:space="preserve"> will add over 2</w:t>
      </w:r>
      <w:r w:rsidR="00D25C1D">
        <w:t>,</w:t>
      </w:r>
      <w:r w:rsidR="007C0027">
        <w:t xml:space="preserve">000 jobs </w:t>
      </w:r>
      <w:r w:rsidR="00D25C1D">
        <w:t>and</w:t>
      </w:r>
      <w:r w:rsidR="007C0027">
        <w:t xml:space="preserve"> </w:t>
      </w:r>
      <w:r w:rsidR="00D25C1D">
        <w:t xml:space="preserve">will </w:t>
      </w:r>
      <w:r w:rsidR="007C0027">
        <w:t>have a new load demand of 25 MW.</w:t>
      </w:r>
    </w:p>
    <w:p w:rsidR="00D25C1D" w:rsidRDefault="00D25C1D" w:rsidP="00116250">
      <w:pPr>
        <w:spacing w:before="100" w:beforeAutospacing="1" w:after="100" w:afterAutospacing="1"/>
        <w:jc w:val="both"/>
      </w:pPr>
      <w:r>
        <w:t xml:space="preserve">If Gulf’s petition is approved, Gulf would make a request to the Commission on or before December 31, 2017 to: (1) continue the </w:t>
      </w:r>
      <w:r w:rsidR="00FC4A8A">
        <w:t>r</w:t>
      </w:r>
      <w:r>
        <w:t xml:space="preserve">iders in their existing form; (2) continue the </w:t>
      </w:r>
      <w:r w:rsidR="00FC4A8A">
        <w:t>r</w:t>
      </w:r>
      <w:r>
        <w:t xml:space="preserve">iders with modifications based on lessons learned; or (3) discontinue the </w:t>
      </w:r>
      <w:r w:rsidR="00FC4A8A">
        <w:t>r</w:t>
      </w:r>
      <w:r>
        <w:t xml:space="preserve">iders in their </w:t>
      </w:r>
      <w:r w:rsidR="00951EA0">
        <w:t>entirety</w:t>
      </w:r>
      <w:r>
        <w:t>.</w:t>
      </w:r>
      <w:r w:rsidR="0059778A">
        <w:t xml:space="preserve"> Staff notes that the Commission recently approved Tampa Electric Company’s petition in Docket No. 16</w:t>
      </w:r>
      <w:r w:rsidR="00320FB2">
        <w:t>00</w:t>
      </w:r>
      <w:r w:rsidR="0059778A">
        <w:t>59-EI to extend its economic development rider on a permanent basis. In response to staff inquiry, Gulf explained that the company wishes to continue the pilot program for another year to collect additional information before making a decision on the future of the riders.</w:t>
      </w:r>
    </w:p>
    <w:p w:rsidR="005F7323" w:rsidRPr="00844216" w:rsidRDefault="005F7323" w:rsidP="00116250">
      <w:pPr>
        <w:spacing w:before="100" w:beforeAutospacing="1" w:after="100" w:afterAutospacing="1"/>
        <w:jc w:val="both"/>
      </w:pPr>
      <w:r>
        <w:t xml:space="preserve">The </w:t>
      </w:r>
      <w:r w:rsidR="00B01F06">
        <w:t>r</w:t>
      </w:r>
      <w:r>
        <w:t>iders appear to be successful in attracting new load and incremental base revenues to Gulf</w:t>
      </w:r>
      <w:r w:rsidR="00B01F06">
        <w:t>’s</w:t>
      </w:r>
      <w:r>
        <w:t xml:space="preserve"> service territory, which benefits the general body of ratepayers. Therefore, staff recommends that the Commission should approve Gulf’s petition for a</w:t>
      </w:r>
      <w:r w:rsidR="00321005">
        <w:t>n</w:t>
      </w:r>
      <w:r>
        <w:t xml:space="preserve"> extension of its business incentive rate riders until December 31, 2017. </w:t>
      </w:r>
    </w:p>
    <w:p w:rsidR="0093772F" w:rsidRDefault="0093772F" w:rsidP="00116250">
      <w:pPr>
        <w:pStyle w:val="IssueHeading"/>
        <w:rPr>
          <w:vanish/>
          <w:specVanish/>
        </w:rPr>
      </w:pPr>
      <w:r w:rsidRPr="004C3641">
        <w:rPr>
          <w:b w:val="0"/>
          <w:i w:val="0"/>
        </w:rPr>
        <w:br w:type="page"/>
      </w:r>
      <w:r w:rsidRPr="004C3641">
        <w:lastRenderedPageBreak/>
        <w:t xml:space="preserve">Issue </w:t>
      </w:r>
      <w:r w:rsidR="007E7ED7">
        <w:fldChar w:fldCharType="begin"/>
      </w:r>
      <w:r w:rsidR="007E7ED7">
        <w:instrText xml:space="preserve"> SEQ Issue \* MERGEFORMAT </w:instrText>
      </w:r>
      <w:r w:rsidR="007E7ED7">
        <w:fldChar w:fldCharType="separate"/>
      </w:r>
      <w:r w:rsidR="00AB0339">
        <w:rPr>
          <w:noProof/>
        </w:rPr>
        <w:t>2</w:t>
      </w:r>
      <w:r w:rsidR="007E7ED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B0339">
        <w:rPr>
          <w:noProof/>
        </w:rPr>
        <w:instrText>2</w:instrText>
      </w:r>
      <w:r>
        <w:fldChar w:fldCharType="end"/>
      </w:r>
      <w:r>
        <w:tab/>
        <w:instrText xml:space="preserve">" \l 1 </w:instrText>
      </w:r>
      <w:r>
        <w:fldChar w:fldCharType="end"/>
      </w:r>
      <w:r>
        <w:t> </w:t>
      </w:r>
    </w:p>
    <w:p w:rsidR="0093772F" w:rsidRDefault="0093772F">
      <w:pPr>
        <w:pStyle w:val="BodyText"/>
      </w:pPr>
      <w:r>
        <w:t> Should this docket be closed?</w:t>
      </w:r>
    </w:p>
    <w:p w:rsidR="0093772F" w:rsidRPr="004C3641" w:rsidRDefault="0093772F">
      <w:pPr>
        <w:pStyle w:val="IssueSubsectionHeading"/>
        <w:rPr>
          <w:vanish/>
          <w:specVanish/>
        </w:rPr>
      </w:pPr>
      <w:r w:rsidRPr="004C3641">
        <w:t>Recommendation: </w:t>
      </w:r>
    </w:p>
    <w:p w:rsidR="0093772F" w:rsidRDefault="0093772F">
      <w:pPr>
        <w:pStyle w:val="BodyText"/>
      </w:pPr>
      <w:r>
        <w:t> If Issue 1</w:t>
      </w:r>
      <w:r w:rsidR="00EB5F4F">
        <w:t xml:space="preserve"> is approved and a protest is filed within 21 days of the issuance of the order, the tariff should remain in effect pending resolution of the protest. If no timely protest is filed, this docket should be closed upon the issuance of a consummating order.</w:t>
      </w:r>
      <w:r>
        <w:t xml:space="preserve">  (Brownless)</w:t>
      </w:r>
    </w:p>
    <w:p w:rsidR="0093772F" w:rsidRPr="004C3641" w:rsidRDefault="0093772F">
      <w:pPr>
        <w:pStyle w:val="IssueSubsectionHeading"/>
        <w:rPr>
          <w:vanish/>
          <w:specVanish/>
        </w:rPr>
      </w:pPr>
      <w:r w:rsidRPr="004C3641">
        <w:t>Staff Analysis: </w:t>
      </w:r>
    </w:p>
    <w:p w:rsidR="0093772F" w:rsidRDefault="0093772F">
      <w:pPr>
        <w:pStyle w:val="BodyText"/>
      </w:pPr>
      <w:r>
        <w:t> </w:t>
      </w:r>
      <w:r w:rsidR="00EB5F4F">
        <w:t>If Issue 1 is approved and a protest is filed within 21 days of the issuance of the order, the tariff should remain in effect pending resolution of the protest. If no timely protest is filed, this docket should be closed upon the issuance of a consummating order.</w:t>
      </w:r>
    </w:p>
    <w:p w:rsidR="00022F27" w:rsidRDefault="00022F27" w:rsidP="00E275D8">
      <w:pPr>
        <w:pStyle w:val="BodyText"/>
        <w:sectPr w:rsidR="00022F27"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11614" w:rsidRDefault="00022F27" w:rsidP="00E275D8">
      <w:pPr>
        <w:pStyle w:val="BodyText"/>
      </w:pPr>
      <w:r>
        <w:rPr>
          <w:noProof/>
        </w:rPr>
        <w:lastRenderedPageBreak/>
        <w:drawing>
          <wp:inline distT="0" distB="0" distL="0" distR="0" wp14:anchorId="701C9123" wp14:editId="733D1F94">
            <wp:extent cx="5800725" cy="7400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00725" cy="7400925"/>
                    </a:xfrm>
                    <a:prstGeom prst="rect">
                      <a:avLst/>
                    </a:prstGeom>
                  </pic:spPr>
                </pic:pic>
              </a:graphicData>
            </a:graphic>
          </wp:inline>
        </w:drawing>
      </w:r>
    </w:p>
    <w:p w:rsidR="00611614" w:rsidRDefault="00611614" w:rsidP="00611614">
      <w:r>
        <w:br w:type="page"/>
      </w:r>
    </w:p>
    <w:p w:rsidR="00611614" w:rsidRDefault="00611614" w:rsidP="00E275D8">
      <w:pPr>
        <w:pStyle w:val="BodyText"/>
        <w:sectPr w:rsidR="00611614" w:rsidSect="0068481F">
          <w:headerReference w:type="default" r:id="rId16"/>
          <w:pgSz w:w="12240" w:h="15840" w:code="1"/>
          <w:pgMar w:top="1584" w:right="1440" w:bottom="1440" w:left="1440" w:header="720" w:footer="720" w:gutter="0"/>
          <w:cols w:space="720"/>
          <w:formProt w:val="0"/>
          <w:docGrid w:linePitch="360"/>
        </w:sectPr>
      </w:pPr>
    </w:p>
    <w:p w:rsidR="00022F27" w:rsidRDefault="00611614" w:rsidP="00E275D8">
      <w:pPr>
        <w:pStyle w:val="BodyText"/>
        <w:sectPr w:rsidR="00022F27"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094ADC2" wp14:editId="6A084B12">
            <wp:extent cx="5943600" cy="7333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333615"/>
                    </a:xfrm>
                    <a:prstGeom prst="rect">
                      <a:avLst/>
                    </a:prstGeom>
                  </pic:spPr>
                </pic:pic>
              </a:graphicData>
            </a:graphic>
          </wp:inline>
        </w:drawing>
      </w:r>
    </w:p>
    <w:p w:rsidR="00611614" w:rsidRDefault="00022F27" w:rsidP="00E275D8">
      <w:pPr>
        <w:pStyle w:val="BodyText"/>
        <w:sectPr w:rsidR="00611614" w:rsidSect="0068481F">
          <w:headerReference w:type="default" r:id="rId1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83B216C" wp14:editId="3F7E0CD1">
            <wp:extent cx="5829300" cy="741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29300" cy="7410450"/>
                    </a:xfrm>
                    <a:prstGeom prst="rect">
                      <a:avLst/>
                    </a:prstGeom>
                  </pic:spPr>
                </pic:pic>
              </a:graphicData>
            </a:graphic>
          </wp:inline>
        </w:drawing>
      </w:r>
    </w:p>
    <w:p w:rsidR="00022F27" w:rsidRDefault="00611614" w:rsidP="00E275D8">
      <w:pPr>
        <w:pStyle w:val="BodyText"/>
        <w:sectPr w:rsidR="00022F27" w:rsidSect="0068481F">
          <w:headerReference w:type="default" r:id="rId2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312E409" wp14:editId="738E29EF">
            <wp:extent cx="5943600" cy="724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248525"/>
                    </a:xfrm>
                    <a:prstGeom prst="rect">
                      <a:avLst/>
                    </a:prstGeom>
                  </pic:spPr>
                </pic:pic>
              </a:graphicData>
            </a:graphic>
          </wp:inline>
        </w:drawing>
      </w:r>
    </w:p>
    <w:p w:rsidR="00611614" w:rsidRDefault="00022F27" w:rsidP="00E275D8">
      <w:pPr>
        <w:pStyle w:val="BodyText"/>
        <w:sectPr w:rsidR="00611614" w:rsidSect="0068481F">
          <w:headerReference w:type="default" r:id="rId2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C001731" wp14:editId="48AB6BC8">
            <wp:extent cx="5895975" cy="7639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95975" cy="7639050"/>
                    </a:xfrm>
                    <a:prstGeom prst="rect">
                      <a:avLst/>
                    </a:prstGeom>
                  </pic:spPr>
                </pic:pic>
              </a:graphicData>
            </a:graphic>
          </wp:inline>
        </w:drawing>
      </w:r>
    </w:p>
    <w:p w:rsidR="00E06484" w:rsidRDefault="00611614" w:rsidP="00E275D8">
      <w:pPr>
        <w:pStyle w:val="BodyText"/>
      </w:pPr>
      <w:r>
        <w:rPr>
          <w:noProof/>
        </w:rPr>
        <w:lastRenderedPageBreak/>
        <w:drawing>
          <wp:inline distT="0" distB="0" distL="0" distR="0" wp14:anchorId="5EE87133" wp14:editId="70026F35">
            <wp:extent cx="5943600" cy="7265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265670"/>
                    </a:xfrm>
                    <a:prstGeom prst="rect">
                      <a:avLst/>
                    </a:prstGeom>
                  </pic:spPr>
                </pic:pic>
              </a:graphicData>
            </a:graphic>
          </wp:inline>
        </w:drawing>
      </w:r>
    </w:p>
    <w:sectPr w:rsidR="00E06484"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3AB" w:rsidRDefault="00DE63AB">
      <w:r>
        <w:separator/>
      </w:r>
    </w:p>
  </w:endnote>
  <w:endnote w:type="continuationSeparator" w:id="0">
    <w:p w:rsidR="00DE63AB" w:rsidRDefault="00D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208B0">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3AB" w:rsidRDefault="00DE63AB">
      <w:r>
        <w:separator/>
      </w:r>
    </w:p>
  </w:footnote>
  <w:footnote w:type="continuationSeparator" w:id="0">
    <w:p w:rsidR="00DE63AB" w:rsidRDefault="00DE63AB">
      <w:r>
        <w:continuationSeparator/>
      </w:r>
    </w:p>
  </w:footnote>
  <w:footnote w:id="1">
    <w:p w:rsidR="00827CE2" w:rsidRDefault="00827CE2">
      <w:pPr>
        <w:pStyle w:val="FootnoteText"/>
      </w:pPr>
      <w:r>
        <w:rPr>
          <w:rStyle w:val="FootnoteReference"/>
        </w:rPr>
        <w:footnoteRef/>
      </w:r>
      <w:r>
        <w:t xml:space="preserve"> </w:t>
      </w:r>
      <w:proofErr w:type="gramStart"/>
      <w:r>
        <w:t>Order No.</w:t>
      </w:r>
      <w:proofErr w:type="gramEnd"/>
      <w:r>
        <w:t xml:space="preserve"> PSC-13-0670-S-EI, issued December 19, 2013, in Docket No. 130140-EI, </w:t>
      </w:r>
      <w:r w:rsidRPr="00827CE2">
        <w:rPr>
          <w:i/>
        </w:rPr>
        <w:t xml:space="preserve">In Re: Petition for rate increase by Gulf Power </w:t>
      </w:r>
      <w:r w:rsidR="00D002EE" w:rsidRPr="00827CE2">
        <w:rPr>
          <w:i/>
        </w:rPr>
        <w:t>Company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DE63AB" w:rsidP="00220732">
    <w:pPr>
      <w:pStyle w:val="Header"/>
      <w:tabs>
        <w:tab w:val="clear" w:pos="4320"/>
        <w:tab w:val="clear" w:pos="8640"/>
        <w:tab w:val="right" w:pos="9360"/>
      </w:tabs>
    </w:pPr>
    <w:bookmarkStart w:id="13" w:name="DocketLabel"/>
    <w:r>
      <w:t>Docket No.</w:t>
    </w:r>
    <w:bookmarkEnd w:id="13"/>
    <w:r w:rsidR="004E330D">
      <w:t xml:space="preserve"> </w:t>
    </w:r>
    <w:bookmarkStart w:id="14" w:name="DocketList"/>
    <w:r>
      <w:t>160090-EI</w:t>
    </w:r>
    <w:bookmarkEnd w:id="14"/>
  </w:p>
  <w:p w:rsidR="004E330D" w:rsidRDefault="004E330D">
    <w:pPr>
      <w:pStyle w:val="Header"/>
    </w:pPr>
    <w:r>
      <w:t xml:space="preserve">Date: </w:t>
    </w:r>
    <w:r w:rsidR="007E7ED7">
      <w:fldChar w:fldCharType="begin"/>
    </w:r>
    <w:r w:rsidR="007E7ED7">
      <w:instrText xml:space="preserve"> REF FilingDate </w:instrText>
    </w:r>
    <w:r w:rsidR="007E7ED7">
      <w:fldChar w:fldCharType="separate"/>
    </w:r>
    <w:r w:rsidR="00AB0339">
      <w:t>May 26, 2016</w:t>
    </w:r>
    <w:r w:rsidR="007E7ED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rsidP="00220732">
    <w:pPr>
      <w:pStyle w:val="Header"/>
      <w:tabs>
        <w:tab w:val="clear" w:pos="4320"/>
        <w:tab w:val="clear" w:pos="8640"/>
        <w:tab w:val="right" w:pos="9360"/>
      </w:tabs>
    </w:pPr>
    <w:r>
      <w:fldChar w:fldCharType="begin"/>
    </w:r>
    <w:r>
      <w:instrText xml:space="preserve"> REF DocketLabel</w:instrText>
    </w:r>
    <w:r>
      <w:fldChar w:fldCharType="separate"/>
    </w:r>
    <w:r w:rsidR="00AB0339">
      <w:t>Docket No.</w:t>
    </w:r>
    <w:r>
      <w:fldChar w:fldCharType="end"/>
    </w:r>
    <w:r>
      <w:t xml:space="preserve"> </w:t>
    </w:r>
    <w:r>
      <w:fldChar w:fldCharType="begin"/>
    </w:r>
    <w:r>
      <w:instrText xml:space="preserve"> REF DocketList</w:instrText>
    </w:r>
    <w:r>
      <w:fldChar w:fldCharType="separate"/>
    </w:r>
    <w:r w:rsidR="00AB0339">
      <w:t>160090-EI</w:t>
    </w:r>
    <w:r>
      <w:fldChar w:fldCharType="end"/>
    </w:r>
    <w:r>
      <w:tab/>
      <w:t xml:space="preserve">Issue </w:t>
    </w:r>
    <w:r w:rsidR="007E7ED7">
      <w:fldChar w:fldCharType="begin"/>
    </w:r>
    <w:r w:rsidR="007E7ED7">
      <w:instrText xml:space="preserve"> Seq Issue \c \* Arabic </w:instrText>
    </w:r>
    <w:r w:rsidR="007E7ED7">
      <w:fldChar w:fldCharType="separate"/>
    </w:r>
    <w:r w:rsidR="008208B0">
      <w:rPr>
        <w:noProof/>
      </w:rPr>
      <w:t>2</w:t>
    </w:r>
    <w:r w:rsidR="007E7ED7">
      <w:rPr>
        <w:noProof/>
      </w:rPr>
      <w:fldChar w:fldCharType="end"/>
    </w:r>
  </w:p>
  <w:p w:rsidR="004E330D" w:rsidRDefault="004E330D">
    <w:pPr>
      <w:pStyle w:val="Header"/>
    </w:pPr>
    <w:r>
      <w:t xml:space="preserve">Date: </w:t>
    </w:r>
    <w:r w:rsidR="007E7ED7">
      <w:fldChar w:fldCharType="begin"/>
    </w:r>
    <w:r w:rsidR="007E7ED7">
      <w:instrText xml:space="preserve"> REF FilingDate </w:instrText>
    </w:r>
    <w:r w:rsidR="007E7ED7">
      <w:fldChar w:fldCharType="separate"/>
    </w:r>
    <w:r w:rsidR="00AB0339">
      <w:t>May 26, 2016</w:t>
    </w:r>
    <w:r w:rsidR="007E7ED7">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27" w:rsidRDefault="00022F27" w:rsidP="00220732">
    <w:pPr>
      <w:pStyle w:val="Header"/>
      <w:tabs>
        <w:tab w:val="clear" w:pos="4320"/>
        <w:tab w:val="clear" w:pos="8640"/>
        <w:tab w:val="right" w:pos="9360"/>
      </w:tabs>
    </w:pPr>
    <w:r>
      <w:fldChar w:fldCharType="begin"/>
    </w:r>
    <w:r>
      <w:instrText xml:space="preserve"> REF DocketLabel</w:instrText>
    </w:r>
    <w:r>
      <w:fldChar w:fldCharType="separate"/>
    </w:r>
    <w:r w:rsidR="00AB0339">
      <w:t>Docket No.</w:t>
    </w:r>
    <w:r>
      <w:fldChar w:fldCharType="end"/>
    </w:r>
    <w:r>
      <w:t xml:space="preserve"> </w:t>
    </w:r>
    <w:r>
      <w:fldChar w:fldCharType="begin"/>
    </w:r>
    <w:r>
      <w:instrText xml:space="preserve"> REF DocketList</w:instrText>
    </w:r>
    <w:r>
      <w:fldChar w:fldCharType="separate"/>
    </w:r>
    <w:r w:rsidR="00AB0339">
      <w:t>160090-EI</w:t>
    </w:r>
    <w:r>
      <w:fldChar w:fldCharType="end"/>
    </w:r>
    <w:r>
      <w:tab/>
      <w:t>Attachment A</w:t>
    </w:r>
  </w:p>
  <w:p w:rsidR="00022F27" w:rsidRDefault="00022F27">
    <w:pPr>
      <w:pStyle w:val="Header"/>
    </w:pPr>
    <w:r>
      <w:t xml:space="preserve">Date: </w:t>
    </w:r>
    <w:r w:rsidR="007E7ED7">
      <w:fldChar w:fldCharType="begin"/>
    </w:r>
    <w:r w:rsidR="007E7ED7">
      <w:instrText xml:space="preserve"> REF FilingDate </w:instrText>
    </w:r>
    <w:r w:rsidR="007E7ED7">
      <w:fldChar w:fldCharType="separate"/>
    </w:r>
    <w:r w:rsidR="00AB0339">
      <w:t>May 26, 2016</w:t>
    </w:r>
    <w:r w:rsidR="007E7ED7">
      <w:fldChar w:fldCharType="end"/>
    </w:r>
    <w:r w:rsidR="008E78FB">
      <w:t xml:space="preserve">                                                                                                     </w:t>
    </w:r>
    <w:r>
      <w:t xml:space="preserve">Page 1 of </w:t>
    </w:r>
    <w:r w:rsidR="00611614">
      <w:t>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14" w:rsidRDefault="00611614" w:rsidP="00220732">
    <w:pPr>
      <w:pStyle w:val="Header"/>
      <w:tabs>
        <w:tab w:val="clear" w:pos="4320"/>
        <w:tab w:val="clear" w:pos="8640"/>
        <w:tab w:val="right" w:pos="9360"/>
      </w:tabs>
    </w:pPr>
    <w:r>
      <w:fldChar w:fldCharType="begin"/>
    </w:r>
    <w:r>
      <w:instrText xml:space="preserve"> REF DocketLabel</w:instrText>
    </w:r>
    <w:r>
      <w:fldChar w:fldCharType="separate"/>
    </w:r>
    <w:r w:rsidR="00AB0339">
      <w:t>Docket No.</w:t>
    </w:r>
    <w:r>
      <w:fldChar w:fldCharType="end"/>
    </w:r>
    <w:r>
      <w:t xml:space="preserve"> </w:t>
    </w:r>
    <w:r>
      <w:fldChar w:fldCharType="begin"/>
    </w:r>
    <w:r>
      <w:instrText xml:space="preserve"> REF DocketList</w:instrText>
    </w:r>
    <w:r>
      <w:fldChar w:fldCharType="separate"/>
    </w:r>
    <w:r w:rsidR="00AB0339">
      <w:t>160090-EI</w:t>
    </w:r>
    <w:r>
      <w:fldChar w:fldCharType="end"/>
    </w:r>
    <w:r>
      <w:tab/>
      <w:t>Attachment A</w:t>
    </w:r>
  </w:p>
  <w:p w:rsidR="00611614" w:rsidRDefault="00611614">
    <w:pPr>
      <w:pStyle w:val="Header"/>
    </w:pPr>
    <w:r>
      <w:t xml:space="preserve">Date: </w:t>
    </w:r>
    <w:r w:rsidR="007E7ED7">
      <w:fldChar w:fldCharType="begin"/>
    </w:r>
    <w:r w:rsidR="007E7ED7">
      <w:instrText xml:space="preserve"> REF FilingDate </w:instrText>
    </w:r>
    <w:r w:rsidR="007E7ED7">
      <w:fldChar w:fldCharType="separate"/>
    </w:r>
    <w:r w:rsidR="00AB0339">
      <w:t>May 26, 2016</w:t>
    </w:r>
    <w:r w:rsidR="007E7ED7">
      <w:fldChar w:fldCharType="end"/>
    </w:r>
    <w:r>
      <w:t xml:space="preserve">                                                                                                     Page </w:t>
    </w:r>
    <w:r w:rsidR="003A3BA1">
      <w:t>2</w:t>
    </w:r>
    <w:r>
      <w:t xml:space="preserve"> of 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27" w:rsidRDefault="00022F27" w:rsidP="00220732">
    <w:pPr>
      <w:pStyle w:val="Header"/>
      <w:tabs>
        <w:tab w:val="clear" w:pos="4320"/>
        <w:tab w:val="clear" w:pos="8640"/>
        <w:tab w:val="right" w:pos="9360"/>
      </w:tabs>
    </w:pPr>
    <w:r>
      <w:fldChar w:fldCharType="begin"/>
    </w:r>
    <w:r>
      <w:instrText xml:space="preserve"> REF DocketLabel</w:instrText>
    </w:r>
    <w:r>
      <w:fldChar w:fldCharType="separate"/>
    </w:r>
    <w:r w:rsidR="00AB0339">
      <w:t>Docket No.</w:t>
    </w:r>
    <w:r>
      <w:fldChar w:fldCharType="end"/>
    </w:r>
    <w:r>
      <w:t xml:space="preserve"> </w:t>
    </w:r>
    <w:r>
      <w:fldChar w:fldCharType="begin"/>
    </w:r>
    <w:r>
      <w:instrText xml:space="preserve"> REF DocketList</w:instrText>
    </w:r>
    <w:r>
      <w:fldChar w:fldCharType="separate"/>
    </w:r>
    <w:r w:rsidR="00AB0339">
      <w:t>160090-EI</w:t>
    </w:r>
    <w:r>
      <w:fldChar w:fldCharType="end"/>
    </w:r>
    <w:r>
      <w:tab/>
      <w:t>Attachment A</w:t>
    </w:r>
  </w:p>
  <w:p w:rsidR="00022F27" w:rsidRDefault="00022F27">
    <w:pPr>
      <w:pStyle w:val="Header"/>
    </w:pPr>
    <w:r>
      <w:t xml:space="preserve">Date: </w:t>
    </w:r>
    <w:r w:rsidR="007E7ED7">
      <w:fldChar w:fldCharType="begin"/>
    </w:r>
    <w:r w:rsidR="007E7ED7">
      <w:instrText xml:space="preserve"> REF FilingDate </w:instrText>
    </w:r>
    <w:r w:rsidR="007E7ED7">
      <w:fldChar w:fldCharType="separate"/>
    </w:r>
    <w:r w:rsidR="00AB0339">
      <w:t>May 26, 2016</w:t>
    </w:r>
    <w:r w:rsidR="007E7ED7">
      <w:fldChar w:fldCharType="end"/>
    </w:r>
    <w:r>
      <w:t xml:space="preserve">                                                                                                     Page </w:t>
    </w:r>
    <w:r w:rsidR="003A3BA1">
      <w:t>3</w:t>
    </w:r>
    <w:r>
      <w:t xml:space="preserve"> of </w:t>
    </w:r>
    <w:r w:rsidR="00611614">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14" w:rsidRDefault="00611614" w:rsidP="00220732">
    <w:pPr>
      <w:pStyle w:val="Header"/>
      <w:tabs>
        <w:tab w:val="clear" w:pos="4320"/>
        <w:tab w:val="clear" w:pos="8640"/>
        <w:tab w:val="right" w:pos="9360"/>
      </w:tabs>
    </w:pPr>
    <w:r>
      <w:fldChar w:fldCharType="begin"/>
    </w:r>
    <w:r>
      <w:instrText xml:space="preserve"> REF DocketLabel</w:instrText>
    </w:r>
    <w:r>
      <w:fldChar w:fldCharType="separate"/>
    </w:r>
    <w:r w:rsidR="00AB0339">
      <w:t>Docket No.</w:t>
    </w:r>
    <w:r>
      <w:fldChar w:fldCharType="end"/>
    </w:r>
    <w:r>
      <w:t xml:space="preserve"> </w:t>
    </w:r>
    <w:r>
      <w:fldChar w:fldCharType="begin"/>
    </w:r>
    <w:r>
      <w:instrText xml:space="preserve"> REF DocketList</w:instrText>
    </w:r>
    <w:r>
      <w:fldChar w:fldCharType="separate"/>
    </w:r>
    <w:r w:rsidR="00AB0339">
      <w:t>160090-EI</w:t>
    </w:r>
    <w:r>
      <w:fldChar w:fldCharType="end"/>
    </w:r>
    <w:r>
      <w:tab/>
      <w:t>Attachment A</w:t>
    </w:r>
  </w:p>
  <w:p w:rsidR="00611614" w:rsidRDefault="00611614">
    <w:pPr>
      <w:pStyle w:val="Header"/>
    </w:pPr>
    <w:r>
      <w:t xml:space="preserve">Date: </w:t>
    </w:r>
    <w:r w:rsidR="007E7ED7">
      <w:fldChar w:fldCharType="begin"/>
    </w:r>
    <w:r w:rsidR="007E7ED7">
      <w:instrText xml:space="preserve"> REF FilingDate </w:instrText>
    </w:r>
    <w:r w:rsidR="007E7ED7">
      <w:fldChar w:fldCharType="separate"/>
    </w:r>
    <w:r w:rsidR="00AB0339">
      <w:t>May 26, 2016</w:t>
    </w:r>
    <w:r w:rsidR="007E7ED7">
      <w:fldChar w:fldCharType="end"/>
    </w:r>
    <w:r>
      <w:t xml:space="preserve">                                                                                                     Page </w:t>
    </w:r>
    <w:r w:rsidR="003A3BA1">
      <w:t>4</w:t>
    </w:r>
    <w:r>
      <w:t xml:space="preserve"> of 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27" w:rsidRDefault="00022F27" w:rsidP="00220732">
    <w:pPr>
      <w:pStyle w:val="Header"/>
      <w:tabs>
        <w:tab w:val="clear" w:pos="4320"/>
        <w:tab w:val="clear" w:pos="8640"/>
        <w:tab w:val="right" w:pos="9360"/>
      </w:tabs>
    </w:pPr>
    <w:r>
      <w:fldChar w:fldCharType="begin"/>
    </w:r>
    <w:r>
      <w:instrText xml:space="preserve"> REF DocketLabel</w:instrText>
    </w:r>
    <w:r>
      <w:fldChar w:fldCharType="separate"/>
    </w:r>
    <w:r w:rsidR="00AB0339">
      <w:t>Docket No.</w:t>
    </w:r>
    <w:r>
      <w:fldChar w:fldCharType="end"/>
    </w:r>
    <w:r>
      <w:t xml:space="preserve"> </w:t>
    </w:r>
    <w:r>
      <w:fldChar w:fldCharType="begin"/>
    </w:r>
    <w:r>
      <w:instrText xml:space="preserve"> REF DocketList</w:instrText>
    </w:r>
    <w:r>
      <w:fldChar w:fldCharType="separate"/>
    </w:r>
    <w:r w:rsidR="00AB0339">
      <w:t>160090-EI</w:t>
    </w:r>
    <w:r>
      <w:fldChar w:fldCharType="end"/>
    </w:r>
    <w:r>
      <w:tab/>
      <w:t>Attachment A</w:t>
    </w:r>
  </w:p>
  <w:p w:rsidR="00022F27" w:rsidRDefault="00022F27">
    <w:pPr>
      <w:pStyle w:val="Header"/>
    </w:pPr>
    <w:r>
      <w:t xml:space="preserve">Date: </w:t>
    </w:r>
    <w:r w:rsidR="007E7ED7">
      <w:fldChar w:fldCharType="begin"/>
    </w:r>
    <w:r w:rsidR="007E7ED7">
      <w:instrText xml:space="preserve"> REF FilingDate </w:instrText>
    </w:r>
    <w:r w:rsidR="007E7ED7">
      <w:fldChar w:fldCharType="separate"/>
    </w:r>
    <w:r w:rsidR="00AB0339">
      <w:t>May 26, 2016</w:t>
    </w:r>
    <w:r w:rsidR="007E7ED7">
      <w:fldChar w:fldCharType="end"/>
    </w:r>
    <w:r>
      <w:t xml:space="preserve">                                                                                                     Page </w:t>
    </w:r>
    <w:r w:rsidR="003A3BA1">
      <w:t>5</w:t>
    </w:r>
    <w:r>
      <w:t xml:space="preserve"> of </w:t>
    </w:r>
    <w:r w:rsidR="00611614">
      <w:t>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14" w:rsidRDefault="00611614" w:rsidP="00220732">
    <w:pPr>
      <w:pStyle w:val="Header"/>
      <w:tabs>
        <w:tab w:val="clear" w:pos="4320"/>
        <w:tab w:val="clear" w:pos="8640"/>
        <w:tab w:val="right" w:pos="9360"/>
      </w:tabs>
    </w:pPr>
    <w:r>
      <w:fldChar w:fldCharType="begin"/>
    </w:r>
    <w:r>
      <w:instrText xml:space="preserve"> REF DocketLabel</w:instrText>
    </w:r>
    <w:r>
      <w:fldChar w:fldCharType="separate"/>
    </w:r>
    <w:r w:rsidR="00AB0339">
      <w:t>Docket No.</w:t>
    </w:r>
    <w:r>
      <w:fldChar w:fldCharType="end"/>
    </w:r>
    <w:r>
      <w:t xml:space="preserve"> </w:t>
    </w:r>
    <w:r>
      <w:fldChar w:fldCharType="begin"/>
    </w:r>
    <w:r>
      <w:instrText xml:space="preserve"> REF DocketList</w:instrText>
    </w:r>
    <w:r>
      <w:fldChar w:fldCharType="separate"/>
    </w:r>
    <w:r w:rsidR="00AB0339">
      <w:t>160090-EI</w:t>
    </w:r>
    <w:r>
      <w:fldChar w:fldCharType="end"/>
    </w:r>
    <w:r>
      <w:tab/>
      <w:t>Attachment A</w:t>
    </w:r>
  </w:p>
  <w:p w:rsidR="00611614" w:rsidRDefault="00611614">
    <w:pPr>
      <w:pStyle w:val="Header"/>
    </w:pPr>
    <w:r>
      <w:t xml:space="preserve">Date: </w:t>
    </w:r>
    <w:r w:rsidR="007E7ED7">
      <w:fldChar w:fldCharType="begin"/>
    </w:r>
    <w:r w:rsidR="007E7ED7">
      <w:instrText xml:space="preserve"> REF F</w:instrText>
    </w:r>
    <w:r w:rsidR="007E7ED7">
      <w:instrText xml:space="preserve">ilingDate </w:instrText>
    </w:r>
    <w:r w:rsidR="007E7ED7">
      <w:fldChar w:fldCharType="separate"/>
    </w:r>
    <w:r w:rsidR="00AB0339">
      <w:t>May 26, 2016</w:t>
    </w:r>
    <w:r w:rsidR="007E7ED7">
      <w:fldChar w:fldCharType="end"/>
    </w:r>
    <w:r>
      <w:t xml:space="preserve">                                                                                                     Page </w:t>
    </w:r>
    <w:r w:rsidR="003A3BA1">
      <w:t>6</w:t>
    </w:r>
    <w:r>
      <w:t xml:space="preserve">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7B194DE1"/>
    <w:multiLevelType w:val="multilevel"/>
    <w:tmpl w:val="E0943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481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E63AB"/>
    <w:rsid w:val="00010E37"/>
    <w:rsid w:val="00022F27"/>
    <w:rsid w:val="000247C5"/>
    <w:rsid w:val="000277C2"/>
    <w:rsid w:val="00035B48"/>
    <w:rsid w:val="00036CE2"/>
    <w:rsid w:val="000437FE"/>
    <w:rsid w:val="000513BE"/>
    <w:rsid w:val="00065A06"/>
    <w:rsid w:val="000666F3"/>
    <w:rsid w:val="00070DCB"/>
    <w:rsid w:val="00073120"/>
    <w:rsid w:val="000764D0"/>
    <w:rsid w:val="000813AC"/>
    <w:rsid w:val="000828D3"/>
    <w:rsid w:val="00086768"/>
    <w:rsid w:val="00087123"/>
    <w:rsid w:val="000A1D8E"/>
    <w:rsid w:val="000A2B57"/>
    <w:rsid w:val="000A418B"/>
    <w:rsid w:val="000C4431"/>
    <w:rsid w:val="000C5D48"/>
    <w:rsid w:val="000D4319"/>
    <w:rsid w:val="000E3B06"/>
    <w:rsid w:val="000E4E15"/>
    <w:rsid w:val="000E6804"/>
    <w:rsid w:val="000F374A"/>
    <w:rsid w:val="00116250"/>
    <w:rsid w:val="00117C8C"/>
    <w:rsid w:val="00124E2E"/>
    <w:rsid w:val="00125ED4"/>
    <w:rsid w:val="001305E9"/>
    <w:rsid w:val="001307AF"/>
    <w:rsid w:val="00135687"/>
    <w:rsid w:val="00163031"/>
    <w:rsid w:val="00171A90"/>
    <w:rsid w:val="00180254"/>
    <w:rsid w:val="00190525"/>
    <w:rsid w:val="00191E1F"/>
    <w:rsid w:val="00192943"/>
    <w:rsid w:val="001A7406"/>
    <w:rsid w:val="001B4FEE"/>
    <w:rsid w:val="001B51C5"/>
    <w:rsid w:val="001B6F3F"/>
    <w:rsid w:val="001C52B5"/>
    <w:rsid w:val="001D0D3E"/>
    <w:rsid w:val="001D72D8"/>
    <w:rsid w:val="001F2245"/>
    <w:rsid w:val="001F6DA1"/>
    <w:rsid w:val="002044E6"/>
    <w:rsid w:val="00205C82"/>
    <w:rsid w:val="00205DC2"/>
    <w:rsid w:val="002163B6"/>
    <w:rsid w:val="00220732"/>
    <w:rsid w:val="00221D32"/>
    <w:rsid w:val="00225C3F"/>
    <w:rsid w:val="002606B8"/>
    <w:rsid w:val="00263D44"/>
    <w:rsid w:val="002702AD"/>
    <w:rsid w:val="00292D82"/>
    <w:rsid w:val="002963CB"/>
    <w:rsid w:val="002A3038"/>
    <w:rsid w:val="002D226D"/>
    <w:rsid w:val="002F6030"/>
    <w:rsid w:val="003037E1"/>
    <w:rsid w:val="00307E51"/>
    <w:rsid w:val="003103EC"/>
    <w:rsid w:val="003144EF"/>
    <w:rsid w:val="0031548D"/>
    <w:rsid w:val="00320FB2"/>
    <w:rsid w:val="00321005"/>
    <w:rsid w:val="00322F74"/>
    <w:rsid w:val="00340073"/>
    <w:rsid w:val="00372805"/>
    <w:rsid w:val="00373180"/>
    <w:rsid w:val="00375AB9"/>
    <w:rsid w:val="003821A0"/>
    <w:rsid w:val="00382B84"/>
    <w:rsid w:val="00385B04"/>
    <w:rsid w:val="003864CF"/>
    <w:rsid w:val="003A22A6"/>
    <w:rsid w:val="003A3BA1"/>
    <w:rsid w:val="003A5494"/>
    <w:rsid w:val="003B2510"/>
    <w:rsid w:val="003C2CC4"/>
    <w:rsid w:val="003D244E"/>
    <w:rsid w:val="003E0EFC"/>
    <w:rsid w:val="003E4A2B"/>
    <w:rsid w:val="003E76C2"/>
    <w:rsid w:val="003F1679"/>
    <w:rsid w:val="003F4A35"/>
    <w:rsid w:val="003F7FDD"/>
    <w:rsid w:val="00402481"/>
    <w:rsid w:val="004042B4"/>
    <w:rsid w:val="00412DAE"/>
    <w:rsid w:val="00417ACE"/>
    <w:rsid w:val="00431598"/>
    <w:rsid w:val="00431611"/>
    <w:rsid w:val="004426B8"/>
    <w:rsid w:val="00444432"/>
    <w:rsid w:val="00471860"/>
    <w:rsid w:val="004B5EB9"/>
    <w:rsid w:val="004B60BD"/>
    <w:rsid w:val="004C3150"/>
    <w:rsid w:val="004C3641"/>
    <w:rsid w:val="004C4390"/>
    <w:rsid w:val="004C4AF7"/>
    <w:rsid w:val="004D2881"/>
    <w:rsid w:val="004D385F"/>
    <w:rsid w:val="004D5B39"/>
    <w:rsid w:val="004E330D"/>
    <w:rsid w:val="004E5147"/>
    <w:rsid w:val="0050652D"/>
    <w:rsid w:val="00506C03"/>
    <w:rsid w:val="00514AD1"/>
    <w:rsid w:val="00516496"/>
    <w:rsid w:val="0052572A"/>
    <w:rsid w:val="00543CB3"/>
    <w:rsid w:val="00560FF0"/>
    <w:rsid w:val="005614BD"/>
    <w:rsid w:val="0057154F"/>
    <w:rsid w:val="00581CA3"/>
    <w:rsid w:val="00587A44"/>
    <w:rsid w:val="00597730"/>
    <w:rsid w:val="0059778A"/>
    <w:rsid w:val="005977EC"/>
    <w:rsid w:val="00597DE7"/>
    <w:rsid w:val="005A4AA2"/>
    <w:rsid w:val="005B34B6"/>
    <w:rsid w:val="005B6C8F"/>
    <w:rsid w:val="005D0F74"/>
    <w:rsid w:val="005D2E7D"/>
    <w:rsid w:val="005D4A8F"/>
    <w:rsid w:val="005D561B"/>
    <w:rsid w:val="005F241C"/>
    <w:rsid w:val="005F468D"/>
    <w:rsid w:val="005F69A3"/>
    <w:rsid w:val="005F7323"/>
    <w:rsid w:val="00611614"/>
    <w:rsid w:val="00615423"/>
    <w:rsid w:val="006165B2"/>
    <w:rsid w:val="00617276"/>
    <w:rsid w:val="00625D97"/>
    <w:rsid w:val="00625F1C"/>
    <w:rsid w:val="00630CEB"/>
    <w:rsid w:val="00632264"/>
    <w:rsid w:val="00641202"/>
    <w:rsid w:val="006470BC"/>
    <w:rsid w:val="00667036"/>
    <w:rsid w:val="00673BDB"/>
    <w:rsid w:val="006771B8"/>
    <w:rsid w:val="0068481F"/>
    <w:rsid w:val="00696F5D"/>
    <w:rsid w:val="00697249"/>
    <w:rsid w:val="006B3947"/>
    <w:rsid w:val="006B4293"/>
    <w:rsid w:val="006B5F01"/>
    <w:rsid w:val="006B624F"/>
    <w:rsid w:val="006B63BE"/>
    <w:rsid w:val="006C31E3"/>
    <w:rsid w:val="006E08CB"/>
    <w:rsid w:val="006E598D"/>
    <w:rsid w:val="0070437D"/>
    <w:rsid w:val="00705B04"/>
    <w:rsid w:val="00734820"/>
    <w:rsid w:val="007349DC"/>
    <w:rsid w:val="0074365E"/>
    <w:rsid w:val="007515FD"/>
    <w:rsid w:val="00760D80"/>
    <w:rsid w:val="007752A8"/>
    <w:rsid w:val="00777910"/>
    <w:rsid w:val="00780C09"/>
    <w:rsid w:val="00780DDF"/>
    <w:rsid w:val="007834E9"/>
    <w:rsid w:val="00787DBC"/>
    <w:rsid w:val="00792935"/>
    <w:rsid w:val="007A04A1"/>
    <w:rsid w:val="007A1840"/>
    <w:rsid w:val="007C0027"/>
    <w:rsid w:val="007C0528"/>
    <w:rsid w:val="007C3D38"/>
    <w:rsid w:val="007D0F35"/>
    <w:rsid w:val="007D4FEB"/>
    <w:rsid w:val="007D5BE0"/>
    <w:rsid w:val="007D6146"/>
    <w:rsid w:val="007E0CE7"/>
    <w:rsid w:val="007F1193"/>
    <w:rsid w:val="007F417F"/>
    <w:rsid w:val="008042BD"/>
    <w:rsid w:val="00816624"/>
    <w:rsid w:val="008208B0"/>
    <w:rsid w:val="00822427"/>
    <w:rsid w:val="00822562"/>
    <w:rsid w:val="00823663"/>
    <w:rsid w:val="00827CE2"/>
    <w:rsid w:val="00831E1E"/>
    <w:rsid w:val="00832DDC"/>
    <w:rsid w:val="00844216"/>
    <w:rsid w:val="008451FF"/>
    <w:rsid w:val="00847D09"/>
    <w:rsid w:val="00850BAC"/>
    <w:rsid w:val="00854A3E"/>
    <w:rsid w:val="0085530B"/>
    <w:rsid w:val="00855D08"/>
    <w:rsid w:val="00874344"/>
    <w:rsid w:val="00882155"/>
    <w:rsid w:val="0088233B"/>
    <w:rsid w:val="0088599E"/>
    <w:rsid w:val="0088667B"/>
    <w:rsid w:val="00886C37"/>
    <w:rsid w:val="00892D99"/>
    <w:rsid w:val="008A0307"/>
    <w:rsid w:val="008B62AE"/>
    <w:rsid w:val="008C04B5"/>
    <w:rsid w:val="008C14FA"/>
    <w:rsid w:val="008D4057"/>
    <w:rsid w:val="008E1F19"/>
    <w:rsid w:val="008E78FB"/>
    <w:rsid w:val="008F2262"/>
    <w:rsid w:val="008F7736"/>
    <w:rsid w:val="0090019E"/>
    <w:rsid w:val="00901086"/>
    <w:rsid w:val="00901386"/>
    <w:rsid w:val="00901C8A"/>
    <w:rsid w:val="00905886"/>
    <w:rsid w:val="009070D6"/>
    <w:rsid w:val="009076C6"/>
    <w:rsid w:val="0091019E"/>
    <w:rsid w:val="009106F1"/>
    <w:rsid w:val="009145D6"/>
    <w:rsid w:val="00920E64"/>
    <w:rsid w:val="00922002"/>
    <w:rsid w:val="00924020"/>
    <w:rsid w:val="009271A7"/>
    <w:rsid w:val="0093658B"/>
    <w:rsid w:val="0093772F"/>
    <w:rsid w:val="009429FF"/>
    <w:rsid w:val="00945BD6"/>
    <w:rsid w:val="009479FB"/>
    <w:rsid w:val="00951C45"/>
    <w:rsid w:val="00951EA0"/>
    <w:rsid w:val="009525DD"/>
    <w:rsid w:val="009656F2"/>
    <w:rsid w:val="00966A08"/>
    <w:rsid w:val="00971207"/>
    <w:rsid w:val="00975CB4"/>
    <w:rsid w:val="009863B0"/>
    <w:rsid w:val="00987DE1"/>
    <w:rsid w:val="00990571"/>
    <w:rsid w:val="009953B6"/>
    <w:rsid w:val="0099673A"/>
    <w:rsid w:val="009A2E36"/>
    <w:rsid w:val="009A3330"/>
    <w:rsid w:val="009A7C96"/>
    <w:rsid w:val="009B49F8"/>
    <w:rsid w:val="009C3DB9"/>
    <w:rsid w:val="009D46E5"/>
    <w:rsid w:val="009D568A"/>
    <w:rsid w:val="009D7D6E"/>
    <w:rsid w:val="009F04EC"/>
    <w:rsid w:val="009F3B36"/>
    <w:rsid w:val="00A00C5A"/>
    <w:rsid w:val="00A019B9"/>
    <w:rsid w:val="00A12508"/>
    <w:rsid w:val="00A1282B"/>
    <w:rsid w:val="00A13A27"/>
    <w:rsid w:val="00A175B6"/>
    <w:rsid w:val="00A21835"/>
    <w:rsid w:val="00A24E39"/>
    <w:rsid w:val="00A27D6E"/>
    <w:rsid w:val="00A328EC"/>
    <w:rsid w:val="00A33A51"/>
    <w:rsid w:val="00A41CA6"/>
    <w:rsid w:val="00A47927"/>
    <w:rsid w:val="00A47FFC"/>
    <w:rsid w:val="00A5442F"/>
    <w:rsid w:val="00A54FF9"/>
    <w:rsid w:val="00A56765"/>
    <w:rsid w:val="00A675AC"/>
    <w:rsid w:val="00A7581F"/>
    <w:rsid w:val="00A90B38"/>
    <w:rsid w:val="00A92FB1"/>
    <w:rsid w:val="00A95A0C"/>
    <w:rsid w:val="00AA2765"/>
    <w:rsid w:val="00AA77B5"/>
    <w:rsid w:val="00AB0339"/>
    <w:rsid w:val="00AB6C5D"/>
    <w:rsid w:val="00AC51A7"/>
    <w:rsid w:val="00AD444B"/>
    <w:rsid w:val="00AD4FD5"/>
    <w:rsid w:val="00AD6C78"/>
    <w:rsid w:val="00AE2EAB"/>
    <w:rsid w:val="00AF5F89"/>
    <w:rsid w:val="00AF73CB"/>
    <w:rsid w:val="00B002D6"/>
    <w:rsid w:val="00B01F06"/>
    <w:rsid w:val="00B05B51"/>
    <w:rsid w:val="00B15370"/>
    <w:rsid w:val="00B17BEB"/>
    <w:rsid w:val="00B21A3C"/>
    <w:rsid w:val="00B223C0"/>
    <w:rsid w:val="00B234ED"/>
    <w:rsid w:val="00B25CA3"/>
    <w:rsid w:val="00B43AC0"/>
    <w:rsid w:val="00B509CF"/>
    <w:rsid w:val="00B57A6A"/>
    <w:rsid w:val="00B760F1"/>
    <w:rsid w:val="00B7669E"/>
    <w:rsid w:val="00B77DA1"/>
    <w:rsid w:val="00B831A9"/>
    <w:rsid w:val="00B907A5"/>
    <w:rsid w:val="00BA0D55"/>
    <w:rsid w:val="00BA37B3"/>
    <w:rsid w:val="00BA4CC6"/>
    <w:rsid w:val="00BB3493"/>
    <w:rsid w:val="00BB7468"/>
    <w:rsid w:val="00BC188A"/>
    <w:rsid w:val="00BF5010"/>
    <w:rsid w:val="00C13791"/>
    <w:rsid w:val="00C31BB3"/>
    <w:rsid w:val="00C36977"/>
    <w:rsid w:val="00C37DA7"/>
    <w:rsid w:val="00C477D9"/>
    <w:rsid w:val="00C60BA3"/>
    <w:rsid w:val="00C623F7"/>
    <w:rsid w:val="00C741E3"/>
    <w:rsid w:val="00C80D4D"/>
    <w:rsid w:val="00C81670"/>
    <w:rsid w:val="00C81773"/>
    <w:rsid w:val="00C82861"/>
    <w:rsid w:val="00C86896"/>
    <w:rsid w:val="00C907A8"/>
    <w:rsid w:val="00C92AAB"/>
    <w:rsid w:val="00C93211"/>
    <w:rsid w:val="00C942EC"/>
    <w:rsid w:val="00C96047"/>
    <w:rsid w:val="00C979D0"/>
    <w:rsid w:val="00CA0818"/>
    <w:rsid w:val="00CA2C8F"/>
    <w:rsid w:val="00CA30DA"/>
    <w:rsid w:val="00CA3A24"/>
    <w:rsid w:val="00CB1777"/>
    <w:rsid w:val="00CB33E9"/>
    <w:rsid w:val="00CC10A9"/>
    <w:rsid w:val="00CC25FB"/>
    <w:rsid w:val="00CE2BF8"/>
    <w:rsid w:val="00CE484E"/>
    <w:rsid w:val="00CE7DF9"/>
    <w:rsid w:val="00CF0DA8"/>
    <w:rsid w:val="00CF2E25"/>
    <w:rsid w:val="00CF4453"/>
    <w:rsid w:val="00CF5D94"/>
    <w:rsid w:val="00D002EE"/>
    <w:rsid w:val="00D034D7"/>
    <w:rsid w:val="00D04BE4"/>
    <w:rsid w:val="00D12565"/>
    <w:rsid w:val="00D14127"/>
    <w:rsid w:val="00D1725F"/>
    <w:rsid w:val="00D25C1D"/>
    <w:rsid w:val="00D52A1D"/>
    <w:rsid w:val="00D60F02"/>
    <w:rsid w:val="00D66E49"/>
    <w:rsid w:val="00D72F74"/>
    <w:rsid w:val="00D81563"/>
    <w:rsid w:val="00D85907"/>
    <w:rsid w:val="00D9073E"/>
    <w:rsid w:val="00D9221D"/>
    <w:rsid w:val="00D958DF"/>
    <w:rsid w:val="00D96DA1"/>
    <w:rsid w:val="00DA51E7"/>
    <w:rsid w:val="00DB1C78"/>
    <w:rsid w:val="00DB7D96"/>
    <w:rsid w:val="00DC23FE"/>
    <w:rsid w:val="00DC59E6"/>
    <w:rsid w:val="00DD150B"/>
    <w:rsid w:val="00DD5025"/>
    <w:rsid w:val="00DE63AB"/>
    <w:rsid w:val="00DF1510"/>
    <w:rsid w:val="00E06484"/>
    <w:rsid w:val="00E20A7D"/>
    <w:rsid w:val="00E275D8"/>
    <w:rsid w:val="00E375CA"/>
    <w:rsid w:val="00E567E8"/>
    <w:rsid w:val="00E64679"/>
    <w:rsid w:val="00E65EBC"/>
    <w:rsid w:val="00E73432"/>
    <w:rsid w:val="00E77B0C"/>
    <w:rsid w:val="00E77FB8"/>
    <w:rsid w:val="00E838B0"/>
    <w:rsid w:val="00E86A7C"/>
    <w:rsid w:val="00E878E1"/>
    <w:rsid w:val="00E87F2C"/>
    <w:rsid w:val="00E95278"/>
    <w:rsid w:val="00EA2273"/>
    <w:rsid w:val="00EB2DB3"/>
    <w:rsid w:val="00EB5F4F"/>
    <w:rsid w:val="00EB745A"/>
    <w:rsid w:val="00EC3FBB"/>
    <w:rsid w:val="00EC6B7A"/>
    <w:rsid w:val="00ED3A87"/>
    <w:rsid w:val="00ED5B67"/>
    <w:rsid w:val="00EF264C"/>
    <w:rsid w:val="00EF3FEE"/>
    <w:rsid w:val="00F04B59"/>
    <w:rsid w:val="00F11741"/>
    <w:rsid w:val="00F12B1C"/>
    <w:rsid w:val="00F13CF8"/>
    <w:rsid w:val="00F1534C"/>
    <w:rsid w:val="00F15855"/>
    <w:rsid w:val="00F32978"/>
    <w:rsid w:val="00F45CB2"/>
    <w:rsid w:val="00F544C0"/>
    <w:rsid w:val="00F55332"/>
    <w:rsid w:val="00F65519"/>
    <w:rsid w:val="00F67558"/>
    <w:rsid w:val="00F713C0"/>
    <w:rsid w:val="00F75DDC"/>
    <w:rsid w:val="00F7792F"/>
    <w:rsid w:val="00F842AA"/>
    <w:rsid w:val="00F8476F"/>
    <w:rsid w:val="00F853E1"/>
    <w:rsid w:val="00F94B7A"/>
    <w:rsid w:val="00FA17AC"/>
    <w:rsid w:val="00FA2C15"/>
    <w:rsid w:val="00FA32DE"/>
    <w:rsid w:val="00FA3382"/>
    <w:rsid w:val="00FA59CD"/>
    <w:rsid w:val="00FB1740"/>
    <w:rsid w:val="00FC4A8A"/>
    <w:rsid w:val="00FC5469"/>
    <w:rsid w:val="00FC6D7D"/>
    <w:rsid w:val="00FD16B0"/>
    <w:rsid w:val="00FD4FED"/>
    <w:rsid w:val="00FE0577"/>
    <w:rsid w:val="00FE0CE0"/>
    <w:rsid w:val="00FE59EC"/>
    <w:rsid w:val="00FF7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stand-out">
    <w:name w:val="stand-out"/>
    <w:basedOn w:val="Normal"/>
    <w:rsid w:val="00844216"/>
    <w:pPr>
      <w:spacing w:before="100" w:beforeAutospacing="1" w:after="100" w:afterAutospacing="1"/>
    </w:pPr>
  </w:style>
  <w:style w:type="character" w:styleId="FootnoteReference">
    <w:name w:val="footnote reference"/>
    <w:basedOn w:val="DefaultParagraphFont"/>
    <w:rsid w:val="00827CE2"/>
    <w:rPr>
      <w:vertAlign w:val="superscript"/>
    </w:rPr>
  </w:style>
  <w:style w:type="character" w:styleId="EndnoteReference">
    <w:name w:val="endnote reference"/>
    <w:basedOn w:val="DefaultParagraphFont"/>
    <w:rsid w:val="0059778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stand-out">
    <w:name w:val="stand-out"/>
    <w:basedOn w:val="Normal"/>
    <w:rsid w:val="00844216"/>
    <w:pPr>
      <w:spacing w:before="100" w:beforeAutospacing="1" w:after="100" w:afterAutospacing="1"/>
    </w:pPr>
  </w:style>
  <w:style w:type="character" w:styleId="FootnoteReference">
    <w:name w:val="footnote reference"/>
    <w:basedOn w:val="DefaultParagraphFont"/>
    <w:rsid w:val="00827CE2"/>
    <w:rPr>
      <w:vertAlign w:val="superscript"/>
    </w:rPr>
  </w:style>
  <w:style w:type="character" w:styleId="EndnoteReference">
    <w:name w:val="endnote reference"/>
    <w:basedOn w:val="DefaultParagraphFont"/>
    <w:rsid w:val="005977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586974">
      <w:bodyDiv w:val="1"/>
      <w:marLeft w:val="0"/>
      <w:marRight w:val="0"/>
      <w:marTop w:val="0"/>
      <w:marBottom w:val="0"/>
      <w:divBdr>
        <w:top w:val="none" w:sz="0" w:space="0" w:color="auto"/>
        <w:left w:val="none" w:sz="0" w:space="0" w:color="auto"/>
        <w:bottom w:val="none" w:sz="0" w:space="0" w:color="auto"/>
        <w:right w:val="none" w:sz="0" w:space="0" w:color="auto"/>
      </w:divBdr>
      <w:divsChild>
        <w:div w:id="455567637">
          <w:marLeft w:val="0"/>
          <w:marRight w:val="0"/>
          <w:marTop w:val="0"/>
          <w:marBottom w:val="0"/>
          <w:divBdr>
            <w:top w:val="none" w:sz="0" w:space="0" w:color="auto"/>
            <w:left w:val="none" w:sz="0" w:space="0" w:color="auto"/>
            <w:bottom w:val="none" w:sz="0" w:space="0" w:color="auto"/>
            <w:right w:val="none" w:sz="0" w:space="0" w:color="auto"/>
          </w:divBdr>
          <w:divsChild>
            <w:div w:id="530724782">
              <w:marLeft w:val="0"/>
              <w:marRight w:val="0"/>
              <w:marTop w:val="0"/>
              <w:marBottom w:val="0"/>
              <w:divBdr>
                <w:top w:val="none" w:sz="0" w:space="0" w:color="auto"/>
                <w:left w:val="none" w:sz="0" w:space="0" w:color="auto"/>
                <w:bottom w:val="none" w:sz="0" w:space="0" w:color="auto"/>
                <w:right w:val="none" w:sz="0" w:space="0" w:color="auto"/>
              </w:divBdr>
              <w:divsChild>
                <w:div w:id="18175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DC699-8164-4650-ACF1-61D07A86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11</Pages>
  <Words>1013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2016-05-25T14:26:00Z</cp:lastPrinted>
  <dcterms:created xsi:type="dcterms:W3CDTF">2016-05-26T14:09:00Z</dcterms:created>
  <dcterms:modified xsi:type="dcterms:W3CDTF">2016-05-26T14:09:00Z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160090-EI</vt:lpwstr>
  </property>
  <property fmtid="{D5CDD505-2E9C-101B-9397-08002B2CF9AE}" pid="3" name="MasterDocument">
    <vt:bool>false</vt:bool>
  </property>
</Properties>
</file>