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A79C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A79CC" w:rsidP="008A79CC">
            <w:pPr>
              <w:pStyle w:val="MemoHeading"/>
            </w:pPr>
            <w:bookmarkStart w:id="1" w:name="FilingDate"/>
            <w:r>
              <w:t>May 26,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A79CC" w:rsidRDefault="008A79CC">
            <w:pPr>
              <w:pStyle w:val="MemoHeading"/>
            </w:pPr>
            <w:bookmarkStart w:id="2" w:name="From"/>
            <w:r>
              <w:t>Division of Engineering (Mtenga, King)</w:t>
            </w:r>
          </w:p>
          <w:p w:rsidR="008A79CC" w:rsidRDefault="008A79CC">
            <w:pPr>
              <w:pStyle w:val="MemoHeading"/>
            </w:pPr>
            <w:r>
              <w:t>Division of Economics (Wu)</w:t>
            </w:r>
          </w:p>
          <w:p w:rsidR="007C0528" w:rsidRDefault="008A79CC">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A79CC">
            <w:pPr>
              <w:pStyle w:val="MemoHeadingRe"/>
            </w:pPr>
            <w:bookmarkStart w:id="3" w:name="Re"/>
            <w:r>
              <w:t>Docket No. 160027-EI – Petition for approval of new environmental program for cost recovery through Environmental Cost Recovery Clause,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A79CC" w:rsidP="009E75F3">
            <w:pPr>
              <w:pStyle w:val="MemoHeading"/>
            </w:pPr>
            <w:bookmarkStart w:id="4" w:name="AgendaDate"/>
            <w:r>
              <w:t>06/09/16</w:t>
            </w:r>
            <w:bookmarkEnd w:id="4"/>
            <w:r w:rsidR="007C0528">
              <w:t xml:space="preserve"> </w:t>
            </w:r>
            <w:r w:rsidR="009E75F3">
              <w:t xml:space="preserve"> – </w:t>
            </w:r>
            <w:bookmarkStart w:id="5" w:name="PermittedStatus"/>
            <w:r w:rsidR="009E75F3">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A79C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A79CC">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A79C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A79C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B7A2D" w:rsidRDefault="004B7A2D">
      <w:pPr>
        <w:pStyle w:val="BodyText"/>
      </w:pPr>
      <w:r>
        <w:t xml:space="preserve">On November 3, 2015, the Environmental Protection Agency (EPA) published </w:t>
      </w:r>
      <w:r w:rsidR="00F9663D">
        <w:t>its</w:t>
      </w:r>
      <w:r>
        <w:t xml:space="preserve"> final</w:t>
      </w:r>
      <w:r w:rsidR="00F9663D">
        <w:t xml:space="preserve"> rule titled </w:t>
      </w:r>
      <w:r>
        <w:t xml:space="preserve"> Steam Electric Power Generating Effluent Limitations Guidelines (ELG).</w:t>
      </w:r>
      <w:r w:rsidR="007D7B18">
        <w:rPr>
          <w:rStyle w:val="FootnoteReference"/>
        </w:rPr>
        <w:footnoteReference w:id="1"/>
      </w:r>
      <w:r w:rsidR="007B1730">
        <w:t xml:space="preserve"> </w:t>
      </w:r>
      <w:r>
        <w:t>The ELG establishes limits for wastewater discharge</w:t>
      </w:r>
      <w:r w:rsidR="009B61CA">
        <w:t>s from flue gas desulfurization</w:t>
      </w:r>
      <w:r>
        <w:t xml:space="preserve"> processes, fly ash and bottom ash transport water, leachate from ponds and landfills containing coal combustion residuals, gasification processes, and flue gas mercury controls.</w:t>
      </w:r>
      <w:r w:rsidR="0061185F">
        <w:t xml:space="preserve"> The monthly averages and daily maximums will be exceeded under current processes at the Big Bend </w:t>
      </w:r>
      <w:r w:rsidR="001E7867">
        <w:t>Station</w:t>
      </w:r>
      <w:r w:rsidR="0061185F">
        <w:t xml:space="preserve"> for </w:t>
      </w:r>
      <w:r w:rsidR="001E7867">
        <w:t>a</w:t>
      </w:r>
      <w:r w:rsidR="0061185F">
        <w:t xml:space="preserve">rsenic, </w:t>
      </w:r>
      <w:r w:rsidR="001E7867">
        <w:t>m</w:t>
      </w:r>
      <w:r w:rsidR="0061185F">
        <w:t xml:space="preserve">ercury and </w:t>
      </w:r>
      <w:r w:rsidR="001E7867">
        <w:t>s</w:t>
      </w:r>
      <w:r w:rsidR="0061185F">
        <w:t xml:space="preserve">elenium. </w:t>
      </w:r>
      <w:r>
        <w:t xml:space="preserve">The effective date of the rule </w:t>
      </w:r>
      <w:r w:rsidR="003A2B1B">
        <w:t>was</w:t>
      </w:r>
      <w:r>
        <w:t xml:space="preserve"> January 4, 2016.</w:t>
      </w:r>
    </w:p>
    <w:p w:rsidR="00155400" w:rsidRDefault="007F0D5B">
      <w:pPr>
        <w:pStyle w:val="BodyText"/>
      </w:pPr>
      <w:r>
        <w:lastRenderedPageBreak/>
        <w:t>On February 2, 2016, Tampa Electric Company (TECO or Company) petitioned the Florida Public Service Commission (Commission) to approve the Big Bend Station Effluent Limitations Guidel</w:t>
      </w:r>
      <w:r w:rsidR="007D7B18">
        <w:t>ines Compliance Study Program (Big Bend ELG Study Program</w:t>
      </w:r>
      <w:r>
        <w:t>) for cost recovery through the Environmental Cost Recovery Clause (ECRC).</w:t>
      </w:r>
      <w:r w:rsidR="000D3C5A">
        <w:t xml:space="preserve"> </w:t>
      </w:r>
      <w:r w:rsidR="005316A2">
        <w:t>The Company intends</w:t>
      </w:r>
      <w:r w:rsidR="00816707">
        <w:t xml:space="preserve"> to file </w:t>
      </w:r>
      <w:r w:rsidR="005316A2">
        <w:t>for ELG cost recovery at th</w:t>
      </w:r>
      <w:r w:rsidR="000D3C5A">
        <w:t>eir</w:t>
      </w:r>
      <w:r w:rsidR="005316A2">
        <w:t xml:space="preserve"> Polk Station at a later date.</w:t>
      </w:r>
      <w:r w:rsidR="00525B41">
        <w:t xml:space="preserve"> </w:t>
      </w:r>
      <w:r w:rsidR="005B5874">
        <w:t>No objections to the petition have been received</w:t>
      </w:r>
      <w:r w:rsidR="00155400">
        <w:t xml:space="preserve"> as of the filing of </w:t>
      </w:r>
      <w:r w:rsidR="005B5874">
        <w:t>this recommendation</w:t>
      </w:r>
      <w:r w:rsidR="00155400">
        <w:t>.</w:t>
      </w:r>
      <w:r w:rsidR="00525B41">
        <w:t xml:space="preserve"> </w:t>
      </w:r>
    </w:p>
    <w:p w:rsidR="0036460C" w:rsidRDefault="0036460C">
      <w:pPr>
        <w:pStyle w:val="BodyText"/>
      </w:pPr>
      <w:r>
        <w:t>By Section 366.8255, Florida Statutes (F.S.), the Florida Legislature authorized the recovery of prudently incurred environmental compliance costs through the</w:t>
      </w:r>
      <w:r w:rsidR="00A51F19">
        <w:t xml:space="preserve"> ECRC</w:t>
      </w:r>
      <w:r w:rsidR="001902D0">
        <w:t>.</w:t>
      </w:r>
      <w:r>
        <w:t xml:space="preserve"> The method for cost recovery of such costs was first established by Order No. PSC-94-0044-FOF-EI</w:t>
      </w:r>
      <w:r w:rsidR="009B2A70">
        <w:t>,</w:t>
      </w:r>
      <w:r>
        <w:t xml:space="preserve"> issued on January 12, 1994.</w:t>
      </w:r>
      <w:r w:rsidR="00911D99">
        <w:rPr>
          <w:rStyle w:val="FootnoteReference"/>
        </w:rPr>
        <w:footnoteReference w:id="2"/>
      </w:r>
      <w:r>
        <w:t xml:space="preserve"> The Commission has jurisdiction over this matter pursuant to Section 366.8255, F.S. </w:t>
      </w:r>
    </w:p>
    <w:p w:rsidR="005B5874" w:rsidRDefault="005B5874">
      <w:pPr>
        <w:pStyle w:val="BodyText"/>
      </w:pPr>
    </w:p>
    <w:p w:rsidR="005B5874" w:rsidRDefault="005B5874">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A79CC" w:rsidRDefault="008A79CC">
      <w:pPr>
        <w:pStyle w:val="IssueHeading"/>
        <w:rPr>
          <w:vanish/>
          <w:specVanish/>
        </w:rPr>
      </w:pPr>
      <w:r w:rsidRPr="004C3641">
        <w:t xml:space="preserve">Issue </w:t>
      </w:r>
      <w:r w:rsidR="002A4425">
        <w:fldChar w:fldCharType="begin"/>
      </w:r>
      <w:r w:rsidR="002A4425">
        <w:instrText xml:space="preserve"> SEQ Issue \* MERGEFORMAT </w:instrText>
      </w:r>
      <w:r w:rsidR="002A4425">
        <w:fldChar w:fldCharType="separate"/>
      </w:r>
      <w:r w:rsidR="00912DE2">
        <w:rPr>
          <w:noProof/>
        </w:rPr>
        <w:t>1</w:t>
      </w:r>
      <w:r w:rsidR="002A442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12DE2">
        <w:rPr>
          <w:noProof/>
        </w:rPr>
        <w:instrText>1</w:instrText>
      </w:r>
      <w:r>
        <w:fldChar w:fldCharType="end"/>
      </w:r>
      <w:r>
        <w:tab/>
        <w:instrText xml:space="preserve">" \l 1 </w:instrText>
      </w:r>
      <w:r>
        <w:fldChar w:fldCharType="end"/>
      </w:r>
      <w:r>
        <w:t> </w:t>
      </w:r>
    </w:p>
    <w:p w:rsidR="008A79CC" w:rsidRDefault="008A79CC">
      <w:pPr>
        <w:pStyle w:val="BodyText"/>
      </w:pPr>
      <w:r>
        <w:t> </w:t>
      </w:r>
      <w:r w:rsidR="00CF6F07">
        <w:t>Should the Commission approve Tampa Electric Company’s petition for approval of a new environmental program for cost recovery through the Environmental Cost Recovery Clause?</w:t>
      </w:r>
    </w:p>
    <w:p w:rsidR="008A79CC" w:rsidRPr="004C3641" w:rsidRDefault="008A79CC">
      <w:pPr>
        <w:pStyle w:val="IssueSubsectionHeading"/>
        <w:rPr>
          <w:vanish/>
          <w:specVanish/>
        </w:rPr>
      </w:pPr>
      <w:r w:rsidRPr="004C3641">
        <w:t>Recommendation: </w:t>
      </w:r>
    </w:p>
    <w:p w:rsidR="008A79CC" w:rsidRDefault="008A79CC">
      <w:pPr>
        <w:pStyle w:val="BodyText"/>
      </w:pPr>
      <w:r>
        <w:t> </w:t>
      </w:r>
      <w:r w:rsidR="00E8785B">
        <w:t>Yes. Staff recommends that the Commission approve TECO’s proposed Big Bend Station Effluent Limitations Guidelines Compliance Study</w:t>
      </w:r>
      <w:r w:rsidR="009B1BDD">
        <w:t xml:space="preserve"> Program for cost recovery through the E</w:t>
      </w:r>
      <w:r w:rsidR="00655090">
        <w:t>nvironmental Cost Recovery Clause</w:t>
      </w:r>
      <w:r w:rsidR="009B1BDD">
        <w:t>.</w:t>
      </w:r>
      <w:r w:rsidR="00E8785B">
        <w:t xml:space="preserve"> Staff recommends the</w:t>
      </w:r>
      <w:r w:rsidR="00F002B2">
        <w:t xml:space="preserve"> O&amp;M</w:t>
      </w:r>
      <w:r w:rsidR="00E8785B">
        <w:t xml:space="preserve"> cost</w:t>
      </w:r>
      <w:r w:rsidR="00F002B2">
        <w:t>s</w:t>
      </w:r>
      <w:r w:rsidR="00E8785B">
        <w:t xml:space="preserve"> associated with this new </w:t>
      </w:r>
      <w:r w:rsidR="00E8785B" w:rsidRPr="00566C06">
        <w:t>environmental</w:t>
      </w:r>
      <w:r w:rsidR="00461B2B" w:rsidRPr="00566C06">
        <w:t xml:space="preserve"> program</w:t>
      </w:r>
      <w:r w:rsidR="00E8785B" w:rsidRPr="00566C06">
        <w:t xml:space="preserve"> be</w:t>
      </w:r>
      <w:r w:rsidR="00E8785B">
        <w:t xml:space="preserve"> allocated to rate classes on an energy basis. (Mtenga) </w:t>
      </w:r>
    </w:p>
    <w:p w:rsidR="008A79CC" w:rsidRPr="004C3641" w:rsidRDefault="008A79CC">
      <w:pPr>
        <w:pStyle w:val="IssueSubsectionHeading"/>
        <w:rPr>
          <w:vanish/>
          <w:specVanish/>
        </w:rPr>
      </w:pPr>
      <w:r w:rsidRPr="004C3641">
        <w:t>Staff Analysis: </w:t>
      </w:r>
    </w:p>
    <w:p w:rsidR="008A79CC" w:rsidRDefault="008A79CC">
      <w:pPr>
        <w:pStyle w:val="BodyText"/>
      </w:pPr>
      <w:r>
        <w:t> </w:t>
      </w:r>
      <w:r w:rsidR="00022996">
        <w:t xml:space="preserve">The EPA’s </w:t>
      </w:r>
      <w:r w:rsidR="00EA29A6">
        <w:t>ELG rule establishes limits for wastewater discharges from flue gas desulfurization  processes, fly ash and bottom ash transport water, leachate from ponds and landfills containing coal combustion residuals, gasification processes, and flue gas mercury controls.</w:t>
      </w:r>
      <w:r w:rsidR="002F2DFB">
        <w:rPr>
          <w:rStyle w:val="FootnoteReference"/>
        </w:rPr>
        <w:footnoteReference w:id="3"/>
      </w:r>
      <w:r w:rsidR="00EA29A6">
        <w:t xml:space="preserve"> </w:t>
      </w:r>
      <w:r w:rsidR="00A55D54">
        <w:t>TECO</w:t>
      </w:r>
      <w:r w:rsidR="00C50D97">
        <w:t>’s</w:t>
      </w:r>
      <w:r w:rsidR="00A55D54">
        <w:t xml:space="preserve"> facilities</w:t>
      </w:r>
      <w:r w:rsidR="00C50D97">
        <w:t>,</w:t>
      </w:r>
      <w:r w:rsidR="00E0791E">
        <w:t xml:space="preserve"> including</w:t>
      </w:r>
      <w:r w:rsidR="00C50D97">
        <w:t xml:space="preserve"> four coal-fired steam electric power generating units equipped with a flue gas desulfurization system</w:t>
      </w:r>
      <w:r w:rsidR="00A55D54">
        <w:t xml:space="preserve"> located at the Big Bend Station</w:t>
      </w:r>
      <w:r w:rsidR="00E0791E">
        <w:t>,</w:t>
      </w:r>
      <w:r w:rsidR="00A55D54">
        <w:t xml:space="preserve"> are affected by the ELG. </w:t>
      </w:r>
      <w:r w:rsidR="003D7016">
        <w:t>Th</w:t>
      </w:r>
      <w:r w:rsidR="00671715">
        <w:t xml:space="preserve">e </w:t>
      </w:r>
      <w:r w:rsidR="004B241A">
        <w:t xml:space="preserve">generating </w:t>
      </w:r>
      <w:r w:rsidR="00C50D97">
        <w:t>unit</w:t>
      </w:r>
      <w:r w:rsidR="00671715">
        <w:t xml:space="preserve">s’ </w:t>
      </w:r>
      <w:r w:rsidR="003D7016">
        <w:t xml:space="preserve">treatment system will need to be modified or replaced in order to achieve compliance with the new EPA regulations. </w:t>
      </w:r>
      <w:r w:rsidR="007D3F41">
        <w:t xml:space="preserve">The Company is proposing the Big Bend ELG Study Program to determine the most appropriate ELG compliance measures for the Big Bend </w:t>
      </w:r>
      <w:r w:rsidR="00CD3E70">
        <w:t>S</w:t>
      </w:r>
      <w:r w:rsidR="007D3F41">
        <w:t xml:space="preserve">tation. </w:t>
      </w:r>
      <w:r w:rsidR="007F653E">
        <w:t>The measures selected in order to achieve ELG compliance will be the subject of a follow-up petition after completion of the Big Bend ELG Study Program and selection of the various compliance measures.</w:t>
      </w:r>
    </w:p>
    <w:p w:rsidR="00E44CBE" w:rsidRDefault="007F653E">
      <w:pPr>
        <w:pStyle w:val="BodyText"/>
      </w:pPr>
      <w:r>
        <w:t xml:space="preserve">The </w:t>
      </w:r>
      <w:r w:rsidR="00EA1D9C">
        <w:t>activities</w:t>
      </w:r>
      <w:r>
        <w:t xml:space="preserve"> planned by TECO for the Big Bend ELG </w:t>
      </w:r>
      <w:r w:rsidR="00E36CD9">
        <w:t>S</w:t>
      </w:r>
      <w:r w:rsidR="00094CE0">
        <w:t>tudy</w:t>
      </w:r>
      <w:r>
        <w:t xml:space="preserve"> </w:t>
      </w:r>
      <w:r w:rsidR="00E36CD9">
        <w:t>P</w:t>
      </w:r>
      <w:r>
        <w:t xml:space="preserve">rogram include </w:t>
      </w:r>
      <w:r w:rsidR="00684EBA">
        <w:t>expenditures</w:t>
      </w:r>
      <w:r>
        <w:t xml:space="preserve"> in 2016 to 2017.</w:t>
      </w:r>
      <w:r w:rsidR="00686073">
        <w:t xml:space="preserve"> </w:t>
      </w:r>
      <w:r>
        <w:t xml:space="preserve">The expected </w:t>
      </w:r>
      <w:r w:rsidR="00ED785E">
        <w:t>scope of work for the study includes</w:t>
      </w:r>
      <w:r>
        <w:t xml:space="preserve"> data review, site visits, design development</w:t>
      </w:r>
      <w:r w:rsidR="005F569D">
        <w:t>,</w:t>
      </w:r>
      <w:r>
        <w:t xml:space="preserve"> and technological evaluation</w:t>
      </w:r>
      <w:r w:rsidR="005F569D">
        <w:t>s</w:t>
      </w:r>
      <w:r>
        <w:t xml:space="preserve"> </w:t>
      </w:r>
      <w:r w:rsidR="005F569D">
        <w:t>including</w:t>
      </w:r>
      <w:r>
        <w:t xml:space="preserve"> a conceptual design of selected alternatives. The estimated amounts for the Big Bend ELG </w:t>
      </w:r>
      <w:r w:rsidR="00094CE0">
        <w:t>S</w:t>
      </w:r>
      <w:r>
        <w:t xml:space="preserve">tudy </w:t>
      </w:r>
      <w:r w:rsidR="00094CE0">
        <w:t>P</w:t>
      </w:r>
      <w:r>
        <w:t xml:space="preserve">rogram are detailed in Table 1-1 below. </w:t>
      </w:r>
    </w:p>
    <w:p w:rsidR="00E44CBE" w:rsidRDefault="00262113" w:rsidP="00262113">
      <w:pPr>
        <w:pStyle w:val="TableNumber"/>
        <w:keepNext/>
      </w:pPr>
      <w:r>
        <w:t xml:space="preserve">Table </w:t>
      </w:r>
      <w:r w:rsidR="002A4425">
        <w:fldChar w:fldCharType="begin"/>
      </w:r>
      <w:r w:rsidR="002A4425">
        <w:instrText xml:space="preserve"> SEQ Issue \c </w:instrText>
      </w:r>
      <w:r w:rsidR="002A4425">
        <w:fldChar w:fldCharType="separate"/>
      </w:r>
      <w:r w:rsidR="00912DE2">
        <w:rPr>
          <w:noProof/>
        </w:rPr>
        <w:t>1</w:t>
      </w:r>
      <w:r w:rsidR="002A4425">
        <w:rPr>
          <w:noProof/>
        </w:rPr>
        <w:fldChar w:fldCharType="end"/>
      </w:r>
      <w:r>
        <w:t>-1</w:t>
      </w:r>
    </w:p>
    <w:p w:rsidR="00262113" w:rsidRDefault="00262113" w:rsidP="00262113">
      <w:pPr>
        <w:pStyle w:val="TableTitle"/>
        <w:keepNext/>
      </w:pPr>
      <w:r>
        <w:t>Estimated Expenditures for Big Bend</w:t>
      </w:r>
      <w:r w:rsidR="00094CE0">
        <w:t xml:space="preserve"> ELG</w:t>
      </w:r>
      <w:r>
        <w:t xml:space="preserve"> Study Program </w:t>
      </w:r>
    </w:p>
    <w:tbl>
      <w:tblPr>
        <w:tblStyle w:val="TableGrid"/>
        <w:tblW w:w="0" w:type="auto"/>
        <w:tblLook w:val="04A0" w:firstRow="1" w:lastRow="0" w:firstColumn="1" w:lastColumn="0" w:noHBand="0" w:noVBand="1"/>
      </w:tblPr>
      <w:tblGrid>
        <w:gridCol w:w="3192"/>
        <w:gridCol w:w="3192"/>
        <w:gridCol w:w="3192"/>
      </w:tblGrid>
      <w:tr w:rsidR="00262113" w:rsidTr="00262113">
        <w:tc>
          <w:tcPr>
            <w:tcW w:w="3192" w:type="dxa"/>
          </w:tcPr>
          <w:p w:rsidR="00262113" w:rsidRDefault="00262113" w:rsidP="00262113"/>
        </w:tc>
        <w:tc>
          <w:tcPr>
            <w:tcW w:w="3192" w:type="dxa"/>
          </w:tcPr>
          <w:p w:rsidR="00262113" w:rsidRDefault="00262113" w:rsidP="009B61CA">
            <w:pPr>
              <w:jc w:val="center"/>
            </w:pPr>
            <w:r>
              <w:t>Year</w:t>
            </w:r>
          </w:p>
        </w:tc>
        <w:tc>
          <w:tcPr>
            <w:tcW w:w="3192" w:type="dxa"/>
          </w:tcPr>
          <w:p w:rsidR="00262113" w:rsidRDefault="00262113" w:rsidP="00FC5E92">
            <w:pPr>
              <w:jc w:val="center"/>
            </w:pPr>
            <w:r>
              <w:t xml:space="preserve">O&amp;M </w:t>
            </w:r>
            <w:r w:rsidR="00FC5E92">
              <w:t>Costs(</w:t>
            </w:r>
            <w:r>
              <w:t>$)</w:t>
            </w:r>
          </w:p>
        </w:tc>
      </w:tr>
      <w:tr w:rsidR="00262113" w:rsidTr="00262113">
        <w:tc>
          <w:tcPr>
            <w:tcW w:w="3192" w:type="dxa"/>
          </w:tcPr>
          <w:p w:rsidR="00262113" w:rsidRDefault="00262113" w:rsidP="009B61CA">
            <w:pPr>
              <w:jc w:val="center"/>
            </w:pPr>
            <w:r>
              <w:t>Phase 1</w:t>
            </w:r>
          </w:p>
        </w:tc>
        <w:tc>
          <w:tcPr>
            <w:tcW w:w="3192" w:type="dxa"/>
          </w:tcPr>
          <w:p w:rsidR="00262113" w:rsidRDefault="00262113" w:rsidP="009B61CA">
            <w:pPr>
              <w:jc w:val="center"/>
            </w:pPr>
            <w:r>
              <w:t>2016</w:t>
            </w:r>
          </w:p>
        </w:tc>
        <w:tc>
          <w:tcPr>
            <w:tcW w:w="3192" w:type="dxa"/>
          </w:tcPr>
          <w:p w:rsidR="00262113" w:rsidRDefault="00262113" w:rsidP="009B61CA">
            <w:pPr>
              <w:jc w:val="center"/>
            </w:pPr>
            <w:r>
              <w:t>100,000</w:t>
            </w:r>
          </w:p>
        </w:tc>
      </w:tr>
      <w:tr w:rsidR="00262113" w:rsidTr="00262113">
        <w:tc>
          <w:tcPr>
            <w:tcW w:w="3192" w:type="dxa"/>
          </w:tcPr>
          <w:p w:rsidR="00262113" w:rsidRDefault="00262113" w:rsidP="009B61CA">
            <w:pPr>
              <w:jc w:val="center"/>
            </w:pPr>
            <w:r>
              <w:t>Phase 2</w:t>
            </w:r>
          </w:p>
        </w:tc>
        <w:tc>
          <w:tcPr>
            <w:tcW w:w="3192" w:type="dxa"/>
          </w:tcPr>
          <w:p w:rsidR="00262113" w:rsidRDefault="00262113" w:rsidP="009B61CA">
            <w:pPr>
              <w:jc w:val="center"/>
            </w:pPr>
            <w:r>
              <w:t>2017</w:t>
            </w:r>
          </w:p>
        </w:tc>
        <w:tc>
          <w:tcPr>
            <w:tcW w:w="3192" w:type="dxa"/>
          </w:tcPr>
          <w:p w:rsidR="00262113" w:rsidRDefault="00262113" w:rsidP="009B61CA">
            <w:pPr>
              <w:jc w:val="center"/>
            </w:pPr>
            <w:r>
              <w:t>300,000</w:t>
            </w:r>
          </w:p>
        </w:tc>
      </w:tr>
    </w:tbl>
    <w:p w:rsidR="003B0B1A" w:rsidRPr="003B0B1A" w:rsidRDefault="00262113" w:rsidP="00DB223A">
      <w:pPr>
        <w:pStyle w:val="TableSource"/>
      </w:pPr>
      <w:r w:rsidRPr="00B96A88">
        <w:t>Source: TECO’s responses to staff’s first data request No. 8 and TECO petition</w:t>
      </w:r>
    </w:p>
    <w:p w:rsidR="00D16136" w:rsidRDefault="005E4920" w:rsidP="00336F5E">
      <w:pPr>
        <w:pStyle w:val="BodyText"/>
        <w:spacing w:after="0"/>
      </w:pPr>
      <w:r>
        <w:t xml:space="preserve">TECO provided high </w:t>
      </w:r>
      <w:r w:rsidR="00ED785E">
        <w:t>level cost</w:t>
      </w:r>
      <w:r>
        <w:t xml:space="preserve"> estimates based on experiences with </w:t>
      </w:r>
      <w:r w:rsidR="00094CE0">
        <w:t xml:space="preserve">previous </w:t>
      </w:r>
      <w:r>
        <w:t xml:space="preserve">studies and environmental compliance project management. Staff notes that the </w:t>
      </w:r>
      <w:r w:rsidR="00094CE0">
        <w:t>C</w:t>
      </w:r>
      <w:r>
        <w:t xml:space="preserve">ompany does not currently have a breakdown of the component </w:t>
      </w:r>
      <w:r w:rsidR="00E44CBE">
        <w:t>activities</w:t>
      </w:r>
      <w:r>
        <w:t>.</w:t>
      </w:r>
      <w:r w:rsidR="00911D99">
        <w:rPr>
          <w:rStyle w:val="FootnoteReference"/>
        </w:rPr>
        <w:footnoteReference w:id="4"/>
      </w:r>
      <w:r>
        <w:t xml:space="preserve"> </w:t>
      </w:r>
      <w:r w:rsidR="00D16136">
        <w:t xml:space="preserve">Table 1-2 below, shows the estimated residential customer bill impacts resulting from the compliance study program. </w:t>
      </w:r>
    </w:p>
    <w:p w:rsidR="00116F31" w:rsidRDefault="00116F31" w:rsidP="00336F5E">
      <w:pPr>
        <w:pStyle w:val="BodyText"/>
        <w:spacing w:after="0"/>
      </w:pPr>
    </w:p>
    <w:p w:rsidR="00262113" w:rsidRDefault="00262113" w:rsidP="00336F5E">
      <w:pPr>
        <w:pStyle w:val="TableNumber"/>
        <w:keepNext/>
        <w:spacing w:before="0"/>
      </w:pPr>
      <w:r>
        <w:lastRenderedPageBreak/>
        <w:t xml:space="preserve">Table </w:t>
      </w:r>
      <w:r w:rsidR="002A4425">
        <w:fldChar w:fldCharType="begin"/>
      </w:r>
      <w:r w:rsidR="002A4425">
        <w:instrText xml:space="preserve"> SEQ Issue \c </w:instrText>
      </w:r>
      <w:r w:rsidR="002A4425">
        <w:fldChar w:fldCharType="separate"/>
      </w:r>
      <w:r w:rsidR="00912DE2">
        <w:rPr>
          <w:noProof/>
        </w:rPr>
        <w:t>1</w:t>
      </w:r>
      <w:r w:rsidR="002A4425">
        <w:rPr>
          <w:noProof/>
        </w:rPr>
        <w:fldChar w:fldCharType="end"/>
      </w:r>
      <w:r>
        <w:t>-2</w:t>
      </w:r>
    </w:p>
    <w:p w:rsidR="00262113" w:rsidRDefault="00262113" w:rsidP="00336F5E">
      <w:pPr>
        <w:pStyle w:val="TableTitle"/>
        <w:keepNext/>
      </w:pPr>
      <w:r>
        <w:t>Estimated Residential Customer Bill Impacts</w:t>
      </w:r>
    </w:p>
    <w:tbl>
      <w:tblPr>
        <w:tblStyle w:val="TableGrid"/>
        <w:tblW w:w="0" w:type="auto"/>
        <w:tblLook w:val="04A0" w:firstRow="1" w:lastRow="0" w:firstColumn="1" w:lastColumn="0" w:noHBand="0" w:noVBand="1"/>
      </w:tblPr>
      <w:tblGrid>
        <w:gridCol w:w="3192"/>
        <w:gridCol w:w="3192"/>
        <w:gridCol w:w="3192"/>
      </w:tblGrid>
      <w:tr w:rsidR="00262113" w:rsidTr="00262113">
        <w:tc>
          <w:tcPr>
            <w:tcW w:w="3192" w:type="dxa"/>
          </w:tcPr>
          <w:p w:rsidR="00262113" w:rsidRDefault="00262113" w:rsidP="009B61CA">
            <w:pPr>
              <w:jc w:val="center"/>
            </w:pPr>
            <w:r>
              <w:t>Year</w:t>
            </w:r>
          </w:p>
        </w:tc>
        <w:tc>
          <w:tcPr>
            <w:tcW w:w="3192" w:type="dxa"/>
          </w:tcPr>
          <w:p w:rsidR="00262113" w:rsidRPr="009B61CA" w:rsidRDefault="00262113" w:rsidP="009B61CA">
            <w:pPr>
              <w:jc w:val="center"/>
            </w:pPr>
            <w:r w:rsidRPr="00B75555">
              <w:rPr>
                <w:sz w:val="22"/>
                <w:szCs w:val="22"/>
              </w:rPr>
              <w:t>¢/1,0</w:t>
            </w:r>
            <w:r w:rsidRPr="009B61CA">
              <w:rPr>
                <w:sz w:val="22"/>
                <w:szCs w:val="22"/>
              </w:rPr>
              <w:t>00 kWh</w:t>
            </w:r>
          </w:p>
        </w:tc>
        <w:tc>
          <w:tcPr>
            <w:tcW w:w="3192" w:type="dxa"/>
          </w:tcPr>
          <w:p w:rsidR="00262113" w:rsidRPr="009B61CA" w:rsidRDefault="00262113" w:rsidP="009B61CA">
            <w:pPr>
              <w:jc w:val="center"/>
            </w:pPr>
            <w:r w:rsidRPr="009B61CA">
              <w:rPr>
                <w:sz w:val="22"/>
                <w:szCs w:val="22"/>
              </w:rPr>
              <w:t>¢/ 1,200 kWh</w:t>
            </w:r>
          </w:p>
        </w:tc>
      </w:tr>
      <w:tr w:rsidR="00262113" w:rsidTr="00262113">
        <w:tc>
          <w:tcPr>
            <w:tcW w:w="3192" w:type="dxa"/>
          </w:tcPr>
          <w:p w:rsidR="00262113" w:rsidRDefault="00262113" w:rsidP="009B61CA">
            <w:pPr>
              <w:jc w:val="center"/>
            </w:pPr>
            <w:r>
              <w:t>2017</w:t>
            </w:r>
          </w:p>
        </w:tc>
        <w:tc>
          <w:tcPr>
            <w:tcW w:w="3192" w:type="dxa"/>
          </w:tcPr>
          <w:p w:rsidR="00262113" w:rsidRDefault="00262113" w:rsidP="009B61CA">
            <w:pPr>
              <w:jc w:val="center"/>
            </w:pPr>
            <w:r>
              <w:t>2.126</w:t>
            </w:r>
          </w:p>
        </w:tc>
        <w:tc>
          <w:tcPr>
            <w:tcW w:w="3192" w:type="dxa"/>
          </w:tcPr>
          <w:p w:rsidR="00262113" w:rsidRDefault="00262113" w:rsidP="009B61CA">
            <w:pPr>
              <w:jc w:val="center"/>
            </w:pPr>
            <w:r>
              <w:t>2.551</w:t>
            </w:r>
          </w:p>
        </w:tc>
      </w:tr>
      <w:tr w:rsidR="00262113" w:rsidTr="00262113">
        <w:tc>
          <w:tcPr>
            <w:tcW w:w="3192" w:type="dxa"/>
          </w:tcPr>
          <w:p w:rsidR="00262113" w:rsidRDefault="00262113" w:rsidP="009B61CA">
            <w:pPr>
              <w:jc w:val="center"/>
            </w:pPr>
            <w:r>
              <w:t>2018</w:t>
            </w:r>
          </w:p>
        </w:tc>
        <w:tc>
          <w:tcPr>
            <w:tcW w:w="3192" w:type="dxa"/>
          </w:tcPr>
          <w:p w:rsidR="00262113" w:rsidRDefault="00262113" w:rsidP="009B61CA">
            <w:pPr>
              <w:jc w:val="center"/>
            </w:pPr>
            <w:r>
              <w:t>0.000</w:t>
            </w:r>
          </w:p>
        </w:tc>
        <w:tc>
          <w:tcPr>
            <w:tcW w:w="3192" w:type="dxa"/>
          </w:tcPr>
          <w:p w:rsidR="00262113" w:rsidRDefault="00262113" w:rsidP="009B61CA">
            <w:pPr>
              <w:jc w:val="center"/>
            </w:pPr>
            <w:r>
              <w:t>0.000</w:t>
            </w:r>
          </w:p>
        </w:tc>
      </w:tr>
      <w:tr w:rsidR="00262113" w:rsidTr="00262113">
        <w:tc>
          <w:tcPr>
            <w:tcW w:w="3192" w:type="dxa"/>
          </w:tcPr>
          <w:p w:rsidR="00262113" w:rsidRDefault="00262113" w:rsidP="009B61CA">
            <w:pPr>
              <w:jc w:val="center"/>
            </w:pPr>
            <w:r>
              <w:t>2019</w:t>
            </w:r>
          </w:p>
        </w:tc>
        <w:tc>
          <w:tcPr>
            <w:tcW w:w="3192" w:type="dxa"/>
          </w:tcPr>
          <w:p w:rsidR="00262113" w:rsidRDefault="00262113" w:rsidP="009B61CA">
            <w:pPr>
              <w:jc w:val="center"/>
            </w:pPr>
            <w:r>
              <w:t>0.000</w:t>
            </w:r>
          </w:p>
        </w:tc>
        <w:tc>
          <w:tcPr>
            <w:tcW w:w="3192" w:type="dxa"/>
          </w:tcPr>
          <w:p w:rsidR="00262113" w:rsidRDefault="00262113" w:rsidP="009B61CA">
            <w:pPr>
              <w:jc w:val="center"/>
            </w:pPr>
            <w:r>
              <w:t>0.000</w:t>
            </w:r>
          </w:p>
        </w:tc>
      </w:tr>
    </w:tbl>
    <w:p w:rsidR="00D16136" w:rsidRPr="00E41D10" w:rsidRDefault="00262113" w:rsidP="00262113">
      <w:pPr>
        <w:pStyle w:val="TableSource"/>
      </w:pPr>
      <w:r w:rsidRPr="00E41D10">
        <w:t>Source: TECO’s response to staff’s first data request No. 10</w:t>
      </w:r>
    </w:p>
    <w:p w:rsidR="00E44CBE" w:rsidRDefault="00E44CBE">
      <w:pPr>
        <w:pStyle w:val="BodyText"/>
      </w:pPr>
      <w:r>
        <w:t>Based on the petition and TECO’s responses to staff data requests, staff recommends that the proposed</w:t>
      </w:r>
      <w:r w:rsidR="00AE288D">
        <w:t xml:space="preserve"> Big Bend</w:t>
      </w:r>
      <w:r>
        <w:t xml:space="preserve"> ELG </w:t>
      </w:r>
      <w:r w:rsidR="00606C8A">
        <w:t>S</w:t>
      </w:r>
      <w:r>
        <w:t xml:space="preserve">tudy </w:t>
      </w:r>
      <w:r w:rsidR="00606C8A">
        <w:t>P</w:t>
      </w:r>
      <w:r>
        <w:t>rogram is necessary for compliance with the EPA’s ELG rule.</w:t>
      </w:r>
    </w:p>
    <w:p w:rsidR="005426A9" w:rsidRDefault="005426A9">
      <w:pPr>
        <w:pStyle w:val="BodyText"/>
      </w:pPr>
      <w:r>
        <w:t>The criteria for ECRC recovery relevant to this docket, established by Order No. PSC-94-0</w:t>
      </w:r>
      <w:r w:rsidR="00CD3E70">
        <w:t>0</w:t>
      </w:r>
      <w:r>
        <w:t xml:space="preserve">44-FOF-EI, are: </w:t>
      </w:r>
    </w:p>
    <w:p w:rsidR="005426A9" w:rsidRDefault="005426A9" w:rsidP="005426A9">
      <w:pPr>
        <w:pStyle w:val="BodyText"/>
        <w:numPr>
          <w:ilvl w:val="0"/>
          <w:numId w:val="11"/>
        </w:numPr>
      </w:pPr>
      <w:r>
        <w:t xml:space="preserve">The activities are legally required to comply with governmentally imposed </w:t>
      </w:r>
      <w:r w:rsidR="00ED785E">
        <w:t>environmental</w:t>
      </w:r>
      <w:r>
        <w:t xml:space="preserve"> regulation enacted, became effective, or whose effect was triggered after the </w:t>
      </w:r>
      <w:r w:rsidR="00FD72C0">
        <w:t>c</w:t>
      </w:r>
      <w:r w:rsidR="00EA5FE6">
        <w:t>o</w:t>
      </w:r>
      <w:r>
        <w:t xml:space="preserve">mpany’s last test year upon which rates are based; and </w:t>
      </w:r>
    </w:p>
    <w:p w:rsidR="005426A9" w:rsidRDefault="005426A9" w:rsidP="005426A9">
      <w:pPr>
        <w:pStyle w:val="BodyText"/>
        <w:numPr>
          <w:ilvl w:val="0"/>
          <w:numId w:val="11"/>
        </w:numPr>
      </w:pPr>
      <w:r>
        <w:t xml:space="preserve">None of the </w:t>
      </w:r>
      <w:r w:rsidR="00ED785E">
        <w:t>expenditures</w:t>
      </w:r>
      <w:r>
        <w:t xml:space="preserve"> are being recovered </w:t>
      </w:r>
      <w:r w:rsidR="00ED785E">
        <w:t>through</w:t>
      </w:r>
      <w:r>
        <w:t xml:space="preserve"> some other cost recovery </w:t>
      </w:r>
      <w:r w:rsidR="00ED785E">
        <w:t>mechanisms</w:t>
      </w:r>
      <w:r>
        <w:t xml:space="preserve"> or through base rates. </w:t>
      </w:r>
    </w:p>
    <w:p w:rsidR="005426A9" w:rsidRDefault="005426A9" w:rsidP="005426A9">
      <w:pPr>
        <w:pStyle w:val="BodyText"/>
      </w:pPr>
      <w:r>
        <w:t xml:space="preserve">Based on staff’s analysis of the docket material, the </w:t>
      </w:r>
      <w:r w:rsidR="00ED785E">
        <w:t>activities</w:t>
      </w:r>
      <w:r>
        <w:t xml:space="preserve"> proposed in TECO’s petition meet these </w:t>
      </w:r>
      <w:r w:rsidR="00ED785E">
        <w:t>criteria</w:t>
      </w:r>
      <w:r>
        <w:t xml:space="preserve">. Staff recommends that, based on the </w:t>
      </w:r>
      <w:r w:rsidR="00ED785E">
        <w:t>information</w:t>
      </w:r>
      <w:r>
        <w:t xml:space="preserve"> in the docket file and in the ELG rule</w:t>
      </w:r>
      <w:r w:rsidR="00DA6226">
        <w:t>,</w:t>
      </w:r>
      <w:r w:rsidR="00606C8A">
        <w:t xml:space="preserve"> </w:t>
      </w:r>
      <w:r>
        <w:t xml:space="preserve">these </w:t>
      </w:r>
      <w:r w:rsidR="000C4A19">
        <w:t>activities</w:t>
      </w:r>
      <w:r>
        <w:t xml:space="preserve"> are essential projects that would not be necessary but for TECO’s obligation to comply with government-imposed </w:t>
      </w:r>
      <w:r w:rsidR="00ED785E">
        <w:t>environmental</w:t>
      </w:r>
      <w:r>
        <w:t xml:space="preserve"> regulation.</w:t>
      </w:r>
      <w:r w:rsidR="00287952" w:rsidRPr="00287952">
        <w:rPr>
          <w:rStyle w:val="FootnoteReference"/>
        </w:rPr>
        <w:t xml:space="preserve"> </w:t>
      </w:r>
      <w:r w:rsidR="00287952">
        <w:rPr>
          <w:rStyle w:val="FootnoteReference"/>
        </w:rPr>
        <w:footnoteReference w:id="5"/>
      </w:r>
      <w:r>
        <w:t xml:space="preserve"> The need for these compliance </w:t>
      </w:r>
      <w:r w:rsidR="00ED785E">
        <w:t>activities</w:t>
      </w:r>
      <w:r>
        <w:t xml:space="preserve"> was </w:t>
      </w:r>
      <w:r w:rsidR="00ED785E">
        <w:t>triggered</w:t>
      </w:r>
      <w:r>
        <w:t xml:space="preserve"> after TECO’s last test year upon which rates are </w:t>
      </w:r>
      <w:r w:rsidR="00ED785E">
        <w:t>currently</w:t>
      </w:r>
      <w:r>
        <w:t xml:space="preserve"> based.</w:t>
      </w:r>
      <w:r w:rsidR="00911D99">
        <w:rPr>
          <w:rStyle w:val="FootnoteReference"/>
        </w:rPr>
        <w:footnoteReference w:id="6"/>
      </w:r>
      <w:r w:rsidR="00D35816">
        <w:t xml:space="preserve"> </w:t>
      </w:r>
      <w:r>
        <w:t xml:space="preserve">Finally, the costs of the proposed compliance </w:t>
      </w:r>
      <w:r w:rsidR="00AE288D">
        <w:t xml:space="preserve"> study </w:t>
      </w:r>
      <w:r w:rsidR="00ED785E">
        <w:t>activities</w:t>
      </w:r>
      <w:r>
        <w:t xml:space="preserve"> are not currently being recovered through some other cost recovery </w:t>
      </w:r>
      <w:r w:rsidR="00ED785E">
        <w:t>mechanisms</w:t>
      </w:r>
      <w:r>
        <w:t xml:space="preserve"> or through base rates. </w:t>
      </w:r>
    </w:p>
    <w:p w:rsidR="00743380" w:rsidRDefault="005426A9" w:rsidP="005426A9">
      <w:pPr>
        <w:pStyle w:val="BodyText"/>
      </w:pPr>
      <w:r>
        <w:t xml:space="preserve">Staff notes that the resonanableness and prudence of the </w:t>
      </w:r>
      <w:r w:rsidR="00ED785E">
        <w:t>individual</w:t>
      </w:r>
      <w:r>
        <w:t xml:space="preserve"> </w:t>
      </w:r>
      <w:r w:rsidR="00ED785E">
        <w:t>expenditures</w:t>
      </w:r>
      <w:r>
        <w:t xml:space="preserve"> </w:t>
      </w:r>
      <w:r w:rsidR="00ED785E">
        <w:t>related</w:t>
      </w:r>
      <w:r>
        <w:t xml:space="preserve"> to TECO’s </w:t>
      </w:r>
      <w:r w:rsidR="00020FB9">
        <w:t xml:space="preserve">Big Bend ELG Study Program </w:t>
      </w:r>
      <w:r>
        <w:t xml:space="preserve">will continue to be subject to the Commission’s review in future ECRC </w:t>
      </w:r>
      <w:r w:rsidR="00ED785E">
        <w:t>proceedings</w:t>
      </w:r>
      <w:r>
        <w:t xml:space="preserve">. </w:t>
      </w:r>
    </w:p>
    <w:p w:rsidR="000C4A19" w:rsidRDefault="000C4A19" w:rsidP="000C4A19">
      <w:pPr>
        <w:pStyle w:val="First-LevelSubheading"/>
      </w:pPr>
      <w:r>
        <w:t xml:space="preserve">Conclusion </w:t>
      </w:r>
    </w:p>
    <w:p w:rsidR="007D3F41" w:rsidRDefault="005426A9">
      <w:pPr>
        <w:pStyle w:val="BodyText"/>
      </w:pPr>
      <w:r>
        <w:t xml:space="preserve">Staff recommends that the Commission approve TECO’s </w:t>
      </w:r>
      <w:r w:rsidR="0044380D">
        <w:t>proposed</w:t>
      </w:r>
      <w:r>
        <w:t xml:space="preserve"> </w:t>
      </w:r>
      <w:r w:rsidR="00020FB9">
        <w:t xml:space="preserve">Big Bend ELG Study Program </w:t>
      </w:r>
      <w:r>
        <w:t>for cost recovery through t</w:t>
      </w:r>
      <w:r w:rsidR="00766A3F">
        <w:t xml:space="preserve">he ECRC. Staff recommends </w:t>
      </w:r>
      <w:r>
        <w:t xml:space="preserve">the </w:t>
      </w:r>
      <w:r w:rsidR="00F002B2">
        <w:t xml:space="preserve">O&amp;M </w:t>
      </w:r>
      <w:r>
        <w:t>cost</w:t>
      </w:r>
      <w:r w:rsidR="00F002B2">
        <w:t>s</w:t>
      </w:r>
      <w:r>
        <w:t xml:space="preserve"> associated with this new </w:t>
      </w:r>
      <w:r w:rsidR="00ED785E">
        <w:t>environmental</w:t>
      </w:r>
      <w:r>
        <w:t xml:space="preserve"> program be allocated to rate classes based on energy basis. </w:t>
      </w:r>
    </w:p>
    <w:p w:rsidR="008A79CC" w:rsidRDefault="008A79CC">
      <w:pPr>
        <w:pStyle w:val="IssueHeading"/>
        <w:rPr>
          <w:vanish/>
          <w:specVanish/>
        </w:rPr>
      </w:pPr>
      <w:r w:rsidRPr="004C3641">
        <w:rPr>
          <w:b w:val="0"/>
          <w:i w:val="0"/>
        </w:rPr>
        <w:br w:type="page"/>
      </w:r>
      <w:r w:rsidRPr="004C3641">
        <w:lastRenderedPageBreak/>
        <w:t xml:space="preserve">Issue </w:t>
      </w:r>
      <w:r w:rsidR="002A4425">
        <w:fldChar w:fldCharType="begin"/>
      </w:r>
      <w:r w:rsidR="002A4425">
        <w:instrText xml:space="preserve"> SEQ Issue \* MERGEFORMAT </w:instrText>
      </w:r>
      <w:r w:rsidR="002A4425">
        <w:fldChar w:fldCharType="separate"/>
      </w:r>
      <w:r w:rsidR="00912DE2">
        <w:rPr>
          <w:noProof/>
        </w:rPr>
        <w:t>2</w:t>
      </w:r>
      <w:r w:rsidR="002A442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12DE2">
        <w:rPr>
          <w:noProof/>
        </w:rPr>
        <w:instrText>2</w:instrText>
      </w:r>
      <w:r>
        <w:fldChar w:fldCharType="end"/>
      </w:r>
      <w:r>
        <w:tab/>
        <w:instrText xml:space="preserve">" \l 1 </w:instrText>
      </w:r>
      <w:r>
        <w:fldChar w:fldCharType="end"/>
      </w:r>
      <w:r>
        <w:t> </w:t>
      </w:r>
    </w:p>
    <w:p w:rsidR="008A79CC" w:rsidRDefault="008A79CC">
      <w:pPr>
        <w:pStyle w:val="BodyText"/>
      </w:pPr>
      <w:r>
        <w:t> Should this docket be closed?</w:t>
      </w:r>
    </w:p>
    <w:p w:rsidR="008A79CC" w:rsidRPr="004C3641" w:rsidRDefault="008A79CC">
      <w:pPr>
        <w:pStyle w:val="IssueSubsectionHeading"/>
        <w:rPr>
          <w:vanish/>
          <w:specVanish/>
        </w:rPr>
      </w:pPr>
      <w:r w:rsidRPr="004C3641">
        <w:t>Recommendation: </w:t>
      </w:r>
    </w:p>
    <w:p w:rsidR="008A79CC" w:rsidRDefault="008A79CC">
      <w:pPr>
        <w:pStyle w:val="BodyText"/>
      </w:pPr>
      <w:r>
        <w:t> </w:t>
      </w:r>
      <w:r w:rsidR="00757880">
        <w:t xml:space="preserve">Yes. This docket should be closed upon issuance of a Consummating Order unless a person whose substantial interests are affected by the Commission’s decision files a protest within 21 days of the issuance of the proposed agency action. </w:t>
      </w:r>
      <w:r w:rsidR="000C4A19">
        <w:t xml:space="preserve">(Murphy) </w:t>
      </w:r>
      <w:r>
        <w:t xml:space="preserve"> </w:t>
      </w:r>
    </w:p>
    <w:p w:rsidR="008A79CC" w:rsidRPr="004C3641" w:rsidRDefault="008A79CC">
      <w:pPr>
        <w:pStyle w:val="IssueSubsectionHeading"/>
        <w:rPr>
          <w:vanish/>
          <w:specVanish/>
        </w:rPr>
      </w:pPr>
      <w:r w:rsidRPr="004C3641">
        <w:t>Staff Analysis: </w:t>
      </w:r>
    </w:p>
    <w:p w:rsidR="008A79CC" w:rsidRDefault="008A79CC">
      <w:pPr>
        <w:pStyle w:val="BodyText"/>
      </w:pPr>
      <w:r>
        <w:t> </w:t>
      </w:r>
      <w:r w:rsidR="00757880">
        <w:t xml:space="preserve">If no timely protest to the proposed agency action is filed within 21 days, this docket should be closed upon issuance of a Consummating Order, unless a person whose </w:t>
      </w:r>
      <w:r w:rsidR="009C74DA">
        <w:t>substantial</w:t>
      </w:r>
      <w:r w:rsidR="00757880">
        <w:t xml:space="preserve"> interests are affected by the Commission’s decision files a protest within 21 days of the issuance of the proposed agency action.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CC" w:rsidRDefault="008A79CC">
      <w:r>
        <w:separator/>
      </w:r>
    </w:p>
  </w:endnote>
  <w:endnote w:type="continuationSeparator" w:id="0">
    <w:p w:rsidR="008A79CC" w:rsidRDefault="008A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16560">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CC" w:rsidRDefault="008A79CC">
      <w:r>
        <w:separator/>
      </w:r>
    </w:p>
  </w:footnote>
  <w:footnote w:type="continuationSeparator" w:id="0">
    <w:p w:rsidR="008A79CC" w:rsidRDefault="008A79CC">
      <w:r>
        <w:continuationSeparator/>
      </w:r>
    </w:p>
  </w:footnote>
  <w:footnote w:id="1">
    <w:p w:rsidR="007D7B18" w:rsidRDefault="007D7B18">
      <w:pPr>
        <w:pStyle w:val="FootnoteText"/>
      </w:pPr>
      <w:r>
        <w:rPr>
          <w:rStyle w:val="FootnoteReference"/>
        </w:rPr>
        <w:footnoteRef/>
      </w:r>
      <w:r w:rsidR="00542A18">
        <w:t>80 Fed. Reg. 67,838, 67,893  (Nov. 3, 2015) (to be codified at 40 CFR Part 423)</w:t>
      </w:r>
      <w:r w:rsidR="00C748FF">
        <w:t>.</w:t>
      </w:r>
      <w:r>
        <w:t xml:space="preserve"> </w:t>
      </w:r>
    </w:p>
  </w:footnote>
  <w:footnote w:id="2">
    <w:p w:rsidR="00911D99" w:rsidRPr="00911D99" w:rsidRDefault="00911D99">
      <w:pPr>
        <w:pStyle w:val="FootnoteText"/>
        <w:rPr>
          <w:i/>
        </w:rPr>
      </w:pPr>
      <w:r>
        <w:rPr>
          <w:rStyle w:val="FootnoteReference"/>
        </w:rPr>
        <w:footnoteRef/>
      </w:r>
      <w:r w:rsidR="0017247A">
        <w:t xml:space="preserve">See </w:t>
      </w:r>
      <w:r>
        <w:t>Order No. PSC-94-0</w:t>
      </w:r>
      <w:r w:rsidR="00541605">
        <w:t>0</w:t>
      </w:r>
      <w:r>
        <w:t>44-FOF-EI issued January 12, 1994, in Docket No. 930613-EI,</w:t>
      </w:r>
      <w:r w:rsidR="006539B7">
        <w:t xml:space="preserve"> </w:t>
      </w:r>
      <w:r w:rsidRPr="00566C06">
        <w:rPr>
          <w:i/>
        </w:rPr>
        <w:t xml:space="preserve"> In</w:t>
      </w:r>
      <w:r w:rsidRPr="00911D99">
        <w:rPr>
          <w:i/>
        </w:rPr>
        <w:t xml:space="preserve"> re: Petition to establish an environmental cost recovery clause pursuant to Section 366.0825, Flori</w:t>
      </w:r>
      <w:r w:rsidR="00186B12">
        <w:rPr>
          <w:i/>
        </w:rPr>
        <w:t>da Statutes by Gulf Power Company.</w:t>
      </w:r>
      <w:r w:rsidRPr="00911D99">
        <w:rPr>
          <w:i/>
        </w:rPr>
        <w:t xml:space="preserve"> </w:t>
      </w:r>
    </w:p>
  </w:footnote>
  <w:footnote w:id="3">
    <w:p w:rsidR="002F2DFB" w:rsidRDefault="002F2DFB">
      <w:pPr>
        <w:pStyle w:val="FootnoteText"/>
      </w:pPr>
      <w:r>
        <w:rPr>
          <w:rStyle w:val="FootnoteReference"/>
        </w:rPr>
        <w:footnoteRef/>
      </w:r>
      <w:r w:rsidR="00AD1273">
        <w:t xml:space="preserve">80 Fed. Reg. 67,838, 67,893  (Nov. 3, 2015) (to be codified at 40 CFR Part 423). </w:t>
      </w:r>
    </w:p>
  </w:footnote>
  <w:footnote w:id="4">
    <w:p w:rsidR="00911D99" w:rsidRDefault="00911D99">
      <w:pPr>
        <w:pStyle w:val="FootnoteText"/>
      </w:pPr>
      <w:r>
        <w:rPr>
          <w:rStyle w:val="FootnoteReference"/>
        </w:rPr>
        <w:footnoteRef/>
      </w:r>
      <w:r>
        <w:t>TECO’s responses to staff’s first data request No. 8</w:t>
      </w:r>
      <w:r w:rsidR="00116F31">
        <w:t>.</w:t>
      </w:r>
      <w:r>
        <w:t xml:space="preserve"> </w:t>
      </w:r>
    </w:p>
  </w:footnote>
  <w:footnote w:id="5">
    <w:p w:rsidR="00287952" w:rsidRDefault="00287952" w:rsidP="00287952">
      <w:pPr>
        <w:pStyle w:val="FootnoteText"/>
      </w:pPr>
      <w:r>
        <w:rPr>
          <w:rStyle w:val="FootnoteReference"/>
        </w:rPr>
        <w:footnoteRef/>
      </w:r>
      <w:r>
        <w:t>40 C.F.R Part 423.11(n).</w:t>
      </w:r>
    </w:p>
  </w:footnote>
  <w:footnote w:id="6">
    <w:p w:rsidR="00911D99" w:rsidRPr="005B1EE9" w:rsidRDefault="00911D99">
      <w:pPr>
        <w:pStyle w:val="FootnoteText"/>
        <w:rPr>
          <w:i/>
        </w:rPr>
      </w:pPr>
      <w:r>
        <w:rPr>
          <w:rStyle w:val="FootnoteReference"/>
        </w:rPr>
        <w:footnoteRef/>
      </w:r>
      <w:r w:rsidR="00A276CD">
        <w:t>See</w:t>
      </w:r>
      <w:r w:rsidR="00257D6C">
        <w:t xml:space="preserve"> </w:t>
      </w:r>
      <w:r>
        <w:t>Order No. PSC-13-0443-FOF-EI issued September 20, 2013</w:t>
      </w:r>
      <w:r w:rsidR="0019368C">
        <w:t>,</w:t>
      </w:r>
      <w:r w:rsidR="005B1EE9">
        <w:t xml:space="preserve"> in Docket 130040-EI</w:t>
      </w:r>
      <w:r w:rsidR="00FB3486">
        <w:t>,</w:t>
      </w:r>
      <w:r w:rsidR="005B1EE9">
        <w:t xml:space="preserve"> </w:t>
      </w:r>
      <w:r w:rsidR="00FB3486" w:rsidRPr="00FB3486">
        <w:rPr>
          <w:i/>
        </w:rPr>
        <w:t>I</w:t>
      </w:r>
      <w:r w:rsidR="005B1EE9" w:rsidRPr="00FB3486">
        <w:rPr>
          <w:i/>
        </w:rPr>
        <w:t>n r</w:t>
      </w:r>
      <w:r w:rsidR="005B1EE9" w:rsidRPr="005B1EE9">
        <w:rPr>
          <w:i/>
        </w:rPr>
        <w:t>e: Petition for rate increase by Tampa Electric Company</w:t>
      </w:r>
      <w:r w:rsidR="00484F27">
        <w:rPr>
          <w:i/>
        </w:rPr>
        <w:t>.</w:t>
      </w:r>
      <w:r w:rsidR="005B1EE9" w:rsidRPr="005B1EE9">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8A79CC"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160027-EI</w:t>
    </w:r>
    <w:bookmarkEnd w:id="15"/>
  </w:p>
  <w:p w:rsidR="004E330D" w:rsidRDefault="004E330D">
    <w:pPr>
      <w:pStyle w:val="Header"/>
    </w:pPr>
    <w:r>
      <w:t xml:space="preserve">Date: </w:t>
    </w:r>
    <w:r w:rsidR="002A4425">
      <w:fldChar w:fldCharType="begin"/>
    </w:r>
    <w:r w:rsidR="002A4425">
      <w:instrText xml:space="preserve"> REF FilingDate </w:instrText>
    </w:r>
    <w:r w:rsidR="002A4425">
      <w:fldChar w:fldCharType="separate"/>
    </w:r>
    <w:r w:rsidR="00912DE2">
      <w:t>May 26, 2016</w:t>
    </w:r>
    <w:r w:rsidR="002A442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912DE2">
      <w:t>Docket No.</w:t>
    </w:r>
    <w:r>
      <w:fldChar w:fldCharType="end"/>
    </w:r>
    <w:r>
      <w:t xml:space="preserve"> </w:t>
    </w:r>
    <w:r>
      <w:fldChar w:fldCharType="begin"/>
    </w:r>
    <w:r>
      <w:instrText xml:space="preserve"> REF DocketList</w:instrText>
    </w:r>
    <w:r>
      <w:fldChar w:fldCharType="separate"/>
    </w:r>
    <w:r w:rsidR="00912DE2">
      <w:t>160027-EI</w:t>
    </w:r>
    <w:r>
      <w:fldChar w:fldCharType="end"/>
    </w:r>
    <w:r>
      <w:tab/>
      <w:t xml:space="preserve">Issue </w:t>
    </w:r>
    <w:r w:rsidR="002A4425">
      <w:fldChar w:fldCharType="begin"/>
    </w:r>
    <w:r w:rsidR="002A4425">
      <w:instrText xml:space="preserve"> Seq Issue \c \* Arabic </w:instrText>
    </w:r>
    <w:r w:rsidR="002A4425">
      <w:fldChar w:fldCharType="separate"/>
    </w:r>
    <w:r w:rsidR="00016560">
      <w:rPr>
        <w:noProof/>
      </w:rPr>
      <w:t>2</w:t>
    </w:r>
    <w:r w:rsidR="002A4425">
      <w:rPr>
        <w:noProof/>
      </w:rPr>
      <w:fldChar w:fldCharType="end"/>
    </w:r>
  </w:p>
  <w:p w:rsidR="004E330D" w:rsidRDefault="004E330D">
    <w:pPr>
      <w:pStyle w:val="Header"/>
    </w:pPr>
    <w:r>
      <w:t xml:space="preserve">Date: </w:t>
    </w:r>
    <w:r w:rsidR="002A4425">
      <w:fldChar w:fldCharType="begin"/>
    </w:r>
    <w:r w:rsidR="002A4425">
      <w:instrText xml:space="preserve"> REF FilingDate </w:instrText>
    </w:r>
    <w:r w:rsidR="002A4425">
      <w:fldChar w:fldCharType="separate"/>
    </w:r>
    <w:r w:rsidR="00912DE2">
      <w:t>May 26, 2016</w:t>
    </w:r>
    <w:r w:rsidR="002A442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D1C5378"/>
    <w:multiLevelType w:val="hybridMultilevel"/>
    <w:tmpl w:val="B51EC5BA"/>
    <w:lvl w:ilvl="0" w:tplc="20B2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A79CC"/>
    <w:rsid w:val="00010E37"/>
    <w:rsid w:val="00016560"/>
    <w:rsid w:val="00020FB9"/>
    <w:rsid w:val="00022996"/>
    <w:rsid w:val="000242EB"/>
    <w:rsid w:val="000247C5"/>
    <w:rsid w:val="000277C2"/>
    <w:rsid w:val="00035B48"/>
    <w:rsid w:val="00036CE2"/>
    <w:rsid w:val="000437FE"/>
    <w:rsid w:val="000513BE"/>
    <w:rsid w:val="00062A1B"/>
    <w:rsid w:val="00065A06"/>
    <w:rsid w:val="000666F3"/>
    <w:rsid w:val="00070DCB"/>
    <w:rsid w:val="00073120"/>
    <w:rsid w:val="000764D0"/>
    <w:rsid w:val="000828D3"/>
    <w:rsid w:val="00094CE0"/>
    <w:rsid w:val="000A2B57"/>
    <w:rsid w:val="000A418B"/>
    <w:rsid w:val="000C4431"/>
    <w:rsid w:val="000C4A19"/>
    <w:rsid w:val="000D3C5A"/>
    <w:rsid w:val="000D4319"/>
    <w:rsid w:val="000F374A"/>
    <w:rsid w:val="001054A7"/>
    <w:rsid w:val="00116F31"/>
    <w:rsid w:val="00117C8C"/>
    <w:rsid w:val="00124E2E"/>
    <w:rsid w:val="00125ED4"/>
    <w:rsid w:val="001305E9"/>
    <w:rsid w:val="001307AF"/>
    <w:rsid w:val="001332F7"/>
    <w:rsid w:val="00135687"/>
    <w:rsid w:val="0014134B"/>
    <w:rsid w:val="00155400"/>
    <w:rsid w:val="00163031"/>
    <w:rsid w:val="001667F9"/>
    <w:rsid w:val="00171A90"/>
    <w:rsid w:val="0017247A"/>
    <w:rsid w:val="00180254"/>
    <w:rsid w:val="00186B12"/>
    <w:rsid w:val="001902D0"/>
    <w:rsid w:val="00191E1F"/>
    <w:rsid w:val="001928BE"/>
    <w:rsid w:val="00192943"/>
    <w:rsid w:val="0019368C"/>
    <w:rsid w:val="001A7406"/>
    <w:rsid w:val="001B4FEE"/>
    <w:rsid w:val="001B51C5"/>
    <w:rsid w:val="001B6F3F"/>
    <w:rsid w:val="001C52B5"/>
    <w:rsid w:val="001C742F"/>
    <w:rsid w:val="001D0D3E"/>
    <w:rsid w:val="001E7867"/>
    <w:rsid w:val="001F2245"/>
    <w:rsid w:val="001F6DA1"/>
    <w:rsid w:val="0020303A"/>
    <w:rsid w:val="002044E6"/>
    <w:rsid w:val="00205C82"/>
    <w:rsid w:val="00205DC2"/>
    <w:rsid w:val="002163B6"/>
    <w:rsid w:val="00220732"/>
    <w:rsid w:val="00221D32"/>
    <w:rsid w:val="00225C3F"/>
    <w:rsid w:val="00257D6C"/>
    <w:rsid w:val="00262113"/>
    <w:rsid w:val="00263D44"/>
    <w:rsid w:val="00267416"/>
    <w:rsid w:val="002702AD"/>
    <w:rsid w:val="00287952"/>
    <w:rsid w:val="00292D82"/>
    <w:rsid w:val="002963CB"/>
    <w:rsid w:val="002A1139"/>
    <w:rsid w:val="002A649C"/>
    <w:rsid w:val="002B42B5"/>
    <w:rsid w:val="002D226D"/>
    <w:rsid w:val="002F2DFB"/>
    <w:rsid w:val="002F6030"/>
    <w:rsid w:val="003037E1"/>
    <w:rsid w:val="00307E51"/>
    <w:rsid w:val="003103EC"/>
    <w:rsid w:val="003144EF"/>
    <w:rsid w:val="00322A02"/>
    <w:rsid w:val="00322F74"/>
    <w:rsid w:val="00336F5E"/>
    <w:rsid w:val="00340073"/>
    <w:rsid w:val="003508B0"/>
    <w:rsid w:val="00351774"/>
    <w:rsid w:val="0036460C"/>
    <w:rsid w:val="00372805"/>
    <w:rsid w:val="00373180"/>
    <w:rsid w:val="00375AB9"/>
    <w:rsid w:val="003821A0"/>
    <w:rsid w:val="00385B04"/>
    <w:rsid w:val="003864CF"/>
    <w:rsid w:val="003A22A6"/>
    <w:rsid w:val="003A2B1B"/>
    <w:rsid w:val="003A5494"/>
    <w:rsid w:val="003B0B1A"/>
    <w:rsid w:val="003B2510"/>
    <w:rsid w:val="003C2CC4"/>
    <w:rsid w:val="003D7016"/>
    <w:rsid w:val="003E03A2"/>
    <w:rsid w:val="003E0EFC"/>
    <w:rsid w:val="003E4A2B"/>
    <w:rsid w:val="003E76C2"/>
    <w:rsid w:val="003F1679"/>
    <w:rsid w:val="003F4A35"/>
    <w:rsid w:val="003F7FDD"/>
    <w:rsid w:val="0040224A"/>
    <w:rsid w:val="00402481"/>
    <w:rsid w:val="004042B4"/>
    <w:rsid w:val="00412DAE"/>
    <w:rsid w:val="00426446"/>
    <w:rsid w:val="00431598"/>
    <w:rsid w:val="004426B8"/>
    <w:rsid w:val="0044380D"/>
    <w:rsid w:val="00444432"/>
    <w:rsid w:val="00454CC3"/>
    <w:rsid w:val="00461B2B"/>
    <w:rsid w:val="00471860"/>
    <w:rsid w:val="00472028"/>
    <w:rsid w:val="00484ABE"/>
    <w:rsid w:val="00484F27"/>
    <w:rsid w:val="004B241A"/>
    <w:rsid w:val="004B60BD"/>
    <w:rsid w:val="004B7A2D"/>
    <w:rsid w:val="004C3150"/>
    <w:rsid w:val="004C3641"/>
    <w:rsid w:val="004C4390"/>
    <w:rsid w:val="004C4AF7"/>
    <w:rsid w:val="004D2881"/>
    <w:rsid w:val="004D385F"/>
    <w:rsid w:val="004D5B39"/>
    <w:rsid w:val="004E330D"/>
    <w:rsid w:val="004E5147"/>
    <w:rsid w:val="0050652D"/>
    <w:rsid w:val="00506C03"/>
    <w:rsid w:val="00506F2C"/>
    <w:rsid w:val="00516496"/>
    <w:rsid w:val="0052572A"/>
    <w:rsid w:val="00525B41"/>
    <w:rsid w:val="005316A2"/>
    <w:rsid w:val="00535D46"/>
    <w:rsid w:val="00541605"/>
    <w:rsid w:val="005426A9"/>
    <w:rsid w:val="00542A18"/>
    <w:rsid w:val="00543CB3"/>
    <w:rsid w:val="005456B7"/>
    <w:rsid w:val="00560FF0"/>
    <w:rsid w:val="005614BD"/>
    <w:rsid w:val="00566C06"/>
    <w:rsid w:val="0057154F"/>
    <w:rsid w:val="00581CA3"/>
    <w:rsid w:val="00587A44"/>
    <w:rsid w:val="00590E27"/>
    <w:rsid w:val="00597730"/>
    <w:rsid w:val="005977EC"/>
    <w:rsid w:val="00597DE7"/>
    <w:rsid w:val="005A4AA2"/>
    <w:rsid w:val="005B1EE9"/>
    <w:rsid w:val="005B34B6"/>
    <w:rsid w:val="005B5874"/>
    <w:rsid w:val="005B6C8F"/>
    <w:rsid w:val="005D0F74"/>
    <w:rsid w:val="005D2E7D"/>
    <w:rsid w:val="005D4A8F"/>
    <w:rsid w:val="005D561B"/>
    <w:rsid w:val="005E4920"/>
    <w:rsid w:val="005F468D"/>
    <w:rsid w:val="005F569D"/>
    <w:rsid w:val="005F69A3"/>
    <w:rsid w:val="00606C8A"/>
    <w:rsid w:val="0061185F"/>
    <w:rsid w:val="00615423"/>
    <w:rsid w:val="006165B2"/>
    <w:rsid w:val="00617276"/>
    <w:rsid w:val="00621D5A"/>
    <w:rsid w:val="00625D97"/>
    <w:rsid w:val="00625F1C"/>
    <w:rsid w:val="00630CEB"/>
    <w:rsid w:val="00632264"/>
    <w:rsid w:val="006470BC"/>
    <w:rsid w:val="006539B7"/>
    <w:rsid w:val="00655090"/>
    <w:rsid w:val="00667036"/>
    <w:rsid w:val="00670CBF"/>
    <w:rsid w:val="00671715"/>
    <w:rsid w:val="00673BDB"/>
    <w:rsid w:val="006771B8"/>
    <w:rsid w:val="0068481F"/>
    <w:rsid w:val="00684EBA"/>
    <w:rsid w:val="00686073"/>
    <w:rsid w:val="00696F5D"/>
    <w:rsid w:val="00697249"/>
    <w:rsid w:val="006B3947"/>
    <w:rsid w:val="006B4293"/>
    <w:rsid w:val="006B624F"/>
    <w:rsid w:val="006C2AEC"/>
    <w:rsid w:val="006C31E3"/>
    <w:rsid w:val="006E08CB"/>
    <w:rsid w:val="006E598D"/>
    <w:rsid w:val="00703550"/>
    <w:rsid w:val="0070437D"/>
    <w:rsid w:val="00705B04"/>
    <w:rsid w:val="0072037E"/>
    <w:rsid w:val="00734820"/>
    <w:rsid w:val="007349DC"/>
    <w:rsid w:val="00740C3E"/>
    <w:rsid w:val="00743380"/>
    <w:rsid w:val="0074365E"/>
    <w:rsid w:val="007515FD"/>
    <w:rsid w:val="00756DC6"/>
    <w:rsid w:val="00757880"/>
    <w:rsid w:val="00760D80"/>
    <w:rsid w:val="00766A3F"/>
    <w:rsid w:val="00780C09"/>
    <w:rsid w:val="00780DDF"/>
    <w:rsid w:val="007834E9"/>
    <w:rsid w:val="00787DBC"/>
    <w:rsid w:val="00792935"/>
    <w:rsid w:val="007A04A1"/>
    <w:rsid w:val="007A1840"/>
    <w:rsid w:val="007B1730"/>
    <w:rsid w:val="007C0528"/>
    <w:rsid w:val="007C3D38"/>
    <w:rsid w:val="007D0F35"/>
    <w:rsid w:val="007D3F41"/>
    <w:rsid w:val="007D4225"/>
    <w:rsid w:val="007D4FEB"/>
    <w:rsid w:val="007D6146"/>
    <w:rsid w:val="007D7B18"/>
    <w:rsid w:val="007E0CE7"/>
    <w:rsid w:val="007F0D5B"/>
    <w:rsid w:val="007F1193"/>
    <w:rsid w:val="007F417F"/>
    <w:rsid w:val="007F653E"/>
    <w:rsid w:val="008042BD"/>
    <w:rsid w:val="00816624"/>
    <w:rsid w:val="00816707"/>
    <w:rsid w:val="00822427"/>
    <w:rsid w:val="00822562"/>
    <w:rsid w:val="00823663"/>
    <w:rsid w:val="00823A81"/>
    <w:rsid w:val="00832DDC"/>
    <w:rsid w:val="00850BAC"/>
    <w:rsid w:val="00854A3E"/>
    <w:rsid w:val="00855D08"/>
    <w:rsid w:val="00874344"/>
    <w:rsid w:val="00882155"/>
    <w:rsid w:val="0088233B"/>
    <w:rsid w:val="0088599E"/>
    <w:rsid w:val="00886C37"/>
    <w:rsid w:val="00892D99"/>
    <w:rsid w:val="008A79CC"/>
    <w:rsid w:val="008B0BF2"/>
    <w:rsid w:val="008B62AE"/>
    <w:rsid w:val="008C04B5"/>
    <w:rsid w:val="008C14FA"/>
    <w:rsid w:val="008C5695"/>
    <w:rsid w:val="008D4057"/>
    <w:rsid w:val="008E1F19"/>
    <w:rsid w:val="008F2262"/>
    <w:rsid w:val="008F7736"/>
    <w:rsid w:val="0090019E"/>
    <w:rsid w:val="00901086"/>
    <w:rsid w:val="00901399"/>
    <w:rsid w:val="00901C8A"/>
    <w:rsid w:val="00905886"/>
    <w:rsid w:val="009070D6"/>
    <w:rsid w:val="009076C6"/>
    <w:rsid w:val="0091019E"/>
    <w:rsid w:val="009106F1"/>
    <w:rsid w:val="00911D99"/>
    <w:rsid w:val="00912DE2"/>
    <w:rsid w:val="009145D6"/>
    <w:rsid w:val="00920E64"/>
    <w:rsid w:val="00922002"/>
    <w:rsid w:val="00924020"/>
    <w:rsid w:val="009271A7"/>
    <w:rsid w:val="0093658B"/>
    <w:rsid w:val="009429FF"/>
    <w:rsid w:val="00945BD6"/>
    <w:rsid w:val="009479FB"/>
    <w:rsid w:val="00951C45"/>
    <w:rsid w:val="009605F3"/>
    <w:rsid w:val="009656F2"/>
    <w:rsid w:val="00966A08"/>
    <w:rsid w:val="00971207"/>
    <w:rsid w:val="00975CB4"/>
    <w:rsid w:val="009863B0"/>
    <w:rsid w:val="00987DE1"/>
    <w:rsid w:val="00990571"/>
    <w:rsid w:val="0099673A"/>
    <w:rsid w:val="009A3330"/>
    <w:rsid w:val="009A7C96"/>
    <w:rsid w:val="009B1BDD"/>
    <w:rsid w:val="009B2A70"/>
    <w:rsid w:val="009B61CA"/>
    <w:rsid w:val="009B7269"/>
    <w:rsid w:val="009C3DB9"/>
    <w:rsid w:val="009C74DA"/>
    <w:rsid w:val="009D46E5"/>
    <w:rsid w:val="009D568A"/>
    <w:rsid w:val="009D6E92"/>
    <w:rsid w:val="009E75F3"/>
    <w:rsid w:val="009F04EC"/>
    <w:rsid w:val="009F3B36"/>
    <w:rsid w:val="00A019B9"/>
    <w:rsid w:val="00A0500A"/>
    <w:rsid w:val="00A12508"/>
    <w:rsid w:val="00A1282B"/>
    <w:rsid w:val="00A13A27"/>
    <w:rsid w:val="00A175B6"/>
    <w:rsid w:val="00A21835"/>
    <w:rsid w:val="00A276CD"/>
    <w:rsid w:val="00A27D6E"/>
    <w:rsid w:val="00A328EC"/>
    <w:rsid w:val="00A33A51"/>
    <w:rsid w:val="00A4121D"/>
    <w:rsid w:val="00A41CA6"/>
    <w:rsid w:val="00A47927"/>
    <w:rsid w:val="00A47FFC"/>
    <w:rsid w:val="00A51F19"/>
    <w:rsid w:val="00A5442F"/>
    <w:rsid w:val="00A54FF9"/>
    <w:rsid w:val="00A55D54"/>
    <w:rsid w:val="00A56765"/>
    <w:rsid w:val="00A675AC"/>
    <w:rsid w:val="00A7581F"/>
    <w:rsid w:val="00A92FB1"/>
    <w:rsid w:val="00A95A0C"/>
    <w:rsid w:val="00AA2765"/>
    <w:rsid w:val="00AA77B5"/>
    <w:rsid w:val="00AA7E29"/>
    <w:rsid w:val="00AB6C5D"/>
    <w:rsid w:val="00AC2C03"/>
    <w:rsid w:val="00AC51A7"/>
    <w:rsid w:val="00AC697A"/>
    <w:rsid w:val="00AD1273"/>
    <w:rsid w:val="00AD444B"/>
    <w:rsid w:val="00AD6C78"/>
    <w:rsid w:val="00AE288D"/>
    <w:rsid w:val="00AE2EAB"/>
    <w:rsid w:val="00AE7CBC"/>
    <w:rsid w:val="00AF5F89"/>
    <w:rsid w:val="00AF73CB"/>
    <w:rsid w:val="00B002D6"/>
    <w:rsid w:val="00B05B51"/>
    <w:rsid w:val="00B15370"/>
    <w:rsid w:val="00B17BEB"/>
    <w:rsid w:val="00B21A3C"/>
    <w:rsid w:val="00B223C0"/>
    <w:rsid w:val="00B234ED"/>
    <w:rsid w:val="00B25CA3"/>
    <w:rsid w:val="00B459C1"/>
    <w:rsid w:val="00B57A6A"/>
    <w:rsid w:val="00B64B08"/>
    <w:rsid w:val="00B75555"/>
    <w:rsid w:val="00B760F1"/>
    <w:rsid w:val="00B7669E"/>
    <w:rsid w:val="00B77DA1"/>
    <w:rsid w:val="00B96A88"/>
    <w:rsid w:val="00BA0D55"/>
    <w:rsid w:val="00BA37B3"/>
    <w:rsid w:val="00BA4CC6"/>
    <w:rsid w:val="00BB3493"/>
    <w:rsid w:val="00BB7468"/>
    <w:rsid w:val="00BC188A"/>
    <w:rsid w:val="00BF5010"/>
    <w:rsid w:val="00C13791"/>
    <w:rsid w:val="00C31BB3"/>
    <w:rsid w:val="00C36977"/>
    <w:rsid w:val="00C477D9"/>
    <w:rsid w:val="00C50D97"/>
    <w:rsid w:val="00C60BA3"/>
    <w:rsid w:val="00C623F7"/>
    <w:rsid w:val="00C748FF"/>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3E70"/>
    <w:rsid w:val="00CE2BF8"/>
    <w:rsid w:val="00CE484E"/>
    <w:rsid w:val="00CF0DA8"/>
    <w:rsid w:val="00CF2E25"/>
    <w:rsid w:val="00CF4453"/>
    <w:rsid w:val="00CF5D94"/>
    <w:rsid w:val="00CF5E0B"/>
    <w:rsid w:val="00CF6F07"/>
    <w:rsid w:val="00D034D7"/>
    <w:rsid w:val="00D04BE4"/>
    <w:rsid w:val="00D06994"/>
    <w:rsid w:val="00D12565"/>
    <w:rsid w:val="00D14127"/>
    <w:rsid w:val="00D16136"/>
    <w:rsid w:val="00D35816"/>
    <w:rsid w:val="00D60F02"/>
    <w:rsid w:val="00D66E49"/>
    <w:rsid w:val="00D72F74"/>
    <w:rsid w:val="00D81563"/>
    <w:rsid w:val="00D85907"/>
    <w:rsid w:val="00D9073E"/>
    <w:rsid w:val="00D9221D"/>
    <w:rsid w:val="00D958DF"/>
    <w:rsid w:val="00D96DA1"/>
    <w:rsid w:val="00DA51E7"/>
    <w:rsid w:val="00DA6226"/>
    <w:rsid w:val="00DB1C78"/>
    <w:rsid w:val="00DB223A"/>
    <w:rsid w:val="00DB7D96"/>
    <w:rsid w:val="00DC23FE"/>
    <w:rsid w:val="00DC59E6"/>
    <w:rsid w:val="00DD150B"/>
    <w:rsid w:val="00DD5025"/>
    <w:rsid w:val="00DF1122"/>
    <w:rsid w:val="00DF1510"/>
    <w:rsid w:val="00DF6880"/>
    <w:rsid w:val="00E01DE0"/>
    <w:rsid w:val="00E06484"/>
    <w:rsid w:val="00E0791E"/>
    <w:rsid w:val="00E20A7D"/>
    <w:rsid w:val="00E275D8"/>
    <w:rsid w:val="00E27CCF"/>
    <w:rsid w:val="00E36CD9"/>
    <w:rsid w:val="00E375CA"/>
    <w:rsid w:val="00E41D10"/>
    <w:rsid w:val="00E44CBE"/>
    <w:rsid w:val="00E567E8"/>
    <w:rsid w:val="00E64679"/>
    <w:rsid w:val="00E65EBC"/>
    <w:rsid w:val="00E73432"/>
    <w:rsid w:val="00E77B0C"/>
    <w:rsid w:val="00E77FB8"/>
    <w:rsid w:val="00E838B0"/>
    <w:rsid w:val="00E86A7C"/>
    <w:rsid w:val="00E8785B"/>
    <w:rsid w:val="00E878E1"/>
    <w:rsid w:val="00E87F2C"/>
    <w:rsid w:val="00E95278"/>
    <w:rsid w:val="00EA1D9C"/>
    <w:rsid w:val="00EA2273"/>
    <w:rsid w:val="00EA29A6"/>
    <w:rsid w:val="00EA5FE6"/>
    <w:rsid w:val="00EB2DB3"/>
    <w:rsid w:val="00EC3FBB"/>
    <w:rsid w:val="00EC6B7A"/>
    <w:rsid w:val="00ED3A87"/>
    <w:rsid w:val="00ED5B67"/>
    <w:rsid w:val="00ED785E"/>
    <w:rsid w:val="00EE2F3B"/>
    <w:rsid w:val="00EF264C"/>
    <w:rsid w:val="00EF3FEE"/>
    <w:rsid w:val="00EF75FB"/>
    <w:rsid w:val="00F002B2"/>
    <w:rsid w:val="00F04B59"/>
    <w:rsid w:val="00F11741"/>
    <w:rsid w:val="00F12B1C"/>
    <w:rsid w:val="00F13CF8"/>
    <w:rsid w:val="00F15855"/>
    <w:rsid w:val="00F32978"/>
    <w:rsid w:val="00F45CB2"/>
    <w:rsid w:val="00F46391"/>
    <w:rsid w:val="00F544C0"/>
    <w:rsid w:val="00F55332"/>
    <w:rsid w:val="00F65519"/>
    <w:rsid w:val="00F713C0"/>
    <w:rsid w:val="00F75DDC"/>
    <w:rsid w:val="00F7792F"/>
    <w:rsid w:val="00F842AA"/>
    <w:rsid w:val="00F8476F"/>
    <w:rsid w:val="00F853E1"/>
    <w:rsid w:val="00F94B7A"/>
    <w:rsid w:val="00F9663D"/>
    <w:rsid w:val="00FA17AC"/>
    <w:rsid w:val="00FA32DE"/>
    <w:rsid w:val="00FA3382"/>
    <w:rsid w:val="00FA59CD"/>
    <w:rsid w:val="00FB1740"/>
    <w:rsid w:val="00FB3486"/>
    <w:rsid w:val="00FC5469"/>
    <w:rsid w:val="00FC5E92"/>
    <w:rsid w:val="00FC6D7D"/>
    <w:rsid w:val="00FD16B0"/>
    <w:rsid w:val="00FD4FED"/>
    <w:rsid w:val="00FD72C0"/>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A4121D"/>
    <w:rPr>
      <w:vertAlign w:val="superscript"/>
    </w:rPr>
  </w:style>
  <w:style w:type="character" w:customStyle="1" w:styleId="FooterChar">
    <w:name w:val="Footer Char"/>
    <w:basedOn w:val="DefaultParagraphFont"/>
    <w:link w:val="Footer"/>
    <w:uiPriority w:val="99"/>
    <w:rsid w:val="008C5695"/>
    <w:rPr>
      <w:sz w:val="24"/>
      <w:szCs w:val="24"/>
    </w:rPr>
  </w:style>
  <w:style w:type="character" w:styleId="FootnoteReference">
    <w:name w:val="footnote reference"/>
    <w:basedOn w:val="DefaultParagraphFont"/>
    <w:rsid w:val="007D7B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rsid w:val="00A4121D"/>
    <w:rPr>
      <w:vertAlign w:val="superscript"/>
    </w:rPr>
  </w:style>
  <w:style w:type="character" w:customStyle="1" w:styleId="FooterChar">
    <w:name w:val="Footer Char"/>
    <w:basedOn w:val="DefaultParagraphFont"/>
    <w:link w:val="Footer"/>
    <w:uiPriority w:val="99"/>
    <w:rsid w:val="008C5695"/>
    <w:rPr>
      <w:sz w:val="24"/>
      <w:szCs w:val="24"/>
    </w:rPr>
  </w:style>
  <w:style w:type="character" w:styleId="FootnoteReference">
    <w:name w:val="footnote reference"/>
    <w:basedOn w:val="DefaultParagraphFont"/>
    <w:rsid w:val="007D7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5590">
      <w:bodyDiv w:val="1"/>
      <w:marLeft w:val="0"/>
      <w:marRight w:val="0"/>
      <w:marTop w:val="0"/>
      <w:marBottom w:val="0"/>
      <w:divBdr>
        <w:top w:val="none" w:sz="0" w:space="0" w:color="auto"/>
        <w:left w:val="none" w:sz="0" w:space="0" w:color="auto"/>
        <w:bottom w:val="none" w:sz="0" w:space="0" w:color="auto"/>
        <w:right w:val="none" w:sz="0" w:space="0" w:color="auto"/>
      </w:divBdr>
    </w:div>
    <w:div w:id="1123764348">
      <w:bodyDiv w:val="1"/>
      <w:marLeft w:val="0"/>
      <w:marRight w:val="0"/>
      <w:marTop w:val="0"/>
      <w:marBottom w:val="0"/>
      <w:divBdr>
        <w:top w:val="none" w:sz="0" w:space="0" w:color="auto"/>
        <w:left w:val="none" w:sz="0" w:space="0" w:color="auto"/>
        <w:bottom w:val="none" w:sz="0" w:space="0" w:color="auto"/>
        <w:right w:val="none" w:sz="0" w:space="0" w:color="auto"/>
      </w:divBdr>
    </w:div>
    <w:div w:id="1491210591">
      <w:bodyDiv w:val="1"/>
      <w:marLeft w:val="0"/>
      <w:marRight w:val="0"/>
      <w:marTop w:val="0"/>
      <w:marBottom w:val="0"/>
      <w:divBdr>
        <w:top w:val="none" w:sz="0" w:space="0" w:color="auto"/>
        <w:left w:val="none" w:sz="0" w:space="0" w:color="auto"/>
        <w:bottom w:val="none" w:sz="0" w:space="0" w:color="auto"/>
        <w:right w:val="none" w:sz="0" w:space="0" w:color="auto"/>
      </w:divBdr>
    </w:div>
    <w:div w:id="1495292421">
      <w:bodyDiv w:val="1"/>
      <w:marLeft w:val="0"/>
      <w:marRight w:val="0"/>
      <w:marTop w:val="0"/>
      <w:marBottom w:val="0"/>
      <w:divBdr>
        <w:top w:val="none" w:sz="0" w:space="0" w:color="auto"/>
        <w:left w:val="none" w:sz="0" w:space="0" w:color="auto"/>
        <w:bottom w:val="none" w:sz="0" w:space="0" w:color="auto"/>
        <w:right w:val="none" w:sz="0" w:space="0" w:color="auto"/>
      </w:divBdr>
    </w:div>
    <w:div w:id="1537504202">
      <w:bodyDiv w:val="1"/>
      <w:marLeft w:val="0"/>
      <w:marRight w:val="0"/>
      <w:marTop w:val="0"/>
      <w:marBottom w:val="0"/>
      <w:divBdr>
        <w:top w:val="none" w:sz="0" w:space="0" w:color="auto"/>
        <w:left w:val="none" w:sz="0" w:space="0" w:color="auto"/>
        <w:bottom w:val="none" w:sz="0" w:space="0" w:color="auto"/>
        <w:right w:val="none" w:sz="0" w:space="0" w:color="auto"/>
      </w:divBdr>
    </w:div>
    <w:div w:id="18117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3A39-4AB4-4A61-8B6A-E470E80E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1072</Words>
  <Characters>6397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2016-05-25T17:44:00Z</cp:lastPrinted>
  <dcterms:created xsi:type="dcterms:W3CDTF">2016-05-26T15:26:00Z</dcterms:created>
  <dcterms:modified xsi:type="dcterms:W3CDTF">2016-05-26T15:26:00Z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160027-EI</vt:lpwstr>
  </property>
  <property fmtid="{D5CDD505-2E9C-101B-9397-08002B2CF9AE}" pid="3" name="MasterDocument">
    <vt:bool>false</vt:bool>
  </property>
</Properties>
</file>