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37DE5" w:rsidP="00637DE5">
      <w:pPr>
        <w:pStyle w:val="OrderHeading"/>
      </w:pPr>
      <w:r>
        <w:t>BEFORE THE FLORIDA PUBLIC SERVICE COMMISSION</w:t>
      </w:r>
    </w:p>
    <w:p w:rsidR="00637DE5" w:rsidRDefault="00637DE5" w:rsidP="00637DE5">
      <w:pPr>
        <w:pStyle w:val="OrderHeading"/>
      </w:pPr>
    </w:p>
    <w:p w:rsidR="00637DE5" w:rsidRDefault="00637DE5" w:rsidP="00637DE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7DE5" w:rsidRPr="00C63FCF" w:rsidTr="00C7036E">
        <w:trPr>
          <w:trHeight w:val="828"/>
        </w:trPr>
        <w:tc>
          <w:tcPr>
            <w:tcW w:w="4788" w:type="dxa"/>
            <w:tcBorders>
              <w:bottom w:val="single" w:sz="8" w:space="0" w:color="auto"/>
              <w:right w:val="double" w:sz="6" w:space="0" w:color="auto"/>
            </w:tcBorders>
            <w:shd w:val="clear" w:color="auto" w:fill="auto"/>
          </w:tcPr>
          <w:p w:rsidR="00637DE5" w:rsidRDefault="00637DE5" w:rsidP="00C7036E">
            <w:pPr>
              <w:pStyle w:val="OrderBody"/>
              <w:tabs>
                <w:tab w:val="center" w:pos="4320"/>
                <w:tab w:val="right" w:pos="8640"/>
              </w:tabs>
              <w:jc w:val="left"/>
            </w:pPr>
            <w:r>
              <w:t xml:space="preserve">In re: </w:t>
            </w:r>
            <w:bookmarkStart w:id="0" w:name="SSInRe"/>
            <w:bookmarkEnd w:id="0"/>
            <w:r>
              <w:t>Application for limited proceeding water rate increase in Marion, Pasco, and Seminole Counties, by Utilities, Inc. of Florida.</w:t>
            </w:r>
          </w:p>
        </w:tc>
        <w:tc>
          <w:tcPr>
            <w:tcW w:w="4788" w:type="dxa"/>
            <w:tcBorders>
              <w:left w:val="double" w:sz="6" w:space="0" w:color="auto"/>
            </w:tcBorders>
            <w:shd w:val="clear" w:color="auto" w:fill="auto"/>
          </w:tcPr>
          <w:p w:rsidR="00637DE5" w:rsidRDefault="00637DE5" w:rsidP="00637DE5">
            <w:pPr>
              <w:pStyle w:val="OrderBody"/>
            </w:pPr>
            <w:r>
              <w:t xml:space="preserve">DOCKET NO. </w:t>
            </w:r>
            <w:bookmarkStart w:id="1" w:name="SSDocketNo"/>
            <w:bookmarkEnd w:id="1"/>
            <w:r>
              <w:t>150269-WS</w:t>
            </w:r>
          </w:p>
          <w:p w:rsidR="00637DE5" w:rsidRDefault="00637DE5" w:rsidP="00C7036E">
            <w:pPr>
              <w:pStyle w:val="OrderBody"/>
              <w:tabs>
                <w:tab w:val="center" w:pos="4320"/>
                <w:tab w:val="right" w:pos="8640"/>
              </w:tabs>
              <w:jc w:val="left"/>
            </w:pPr>
            <w:r>
              <w:t xml:space="preserve">ORDER NO. </w:t>
            </w:r>
            <w:bookmarkStart w:id="2" w:name="OrderNo0296"/>
            <w:r w:rsidR="0095274B">
              <w:t>PSC-16-0296-PAA-WS</w:t>
            </w:r>
            <w:bookmarkEnd w:id="2"/>
          </w:p>
          <w:p w:rsidR="00637DE5" w:rsidRDefault="00637DE5" w:rsidP="00C7036E">
            <w:pPr>
              <w:pStyle w:val="OrderBody"/>
              <w:tabs>
                <w:tab w:val="center" w:pos="4320"/>
                <w:tab w:val="right" w:pos="8640"/>
              </w:tabs>
              <w:jc w:val="left"/>
            </w:pPr>
            <w:r>
              <w:t xml:space="preserve">ISSUED: </w:t>
            </w:r>
            <w:r w:rsidR="0095274B">
              <w:t>July 27, 2016</w:t>
            </w:r>
          </w:p>
        </w:tc>
      </w:tr>
    </w:tbl>
    <w:p w:rsidR="00637DE5" w:rsidRDefault="00637DE5" w:rsidP="00637DE5"/>
    <w:p w:rsidR="00637DE5" w:rsidRDefault="00637DE5" w:rsidP="00637DE5"/>
    <w:p w:rsidR="00637DE5" w:rsidRPr="00E46E1F" w:rsidRDefault="00637DE5">
      <w:pPr>
        <w:ind w:firstLine="720"/>
        <w:jc w:val="both"/>
      </w:pPr>
      <w:bookmarkStart w:id="3" w:name="Commissioners"/>
      <w:bookmarkEnd w:id="3"/>
      <w:r w:rsidRPr="00E46E1F">
        <w:t>The following Commissioners participated in the disposition of this matter:</w:t>
      </w:r>
    </w:p>
    <w:p w:rsidR="00637DE5" w:rsidRPr="00E46E1F" w:rsidRDefault="00637DE5"/>
    <w:p w:rsidR="00637DE5" w:rsidRDefault="00637DE5">
      <w:pPr>
        <w:jc w:val="center"/>
      </w:pPr>
      <w:r>
        <w:t>JULIE I. BROWN</w:t>
      </w:r>
      <w:r w:rsidRPr="00E46E1F">
        <w:t>, Chairman</w:t>
      </w:r>
    </w:p>
    <w:p w:rsidR="00637DE5" w:rsidRPr="00E46E1F" w:rsidRDefault="00637DE5">
      <w:pPr>
        <w:jc w:val="center"/>
      </w:pPr>
      <w:r w:rsidRPr="00E46E1F">
        <w:t>LISA POLAK EDGAR</w:t>
      </w:r>
    </w:p>
    <w:p w:rsidR="00637DE5" w:rsidRDefault="00637DE5">
      <w:pPr>
        <w:jc w:val="center"/>
      </w:pPr>
      <w:r>
        <w:t>ART GRAHAM</w:t>
      </w:r>
    </w:p>
    <w:p w:rsidR="00637DE5" w:rsidRDefault="00637DE5">
      <w:pPr>
        <w:jc w:val="center"/>
      </w:pPr>
      <w:r>
        <w:t>RONALD A. BRISÉ</w:t>
      </w:r>
    </w:p>
    <w:p w:rsidR="00637DE5" w:rsidRDefault="00637DE5">
      <w:pPr>
        <w:jc w:val="center"/>
      </w:pPr>
      <w:r>
        <w:t>JIMMY PATRONIS</w:t>
      </w:r>
    </w:p>
    <w:p w:rsidR="00CB5276" w:rsidRDefault="00CB5276">
      <w:pPr>
        <w:pStyle w:val="OrderBody"/>
      </w:pPr>
    </w:p>
    <w:p w:rsidR="00637DE5" w:rsidRDefault="00637DE5" w:rsidP="00637DE5">
      <w:pPr>
        <w:pStyle w:val="OrderBody"/>
      </w:pPr>
    </w:p>
    <w:p w:rsidR="00637DE5" w:rsidRDefault="00637DE5" w:rsidP="00637DE5">
      <w:pPr>
        <w:pStyle w:val="OrderBody"/>
      </w:pPr>
    </w:p>
    <w:p w:rsidR="00637DE5" w:rsidRPr="003E4B2D" w:rsidRDefault="00637DE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637DE5" w:rsidRPr="003E4B2D" w:rsidRDefault="00637DE5">
      <w:pPr>
        <w:pStyle w:val="OrderBody"/>
        <w:jc w:val="center"/>
        <w:rPr>
          <w:u w:val="single"/>
        </w:rPr>
      </w:pPr>
      <w:r w:rsidRPr="003E4B2D">
        <w:rPr>
          <w:u w:val="single"/>
        </w:rPr>
        <w:t>ORDER</w:t>
      </w:r>
      <w:bookmarkStart w:id="4" w:name="OrderTitle"/>
      <w:r w:rsidR="00C7036E">
        <w:rPr>
          <w:u w:val="single"/>
        </w:rPr>
        <w:t xml:space="preserve"> GRANTING UTILITIES, INC. OF FLORIDA’S REQUEST FOR WATER RATE INCREASES IN MARION AND SEMINOLE COUNTIES</w:t>
      </w:r>
      <w:r>
        <w:rPr>
          <w:u w:val="single"/>
        </w:rPr>
        <w:t xml:space="preserve"> </w:t>
      </w:r>
      <w:bookmarkEnd w:id="4"/>
    </w:p>
    <w:p w:rsidR="00637DE5" w:rsidRPr="003E4B2D" w:rsidRDefault="00637DE5">
      <w:pPr>
        <w:pStyle w:val="OrderBody"/>
      </w:pPr>
    </w:p>
    <w:p w:rsidR="00637DE5" w:rsidRPr="003E4B2D" w:rsidRDefault="00637DE5">
      <w:pPr>
        <w:pStyle w:val="OrderBody"/>
      </w:pPr>
    </w:p>
    <w:p w:rsidR="00637DE5" w:rsidRPr="003E4B2D" w:rsidRDefault="00637DE5">
      <w:pPr>
        <w:pStyle w:val="OrderBody"/>
      </w:pPr>
      <w:r w:rsidRPr="003E4B2D">
        <w:t>BY THE COMMISSION:</w:t>
      </w:r>
    </w:p>
    <w:p w:rsidR="00637DE5" w:rsidRPr="003E4B2D" w:rsidRDefault="00637DE5">
      <w:pPr>
        <w:pStyle w:val="OrderBody"/>
      </w:pPr>
    </w:p>
    <w:p w:rsidR="00637DE5" w:rsidRDefault="00637DE5">
      <w:pPr>
        <w:pStyle w:val="OrderBody"/>
      </w:pPr>
      <w:r w:rsidRPr="003E4B2D">
        <w:tab/>
        <w:t xml:space="preserve">NOTICE is hereby given by the Florida Public Service Commission </w:t>
      </w:r>
      <w:r w:rsidR="00C7036E">
        <w:t xml:space="preserve">(Commission) </w:t>
      </w:r>
      <w:r w:rsidRPr="003E4B2D">
        <w:t>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637DE5"/>
    <w:p w:rsidR="00637DE5" w:rsidRPr="0029675D" w:rsidRDefault="00637DE5" w:rsidP="00637DE5">
      <w:pPr>
        <w:jc w:val="center"/>
        <w:rPr>
          <w:b/>
          <w:u w:val="single"/>
        </w:rPr>
      </w:pPr>
      <w:r w:rsidRPr="0029675D">
        <w:rPr>
          <w:b/>
          <w:u w:val="single"/>
        </w:rPr>
        <w:t>Background</w:t>
      </w:r>
    </w:p>
    <w:p w:rsidR="00637DE5" w:rsidRDefault="00637DE5" w:rsidP="00637DE5"/>
    <w:p w:rsidR="00637DE5" w:rsidRPr="00637DE5" w:rsidRDefault="00637DE5" w:rsidP="00C7036E">
      <w:pPr>
        <w:spacing w:after="240"/>
        <w:ind w:firstLine="720"/>
        <w:jc w:val="both"/>
      </w:pPr>
      <w:r w:rsidRPr="00637DE5">
        <w:t>Utilities, Inc. of Florida (UIF or Utility) is a Class A utility providing water and wastewater service to twenty systems in the following counties: Marion, Orange, Pasco, Pinellas, and Seminole. On December 30, 2015, the Utility requested a limited proceeding water rate increase for Marion, Pasco, and Seminole Counties. UIF is a wholly-owned subsidiary of Utilities, Inc. (UI). The Utility’s last rate case was in 2012.</w:t>
      </w:r>
      <w:r w:rsidRPr="00637DE5">
        <w:rPr>
          <w:vertAlign w:val="superscript"/>
        </w:rPr>
        <w:footnoteReference w:id="1"/>
      </w:r>
    </w:p>
    <w:p w:rsidR="00637DE5" w:rsidRPr="00637DE5" w:rsidRDefault="00637DE5" w:rsidP="00637DE5">
      <w:pPr>
        <w:spacing w:after="240"/>
        <w:ind w:firstLine="720"/>
        <w:jc w:val="both"/>
      </w:pPr>
      <w:r w:rsidRPr="00637DE5">
        <w:t>On March 24, 2016, the Office of Public Counsel (OPC) filed its notice of intervention in this proceeding, and an Order acknowledging intervention was issued on April 4, 2016.</w:t>
      </w:r>
      <w:r w:rsidRPr="00637DE5">
        <w:rPr>
          <w:vertAlign w:val="superscript"/>
        </w:rPr>
        <w:footnoteReference w:id="2"/>
      </w:r>
      <w:r w:rsidRPr="00637DE5">
        <w:t xml:space="preserve"> Prior to </w:t>
      </w:r>
      <w:r w:rsidRPr="00637DE5">
        <w:lastRenderedPageBreak/>
        <w:t>the notice of intervention, OPC submitted a letter, dated February 2, 2016, outlining concerns that OPC had with the Utility’s petition for Marion, Pasco, and Seminole Counties.</w:t>
      </w:r>
      <w:r w:rsidRPr="00637DE5">
        <w:rPr>
          <w:vertAlign w:val="superscript"/>
        </w:rPr>
        <w:footnoteReference w:id="3"/>
      </w:r>
    </w:p>
    <w:p w:rsidR="00637DE5" w:rsidRPr="00637DE5" w:rsidRDefault="00637DE5" w:rsidP="00637DE5">
      <w:pPr>
        <w:spacing w:after="240"/>
        <w:ind w:firstLine="720"/>
        <w:jc w:val="both"/>
      </w:pPr>
      <w:r w:rsidRPr="00637DE5">
        <w:t xml:space="preserve">Customer meetings were held April 12 and 13, 2016, in New Port Richey and Ocala, respectively. </w:t>
      </w:r>
      <w:r w:rsidR="00C7036E">
        <w:t>N</w:t>
      </w:r>
      <w:r w:rsidRPr="00637DE5">
        <w:t>o customers attended the meeting held on April 13, 2016, for the customers of Marion and Seminole Counties.</w:t>
      </w:r>
    </w:p>
    <w:p w:rsidR="00637DE5" w:rsidRPr="00637DE5" w:rsidRDefault="00637DE5" w:rsidP="00637DE5">
      <w:pPr>
        <w:spacing w:after="240"/>
        <w:ind w:firstLine="720"/>
        <w:jc w:val="both"/>
      </w:pPr>
      <w:r w:rsidRPr="00637DE5">
        <w:t xml:space="preserve">UIF filed a petition for a limited proceeding pursuant to Rule 25-30.446, </w:t>
      </w:r>
      <w:r w:rsidR="00C7036E">
        <w:t>F.A.C</w:t>
      </w:r>
      <w:r w:rsidRPr="00637DE5">
        <w:t>. Driving the limited proceeding were (1) galvanized service line replacement costs in Marion County, (2) the loss of irrigation customers, plant additions, and purchased water costs in Pasco County, and (3) interconnection plant addition costs in Seminole County.</w:t>
      </w:r>
    </w:p>
    <w:p w:rsidR="00637DE5" w:rsidRPr="00637DE5" w:rsidRDefault="00637DE5" w:rsidP="00637DE5">
      <w:pPr>
        <w:spacing w:after="240"/>
        <w:ind w:firstLine="720"/>
        <w:jc w:val="both"/>
      </w:pPr>
      <w:r w:rsidRPr="00637DE5">
        <w:t>By letter dated June 8, 2016, UIF requested that the portion of this limited proceeding addressing a rate increase in Pasco County be bifurcated from the portion addressing rate increases in Marion and Seminole Counties.</w:t>
      </w:r>
      <w:r w:rsidRPr="00637DE5">
        <w:rPr>
          <w:vertAlign w:val="superscript"/>
        </w:rPr>
        <w:footnoteReference w:id="4"/>
      </w:r>
      <w:r w:rsidRPr="00637DE5">
        <w:t xml:space="preserve"> OPC filed a response to UIF’s bifurcation request on June 13, 2016.</w:t>
      </w:r>
      <w:r w:rsidRPr="00637DE5">
        <w:rPr>
          <w:vertAlign w:val="superscript"/>
        </w:rPr>
        <w:footnoteReference w:id="5"/>
      </w:r>
      <w:r w:rsidRPr="00637DE5">
        <w:t xml:space="preserve"> As such, this </w:t>
      </w:r>
      <w:r w:rsidR="00F57F71">
        <w:t>order</w:t>
      </w:r>
      <w:r w:rsidRPr="00637DE5">
        <w:t xml:space="preserve"> </w:t>
      </w:r>
      <w:r w:rsidR="00C7036E">
        <w:t xml:space="preserve">only </w:t>
      </w:r>
      <w:r w:rsidRPr="00637DE5">
        <w:t xml:space="preserve">addresses the Utility’s request for a limited proceeding water rate increase in Marion and Seminole Counties. </w:t>
      </w:r>
    </w:p>
    <w:p w:rsidR="00637DE5" w:rsidRPr="00637DE5" w:rsidRDefault="00637DE5" w:rsidP="00637DE5">
      <w:pPr>
        <w:spacing w:after="240"/>
        <w:ind w:firstLine="720"/>
        <w:jc w:val="both"/>
      </w:pPr>
      <w:r w:rsidRPr="00637DE5">
        <w:t xml:space="preserve">On April 12, 2016, </w:t>
      </w:r>
      <w:r w:rsidR="00C7036E">
        <w:t>we</w:t>
      </w:r>
      <w:r w:rsidRPr="00637DE5">
        <w:t xml:space="preserve"> acknowledged the reorganization and name change of UI’s systems in Florida.</w:t>
      </w:r>
      <w:r w:rsidRPr="00637DE5">
        <w:rPr>
          <w:vertAlign w:val="superscript"/>
        </w:rPr>
        <w:footnoteReference w:id="6"/>
      </w:r>
      <w:r w:rsidRPr="00637DE5">
        <w:t xml:space="preserve"> The instant docket applies only to the former Utilities Inc., of Florida systems, and does not include Utilities, Inc. of Longwood (Longwood) </w:t>
      </w:r>
      <w:r w:rsidR="00F57F71">
        <w:t>or</w:t>
      </w:r>
      <w:r w:rsidRPr="00637DE5">
        <w:t xml:space="preserve"> Sanlando Utilities Corporation (Sanlando) in Seminole County. </w:t>
      </w:r>
    </w:p>
    <w:p w:rsidR="00637DE5" w:rsidRDefault="00F57F71" w:rsidP="00637DE5">
      <w:pPr>
        <w:spacing w:after="240"/>
        <w:ind w:firstLine="720"/>
        <w:jc w:val="both"/>
      </w:pPr>
      <w:r>
        <w:t>We have</w:t>
      </w:r>
      <w:r w:rsidR="00637DE5" w:rsidRPr="00637DE5">
        <w:t xml:space="preserve"> jurisdiction pursuant to Sections 367.081</w:t>
      </w:r>
      <w:r w:rsidR="00D753CB">
        <w:t xml:space="preserve"> </w:t>
      </w:r>
      <w:r w:rsidR="00637DE5" w:rsidRPr="00637DE5">
        <w:t>and 367.0822, Florida Statutes (F.S.).</w:t>
      </w:r>
    </w:p>
    <w:p w:rsidR="00637DE5" w:rsidRPr="0029675D" w:rsidRDefault="00637DE5" w:rsidP="00637DE5">
      <w:pPr>
        <w:spacing w:after="240"/>
        <w:jc w:val="center"/>
        <w:rPr>
          <w:b/>
          <w:u w:val="single"/>
        </w:rPr>
      </w:pPr>
      <w:r w:rsidRPr="0029675D">
        <w:rPr>
          <w:b/>
          <w:u w:val="single"/>
        </w:rPr>
        <w:t>Decision</w:t>
      </w:r>
    </w:p>
    <w:p w:rsidR="00637DE5" w:rsidRPr="00637DE5" w:rsidRDefault="00637DE5" w:rsidP="00637DE5">
      <w:pPr>
        <w:spacing w:after="240"/>
        <w:ind w:firstLine="720"/>
        <w:jc w:val="both"/>
      </w:pPr>
      <w:r w:rsidRPr="00637DE5">
        <w:t>In its petition, UIF requested a Marion County water rate increase of $52,725 (or 33.83 percent) for the replacement of galvanized service lines. In Seminole County, the Utility requested a water rate increase of $20,693 (or 2.11 percent) for an interconnection project.</w:t>
      </w:r>
    </w:p>
    <w:p w:rsidR="00637DE5" w:rsidRPr="00F57F71" w:rsidRDefault="00637DE5" w:rsidP="00637DE5">
      <w:pPr>
        <w:spacing w:after="240"/>
        <w:jc w:val="both"/>
        <w:rPr>
          <w:bCs/>
          <w:iCs/>
          <w:u w:val="single"/>
        </w:rPr>
      </w:pPr>
      <w:r w:rsidRPr="00F57F71">
        <w:rPr>
          <w:bCs/>
          <w:iCs/>
          <w:u w:val="single"/>
        </w:rPr>
        <w:t>Rate Base</w:t>
      </w:r>
    </w:p>
    <w:p w:rsidR="00637DE5" w:rsidRPr="00637DE5" w:rsidRDefault="00637DE5" w:rsidP="00637DE5">
      <w:pPr>
        <w:spacing w:after="240"/>
        <w:ind w:firstLine="720"/>
        <w:jc w:val="both"/>
      </w:pPr>
      <w:r w:rsidRPr="00637DE5">
        <w:t>In its filing, the Utility requested a rate base increase of $310,779 for Marion County and $97,132 for Seminole County. The rate base components were Utility Plant in Service, Accumulated Depreciation, and Cash Working Capital.</w:t>
      </w:r>
    </w:p>
    <w:p w:rsidR="00637DE5" w:rsidRPr="00F57F71" w:rsidRDefault="00637DE5" w:rsidP="00F57F71">
      <w:pPr>
        <w:spacing w:after="240"/>
        <w:jc w:val="both"/>
        <w:rPr>
          <w:bCs/>
          <w:iCs/>
          <w:u w:val="single"/>
        </w:rPr>
      </w:pPr>
      <w:r w:rsidRPr="00F57F71">
        <w:rPr>
          <w:bCs/>
          <w:iCs/>
          <w:u w:val="single"/>
        </w:rPr>
        <w:lastRenderedPageBreak/>
        <w:t>Utility Plant in Service</w:t>
      </w:r>
    </w:p>
    <w:p w:rsidR="00637DE5" w:rsidRPr="00637DE5" w:rsidRDefault="00637DE5" w:rsidP="00637DE5">
      <w:pPr>
        <w:spacing w:after="240"/>
        <w:ind w:firstLine="720"/>
        <w:jc w:val="both"/>
      </w:pPr>
      <w:r w:rsidRPr="00637DE5">
        <w:t xml:space="preserve">In Marion County, the Utility replaced galvanized iron pipes, which were in place since the 1970s, and associated meter boxes because of ongoing pipe failures that caused significant water loss. The project was completed in April 2015 and cost $313,978. The Utility had implemented a practice of replacing each water service line as it failed but decided to replace all of the 125 water service lines to take advantage of economies of scale. UIF estimated that continuing the process of replacing the pipes as needed could be up to one and a half times more costly. In response to </w:t>
      </w:r>
      <w:r w:rsidR="00F57F71">
        <w:t xml:space="preserve">Commission </w:t>
      </w:r>
      <w:r w:rsidRPr="00637DE5">
        <w:t xml:space="preserve">staff’s data request, the Utility provided the three bids it received and notes that it chose the lowest cost option. </w:t>
      </w:r>
      <w:r w:rsidR="00F57F71">
        <w:t>We find</w:t>
      </w:r>
      <w:r w:rsidRPr="00637DE5">
        <w:t xml:space="preserve"> that, given the age and condition of the water service lines and economies of scale associated with replacing the 125 water service lines at once, the project is reasonable, and UIF </w:t>
      </w:r>
      <w:r w:rsidR="00F57F71">
        <w:t>shall</w:t>
      </w:r>
      <w:r w:rsidRPr="00637DE5">
        <w:t xml:space="preserve"> be allowed to recover these costs. </w:t>
      </w:r>
    </w:p>
    <w:p w:rsidR="00637DE5" w:rsidRPr="00637DE5" w:rsidRDefault="00637DE5" w:rsidP="00637DE5">
      <w:pPr>
        <w:spacing w:after="240"/>
        <w:ind w:firstLine="720"/>
        <w:jc w:val="both"/>
      </w:pPr>
      <w:r w:rsidRPr="00637DE5">
        <w:t xml:space="preserve">In Seminole County, the Utility requested approval for </w:t>
      </w:r>
      <w:r w:rsidR="00D751EE">
        <w:t xml:space="preserve">preliminary </w:t>
      </w:r>
      <w:r w:rsidRPr="00637DE5">
        <w:t xml:space="preserve">costs associated with interconnecting its Ravenna Park and Crystal Lake water systems including upgrades to the Ravenna Park water treatment plant storage facilities. UIF stated that the project was initiated after excess infiltration of sand into the well pump of the sole water supply well, built in the 1950s, at Crystal Lake water system. The Utility proposed an interconnection after exploring two alternatives for the well failure. First, it explored downsizing the pump assembly and motor but found this option would not meet system demands and would lead to more pump replacements in the future. Second, it considered drilling a new well but found that the existing property’s footprint was too small to allow for a new well. The cost for this </w:t>
      </w:r>
      <w:r w:rsidR="00D751EE">
        <w:t xml:space="preserve">portion of the </w:t>
      </w:r>
      <w:r w:rsidRPr="00637DE5">
        <w:t>interconnection project is $98,033 which includes the engineering evaluation, design, geotechnical services, bid documentation, permitting, and well abandonment costs</w:t>
      </w:r>
      <w:r w:rsidR="00D751EE">
        <w:t xml:space="preserve"> which was completed in July 2015</w:t>
      </w:r>
      <w:r w:rsidRPr="00637DE5">
        <w:t xml:space="preserve">. Based on </w:t>
      </w:r>
      <w:r w:rsidR="00F57F71">
        <w:t>our</w:t>
      </w:r>
      <w:r w:rsidRPr="00637DE5">
        <w:t xml:space="preserve"> review</w:t>
      </w:r>
      <w:r w:rsidR="00D751EE">
        <w:t xml:space="preserve"> of invoices provided</w:t>
      </w:r>
      <w:r w:rsidRPr="00637DE5">
        <w:t xml:space="preserve">, the </w:t>
      </w:r>
      <w:r w:rsidR="00D751EE">
        <w:t xml:space="preserve">preliminary </w:t>
      </w:r>
      <w:r w:rsidRPr="00637DE5">
        <w:t>cost to complete the interconnection</w:t>
      </w:r>
      <w:r w:rsidR="00D751EE">
        <w:t xml:space="preserve"> project</w:t>
      </w:r>
      <w:r w:rsidRPr="00637DE5">
        <w:t xml:space="preserve"> is reasonable. </w:t>
      </w:r>
    </w:p>
    <w:p w:rsidR="00637DE5" w:rsidRPr="00F57F71" w:rsidRDefault="00637DE5" w:rsidP="00F57F71">
      <w:pPr>
        <w:spacing w:after="240"/>
        <w:jc w:val="both"/>
        <w:rPr>
          <w:bCs/>
          <w:iCs/>
          <w:u w:val="single"/>
        </w:rPr>
      </w:pPr>
      <w:r w:rsidRPr="00F57F71">
        <w:rPr>
          <w:bCs/>
          <w:iCs/>
          <w:u w:val="single"/>
        </w:rPr>
        <w:t>Accumulated Depreciation</w:t>
      </w:r>
    </w:p>
    <w:p w:rsidR="00637DE5" w:rsidRPr="00637DE5" w:rsidRDefault="00637DE5" w:rsidP="00637DE5">
      <w:pPr>
        <w:spacing w:after="240"/>
        <w:ind w:firstLine="720"/>
        <w:jc w:val="both"/>
      </w:pPr>
      <w:r w:rsidRPr="00637DE5">
        <w:t xml:space="preserve">UIF included accumulated depreciation of $3,651 and $1,400 for Marion and Seminole Counties, respectively. </w:t>
      </w:r>
      <w:r w:rsidR="00F57F71">
        <w:t>We</w:t>
      </w:r>
      <w:r w:rsidRPr="00637DE5">
        <w:t xml:space="preserve"> reviewed the calculation of the depreciation expense and the accumulated depreciation and </w:t>
      </w:r>
      <w:r w:rsidR="00F57F71">
        <w:t>find that</w:t>
      </w:r>
      <w:r w:rsidRPr="00637DE5">
        <w:t xml:space="preserve"> they are appropriate in accordance with Rule 25-30.140, </w:t>
      </w:r>
      <w:r w:rsidR="00F57F71">
        <w:t>F.A.C</w:t>
      </w:r>
      <w:r w:rsidRPr="00637DE5">
        <w:t xml:space="preserve">. </w:t>
      </w:r>
    </w:p>
    <w:p w:rsidR="00637DE5" w:rsidRPr="00F57F71" w:rsidRDefault="00637DE5" w:rsidP="00F57F71">
      <w:pPr>
        <w:spacing w:after="240"/>
        <w:jc w:val="both"/>
        <w:rPr>
          <w:bCs/>
          <w:iCs/>
          <w:u w:val="single"/>
        </w:rPr>
      </w:pPr>
      <w:r w:rsidRPr="00F57F71">
        <w:rPr>
          <w:bCs/>
          <w:iCs/>
          <w:u w:val="single"/>
        </w:rPr>
        <w:t>Working Capital Allowance</w:t>
      </w:r>
    </w:p>
    <w:p w:rsidR="00637DE5" w:rsidRPr="00637DE5" w:rsidRDefault="00637DE5" w:rsidP="00637DE5">
      <w:pPr>
        <w:spacing w:after="240"/>
        <w:ind w:firstLine="720"/>
        <w:jc w:val="both"/>
      </w:pPr>
      <w:r w:rsidRPr="00637DE5">
        <w:t>In its filing, UIF included a working capital allowance of $452 for Marion County and $499 for Seminole County. These amounts represent 1/8</w:t>
      </w:r>
      <w:r w:rsidRPr="00637DE5">
        <w:rPr>
          <w:vertAlign w:val="superscript"/>
        </w:rPr>
        <w:t>th</w:t>
      </w:r>
      <w:r w:rsidRPr="00637DE5">
        <w:t xml:space="preserve"> of the rate case expense. However, </w:t>
      </w:r>
      <w:r w:rsidR="00F57F71">
        <w:t>we</w:t>
      </w:r>
      <w:r w:rsidRPr="00637DE5">
        <w:t xml:space="preserve"> reduced the amount included in the working capital allowance based on the reductions made to the total rate case expense. As a result,</w:t>
      </w:r>
      <w:r w:rsidR="00F57F71">
        <w:t xml:space="preserve"> we find that</w:t>
      </w:r>
      <w:r w:rsidRPr="00637DE5">
        <w:t xml:space="preserve"> the appropriate amount of working capital is $</w:t>
      </w:r>
      <w:r w:rsidR="00F57F71">
        <w:t>289</w:t>
      </w:r>
      <w:r w:rsidRPr="00637DE5">
        <w:t xml:space="preserve"> and $</w:t>
      </w:r>
      <w:r w:rsidR="00F57F71">
        <w:t>272</w:t>
      </w:r>
      <w:r w:rsidRPr="00637DE5">
        <w:t xml:space="preserve"> for Marion and Seminole Counties, respectively.</w:t>
      </w:r>
    </w:p>
    <w:p w:rsidR="00637DE5" w:rsidRPr="00637DE5" w:rsidRDefault="00637DE5" w:rsidP="00637DE5">
      <w:pPr>
        <w:spacing w:after="240"/>
        <w:ind w:firstLine="720"/>
        <w:jc w:val="both"/>
      </w:pPr>
      <w:r w:rsidRPr="00637DE5">
        <w:t xml:space="preserve">After reviewing UIF’s requested rate base increase, </w:t>
      </w:r>
      <w:r w:rsidR="00F57F71">
        <w:t>we find</w:t>
      </w:r>
      <w:r w:rsidRPr="00637DE5">
        <w:t xml:space="preserve"> that the adjusted amounts for rate base are $310,</w:t>
      </w:r>
      <w:r w:rsidR="00F57F71">
        <w:t>616</w:t>
      </w:r>
      <w:r w:rsidRPr="00637DE5">
        <w:t xml:space="preserve"> for Marion and $96,</w:t>
      </w:r>
      <w:r w:rsidR="00F57F71">
        <w:t>905</w:t>
      </w:r>
      <w:r w:rsidRPr="00637DE5">
        <w:t xml:space="preserve"> for Seminole as shown in Schedule Nos. 1 and 2.</w:t>
      </w:r>
    </w:p>
    <w:p w:rsidR="00F57F71" w:rsidRDefault="00F57F71" w:rsidP="00637DE5">
      <w:pPr>
        <w:spacing w:after="240"/>
        <w:jc w:val="both"/>
        <w:rPr>
          <w:bCs/>
          <w:iCs/>
          <w:u w:val="single"/>
        </w:rPr>
      </w:pPr>
    </w:p>
    <w:p w:rsidR="00637DE5" w:rsidRPr="00F57F71" w:rsidRDefault="00637DE5" w:rsidP="00637DE5">
      <w:pPr>
        <w:spacing w:after="240"/>
        <w:jc w:val="both"/>
        <w:rPr>
          <w:bCs/>
          <w:iCs/>
          <w:u w:val="single"/>
        </w:rPr>
      </w:pPr>
      <w:r w:rsidRPr="00F57F71">
        <w:rPr>
          <w:bCs/>
          <w:iCs/>
          <w:u w:val="single"/>
        </w:rPr>
        <w:lastRenderedPageBreak/>
        <w:t>Rate of Return</w:t>
      </w:r>
    </w:p>
    <w:p w:rsidR="00637DE5" w:rsidRPr="00637DE5" w:rsidRDefault="00637DE5" w:rsidP="00637DE5">
      <w:pPr>
        <w:spacing w:after="240"/>
        <w:ind w:firstLine="720"/>
        <w:jc w:val="both"/>
      </w:pPr>
      <w:r w:rsidRPr="00637DE5">
        <w:t>Per Schedule No. 11 of its filing for both Marion and Seminole Counties, UIF calculated an 8.03 percent rate of return (ROR). This ROR was based on a capital structure ended December 31, 2014, that only included long-term debt with a cost rate of 6.65 percent and common equity with a return on equity of 9.38 percent. That capital structure is not consistent with the capital structure used in the Utility’s last rate case for Marion and Seminole Counties.</w:t>
      </w:r>
      <w:r w:rsidRPr="00637DE5">
        <w:rPr>
          <w:vertAlign w:val="superscript"/>
        </w:rPr>
        <w:footnoteReference w:id="7"/>
      </w:r>
      <w:r w:rsidRPr="00637DE5">
        <w:t xml:space="preserve"> In addition, Rule 25-30.445(4)(e), F.A.C., requires that the weighted average cost of capital be calculated based on the most recent 12-month period using the mid-point of the range of the last authorized rate of return on equity and all of the appropriate capital structure components. In this instance, the most recent period available is the 12 months ended December 31, 2015. UIF calculated a December 2015 ROR of 7.85 percent on Schedule F-5 of its 2015 Annual Report. However, UIF did not use the mid-point equity cost rate of 10.38 percent or the minimum 2.00 percent cost rate for customer deposits pursuant to Rule 25-30.311(4)(a), F.A.C. Based on the foregoing, </w:t>
      </w:r>
      <w:r w:rsidR="00F57F71">
        <w:t>we</w:t>
      </w:r>
      <w:r w:rsidRPr="00637DE5">
        <w:t xml:space="preserve"> recalculated a December 2015 ROR of 7.68 percent as shown on Schedule No. 3.</w:t>
      </w:r>
    </w:p>
    <w:p w:rsidR="00637DE5" w:rsidRPr="00F57F71" w:rsidRDefault="00637DE5" w:rsidP="00637DE5">
      <w:pPr>
        <w:spacing w:after="240"/>
        <w:jc w:val="both"/>
        <w:rPr>
          <w:bCs/>
          <w:iCs/>
          <w:u w:val="single"/>
        </w:rPr>
      </w:pPr>
      <w:r w:rsidRPr="00F57F71">
        <w:rPr>
          <w:bCs/>
          <w:iCs/>
          <w:u w:val="single"/>
        </w:rPr>
        <w:t>Operating Expenses</w:t>
      </w:r>
    </w:p>
    <w:p w:rsidR="00637DE5" w:rsidRPr="00637DE5" w:rsidRDefault="00637DE5" w:rsidP="00637DE5">
      <w:pPr>
        <w:spacing w:after="240"/>
        <w:ind w:firstLine="720"/>
        <w:jc w:val="both"/>
      </w:pPr>
      <w:r w:rsidRPr="00637DE5">
        <w:t>In its filing, UIF requested operating expense increases, excluding income taxes, of $16,091 and $9,062 for Marion and Seminole Counties, respectively. These increases are related to depreciation and property taxes for the additional plant, as well as rate case expense.</w:t>
      </w:r>
    </w:p>
    <w:p w:rsidR="00637DE5" w:rsidRPr="00F57F71" w:rsidRDefault="00637DE5" w:rsidP="00F57F71">
      <w:pPr>
        <w:spacing w:after="240"/>
        <w:jc w:val="both"/>
        <w:rPr>
          <w:bCs/>
          <w:iCs/>
          <w:u w:val="single"/>
        </w:rPr>
      </w:pPr>
      <w:r w:rsidRPr="00F57F71">
        <w:rPr>
          <w:bCs/>
          <w:iCs/>
          <w:u w:val="single"/>
        </w:rPr>
        <w:t>Depreciation Expense</w:t>
      </w:r>
    </w:p>
    <w:p w:rsidR="00637DE5" w:rsidRPr="00637DE5" w:rsidRDefault="00637DE5" w:rsidP="00637DE5">
      <w:pPr>
        <w:spacing w:after="240"/>
        <w:ind w:firstLine="720"/>
        <w:jc w:val="both"/>
      </w:pPr>
      <w:r w:rsidRPr="00637DE5">
        <w:t xml:space="preserve">UIF included increased depreciation expense of $7,302 for Marion and $2,801 for Seminole related to the additional plant that was added. </w:t>
      </w:r>
      <w:r w:rsidR="00D753CB">
        <w:t>We</w:t>
      </w:r>
      <w:r w:rsidRPr="00637DE5">
        <w:t xml:space="preserve"> reviewed the additional plant amounts and associated depreciation rates used in the calculation of the increased depreciation expense. In accordance with Rule 25-30.140, F.A.C., </w:t>
      </w:r>
      <w:r w:rsidR="00F57F71">
        <w:t>we hereby find</w:t>
      </w:r>
      <w:r w:rsidRPr="00637DE5">
        <w:t xml:space="preserve"> that the requested depreciation expense increase is appropriate.</w:t>
      </w:r>
    </w:p>
    <w:p w:rsidR="00637DE5" w:rsidRPr="00F57F71" w:rsidRDefault="00637DE5" w:rsidP="00F57F71">
      <w:pPr>
        <w:spacing w:after="240"/>
        <w:jc w:val="both"/>
        <w:rPr>
          <w:bCs/>
          <w:iCs/>
          <w:u w:val="single"/>
        </w:rPr>
      </w:pPr>
      <w:r w:rsidRPr="00F57F71">
        <w:rPr>
          <w:bCs/>
          <w:iCs/>
          <w:u w:val="single"/>
        </w:rPr>
        <w:t>Rate Case Expense</w:t>
      </w:r>
    </w:p>
    <w:p w:rsidR="00637DE5" w:rsidRPr="00637DE5" w:rsidRDefault="00637DE5" w:rsidP="00637DE5">
      <w:pPr>
        <w:spacing w:after="240"/>
        <w:ind w:firstLine="720"/>
        <w:jc w:val="both"/>
      </w:pPr>
      <w:r w:rsidRPr="00637DE5">
        <w:t xml:space="preserve">In its filing, UIF estimated that the total rate case expense would be $46,779 for Marion, Pasco and Seminole Counties. Per Schedule No. 12 of its filing, UIF requested total rate case expenses of $14,474 and $15,967 for Marion and Seminole Counties, respectively. The resulting 4-year amortization amounts were $3,619 for Marion and $3,992 for Seminole. In response to a </w:t>
      </w:r>
      <w:r w:rsidR="004B4A2F">
        <w:t xml:space="preserve">Commission </w:t>
      </w:r>
      <w:r w:rsidRPr="00637DE5">
        <w:t>staff data request, UIF submitted an updated total rate case expense of $28,779 on June 10, 2016.</w:t>
      </w:r>
      <w:r w:rsidRPr="00637DE5">
        <w:rPr>
          <w:vertAlign w:val="superscript"/>
        </w:rPr>
        <w:footnoteReference w:id="8"/>
      </w:r>
      <w:r w:rsidRPr="00637DE5">
        <w:t xml:space="preserve"> </w:t>
      </w:r>
      <w:r w:rsidR="004B4A2F">
        <w:t>The</w:t>
      </w:r>
      <w:r w:rsidR="004B4A2F" w:rsidRPr="004B4A2F">
        <w:t xml:space="preserve"> </w:t>
      </w:r>
      <w:r w:rsidR="006D66CA">
        <w:t xml:space="preserve">Utility assigned the $28,779 of </w:t>
      </w:r>
      <w:r w:rsidR="004B4A2F" w:rsidRPr="004B4A2F">
        <w:t>rate case expense to the counties on both a direct and a shared basis.</w:t>
      </w:r>
      <w:r w:rsidR="00D324EC">
        <w:rPr>
          <w:rStyle w:val="FootnoteReference"/>
        </w:rPr>
        <w:footnoteReference w:id="9"/>
      </w:r>
      <w:r w:rsidR="004B4A2F" w:rsidRPr="004B4A2F">
        <w:t xml:space="preserve"> The total amount of rate case expense is $9,249 for Marion County and $8,719 for Seminole County.</w:t>
      </w:r>
      <w:r w:rsidR="004B4A2F">
        <w:t xml:space="preserve">  </w:t>
      </w:r>
      <w:r w:rsidRPr="00637DE5">
        <w:t>The resulting annual rate case expense amortization is $</w:t>
      </w:r>
      <w:r w:rsidR="006D66CA">
        <w:t>2,312</w:t>
      </w:r>
      <w:r w:rsidRPr="00637DE5">
        <w:t xml:space="preserve"> ($</w:t>
      </w:r>
      <w:r w:rsidR="006D66CA">
        <w:t>9,249</w:t>
      </w:r>
      <w:r w:rsidRPr="00637DE5">
        <w:t xml:space="preserve"> divided by four years) for Marion County and $</w:t>
      </w:r>
      <w:r w:rsidR="006D66CA">
        <w:t>2,180</w:t>
      </w:r>
      <w:r w:rsidRPr="00637DE5">
        <w:t xml:space="preserve"> ($</w:t>
      </w:r>
      <w:r w:rsidR="006D66CA">
        <w:t>8,719</w:t>
      </w:r>
      <w:r w:rsidRPr="00637DE5">
        <w:t xml:space="preserve"> divided by four years) for </w:t>
      </w:r>
      <w:r w:rsidRPr="00637DE5">
        <w:lastRenderedPageBreak/>
        <w:t>Seminole County as shown on Schedule No. 4. The 4-year rate reduction for rate case expense is $</w:t>
      </w:r>
      <w:r w:rsidR="006D66CA">
        <w:t>2,416</w:t>
      </w:r>
      <w:r w:rsidRPr="00637DE5">
        <w:t xml:space="preserve"> and $2,</w:t>
      </w:r>
      <w:r w:rsidR="006D66CA">
        <w:t>278</w:t>
      </w:r>
      <w:r w:rsidRPr="00637DE5">
        <w:t xml:space="preserve"> for Marion and Seminole Counties, respectively. The recovery of any rate case expense related to Pasco County will be determined in the bifurcated portion of the limited proceeding.</w:t>
      </w:r>
    </w:p>
    <w:p w:rsidR="00637DE5" w:rsidRPr="006D66CA" w:rsidRDefault="00637DE5" w:rsidP="006D66CA">
      <w:pPr>
        <w:spacing w:after="240"/>
        <w:jc w:val="both"/>
        <w:rPr>
          <w:bCs/>
          <w:iCs/>
          <w:u w:val="single"/>
        </w:rPr>
      </w:pPr>
      <w:r w:rsidRPr="006D66CA">
        <w:rPr>
          <w:bCs/>
          <w:iCs/>
          <w:u w:val="single"/>
        </w:rPr>
        <w:t>Taxes Other Than Income</w:t>
      </w:r>
    </w:p>
    <w:p w:rsidR="00637DE5" w:rsidRPr="00637DE5" w:rsidRDefault="00637DE5" w:rsidP="00637DE5">
      <w:pPr>
        <w:spacing w:after="240"/>
        <w:ind w:firstLine="720"/>
        <w:jc w:val="both"/>
      </w:pPr>
      <w:r w:rsidRPr="00637DE5">
        <w:t xml:space="preserve">The Utility included increased Taxes Other Than Income (TOTI) of $5,170 and $2,269 for Marion and Seminole Counties, respectively. The increases were mainly related to the property taxes on the additional plant that was added. </w:t>
      </w:r>
      <w:r w:rsidR="006D66CA">
        <w:t>We</w:t>
      </w:r>
      <w:r w:rsidRPr="00637DE5">
        <w:t xml:space="preserve"> reviewed the property tax calculations of $5,170 for Marion and $1,495 for Seminole and </w:t>
      </w:r>
      <w:r w:rsidR="006D66CA">
        <w:t>find</w:t>
      </w:r>
      <w:r w:rsidRPr="00637DE5">
        <w:t xml:space="preserve"> that they are reasonable. In Seminole County, however, UIF incorrectly included an additional $775 for regulatory assessment fees related to </w:t>
      </w:r>
      <w:r w:rsidR="006D66CA">
        <w:t>our</w:t>
      </w:r>
      <w:r w:rsidRPr="00637DE5">
        <w:t xml:space="preserve"> calculation of annualized revenue. </w:t>
      </w:r>
      <w:r w:rsidR="006D66CA">
        <w:t>We</w:t>
      </w:r>
      <w:r w:rsidRPr="00637DE5">
        <w:t xml:space="preserve"> excluded this amount from its calculation resulting in increased TOTI of $5,170 and $1,495 for Marion and Seminole Counties, respectively.</w:t>
      </w:r>
    </w:p>
    <w:p w:rsidR="00637DE5" w:rsidRPr="00637DE5" w:rsidRDefault="00637DE5" w:rsidP="00637DE5">
      <w:pPr>
        <w:spacing w:after="240"/>
        <w:ind w:firstLine="720"/>
        <w:jc w:val="both"/>
      </w:pPr>
      <w:r w:rsidRPr="00637DE5">
        <w:t xml:space="preserve">Based on </w:t>
      </w:r>
      <w:r w:rsidR="006D66CA">
        <w:t>our</w:t>
      </w:r>
      <w:r w:rsidRPr="00637DE5">
        <w:t xml:space="preserve"> review, the appropriate operating expense increases, excluding income taxes, are $14,156 for Marion County and $6,232 for Seminole County.</w:t>
      </w:r>
    </w:p>
    <w:p w:rsidR="00637DE5" w:rsidRPr="006D66CA" w:rsidRDefault="00637DE5" w:rsidP="00637DE5">
      <w:pPr>
        <w:spacing w:after="240"/>
        <w:jc w:val="both"/>
        <w:rPr>
          <w:bCs/>
          <w:iCs/>
          <w:u w:val="single"/>
        </w:rPr>
      </w:pPr>
      <w:r w:rsidRPr="006D66CA">
        <w:rPr>
          <w:bCs/>
          <w:iCs/>
          <w:u w:val="single"/>
        </w:rPr>
        <w:t>Calculation of Water Rate Increases</w:t>
      </w:r>
    </w:p>
    <w:p w:rsidR="00CB5276" w:rsidRDefault="00637DE5" w:rsidP="00637DE5">
      <w:pPr>
        <w:spacing w:after="240"/>
        <w:ind w:firstLine="720"/>
        <w:jc w:val="both"/>
      </w:pPr>
      <w:r w:rsidRPr="00637DE5">
        <w:t xml:space="preserve">UIF calculated water rate increases of $52,725 (or 33.83 percent) for Marion County and $20,693 (or 2.11 percent) for Seminole County. </w:t>
      </w:r>
      <w:r w:rsidR="006D66CA">
        <w:t>We</w:t>
      </w:r>
      <w:r w:rsidRPr="00637DE5">
        <w:t xml:space="preserve"> note one error that the Utility made in its calculation of the income subject to state and federal income taxes. In calculating the taxable income amount, UIF multiplied the increased rate base amount by the total overall ROR of 8.03 percent. The proper calculation would be to multiply the increased rate base amount by only the common equity weighted cost component of the ROR. In </w:t>
      </w:r>
      <w:r w:rsidR="006D66CA">
        <w:t>our</w:t>
      </w:r>
      <w:r w:rsidRPr="00637DE5">
        <w:t xml:space="preserve"> calculation, </w:t>
      </w:r>
      <w:r w:rsidR="006D66CA">
        <w:t>we</w:t>
      </w:r>
      <w:r w:rsidRPr="00637DE5">
        <w:t xml:space="preserve"> used a common equity weighted cost component of 4.87 percent rather than the total overall ROR of 7.68 percent. Based on </w:t>
      </w:r>
      <w:r w:rsidR="006D66CA">
        <w:t>our</w:t>
      </w:r>
      <w:r w:rsidRPr="00637DE5">
        <w:t xml:space="preserve"> adjustments, </w:t>
      </w:r>
      <w:r w:rsidR="006D66CA">
        <w:t>we</w:t>
      </w:r>
      <w:r w:rsidRPr="00637DE5">
        <w:t xml:space="preserve"> has calculated water rate increases of $4</w:t>
      </w:r>
      <w:r w:rsidR="006D66CA">
        <w:t>6,327</w:t>
      </w:r>
      <w:r w:rsidRPr="00637DE5">
        <w:t xml:space="preserve"> (or</w:t>
      </w:r>
      <w:r w:rsidR="006D66CA">
        <w:t xml:space="preserve"> 29.27</w:t>
      </w:r>
      <w:r w:rsidRPr="00637DE5">
        <w:t xml:space="preserve"> percent) for Marion County and $16,</w:t>
      </w:r>
      <w:r w:rsidR="006D66CA">
        <w:t>400 (or 1.64</w:t>
      </w:r>
      <w:r w:rsidRPr="00637DE5">
        <w:t xml:space="preserve"> percent) for Seminole County, excluding Longwood and Sanlando, as shown in Schedule Nos. 1 and 2.</w:t>
      </w:r>
    </w:p>
    <w:p w:rsidR="00637DE5" w:rsidRPr="00E53140" w:rsidRDefault="00E53140" w:rsidP="00E53140">
      <w:pPr>
        <w:spacing w:after="240"/>
        <w:jc w:val="center"/>
        <w:rPr>
          <w:bCs/>
        </w:rPr>
      </w:pPr>
      <w:r w:rsidRPr="00E53140">
        <w:rPr>
          <w:bCs/>
          <w:u w:val="single"/>
        </w:rPr>
        <w:t>Appropriate Rate Increase</w:t>
      </w:r>
    </w:p>
    <w:p w:rsidR="00637DE5" w:rsidRDefault="00E53140" w:rsidP="00637DE5">
      <w:pPr>
        <w:spacing w:after="240"/>
        <w:ind w:firstLine="720"/>
        <w:jc w:val="both"/>
      </w:pPr>
      <w:r>
        <w:t>The</w:t>
      </w:r>
      <w:r w:rsidR="00637DE5" w:rsidRPr="00637DE5">
        <w:t xml:space="preserve"> service rates for Utilities, Inc. of Florida </w:t>
      </w:r>
      <w:r>
        <w:t xml:space="preserve">shall </w:t>
      </w:r>
      <w:r w:rsidR="00637DE5" w:rsidRPr="00637DE5">
        <w:t>be designed to allow the utility the opportunity to generate annual operating revenues of $</w:t>
      </w:r>
      <w:r>
        <w:t>204,604</w:t>
      </w:r>
      <w:r w:rsidR="00637DE5" w:rsidRPr="00637DE5">
        <w:t xml:space="preserve"> and $1,017,</w:t>
      </w:r>
      <w:r>
        <w:t>876</w:t>
      </w:r>
      <w:r w:rsidR="00637DE5" w:rsidRPr="00637DE5">
        <w:t xml:space="preserve"> for Marion County and Seminole County, excluding Longwood and Sanlando, respectively. Before removal of miscellaneous revenues, this would result in an increase of $4</w:t>
      </w:r>
      <w:r>
        <w:t>6,327</w:t>
      </w:r>
      <w:r w:rsidR="00637DE5" w:rsidRPr="00637DE5">
        <w:t xml:space="preserve"> (or </w:t>
      </w:r>
      <w:r>
        <w:t>29.27</w:t>
      </w:r>
      <w:r w:rsidR="00637DE5" w:rsidRPr="00637DE5">
        <w:t xml:space="preserve"> percent) for Marion County and $16,</w:t>
      </w:r>
      <w:r>
        <w:t>400 (or 1.64</w:t>
      </w:r>
      <w:r w:rsidR="00637DE5" w:rsidRPr="00637DE5">
        <w:t xml:space="preserve"> percent) for Seminole County. To determine the appropriate increase to apply to the service rates, miscellaneous revenues </w:t>
      </w:r>
      <w:r w:rsidR="002A5767">
        <w:t>were</w:t>
      </w:r>
      <w:r w:rsidR="00637DE5" w:rsidRPr="00637DE5">
        <w:t xml:space="preserve"> removed from the test year revenues</w:t>
      </w:r>
      <w:r w:rsidR="002A5767">
        <w:t>. The calculation is as shown in Table 1 below.</w:t>
      </w:r>
    </w:p>
    <w:p w:rsidR="002A5767" w:rsidRDefault="002A5767" w:rsidP="00637DE5">
      <w:pPr>
        <w:spacing w:after="240"/>
        <w:ind w:firstLine="720"/>
        <w:jc w:val="both"/>
      </w:pPr>
    </w:p>
    <w:p w:rsidR="002A5767" w:rsidRDefault="002A5767" w:rsidP="00637DE5">
      <w:pPr>
        <w:spacing w:after="240"/>
        <w:ind w:firstLine="720"/>
        <w:jc w:val="both"/>
      </w:pPr>
    </w:p>
    <w:p w:rsidR="002A5767" w:rsidRPr="00637DE5" w:rsidRDefault="002A5767" w:rsidP="00637DE5">
      <w:pPr>
        <w:spacing w:after="240"/>
        <w:ind w:firstLine="720"/>
        <w:jc w:val="both"/>
      </w:pPr>
    </w:p>
    <w:p w:rsidR="00637DE5" w:rsidRPr="00637DE5" w:rsidRDefault="00637DE5" w:rsidP="00637DE5">
      <w:pPr>
        <w:pStyle w:val="TableTitle"/>
        <w:rPr>
          <w:rFonts w:ascii="Times New Roman" w:hAnsi="Times New Roman"/>
        </w:rPr>
      </w:pPr>
      <w:r w:rsidRPr="00637DE5">
        <w:rPr>
          <w:rFonts w:ascii="Times New Roman" w:hAnsi="Times New Roman"/>
        </w:rPr>
        <w:t>Table 1</w:t>
      </w:r>
    </w:p>
    <w:p w:rsidR="00637DE5" w:rsidRPr="00637DE5" w:rsidRDefault="00637DE5" w:rsidP="00637DE5">
      <w:pPr>
        <w:pStyle w:val="TableTitle"/>
        <w:rPr>
          <w:rFonts w:ascii="Times New Roman" w:hAnsi="Times New Roman"/>
        </w:rPr>
      </w:pPr>
      <w:r w:rsidRPr="00637DE5">
        <w:rPr>
          <w:rFonts w:ascii="Times New Roman" w:hAnsi="Times New Roman"/>
        </w:rPr>
        <w:t xml:space="preserve">Percentage Service Rate Increase </w:t>
      </w:r>
    </w:p>
    <w:tbl>
      <w:tblPr>
        <w:tblW w:w="9562" w:type="dxa"/>
        <w:jc w:val="center"/>
        <w:tblInd w:w="7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6"/>
        <w:gridCol w:w="6064"/>
        <w:gridCol w:w="1406"/>
        <w:gridCol w:w="1406"/>
      </w:tblGrid>
      <w:tr w:rsidR="00637DE5" w:rsidRPr="00EF6366" w:rsidTr="00C7036E">
        <w:trPr>
          <w:jc w:val="center"/>
        </w:trPr>
        <w:tc>
          <w:tcPr>
            <w:tcW w:w="686" w:type="dxa"/>
            <w:shd w:val="clear" w:color="auto" w:fill="auto"/>
          </w:tcPr>
          <w:p w:rsidR="00637DE5" w:rsidRPr="00EF6366" w:rsidRDefault="00637DE5" w:rsidP="00C7036E">
            <w:pPr>
              <w:jc w:val="right"/>
            </w:pPr>
          </w:p>
        </w:tc>
        <w:tc>
          <w:tcPr>
            <w:tcW w:w="6064" w:type="dxa"/>
            <w:shd w:val="clear" w:color="auto" w:fill="auto"/>
          </w:tcPr>
          <w:p w:rsidR="00637DE5" w:rsidRPr="00EF6366" w:rsidRDefault="00637DE5" w:rsidP="00C7036E"/>
        </w:tc>
        <w:tc>
          <w:tcPr>
            <w:tcW w:w="1406" w:type="dxa"/>
            <w:shd w:val="clear" w:color="auto" w:fill="auto"/>
          </w:tcPr>
          <w:p w:rsidR="00637DE5" w:rsidRPr="00EF6366" w:rsidRDefault="00637DE5" w:rsidP="00C7036E">
            <w:pPr>
              <w:jc w:val="center"/>
              <w:rPr>
                <w:u w:val="single"/>
              </w:rPr>
            </w:pPr>
            <w:r w:rsidRPr="00EF6366">
              <w:rPr>
                <w:u w:val="single"/>
              </w:rPr>
              <w:t>Marion</w:t>
            </w:r>
          </w:p>
        </w:tc>
        <w:tc>
          <w:tcPr>
            <w:tcW w:w="1406" w:type="dxa"/>
          </w:tcPr>
          <w:p w:rsidR="00637DE5" w:rsidRPr="00EF6366" w:rsidRDefault="00637DE5" w:rsidP="00C7036E">
            <w:pPr>
              <w:jc w:val="center"/>
              <w:rPr>
                <w:u w:val="single"/>
              </w:rPr>
            </w:pPr>
            <w:r w:rsidRPr="00EF6366">
              <w:rPr>
                <w:u w:val="single"/>
              </w:rPr>
              <w:t>Seminole</w:t>
            </w:r>
          </w:p>
        </w:tc>
      </w:tr>
      <w:tr w:rsidR="00637DE5" w:rsidRPr="00EF6366" w:rsidTr="00C7036E">
        <w:trPr>
          <w:trHeight w:val="117"/>
          <w:jc w:val="center"/>
        </w:trPr>
        <w:tc>
          <w:tcPr>
            <w:tcW w:w="686" w:type="dxa"/>
            <w:shd w:val="clear" w:color="auto" w:fill="auto"/>
          </w:tcPr>
          <w:p w:rsidR="00637DE5" w:rsidRPr="00EF6366" w:rsidRDefault="00637DE5" w:rsidP="00C7036E">
            <w:pPr>
              <w:jc w:val="right"/>
            </w:pPr>
          </w:p>
        </w:tc>
        <w:tc>
          <w:tcPr>
            <w:tcW w:w="6064" w:type="dxa"/>
            <w:shd w:val="clear" w:color="auto" w:fill="auto"/>
          </w:tcPr>
          <w:p w:rsidR="00637DE5" w:rsidRPr="00EF6366" w:rsidRDefault="00637DE5" w:rsidP="00C7036E"/>
        </w:tc>
        <w:tc>
          <w:tcPr>
            <w:tcW w:w="1406" w:type="dxa"/>
            <w:shd w:val="clear" w:color="auto" w:fill="auto"/>
          </w:tcPr>
          <w:p w:rsidR="00637DE5" w:rsidRPr="00EF6366" w:rsidRDefault="00637DE5" w:rsidP="00C7036E">
            <w:pPr>
              <w:jc w:val="right"/>
            </w:pPr>
          </w:p>
        </w:tc>
        <w:tc>
          <w:tcPr>
            <w:tcW w:w="1406" w:type="dxa"/>
          </w:tcPr>
          <w:p w:rsidR="00637DE5" w:rsidRPr="00EF6366" w:rsidRDefault="00637DE5" w:rsidP="00C7036E">
            <w:pPr>
              <w:jc w:val="right"/>
            </w:pPr>
          </w:p>
        </w:tc>
      </w:tr>
      <w:tr w:rsidR="00637DE5" w:rsidRPr="00EF6366" w:rsidTr="00C7036E">
        <w:trPr>
          <w:jc w:val="center"/>
        </w:trPr>
        <w:tc>
          <w:tcPr>
            <w:tcW w:w="686" w:type="dxa"/>
            <w:shd w:val="clear" w:color="auto" w:fill="auto"/>
          </w:tcPr>
          <w:p w:rsidR="00637DE5" w:rsidRPr="00EF6366" w:rsidRDefault="00637DE5" w:rsidP="00C7036E">
            <w:pPr>
              <w:jc w:val="right"/>
            </w:pPr>
            <w:r w:rsidRPr="00EF6366">
              <w:t>1</w:t>
            </w:r>
          </w:p>
        </w:tc>
        <w:tc>
          <w:tcPr>
            <w:tcW w:w="6064" w:type="dxa"/>
            <w:shd w:val="clear" w:color="auto" w:fill="auto"/>
          </w:tcPr>
          <w:p w:rsidR="00637DE5" w:rsidRPr="00EF6366" w:rsidRDefault="00637DE5" w:rsidP="00C7036E">
            <w:r w:rsidRPr="00EF6366">
              <w:t>Total Test Year Revenues</w:t>
            </w:r>
          </w:p>
        </w:tc>
        <w:tc>
          <w:tcPr>
            <w:tcW w:w="1406" w:type="dxa"/>
            <w:shd w:val="clear" w:color="auto" w:fill="auto"/>
          </w:tcPr>
          <w:p w:rsidR="00637DE5" w:rsidRPr="00EF6366" w:rsidRDefault="00637DE5" w:rsidP="00C7036E">
            <w:pPr>
              <w:jc w:val="right"/>
            </w:pPr>
            <w:r w:rsidRPr="00EF6366">
              <w:t>$158,277</w:t>
            </w:r>
          </w:p>
        </w:tc>
        <w:tc>
          <w:tcPr>
            <w:tcW w:w="1406" w:type="dxa"/>
          </w:tcPr>
          <w:p w:rsidR="00637DE5" w:rsidRPr="00EF6366" w:rsidRDefault="00637DE5" w:rsidP="00C7036E">
            <w:pPr>
              <w:jc w:val="right"/>
            </w:pPr>
            <w:r w:rsidRPr="00EF6366">
              <w:t>$1,001,476</w:t>
            </w:r>
          </w:p>
        </w:tc>
      </w:tr>
      <w:tr w:rsidR="00637DE5" w:rsidRPr="00EF6366" w:rsidTr="00C7036E">
        <w:trPr>
          <w:jc w:val="center"/>
        </w:trPr>
        <w:tc>
          <w:tcPr>
            <w:tcW w:w="686" w:type="dxa"/>
            <w:shd w:val="clear" w:color="auto" w:fill="auto"/>
          </w:tcPr>
          <w:p w:rsidR="00637DE5" w:rsidRPr="00EF6366" w:rsidRDefault="00637DE5" w:rsidP="00C7036E">
            <w:pPr>
              <w:jc w:val="right"/>
            </w:pPr>
          </w:p>
        </w:tc>
        <w:tc>
          <w:tcPr>
            <w:tcW w:w="6064" w:type="dxa"/>
            <w:shd w:val="clear" w:color="auto" w:fill="auto"/>
          </w:tcPr>
          <w:p w:rsidR="00637DE5" w:rsidRPr="00EF6366" w:rsidRDefault="00637DE5" w:rsidP="00C7036E"/>
        </w:tc>
        <w:tc>
          <w:tcPr>
            <w:tcW w:w="1406" w:type="dxa"/>
            <w:shd w:val="clear" w:color="auto" w:fill="auto"/>
          </w:tcPr>
          <w:p w:rsidR="00637DE5" w:rsidRPr="00EF6366" w:rsidRDefault="00637DE5" w:rsidP="00C7036E">
            <w:pPr>
              <w:jc w:val="right"/>
            </w:pPr>
          </w:p>
        </w:tc>
        <w:tc>
          <w:tcPr>
            <w:tcW w:w="1406" w:type="dxa"/>
          </w:tcPr>
          <w:p w:rsidR="00637DE5" w:rsidRPr="00EF6366" w:rsidRDefault="00637DE5" w:rsidP="00C7036E">
            <w:pPr>
              <w:jc w:val="right"/>
            </w:pPr>
          </w:p>
        </w:tc>
      </w:tr>
      <w:tr w:rsidR="00637DE5" w:rsidRPr="00EF6366" w:rsidTr="00C7036E">
        <w:trPr>
          <w:jc w:val="center"/>
        </w:trPr>
        <w:tc>
          <w:tcPr>
            <w:tcW w:w="686" w:type="dxa"/>
            <w:shd w:val="clear" w:color="auto" w:fill="auto"/>
          </w:tcPr>
          <w:p w:rsidR="00637DE5" w:rsidRPr="00EF6366" w:rsidRDefault="00637DE5" w:rsidP="00C7036E">
            <w:pPr>
              <w:jc w:val="right"/>
            </w:pPr>
            <w:r w:rsidRPr="00EF6366">
              <w:t>2</w:t>
            </w:r>
          </w:p>
        </w:tc>
        <w:tc>
          <w:tcPr>
            <w:tcW w:w="6064" w:type="dxa"/>
            <w:shd w:val="clear" w:color="auto" w:fill="auto"/>
          </w:tcPr>
          <w:p w:rsidR="00637DE5" w:rsidRPr="00EF6366" w:rsidRDefault="00637DE5" w:rsidP="00C7036E">
            <w:r w:rsidRPr="00EF6366">
              <w:t>Less: Miscellaneous Revenues</w:t>
            </w:r>
          </w:p>
        </w:tc>
        <w:tc>
          <w:tcPr>
            <w:tcW w:w="1406" w:type="dxa"/>
            <w:shd w:val="clear" w:color="auto" w:fill="auto"/>
          </w:tcPr>
          <w:p w:rsidR="00637DE5" w:rsidRPr="00EF6366" w:rsidRDefault="00637DE5" w:rsidP="00C7036E">
            <w:pPr>
              <w:jc w:val="right"/>
              <w:rPr>
                <w:u w:val="single"/>
              </w:rPr>
            </w:pPr>
            <w:r w:rsidRPr="00EF6366">
              <w:rPr>
                <w:u w:val="single"/>
              </w:rPr>
              <w:t>$2,446</w:t>
            </w:r>
          </w:p>
        </w:tc>
        <w:tc>
          <w:tcPr>
            <w:tcW w:w="1406" w:type="dxa"/>
          </w:tcPr>
          <w:p w:rsidR="00637DE5" w:rsidRPr="00EF6366" w:rsidRDefault="00637DE5" w:rsidP="00C7036E">
            <w:pPr>
              <w:jc w:val="right"/>
              <w:rPr>
                <w:u w:val="single"/>
              </w:rPr>
            </w:pPr>
            <w:r w:rsidRPr="00EF6366">
              <w:rPr>
                <w:u w:val="single"/>
              </w:rPr>
              <w:t>$21,103</w:t>
            </w:r>
          </w:p>
        </w:tc>
      </w:tr>
      <w:tr w:rsidR="00637DE5" w:rsidRPr="00EF6366" w:rsidTr="00C7036E">
        <w:trPr>
          <w:jc w:val="center"/>
        </w:trPr>
        <w:tc>
          <w:tcPr>
            <w:tcW w:w="686" w:type="dxa"/>
            <w:shd w:val="clear" w:color="auto" w:fill="auto"/>
          </w:tcPr>
          <w:p w:rsidR="00637DE5" w:rsidRPr="00EF6366" w:rsidRDefault="00637DE5" w:rsidP="00C7036E">
            <w:pPr>
              <w:jc w:val="right"/>
            </w:pPr>
          </w:p>
        </w:tc>
        <w:tc>
          <w:tcPr>
            <w:tcW w:w="6064" w:type="dxa"/>
            <w:shd w:val="clear" w:color="auto" w:fill="auto"/>
          </w:tcPr>
          <w:p w:rsidR="00637DE5" w:rsidRPr="00EF6366" w:rsidRDefault="00637DE5" w:rsidP="00C7036E"/>
        </w:tc>
        <w:tc>
          <w:tcPr>
            <w:tcW w:w="1406" w:type="dxa"/>
            <w:shd w:val="clear" w:color="auto" w:fill="auto"/>
          </w:tcPr>
          <w:p w:rsidR="00637DE5" w:rsidRPr="00EF6366" w:rsidRDefault="00637DE5" w:rsidP="00C7036E">
            <w:pPr>
              <w:jc w:val="right"/>
            </w:pPr>
          </w:p>
        </w:tc>
        <w:tc>
          <w:tcPr>
            <w:tcW w:w="1406" w:type="dxa"/>
          </w:tcPr>
          <w:p w:rsidR="00637DE5" w:rsidRPr="00EF6366" w:rsidRDefault="00637DE5" w:rsidP="00C7036E">
            <w:pPr>
              <w:jc w:val="right"/>
            </w:pPr>
          </w:p>
        </w:tc>
      </w:tr>
      <w:tr w:rsidR="00637DE5" w:rsidRPr="00EF6366" w:rsidTr="00C7036E">
        <w:trPr>
          <w:jc w:val="center"/>
        </w:trPr>
        <w:tc>
          <w:tcPr>
            <w:tcW w:w="686" w:type="dxa"/>
            <w:shd w:val="clear" w:color="auto" w:fill="auto"/>
          </w:tcPr>
          <w:p w:rsidR="00637DE5" w:rsidRPr="00EF6366" w:rsidRDefault="00637DE5" w:rsidP="00C7036E">
            <w:pPr>
              <w:jc w:val="right"/>
            </w:pPr>
            <w:r w:rsidRPr="00EF6366">
              <w:t>3</w:t>
            </w:r>
          </w:p>
        </w:tc>
        <w:tc>
          <w:tcPr>
            <w:tcW w:w="6064" w:type="dxa"/>
            <w:shd w:val="clear" w:color="auto" w:fill="auto"/>
          </w:tcPr>
          <w:p w:rsidR="00637DE5" w:rsidRPr="00EF6366" w:rsidRDefault="00637DE5" w:rsidP="00C7036E">
            <w:r w:rsidRPr="00EF6366">
              <w:t>Test Year Revenues from Service Rates</w:t>
            </w:r>
          </w:p>
        </w:tc>
        <w:tc>
          <w:tcPr>
            <w:tcW w:w="1406" w:type="dxa"/>
            <w:shd w:val="clear" w:color="auto" w:fill="auto"/>
          </w:tcPr>
          <w:p w:rsidR="00637DE5" w:rsidRPr="00EF6366" w:rsidRDefault="00637DE5" w:rsidP="00C7036E">
            <w:pPr>
              <w:jc w:val="right"/>
            </w:pPr>
            <w:r w:rsidRPr="00EF6366">
              <w:t>$155,831</w:t>
            </w:r>
          </w:p>
        </w:tc>
        <w:tc>
          <w:tcPr>
            <w:tcW w:w="1406" w:type="dxa"/>
          </w:tcPr>
          <w:p w:rsidR="00637DE5" w:rsidRPr="00EF6366" w:rsidRDefault="00637DE5" w:rsidP="00C7036E">
            <w:pPr>
              <w:jc w:val="right"/>
            </w:pPr>
            <w:r w:rsidRPr="00EF6366">
              <w:t>$980,373</w:t>
            </w:r>
          </w:p>
        </w:tc>
      </w:tr>
      <w:tr w:rsidR="00637DE5" w:rsidRPr="00EF6366" w:rsidTr="00C7036E">
        <w:trPr>
          <w:jc w:val="center"/>
        </w:trPr>
        <w:tc>
          <w:tcPr>
            <w:tcW w:w="686" w:type="dxa"/>
            <w:shd w:val="clear" w:color="auto" w:fill="auto"/>
          </w:tcPr>
          <w:p w:rsidR="00637DE5" w:rsidRPr="00EF6366" w:rsidRDefault="00637DE5" w:rsidP="00C7036E">
            <w:pPr>
              <w:jc w:val="right"/>
            </w:pPr>
          </w:p>
        </w:tc>
        <w:tc>
          <w:tcPr>
            <w:tcW w:w="6064" w:type="dxa"/>
            <w:shd w:val="clear" w:color="auto" w:fill="auto"/>
          </w:tcPr>
          <w:p w:rsidR="00637DE5" w:rsidRPr="00EF6366" w:rsidRDefault="00637DE5" w:rsidP="00C7036E"/>
        </w:tc>
        <w:tc>
          <w:tcPr>
            <w:tcW w:w="1406" w:type="dxa"/>
            <w:shd w:val="clear" w:color="auto" w:fill="auto"/>
          </w:tcPr>
          <w:p w:rsidR="00637DE5" w:rsidRPr="00EF6366" w:rsidRDefault="00637DE5" w:rsidP="00C7036E">
            <w:pPr>
              <w:jc w:val="right"/>
            </w:pPr>
          </w:p>
        </w:tc>
        <w:tc>
          <w:tcPr>
            <w:tcW w:w="1406" w:type="dxa"/>
          </w:tcPr>
          <w:p w:rsidR="00637DE5" w:rsidRPr="00EF6366" w:rsidRDefault="00637DE5" w:rsidP="00C7036E">
            <w:pPr>
              <w:jc w:val="right"/>
            </w:pPr>
          </w:p>
        </w:tc>
      </w:tr>
      <w:tr w:rsidR="00637DE5" w:rsidRPr="00EF6366" w:rsidTr="00C7036E">
        <w:trPr>
          <w:jc w:val="center"/>
        </w:trPr>
        <w:tc>
          <w:tcPr>
            <w:tcW w:w="686" w:type="dxa"/>
            <w:shd w:val="clear" w:color="auto" w:fill="auto"/>
          </w:tcPr>
          <w:p w:rsidR="00637DE5" w:rsidRPr="00EF6366" w:rsidRDefault="00637DE5" w:rsidP="00C7036E">
            <w:pPr>
              <w:jc w:val="right"/>
            </w:pPr>
            <w:r w:rsidRPr="00EF6366">
              <w:t>4</w:t>
            </w:r>
          </w:p>
        </w:tc>
        <w:tc>
          <w:tcPr>
            <w:tcW w:w="6064" w:type="dxa"/>
            <w:shd w:val="clear" w:color="auto" w:fill="auto"/>
          </w:tcPr>
          <w:p w:rsidR="00637DE5" w:rsidRPr="00EF6366" w:rsidRDefault="00637DE5" w:rsidP="00C7036E">
            <w:r w:rsidRPr="00EF6366">
              <w:t>Revenue Increase</w:t>
            </w:r>
          </w:p>
        </w:tc>
        <w:tc>
          <w:tcPr>
            <w:tcW w:w="1406" w:type="dxa"/>
            <w:shd w:val="clear" w:color="auto" w:fill="auto"/>
          </w:tcPr>
          <w:p w:rsidR="00637DE5" w:rsidRPr="00EF6366" w:rsidRDefault="00637DE5" w:rsidP="002A5767">
            <w:pPr>
              <w:jc w:val="right"/>
              <w:rPr>
                <w:u w:val="single"/>
              </w:rPr>
            </w:pPr>
            <w:r w:rsidRPr="00EF6366">
              <w:rPr>
                <w:u w:val="single"/>
              </w:rPr>
              <w:t>$4</w:t>
            </w:r>
            <w:r w:rsidR="002A5767">
              <w:rPr>
                <w:u w:val="single"/>
              </w:rPr>
              <w:t>6,327</w:t>
            </w:r>
          </w:p>
        </w:tc>
        <w:tc>
          <w:tcPr>
            <w:tcW w:w="1406" w:type="dxa"/>
          </w:tcPr>
          <w:p w:rsidR="00637DE5" w:rsidRPr="00EF6366" w:rsidRDefault="00637DE5" w:rsidP="002A5767">
            <w:pPr>
              <w:jc w:val="right"/>
              <w:rPr>
                <w:highlight w:val="yellow"/>
                <w:u w:val="single"/>
              </w:rPr>
            </w:pPr>
            <w:r w:rsidRPr="00EF6366">
              <w:rPr>
                <w:u w:val="single"/>
              </w:rPr>
              <w:t>$16,</w:t>
            </w:r>
            <w:r w:rsidR="002A5767">
              <w:rPr>
                <w:u w:val="single"/>
              </w:rPr>
              <w:t>400</w:t>
            </w:r>
          </w:p>
        </w:tc>
      </w:tr>
      <w:tr w:rsidR="00637DE5" w:rsidRPr="00EF6366" w:rsidTr="00C7036E">
        <w:trPr>
          <w:jc w:val="center"/>
        </w:trPr>
        <w:tc>
          <w:tcPr>
            <w:tcW w:w="686" w:type="dxa"/>
            <w:shd w:val="clear" w:color="auto" w:fill="auto"/>
          </w:tcPr>
          <w:p w:rsidR="00637DE5" w:rsidRPr="00EF6366" w:rsidRDefault="00637DE5" w:rsidP="00C7036E">
            <w:pPr>
              <w:jc w:val="right"/>
            </w:pPr>
          </w:p>
        </w:tc>
        <w:tc>
          <w:tcPr>
            <w:tcW w:w="6064" w:type="dxa"/>
            <w:shd w:val="clear" w:color="auto" w:fill="auto"/>
          </w:tcPr>
          <w:p w:rsidR="00637DE5" w:rsidRPr="00EF6366" w:rsidRDefault="00637DE5" w:rsidP="00C7036E"/>
        </w:tc>
        <w:tc>
          <w:tcPr>
            <w:tcW w:w="1406" w:type="dxa"/>
            <w:shd w:val="clear" w:color="auto" w:fill="auto"/>
          </w:tcPr>
          <w:p w:rsidR="00637DE5" w:rsidRPr="00EF6366" w:rsidRDefault="00637DE5" w:rsidP="00C7036E">
            <w:pPr>
              <w:jc w:val="right"/>
            </w:pPr>
          </w:p>
        </w:tc>
        <w:tc>
          <w:tcPr>
            <w:tcW w:w="1406" w:type="dxa"/>
          </w:tcPr>
          <w:p w:rsidR="00637DE5" w:rsidRPr="00EF6366" w:rsidRDefault="00637DE5" w:rsidP="00C7036E">
            <w:pPr>
              <w:jc w:val="right"/>
            </w:pPr>
          </w:p>
        </w:tc>
      </w:tr>
      <w:tr w:rsidR="00637DE5" w:rsidRPr="00EF6366" w:rsidTr="00C7036E">
        <w:trPr>
          <w:jc w:val="center"/>
        </w:trPr>
        <w:tc>
          <w:tcPr>
            <w:tcW w:w="686" w:type="dxa"/>
            <w:shd w:val="clear" w:color="auto" w:fill="auto"/>
          </w:tcPr>
          <w:p w:rsidR="00637DE5" w:rsidRPr="00EF6366" w:rsidRDefault="00637DE5" w:rsidP="00C7036E">
            <w:pPr>
              <w:jc w:val="right"/>
            </w:pPr>
            <w:r w:rsidRPr="00EF6366">
              <w:t>5</w:t>
            </w:r>
          </w:p>
        </w:tc>
        <w:tc>
          <w:tcPr>
            <w:tcW w:w="6064" w:type="dxa"/>
            <w:shd w:val="clear" w:color="auto" w:fill="auto"/>
          </w:tcPr>
          <w:p w:rsidR="00637DE5" w:rsidRPr="00EF6366" w:rsidRDefault="00637DE5" w:rsidP="00C7036E">
            <w:r w:rsidRPr="00EF6366">
              <w:t>Percentage Service Rate Increase (Line 4/Line 3)</w:t>
            </w:r>
          </w:p>
        </w:tc>
        <w:tc>
          <w:tcPr>
            <w:tcW w:w="1406" w:type="dxa"/>
            <w:shd w:val="clear" w:color="auto" w:fill="auto"/>
          </w:tcPr>
          <w:p w:rsidR="00637DE5" w:rsidRPr="000D1B81" w:rsidRDefault="002A5767" w:rsidP="00C7036E">
            <w:pPr>
              <w:jc w:val="right"/>
              <w:rPr>
                <w:u w:val="double"/>
              </w:rPr>
            </w:pPr>
            <w:r>
              <w:rPr>
                <w:u w:val="double"/>
              </w:rPr>
              <w:t xml:space="preserve"> 29.73</w:t>
            </w:r>
            <w:r w:rsidR="00637DE5" w:rsidRPr="000D1B81">
              <w:rPr>
                <w:u w:val="double"/>
              </w:rPr>
              <w:t>%</w:t>
            </w:r>
          </w:p>
        </w:tc>
        <w:tc>
          <w:tcPr>
            <w:tcW w:w="1406" w:type="dxa"/>
          </w:tcPr>
          <w:p w:rsidR="00637DE5" w:rsidRPr="000D1B81" w:rsidRDefault="002A5767" w:rsidP="00C7036E">
            <w:pPr>
              <w:jc w:val="right"/>
              <w:rPr>
                <w:u w:val="double"/>
              </w:rPr>
            </w:pPr>
            <w:r>
              <w:rPr>
                <w:u w:val="double"/>
              </w:rPr>
              <w:t>1.67</w:t>
            </w:r>
            <w:r w:rsidR="00637DE5" w:rsidRPr="000D1B81">
              <w:rPr>
                <w:u w:val="double"/>
              </w:rPr>
              <w:t>%</w:t>
            </w:r>
          </w:p>
        </w:tc>
      </w:tr>
      <w:tr w:rsidR="00637DE5" w:rsidRPr="00EF6366" w:rsidTr="00C7036E">
        <w:trPr>
          <w:jc w:val="center"/>
        </w:trPr>
        <w:tc>
          <w:tcPr>
            <w:tcW w:w="686" w:type="dxa"/>
            <w:shd w:val="clear" w:color="auto" w:fill="auto"/>
          </w:tcPr>
          <w:p w:rsidR="00637DE5" w:rsidRPr="00EF6366" w:rsidRDefault="00637DE5" w:rsidP="00C7036E">
            <w:pPr>
              <w:jc w:val="right"/>
            </w:pPr>
          </w:p>
        </w:tc>
        <w:tc>
          <w:tcPr>
            <w:tcW w:w="6064" w:type="dxa"/>
            <w:shd w:val="clear" w:color="auto" w:fill="auto"/>
          </w:tcPr>
          <w:p w:rsidR="00637DE5" w:rsidRPr="00EF6366" w:rsidRDefault="00637DE5" w:rsidP="00C7036E"/>
        </w:tc>
        <w:tc>
          <w:tcPr>
            <w:tcW w:w="1406" w:type="dxa"/>
            <w:shd w:val="clear" w:color="auto" w:fill="auto"/>
          </w:tcPr>
          <w:p w:rsidR="00637DE5" w:rsidRPr="000D1B81" w:rsidRDefault="00637DE5" w:rsidP="00C7036E">
            <w:pPr>
              <w:jc w:val="right"/>
              <w:rPr>
                <w:u w:val="double"/>
              </w:rPr>
            </w:pPr>
          </w:p>
        </w:tc>
        <w:tc>
          <w:tcPr>
            <w:tcW w:w="1406" w:type="dxa"/>
          </w:tcPr>
          <w:p w:rsidR="00637DE5" w:rsidRPr="000D1B81" w:rsidRDefault="00637DE5" w:rsidP="00C7036E">
            <w:pPr>
              <w:jc w:val="right"/>
              <w:rPr>
                <w:u w:val="double"/>
              </w:rPr>
            </w:pPr>
          </w:p>
        </w:tc>
      </w:tr>
    </w:tbl>
    <w:p w:rsidR="00637DE5" w:rsidRDefault="00637DE5" w:rsidP="00637DE5">
      <w:pPr>
        <w:pStyle w:val="BodyText"/>
      </w:pPr>
      <w:r w:rsidRPr="00EF6366">
        <w:t xml:space="preserve">Source: </w:t>
      </w:r>
      <w:r w:rsidR="002A5767">
        <w:t xml:space="preserve">Approved </w:t>
      </w:r>
      <w:r w:rsidRPr="00EF6366">
        <w:t>Revenue Requirement and MFRs</w:t>
      </w:r>
    </w:p>
    <w:p w:rsidR="00637DE5" w:rsidRDefault="002A5767" w:rsidP="002A5767">
      <w:pPr>
        <w:pStyle w:val="BodyText"/>
        <w:spacing w:after="240"/>
        <w:ind w:firstLine="720"/>
        <w:jc w:val="both"/>
      </w:pPr>
      <w:r>
        <w:t>We find</w:t>
      </w:r>
      <w:r w:rsidR="00637DE5" w:rsidRPr="00EF6366">
        <w:t xml:space="preserve"> that </w:t>
      </w:r>
      <w:r>
        <w:t>a rate increase of 29.73</w:t>
      </w:r>
      <w:r w:rsidR="00637DE5" w:rsidRPr="00EF6366">
        <w:t xml:space="preserve"> percent for M</w:t>
      </w:r>
      <w:r>
        <w:t>arion County and 1.67</w:t>
      </w:r>
      <w:r w:rsidR="00637DE5" w:rsidRPr="00EF6366">
        <w:t xml:space="preserve"> percent for Seminole County</w:t>
      </w:r>
      <w:r w:rsidR="00637DE5">
        <w:t>, excluding Longwood and Sanlando,</w:t>
      </w:r>
      <w:r w:rsidR="00637DE5" w:rsidRPr="00EF6366">
        <w:t xml:space="preserve"> </w:t>
      </w:r>
      <w:r>
        <w:t>shall</w:t>
      </w:r>
      <w:r w:rsidR="00637DE5" w:rsidRPr="00EF6366">
        <w:t xml:space="preserve"> be applied as an across-the-board increase to the existing service rates. The rates, as shown on Schedule Nos. 5 and 6, </w:t>
      </w:r>
      <w:r>
        <w:t>shall</w:t>
      </w:r>
      <w:r w:rsidR="00637DE5" w:rsidRPr="00EF6366">
        <w:t xml:space="preserve"> be effective for service rendered on or after the stamped approval date on the tariff sheets pursuant to Rule 25-30.475(1), F.A.C. The utility </w:t>
      </w:r>
      <w:r>
        <w:t>shall</w:t>
      </w:r>
      <w:r w:rsidR="00637DE5" w:rsidRPr="00EF6366">
        <w:t xml:space="preserve"> file revised tariff sheets and a proposed</w:t>
      </w:r>
      <w:r>
        <w:t xml:space="preserve"> customer notice to reflect our </w:t>
      </w:r>
      <w:r w:rsidR="00637DE5" w:rsidRPr="00EF6366">
        <w:t xml:space="preserve">approved rates. In addition, the approved rates </w:t>
      </w:r>
      <w:r>
        <w:t>shall</w:t>
      </w:r>
      <w:r w:rsidR="00637DE5" w:rsidRPr="00EF6366">
        <w:t xml:space="preserve"> not be implemented until</w:t>
      </w:r>
      <w:r>
        <w:t xml:space="preserve"> Commission</w:t>
      </w:r>
      <w:r w:rsidR="00637DE5" w:rsidRPr="00EF6366">
        <w:t xml:space="preserve"> staff has approved the proposed customer notice and the notice has been received by the customers. The utility </w:t>
      </w:r>
      <w:r>
        <w:t>shall</w:t>
      </w:r>
      <w:r w:rsidR="00637DE5" w:rsidRPr="00EF6366">
        <w:t xml:space="preserve"> provide proof of the date notice was given within 10 days of the date of the notice. </w:t>
      </w:r>
      <w:r w:rsidR="00637DE5">
        <w:t xml:space="preserve">The rates </w:t>
      </w:r>
      <w:r>
        <w:t>shall</w:t>
      </w:r>
      <w:r w:rsidR="00637DE5">
        <w:t xml:space="preserve"> be reduced as shown on Schedule Nos. 5 &amp; 6, to remove rate case expense grossed up for regulatory assessment fees and amortized over a four-year period. The decrease in rates </w:t>
      </w:r>
      <w:r>
        <w:t>shall</w:t>
      </w:r>
      <w:r w:rsidR="00637DE5">
        <w:t xml:space="preserve"> become effective immediately following the expiration of the four-year rate case expense recovery period, pursuant to Section 367.0816, F.S.</w:t>
      </w:r>
    </w:p>
    <w:p w:rsidR="002A5767" w:rsidRPr="002A5767" w:rsidRDefault="002A5767" w:rsidP="002A5767">
      <w:pPr>
        <w:pStyle w:val="BodyText"/>
        <w:jc w:val="both"/>
        <w:rPr>
          <w:bCs/>
          <w:u w:val="single"/>
        </w:rPr>
      </w:pPr>
      <w:r w:rsidRPr="002A5767">
        <w:rPr>
          <w:bCs/>
          <w:u w:val="single"/>
        </w:rPr>
        <w:t>Approval of Rates on a Temporary Basis</w:t>
      </w:r>
    </w:p>
    <w:p w:rsidR="00637DE5" w:rsidRPr="00637DE5" w:rsidRDefault="00637DE5" w:rsidP="00637DE5">
      <w:pPr>
        <w:pStyle w:val="BodyText"/>
        <w:ind w:firstLine="720"/>
        <w:jc w:val="both"/>
      </w:pPr>
      <w:r w:rsidRPr="00637DE5">
        <w:t xml:space="preserve">This </w:t>
      </w:r>
      <w:r w:rsidR="002A5767">
        <w:t>order</w:t>
      </w:r>
      <w:r w:rsidRPr="00637DE5">
        <w:t xml:space="preserve"> </w:t>
      </w:r>
      <w:r w:rsidR="00D753CB">
        <w:t>approves</w:t>
      </w:r>
      <w:r w:rsidRPr="00637DE5">
        <w:t xml:space="preserve"> an increase in rates. A timely protest might delay what may be a justified rate increase resulting in an unrecoverable loss of revenue to the Utility. As a result, </w:t>
      </w:r>
      <w:r w:rsidR="002A5767">
        <w:t>we find</w:t>
      </w:r>
      <w:r w:rsidRPr="00637DE5">
        <w:t xml:space="preserve"> that </w:t>
      </w:r>
      <w:r w:rsidR="002A5767">
        <w:t>the approved</w:t>
      </w:r>
      <w:r w:rsidRPr="00637DE5">
        <w:t xml:space="preserve"> rates </w:t>
      </w:r>
      <w:r w:rsidR="002A5767">
        <w:t xml:space="preserve">shall </w:t>
      </w:r>
      <w:r w:rsidRPr="00637DE5">
        <w:t xml:space="preserve">be approved as temporary rates. </w:t>
      </w:r>
    </w:p>
    <w:p w:rsidR="00637DE5" w:rsidRPr="00637DE5" w:rsidRDefault="00637DE5" w:rsidP="00637DE5">
      <w:pPr>
        <w:pStyle w:val="BodyText"/>
        <w:ind w:firstLine="720"/>
        <w:jc w:val="both"/>
      </w:pPr>
      <w:r w:rsidRPr="00637DE5">
        <w:t>Section 367.0822(1), F.S., provides</w:t>
      </w:r>
    </w:p>
    <w:p w:rsidR="00637DE5" w:rsidRPr="00637DE5" w:rsidRDefault="00637DE5" w:rsidP="00637DE5">
      <w:pPr>
        <w:pStyle w:val="BodyText"/>
        <w:ind w:left="720" w:right="720"/>
        <w:jc w:val="both"/>
      </w:pPr>
      <w:r w:rsidRPr="00637DE5">
        <w:t>Upon petition or by its own motion, the commission may conduct limited proceedings to consider, and action upon, any matter within its jurisdiction, including any matter the resolution of which requires a utility to adjust its rates. The commission shall determine the issues to be considered during such a proceeding and may grant or deny any request to expand the scope of the proceeding to include other related matters. However, unless the issue of rate of return is specifically address in the limited proceeding, the commission shall not adjust rates if the effect of the adjustment would be to change the last authorized rate of return.</w:t>
      </w:r>
    </w:p>
    <w:p w:rsidR="00637DE5" w:rsidRPr="00637DE5" w:rsidRDefault="00637DE5" w:rsidP="00637DE5">
      <w:pPr>
        <w:pStyle w:val="BodyText"/>
        <w:ind w:firstLine="720"/>
        <w:jc w:val="both"/>
      </w:pPr>
      <w:r w:rsidRPr="00637DE5">
        <w:lastRenderedPageBreak/>
        <w:t>While Section 367.0822(1), F.S. does not expressly provide for the granting of temporary rates, it is well settled Commission precedent that temporary rates in the event of a protest may be approved on a case-by-case basis.</w:t>
      </w:r>
      <w:r w:rsidRPr="00637DE5">
        <w:rPr>
          <w:vertAlign w:val="superscript"/>
        </w:rPr>
        <w:footnoteReference w:id="10"/>
      </w:r>
      <w:r w:rsidRPr="00637DE5">
        <w:t xml:space="preserve"> </w:t>
      </w:r>
    </w:p>
    <w:p w:rsidR="00637DE5" w:rsidRPr="00637DE5" w:rsidRDefault="00637DE5" w:rsidP="00637DE5">
      <w:pPr>
        <w:pStyle w:val="BodyText"/>
        <w:ind w:firstLine="720"/>
        <w:jc w:val="both"/>
      </w:pPr>
      <w:r w:rsidRPr="00637DE5">
        <w:t xml:space="preserve">Further, Section 367.081(2), F.S., provides that this Commission must fix rates that are just, reasonable, compensatory, and not unfairly discriminatory. Pursuant to its authority to grant just and reasonable rates, </w:t>
      </w:r>
      <w:r w:rsidR="002A5767">
        <w:t>this</w:t>
      </w:r>
      <w:r w:rsidRPr="00637DE5">
        <w:t xml:space="preserve"> Commission has granted emergency and temporary rates in limited proceedings where a timely protest might delay what may be a justified rate increase resulting in an unrecoverable loss of revenue to the Utility. Similarly, in the instant case, </w:t>
      </w:r>
      <w:r w:rsidR="002A5767">
        <w:t>we find</w:t>
      </w:r>
      <w:r w:rsidRPr="00637DE5">
        <w:t xml:space="preserve"> that the granting of temporary rates is warranted because a timely protest of the PAA Order may delay a justified rate increase for several months while the matter is adjudicated at hearing. Moreover, the ratepayers are adequately protected because all rates collected by the Utility will be subject to the corporate undertaking as discussed below.</w:t>
      </w:r>
    </w:p>
    <w:p w:rsidR="00637DE5" w:rsidRPr="00637DE5" w:rsidRDefault="00637DE5" w:rsidP="00637DE5">
      <w:pPr>
        <w:pStyle w:val="BodyText"/>
        <w:ind w:firstLine="720"/>
        <w:jc w:val="both"/>
      </w:pPr>
      <w:r w:rsidRPr="00637DE5">
        <w:t>For the foregoing reasons,</w:t>
      </w:r>
      <w:r w:rsidR="002A5767">
        <w:t xml:space="preserve"> we find</w:t>
      </w:r>
      <w:r w:rsidRPr="00637DE5">
        <w:t xml:space="preserve"> that the </w:t>
      </w:r>
      <w:r w:rsidR="002A5767">
        <w:t>approved</w:t>
      </w:r>
      <w:r w:rsidRPr="00637DE5">
        <w:t xml:space="preserve"> rates </w:t>
      </w:r>
      <w:r w:rsidR="002A5767">
        <w:t>shall</w:t>
      </w:r>
      <w:r w:rsidRPr="00637DE5">
        <w:t xml:space="preserve"> be </w:t>
      </w:r>
      <w:r w:rsidR="002A5767">
        <w:t>effective</w:t>
      </w:r>
      <w:r w:rsidRPr="00637DE5">
        <w:t xml:space="preserve"> for the Utility on a temporary basis, subject to the corporate undertaking discussed below. In order to ensure that the Utility may not unfairly benefit from the issuance of temporary rates and in order to comport with the granting of temporary rates in proceedings filed pursuant to Sections 367.081 and 367.0814, F.S., temporary rates </w:t>
      </w:r>
      <w:r w:rsidR="002A5767">
        <w:t>shall</w:t>
      </w:r>
      <w:r w:rsidRPr="00637DE5">
        <w:t xml:space="preserve"> only be allowed in the event of a protest filed by an entity or individual other than the Utility</w:t>
      </w:r>
    </w:p>
    <w:p w:rsidR="00637DE5" w:rsidRPr="002A5767" w:rsidRDefault="00637DE5" w:rsidP="002A5767">
      <w:pPr>
        <w:pStyle w:val="BodyText"/>
        <w:spacing w:after="240"/>
        <w:rPr>
          <w:bCs/>
          <w:iCs/>
          <w:u w:val="single"/>
        </w:rPr>
      </w:pPr>
      <w:r w:rsidRPr="002A5767">
        <w:rPr>
          <w:bCs/>
          <w:iCs/>
          <w:u w:val="single"/>
        </w:rPr>
        <w:t>Corporate Undertaking Memorandum</w:t>
      </w:r>
    </w:p>
    <w:p w:rsidR="00637DE5" w:rsidRPr="00637DE5" w:rsidRDefault="00637DE5" w:rsidP="00637DE5">
      <w:pPr>
        <w:pStyle w:val="BodyText"/>
        <w:ind w:firstLine="720"/>
        <w:jc w:val="both"/>
      </w:pPr>
      <w:r w:rsidRPr="00637DE5">
        <w:t>Utilities, Inc. of Florida is a wholly-owned subsidiary of UI, which provides all investor capital to its subsidiaries. Based on the amount subject to refund for Marion and Seminole Counties the incremental increase in UI’s corporate undertaking is $30,</w:t>
      </w:r>
      <w:r w:rsidR="002A5767">
        <w:t>961</w:t>
      </w:r>
      <w:r w:rsidRPr="00637DE5">
        <w:t xml:space="preserve"> and $10,</w:t>
      </w:r>
      <w:r w:rsidR="002A5767">
        <w:t>960</w:t>
      </w:r>
      <w:r w:rsidRPr="00637DE5">
        <w:t>, respectively. There are no other current corporate undertaking amounts outstanding for other UI systems in Florida, therefore, the total cumulative outstanding guarantee is $41,</w:t>
      </w:r>
      <w:r w:rsidR="002A5767">
        <w:t>921</w:t>
      </w:r>
      <w:r w:rsidRPr="00637DE5">
        <w:t>.</w:t>
      </w:r>
    </w:p>
    <w:p w:rsidR="00637DE5" w:rsidRPr="00637DE5" w:rsidRDefault="00637DE5" w:rsidP="00637DE5">
      <w:pPr>
        <w:pStyle w:val="BodyText"/>
        <w:ind w:firstLine="720"/>
        <w:jc w:val="both"/>
      </w:pPr>
      <w:r w:rsidRPr="00637DE5">
        <w:t xml:space="preserve">The criteria for a corporate undertaking include sufficient liquidity, ownership equity, profitability, and interest coverage to guarantee any potential refund. </w:t>
      </w:r>
      <w:r w:rsidR="002A5767">
        <w:t>We</w:t>
      </w:r>
      <w:r w:rsidRPr="00637DE5">
        <w:t xml:space="preserve"> reviewed UI’s 2013, 2014, and 2015 financial statements to determine if the company </w:t>
      </w:r>
      <w:r w:rsidR="002A5767">
        <w:t>could</w:t>
      </w:r>
      <w:r w:rsidRPr="00637DE5">
        <w:t xml:space="preserve"> support a corporate undertaking on behalf of its subsidiary. In its 2013 financial statements, UI reported an insufficient working capital amount and an inadequate current ratio and interest coverage ratio. In 2014, UI reported insufficient working capital and an inadequate current ratio; however, the interest coverage ratio improved to adequate. In 2015, UI had sufficient working capital, and both the current ratio and interest coverage ratio were adequate. In addition, UI achieved sufficient profitability and reported adequate ownership equity over the entire 3-year review period.</w:t>
      </w:r>
    </w:p>
    <w:p w:rsidR="00637DE5" w:rsidRPr="00637DE5" w:rsidRDefault="00637DE5" w:rsidP="00637DE5">
      <w:pPr>
        <w:pStyle w:val="BodyText"/>
        <w:ind w:firstLine="720"/>
        <w:jc w:val="both"/>
      </w:pPr>
      <w:r w:rsidRPr="00637DE5">
        <w:t xml:space="preserve">Based on </w:t>
      </w:r>
      <w:r w:rsidR="002A5767">
        <w:t>our</w:t>
      </w:r>
      <w:r w:rsidRPr="00637DE5">
        <w:t xml:space="preserve"> review of the financial reports submitted by UI,</w:t>
      </w:r>
      <w:r w:rsidR="002A5767">
        <w:t xml:space="preserve"> we find that</w:t>
      </w:r>
      <w:r w:rsidRPr="00637DE5">
        <w:t xml:space="preserve"> UI has adequate resources to support a corporate undertaking in the amount requested. Based on this analysis, </w:t>
      </w:r>
      <w:r w:rsidR="002A5767">
        <w:t>we find</w:t>
      </w:r>
      <w:r w:rsidRPr="00637DE5">
        <w:t xml:space="preserve"> that a cumulative corporate undertaking of $41,</w:t>
      </w:r>
      <w:r w:rsidR="002A5767">
        <w:t>921</w:t>
      </w:r>
      <w:r w:rsidRPr="00637DE5">
        <w:t xml:space="preserve"> is acceptable contingent upon receipt of the written guarantee of UI and written confirmation that the cumulative </w:t>
      </w:r>
      <w:r w:rsidRPr="00637DE5">
        <w:lastRenderedPageBreak/>
        <w:t>outstanding guarantees on behalf of UI-owned utilities in other states will not exceed $1.2 million (inclusive of all Florida utilities).</w:t>
      </w:r>
    </w:p>
    <w:p w:rsidR="00637DE5" w:rsidRPr="00637DE5" w:rsidRDefault="00637DE5" w:rsidP="00637DE5">
      <w:pPr>
        <w:pStyle w:val="BodyText"/>
        <w:ind w:firstLine="720"/>
        <w:jc w:val="both"/>
      </w:pPr>
      <w:r w:rsidRPr="00637DE5">
        <w:t xml:space="preserve">The brief financial analysis above is only appropriate for deciding if UI can support a corporate undertaking in the amount proposed and </w:t>
      </w:r>
      <w:r w:rsidR="0029675D">
        <w:t>shall</w:t>
      </w:r>
      <w:r w:rsidRPr="00637DE5">
        <w:t xml:space="preserve"> not be considered a finding regarding </w:t>
      </w:r>
      <w:r w:rsidR="0029675D">
        <w:t>our</w:t>
      </w:r>
      <w:r w:rsidRPr="00637DE5">
        <w:t xml:space="preserve"> position on other issues in this proceeding.</w:t>
      </w:r>
    </w:p>
    <w:p w:rsidR="00637DE5" w:rsidRPr="00637DE5" w:rsidRDefault="00637DE5" w:rsidP="00637DE5">
      <w:pPr>
        <w:pStyle w:val="BodyText"/>
        <w:ind w:firstLine="720"/>
        <w:jc w:val="both"/>
      </w:pPr>
      <w:r w:rsidRPr="00637DE5">
        <w:t xml:space="preserve">The Utility </w:t>
      </w:r>
      <w:r w:rsidR="0029675D">
        <w:t>shall</w:t>
      </w:r>
      <w:r w:rsidRPr="00637DE5">
        <w:t xml:space="preserve"> maintain a record of the amount of the corporate undertaking memorandum, and the amount of revenues that are subject to refund. In addition, after the increased rates are in effect, pursuant to Rule 25-30.360(6), F.A.C., the Utility </w:t>
      </w:r>
      <w:r w:rsidR="0029675D">
        <w:t>shall</w:t>
      </w:r>
      <w:r w:rsidRPr="00637DE5">
        <w:t xml:space="preserve"> file reports with the Commission Clerk’s office no later than the 20th of each month indicating the monthly and total amount of money subject to refund at the end of the preceding month.</w:t>
      </w:r>
    </w:p>
    <w:p w:rsidR="00637DE5" w:rsidRPr="00637DE5" w:rsidRDefault="00637DE5" w:rsidP="00637DE5">
      <w:pPr>
        <w:pStyle w:val="BodyText"/>
        <w:ind w:firstLine="720"/>
        <w:jc w:val="both"/>
      </w:pPr>
      <w:r w:rsidRPr="00637DE5">
        <w:t xml:space="preserve">Further, in no instance </w:t>
      </w:r>
      <w:r w:rsidR="0029675D">
        <w:t>shall</w:t>
      </w:r>
      <w:r w:rsidRPr="00637DE5">
        <w:t xml:space="preserve"> the maintenance and administrative costs associated with the refund be borne by the customers. These costs are the responsibility of, and </w:t>
      </w:r>
      <w:r w:rsidR="0029675D">
        <w:t>shall</w:t>
      </w:r>
      <w:r w:rsidRPr="00637DE5">
        <w:t xml:space="preserve"> be borne by, the Utility. Irrespective of the form of security chosen by the Utility, an account of all monies received as a result of the rate increase </w:t>
      </w:r>
      <w:r w:rsidR="0029675D">
        <w:t>shall</w:t>
      </w:r>
      <w:r w:rsidRPr="00637DE5">
        <w:t xml:space="preserve"> be maintained by the Utility. If a refund is ultimately required, it </w:t>
      </w:r>
      <w:r w:rsidR="0029675D">
        <w:t>shall</w:t>
      </w:r>
      <w:r w:rsidRPr="00637DE5">
        <w:t xml:space="preserve"> be paid with interest calculated pursuant to Rule 25-30.360(4), F.A.C.</w:t>
      </w:r>
    </w:p>
    <w:p w:rsidR="00637DE5" w:rsidRPr="0029675D" w:rsidRDefault="00637DE5" w:rsidP="00E15E0B">
      <w:pPr>
        <w:pStyle w:val="BodyText"/>
        <w:spacing w:after="240"/>
        <w:jc w:val="center"/>
        <w:rPr>
          <w:bCs/>
          <w:iCs/>
          <w:u w:val="single"/>
        </w:rPr>
      </w:pPr>
      <w:r w:rsidRPr="0029675D">
        <w:rPr>
          <w:bCs/>
          <w:iCs/>
          <w:u w:val="single"/>
        </w:rPr>
        <w:t>Conclusion</w:t>
      </w:r>
    </w:p>
    <w:p w:rsidR="00637DE5" w:rsidRPr="00EF6366" w:rsidRDefault="0029675D" w:rsidP="00637DE5">
      <w:pPr>
        <w:pStyle w:val="BodyText"/>
        <w:spacing w:after="240"/>
        <w:ind w:firstLine="720"/>
        <w:jc w:val="both"/>
      </w:pPr>
      <w:r>
        <w:t>Our approved</w:t>
      </w:r>
      <w:r w:rsidR="00637DE5" w:rsidRPr="00637DE5">
        <w:t xml:space="preserve"> rates </w:t>
      </w:r>
      <w:r>
        <w:t>shall</w:t>
      </w:r>
      <w:r w:rsidR="00637DE5" w:rsidRPr="00637DE5">
        <w:t xml:space="preserve"> be </w:t>
      </w:r>
      <w:r>
        <w:t>effective</w:t>
      </w:r>
      <w:r w:rsidR="00637DE5" w:rsidRPr="00637DE5">
        <w:t xml:space="preserve"> for the Utility on a temporary basis, subject to refund, in the event of a protest filed by a party other than the Utility. UIF </w:t>
      </w:r>
      <w:r>
        <w:t>shall</w:t>
      </w:r>
      <w:r w:rsidR="00637DE5" w:rsidRPr="00637DE5">
        <w:t xml:space="preserve"> file revised tariff sheets and a proposed</w:t>
      </w:r>
      <w:r>
        <w:t xml:space="preserve"> customer notice to reflect our </w:t>
      </w:r>
      <w:r w:rsidR="00637DE5" w:rsidRPr="00637DE5">
        <w:t xml:space="preserve">approved rates. The approved rates </w:t>
      </w:r>
      <w:r>
        <w:t>shall</w:t>
      </w:r>
      <w:r w:rsidR="00637DE5" w:rsidRPr="00637DE5">
        <w:t xml:space="preserve"> be effective for service rendered on or after the stamped approval date on the tariff sheet, pursuant to Rule 25-30.475(1), F.A.C. In addition, the temporary rates </w:t>
      </w:r>
      <w:r>
        <w:t>shall</w:t>
      </w:r>
      <w:r w:rsidR="00637DE5" w:rsidRPr="00637DE5">
        <w:t xml:space="preserve"> not be implemented until </w:t>
      </w:r>
      <w:r>
        <w:t xml:space="preserve">Commission </w:t>
      </w:r>
      <w:r w:rsidR="00637DE5" w:rsidRPr="00637DE5">
        <w:t xml:space="preserve">staff has approved the proposed notice, and the notice has been received by the customers. The temporary rates </w:t>
      </w:r>
      <w:r>
        <w:t>shall</w:t>
      </w:r>
      <w:r w:rsidR="00637DE5" w:rsidRPr="00637DE5">
        <w:t xml:space="preserve"> only be implemented after the Utility has provided written guarantee of its corporate undertaking in a cumulative amount of $41,</w:t>
      </w:r>
      <w:r>
        <w:t xml:space="preserve">921. If our approved </w:t>
      </w:r>
      <w:r w:rsidR="00637DE5" w:rsidRPr="00637DE5">
        <w:t xml:space="preserve">rates </w:t>
      </w:r>
      <w:r>
        <w:t>become effective</w:t>
      </w:r>
      <w:r w:rsidR="00637DE5" w:rsidRPr="00637DE5">
        <w:t xml:space="preserve"> on a temporary basis, the rates collected by the Utility </w:t>
      </w:r>
      <w:r>
        <w:t>shall</w:t>
      </w:r>
      <w:r w:rsidR="00637DE5" w:rsidRPr="00637DE5">
        <w:t xml:space="preserve"> be subject to th</w:t>
      </w:r>
      <w:r>
        <w:t>e refund provisions discussed above</w:t>
      </w:r>
      <w:r w:rsidR="00637DE5" w:rsidRPr="00637DE5">
        <w:t xml:space="preserve">. In addition, after the increased rates are in effect, pursuant to Rule 25-30.360(6), F.A.C., the Utility </w:t>
      </w:r>
      <w:r>
        <w:t>shall</w:t>
      </w:r>
      <w:r w:rsidR="00637DE5" w:rsidRPr="00637DE5">
        <w:t xml:space="preserve"> file reports with the Commission Clerk’s office no later than the 20th of each month indicating the monthly and total amount of money subject to refund at the end of the preceding month.</w:t>
      </w:r>
    </w:p>
    <w:p w:rsidR="00637DE5" w:rsidRDefault="00637DE5" w:rsidP="00637DE5">
      <w:pPr>
        <w:pStyle w:val="OrderBody"/>
      </w:pPr>
      <w:r>
        <w:tab/>
        <w:t>Based on the foregoing, it is</w:t>
      </w:r>
    </w:p>
    <w:p w:rsidR="00637DE5" w:rsidRDefault="00637DE5" w:rsidP="00637DE5">
      <w:pPr>
        <w:pStyle w:val="OrderBody"/>
      </w:pPr>
    </w:p>
    <w:p w:rsidR="00637DE5" w:rsidRDefault="00637DE5" w:rsidP="00637DE5">
      <w:pPr>
        <w:pStyle w:val="OrderBody"/>
      </w:pPr>
      <w:r>
        <w:tab/>
        <w:t>ORDERED by the Florida Public Service Commission that</w:t>
      </w:r>
      <w:r w:rsidR="0029675D">
        <w:t xml:space="preserve"> Utilities, Inc. of Florida’s request for water rate increases in Marion and Seminole Counties are hereby approved as set forth in the body of this Order.  It is further</w:t>
      </w:r>
    </w:p>
    <w:p w:rsidR="0029675D" w:rsidRDefault="0029675D" w:rsidP="00637DE5">
      <w:pPr>
        <w:pStyle w:val="OrderBody"/>
      </w:pPr>
    </w:p>
    <w:p w:rsidR="0029675D" w:rsidRDefault="0029675D" w:rsidP="00637DE5">
      <w:pPr>
        <w:pStyle w:val="OrderBody"/>
      </w:pPr>
      <w:r>
        <w:tab/>
        <w:t>ORDERED that all matters contained in the schedules and attachments to this Order are incorporated herein by reference.  It is further</w:t>
      </w:r>
    </w:p>
    <w:p w:rsidR="0029675D" w:rsidRDefault="0029675D" w:rsidP="00637DE5">
      <w:pPr>
        <w:pStyle w:val="OrderBody"/>
      </w:pPr>
    </w:p>
    <w:p w:rsidR="0029675D" w:rsidRDefault="0029675D" w:rsidP="00637DE5">
      <w:pPr>
        <w:pStyle w:val="OrderBody"/>
      </w:pPr>
      <w:r>
        <w:tab/>
        <w:t xml:space="preserve">ORDERED that </w:t>
      </w:r>
      <w:r w:rsidR="00E84E9A">
        <w:t>Utilities, Inc. of Florida is hereby authorized to charge the new rates and charges as approved in the body of this Order.  It is further</w:t>
      </w:r>
    </w:p>
    <w:p w:rsidR="00E84E9A" w:rsidRDefault="00E84E9A" w:rsidP="00637DE5">
      <w:pPr>
        <w:pStyle w:val="OrderBody"/>
      </w:pPr>
    </w:p>
    <w:p w:rsidR="00E84E9A" w:rsidRDefault="00E84E9A" w:rsidP="00637DE5">
      <w:pPr>
        <w:pStyle w:val="OrderBody"/>
      </w:pPr>
      <w:r>
        <w:lastRenderedPageBreak/>
        <w:tab/>
        <w:t>ORDERED that Utilities, Inc. of Florida shall file revised tariff sheets and a proposed customer notice to reflect the approved rates.  The approved rates shall be effective for service rendered on or after the stamped approval date on the tariff sheet pursuant to Rule 25-30.475(1), F.A.C.  It is further</w:t>
      </w:r>
    </w:p>
    <w:p w:rsidR="00E84E9A" w:rsidRDefault="00E84E9A" w:rsidP="00637DE5">
      <w:pPr>
        <w:pStyle w:val="OrderBody"/>
      </w:pPr>
    </w:p>
    <w:p w:rsidR="00E84E9A" w:rsidRDefault="00E84E9A" w:rsidP="00637DE5">
      <w:pPr>
        <w:pStyle w:val="OrderBody"/>
      </w:pPr>
      <w:r>
        <w:tab/>
        <w:t>ORDERED that the approved rates shall not be implemented until after Commission staff has approved the proposed customer notice, and the notice has been received by the customers.  Utilities, Inc. of Florida shall provide proof of the date notice was given within ten days of the date of the notice.  It is further</w:t>
      </w:r>
    </w:p>
    <w:p w:rsidR="00E84E9A" w:rsidRDefault="00E84E9A" w:rsidP="00637DE5">
      <w:pPr>
        <w:pStyle w:val="OrderBody"/>
      </w:pPr>
    </w:p>
    <w:p w:rsidR="00E84E9A" w:rsidRDefault="00E84E9A" w:rsidP="00637DE5">
      <w:pPr>
        <w:pStyle w:val="OrderBody"/>
      </w:pPr>
      <w:r>
        <w:tab/>
        <w:t>ORDERED that in the event of a protest</w:t>
      </w:r>
      <w:r w:rsidR="00D753CB">
        <w:t xml:space="preserve"> by a party other that the Utility</w:t>
      </w:r>
      <w:r>
        <w:t xml:space="preserve">, Utilities, Inc. of Florida shall be allowed to collect the new rates on a temporary basis only after a written guarantee of its corporate undertaking </w:t>
      </w:r>
      <w:r w:rsidR="00E15E0B">
        <w:t>as set forth herein.  The Utility shall file with the Commission Clerk no later than the 20</w:t>
      </w:r>
      <w:r w:rsidR="00E15E0B" w:rsidRPr="00E15E0B">
        <w:t>th</w:t>
      </w:r>
      <w:r w:rsidR="00E15E0B">
        <w:t xml:space="preserve"> day of each month indicating the monthly and total amount of money subject to refund at the end of the preceding month.  It is further</w:t>
      </w:r>
    </w:p>
    <w:p w:rsidR="00E15E0B" w:rsidRDefault="00E15E0B" w:rsidP="00637DE5">
      <w:pPr>
        <w:pStyle w:val="OrderBody"/>
      </w:pPr>
    </w:p>
    <w:p w:rsidR="00E15E0B" w:rsidRDefault="00E15E0B" w:rsidP="00637DE5">
      <w:pPr>
        <w:pStyle w:val="OrderBody"/>
      </w:pPr>
      <w:r>
        <w:tab/>
        <w:t>ORDERED</w:t>
      </w:r>
      <w:r w:rsidRPr="00E15E0B">
        <w:t xml:space="preserve"> </w:t>
      </w:r>
      <w:r>
        <w:t>that in accordance with Section 367.0816, F.S., Utilities, Inc. of Florida’s rates shall be reduced four years after the effective date of these new rates</w:t>
      </w:r>
      <w:r w:rsidR="00F80F5E">
        <w:t xml:space="preserve"> </w:t>
      </w:r>
      <w:r w:rsidRPr="00E15E0B">
        <w:t>to remove rate case expense grossed up for regulatory assessment fees and amo</w:t>
      </w:r>
      <w:r w:rsidR="00F80F5E">
        <w:t>rtized over a four-year period.  It is further</w:t>
      </w:r>
    </w:p>
    <w:p w:rsidR="00637DE5" w:rsidRDefault="00637DE5" w:rsidP="00637DE5">
      <w:pPr>
        <w:pStyle w:val="OrderBody"/>
      </w:pPr>
    </w:p>
    <w:p w:rsidR="00637DE5" w:rsidRDefault="00637DE5" w:rsidP="00637DE5">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637DE5" w:rsidRDefault="00637DE5" w:rsidP="00637DE5">
      <w:pPr>
        <w:pStyle w:val="OrderBody"/>
      </w:pPr>
    </w:p>
    <w:p w:rsidR="00637DE5" w:rsidRDefault="00637DE5" w:rsidP="00637DE5">
      <w:pPr>
        <w:pStyle w:val="OrderBody"/>
      </w:pPr>
      <w:r>
        <w:tab/>
        <w:t xml:space="preserve">ORDERED that in the event this Order becomes final, this docket shall </w:t>
      </w:r>
      <w:r w:rsidR="00F80F5E">
        <w:t>remain open pending Commission staff’s verification that the revised tariff sheets and customer notice have been filed by the Utility and approved by Commission staff</w:t>
      </w:r>
      <w:r>
        <w:t>.</w:t>
      </w:r>
      <w:r w:rsidR="00F80F5E">
        <w:t xml:space="preserve">  Once these actions are complete, this docket shall remain open pending this Commission’s decision on Utilities, Inc. of Florida’s requested water rate increase in Pasco County.</w:t>
      </w:r>
    </w:p>
    <w:p w:rsidR="00637DE5" w:rsidRDefault="00637DE5" w:rsidP="00637DE5">
      <w:pPr>
        <w:pStyle w:val="OrderBody"/>
      </w:pPr>
    </w:p>
    <w:p w:rsidR="00637DE5" w:rsidRDefault="00637DE5" w:rsidP="00637DE5">
      <w:pPr>
        <w:pStyle w:val="OrderBody"/>
        <w:keepNext/>
        <w:keepLines/>
      </w:pPr>
      <w:r>
        <w:lastRenderedPageBreak/>
        <w:tab/>
        <w:t xml:space="preserve">By ORDER of the Florida Public Service Commission this </w:t>
      </w:r>
      <w:bookmarkStart w:id="5" w:name="replaceDate"/>
      <w:bookmarkEnd w:id="5"/>
      <w:r w:rsidR="0095274B">
        <w:rPr>
          <w:u w:val="single"/>
        </w:rPr>
        <w:t>27th</w:t>
      </w:r>
      <w:r w:rsidR="0095274B">
        <w:t xml:space="preserve"> day of </w:t>
      </w:r>
      <w:r w:rsidR="0095274B">
        <w:rPr>
          <w:u w:val="single"/>
        </w:rPr>
        <w:t>July</w:t>
      </w:r>
      <w:r w:rsidR="0095274B">
        <w:t xml:space="preserve">, </w:t>
      </w:r>
      <w:r w:rsidR="0095274B">
        <w:rPr>
          <w:u w:val="single"/>
        </w:rPr>
        <w:t>2016</w:t>
      </w:r>
      <w:r w:rsidR="0095274B">
        <w:t>.</w:t>
      </w:r>
    </w:p>
    <w:p w:rsidR="0095274B" w:rsidRPr="0095274B" w:rsidRDefault="0095274B" w:rsidP="00637DE5">
      <w:pPr>
        <w:pStyle w:val="OrderBody"/>
        <w:keepNext/>
        <w:keepLines/>
      </w:pPr>
    </w:p>
    <w:p w:rsidR="00637DE5" w:rsidRDefault="00637DE5" w:rsidP="00637DE5">
      <w:pPr>
        <w:pStyle w:val="OrderBody"/>
        <w:keepNext/>
        <w:keepLines/>
      </w:pPr>
    </w:p>
    <w:p w:rsidR="00637DE5" w:rsidRDefault="00637DE5" w:rsidP="00637DE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37DE5" w:rsidTr="00637DE5">
        <w:tc>
          <w:tcPr>
            <w:tcW w:w="720" w:type="dxa"/>
            <w:shd w:val="clear" w:color="auto" w:fill="auto"/>
          </w:tcPr>
          <w:p w:rsidR="00637DE5" w:rsidRDefault="00637DE5" w:rsidP="00637DE5">
            <w:pPr>
              <w:pStyle w:val="OrderBody"/>
              <w:keepNext/>
              <w:keepLines/>
            </w:pPr>
            <w:bookmarkStart w:id="6" w:name="bkmrkSignature" w:colFirst="0" w:colLast="0"/>
          </w:p>
        </w:tc>
        <w:tc>
          <w:tcPr>
            <w:tcW w:w="4320" w:type="dxa"/>
            <w:tcBorders>
              <w:bottom w:val="single" w:sz="4" w:space="0" w:color="auto"/>
            </w:tcBorders>
            <w:shd w:val="clear" w:color="auto" w:fill="auto"/>
          </w:tcPr>
          <w:p w:rsidR="00637DE5" w:rsidRDefault="0095274B" w:rsidP="00637DE5">
            <w:pPr>
              <w:pStyle w:val="OrderBody"/>
              <w:keepNext/>
              <w:keepLines/>
            </w:pPr>
            <w:r>
              <w:t>/s/ Hong Wang</w:t>
            </w:r>
          </w:p>
        </w:tc>
      </w:tr>
      <w:bookmarkEnd w:id="6"/>
      <w:tr w:rsidR="00637DE5" w:rsidTr="00637DE5">
        <w:tc>
          <w:tcPr>
            <w:tcW w:w="720" w:type="dxa"/>
            <w:shd w:val="clear" w:color="auto" w:fill="auto"/>
          </w:tcPr>
          <w:p w:rsidR="00637DE5" w:rsidRDefault="00637DE5" w:rsidP="00637DE5">
            <w:pPr>
              <w:pStyle w:val="OrderBody"/>
              <w:keepNext/>
              <w:keepLines/>
            </w:pPr>
          </w:p>
        </w:tc>
        <w:tc>
          <w:tcPr>
            <w:tcW w:w="4320" w:type="dxa"/>
            <w:tcBorders>
              <w:top w:val="single" w:sz="4" w:space="0" w:color="auto"/>
            </w:tcBorders>
            <w:shd w:val="clear" w:color="auto" w:fill="auto"/>
          </w:tcPr>
          <w:p w:rsidR="0095274B" w:rsidRDefault="0095274B" w:rsidP="00637DE5">
            <w:pPr>
              <w:pStyle w:val="OrderBody"/>
              <w:keepNext/>
              <w:keepLines/>
            </w:pPr>
            <w:r>
              <w:t>HONG WANG</w:t>
            </w:r>
          </w:p>
          <w:p w:rsidR="00637DE5" w:rsidRDefault="0095274B" w:rsidP="00637DE5">
            <w:pPr>
              <w:pStyle w:val="OrderBody"/>
              <w:keepNext/>
              <w:keepLines/>
            </w:pPr>
            <w:r>
              <w:t>Chief Deputy Commission Clerk</w:t>
            </w:r>
          </w:p>
        </w:tc>
      </w:tr>
    </w:tbl>
    <w:p w:rsidR="00637DE5" w:rsidRDefault="00637DE5" w:rsidP="00637DE5">
      <w:pPr>
        <w:pStyle w:val="OrderSigInfo"/>
        <w:keepNext/>
        <w:keepLines/>
      </w:pPr>
      <w:r>
        <w:t>Florida Public Service Commission</w:t>
      </w:r>
      <w:bookmarkStart w:id="7" w:name="_GoBack"/>
      <w:bookmarkEnd w:id="7"/>
    </w:p>
    <w:p w:rsidR="00637DE5" w:rsidRDefault="00637DE5" w:rsidP="00637DE5">
      <w:pPr>
        <w:pStyle w:val="OrderSigInfo"/>
        <w:keepNext/>
        <w:keepLines/>
      </w:pPr>
      <w:r>
        <w:t>2540 Shumard Oak Boulevard</w:t>
      </w:r>
    </w:p>
    <w:p w:rsidR="00637DE5" w:rsidRDefault="00637DE5" w:rsidP="00637DE5">
      <w:pPr>
        <w:pStyle w:val="OrderSigInfo"/>
        <w:keepNext/>
        <w:keepLines/>
      </w:pPr>
      <w:r>
        <w:t>Tallahassee, Florida  32399</w:t>
      </w:r>
    </w:p>
    <w:p w:rsidR="00637DE5" w:rsidRDefault="00637DE5" w:rsidP="00637DE5">
      <w:pPr>
        <w:pStyle w:val="OrderSigInfo"/>
        <w:keepNext/>
        <w:keepLines/>
      </w:pPr>
      <w:r>
        <w:t>(850) 413</w:t>
      </w:r>
      <w:r>
        <w:noBreakHyphen/>
        <w:t>6770</w:t>
      </w:r>
    </w:p>
    <w:p w:rsidR="00637DE5" w:rsidRDefault="00637DE5" w:rsidP="00637DE5">
      <w:pPr>
        <w:pStyle w:val="OrderSigInfo"/>
        <w:keepNext/>
        <w:keepLines/>
      </w:pPr>
      <w:r>
        <w:t>www.floridapsc.com</w:t>
      </w:r>
    </w:p>
    <w:p w:rsidR="00637DE5" w:rsidRDefault="00637DE5" w:rsidP="00637DE5">
      <w:pPr>
        <w:pStyle w:val="OrderSigInfo"/>
        <w:keepNext/>
        <w:keepLines/>
      </w:pPr>
    </w:p>
    <w:p w:rsidR="00637DE5" w:rsidRDefault="00637DE5" w:rsidP="00637DE5">
      <w:pPr>
        <w:pStyle w:val="OrderSigInfo"/>
        <w:keepNext/>
        <w:keepLines/>
      </w:pPr>
      <w:r>
        <w:t>Copies furnished:  A copy of this document is provided to the parties of record at the time of issuance and, if applicable, interested persons.</w:t>
      </w:r>
    </w:p>
    <w:p w:rsidR="00637DE5" w:rsidRDefault="00637DE5" w:rsidP="00637DE5">
      <w:pPr>
        <w:pStyle w:val="OrderBody"/>
        <w:keepNext/>
        <w:keepLines/>
      </w:pPr>
    </w:p>
    <w:p w:rsidR="00637DE5" w:rsidRDefault="00637DE5" w:rsidP="00637DE5">
      <w:pPr>
        <w:pStyle w:val="OrderBody"/>
        <w:keepNext/>
        <w:keepLines/>
      </w:pPr>
      <w:r>
        <w:t>KRM</w:t>
      </w:r>
    </w:p>
    <w:p w:rsidR="00637DE5" w:rsidRDefault="00637DE5" w:rsidP="00637DE5">
      <w:pPr>
        <w:pStyle w:val="OrderBody"/>
      </w:pPr>
    </w:p>
    <w:p w:rsidR="00637DE5" w:rsidRDefault="00637DE5" w:rsidP="00637DE5">
      <w:pPr>
        <w:pStyle w:val="CenterUnderline"/>
      </w:pPr>
      <w:r>
        <w:t>NOTICE OF FURTHER PROCEEDINGS OR JUDICIAL REVIEW</w:t>
      </w:r>
    </w:p>
    <w:p w:rsidR="00637DE5" w:rsidRDefault="00637DE5" w:rsidP="00637DE5">
      <w:pPr>
        <w:pStyle w:val="CenterUnderline"/>
        <w:rPr>
          <w:u w:val="none"/>
        </w:rPr>
      </w:pPr>
    </w:p>
    <w:p w:rsidR="00637DE5" w:rsidRDefault="00637DE5" w:rsidP="00637DE5">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637DE5" w:rsidRDefault="00637DE5" w:rsidP="00637DE5">
      <w:pPr>
        <w:pStyle w:val="OrderBody"/>
      </w:pPr>
    </w:p>
    <w:p w:rsidR="00637DE5" w:rsidRDefault="00637DE5" w:rsidP="00637DE5">
      <w:pPr>
        <w:pStyle w:val="OrderBody"/>
      </w:pPr>
      <w:r>
        <w:tab/>
        <w:t>Mediation may be available on a case-by-case basis.  If mediation is conducted, it does not affect a substantially interested person's right to a hearing.</w:t>
      </w:r>
    </w:p>
    <w:p w:rsidR="00637DE5" w:rsidRDefault="00637DE5" w:rsidP="00637DE5">
      <w:pPr>
        <w:pStyle w:val="OrderBody"/>
      </w:pPr>
    </w:p>
    <w:p w:rsidR="00637DE5" w:rsidRDefault="00637DE5" w:rsidP="00637DE5">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5274B">
        <w:rPr>
          <w:u w:val="single"/>
        </w:rPr>
        <w:t>August 17, 2016</w:t>
      </w:r>
      <w:r>
        <w:t>.</w:t>
      </w:r>
    </w:p>
    <w:p w:rsidR="00637DE5" w:rsidRDefault="00637DE5" w:rsidP="00637DE5">
      <w:pPr>
        <w:pStyle w:val="OrderBody"/>
      </w:pPr>
    </w:p>
    <w:p w:rsidR="00637DE5" w:rsidRDefault="00637DE5" w:rsidP="00637DE5">
      <w:pPr>
        <w:pStyle w:val="OrderBody"/>
      </w:pPr>
      <w:r>
        <w:tab/>
        <w:t>In the absence of such a petition, this order shall become final and effective upon the issuance of a Consummating Order.</w:t>
      </w:r>
    </w:p>
    <w:p w:rsidR="00637DE5" w:rsidRDefault="00637DE5" w:rsidP="00637DE5">
      <w:pPr>
        <w:pStyle w:val="OrderBody"/>
      </w:pPr>
    </w:p>
    <w:p w:rsidR="00637DE5" w:rsidRDefault="00637DE5" w:rsidP="00637DE5">
      <w:pPr>
        <w:pStyle w:val="OrderBody"/>
      </w:pPr>
      <w:r>
        <w:tab/>
        <w:t>Any objection or protest filed in this/these docket(s) before the issuance date of this order is considered abandoned unless it satisfies the foregoing conditions and is renewed within the specified protest period.</w:t>
      </w:r>
    </w:p>
    <w:p w:rsidR="00637DE5" w:rsidRDefault="00637DE5" w:rsidP="00637DE5">
      <w:pPr>
        <w:pStyle w:val="OrderBody"/>
        <w:sectPr w:rsidR="00637DE5">
          <w:headerReference w:type="default" r:id="rId8"/>
          <w:footerReference w:type="first" r:id="rId9"/>
          <w:pgSz w:w="12240" w:h="15840" w:code="1"/>
          <w:pgMar w:top="1440" w:right="1440" w:bottom="1440" w:left="1440" w:header="720" w:footer="720" w:gutter="0"/>
          <w:cols w:space="720"/>
          <w:titlePg/>
          <w:docGrid w:linePitch="360"/>
        </w:sectPr>
      </w:pPr>
    </w:p>
    <w:tbl>
      <w:tblPr>
        <w:tblW w:w="10314" w:type="dxa"/>
        <w:jc w:val="center"/>
        <w:tblLook w:val="04A0" w:firstRow="1" w:lastRow="0" w:firstColumn="1" w:lastColumn="0" w:noHBand="0" w:noVBand="1"/>
      </w:tblPr>
      <w:tblGrid>
        <w:gridCol w:w="836"/>
        <w:gridCol w:w="5151"/>
        <w:gridCol w:w="1061"/>
        <w:gridCol w:w="1016"/>
        <w:gridCol w:w="2250"/>
      </w:tblGrid>
      <w:tr w:rsidR="00637DE5" w:rsidRPr="00471808" w:rsidTr="00637DE5">
        <w:trPr>
          <w:trHeight w:val="289"/>
          <w:jc w:val="center"/>
        </w:trPr>
        <w:tc>
          <w:tcPr>
            <w:tcW w:w="5987" w:type="dxa"/>
            <w:gridSpan w:val="2"/>
            <w:tcBorders>
              <w:top w:val="single" w:sz="4" w:space="0" w:color="auto"/>
              <w:left w:val="single" w:sz="4" w:space="0" w:color="auto"/>
              <w:bottom w:val="nil"/>
              <w:right w:val="nil"/>
            </w:tcBorders>
            <w:shd w:val="clear" w:color="auto" w:fill="auto"/>
            <w:noWrap/>
            <w:vAlign w:val="bottom"/>
            <w:hideMark/>
          </w:tcPr>
          <w:p w:rsidR="00637DE5" w:rsidRPr="00471808" w:rsidRDefault="00637DE5" w:rsidP="00C7036E">
            <w:pPr>
              <w:rPr>
                <w:b/>
                <w:bCs/>
                <w:color w:val="000000"/>
                <w:sz w:val="20"/>
                <w:szCs w:val="20"/>
              </w:rPr>
            </w:pPr>
            <w:r w:rsidRPr="00471808">
              <w:rPr>
                <w:b/>
                <w:bCs/>
                <w:color w:val="000000"/>
                <w:sz w:val="20"/>
                <w:szCs w:val="20"/>
              </w:rPr>
              <w:lastRenderedPageBreak/>
              <w:t>UTILITIES, INC. OF FLORIDA - MARION COUNTY</w:t>
            </w:r>
          </w:p>
        </w:tc>
        <w:tc>
          <w:tcPr>
            <w:tcW w:w="1061" w:type="dxa"/>
            <w:tcBorders>
              <w:top w:val="single" w:sz="4" w:space="0" w:color="auto"/>
              <w:left w:val="nil"/>
              <w:bottom w:val="nil"/>
              <w:right w:val="nil"/>
            </w:tcBorders>
            <w:shd w:val="clear" w:color="auto" w:fill="auto"/>
            <w:noWrap/>
            <w:vAlign w:val="bottom"/>
            <w:hideMark/>
          </w:tcPr>
          <w:p w:rsidR="00637DE5" w:rsidRPr="00471808" w:rsidRDefault="00637DE5" w:rsidP="00C7036E">
            <w:pPr>
              <w:jc w:val="center"/>
              <w:rPr>
                <w:b/>
                <w:bCs/>
                <w:color w:val="000000"/>
                <w:sz w:val="20"/>
                <w:szCs w:val="20"/>
              </w:rPr>
            </w:pPr>
            <w:r w:rsidRPr="00471808">
              <w:rPr>
                <w:b/>
                <w:bCs/>
                <w:color w:val="000000"/>
                <w:sz w:val="20"/>
                <w:szCs w:val="20"/>
              </w:rPr>
              <w:t> </w:t>
            </w:r>
          </w:p>
        </w:tc>
        <w:tc>
          <w:tcPr>
            <w:tcW w:w="3266" w:type="dxa"/>
            <w:gridSpan w:val="2"/>
            <w:tcBorders>
              <w:top w:val="single" w:sz="4" w:space="0" w:color="auto"/>
              <w:left w:val="nil"/>
              <w:bottom w:val="nil"/>
              <w:right w:val="single" w:sz="4" w:space="0" w:color="auto"/>
            </w:tcBorders>
            <w:shd w:val="clear" w:color="auto" w:fill="auto"/>
            <w:noWrap/>
            <w:vAlign w:val="bottom"/>
            <w:hideMark/>
          </w:tcPr>
          <w:p w:rsidR="00637DE5" w:rsidRPr="00471808" w:rsidRDefault="00637DE5" w:rsidP="00C7036E">
            <w:pPr>
              <w:jc w:val="right"/>
              <w:rPr>
                <w:b/>
                <w:bCs/>
                <w:color w:val="000000"/>
                <w:sz w:val="20"/>
                <w:szCs w:val="20"/>
              </w:rPr>
            </w:pPr>
            <w:r w:rsidRPr="00471808">
              <w:rPr>
                <w:b/>
                <w:bCs/>
                <w:color w:val="000000"/>
                <w:sz w:val="20"/>
                <w:szCs w:val="20"/>
              </w:rPr>
              <w:t>SCHEDULE NO. 1 </w:t>
            </w:r>
          </w:p>
        </w:tc>
      </w:tr>
      <w:tr w:rsidR="00637DE5" w:rsidRPr="00471808" w:rsidTr="00637DE5">
        <w:trPr>
          <w:trHeight w:val="289"/>
          <w:jc w:val="center"/>
        </w:trPr>
        <w:tc>
          <w:tcPr>
            <w:tcW w:w="5987" w:type="dxa"/>
            <w:gridSpan w:val="2"/>
            <w:tcBorders>
              <w:top w:val="nil"/>
              <w:left w:val="single" w:sz="4" w:space="0" w:color="auto"/>
              <w:bottom w:val="single" w:sz="4" w:space="0" w:color="auto"/>
              <w:right w:val="nil"/>
            </w:tcBorders>
            <w:shd w:val="clear" w:color="auto" w:fill="auto"/>
            <w:noWrap/>
            <w:vAlign w:val="bottom"/>
            <w:hideMark/>
          </w:tcPr>
          <w:p w:rsidR="00637DE5" w:rsidRPr="00471808" w:rsidRDefault="00637DE5" w:rsidP="00C7036E">
            <w:pPr>
              <w:rPr>
                <w:b/>
                <w:bCs/>
                <w:color w:val="000000"/>
                <w:sz w:val="20"/>
                <w:szCs w:val="20"/>
              </w:rPr>
            </w:pPr>
            <w:r w:rsidRPr="00471808">
              <w:rPr>
                <w:b/>
                <w:bCs/>
                <w:color w:val="000000"/>
                <w:sz w:val="20"/>
                <w:szCs w:val="20"/>
              </w:rPr>
              <w:t>WATER REVENUE REQUIREMENTS INCREASE</w:t>
            </w:r>
          </w:p>
        </w:tc>
        <w:tc>
          <w:tcPr>
            <w:tcW w:w="1061" w:type="dxa"/>
            <w:tcBorders>
              <w:top w:val="nil"/>
              <w:left w:val="nil"/>
              <w:bottom w:val="single" w:sz="4" w:space="0" w:color="auto"/>
              <w:right w:val="nil"/>
            </w:tcBorders>
            <w:shd w:val="clear" w:color="auto" w:fill="auto"/>
            <w:noWrap/>
            <w:vAlign w:val="bottom"/>
            <w:hideMark/>
          </w:tcPr>
          <w:p w:rsidR="00637DE5" w:rsidRPr="00471808" w:rsidRDefault="00637DE5" w:rsidP="00C7036E">
            <w:pPr>
              <w:jc w:val="center"/>
              <w:rPr>
                <w:b/>
                <w:bCs/>
                <w:color w:val="000000"/>
                <w:sz w:val="20"/>
                <w:szCs w:val="20"/>
              </w:rPr>
            </w:pPr>
            <w:r w:rsidRPr="00471808">
              <w:rPr>
                <w:b/>
                <w:bCs/>
                <w:color w:val="000000"/>
                <w:sz w:val="20"/>
                <w:szCs w:val="20"/>
              </w:rPr>
              <w:t> </w:t>
            </w:r>
          </w:p>
        </w:tc>
        <w:tc>
          <w:tcPr>
            <w:tcW w:w="3266" w:type="dxa"/>
            <w:gridSpan w:val="2"/>
            <w:tcBorders>
              <w:top w:val="nil"/>
              <w:left w:val="nil"/>
              <w:bottom w:val="single" w:sz="4" w:space="0" w:color="auto"/>
              <w:right w:val="single" w:sz="4" w:space="0" w:color="auto"/>
            </w:tcBorders>
            <w:shd w:val="clear" w:color="auto" w:fill="auto"/>
            <w:noWrap/>
            <w:vAlign w:val="bottom"/>
            <w:hideMark/>
          </w:tcPr>
          <w:p w:rsidR="00637DE5" w:rsidRPr="00471808" w:rsidRDefault="00637DE5" w:rsidP="00C7036E">
            <w:pPr>
              <w:jc w:val="right"/>
              <w:rPr>
                <w:b/>
                <w:bCs/>
                <w:color w:val="000000"/>
                <w:sz w:val="20"/>
                <w:szCs w:val="20"/>
              </w:rPr>
            </w:pPr>
            <w:r w:rsidRPr="00471808">
              <w:rPr>
                <w:b/>
                <w:bCs/>
                <w:color w:val="000000"/>
                <w:sz w:val="20"/>
                <w:szCs w:val="20"/>
              </w:rPr>
              <w:t> DOCKET NO. 150269-WS</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 </w:t>
            </w: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center"/>
              <w:rPr>
                <w:b/>
                <w:bCs/>
                <w:sz w:val="20"/>
                <w:szCs w:val="20"/>
              </w:rPr>
            </w:pPr>
            <w:r w:rsidRPr="00471808">
              <w:rPr>
                <w:b/>
                <w:bCs/>
                <w:sz w:val="20"/>
                <w:szCs w:val="20"/>
              </w:rPr>
              <w:t>UTILITY</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 </w:t>
            </w:r>
          </w:p>
        </w:tc>
        <w:tc>
          <w:tcPr>
            <w:tcW w:w="2250" w:type="dxa"/>
            <w:tcBorders>
              <w:top w:val="nil"/>
              <w:left w:val="nil"/>
              <w:bottom w:val="nil"/>
              <w:right w:val="single" w:sz="4" w:space="0" w:color="auto"/>
            </w:tcBorders>
            <w:shd w:val="clear" w:color="auto" w:fill="auto"/>
            <w:noWrap/>
            <w:vAlign w:val="bottom"/>
            <w:hideMark/>
          </w:tcPr>
          <w:p w:rsidR="00637DE5" w:rsidRPr="00471808" w:rsidRDefault="00B30818" w:rsidP="00C7036E">
            <w:pPr>
              <w:jc w:val="center"/>
              <w:rPr>
                <w:b/>
                <w:bCs/>
                <w:color w:val="000000"/>
                <w:sz w:val="20"/>
                <w:szCs w:val="20"/>
              </w:rPr>
            </w:pPr>
            <w:r>
              <w:rPr>
                <w:b/>
                <w:bCs/>
                <w:color w:val="000000"/>
                <w:sz w:val="20"/>
                <w:szCs w:val="20"/>
              </w:rPr>
              <w:t>COMMISSION</w:t>
            </w:r>
          </w:p>
        </w:tc>
      </w:tr>
      <w:tr w:rsidR="00637DE5" w:rsidRPr="00471808" w:rsidTr="00637DE5">
        <w:trPr>
          <w:trHeight w:val="289"/>
          <w:jc w:val="center"/>
        </w:trPr>
        <w:tc>
          <w:tcPr>
            <w:tcW w:w="836" w:type="dxa"/>
            <w:tcBorders>
              <w:top w:val="nil"/>
              <w:left w:val="single" w:sz="4" w:space="0" w:color="auto"/>
              <w:bottom w:val="single" w:sz="4" w:space="0" w:color="auto"/>
              <w:right w:val="nil"/>
            </w:tcBorders>
            <w:shd w:val="clear" w:color="auto" w:fill="auto"/>
            <w:noWrap/>
            <w:vAlign w:val="bottom"/>
            <w:hideMark/>
          </w:tcPr>
          <w:p w:rsidR="00637DE5" w:rsidRPr="00471808" w:rsidRDefault="00637DE5" w:rsidP="00C7036E">
            <w:pPr>
              <w:rPr>
                <w:b/>
                <w:bCs/>
                <w:color w:val="000000"/>
                <w:sz w:val="20"/>
                <w:szCs w:val="20"/>
              </w:rPr>
            </w:pPr>
            <w:r w:rsidRPr="00471808">
              <w:rPr>
                <w:b/>
                <w:bCs/>
                <w:color w:val="000000"/>
                <w:sz w:val="20"/>
                <w:szCs w:val="20"/>
              </w:rPr>
              <w:t> </w:t>
            </w:r>
          </w:p>
        </w:tc>
        <w:tc>
          <w:tcPr>
            <w:tcW w:w="5151" w:type="dxa"/>
            <w:tcBorders>
              <w:top w:val="nil"/>
              <w:left w:val="nil"/>
              <w:bottom w:val="single" w:sz="4" w:space="0" w:color="auto"/>
              <w:right w:val="nil"/>
            </w:tcBorders>
            <w:shd w:val="clear" w:color="auto" w:fill="auto"/>
            <w:noWrap/>
            <w:vAlign w:val="bottom"/>
            <w:hideMark/>
          </w:tcPr>
          <w:p w:rsidR="00637DE5" w:rsidRPr="00471808" w:rsidRDefault="00637DE5" w:rsidP="00C7036E">
            <w:pPr>
              <w:rPr>
                <w:sz w:val="20"/>
                <w:szCs w:val="20"/>
              </w:rPr>
            </w:pPr>
            <w:r w:rsidRPr="00471808">
              <w:rPr>
                <w:sz w:val="20"/>
                <w:szCs w:val="20"/>
              </w:rPr>
              <w:t> </w:t>
            </w:r>
          </w:p>
        </w:tc>
        <w:tc>
          <w:tcPr>
            <w:tcW w:w="1061" w:type="dxa"/>
            <w:tcBorders>
              <w:top w:val="nil"/>
              <w:left w:val="nil"/>
              <w:bottom w:val="single" w:sz="4" w:space="0" w:color="auto"/>
              <w:right w:val="nil"/>
            </w:tcBorders>
            <w:shd w:val="clear" w:color="auto" w:fill="auto"/>
            <w:noWrap/>
            <w:vAlign w:val="bottom"/>
            <w:hideMark/>
          </w:tcPr>
          <w:p w:rsidR="00637DE5" w:rsidRPr="00471808" w:rsidRDefault="00637DE5" w:rsidP="00C7036E">
            <w:pPr>
              <w:jc w:val="center"/>
              <w:rPr>
                <w:b/>
                <w:bCs/>
                <w:sz w:val="20"/>
                <w:szCs w:val="20"/>
              </w:rPr>
            </w:pPr>
            <w:r w:rsidRPr="00471808">
              <w:rPr>
                <w:b/>
                <w:bCs/>
                <w:sz w:val="20"/>
                <w:szCs w:val="20"/>
              </w:rPr>
              <w:t>FILING</w:t>
            </w:r>
          </w:p>
        </w:tc>
        <w:tc>
          <w:tcPr>
            <w:tcW w:w="1016" w:type="dxa"/>
            <w:tcBorders>
              <w:top w:val="nil"/>
              <w:left w:val="nil"/>
              <w:bottom w:val="single" w:sz="4" w:space="0" w:color="auto"/>
              <w:right w:val="nil"/>
            </w:tcBorders>
            <w:shd w:val="clear" w:color="auto" w:fill="auto"/>
            <w:noWrap/>
            <w:vAlign w:val="bottom"/>
            <w:hideMark/>
          </w:tcPr>
          <w:p w:rsidR="00637DE5" w:rsidRPr="00471808" w:rsidRDefault="00637DE5" w:rsidP="00C7036E">
            <w:pPr>
              <w:jc w:val="center"/>
              <w:rPr>
                <w:b/>
                <w:bCs/>
                <w:sz w:val="20"/>
                <w:szCs w:val="20"/>
                <w:u w:val="single"/>
              </w:rPr>
            </w:pPr>
            <w:r w:rsidRPr="00471808">
              <w:rPr>
                <w:b/>
                <w:bCs/>
                <w:sz w:val="20"/>
                <w:szCs w:val="20"/>
                <w:u w:val="single"/>
              </w:rPr>
              <w:t> </w:t>
            </w:r>
          </w:p>
        </w:tc>
        <w:tc>
          <w:tcPr>
            <w:tcW w:w="2250" w:type="dxa"/>
            <w:tcBorders>
              <w:top w:val="nil"/>
              <w:left w:val="nil"/>
              <w:bottom w:val="single" w:sz="4" w:space="0" w:color="auto"/>
              <w:right w:val="single" w:sz="4" w:space="0" w:color="auto"/>
            </w:tcBorders>
            <w:shd w:val="clear" w:color="auto" w:fill="auto"/>
            <w:noWrap/>
            <w:vAlign w:val="bottom"/>
            <w:hideMark/>
          </w:tcPr>
          <w:p w:rsidR="00637DE5" w:rsidRPr="00471808" w:rsidRDefault="00B30818" w:rsidP="00C7036E">
            <w:pPr>
              <w:jc w:val="center"/>
              <w:rPr>
                <w:b/>
                <w:bCs/>
                <w:color w:val="000000"/>
                <w:sz w:val="20"/>
                <w:szCs w:val="20"/>
              </w:rPr>
            </w:pPr>
            <w:r>
              <w:rPr>
                <w:b/>
                <w:bCs/>
                <w:color w:val="000000"/>
                <w:sz w:val="20"/>
                <w:szCs w:val="20"/>
              </w:rPr>
              <w:t>APPROVED</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u w:val="single"/>
              </w:rPr>
            </w:pPr>
            <w:r w:rsidRPr="00471808">
              <w:rPr>
                <w:color w:val="000000"/>
                <w:sz w:val="20"/>
                <w:szCs w:val="20"/>
                <w:u w:val="single"/>
              </w:rPr>
              <w:t>Line No.</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jc w:val="center"/>
              <w:rPr>
                <w:sz w:val="20"/>
                <w:szCs w:val="20"/>
                <w:u w:val="single"/>
              </w:rPr>
            </w:pP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center"/>
              <w:rPr>
                <w:sz w:val="20"/>
                <w:szCs w:val="20"/>
                <w:u w:val="single"/>
              </w:rPr>
            </w:pP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center"/>
              <w:rPr>
                <w:sz w:val="20"/>
                <w:szCs w:val="20"/>
                <w:u w:val="single"/>
              </w:rPr>
            </w:pP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1</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Utility Plant in Service (UPIS)</w:t>
            </w: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$313,978 </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$313,978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2</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Retirements</w:t>
            </w: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3</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Accumulated Depreciation</w:t>
            </w: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    (3,651)</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                        (3,651)</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4</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Contributions in Aid of Construction (CIAC)</w:t>
            </w: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5</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Accumulated Amortization of CIAC</w:t>
            </w: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6</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Working Capital</w:t>
            </w: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          452 </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B30818">
            <w:pPr>
              <w:jc w:val="right"/>
              <w:rPr>
                <w:sz w:val="20"/>
                <w:szCs w:val="20"/>
              </w:rPr>
            </w:pPr>
            <w:r w:rsidRPr="00471808">
              <w:rPr>
                <w:sz w:val="20"/>
                <w:szCs w:val="20"/>
              </w:rPr>
              <w:t xml:space="preserve">                             </w:t>
            </w:r>
            <w:r w:rsidR="00B30818">
              <w:rPr>
                <w:sz w:val="20"/>
                <w:szCs w:val="20"/>
              </w:rPr>
              <w:t>289</w:t>
            </w:r>
            <w:r w:rsidRPr="00471808">
              <w:rPr>
                <w:sz w:val="20"/>
                <w:szCs w:val="20"/>
              </w:rPr>
              <w:t xml:space="preserve">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7</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Total Increase in Rate Base</w:t>
            </w:r>
          </w:p>
        </w:tc>
        <w:tc>
          <w:tcPr>
            <w:tcW w:w="1061" w:type="dxa"/>
            <w:tcBorders>
              <w:top w:val="single" w:sz="4" w:space="0" w:color="auto"/>
              <w:left w:val="nil"/>
              <w:bottom w:val="single" w:sz="4" w:space="0" w:color="auto"/>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$310,779 </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637DE5" w:rsidRPr="00471808" w:rsidRDefault="00637DE5" w:rsidP="00B30818">
            <w:pPr>
              <w:jc w:val="right"/>
              <w:rPr>
                <w:sz w:val="20"/>
                <w:szCs w:val="20"/>
              </w:rPr>
            </w:pPr>
            <w:r w:rsidRPr="00471808">
              <w:rPr>
                <w:sz w:val="20"/>
                <w:szCs w:val="20"/>
              </w:rPr>
              <w:t>$310,</w:t>
            </w:r>
            <w:r w:rsidR="00B30818">
              <w:rPr>
                <w:sz w:val="20"/>
                <w:szCs w:val="20"/>
              </w:rPr>
              <w:t>616</w:t>
            </w:r>
            <w:r w:rsidRPr="00471808">
              <w:rPr>
                <w:sz w:val="20"/>
                <w:szCs w:val="20"/>
              </w:rPr>
              <w:t xml:space="preserve">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p>
        </w:tc>
        <w:tc>
          <w:tcPr>
            <w:tcW w:w="1061" w:type="dxa"/>
            <w:tcBorders>
              <w:top w:val="nil"/>
              <w:left w:val="nil"/>
              <w:right w:val="nil"/>
            </w:tcBorders>
            <w:shd w:val="clear" w:color="auto" w:fill="auto"/>
            <w:noWrap/>
            <w:vAlign w:val="bottom"/>
            <w:hideMark/>
          </w:tcPr>
          <w:p w:rsidR="00637DE5" w:rsidRPr="00471808" w:rsidRDefault="00637DE5" w:rsidP="00C7036E">
            <w:pPr>
              <w:jc w:val="right"/>
              <w:rPr>
                <w:sz w:val="20"/>
                <w:szCs w:val="20"/>
              </w:rPr>
            </w:pPr>
          </w:p>
        </w:tc>
        <w:tc>
          <w:tcPr>
            <w:tcW w:w="1016" w:type="dxa"/>
            <w:tcBorders>
              <w:top w:val="nil"/>
              <w:left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right w:val="single" w:sz="4" w:space="0" w:color="auto"/>
            </w:tcBorders>
            <w:shd w:val="clear" w:color="auto" w:fill="auto"/>
            <w:noWrap/>
            <w:vAlign w:val="bottom"/>
            <w:hideMark/>
          </w:tcPr>
          <w:p w:rsidR="00637DE5" w:rsidRPr="00471808" w:rsidRDefault="00637DE5" w:rsidP="00C7036E">
            <w:pPr>
              <w:jc w:val="right"/>
              <w:rPr>
                <w:sz w:val="20"/>
                <w:szCs w:val="20"/>
              </w:rPr>
            </w:pPr>
            <w:r w:rsidRPr="00471808">
              <w:rPr>
                <w:sz w:val="20"/>
                <w:szCs w:val="20"/>
              </w:rPr>
              <w:t>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8</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Weighted Cost of Capital</w:t>
            </w:r>
          </w:p>
        </w:tc>
        <w:tc>
          <w:tcPr>
            <w:tcW w:w="1061" w:type="dxa"/>
            <w:tcBorders>
              <w:top w:val="nil"/>
              <w:left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8.03%</w:t>
            </w:r>
          </w:p>
        </w:tc>
        <w:tc>
          <w:tcPr>
            <w:tcW w:w="1016" w:type="dxa"/>
            <w:tcBorders>
              <w:top w:val="nil"/>
              <w:left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nil"/>
              <w:left w:val="nil"/>
              <w:right w:val="single" w:sz="4" w:space="0" w:color="auto"/>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7.68%</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tcPr>
          <w:p w:rsidR="00637DE5" w:rsidRPr="00471808" w:rsidRDefault="00637DE5" w:rsidP="00C7036E">
            <w:pPr>
              <w:jc w:val="center"/>
              <w:rPr>
                <w:color w:val="000000"/>
                <w:sz w:val="20"/>
                <w:szCs w:val="20"/>
              </w:rPr>
            </w:pPr>
          </w:p>
        </w:tc>
        <w:tc>
          <w:tcPr>
            <w:tcW w:w="5151" w:type="dxa"/>
            <w:tcBorders>
              <w:top w:val="nil"/>
              <w:left w:val="nil"/>
              <w:bottom w:val="nil"/>
              <w:right w:val="nil"/>
            </w:tcBorders>
            <w:shd w:val="clear" w:color="auto" w:fill="auto"/>
            <w:noWrap/>
            <w:vAlign w:val="bottom"/>
          </w:tcPr>
          <w:p w:rsidR="00637DE5" w:rsidRPr="00471808" w:rsidRDefault="00637DE5" w:rsidP="00C7036E">
            <w:pPr>
              <w:rPr>
                <w:sz w:val="20"/>
                <w:szCs w:val="20"/>
              </w:rPr>
            </w:pPr>
          </w:p>
        </w:tc>
        <w:tc>
          <w:tcPr>
            <w:tcW w:w="1061" w:type="dxa"/>
            <w:tcBorders>
              <w:left w:val="nil"/>
              <w:bottom w:val="single" w:sz="4" w:space="0" w:color="auto"/>
              <w:right w:val="nil"/>
            </w:tcBorders>
            <w:shd w:val="clear" w:color="000000" w:fill="FFFFFF"/>
            <w:noWrap/>
            <w:vAlign w:val="bottom"/>
          </w:tcPr>
          <w:p w:rsidR="00637DE5" w:rsidRPr="00471808" w:rsidRDefault="00637DE5" w:rsidP="00C7036E">
            <w:pPr>
              <w:jc w:val="right"/>
              <w:rPr>
                <w:sz w:val="20"/>
                <w:szCs w:val="20"/>
              </w:rPr>
            </w:pPr>
          </w:p>
        </w:tc>
        <w:tc>
          <w:tcPr>
            <w:tcW w:w="1016" w:type="dxa"/>
            <w:tcBorders>
              <w:left w:val="nil"/>
              <w:bottom w:val="nil"/>
              <w:right w:val="nil"/>
            </w:tcBorders>
            <w:shd w:val="clear" w:color="000000" w:fill="FFFFFF"/>
            <w:noWrap/>
            <w:vAlign w:val="bottom"/>
          </w:tcPr>
          <w:p w:rsidR="00637DE5" w:rsidRPr="00471808" w:rsidRDefault="00637DE5" w:rsidP="00C7036E">
            <w:pPr>
              <w:jc w:val="right"/>
              <w:rPr>
                <w:sz w:val="20"/>
                <w:szCs w:val="20"/>
              </w:rPr>
            </w:pPr>
          </w:p>
        </w:tc>
        <w:tc>
          <w:tcPr>
            <w:tcW w:w="2250" w:type="dxa"/>
            <w:tcBorders>
              <w:left w:val="nil"/>
              <w:bottom w:val="single" w:sz="4" w:space="0" w:color="auto"/>
              <w:right w:val="single" w:sz="4" w:space="0" w:color="auto"/>
            </w:tcBorders>
            <w:shd w:val="clear" w:color="000000" w:fill="FFFFFF"/>
            <w:noWrap/>
            <w:vAlign w:val="bottom"/>
          </w:tcPr>
          <w:p w:rsidR="00637DE5" w:rsidRPr="00471808" w:rsidRDefault="00637DE5" w:rsidP="00C7036E">
            <w:pPr>
              <w:jc w:val="right"/>
              <w:rPr>
                <w:sz w:val="20"/>
                <w:szCs w:val="20"/>
              </w:rPr>
            </w:pP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9</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Return Required</w:t>
            </w:r>
          </w:p>
        </w:tc>
        <w:tc>
          <w:tcPr>
            <w:tcW w:w="1061" w:type="dxa"/>
            <w:tcBorders>
              <w:top w:val="single" w:sz="4" w:space="0" w:color="auto"/>
              <w:left w:val="nil"/>
              <w:bottom w:val="single" w:sz="4" w:space="0" w:color="auto"/>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xml:space="preserve">$24,968 </w:t>
            </w:r>
          </w:p>
        </w:tc>
        <w:tc>
          <w:tcPr>
            <w:tcW w:w="1016" w:type="dxa"/>
            <w:tcBorders>
              <w:top w:val="nil"/>
              <w:left w:val="nil"/>
              <w:bottom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single" w:sz="4" w:space="0" w:color="auto"/>
              <w:left w:val="nil"/>
              <w:bottom w:val="single" w:sz="4" w:space="0" w:color="auto"/>
              <w:right w:val="single" w:sz="4" w:space="0" w:color="auto"/>
            </w:tcBorders>
            <w:shd w:val="clear" w:color="000000" w:fill="FFFFFF"/>
            <w:noWrap/>
            <w:vAlign w:val="bottom"/>
            <w:hideMark/>
          </w:tcPr>
          <w:p w:rsidR="00637DE5" w:rsidRPr="00471808" w:rsidRDefault="00637DE5" w:rsidP="00B30818">
            <w:pPr>
              <w:jc w:val="right"/>
              <w:rPr>
                <w:sz w:val="20"/>
                <w:szCs w:val="20"/>
              </w:rPr>
            </w:pPr>
            <w:r w:rsidRPr="00471808">
              <w:rPr>
                <w:sz w:val="20"/>
                <w:szCs w:val="20"/>
              </w:rPr>
              <w:t>$23,</w:t>
            </w:r>
            <w:r w:rsidR="00B30818">
              <w:rPr>
                <w:sz w:val="20"/>
                <w:szCs w:val="20"/>
              </w:rPr>
              <w:t>855</w:t>
            </w:r>
            <w:r w:rsidRPr="00471808">
              <w:rPr>
                <w:sz w:val="20"/>
                <w:szCs w:val="20"/>
              </w:rPr>
              <w:t xml:space="preserve">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ind w:firstLineChars="100" w:firstLine="200"/>
              <w:rPr>
                <w:sz w:val="20"/>
                <w:szCs w:val="20"/>
              </w:rPr>
            </w:pP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sz w:val="20"/>
                <w:szCs w:val="20"/>
              </w:rPr>
            </w:pPr>
            <w:r w:rsidRPr="00471808">
              <w:rPr>
                <w:sz w:val="20"/>
                <w:szCs w:val="20"/>
              </w:rPr>
              <w:t>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10</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Increase in Depreciation Expenses Due to UPIS Increase</w:t>
            </w: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$7,302 </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$7,302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11</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Decrease in Depreciation Expense Due to Retirements</w:t>
            </w: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               -</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                -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12</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Increase in CIAC Amortization</w:t>
            </w: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               -</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sz w:val="20"/>
                <w:szCs w:val="20"/>
              </w:rPr>
            </w:pPr>
            <w:r w:rsidRPr="00471808">
              <w:rPr>
                <w:sz w:val="20"/>
                <w:szCs w:val="20"/>
              </w:rPr>
              <w:t>-</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13</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Increase in Rate Case Expense</w:t>
            </w: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       3,619 </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B30818">
            <w:pPr>
              <w:jc w:val="right"/>
              <w:rPr>
                <w:sz w:val="20"/>
                <w:szCs w:val="20"/>
              </w:rPr>
            </w:pPr>
            <w:r w:rsidRPr="00471808">
              <w:rPr>
                <w:sz w:val="20"/>
                <w:szCs w:val="20"/>
              </w:rPr>
              <w:t xml:space="preserve">                         </w:t>
            </w:r>
            <w:r w:rsidR="00B30818">
              <w:rPr>
                <w:sz w:val="20"/>
                <w:szCs w:val="20"/>
              </w:rPr>
              <w:t>2,312</w:t>
            </w:r>
            <w:r w:rsidRPr="00471808">
              <w:rPr>
                <w:sz w:val="20"/>
                <w:szCs w:val="20"/>
              </w:rPr>
              <w:t xml:space="preserve">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14</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Increase in Taxes Other Than Income Taxes</w:t>
            </w: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       5,170 </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                         5,170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15</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Total Increase in Operating Expenses Before Income Taxes</w:t>
            </w:r>
          </w:p>
        </w:tc>
        <w:tc>
          <w:tcPr>
            <w:tcW w:w="1061" w:type="dxa"/>
            <w:tcBorders>
              <w:top w:val="single" w:sz="4" w:space="0" w:color="auto"/>
              <w:left w:val="nil"/>
              <w:bottom w:val="single" w:sz="4" w:space="0" w:color="auto"/>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$16,091 </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637DE5" w:rsidRPr="00471808" w:rsidRDefault="00637DE5" w:rsidP="00B30818">
            <w:pPr>
              <w:jc w:val="right"/>
              <w:rPr>
                <w:sz w:val="20"/>
                <w:szCs w:val="20"/>
              </w:rPr>
            </w:pPr>
            <w:r w:rsidRPr="00471808">
              <w:rPr>
                <w:sz w:val="20"/>
                <w:szCs w:val="20"/>
              </w:rPr>
              <w:t>$14,</w:t>
            </w:r>
            <w:r w:rsidR="00B30818">
              <w:rPr>
                <w:sz w:val="20"/>
                <w:szCs w:val="20"/>
              </w:rPr>
              <w:t>784</w:t>
            </w:r>
            <w:r w:rsidRPr="00471808">
              <w:rPr>
                <w:sz w:val="20"/>
                <w:szCs w:val="20"/>
              </w:rPr>
              <w:t xml:space="preserve">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ind w:firstLineChars="100" w:firstLine="200"/>
              <w:rPr>
                <w:sz w:val="20"/>
                <w:szCs w:val="20"/>
              </w:rPr>
            </w:pP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sz w:val="20"/>
                <w:szCs w:val="20"/>
              </w:rPr>
            </w:pPr>
            <w:r w:rsidRPr="00471808">
              <w:rPr>
                <w:sz w:val="20"/>
                <w:szCs w:val="20"/>
              </w:rPr>
              <w:t>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16</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Total State Taxable Income</w:t>
            </w:r>
          </w:p>
        </w:tc>
        <w:tc>
          <w:tcPr>
            <w:tcW w:w="1061" w:type="dxa"/>
            <w:tcBorders>
              <w:top w:val="nil"/>
              <w:left w:val="nil"/>
              <w:bottom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xml:space="preserve">$24,968 </w:t>
            </w:r>
          </w:p>
        </w:tc>
        <w:tc>
          <w:tcPr>
            <w:tcW w:w="1016" w:type="dxa"/>
            <w:tcBorders>
              <w:top w:val="nil"/>
              <w:left w:val="nil"/>
              <w:bottom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000000" w:fill="FFFFFF"/>
            <w:noWrap/>
            <w:vAlign w:val="bottom"/>
            <w:hideMark/>
          </w:tcPr>
          <w:p w:rsidR="00637DE5" w:rsidRPr="00471808" w:rsidRDefault="00637DE5" w:rsidP="00B30818">
            <w:pPr>
              <w:jc w:val="right"/>
              <w:rPr>
                <w:sz w:val="20"/>
                <w:szCs w:val="20"/>
              </w:rPr>
            </w:pPr>
            <w:r w:rsidRPr="00471808">
              <w:rPr>
                <w:sz w:val="20"/>
                <w:szCs w:val="20"/>
              </w:rPr>
              <w:t>$15,</w:t>
            </w:r>
            <w:r w:rsidR="00B30818">
              <w:rPr>
                <w:sz w:val="20"/>
                <w:szCs w:val="20"/>
              </w:rPr>
              <w:t>127</w:t>
            </w:r>
            <w:r w:rsidRPr="00471808">
              <w:rPr>
                <w:sz w:val="20"/>
                <w:szCs w:val="20"/>
              </w:rPr>
              <w:t xml:space="preserve">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17</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Multiply by State Income Tax (5.5%)</w:t>
            </w:r>
          </w:p>
        </w:tc>
        <w:tc>
          <w:tcPr>
            <w:tcW w:w="1061" w:type="dxa"/>
            <w:tcBorders>
              <w:top w:val="nil"/>
              <w:left w:val="nil"/>
              <w:bottom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xml:space="preserve">       1,373 </w:t>
            </w:r>
          </w:p>
        </w:tc>
        <w:tc>
          <w:tcPr>
            <w:tcW w:w="1016" w:type="dxa"/>
            <w:tcBorders>
              <w:top w:val="nil"/>
              <w:left w:val="nil"/>
              <w:bottom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xml:space="preserve">                             832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tcPr>
          <w:p w:rsidR="00637DE5" w:rsidRPr="00471808" w:rsidRDefault="00637DE5" w:rsidP="00C7036E">
            <w:pPr>
              <w:jc w:val="center"/>
              <w:rPr>
                <w:color w:val="000000"/>
                <w:sz w:val="20"/>
                <w:szCs w:val="20"/>
              </w:rPr>
            </w:pPr>
          </w:p>
        </w:tc>
        <w:tc>
          <w:tcPr>
            <w:tcW w:w="5151" w:type="dxa"/>
            <w:tcBorders>
              <w:top w:val="nil"/>
              <w:left w:val="nil"/>
              <w:bottom w:val="nil"/>
              <w:right w:val="nil"/>
            </w:tcBorders>
            <w:shd w:val="clear" w:color="auto" w:fill="auto"/>
            <w:noWrap/>
            <w:vAlign w:val="bottom"/>
          </w:tcPr>
          <w:p w:rsidR="00637DE5" w:rsidRPr="00471808" w:rsidRDefault="00637DE5" w:rsidP="00C7036E">
            <w:pPr>
              <w:rPr>
                <w:sz w:val="20"/>
                <w:szCs w:val="20"/>
              </w:rPr>
            </w:pPr>
          </w:p>
        </w:tc>
        <w:tc>
          <w:tcPr>
            <w:tcW w:w="1061" w:type="dxa"/>
            <w:tcBorders>
              <w:top w:val="nil"/>
              <w:left w:val="nil"/>
              <w:bottom w:val="nil"/>
              <w:right w:val="nil"/>
            </w:tcBorders>
            <w:shd w:val="clear" w:color="000000" w:fill="FFFFFF"/>
            <w:noWrap/>
            <w:vAlign w:val="bottom"/>
          </w:tcPr>
          <w:p w:rsidR="00637DE5" w:rsidRPr="00471808" w:rsidRDefault="00637DE5" w:rsidP="00C7036E">
            <w:pPr>
              <w:jc w:val="right"/>
              <w:rPr>
                <w:sz w:val="20"/>
                <w:szCs w:val="20"/>
              </w:rPr>
            </w:pPr>
          </w:p>
        </w:tc>
        <w:tc>
          <w:tcPr>
            <w:tcW w:w="1016" w:type="dxa"/>
            <w:tcBorders>
              <w:top w:val="nil"/>
              <w:left w:val="nil"/>
              <w:bottom w:val="nil"/>
              <w:right w:val="nil"/>
            </w:tcBorders>
            <w:shd w:val="clear" w:color="000000" w:fill="FFFFFF"/>
            <w:noWrap/>
            <w:vAlign w:val="bottom"/>
          </w:tcPr>
          <w:p w:rsidR="00637DE5" w:rsidRPr="00471808" w:rsidRDefault="00637DE5" w:rsidP="00C7036E">
            <w:pPr>
              <w:jc w:val="right"/>
              <w:rPr>
                <w:sz w:val="20"/>
                <w:szCs w:val="20"/>
              </w:rPr>
            </w:pPr>
          </w:p>
        </w:tc>
        <w:tc>
          <w:tcPr>
            <w:tcW w:w="2250" w:type="dxa"/>
            <w:tcBorders>
              <w:top w:val="nil"/>
              <w:left w:val="nil"/>
              <w:bottom w:val="nil"/>
              <w:right w:val="single" w:sz="4" w:space="0" w:color="auto"/>
            </w:tcBorders>
            <w:shd w:val="clear" w:color="000000" w:fill="FFFFFF"/>
            <w:noWrap/>
            <w:vAlign w:val="bottom"/>
          </w:tcPr>
          <w:p w:rsidR="00637DE5" w:rsidRPr="00471808" w:rsidRDefault="00637DE5" w:rsidP="00C7036E">
            <w:pPr>
              <w:jc w:val="right"/>
              <w:rPr>
                <w:sz w:val="20"/>
                <w:szCs w:val="20"/>
              </w:rPr>
            </w:pP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18</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Total Federal Taxable Income</w:t>
            </w:r>
          </w:p>
        </w:tc>
        <w:tc>
          <w:tcPr>
            <w:tcW w:w="1061" w:type="dxa"/>
            <w:tcBorders>
              <w:top w:val="nil"/>
              <w:left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xml:space="preserve">$23,595 </w:t>
            </w:r>
          </w:p>
        </w:tc>
        <w:tc>
          <w:tcPr>
            <w:tcW w:w="1016" w:type="dxa"/>
            <w:tcBorders>
              <w:top w:val="nil"/>
              <w:left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nil"/>
              <w:left w:val="nil"/>
              <w:right w:val="single" w:sz="4" w:space="0" w:color="auto"/>
            </w:tcBorders>
            <w:shd w:val="clear" w:color="000000" w:fill="FFFFFF"/>
            <w:noWrap/>
            <w:vAlign w:val="bottom"/>
            <w:hideMark/>
          </w:tcPr>
          <w:p w:rsidR="00637DE5" w:rsidRPr="00471808" w:rsidRDefault="00B30818" w:rsidP="00C7036E">
            <w:pPr>
              <w:jc w:val="right"/>
              <w:rPr>
                <w:sz w:val="20"/>
                <w:szCs w:val="20"/>
              </w:rPr>
            </w:pPr>
            <w:r>
              <w:rPr>
                <w:sz w:val="20"/>
                <w:szCs w:val="20"/>
              </w:rPr>
              <w:t>$14,295</w:t>
            </w:r>
            <w:r w:rsidR="00637DE5" w:rsidRPr="00471808">
              <w:rPr>
                <w:sz w:val="20"/>
                <w:szCs w:val="20"/>
              </w:rPr>
              <w:t xml:space="preserve">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19</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Multiply by Federal Income Tax (34%)</w:t>
            </w:r>
          </w:p>
        </w:tc>
        <w:tc>
          <w:tcPr>
            <w:tcW w:w="1061" w:type="dxa"/>
            <w:tcBorders>
              <w:top w:val="nil"/>
              <w:left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xml:space="preserve">       8,022 </w:t>
            </w:r>
          </w:p>
        </w:tc>
        <w:tc>
          <w:tcPr>
            <w:tcW w:w="1016" w:type="dxa"/>
            <w:tcBorders>
              <w:top w:val="nil"/>
              <w:left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nil"/>
              <w:left w:val="nil"/>
              <w:right w:val="single" w:sz="4" w:space="0" w:color="auto"/>
            </w:tcBorders>
            <w:shd w:val="clear" w:color="000000" w:fill="FFFFFF"/>
            <w:noWrap/>
            <w:vAlign w:val="bottom"/>
            <w:hideMark/>
          </w:tcPr>
          <w:p w:rsidR="00637DE5" w:rsidRPr="00471808" w:rsidRDefault="00637DE5" w:rsidP="00B30818">
            <w:pPr>
              <w:jc w:val="right"/>
              <w:rPr>
                <w:sz w:val="20"/>
                <w:szCs w:val="20"/>
              </w:rPr>
            </w:pPr>
            <w:r w:rsidRPr="00471808">
              <w:rPr>
                <w:sz w:val="20"/>
                <w:szCs w:val="20"/>
              </w:rPr>
              <w:t xml:space="preserve">                         4,</w:t>
            </w:r>
            <w:r w:rsidR="00B30818">
              <w:rPr>
                <w:sz w:val="20"/>
                <w:szCs w:val="20"/>
              </w:rPr>
              <w:t>860</w:t>
            </w:r>
            <w:r w:rsidRPr="00471808">
              <w:rPr>
                <w:sz w:val="20"/>
                <w:szCs w:val="20"/>
              </w:rPr>
              <w:t xml:space="preserve">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tcPr>
          <w:p w:rsidR="00637DE5" w:rsidRPr="00471808" w:rsidRDefault="00637DE5" w:rsidP="00C7036E">
            <w:pPr>
              <w:jc w:val="center"/>
              <w:rPr>
                <w:color w:val="000000"/>
                <w:sz w:val="20"/>
                <w:szCs w:val="20"/>
              </w:rPr>
            </w:pPr>
          </w:p>
        </w:tc>
        <w:tc>
          <w:tcPr>
            <w:tcW w:w="5151" w:type="dxa"/>
            <w:tcBorders>
              <w:top w:val="nil"/>
              <w:left w:val="nil"/>
              <w:bottom w:val="nil"/>
              <w:right w:val="nil"/>
            </w:tcBorders>
            <w:shd w:val="clear" w:color="auto" w:fill="auto"/>
            <w:noWrap/>
            <w:vAlign w:val="bottom"/>
          </w:tcPr>
          <w:p w:rsidR="00637DE5" w:rsidRPr="00471808" w:rsidRDefault="00637DE5" w:rsidP="00C7036E">
            <w:pPr>
              <w:rPr>
                <w:sz w:val="20"/>
                <w:szCs w:val="20"/>
              </w:rPr>
            </w:pPr>
          </w:p>
        </w:tc>
        <w:tc>
          <w:tcPr>
            <w:tcW w:w="1061" w:type="dxa"/>
            <w:tcBorders>
              <w:left w:val="nil"/>
              <w:bottom w:val="nil"/>
              <w:right w:val="nil"/>
            </w:tcBorders>
            <w:shd w:val="clear" w:color="000000" w:fill="FFFFFF"/>
            <w:noWrap/>
            <w:vAlign w:val="bottom"/>
          </w:tcPr>
          <w:p w:rsidR="00637DE5" w:rsidRPr="00471808" w:rsidRDefault="00637DE5" w:rsidP="00C7036E">
            <w:pPr>
              <w:jc w:val="right"/>
              <w:rPr>
                <w:sz w:val="20"/>
                <w:szCs w:val="20"/>
              </w:rPr>
            </w:pPr>
          </w:p>
        </w:tc>
        <w:tc>
          <w:tcPr>
            <w:tcW w:w="1016" w:type="dxa"/>
            <w:tcBorders>
              <w:left w:val="nil"/>
              <w:bottom w:val="nil"/>
              <w:right w:val="nil"/>
            </w:tcBorders>
            <w:shd w:val="clear" w:color="000000" w:fill="FFFFFF"/>
            <w:noWrap/>
            <w:vAlign w:val="bottom"/>
          </w:tcPr>
          <w:p w:rsidR="00637DE5" w:rsidRPr="00471808" w:rsidRDefault="00637DE5" w:rsidP="00C7036E">
            <w:pPr>
              <w:jc w:val="right"/>
              <w:rPr>
                <w:sz w:val="20"/>
                <w:szCs w:val="20"/>
              </w:rPr>
            </w:pPr>
          </w:p>
        </w:tc>
        <w:tc>
          <w:tcPr>
            <w:tcW w:w="2250" w:type="dxa"/>
            <w:tcBorders>
              <w:left w:val="nil"/>
              <w:bottom w:val="nil"/>
              <w:right w:val="single" w:sz="4" w:space="0" w:color="auto"/>
            </w:tcBorders>
            <w:shd w:val="clear" w:color="000000" w:fill="FFFFFF"/>
            <w:noWrap/>
            <w:vAlign w:val="bottom"/>
          </w:tcPr>
          <w:p w:rsidR="00637DE5" w:rsidRPr="00471808" w:rsidRDefault="00637DE5" w:rsidP="00C7036E">
            <w:pPr>
              <w:jc w:val="right"/>
              <w:rPr>
                <w:sz w:val="20"/>
                <w:szCs w:val="20"/>
              </w:rPr>
            </w:pP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20</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Total Revenue Increase Before RAF (L9 + L15 + L17 + L19)</w:t>
            </w:r>
          </w:p>
        </w:tc>
        <w:tc>
          <w:tcPr>
            <w:tcW w:w="1061" w:type="dxa"/>
            <w:tcBorders>
              <w:top w:val="single" w:sz="4" w:space="0" w:color="auto"/>
              <w:left w:val="nil"/>
              <w:bottom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xml:space="preserve">$50,454 </w:t>
            </w:r>
          </w:p>
        </w:tc>
        <w:tc>
          <w:tcPr>
            <w:tcW w:w="1016" w:type="dxa"/>
            <w:tcBorders>
              <w:top w:val="nil"/>
              <w:left w:val="nil"/>
              <w:bottom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single" w:sz="4" w:space="0" w:color="auto"/>
              <w:left w:val="nil"/>
              <w:bottom w:val="nil"/>
              <w:right w:val="single" w:sz="4" w:space="0" w:color="auto"/>
            </w:tcBorders>
            <w:shd w:val="clear" w:color="000000" w:fill="FFFFFF"/>
            <w:noWrap/>
            <w:vAlign w:val="bottom"/>
            <w:hideMark/>
          </w:tcPr>
          <w:p w:rsidR="00637DE5" w:rsidRPr="00471808" w:rsidRDefault="00637DE5" w:rsidP="00B30818">
            <w:pPr>
              <w:jc w:val="right"/>
              <w:rPr>
                <w:sz w:val="20"/>
                <w:szCs w:val="20"/>
              </w:rPr>
            </w:pPr>
            <w:r w:rsidRPr="00471808">
              <w:rPr>
                <w:sz w:val="20"/>
                <w:szCs w:val="20"/>
              </w:rPr>
              <w:t>$</w:t>
            </w:r>
            <w:r w:rsidR="00B30818">
              <w:rPr>
                <w:sz w:val="20"/>
                <w:szCs w:val="20"/>
              </w:rPr>
              <w:t>44,332</w:t>
            </w:r>
            <w:r w:rsidRPr="00471808">
              <w:rPr>
                <w:sz w:val="20"/>
                <w:szCs w:val="20"/>
              </w:rPr>
              <w:t xml:space="preserve">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tcPr>
          <w:p w:rsidR="00637DE5" w:rsidRPr="00471808" w:rsidRDefault="00637DE5" w:rsidP="00C7036E">
            <w:pPr>
              <w:jc w:val="center"/>
              <w:rPr>
                <w:color w:val="000000"/>
                <w:sz w:val="20"/>
                <w:szCs w:val="20"/>
              </w:rPr>
            </w:pPr>
          </w:p>
        </w:tc>
        <w:tc>
          <w:tcPr>
            <w:tcW w:w="5151" w:type="dxa"/>
            <w:tcBorders>
              <w:top w:val="nil"/>
              <w:left w:val="nil"/>
              <w:bottom w:val="nil"/>
              <w:right w:val="nil"/>
            </w:tcBorders>
            <w:shd w:val="clear" w:color="auto" w:fill="auto"/>
            <w:noWrap/>
            <w:vAlign w:val="bottom"/>
          </w:tcPr>
          <w:p w:rsidR="00637DE5" w:rsidRPr="00471808" w:rsidRDefault="00637DE5" w:rsidP="00C7036E">
            <w:pPr>
              <w:rPr>
                <w:sz w:val="20"/>
                <w:szCs w:val="20"/>
              </w:rPr>
            </w:pPr>
          </w:p>
        </w:tc>
        <w:tc>
          <w:tcPr>
            <w:tcW w:w="1061" w:type="dxa"/>
            <w:tcBorders>
              <w:top w:val="nil"/>
              <w:left w:val="nil"/>
              <w:bottom w:val="nil"/>
              <w:right w:val="nil"/>
            </w:tcBorders>
            <w:shd w:val="clear" w:color="000000" w:fill="FFFFFF"/>
            <w:noWrap/>
            <w:vAlign w:val="bottom"/>
          </w:tcPr>
          <w:p w:rsidR="00637DE5" w:rsidRPr="00471808" w:rsidRDefault="00637DE5" w:rsidP="00C7036E">
            <w:pPr>
              <w:jc w:val="right"/>
              <w:rPr>
                <w:sz w:val="20"/>
                <w:szCs w:val="20"/>
              </w:rPr>
            </w:pPr>
          </w:p>
        </w:tc>
        <w:tc>
          <w:tcPr>
            <w:tcW w:w="1016" w:type="dxa"/>
            <w:tcBorders>
              <w:top w:val="nil"/>
              <w:left w:val="nil"/>
              <w:bottom w:val="nil"/>
              <w:right w:val="nil"/>
            </w:tcBorders>
            <w:shd w:val="clear" w:color="000000" w:fill="FFFFFF"/>
            <w:noWrap/>
            <w:vAlign w:val="bottom"/>
          </w:tcPr>
          <w:p w:rsidR="00637DE5" w:rsidRPr="00471808" w:rsidRDefault="00637DE5" w:rsidP="00C7036E">
            <w:pPr>
              <w:jc w:val="right"/>
              <w:rPr>
                <w:sz w:val="20"/>
                <w:szCs w:val="20"/>
              </w:rPr>
            </w:pPr>
          </w:p>
        </w:tc>
        <w:tc>
          <w:tcPr>
            <w:tcW w:w="2250" w:type="dxa"/>
            <w:tcBorders>
              <w:top w:val="nil"/>
              <w:left w:val="nil"/>
              <w:bottom w:val="nil"/>
              <w:right w:val="single" w:sz="4" w:space="0" w:color="auto"/>
            </w:tcBorders>
            <w:shd w:val="clear" w:color="000000" w:fill="FFFFFF"/>
            <w:noWrap/>
            <w:vAlign w:val="bottom"/>
          </w:tcPr>
          <w:p w:rsidR="00637DE5" w:rsidRPr="00471808" w:rsidRDefault="00637DE5" w:rsidP="00C7036E">
            <w:pPr>
              <w:jc w:val="right"/>
              <w:rPr>
                <w:sz w:val="20"/>
                <w:szCs w:val="20"/>
              </w:rPr>
            </w:pP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21</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Multiply by RAF (4.5%)</w:t>
            </w:r>
          </w:p>
        </w:tc>
        <w:tc>
          <w:tcPr>
            <w:tcW w:w="1061" w:type="dxa"/>
            <w:tcBorders>
              <w:top w:val="nil"/>
              <w:left w:val="nil"/>
              <w:bottom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xml:space="preserve">      2,270 </w:t>
            </w:r>
          </w:p>
        </w:tc>
        <w:tc>
          <w:tcPr>
            <w:tcW w:w="1016" w:type="dxa"/>
            <w:tcBorders>
              <w:top w:val="nil"/>
              <w:left w:val="nil"/>
              <w:bottom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000000" w:fill="FFFFFF"/>
            <w:noWrap/>
            <w:vAlign w:val="bottom"/>
            <w:hideMark/>
          </w:tcPr>
          <w:p w:rsidR="00637DE5" w:rsidRPr="00471808" w:rsidRDefault="00B30818" w:rsidP="00C7036E">
            <w:pPr>
              <w:jc w:val="right"/>
              <w:rPr>
                <w:sz w:val="20"/>
                <w:szCs w:val="20"/>
              </w:rPr>
            </w:pPr>
            <w:r>
              <w:rPr>
                <w:sz w:val="20"/>
                <w:szCs w:val="20"/>
              </w:rPr>
              <w:t xml:space="preserve">                         1,995</w:t>
            </w:r>
            <w:r w:rsidR="00637DE5" w:rsidRPr="00471808">
              <w:rPr>
                <w:sz w:val="20"/>
                <w:szCs w:val="20"/>
              </w:rPr>
              <w:t xml:space="preserve">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p>
        </w:tc>
        <w:tc>
          <w:tcPr>
            <w:tcW w:w="1061" w:type="dxa"/>
            <w:tcBorders>
              <w:top w:val="nil"/>
              <w:left w:val="nil"/>
              <w:bottom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w:t>
            </w:r>
          </w:p>
        </w:tc>
        <w:tc>
          <w:tcPr>
            <w:tcW w:w="1016" w:type="dxa"/>
            <w:tcBorders>
              <w:top w:val="nil"/>
              <w:left w:val="nil"/>
              <w:bottom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22</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Total Water Revenue Increase</w:t>
            </w:r>
          </w:p>
        </w:tc>
        <w:tc>
          <w:tcPr>
            <w:tcW w:w="1061" w:type="dxa"/>
            <w:tcBorders>
              <w:top w:val="single" w:sz="4" w:space="0" w:color="auto"/>
              <w:left w:val="nil"/>
              <w:bottom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xml:space="preserve">$52,725 </w:t>
            </w:r>
          </w:p>
        </w:tc>
        <w:tc>
          <w:tcPr>
            <w:tcW w:w="1016" w:type="dxa"/>
            <w:tcBorders>
              <w:top w:val="nil"/>
              <w:left w:val="nil"/>
              <w:bottom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single" w:sz="4" w:space="0" w:color="auto"/>
              <w:left w:val="nil"/>
              <w:bottom w:val="nil"/>
              <w:right w:val="single" w:sz="4" w:space="0" w:color="auto"/>
            </w:tcBorders>
            <w:shd w:val="clear" w:color="000000" w:fill="FFFFFF"/>
            <w:noWrap/>
            <w:vAlign w:val="bottom"/>
            <w:hideMark/>
          </w:tcPr>
          <w:p w:rsidR="00637DE5" w:rsidRPr="00471808" w:rsidRDefault="00637DE5" w:rsidP="00B30818">
            <w:pPr>
              <w:jc w:val="right"/>
              <w:rPr>
                <w:sz w:val="20"/>
                <w:szCs w:val="20"/>
              </w:rPr>
            </w:pPr>
            <w:r w:rsidRPr="00471808">
              <w:rPr>
                <w:sz w:val="20"/>
                <w:szCs w:val="20"/>
              </w:rPr>
              <w:t>$4</w:t>
            </w:r>
            <w:r w:rsidR="00B30818">
              <w:rPr>
                <w:sz w:val="20"/>
                <w:szCs w:val="20"/>
              </w:rPr>
              <w:t>6,327</w:t>
            </w:r>
            <w:r w:rsidRPr="00471808">
              <w:rPr>
                <w:sz w:val="20"/>
                <w:szCs w:val="20"/>
              </w:rPr>
              <w:t xml:space="preserve">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sz w:val="20"/>
                <w:szCs w:val="20"/>
              </w:rPr>
            </w:pPr>
            <w:r w:rsidRPr="00471808">
              <w:rPr>
                <w:sz w:val="20"/>
                <w:szCs w:val="20"/>
              </w:rPr>
              <w:t>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23</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Annualized Revenues</w:t>
            </w:r>
          </w:p>
        </w:tc>
        <w:tc>
          <w:tcPr>
            <w:tcW w:w="1061" w:type="dxa"/>
            <w:tcBorders>
              <w:top w:val="nil"/>
              <w:left w:val="nil"/>
              <w:bottom w:val="single" w:sz="4" w:space="0" w:color="auto"/>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$155,831 </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bottom w:val="single" w:sz="4" w:space="0" w:color="auto"/>
              <w:right w:val="single" w:sz="4" w:space="0" w:color="auto"/>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 xml:space="preserve">$158,277 </w:t>
            </w:r>
          </w:p>
        </w:tc>
      </w:tr>
      <w:tr w:rsidR="00637DE5" w:rsidRPr="00471808" w:rsidTr="00637DE5">
        <w:trPr>
          <w:trHeight w:val="300"/>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 </w:t>
            </w:r>
          </w:p>
        </w:tc>
      </w:tr>
      <w:tr w:rsidR="00637DE5" w:rsidRPr="00471808" w:rsidTr="00637DE5">
        <w:trPr>
          <w:trHeight w:val="315"/>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24</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Percentage Increase in Rates</w:t>
            </w:r>
          </w:p>
        </w:tc>
        <w:tc>
          <w:tcPr>
            <w:tcW w:w="1061" w:type="dxa"/>
            <w:tcBorders>
              <w:top w:val="nil"/>
              <w:left w:val="nil"/>
              <w:bottom w:val="double" w:sz="6" w:space="0" w:color="auto"/>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33.83%</w:t>
            </w:r>
          </w:p>
        </w:tc>
        <w:tc>
          <w:tcPr>
            <w:tcW w:w="1016" w:type="dxa"/>
            <w:tcBorders>
              <w:top w:val="nil"/>
              <w:left w:val="nil"/>
              <w:bottom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nil"/>
              <w:left w:val="nil"/>
              <w:bottom w:val="double" w:sz="6" w:space="0" w:color="auto"/>
              <w:right w:val="single" w:sz="4" w:space="0" w:color="auto"/>
            </w:tcBorders>
            <w:shd w:val="clear" w:color="000000" w:fill="FFFFFF"/>
            <w:noWrap/>
            <w:vAlign w:val="bottom"/>
            <w:hideMark/>
          </w:tcPr>
          <w:p w:rsidR="00637DE5" w:rsidRPr="00471808" w:rsidRDefault="00637DE5" w:rsidP="00B30818">
            <w:pPr>
              <w:jc w:val="right"/>
              <w:rPr>
                <w:sz w:val="20"/>
                <w:szCs w:val="20"/>
              </w:rPr>
            </w:pPr>
            <w:r w:rsidRPr="00471808">
              <w:rPr>
                <w:sz w:val="20"/>
                <w:szCs w:val="20"/>
              </w:rPr>
              <w:t>2</w:t>
            </w:r>
            <w:r w:rsidR="00B30818">
              <w:rPr>
                <w:sz w:val="20"/>
                <w:szCs w:val="20"/>
              </w:rPr>
              <w:t>9.27</w:t>
            </w:r>
            <w:r w:rsidRPr="00471808">
              <w:rPr>
                <w:sz w:val="20"/>
                <w:szCs w:val="20"/>
              </w:rPr>
              <w:t>%</w:t>
            </w:r>
          </w:p>
        </w:tc>
      </w:tr>
      <w:tr w:rsidR="00637DE5" w:rsidRPr="00471808" w:rsidTr="00637DE5">
        <w:trPr>
          <w:trHeight w:val="315"/>
          <w:jc w:val="center"/>
        </w:trPr>
        <w:tc>
          <w:tcPr>
            <w:tcW w:w="836" w:type="dxa"/>
            <w:tcBorders>
              <w:top w:val="nil"/>
              <w:left w:val="single" w:sz="4" w:space="0" w:color="auto"/>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 </w:t>
            </w:r>
          </w:p>
        </w:tc>
        <w:tc>
          <w:tcPr>
            <w:tcW w:w="5151" w:type="dxa"/>
            <w:tcBorders>
              <w:top w:val="nil"/>
              <w:left w:val="nil"/>
              <w:right w:val="nil"/>
            </w:tcBorders>
            <w:shd w:val="clear" w:color="auto" w:fill="auto"/>
            <w:noWrap/>
            <w:vAlign w:val="bottom"/>
            <w:hideMark/>
          </w:tcPr>
          <w:p w:rsidR="00637DE5" w:rsidRPr="00471808" w:rsidRDefault="00637DE5" w:rsidP="00C7036E">
            <w:pPr>
              <w:rPr>
                <w:sz w:val="20"/>
                <w:szCs w:val="20"/>
              </w:rPr>
            </w:pPr>
          </w:p>
        </w:tc>
        <w:tc>
          <w:tcPr>
            <w:tcW w:w="1061" w:type="dxa"/>
            <w:tcBorders>
              <w:top w:val="nil"/>
              <w:left w:val="nil"/>
              <w:right w:val="nil"/>
            </w:tcBorders>
            <w:shd w:val="clear" w:color="auto" w:fill="auto"/>
            <w:noWrap/>
            <w:vAlign w:val="bottom"/>
            <w:hideMark/>
          </w:tcPr>
          <w:p w:rsidR="00637DE5" w:rsidRPr="00471808" w:rsidRDefault="00637DE5" w:rsidP="00C7036E">
            <w:pPr>
              <w:jc w:val="right"/>
              <w:rPr>
                <w:sz w:val="20"/>
                <w:szCs w:val="20"/>
              </w:rPr>
            </w:pPr>
          </w:p>
        </w:tc>
        <w:tc>
          <w:tcPr>
            <w:tcW w:w="1016" w:type="dxa"/>
            <w:tcBorders>
              <w:top w:val="nil"/>
              <w:left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right w:val="single" w:sz="4" w:space="0" w:color="auto"/>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 </w:t>
            </w:r>
          </w:p>
        </w:tc>
      </w:tr>
      <w:tr w:rsidR="00637DE5" w:rsidRPr="00471808" w:rsidTr="00637DE5">
        <w:trPr>
          <w:trHeight w:val="315"/>
          <w:jc w:val="center"/>
        </w:trPr>
        <w:tc>
          <w:tcPr>
            <w:tcW w:w="836" w:type="dxa"/>
            <w:tcBorders>
              <w:top w:val="nil"/>
              <w:left w:val="single" w:sz="4" w:space="0" w:color="auto"/>
              <w:bottom w:val="single" w:sz="4" w:space="0" w:color="auto"/>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25</w:t>
            </w:r>
          </w:p>
        </w:tc>
        <w:tc>
          <w:tcPr>
            <w:tcW w:w="5151" w:type="dxa"/>
            <w:tcBorders>
              <w:top w:val="nil"/>
              <w:left w:val="nil"/>
              <w:bottom w:val="single" w:sz="4" w:space="0" w:color="auto"/>
              <w:right w:val="nil"/>
            </w:tcBorders>
            <w:shd w:val="clear" w:color="auto" w:fill="auto"/>
            <w:noWrap/>
            <w:vAlign w:val="bottom"/>
            <w:hideMark/>
          </w:tcPr>
          <w:p w:rsidR="00637DE5" w:rsidRPr="00471808" w:rsidRDefault="00637DE5" w:rsidP="00C7036E">
            <w:pPr>
              <w:rPr>
                <w:sz w:val="20"/>
                <w:szCs w:val="20"/>
              </w:rPr>
            </w:pPr>
            <w:r w:rsidRPr="00471808">
              <w:rPr>
                <w:sz w:val="20"/>
                <w:szCs w:val="20"/>
              </w:rPr>
              <w:t>4-Year Rate Reduction (Rate Case Expense)</w:t>
            </w:r>
          </w:p>
        </w:tc>
        <w:tc>
          <w:tcPr>
            <w:tcW w:w="1061" w:type="dxa"/>
            <w:tcBorders>
              <w:top w:val="nil"/>
              <w:left w:val="nil"/>
              <w:bottom w:val="single" w:sz="4" w:space="0" w:color="auto"/>
              <w:right w:val="nil"/>
            </w:tcBorders>
            <w:shd w:val="clear" w:color="auto" w:fill="auto"/>
            <w:noWrap/>
            <w:vAlign w:val="bottom"/>
            <w:hideMark/>
          </w:tcPr>
          <w:p w:rsidR="00637DE5" w:rsidRPr="00471808" w:rsidRDefault="00637DE5" w:rsidP="00C7036E">
            <w:pPr>
              <w:jc w:val="right"/>
              <w:rPr>
                <w:sz w:val="20"/>
                <w:szCs w:val="20"/>
              </w:rPr>
            </w:pPr>
          </w:p>
        </w:tc>
        <w:tc>
          <w:tcPr>
            <w:tcW w:w="1016" w:type="dxa"/>
            <w:tcBorders>
              <w:top w:val="nil"/>
              <w:left w:val="nil"/>
              <w:bottom w:val="single" w:sz="4" w:space="0" w:color="auto"/>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bottom w:val="double" w:sz="4" w:space="0" w:color="auto"/>
              <w:right w:val="single" w:sz="4" w:space="0" w:color="auto"/>
            </w:tcBorders>
            <w:shd w:val="clear" w:color="000000" w:fill="FFFFFF"/>
            <w:noWrap/>
            <w:vAlign w:val="bottom"/>
            <w:hideMark/>
          </w:tcPr>
          <w:p w:rsidR="00637DE5" w:rsidRPr="00471808" w:rsidRDefault="00637DE5" w:rsidP="00B30818">
            <w:pPr>
              <w:jc w:val="right"/>
              <w:rPr>
                <w:sz w:val="20"/>
                <w:szCs w:val="20"/>
              </w:rPr>
            </w:pPr>
            <w:r w:rsidRPr="00471808">
              <w:rPr>
                <w:sz w:val="20"/>
                <w:szCs w:val="20"/>
              </w:rPr>
              <w:t>$</w:t>
            </w:r>
            <w:r w:rsidR="00B30818">
              <w:rPr>
                <w:sz w:val="20"/>
                <w:szCs w:val="20"/>
              </w:rPr>
              <w:t>2,416</w:t>
            </w:r>
            <w:r w:rsidRPr="00471808">
              <w:rPr>
                <w:sz w:val="20"/>
                <w:szCs w:val="20"/>
              </w:rPr>
              <w:t xml:space="preserve"> </w:t>
            </w:r>
          </w:p>
        </w:tc>
      </w:tr>
      <w:tr w:rsidR="00637DE5" w:rsidRPr="00471808" w:rsidTr="00637DE5">
        <w:trPr>
          <w:trHeight w:val="289"/>
          <w:jc w:val="center"/>
        </w:trPr>
        <w:tc>
          <w:tcPr>
            <w:tcW w:w="7048" w:type="dxa"/>
            <w:gridSpan w:val="3"/>
            <w:tcBorders>
              <w:top w:val="single" w:sz="4" w:space="0" w:color="auto"/>
              <w:left w:val="single" w:sz="4" w:space="0" w:color="auto"/>
              <w:bottom w:val="nil"/>
              <w:right w:val="nil"/>
            </w:tcBorders>
            <w:shd w:val="clear" w:color="auto" w:fill="auto"/>
            <w:noWrap/>
            <w:vAlign w:val="bottom"/>
            <w:hideMark/>
          </w:tcPr>
          <w:p w:rsidR="00637DE5" w:rsidRPr="00471808" w:rsidRDefault="00637DE5" w:rsidP="00C7036E">
            <w:pPr>
              <w:rPr>
                <w:b/>
                <w:bCs/>
                <w:color w:val="000000"/>
                <w:sz w:val="20"/>
                <w:szCs w:val="20"/>
              </w:rPr>
            </w:pPr>
            <w:r w:rsidRPr="00471808">
              <w:rPr>
                <w:b/>
                <w:bCs/>
                <w:color w:val="000000"/>
                <w:sz w:val="20"/>
                <w:szCs w:val="20"/>
              </w:rPr>
              <w:lastRenderedPageBreak/>
              <w:t>UTILITIES, INC. OF FLORIDA - SEMINOLE COUNTY (EXCLUDING SANLANDO) </w:t>
            </w:r>
          </w:p>
        </w:tc>
        <w:tc>
          <w:tcPr>
            <w:tcW w:w="3266" w:type="dxa"/>
            <w:gridSpan w:val="2"/>
            <w:tcBorders>
              <w:top w:val="single" w:sz="4" w:space="0" w:color="auto"/>
              <w:left w:val="nil"/>
              <w:bottom w:val="nil"/>
              <w:right w:val="single" w:sz="4" w:space="0" w:color="auto"/>
            </w:tcBorders>
            <w:shd w:val="clear" w:color="auto" w:fill="auto"/>
            <w:noWrap/>
            <w:vAlign w:val="bottom"/>
            <w:hideMark/>
          </w:tcPr>
          <w:p w:rsidR="00637DE5" w:rsidRPr="00471808" w:rsidRDefault="00637DE5" w:rsidP="00C7036E">
            <w:pPr>
              <w:jc w:val="right"/>
              <w:rPr>
                <w:b/>
                <w:bCs/>
                <w:color w:val="000000"/>
                <w:sz w:val="20"/>
                <w:szCs w:val="20"/>
              </w:rPr>
            </w:pPr>
            <w:r w:rsidRPr="00471808">
              <w:rPr>
                <w:b/>
                <w:bCs/>
                <w:color w:val="000000"/>
                <w:sz w:val="20"/>
                <w:szCs w:val="20"/>
              </w:rPr>
              <w:t>SCHEDULE NO. 2 </w:t>
            </w:r>
          </w:p>
        </w:tc>
      </w:tr>
      <w:tr w:rsidR="00637DE5" w:rsidRPr="00471808" w:rsidTr="00637DE5">
        <w:trPr>
          <w:trHeight w:val="289"/>
          <w:jc w:val="center"/>
        </w:trPr>
        <w:tc>
          <w:tcPr>
            <w:tcW w:w="5987" w:type="dxa"/>
            <w:gridSpan w:val="2"/>
            <w:tcBorders>
              <w:top w:val="nil"/>
              <w:left w:val="single" w:sz="4" w:space="0" w:color="auto"/>
              <w:bottom w:val="single" w:sz="4" w:space="0" w:color="auto"/>
              <w:right w:val="nil"/>
            </w:tcBorders>
            <w:shd w:val="clear" w:color="auto" w:fill="auto"/>
            <w:noWrap/>
            <w:vAlign w:val="bottom"/>
            <w:hideMark/>
          </w:tcPr>
          <w:p w:rsidR="00637DE5" w:rsidRPr="00471808" w:rsidRDefault="00637DE5" w:rsidP="00C7036E">
            <w:pPr>
              <w:rPr>
                <w:b/>
                <w:bCs/>
                <w:color w:val="000000"/>
                <w:sz w:val="20"/>
                <w:szCs w:val="20"/>
              </w:rPr>
            </w:pPr>
            <w:r w:rsidRPr="00471808">
              <w:rPr>
                <w:b/>
                <w:bCs/>
                <w:color w:val="000000"/>
                <w:sz w:val="20"/>
                <w:szCs w:val="20"/>
              </w:rPr>
              <w:t>WATER REVENUE REQUIREMENTS INCREASE</w:t>
            </w:r>
          </w:p>
        </w:tc>
        <w:tc>
          <w:tcPr>
            <w:tcW w:w="1061" w:type="dxa"/>
            <w:tcBorders>
              <w:top w:val="nil"/>
              <w:left w:val="nil"/>
              <w:bottom w:val="single" w:sz="4" w:space="0" w:color="auto"/>
              <w:right w:val="nil"/>
            </w:tcBorders>
            <w:shd w:val="clear" w:color="auto" w:fill="auto"/>
            <w:noWrap/>
            <w:vAlign w:val="bottom"/>
            <w:hideMark/>
          </w:tcPr>
          <w:p w:rsidR="00637DE5" w:rsidRPr="00471808" w:rsidRDefault="00637DE5" w:rsidP="00C7036E">
            <w:pPr>
              <w:jc w:val="center"/>
              <w:rPr>
                <w:b/>
                <w:bCs/>
                <w:color w:val="000000"/>
                <w:sz w:val="20"/>
                <w:szCs w:val="20"/>
              </w:rPr>
            </w:pPr>
            <w:r w:rsidRPr="00471808">
              <w:rPr>
                <w:b/>
                <w:bCs/>
                <w:color w:val="000000"/>
                <w:sz w:val="20"/>
                <w:szCs w:val="20"/>
              </w:rPr>
              <w:t> </w:t>
            </w:r>
          </w:p>
        </w:tc>
        <w:tc>
          <w:tcPr>
            <w:tcW w:w="3266" w:type="dxa"/>
            <w:gridSpan w:val="2"/>
            <w:tcBorders>
              <w:top w:val="nil"/>
              <w:left w:val="nil"/>
              <w:bottom w:val="single" w:sz="4" w:space="0" w:color="auto"/>
              <w:right w:val="single" w:sz="4" w:space="0" w:color="auto"/>
            </w:tcBorders>
            <w:shd w:val="clear" w:color="auto" w:fill="auto"/>
            <w:noWrap/>
            <w:vAlign w:val="bottom"/>
            <w:hideMark/>
          </w:tcPr>
          <w:p w:rsidR="00637DE5" w:rsidRPr="00471808" w:rsidRDefault="00637DE5" w:rsidP="00C7036E">
            <w:pPr>
              <w:jc w:val="right"/>
              <w:rPr>
                <w:b/>
                <w:bCs/>
                <w:color w:val="000000"/>
                <w:sz w:val="20"/>
                <w:szCs w:val="20"/>
              </w:rPr>
            </w:pPr>
            <w:r w:rsidRPr="00471808">
              <w:rPr>
                <w:b/>
                <w:bCs/>
                <w:color w:val="000000"/>
                <w:sz w:val="20"/>
                <w:szCs w:val="20"/>
              </w:rPr>
              <w:t> DOCKET NO. 150269-WS</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 </w:t>
            </w: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center"/>
              <w:rPr>
                <w:b/>
                <w:bCs/>
                <w:sz w:val="20"/>
                <w:szCs w:val="20"/>
              </w:rPr>
            </w:pPr>
            <w:r w:rsidRPr="00471808">
              <w:rPr>
                <w:b/>
                <w:bCs/>
                <w:sz w:val="20"/>
                <w:szCs w:val="20"/>
              </w:rPr>
              <w:t>UTILITY</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 </w:t>
            </w:r>
          </w:p>
        </w:tc>
        <w:tc>
          <w:tcPr>
            <w:tcW w:w="2250" w:type="dxa"/>
            <w:tcBorders>
              <w:top w:val="nil"/>
              <w:left w:val="nil"/>
              <w:bottom w:val="nil"/>
              <w:right w:val="single" w:sz="4" w:space="0" w:color="auto"/>
            </w:tcBorders>
            <w:shd w:val="clear" w:color="auto" w:fill="auto"/>
            <w:noWrap/>
            <w:vAlign w:val="bottom"/>
            <w:hideMark/>
          </w:tcPr>
          <w:p w:rsidR="00637DE5" w:rsidRPr="00471808" w:rsidRDefault="00FB08AA" w:rsidP="00C7036E">
            <w:pPr>
              <w:jc w:val="center"/>
              <w:rPr>
                <w:b/>
                <w:bCs/>
                <w:color w:val="000000"/>
                <w:sz w:val="20"/>
                <w:szCs w:val="20"/>
              </w:rPr>
            </w:pPr>
            <w:r>
              <w:rPr>
                <w:b/>
                <w:bCs/>
                <w:color w:val="000000"/>
                <w:sz w:val="20"/>
                <w:szCs w:val="20"/>
              </w:rPr>
              <w:t>COMMISSION</w:t>
            </w:r>
          </w:p>
        </w:tc>
      </w:tr>
      <w:tr w:rsidR="00637DE5" w:rsidRPr="00471808" w:rsidTr="00637DE5">
        <w:trPr>
          <w:trHeight w:val="289"/>
          <w:jc w:val="center"/>
        </w:trPr>
        <w:tc>
          <w:tcPr>
            <w:tcW w:w="836" w:type="dxa"/>
            <w:tcBorders>
              <w:top w:val="nil"/>
              <w:left w:val="single" w:sz="4" w:space="0" w:color="auto"/>
              <w:bottom w:val="single" w:sz="4" w:space="0" w:color="auto"/>
              <w:right w:val="nil"/>
            </w:tcBorders>
            <w:shd w:val="clear" w:color="auto" w:fill="auto"/>
            <w:noWrap/>
            <w:vAlign w:val="bottom"/>
            <w:hideMark/>
          </w:tcPr>
          <w:p w:rsidR="00637DE5" w:rsidRPr="00471808" w:rsidRDefault="00637DE5" w:rsidP="00C7036E">
            <w:pPr>
              <w:rPr>
                <w:b/>
                <w:bCs/>
                <w:color w:val="000000"/>
                <w:sz w:val="20"/>
                <w:szCs w:val="20"/>
              </w:rPr>
            </w:pPr>
            <w:r w:rsidRPr="00471808">
              <w:rPr>
                <w:b/>
                <w:bCs/>
                <w:color w:val="000000"/>
                <w:sz w:val="20"/>
                <w:szCs w:val="20"/>
              </w:rPr>
              <w:t> </w:t>
            </w:r>
          </w:p>
        </w:tc>
        <w:tc>
          <w:tcPr>
            <w:tcW w:w="5151" w:type="dxa"/>
            <w:tcBorders>
              <w:top w:val="nil"/>
              <w:left w:val="nil"/>
              <w:bottom w:val="single" w:sz="4" w:space="0" w:color="auto"/>
              <w:right w:val="nil"/>
            </w:tcBorders>
            <w:shd w:val="clear" w:color="auto" w:fill="auto"/>
            <w:noWrap/>
            <w:vAlign w:val="bottom"/>
            <w:hideMark/>
          </w:tcPr>
          <w:p w:rsidR="00637DE5" w:rsidRPr="00471808" w:rsidRDefault="00637DE5" w:rsidP="00C7036E">
            <w:pPr>
              <w:rPr>
                <w:sz w:val="20"/>
                <w:szCs w:val="20"/>
              </w:rPr>
            </w:pPr>
            <w:r w:rsidRPr="00471808">
              <w:rPr>
                <w:sz w:val="20"/>
                <w:szCs w:val="20"/>
              </w:rPr>
              <w:t> </w:t>
            </w:r>
          </w:p>
        </w:tc>
        <w:tc>
          <w:tcPr>
            <w:tcW w:w="1061" w:type="dxa"/>
            <w:tcBorders>
              <w:top w:val="nil"/>
              <w:left w:val="nil"/>
              <w:bottom w:val="single" w:sz="4" w:space="0" w:color="auto"/>
              <w:right w:val="nil"/>
            </w:tcBorders>
            <w:shd w:val="clear" w:color="auto" w:fill="auto"/>
            <w:noWrap/>
            <w:vAlign w:val="bottom"/>
            <w:hideMark/>
          </w:tcPr>
          <w:p w:rsidR="00637DE5" w:rsidRPr="00471808" w:rsidRDefault="00637DE5" w:rsidP="00C7036E">
            <w:pPr>
              <w:jc w:val="center"/>
              <w:rPr>
                <w:b/>
                <w:bCs/>
                <w:sz w:val="20"/>
                <w:szCs w:val="20"/>
              </w:rPr>
            </w:pPr>
            <w:r w:rsidRPr="00471808">
              <w:rPr>
                <w:b/>
                <w:bCs/>
                <w:sz w:val="20"/>
                <w:szCs w:val="20"/>
              </w:rPr>
              <w:t>FILING</w:t>
            </w:r>
          </w:p>
        </w:tc>
        <w:tc>
          <w:tcPr>
            <w:tcW w:w="1016" w:type="dxa"/>
            <w:tcBorders>
              <w:top w:val="nil"/>
              <w:left w:val="nil"/>
              <w:bottom w:val="single" w:sz="4" w:space="0" w:color="auto"/>
              <w:right w:val="nil"/>
            </w:tcBorders>
            <w:shd w:val="clear" w:color="auto" w:fill="auto"/>
            <w:noWrap/>
            <w:vAlign w:val="bottom"/>
            <w:hideMark/>
          </w:tcPr>
          <w:p w:rsidR="00637DE5" w:rsidRPr="00471808" w:rsidRDefault="00637DE5" w:rsidP="00C7036E">
            <w:pPr>
              <w:jc w:val="center"/>
              <w:rPr>
                <w:b/>
                <w:bCs/>
                <w:sz w:val="20"/>
                <w:szCs w:val="20"/>
                <w:u w:val="single"/>
              </w:rPr>
            </w:pPr>
            <w:r w:rsidRPr="00471808">
              <w:rPr>
                <w:b/>
                <w:bCs/>
                <w:sz w:val="20"/>
                <w:szCs w:val="20"/>
                <w:u w:val="single"/>
              </w:rPr>
              <w:t> </w:t>
            </w:r>
          </w:p>
        </w:tc>
        <w:tc>
          <w:tcPr>
            <w:tcW w:w="2250" w:type="dxa"/>
            <w:tcBorders>
              <w:top w:val="nil"/>
              <w:left w:val="nil"/>
              <w:bottom w:val="single" w:sz="4" w:space="0" w:color="auto"/>
              <w:right w:val="single" w:sz="4" w:space="0" w:color="auto"/>
            </w:tcBorders>
            <w:shd w:val="clear" w:color="auto" w:fill="auto"/>
            <w:noWrap/>
            <w:vAlign w:val="bottom"/>
            <w:hideMark/>
          </w:tcPr>
          <w:p w:rsidR="00637DE5" w:rsidRPr="00471808" w:rsidRDefault="00FB08AA" w:rsidP="00C7036E">
            <w:pPr>
              <w:jc w:val="center"/>
              <w:rPr>
                <w:b/>
                <w:bCs/>
                <w:color w:val="000000"/>
                <w:sz w:val="20"/>
                <w:szCs w:val="20"/>
              </w:rPr>
            </w:pPr>
            <w:r>
              <w:rPr>
                <w:b/>
                <w:bCs/>
                <w:color w:val="000000"/>
                <w:sz w:val="20"/>
                <w:szCs w:val="20"/>
              </w:rPr>
              <w:t>APPROVED</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u w:val="single"/>
              </w:rPr>
            </w:pPr>
            <w:r w:rsidRPr="00471808">
              <w:rPr>
                <w:color w:val="000000"/>
                <w:sz w:val="20"/>
                <w:szCs w:val="20"/>
                <w:u w:val="single"/>
              </w:rPr>
              <w:t>Line No.</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jc w:val="center"/>
              <w:rPr>
                <w:sz w:val="20"/>
                <w:szCs w:val="20"/>
                <w:u w:val="single"/>
              </w:rPr>
            </w:pP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center"/>
              <w:rPr>
                <w:sz w:val="20"/>
                <w:szCs w:val="20"/>
                <w:u w:val="single"/>
              </w:rPr>
            </w:pP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center"/>
              <w:rPr>
                <w:sz w:val="20"/>
                <w:szCs w:val="20"/>
                <w:u w:val="single"/>
              </w:rPr>
            </w:pP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1</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Utility Plant in Service (UPIS)</w:t>
            </w: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$98,033 </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$98,033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2</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Retirements</w:t>
            </w: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               -   </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                                 -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3</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Accumulated Depreciation</w:t>
            </w: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    (1,400)</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                        (1,400)</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4</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Contributions in Aid of Construction (CIAC)</w:t>
            </w: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               -   </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                                 -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5</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Accumulated Amortization of CIAC</w:t>
            </w: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               -   </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                                 -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6</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Working Capital</w:t>
            </w: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          499 </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637DE5" w:rsidRPr="00471808" w:rsidRDefault="00B05B2D" w:rsidP="00C7036E">
            <w:pPr>
              <w:jc w:val="right"/>
              <w:rPr>
                <w:sz w:val="20"/>
                <w:szCs w:val="20"/>
              </w:rPr>
            </w:pPr>
            <w:r>
              <w:rPr>
                <w:sz w:val="20"/>
                <w:szCs w:val="20"/>
              </w:rPr>
              <w:t xml:space="preserve">                             272</w:t>
            </w:r>
            <w:r w:rsidR="00637DE5" w:rsidRPr="00471808">
              <w:rPr>
                <w:sz w:val="20"/>
                <w:szCs w:val="20"/>
              </w:rPr>
              <w:t xml:space="preserve">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7</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Total Increase in Rate Base</w:t>
            </w:r>
          </w:p>
        </w:tc>
        <w:tc>
          <w:tcPr>
            <w:tcW w:w="1061" w:type="dxa"/>
            <w:tcBorders>
              <w:top w:val="single" w:sz="4" w:space="0" w:color="auto"/>
              <w:left w:val="nil"/>
              <w:bottom w:val="single" w:sz="4" w:space="0" w:color="auto"/>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$97,132 </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637DE5" w:rsidRPr="00471808" w:rsidRDefault="00B05B2D" w:rsidP="00C7036E">
            <w:pPr>
              <w:jc w:val="right"/>
              <w:rPr>
                <w:sz w:val="20"/>
                <w:szCs w:val="20"/>
              </w:rPr>
            </w:pPr>
            <w:r>
              <w:rPr>
                <w:sz w:val="20"/>
                <w:szCs w:val="20"/>
              </w:rPr>
              <w:t>$96,905</w:t>
            </w:r>
            <w:r w:rsidR="00637DE5" w:rsidRPr="00471808">
              <w:rPr>
                <w:sz w:val="20"/>
                <w:szCs w:val="20"/>
              </w:rPr>
              <w:t xml:space="preserve">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p>
        </w:tc>
        <w:tc>
          <w:tcPr>
            <w:tcW w:w="1061" w:type="dxa"/>
            <w:tcBorders>
              <w:top w:val="nil"/>
              <w:left w:val="nil"/>
              <w:right w:val="nil"/>
            </w:tcBorders>
            <w:shd w:val="clear" w:color="auto" w:fill="auto"/>
            <w:noWrap/>
            <w:vAlign w:val="bottom"/>
            <w:hideMark/>
          </w:tcPr>
          <w:p w:rsidR="00637DE5" w:rsidRPr="00471808" w:rsidRDefault="00637DE5" w:rsidP="00C7036E">
            <w:pPr>
              <w:jc w:val="right"/>
              <w:rPr>
                <w:sz w:val="20"/>
                <w:szCs w:val="20"/>
              </w:rPr>
            </w:pPr>
          </w:p>
        </w:tc>
        <w:tc>
          <w:tcPr>
            <w:tcW w:w="1016" w:type="dxa"/>
            <w:tcBorders>
              <w:top w:val="nil"/>
              <w:left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right w:val="single" w:sz="4" w:space="0" w:color="auto"/>
            </w:tcBorders>
            <w:shd w:val="clear" w:color="auto" w:fill="auto"/>
            <w:noWrap/>
            <w:vAlign w:val="bottom"/>
            <w:hideMark/>
          </w:tcPr>
          <w:p w:rsidR="00637DE5" w:rsidRPr="00471808" w:rsidRDefault="00637DE5" w:rsidP="00C7036E">
            <w:pPr>
              <w:jc w:val="right"/>
              <w:rPr>
                <w:sz w:val="20"/>
                <w:szCs w:val="20"/>
              </w:rPr>
            </w:pPr>
            <w:r w:rsidRPr="00471808">
              <w:rPr>
                <w:sz w:val="20"/>
                <w:szCs w:val="20"/>
              </w:rPr>
              <w:t>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8</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Weighted Cost of Capital</w:t>
            </w:r>
          </w:p>
        </w:tc>
        <w:tc>
          <w:tcPr>
            <w:tcW w:w="1061" w:type="dxa"/>
            <w:tcBorders>
              <w:top w:val="nil"/>
              <w:left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8.03%</w:t>
            </w:r>
          </w:p>
        </w:tc>
        <w:tc>
          <w:tcPr>
            <w:tcW w:w="1016" w:type="dxa"/>
            <w:tcBorders>
              <w:top w:val="nil"/>
              <w:left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nil"/>
              <w:left w:val="nil"/>
              <w:right w:val="single" w:sz="4" w:space="0" w:color="auto"/>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7.68%</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tcPr>
          <w:p w:rsidR="00637DE5" w:rsidRPr="00471808" w:rsidRDefault="00637DE5" w:rsidP="00C7036E">
            <w:pP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tcPr>
          <w:p w:rsidR="00637DE5" w:rsidRPr="00471808" w:rsidRDefault="00637DE5" w:rsidP="00C7036E">
            <w:pPr>
              <w:ind w:firstLineChars="100" w:firstLine="200"/>
              <w:rPr>
                <w:sz w:val="20"/>
                <w:szCs w:val="20"/>
              </w:rPr>
            </w:pPr>
          </w:p>
        </w:tc>
        <w:tc>
          <w:tcPr>
            <w:tcW w:w="1061" w:type="dxa"/>
            <w:tcBorders>
              <w:left w:val="nil"/>
              <w:bottom w:val="single" w:sz="4" w:space="0" w:color="auto"/>
              <w:right w:val="nil"/>
            </w:tcBorders>
            <w:shd w:val="clear" w:color="000000" w:fill="FFFFFF"/>
            <w:noWrap/>
            <w:vAlign w:val="bottom"/>
          </w:tcPr>
          <w:p w:rsidR="00637DE5" w:rsidRPr="00471808" w:rsidRDefault="00637DE5" w:rsidP="00C7036E">
            <w:pPr>
              <w:jc w:val="right"/>
              <w:rPr>
                <w:sz w:val="20"/>
                <w:szCs w:val="20"/>
              </w:rPr>
            </w:pPr>
            <w:r w:rsidRPr="00471808">
              <w:rPr>
                <w:sz w:val="20"/>
                <w:szCs w:val="20"/>
              </w:rPr>
              <w:t> </w:t>
            </w:r>
          </w:p>
        </w:tc>
        <w:tc>
          <w:tcPr>
            <w:tcW w:w="1016" w:type="dxa"/>
            <w:tcBorders>
              <w:left w:val="nil"/>
              <w:bottom w:val="nil"/>
              <w:right w:val="nil"/>
            </w:tcBorders>
            <w:shd w:val="clear" w:color="000000" w:fill="FFFFFF"/>
            <w:noWrap/>
            <w:vAlign w:val="bottom"/>
          </w:tcPr>
          <w:p w:rsidR="00637DE5" w:rsidRPr="00471808" w:rsidRDefault="00637DE5" w:rsidP="00C7036E">
            <w:pPr>
              <w:jc w:val="right"/>
              <w:rPr>
                <w:sz w:val="20"/>
                <w:szCs w:val="20"/>
              </w:rPr>
            </w:pPr>
            <w:r w:rsidRPr="00471808">
              <w:rPr>
                <w:sz w:val="20"/>
                <w:szCs w:val="20"/>
              </w:rPr>
              <w:t> </w:t>
            </w:r>
          </w:p>
        </w:tc>
        <w:tc>
          <w:tcPr>
            <w:tcW w:w="2250" w:type="dxa"/>
            <w:tcBorders>
              <w:left w:val="nil"/>
              <w:bottom w:val="single" w:sz="4" w:space="0" w:color="auto"/>
              <w:right w:val="single" w:sz="4" w:space="0" w:color="auto"/>
            </w:tcBorders>
            <w:shd w:val="clear" w:color="000000" w:fill="FFFFFF"/>
            <w:noWrap/>
            <w:vAlign w:val="bottom"/>
          </w:tcPr>
          <w:p w:rsidR="00637DE5" w:rsidRPr="00471808" w:rsidRDefault="00637DE5" w:rsidP="00C7036E">
            <w:pPr>
              <w:jc w:val="right"/>
              <w:rPr>
                <w:sz w:val="20"/>
                <w:szCs w:val="20"/>
              </w:rPr>
            </w:pPr>
            <w:r w:rsidRPr="00471808">
              <w:rPr>
                <w:sz w:val="20"/>
                <w:szCs w:val="20"/>
              </w:rPr>
              <w:t>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9</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Return Required</w:t>
            </w:r>
          </w:p>
        </w:tc>
        <w:tc>
          <w:tcPr>
            <w:tcW w:w="1061" w:type="dxa"/>
            <w:tcBorders>
              <w:top w:val="single" w:sz="4" w:space="0" w:color="auto"/>
              <w:left w:val="nil"/>
              <w:bottom w:val="single" w:sz="4" w:space="0" w:color="auto"/>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xml:space="preserve">$7,804 </w:t>
            </w:r>
          </w:p>
        </w:tc>
        <w:tc>
          <w:tcPr>
            <w:tcW w:w="1016" w:type="dxa"/>
            <w:tcBorders>
              <w:top w:val="nil"/>
              <w:left w:val="nil"/>
              <w:bottom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single" w:sz="4" w:space="0" w:color="auto"/>
              <w:left w:val="nil"/>
              <w:bottom w:val="single" w:sz="4" w:space="0" w:color="auto"/>
              <w:right w:val="single" w:sz="4" w:space="0" w:color="auto"/>
            </w:tcBorders>
            <w:shd w:val="clear" w:color="000000" w:fill="FFFFFF"/>
            <w:noWrap/>
            <w:vAlign w:val="bottom"/>
            <w:hideMark/>
          </w:tcPr>
          <w:p w:rsidR="00637DE5" w:rsidRPr="00471808" w:rsidRDefault="00B05B2D" w:rsidP="00C7036E">
            <w:pPr>
              <w:jc w:val="right"/>
              <w:rPr>
                <w:sz w:val="20"/>
                <w:szCs w:val="20"/>
              </w:rPr>
            </w:pPr>
            <w:r>
              <w:rPr>
                <w:sz w:val="20"/>
                <w:szCs w:val="20"/>
              </w:rPr>
              <w:t>$7,442</w:t>
            </w:r>
            <w:r w:rsidR="00637DE5" w:rsidRPr="00471808">
              <w:rPr>
                <w:sz w:val="20"/>
                <w:szCs w:val="20"/>
              </w:rPr>
              <w:t xml:space="preserve">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ind w:firstLineChars="100" w:firstLine="200"/>
              <w:rPr>
                <w:sz w:val="20"/>
                <w:szCs w:val="20"/>
              </w:rPr>
            </w:pP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sz w:val="20"/>
                <w:szCs w:val="20"/>
              </w:rPr>
            </w:pPr>
            <w:r w:rsidRPr="00471808">
              <w:rPr>
                <w:sz w:val="20"/>
                <w:szCs w:val="20"/>
              </w:rPr>
              <w:t>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10</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Increase in Depreciation Expenses Due to UPIS Increase</w:t>
            </w: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$2,801 </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$2,801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11</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Decrease in Depreciation Expense Due to Retirements</w:t>
            </w: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               -   </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                                 -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12</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Increase in CIAC Amortization</w:t>
            </w: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               -   </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                                 -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13</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Increase in Rate Case Expense</w:t>
            </w: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       3,992 </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auto" w:fill="auto"/>
            <w:noWrap/>
            <w:vAlign w:val="bottom"/>
            <w:hideMark/>
          </w:tcPr>
          <w:p w:rsidR="00637DE5" w:rsidRPr="00471808" w:rsidRDefault="00B05B2D" w:rsidP="00B05B2D">
            <w:pPr>
              <w:jc w:val="right"/>
              <w:rPr>
                <w:sz w:val="20"/>
                <w:szCs w:val="20"/>
              </w:rPr>
            </w:pPr>
            <w:r>
              <w:rPr>
                <w:sz w:val="20"/>
                <w:szCs w:val="20"/>
              </w:rPr>
              <w:t xml:space="preserve">                          2,180</w:t>
            </w:r>
            <w:r w:rsidR="00637DE5" w:rsidRPr="00471808">
              <w:rPr>
                <w:sz w:val="20"/>
                <w:szCs w:val="20"/>
              </w:rPr>
              <w:t xml:space="preserve">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14</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Increase in Taxes Other Than Income Taxes</w:t>
            </w: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       2,269 </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                          1,495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15</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Total Increase in Operating Expenses Before Income Taxes</w:t>
            </w:r>
          </w:p>
        </w:tc>
        <w:tc>
          <w:tcPr>
            <w:tcW w:w="1061" w:type="dxa"/>
            <w:tcBorders>
              <w:top w:val="single" w:sz="4" w:space="0" w:color="auto"/>
              <w:left w:val="nil"/>
              <w:bottom w:val="single" w:sz="4" w:space="0" w:color="auto"/>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$9,062 </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637DE5" w:rsidRPr="00471808" w:rsidRDefault="00637DE5" w:rsidP="00B05B2D">
            <w:pPr>
              <w:jc w:val="right"/>
              <w:rPr>
                <w:sz w:val="20"/>
                <w:szCs w:val="20"/>
              </w:rPr>
            </w:pPr>
            <w:r w:rsidRPr="00471808">
              <w:rPr>
                <w:sz w:val="20"/>
                <w:szCs w:val="20"/>
              </w:rPr>
              <w:t>$6,</w:t>
            </w:r>
            <w:r w:rsidR="00B05B2D">
              <w:rPr>
                <w:sz w:val="20"/>
                <w:szCs w:val="20"/>
              </w:rPr>
              <w:t>476</w:t>
            </w:r>
            <w:r w:rsidRPr="00471808">
              <w:rPr>
                <w:sz w:val="20"/>
                <w:szCs w:val="20"/>
              </w:rPr>
              <w:t xml:space="preserve">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ind w:firstLineChars="100" w:firstLine="200"/>
              <w:rPr>
                <w:sz w:val="20"/>
                <w:szCs w:val="20"/>
              </w:rPr>
            </w:pP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sz w:val="20"/>
                <w:szCs w:val="20"/>
              </w:rPr>
            </w:pPr>
            <w:r w:rsidRPr="00471808">
              <w:rPr>
                <w:sz w:val="20"/>
                <w:szCs w:val="20"/>
              </w:rPr>
              <w:t>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16</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Total State Taxable Income</w:t>
            </w:r>
          </w:p>
        </w:tc>
        <w:tc>
          <w:tcPr>
            <w:tcW w:w="1061" w:type="dxa"/>
            <w:tcBorders>
              <w:top w:val="nil"/>
              <w:left w:val="nil"/>
              <w:bottom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xml:space="preserve">$7,804 </w:t>
            </w:r>
          </w:p>
        </w:tc>
        <w:tc>
          <w:tcPr>
            <w:tcW w:w="1016" w:type="dxa"/>
            <w:tcBorders>
              <w:top w:val="nil"/>
              <w:left w:val="nil"/>
              <w:bottom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000000" w:fill="FFFFFF"/>
            <w:noWrap/>
            <w:vAlign w:val="bottom"/>
            <w:hideMark/>
          </w:tcPr>
          <w:p w:rsidR="00637DE5" w:rsidRPr="00471808" w:rsidRDefault="00B05B2D" w:rsidP="00C7036E">
            <w:pPr>
              <w:jc w:val="right"/>
              <w:rPr>
                <w:sz w:val="20"/>
                <w:szCs w:val="20"/>
              </w:rPr>
            </w:pPr>
            <w:r>
              <w:rPr>
                <w:sz w:val="20"/>
                <w:szCs w:val="20"/>
              </w:rPr>
              <w:t>$4,719</w:t>
            </w:r>
            <w:r w:rsidR="00637DE5" w:rsidRPr="00471808">
              <w:rPr>
                <w:sz w:val="20"/>
                <w:szCs w:val="20"/>
              </w:rPr>
              <w:t xml:space="preserve">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17</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Multiply by State Income Tax (5.5%)</w:t>
            </w:r>
          </w:p>
        </w:tc>
        <w:tc>
          <w:tcPr>
            <w:tcW w:w="1061" w:type="dxa"/>
            <w:tcBorders>
              <w:top w:val="nil"/>
              <w:left w:val="nil"/>
              <w:bottom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xml:space="preserve">          429 </w:t>
            </w:r>
          </w:p>
        </w:tc>
        <w:tc>
          <w:tcPr>
            <w:tcW w:w="1016" w:type="dxa"/>
            <w:tcBorders>
              <w:top w:val="nil"/>
              <w:left w:val="nil"/>
              <w:bottom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xml:space="preserve">   </w:t>
            </w:r>
            <w:r w:rsidR="00B05B2D">
              <w:rPr>
                <w:sz w:val="20"/>
                <w:szCs w:val="20"/>
              </w:rPr>
              <w:t xml:space="preserve">                          260</w:t>
            </w:r>
            <w:r w:rsidRPr="00471808">
              <w:rPr>
                <w:sz w:val="20"/>
                <w:szCs w:val="20"/>
              </w:rPr>
              <w:t xml:space="preserve">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tcPr>
          <w:p w:rsidR="00637DE5" w:rsidRPr="00471808" w:rsidRDefault="00637DE5" w:rsidP="00C7036E">
            <w:pPr>
              <w:jc w:val="cente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tcPr>
          <w:p w:rsidR="00637DE5" w:rsidRPr="00471808" w:rsidRDefault="00637DE5" w:rsidP="00C7036E">
            <w:pPr>
              <w:ind w:firstLineChars="100" w:firstLine="200"/>
              <w:rPr>
                <w:sz w:val="20"/>
                <w:szCs w:val="20"/>
              </w:rPr>
            </w:pPr>
          </w:p>
        </w:tc>
        <w:tc>
          <w:tcPr>
            <w:tcW w:w="1061" w:type="dxa"/>
            <w:tcBorders>
              <w:top w:val="nil"/>
              <w:left w:val="nil"/>
              <w:bottom w:val="nil"/>
              <w:right w:val="nil"/>
            </w:tcBorders>
            <w:shd w:val="clear" w:color="000000" w:fill="FFFFFF"/>
            <w:noWrap/>
            <w:vAlign w:val="bottom"/>
          </w:tcPr>
          <w:p w:rsidR="00637DE5" w:rsidRPr="00471808" w:rsidRDefault="00637DE5" w:rsidP="00C7036E">
            <w:pPr>
              <w:jc w:val="right"/>
              <w:rPr>
                <w:sz w:val="20"/>
                <w:szCs w:val="20"/>
              </w:rPr>
            </w:pPr>
            <w:r w:rsidRPr="00471808">
              <w:rPr>
                <w:sz w:val="20"/>
                <w:szCs w:val="20"/>
              </w:rPr>
              <w:t> </w:t>
            </w:r>
          </w:p>
        </w:tc>
        <w:tc>
          <w:tcPr>
            <w:tcW w:w="1016" w:type="dxa"/>
            <w:tcBorders>
              <w:top w:val="nil"/>
              <w:left w:val="nil"/>
              <w:bottom w:val="nil"/>
              <w:right w:val="nil"/>
            </w:tcBorders>
            <w:shd w:val="clear" w:color="000000" w:fill="FFFFFF"/>
            <w:noWrap/>
            <w:vAlign w:val="bottom"/>
          </w:tcPr>
          <w:p w:rsidR="00637DE5" w:rsidRPr="00471808" w:rsidRDefault="00637DE5" w:rsidP="00C7036E">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000000" w:fill="FFFFFF"/>
            <w:noWrap/>
            <w:vAlign w:val="bottom"/>
          </w:tcPr>
          <w:p w:rsidR="00637DE5" w:rsidRPr="00471808" w:rsidRDefault="00637DE5" w:rsidP="00C7036E">
            <w:pPr>
              <w:jc w:val="right"/>
              <w:rPr>
                <w:sz w:val="20"/>
                <w:szCs w:val="20"/>
              </w:rPr>
            </w:pPr>
            <w:r w:rsidRPr="00471808">
              <w:rPr>
                <w:sz w:val="20"/>
                <w:szCs w:val="20"/>
              </w:rPr>
              <w:t>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18</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Total Federal Taxable Income</w:t>
            </w:r>
          </w:p>
        </w:tc>
        <w:tc>
          <w:tcPr>
            <w:tcW w:w="1061" w:type="dxa"/>
            <w:tcBorders>
              <w:top w:val="nil"/>
              <w:left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xml:space="preserve">$7,374 </w:t>
            </w:r>
          </w:p>
        </w:tc>
        <w:tc>
          <w:tcPr>
            <w:tcW w:w="1016" w:type="dxa"/>
            <w:tcBorders>
              <w:top w:val="nil"/>
              <w:left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nil"/>
              <w:left w:val="nil"/>
              <w:right w:val="single" w:sz="4" w:space="0" w:color="auto"/>
            </w:tcBorders>
            <w:shd w:val="clear" w:color="000000" w:fill="FFFFFF"/>
            <w:noWrap/>
            <w:vAlign w:val="bottom"/>
            <w:hideMark/>
          </w:tcPr>
          <w:p w:rsidR="00637DE5" w:rsidRPr="00471808" w:rsidRDefault="00B05B2D" w:rsidP="00C7036E">
            <w:pPr>
              <w:jc w:val="right"/>
              <w:rPr>
                <w:sz w:val="20"/>
                <w:szCs w:val="20"/>
              </w:rPr>
            </w:pPr>
            <w:r>
              <w:rPr>
                <w:sz w:val="20"/>
                <w:szCs w:val="20"/>
              </w:rPr>
              <w:t>$4,460</w:t>
            </w:r>
            <w:r w:rsidR="00637DE5" w:rsidRPr="00471808">
              <w:rPr>
                <w:sz w:val="20"/>
                <w:szCs w:val="20"/>
              </w:rPr>
              <w:t xml:space="preserve">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19</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Multiply by Federal Income Tax (34%)</w:t>
            </w:r>
          </w:p>
        </w:tc>
        <w:tc>
          <w:tcPr>
            <w:tcW w:w="1061" w:type="dxa"/>
            <w:tcBorders>
              <w:top w:val="nil"/>
              <w:left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xml:space="preserve">       2,507 </w:t>
            </w:r>
          </w:p>
        </w:tc>
        <w:tc>
          <w:tcPr>
            <w:tcW w:w="1016" w:type="dxa"/>
            <w:tcBorders>
              <w:top w:val="nil"/>
              <w:left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nil"/>
              <w:left w:val="nil"/>
              <w:right w:val="single" w:sz="4" w:space="0" w:color="auto"/>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xml:space="preserve">                          1,516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tcPr>
          <w:p w:rsidR="00637DE5" w:rsidRPr="00471808" w:rsidRDefault="00637DE5" w:rsidP="00C7036E">
            <w:pPr>
              <w:jc w:val="cente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tcPr>
          <w:p w:rsidR="00637DE5" w:rsidRPr="00471808" w:rsidRDefault="00637DE5" w:rsidP="00C7036E">
            <w:pPr>
              <w:rPr>
                <w:sz w:val="20"/>
                <w:szCs w:val="20"/>
              </w:rPr>
            </w:pPr>
          </w:p>
        </w:tc>
        <w:tc>
          <w:tcPr>
            <w:tcW w:w="1061" w:type="dxa"/>
            <w:tcBorders>
              <w:left w:val="nil"/>
              <w:bottom w:val="nil"/>
              <w:right w:val="nil"/>
            </w:tcBorders>
            <w:shd w:val="clear" w:color="000000" w:fill="FFFFFF"/>
            <w:noWrap/>
            <w:vAlign w:val="bottom"/>
          </w:tcPr>
          <w:p w:rsidR="00637DE5" w:rsidRPr="00471808" w:rsidRDefault="00637DE5" w:rsidP="00C7036E">
            <w:pPr>
              <w:jc w:val="right"/>
              <w:rPr>
                <w:sz w:val="20"/>
                <w:szCs w:val="20"/>
              </w:rPr>
            </w:pPr>
            <w:r w:rsidRPr="00471808">
              <w:rPr>
                <w:sz w:val="20"/>
                <w:szCs w:val="20"/>
              </w:rPr>
              <w:t> </w:t>
            </w:r>
          </w:p>
        </w:tc>
        <w:tc>
          <w:tcPr>
            <w:tcW w:w="1016" w:type="dxa"/>
            <w:tcBorders>
              <w:left w:val="nil"/>
              <w:bottom w:val="nil"/>
              <w:right w:val="nil"/>
            </w:tcBorders>
            <w:shd w:val="clear" w:color="000000" w:fill="FFFFFF"/>
            <w:noWrap/>
            <w:vAlign w:val="bottom"/>
          </w:tcPr>
          <w:p w:rsidR="00637DE5" w:rsidRPr="00471808" w:rsidRDefault="00637DE5" w:rsidP="00C7036E">
            <w:pPr>
              <w:jc w:val="right"/>
              <w:rPr>
                <w:sz w:val="20"/>
                <w:szCs w:val="20"/>
              </w:rPr>
            </w:pPr>
            <w:r w:rsidRPr="00471808">
              <w:rPr>
                <w:sz w:val="20"/>
                <w:szCs w:val="20"/>
              </w:rPr>
              <w:t> </w:t>
            </w:r>
          </w:p>
        </w:tc>
        <w:tc>
          <w:tcPr>
            <w:tcW w:w="2250" w:type="dxa"/>
            <w:tcBorders>
              <w:left w:val="nil"/>
              <w:bottom w:val="nil"/>
              <w:right w:val="single" w:sz="4" w:space="0" w:color="auto"/>
            </w:tcBorders>
            <w:shd w:val="clear" w:color="000000" w:fill="FFFFFF"/>
            <w:noWrap/>
            <w:vAlign w:val="bottom"/>
          </w:tcPr>
          <w:p w:rsidR="00637DE5" w:rsidRPr="00471808" w:rsidRDefault="00637DE5" w:rsidP="00C7036E">
            <w:pPr>
              <w:jc w:val="right"/>
              <w:rPr>
                <w:sz w:val="20"/>
                <w:szCs w:val="20"/>
              </w:rPr>
            </w:pPr>
            <w:r w:rsidRPr="00471808">
              <w:rPr>
                <w:sz w:val="20"/>
                <w:szCs w:val="20"/>
              </w:rPr>
              <w:t>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20</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Total Revenue Increase Before RAF (L9 + L15 + L17 + L19)</w:t>
            </w:r>
          </w:p>
        </w:tc>
        <w:tc>
          <w:tcPr>
            <w:tcW w:w="1061" w:type="dxa"/>
            <w:tcBorders>
              <w:top w:val="single" w:sz="4" w:space="0" w:color="auto"/>
              <w:left w:val="nil"/>
              <w:bottom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xml:space="preserve">$19,802 </w:t>
            </w:r>
          </w:p>
        </w:tc>
        <w:tc>
          <w:tcPr>
            <w:tcW w:w="1016" w:type="dxa"/>
            <w:tcBorders>
              <w:top w:val="nil"/>
              <w:left w:val="nil"/>
              <w:bottom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single" w:sz="4" w:space="0" w:color="auto"/>
              <w:left w:val="nil"/>
              <w:bottom w:val="nil"/>
              <w:right w:val="single" w:sz="4" w:space="0" w:color="auto"/>
            </w:tcBorders>
            <w:shd w:val="clear" w:color="000000" w:fill="FFFFFF"/>
            <w:noWrap/>
            <w:vAlign w:val="bottom"/>
            <w:hideMark/>
          </w:tcPr>
          <w:p w:rsidR="00637DE5" w:rsidRPr="00471808" w:rsidRDefault="00637DE5" w:rsidP="00B05B2D">
            <w:pPr>
              <w:jc w:val="right"/>
              <w:rPr>
                <w:sz w:val="20"/>
                <w:szCs w:val="20"/>
              </w:rPr>
            </w:pPr>
            <w:r w:rsidRPr="00471808">
              <w:rPr>
                <w:sz w:val="20"/>
                <w:szCs w:val="20"/>
              </w:rPr>
              <w:t>$15,</w:t>
            </w:r>
            <w:r w:rsidR="00B05B2D">
              <w:rPr>
                <w:sz w:val="20"/>
                <w:szCs w:val="20"/>
              </w:rPr>
              <w:t>694</w:t>
            </w:r>
            <w:r w:rsidRPr="00471808">
              <w:rPr>
                <w:sz w:val="20"/>
                <w:szCs w:val="20"/>
              </w:rPr>
              <w:t xml:space="preserve">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tcPr>
          <w:p w:rsidR="00637DE5" w:rsidRPr="00471808" w:rsidRDefault="00637DE5" w:rsidP="00C7036E">
            <w:pP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tcPr>
          <w:p w:rsidR="00637DE5" w:rsidRPr="00471808" w:rsidRDefault="00637DE5" w:rsidP="00C7036E">
            <w:pPr>
              <w:rPr>
                <w:sz w:val="20"/>
                <w:szCs w:val="20"/>
              </w:rPr>
            </w:pPr>
          </w:p>
        </w:tc>
        <w:tc>
          <w:tcPr>
            <w:tcW w:w="1061" w:type="dxa"/>
            <w:tcBorders>
              <w:top w:val="nil"/>
              <w:left w:val="nil"/>
              <w:bottom w:val="nil"/>
              <w:right w:val="nil"/>
            </w:tcBorders>
            <w:shd w:val="clear" w:color="000000" w:fill="FFFFFF"/>
            <w:noWrap/>
            <w:vAlign w:val="bottom"/>
          </w:tcPr>
          <w:p w:rsidR="00637DE5" w:rsidRPr="00471808" w:rsidRDefault="00637DE5" w:rsidP="00C7036E">
            <w:pPr>
              <w:jc w:val="right"/>
              <w:rPr>
                <w:sz w:val="20"/>
                <w:szCs w:val="20"/>
              </w:rPr>
            </w:pPr>
            <w:r w:rsidRPr="00471808">
              <w:rPr>
                <w:sz w:val="20"/>
                <w:szCs w:val="20"/>
              </w:rPr>
              <w:t> </w:t>
            </w:r>
          </w:p>
        </w:tc>
        <w:tc>
          <w:tcPr>
            <w:tcW w:w="1016" w:type="dxa"/>
            <w:tcBorders>
              <w:top w:val="nil"/>
              <w:left w:val="nil"/>
              <w:bottom w:val="nil"/>
              <w:right w:val="nil"/>
            </w:tcBorders>
            <w:shd w:val="clear" w:color="000000" w:fill="FFFFFF"/>
            <w:noWrap/>
            <w:vAlign w:val="bottom"/>
          </w:tcPr>
          <w:p w:rsidR="00637DE5" w:rsidRPr="00471808" w:rsidRDefault="00637DE5" w:rsidP="00C7036E">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000000" w:fill="FFFFFF"/>
            <w:noWrap/>
            <w:vAlign w:val="bottom"/>
          </w:tcPr>
          <w:p w:rsidR="00637DE5" w:rsidRPr="00471808" w:rsidRDefault="00637DE5" w:rsidP="00C7036E">
            <w:pPr>
              <w:jc w:val="right"/>
              <w:rPr>
                <w:sz w:val="20"/>
                <w:szCs w:val="20"/>
              </w:rPr>
            </w:pPr>
            <w:r w:rsidRPr="00471808">
              <w:rPr>
                <w:sz w:val="20"/>
                <w:szCs w:val="20"/>
              </w:rPr>
              <w:t>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21</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Multiply by RAF (4.5%)</w:t>
            </w:r>
          </w:p>
        </w:tc>
        <w:tc>
          <w:tcPr>
            <w:tcW w:w="1061" w:type="dxa"/>
            <w:tcBorders>
              <w:top w:val="nil"/>
              <w:left w:val="nil"/>
              <w:bottom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xml:space="preserve">          891 </w:t>
            </w:r>
          </w:p>
        </w:tc>
        <w:tc>
          <w:tcPr>
            <w:tcW w:w="1016" w:type="dxa"/>
            <w:tcBorders>
              <w:top w:val="nil"/>
              <w:left w:val="nil"/>
              <w:bottom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000000" w:fill="FFFFFF"/>
            <w:noWrap/>
            <w:vAlign w:val="bottom"/>
            <w:hideMark/>
          </w:tcPr>
          <w:p w:rsidR="00637DE5" w:rsidRPr="00471808" w:rsidRDefault="00637DE5" w:rsidP="00B05B2D">
            <w:pPr>
              <w:jc w:val="right"/>
              <w:rPr>
                <w:sz w:val="20"/>
                <w:szCs w:val="20"/>
              </w:rPr>
            </w:pPr>
            <w:r w:rsidRPr="00471808">
              <w:rPr>
                <w:sz w:val="20"/>
                <w:szCs w:val="20"/>
              </w:rPr>
              <w:t xml:space="preserve">                             </w:t>
            </w:r>
            <w:r w:rsidR="00B05B2D">
              <w:rPr>
                <w:sz w:val="20"/>
                <w:szCs w:val="20"/>
              </w:rPr>
              <w:t>706</w:t>
            </w:r>
            <w:r w:rsidRPr="00471808">
              <w:rPr>
                <w:sz w:val="20"/>
                <w:szCs w:val="20"/>
              </w:rPr>
              <w:t xml:space="preserve">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p>
        </w:tc>
        <w:tc>
          <w:tcPr>
            <w:tcW w:w="1061" w:type="dxa"/>
            <w:tcBorders>
              <w:top w:val="nil"/>
              <w:left w:val="nil"/>
              <w:bottom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w:t>
            </w:r>
          </w:p>
        </w:tc>
        <w:tc>
          <w:tcPr>
            <w:tcW w:w="1016" w:type="dxa"/>
            <w:tcBorders>
              <w:top w:val="nil"/>
              <w:left w:val="nil"/>
              <w:bottom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nil"/>
              <w:left w:val="nil"/>
              <w:bottom w:val="nil"/>
              <w:right w:val="single" w:sz="4" w:space="0" w:color="auto"/>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22</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Total Water Revenue Increase</w:t>
            </w:r>
          </w:p>
        </w:tc>
        <w:tc>
          <w:tcPr>
            <w:tcW w:w="1061" w:type="dxa"/>
            <w:tcBorders>
              <w:top w:val="single" w:sz="4" w:space="0" w:color="auto"/>
              <w:left w:val="nil"/>
              <w:bottom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xml:space="preserve">$20,693 </w:t>
            </w:r>
          </w:p>
        </w:tc>
        <w:tc>
          <w:tcPr>
            <w:tcW w:w="1016" w:type="dxa"/>
            <w:tcBorders>
              <w:top w:val="nil"/>
              <w:left w:val="nil"/>
              <w:bottom w:val="nil"/>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 </w:t>
            </w:r>
          </w:p>
        </w:tc>
        <w:tc>
          <w:tcPr>
            <w:tcW w:w="2250" w:type="dxa"/>
            <w:tcBorders>
              <w:top w:val="single" w:sz="4" w:space="0" w:color="auto"/>
              <w:left w:val="nil"/>
              <w:bottom w:val="nil"/>
              <w:right w:val="single" w:sz="4" w:space="0" w:color="auto"/>
            </w:tcBorders>
            <w:shd w:val="clear" w:color="000000" w:fill="FFFFFF"/>
            <w:noWrap/>
            <w:vAlign w:val="bottom"/>
            <w:hideMark/>
          </w:tcPr>
          <w:p w:rsidR="00637DE5" w:rsidRPr="00471808" w:rsidRDefault="00637DE5" w:rsidP="00B05B2D">
            <w:pPr>
              <w:jc w:val="right"/>
              <w:rPr>
                <w:sz w:val="20"/>
                <w:szCs w:val="20"/>
              </w:rPr>
            </w:pPr>
            <w:r w:rsidRPr="00471808">
              <w:rPr>
                <w:sz w:val="20"/>
                <w:szCs w:val="20"/>
              </w:rPr>
              <w:t>$16,</w:t>
            </w:r>
            <w:r w:rsidR="00B05B2D">
              <w:rPr>
                <w:sz w:val="20"/>
                <w:szCs w:val="20"/>
              </w:rPr>
              <w:t>400</w:t>
            </w:r>
            <w:r w:rsidRPr="00471808">
              <w:rPr>
                <w:sz w:val="20"/>
                <w:szCs w:val="20"/>
              </w:rPr>
              <w:t xml:space="preserve">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sz w:val="20"/>
                <w:szCs w:val="20"/>
              </w:rPr>
            </w:pPr>
            <w:r w:rsidRPr="00471808">
              <w:rPr>
                <w:sz w:val="20"/>
                <w:szCs w:val="20"/>
              </w:rPr>
              <w:t> </w:t>
            </w:r>
          </w:p>
        </w:tc>
      </w:tr>
      <w:tr w:rsidR="00637DE5" w:rsidRPr="00471808" w:rsidTr="00637DE5">
        <w:trPr>
          <w:trHeight w:val="289"/>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23</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Annualized Revenues</w:t>
            </w:r>
          </w:p>
        </w:tc>
        <w:tc>
          <w:tcPr>
            <w:tcW w:w="1061" w:type="dxa"/>
            <w:tcBorders>
              <w:top w:val="nil"/>
              <w:left w:val="nil"/>
              <w:bottom w:val="single" w:sz="4" w:space="0" w:color="auto"/>
              <w:right w:val="nil"/>
            </w:tcBorders>
            <w:shd w:val="clear" w:color="auto" w:fill="auto"/>
            <w:noWrap/>
            <w:vAlign w:val="bottom"/>
            <w:hideMark/>
          </w:tcPr>
          <w:p w:rsidR="00637DE5" w:rsidRPr="00471808" w:rsidRDefault="00637DE5" w:rsidP="00C7036E">
            <w:pPr>
              <w:jc w:val="right"/>
              <w:rPr>
                <w:sz w:val="20"/>
                <w:szCs w:val="20"/>
              </w:rPr>
            </w:pPr>
            <w:r w:rsidRPr="00471808">
              <w:rPr>
                <w:sz w:val="20"/>
                <w:szCs w:val="20"/>
              </w:rPr>
              <w:t xml:space="preserve">$980,373 </w:t>
            </w: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bottom w:val="single" w:sz="4" w:space="0" w:color="auto"/>
              <w:right w:val="single" w:sz="4" w:space="0" w:color="auto"/>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 xml:space="preserve">$1,001,476 </w:t>
            </w:r>
          </w:p>
        </w:tc>
      </w:tr>
      <w:tr w:rsidR="00637DE5" w:rsidRPr="00471808" w:rsidTr="00637DE5">
        <w:trPr>
          <w:trHeight w:val="300"/>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 </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p>
        </w:tc>
        <w:tc>
          <w:tcPr>
            <w:tcW w:w="1061"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1016" w:type="dxa"/>
            <w:tcBorders>
              <w:top w:val="nil"/>
              <w:left w:val="nil"/>
              <w:bottom w:val="nil"/>
              <w:right w:val="nil"/>
            </w:tcBorders>
            <w:shd w:val="clear" w:color="auto" w:fill="auto"/>
            <w:noWrap/>
            <w:vAlign w:val="bottom"/>
            <w:hideMark/>
          </w:tcPr>
          <w:p w:rsidR="00637DE5" w:rsidRPr="00471808" w:rsidRDefault="00637DE5" w:rsidP="00C7036E">
            <w:pPr>
              <w:jc w:val="right"/>
              <w:rPr>
                <w:sz w:val="20"/>
                <w:szCs w:val="20"/>
              </w:rPr>
            </w:pPr>
          </w:p>
        </w:tc>
        <w:tc>
          <w:tcPr>
            <w:tcW w:w="2250"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 </w:t>
            </w:r>
          </w:p>
        </w:tc>
      </w:tr>
      <w:tr w:rsidR="00637DE5" w:rsidRPr="00471808" w:rsidTr="00637DE5">
        <w:trPr>
          <w:trHeight w:val="315"/>
          <w:jc w:val="center"/>
        </w:trPr>
        <w:tc>
          <w:tcPr>
            <w:tcW w:w="836" w:type="dxa"/>
            <w:tcBorders>
              <w:top w:val="nil"/>
              <w:left w:val="single" w:sz="4" w:space="0" w:color="auto"/>
              <w:bottom w:val="nil"/>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24</w:t>
            </w:r>
          </w:p>
        </w:tc>
        <w:tc>
          <w:tcPr>
            <w:tcW w:w="5151" w:type="dxa"/>
            <w:tcBorders>
              <w:top w:val="nil"/>
              <w:left w:val="nil"/>
              <w:bottom w:val="nil"/>
              <w:right w:val="nil"/>
            </w:tcBorders>
            <w:shd w:val="clear" w:color="auto" w:fill="auto"/>
            <w:noWrap/>
            <w:vAlign w:val="bottom"/>
            <w:hideMark/>
          </w:tcPr>
          <w:p w:rsidR="00637DE5" w:rsidRPr="00471808" w:rsidRDefault="00637DE5" w:rsidP="00C7036E">
            <w:pPr>
              <w:rPr>
                <w:sz w:val="20"/>
                <w:szCs w:val="20"/>
              </w:rPr>
            </w:pPr>
            <w:r w:rsidRPr="00471808">
              <w:rPr>
                <w:sz w:val="20"/>
                <w:szCs w:val="20"/>
              </w:rPr>
              <w:t>Percentage Increase in Rates</w:t>
            </w:r>
          </w:p>
        </w:tc>
        <w:tc>
          <w:tcPr>
            <w:tcW w:w="1061" w:type="dxa"/>
            <w:tcBorders>
              <w:top w:val="nil"/>
              <w:left w:val="nil"/>
              <w:bottom w:val="double" w:sz="6" w:space="0" w:color="auto"/>
              <w:right w:val="nil"/>
            </w:tcBorders>
            <w:shd w:val="clear" w:color="000000" w:fill="FFFFFF"/>
            <w:noWrap/>
            <w:vAlign w:val="bottom"/>
            <w:hideMark/>
          </w:tcPr>
          <w:p w:rsidR="00637DE5" w:rsidRPr="00471808" w:rsidRDefault="00637DE5" w:rsidP="00C7036E">
            <w:pPr>
              <w:jc w:val="right"/>
              <w:rPr>
                <w:sz w:val="20"/>
                <w:szCs w:val="20"/>
              </w:rPr>
            </w:pPr>
            <w:r w:rsidRPr="00471808">
              <w:rPr>
                <w:sz w:val="20"/>
                <w:szCs w:val="20"/>
              </w:rPr>
              <w:t>2.11%</w:t>
            </w:r>
          </w:p>
        </w:tc>
        <w:tc>
          <w:tcPr>
            <w:tcW w:w="1016" w:type="dxa"/>
            <w:tcBorders>
              <w:top w:val="nil"/>
              <w:left w:val="nil"/>
              <w:bottom w:val="nil"/>
              <w:right w:val="nil"/>
            </w:tcBorders>
            <w:shd w:val="clear" w:color="000000" w:fill="FFFFFF"/>
            <w:noWrap/>
            <w:vAlign w:val="bottom"/>
            <w:hideMark/>
          </w:tcPr>
          <w:p w:rsidR="00637DE5" w:rsidRPr="00471808" w:rsidRDefault="00637DE5" w:rsidP="00C7036E">
            <w:pPr>
              <w:jc w:val="center"/>
              <w:rPr>
                <w:sz w:val="20"/>
                <w:szCs w:val="20"/>
                <w:u w:val="single"/>
              </w:rPr>
            </w:pPr>
          </w:p>
        </w:tc>
        <w:tc>
          <w:tcPr>
            <w:tcW w:w="2250" w:type="dxa"/>
            <w:tcBorders>
              <w:top w:val="nil"/>
              <w:left w:val="nil"/>
              <w:bottom w:val="double" w:sz="6" w:space="0" w:color="auto"/>
              <w:right w:val="single" w:sz="4" w:space="0" w:color="auto"/>
            </w:tcBorders>
            <w:shd w:val="clear" w:color="000000" w:fill="FFFFFF"/>
            <w:noWrap/>
            <w:vAlign w:val="bottom"/>
            <w:hideMark/>
          </w:tcPr>
          <w:p w:rsidR="00637DE5" w:rsidRPr="00471808" w:rsidRDefault="00B05B2D" w:rsidP="00C7036E">
            <w:pPr>
              <w:jc w:val="right"/>
              <w:rPr>
                <w:color w:val="000000"/>
                <w:sz w:val="20"/>
                <w:szCs w:val="20"/>
              </w:rPr>
            </w:pPr>
            <w:r>
              <w:rPr>
                <w:color w:val="000000"/>
                <w:sz w:val="20"/>
                <w:szCs w:val="20"/>
              </w:rPr>
              <w:t>1.64</w:t>
            </w:r>
            <w:r w:rsidR="00637DE5" w:rsidRPr="00471808">
              <w:rPr>
                <w:color w:val="000000"/>
                <w:sz w:val="20"/>
                <w:szCs w:val="20"/>
              </w:rPr>
              <w:t>%</w:t>
            </w:r>
          </w:p>
        </w:tc>
      </w:tr>
      <w:tr w:rsidR="00637DE5" w:rsidRPr="00471808" w:rsidTr="00637DE5">
        <w:trPr>
          <w:trHeight w:val="35"/>
          <w:jc w:val="center"/>
        </w:trPr>
        <w:tc>
          <w:tcPr>
            <w:tcW w:w="836" w:type="dxa"/>
            <w:tcBorders>
              <w:top w:val="nil"/>
              <w:left w:val="single" w:sz="4" w:space="0" w:color="auto"/>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 </w:t>
            </w:r>
          </w:p>
        </w:tc>
        <w:tc>
          <w:tcPr>
            <w:tcW w:w="5151" w:type="dxa"/>
            <w:tcBorders>
              <w:top w:val="nil"/>
              <w:left w:val="nil"/>
              <w:right w:val="nil"/>
            </w:tcBorders>
            <w:shd w:val="clear" w:color="auto" w:fill="auto"/>
            <w:noWrap/>
            <w:vAlign w:val="bottom"/>
            <w:hideMark/>
          </w:tcPr>
          <w:p w:rsidR="00637DE5" w:rsidRPr="00471808" w:rsidRDefault="00637DE5" w:rsidP="00C7036E">
            <w:pPr>
              <w:rPr>
                <w:sz w:val="20"/>
                <w:szCs w:val="20"/>
              </w:rPr>
            </w:pPr>
          </w:p>
        </w:tc>
        <w:tc>
          <w:tcPr>
            <w:tcW w:w="1061" w:type="dxa"/>
            <w:tcBorders>
              <w:top w:val="nil"/>
              <w:left w:val="nil"/>
              <w:right w:val="nil"/>
            </w:tcBorders>
            <w:shd w:val="clear" w:color="auto" w:fill="auto"/>
            <w:noWrap/>
            <w:vAlign w:val="bottom"/>
            <w:hideMark/>
          </w:tcPr>
          <w:p w:rsidR="00637DE5" w:rsidRPr="00471808" w:rsidRDefault="00637DE5" w:rsidP="00C7036E">
            <w:pPr>
              <w:rPr>
                <w:sz w:val="20"/>
                <w:szCs w:val="20"/>
              </w:rPr>
            </w:pPr>
          </w:p>
        </w:tc>
        <w:tc>
          <w:tcPr>
            <w:tcW w:w="1016" w:type="dxa"/>
            <w:tcBorders>
              <w:top w:val="nil"/>
              <w:left w:val="nil"/>
              <w:right w:val="nil"/>
            </w:tcBorders>
            <w:shd w:val="clear" w:color="auto" w:fill="auto"/>
            <w:noWrap/>
            <w:vAlign w:val="bottom"/>
            <w:hideMark/>
          </w:tcPr>
          <w:p w:rsidR="00637DE5" w:rsidRPr="00471808" w:rsidRDefault="00637DE5" w:rsidP="00C7036E">
            <w:pPr>
              <w:rPr>
                <w:sz w:val="20"/>
                <w:szCs w:val="20"/>
              </w:rPr>
            </w:pPr>
          </w:p>
        </w:tc>
        <w:tc>
          <w:tcPr>
            <w:tcW w:w="2250" w:type="dxa"/>
            <w:tcBorders>
              <w:top w:val="nil"/>
              <w:left w:val="nil"/>
              <w:right w:val="single" w:sz="4" w:space="0" w:color="auto"/>
            </w:tcBorders>
            <w:shd w:val="clear" w:color="auto" w:fill="auto"/>
            <w:noWrap/>
            <w:vAlign w:val="bottom"/>
            <w:hideMark/>
          </w:tcPr>
          <w:p w:rsidR="00637DE5" w:rsidRPr="00471808" w:rsidRDefault="00637DE5" w:rsidP="00C7036E">
            <w:pPr>
              <w:rPr>
                <w:color w:val="000000"/>
                <w:sz w:val="20"/>
                <w:szCs w:val="20"/>
              </w:rPr>
            </w:pPr>
            <w:r w:rsidRPr="00471808">
              <w:rPr>
                <w:color w:val="000000"/>
                <w:sz w:val="20"/>
                <w:szCs w:val="20"/>
              </w:rPr>
              <w:t> </w:t>
            </w:r>
          </w:p>
        </w:tc>
      </w:tr>
      <w:tr w:rsidR="00637DE5" w:rsidRPr="00471808" w:rsidTr="00637DE5">
        <w:trPr>
          <w:trHeight w:val="315"/>
          <w:jc w:val="center"/>
        </w:trPr>
        <w:tc>
          <w:tcPr>
            <w:tcW w:w="836" w:type="dxa"/>
            <w:tcBorders>
              <w:top w:val="nil"/>
              <w:left w:val="single" w:sz="4" w:space="0" w:color="auto"/>
              <w:bottom w:val="single" w:sz="4" w:space="0" w:color="auto"/>
              <w:right w:val="nil"/>
            </w:tcBorders>
            <w:shd w:val="clear" w:color="auto" w:fill="auto"/>
            <w:noWrap/>
            <w:vAlign w:val="bottom"/>
            <w:hideMark/>
          </w:tcPr>
          <w:p w:rsidR="00637DE5" w:rsidRPr="00471808" w:rsidRDefault="00637DE5" w:rsidP="00C7036E">
            <w:pPr>
              <w:jc w:val="center"/>
              <w:rPr>
                <w:color w:val="000000"/>
                <w:sz w:val="20"/>
                <w:szCs w:val="20"/>
              </w:rPr>
            </w:pPr>
            <w:r w:rsidRPr="00471808">
              <w:rPr>
                <w:color w:val="000000"/>
                <w:sz w:val="20"/>
                <w:szCs w:val="20"/>
              </w:rPr>
              <w:t>25</w:t>
            </w:r>
          </w:p>
        </w:tc>
        <w:tc>
          <w:tcPr>
            <w:tcW w:w="5151" w:type="dxa"/>
            <w:tcBorders>
              <w:top w:val="nil"/>
              <w:left w:val="nil"/>
              <w:bottom w:val="single" w:sz="4" w:space="0" w:color="auto"/>
              <w:right w:val="nil"/>
            </w:tcBorders>
            <w:shd w:val="clear" w:color="auto" w:fill="auto"/>
            <w:noWrap/>
            <w:vAlign w:val="bottom"/>
            <w:hideMark/>
          </w:tcPr>
          <w:p w:rsidR="00637DE5" w:rsidRPr="00471808" w:rsidRDefault="00637DE5" w:rsidP="00C7036E">
            <w:pPr>
              <w:rPr>
                <w:sz w:val="20"/>
                <w:szCs w:val="20"/>
              </w:rPr>
            </w:pPr>
            <w:r w:rsidRPr="00471808">
              <w:rPr>
                <w:sz w:val="20"/>
                <w:szCs w:val="20"/>
              </w:rPr>
              <w:t>4-Year Rate Reduction (Rate Case Expense)</w:t>
            </w:r>
          </w:p>
        </w:tc>
        <w:tc>
          <w:tcPr>
            <w:tcW w:w="1061" w:type="dxa"/>
            <w:tcBorders>
              <w:top w:val="nil"/>
              <w:left w:val="nil"/>
              <w:bottom w:val="single" w:sz="4" w:space="0" w:color="auto"/>
              <w:right w:val="nil"/>
            </w:tcBorders>
            <w:shd w:val="clear" w:color="auto" w:fill="auto"/>
            <w:noWrap/>
            <w:vAlign w:val="bottom"/>
            <w:hideMark/>
          </w:tcPr>
          <w:p w:rsidR="00637DE5" w:rsidRPr="00471808" w:rsidRDefault="00637DE5" w:rsidP="00C7036E">
            <w:pPr>
              <w:rPr>
                <w:sz w:val="20"/>
                <w:szCs w:val="20"/>
              </w:rPr>
            </w:pPr>
          </w:p>
        </w:tc>
        <w:tc>
          <w:tcPr>
            <w:tcW w:w="1016" w:type="dxa"/>
            <w:tcBorders>
              <w:top w:val="nil"/>
              <w:left w:val="nil"/>
              <w:bottom w:val="single" w:sz="4" w:space="0" w:color="auto"/>
              <w:right w:val="nil"/>
            </w:tcBorders>
            <w:shd w:val="clear" w:color="auto" w:fill="auto"/>
            <w:noWrap/>
            <w:vAlign w:val="bottom"/>
            <w:hideMark/>
          </w:tcPr>
          <w:p w:rsidR="00637DE5" w:rsidRPr="00471808" w:rsidRDefault="00637DE5" w:rsidP="00C7036E">
            <w:pPr>
              <w:rPr>
                <w:sz w:val="20"/>
                <w:szCs w:val="20"/>
              </w:rPr>
            </w:pPr>
          </w:p>
        </w:tc>
        <w:tc>
          <w:tcPr>
            <w:tcW w:w="2250" w:type="dxa"/>
            <w:tcBorders>
              <w:top w:val="nil"/>
              <w:left w:val="nil"/>
              <w:bottom w:val="double" w:sz="4" w:space="0" w:color="auto"/>
              <w:right w:val="single" w:sz="4" w:space="0" w:color="auto"/>
            </w:tcBorders>
            <w:shd w:val="clear" w:color="000000" w:fill="FFFFFF"/>
            <w:noWrap/>
            <w:vAlign w:val="bottom"/>
            <w:hideMark/>
          </w:tcPr>
          <w:p w:rsidR="00637DE5" w:rsidRPr="00471808" w:rsidRDefault="00637DE5" w:rsidP="00B05B2D">
            <w:pPr>
              <w:jc w:val="right"/>
              <w:rPr>
                <w:sz w:val="20"/>
                <w:szCs w:val="20"/>
              </w:rPr>
            </w:pPr>
            <w:r w:rsidRPr="00471808">
              <w:rPr>
                <w:sz w:val="20"/>
                <w:szCs w:val="20"/>
              </w:rPr>
              <w:t>$2,</w:t>
            </w:r>
            <w:r w:rsidR="00B05B2D">
              <w:rPr>
                <w:sz w:val="20"/>
                <w:szCs w:val="20"/>
              </w:rPr>
              <w:t>278</w:t>
            </w:r>
            <w:r w:rsidRPr="00471808">
              <w:rPr>
                <w:sz w:val="20"/>
                <w:szCs w:val="20"/>
              </w:rPr>
              <w:t xml:space="preserve"> </w:t>
            </w:r>
          </w:p>
        </w:tc>
      </w:tr>
    </w:tbl>
    <w:p w:rsidR="00637DE5" w:rsidRDefault="00637DE5"/>
    <w:tbl>
      <w:tblPr>
        <w:tblW w:w="9019" w:type="dxa"/>
        <w:jc w:val="center"/>
        <w:tblLook w:val="04A0" w:firstRow="1" w:lastRow="0" w:firstColumn="1" w:lastColumn="0" w:noHBand="0" w:noVBand="1"/>
      </w:tblPr>
      <w:tblGrid>
        <w:gridCol w:w="3165"/>
        <w:gridCol w:w="1439"/>
        <w:gridCol w:w="1120"/>
        <w:gridCol w:w="1032"/>
        <w:gridCol w:w="2263"/>
      </w:tblGrid>
      <w:tr w:rsidR="00637DE5" w:rsidRPr="00471808" w:rsidTr="00637DE5">
        <w:trPr>
          <w:trHeight w:val="289"/>
          <w:jc w:val="center"/>
        </w:trPr>
        <w:tc>
          <w:tcPr>
            <w:tcW w:w="3165" w:type="dxa"/>
            <w:tcBorders>
              <w:top w:val="single" w:sz="4" w:space="0" w:color="auto"/>
              <w:left w:val="single" w:sz="4" w:space="0" w:color="auto"/>
              <w:bottom w:val="nil"/>
              <w:right w:val="nil"/>
            </w:tcBorders>
            <w:shd w:val="clear" w:color="auto" w:fill="auto"/>
            <w:noWrap/>
            <w:vAlign w:val="bottom"/>
            <w:hideMark/>
          </w:tcPr>
          <w:p w:rsidR="00637DE5" w:rsidRPr="00471808" w:rsidRDefault="00637DE5" w:rsidP="00C7036E">
            <w:pPr>
              <w:rPr>
                <w:b/>
                <w:bCs/>
                <w:color w:val="000000"/>
                <w:sz w:val="20"/>
                <w:szCs w:val="20"/>
              </w:rPr>
            </w:pPr>
            <w:r w:rsidRPr="00471808">
              <w:rPr>
                <w:b/>
                <w:bCs/>
                <w:color w:val="000000"/>
                <w:sz w:val="20"/>
                <w:szCs w:val="20"/>
              </w:rPr>
              <w:t>UTILITIES, INC. OF FLORIDA</w:t>
            </w:r>
          </w:p>
        </w:tc>
        <w:tc>
          <w:tcPr>
            <w:tcW w:w="1439" w:type="dxa"/>
            <w:tcBorders>
              <w:top w:val="single" w:sz="4" w:space="0" w:color="auto"/>
              <w:left w:val="nil"/>
              <w:bottom w:val="nil"/>
              <w:right w:val="nil"/>
            </w:tcBorders>
            <w:shd w:val="clear" w:color="auto" w:fill="auto"/>
            <w:noWrap/>
            <w:vAlign w:val="bottom"/>
            <w:hideMark/>
          </w:tcPr>
          <w:p w:rsidR="00637DE5" w:rsidRPr="00471808" w:rsidRDefault="00637DE5" w:rsidP="00C7036E">
            <w:pPr>
              <w:rPr>
                <w:b/>
                <w:bCs/>
                <w:color w:val="000000"/>
                <w:sz w:val="20"/>
                <w:szCs w:val="20"/>
              </w:rPr>
            </w:pPr>
            <w:r w:rsidRPr="00471808">
              <w:rPr>
                <w:b/>
                <w:bCs/>
                <w:color w:val="000000"/>
                <w:sz w:val="20"/>
                <w:szCs w:val="20"/>
              </w:rPr>
              <w:t> </w:t>
            </w:r>
          </w:p>
        </w:tc>
        <w:tc>
          <w:tcPr>
            <w:tcW w:w="1120" w:type="dxa"/>
            <w:tcBorders>
              <w:top w:val="single" w:sz="4" w:space="0" w:color="auto"/>
              <w:left w:val="nil"/>
              <w:bottom w:val="nil"/>
              <w:right w:val="nil"/>
            </w:tcBorders>
            <w:shd w:val="clear" w:color="auto" w:fill="auto"/>
            <w:noWrap/>
            <w:vAlign w:val="bottom"/>
            <w:hideMark/>
          </w:tcPr>
          <w:p w:rsidR="00637DE5" w:rsidRPr="00471808" w:rsidRDefault="00637DE5" w:rsidP="00C7036E">
            <w:pPr>
              <w:rPr>
                <w:b/>
                <w:bCs/>
                <w:color w:val="000000"/>
                <w:sz w:val="20"/>
                <w:szCs w:val="20"/>
              </w:rPr>
            </w:pPr>
            <w:r w:rsidRPr="00471808">
              <w:rPr>
                <w:b/>
                <w:bCs/>
                <w:color w:val="000000"/>
                <w:sz w:val="20"/>
                <w:szCs w:val="20"/>
              </w:rPr>
              <w:t> </w:t>
            </w:r>
          </w:p>
        </w:tc>
        <w:tc>
          <w:tcPr>
            <w:tcW w:w="3295" w:type="dxa"/>
            <w:gridSpan w:val="2"/>
            <w:tcBorders>
              <w:top w:val="single" w:sz="4" w:space="0" w:color="auto"/>
              <w:left w:val="nil"/>
              <w:bottom w:val="nil"/>
              <w:right w:val="single" w:sz="4" w:space="0" w:color="000000"/>
            </w:tcBorders>
            <w:shd w:val="clear" w:color="auto" w:fill="auto"/>
            <w:noWrap/>
            <w:vAlign w:val="bottom"/>
            <w:hideMark/>
          </w:tcPr>
          <w:p w:rsidR="00637DE5" w:rsidRPr="00471808" w:rsidRDefault="00637DE5" w:rsidP="00C7036E">
            <w:pPr>
              <w:jc w:val="right"/>
              <w:rPr>
                <w:b/>
                <w:bCs/>
                <w:color w:val="000000"/>
                <w:sz w:val="20"/>
                <w:szCs w:val="20"/>
              </w:rPr>
            </w:pPr>
            <w:r w:rsidRPr="00471808">
              <w:rPr>
                <w:b/>
                <w:bCs/>
                <w:color w:val="000000"/>
                <w:sz w:val="20"/>
                <w:szCs w:val="20"/>
              </w:rPr>
              <w:t>SCHEDULE NO. 3</w:t>
            </w:r>
          </w:p>
        </w:tc>
      </w:tr>
      <w:tr w:rsidR="00637DE5" w:rsidRPr="00471808" w:rsidTr="00637DE5">
        <w:trPr>
          <w:trHeight w:val="289"/>
          <w:jc w:val="center"/>
        </w:trPr>
        <w:tc>
          <w:tcPr>
            <w:tcW w:w="3165" w:type="dxa"/>
            <w:tcBorders>
              <w:top w:val="nil"/>
              <w:left w:val="single" w:sz="4" w:space="0" w:color="auto"/>
              <w:bottom w:val="nil"/>
              <w:right w:val="nil"/>
            </w:tcBorders>
            <w:shd w:val="clear" w:color="auto" w:fill="auto"/>
            <w:noWrap/>
            <w:vAlign w:val="bottom"/>
            <w:hideMark/>
          </w:tcPr>
          <w:p w:rsidR="00637DE5" w:rsidRPr="00471808" w:rsidRDefault="00637DE5" w:rsidP="00C7036E">
            <w:pPr>
              <w:rPr>
                <w:b/>
                <w:bCs/>
                <w:color w:val="000000"/>
                <w:sz w:val="20"/>
                <w:szCs w:val="20"/>
              </w:rPr>
            </w:pPr>
            <w:r w:rsidRPr="00471808">
              <w:rPr>
                <w:b/>
                <w:bCs/>
                <w:color w:val="000000"/>
                <w:sz w:val="20"/>
                <w:szCs w:val="20"/>
              </w:rPr>
              <w:t>CAPITAL STRUCTURE</w:t>
            </w:r>
          </w:p>
        </w:tc>
        <w:tc>
          <w:tcPr>
            <w:tcW w:w="1439" w:type="dxa"/>
            <w:tcBorders>
              <w:top w:val="nil"/>
              <w:left w:val="nil"/>
              <w:bottom w:val="nil"/>
              <w:right w:val="nil"/>
            </w:tcBorders>
            <w:shd w:val="clear" w:color="auto" w:fill="auto"/>
            <w:noWrap/>
            <w:vAlign w:val="bottom"/>
            <w:hideMark/>
          </w:tcPr>
          <w:p w:rsidR="00637DE5" w:rsidRPr="00471808" w:rsidRDefault="00637DE5" w:rsidP="00C7036E">
            <w:pPr>
              <w:rPr>
                <w:b/>
                <w:bCs/>
                <w:color w:val="000000"/>
                <w:sz w:val="20"/>
                <w:szCs w:val="20"/>
              </w:rPr>
            </w:pPr>
          </w:p>
        </w:tc>
        <w:tc>
          <w:tcPr>
            <w:tcW w:w="1120" w:type="dxa"/>
            <w:tcBorders>
              <w:top w:val="nil"/>
              <w:left w:val="nil"/>
              <w:bottom w:val="nil"/>
              <w:right w:val="nil"/>
            </w:tcBorders>
            <w:shd w:val="clear" w:color="auto" w:fill="auto"/>
            <w:noWrap/>
            <w:vAlign w:val="bottom"/>
            <w:hideMark/>
          </w:tcPr>
          <w:p w:rsidR="00637DE5" w:rsidRPr="00471808" w:rsidRDefault="00637DE5" w:rsidP="00C7036E">
            <w:pPr>
              <w:rPr>
                <w:b/>
                <w:bCs/>
                <w:color w:val="000000"/>
                <w:sz w:val="20"/>
                <w:szCs w:val="20"/>
              </w:rPr>
            </w:pPr>
          </w:p>
        </w:tc>
        <w:tc>
          <w:tcPr>
            <w:tcW w:w="3295" w:type="dxa"/>
            <w:gridSpan w:val="2"/>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b/>
                <w:bCs/>
                <w:color w:val="000000"/>
                <w:sz w:val="20"/>
                <w:szCs w:val="20"/>
              </w:rPr>
            </w:pPr>
            <w:r w:rsidRPr="00471808">
              <w:rPr>
                <w:b/>
                <w:bCs/>
                <w:color w:val="000000"/>
                <w:sz w:val="20"/>
                <w:szCs w:val="20"/>
              </w:rPr>
              <w:t>DOCKET NO. 150269-WS</w:t>
            </w:r>
          </w:p>
        </w:tc>
      </w:tr>
      <w:tr w:rsidR="00637DE5" w:rsidRPr="00471808" w:rsidTr="00637DE5">
        <w:trPr>
          <w:trHeight w:val="289"/>
          <w:jc w:val="center"/>
        </w:trPr>
        <w:tc>
          <w:tcPr>
            <w:tcW w:w="3165" w:type="dxa"/>
            <w:tcBorders>
              <w:top w:val="nil"/>
              <w:left w:val="single" w:sz="4" w:space="0" w:color="auto"/>
              <w:bottom w:val="single" w:sz="4" w:space="0" w:color="auto"/>
              <w:right w:val="nil"/>
            </w:tcBorders>
            <w:shd w:val="clear" w:color="auto" w:fill="auto"/>
            <w:noWrap/>
            <w:vAlign w:val="bottom"/>
            <w:hideMark/>
          </w:tcPr>
          <w:p w:rsidR="00637DE5" w:rsidRPr="00471808" w:rsidRDefault="00637DE5" w:rsidP="00C7036E">
            <w:pPr>
              <w:rPr>
                <w:b/>
                <w:bCs/>
                <w:color w:val="000000"/>
                <w:sz w:val="20"/>
                <w:szCs w:val="20"/>
              </w:rPr>
            </w:pPr>
            <w:r w:rsidRPr="00471808">
              <w:rPr>
                <w:b/>
                <w:bCs/>
                <w:color w:val="000000"/>
                <w:sz w:val="20"/>
                <w:szCs w:val="20"/>
              </w:rPr>
              <w:t>DECEMBER 31, 2015</w:t>
            </w:r>
          </w:p>
        </w:tc>
        <w:tc>
          <w:tcPr>
            <w:tcW w:w="1439" w:type="dxa"/>
            <w:tcBorders>
              <w:top w:val="nil"/>
              <w:left w:val="nil"/>
              <w:bottom w:val="single" w:sz="4" w:space="0" w:color="auto"/>
              <w:right w:val="nil"/>
            </w:tcBorders>
            <w:shd w:val="clear" w:color="auto" w:fill="auto"/>
            <w:noWrap/>
            <w:vAlign w:val="bottom"/>
            <w:hideMark/>
          </w:tcPr>
          <w:p w:rsidR="00637DE5" w:rsidRPr="00471808" w:rsidRDefault="00637DE5" w:rsidP="00C7036E">
            <w:pPr>
              <w:rPr>
                <w:color w:val="000000"/>
                <w:sz w:val="20"/>
                <w:szCs w:val="20"/>
              </w:rPr>
            </w:pPr>
            <w:r w:rsidRPr="00471808">
              <w:rPr>
                <w:color w:val="000000"/>
                <w:sz w:val="20"/>
                <w:szCs w:val="20"/>
              </w:rPr>
              <w:t> </w:t>
            </w:r>
          </w:p>
        </w:tc>
        <w:tc>
          <w:tcPr>
            <w:tcW w:w="1120" w:type="dxa"/>
            <w:tcBorders>
              <w:top w:val="nil"/>
              <w:left w:val="nil"/>
              <w:bottom w:val="single" w:sz="4" w:space="0" w:color="auto"/>
              <w:right w:val="nil"/>
            </w:tcBorders>
            <w:shd w:val="clear" w:color="auto" w:fill="auto"/>
            <w:noWrap/>
            <w:vAlign w:val="bottom"/>
            <w:hideMark/>
          </w:tcPr>
          <w:p w:rsidR="00637DE5" w:rsidRPr="00471808" w:rsidRDefault="00637DE5" w:rsidP="00C7036E">
            <w:pPr>
              <w:rPr>
                <w:color w:val="000000"/>
                <w:sz w:val="20"/>
                <w:szCs w:val="20"/>
              </w:rPr>
            </w:pPr>
            <w:r w:rsidRPr="00471808">
              <w:rPr>
                <w:color w:val="000000"/>
                <w:sz w:val="20"/>
                <w:szCs w:val="20"/>
              </w:rPr>
              <w:t> </w:t>
            </w:r>
          </w:p>
        </w:tc>
        <w:tc>
          <w:tcPr>
            <w:tcW w:w="1032" w:type="dxa"/>
            <w:tcBorders>
              <w:top w:val="nil"/>
              <w:left w:val="nil"/>
              <w:bottom w:val="single" w:sz="4" w:space="0" w:color="auto"/>
              <w:right w:val="nil"/>
            </w:tcBorders>
            <w:shd w:val="clear" w:color="auto" w:fill="auto"/>
            <w:noWrap/>
            <w:vAlign w:val="bottom"/>
            <w:hideMark/>
          </w:tcPr>
          <w:p w:rsidR="00637DE5" w:rsidRPr="00471808" w:rsidRDefault="00637DE5" w:rsidP="00C7036E">
            <w:pPr>
              <w:rPr>
                <w:color w:val="000000"/>
                <w:sz w:val="20"/>
                <w:szCs w:val="20"/>
              </w:rPr>
            </w:pPr>
            <w:r w:rsidRPr="00471808">
              <w:rPr>
                <w:color w:val="000000"/>
                <w:sz w:val="20"/>
                <w:szCs w:val="20"/>
              </w:rPr>
              <w:t> </w:t>
            </w:r>
          </w:p>
        </w:tc>
        <w:tc>
          <w:tcPr>
            <w:tcW w:w="2263" w:type="dxa"/>
            <w:tcBorders>
              <w:top w:val="nil"/>
              <w:left w:val="nil"/>
              <w:bottom w:val="single" w:sz="4" w:space="0" w:color="auto"/>
              <w:right w:val="single" w:sz="4" w:space="0" w:color="auto"/>
            </w:tcBorders>
            <w:shd w:val="clear" w:color="auto" w:fill="auto"/>
            <w:noWrap/>
            <w:vAlign w:val="bottom"/>
            <w:hideMark/>
          </w:tcPr>
          <w:p w:rsidR="00637DE5" w:rsidRPr="00471808" w:rsidRDefault="00637DE5" w:rsidP="00C7036E">
            <w:pPr>
              <w:rPr>
                <w:color w:val="000000"/>
                <w:sz w:val="20"/>
                <w:szCs w:val="20"/>
              </w:rPr>
            </w:pPr>
            <w:r w:rsidRPr="00471808">
              <w:rPr>
                <w:color w:val="000000"/>
                <w:sz w:val="20"/>
                <w:szCs w:val="20"/>
              </w:rPr>
              <w:t> </w:t>
            </w:r>
          </w:p>
        </w:tc>
      </w:tr>
      <w:tr w:rsidR="00637DE5" w:rsidRPr="00471808" w:rsidTr="00637DE5">
        <w:trPr>
          <w:trHeight w:val="289"/>
          <w:jc w:val="center"/>
        </w:trPr>
        <w:tc>
          <w:tcPr>
            <w:tcW w:w="3165" w:type="dxa"/>
            <w:tcBorders>
              <w:top w:val="nil"/>
              <w:left w:val="single" w:sz="4" w:space="0" w:color="auto"/>
              <w:bottom w:val="single" w:sz="4" w:space="0" w:color="auto"/>
              <w:right w:val="nil"/>
            </w:tcBorders>
            <w:shd w:val="clear" w:color="auto" w:fill="auto"/>
            <w:noWrap/>
            <w:vAlign w:val="bottom"/>
            <w:hideMark/>
          </w:tcPr>
          <w:p w:rsidR="00637DE5" w:rsidRPr="00471808" w:rsidRDefault="00637DE5" w:rsidP="00C7036E">
            <w:pPr>
              <w:rPr>
                <w:color w:val="000000"/>
                <w:sz w:val="20"/>
                <w:szCs w:val="20"/>
              </w:rPr>
            </w:pPr>
            <w:r w:rsidRPr="00471808">
              <w:rPr>
                <w:color w:val="000000"/>
                <w:sz w:val="20"/>
                <w:szCs w:val="20"/>
              </w:rPr>
              <w:t> </w:t>
            </w:r>
          </w:p>
        </w:tc>
        <w:tc>
          <w:tcPr>
            <w:tcW w:w="1439" w:type="dxa"/>
            <w:tcBorders>
              <w:top w:val="nil"/>
              <w:left w:val="nil"/>
              <w:bottom w:val="single" w:sz="4" w:space="0" w:color="auto"/>
              <w:right w:val="nil"/>
            </w:tcBorders>
            <w:shd w:val="clear" w:color="auto" w:fill="auto"/>
            <w:noWrap/>
            <w:vAlign w:val="bottom"/>
            <w:hideMark/>
          </w:tcPr>
          <w:p w:rsidR="00637DE5" w:rsidRPr="00471808" w:rsidRDefault="00637DE5" w:rsidP="00C7036E">
            <w:pPr>
              <w:jc w:val="center"/>
              <w:rPr>
                <w:b/>
                <w:bCs/>
                <w:color w:val="000000"/>
                <w:sz w:val="20"/>
                <w:szCs w:val="20"/>
              </w:rPr>
            </w:pPr>
            <w:r w:rsidRPr="00471808">
              <w:rPr>
                <w:b/>
                <w:bCs/>
                <w:color w:val="000000"/>
                <w:sz w:val="20"/>
                <w:szCs w:val="20"/>
              </w:rPr>
              <w:t>($) AMOUNT</w:t>
            </w:r>
          </w:p>
        </w:tc>
        <w:tc>
          <w:tcPr>
            <w:tcW w:w="1120" w:type="dxa"/>
            <w:tcBorders>
              <w:top w:val="nil"/>
              <w:left w:val="nil"/>
              <w:bottom w:val="single" w:sz="4" w:space="0" w:color="auto"/>
              <w:right w:val="nil"/>
            </w:tcBorders>
            <w:shd w:val="clear" w:color="auto" w:fill="auto"/>
            <w:noWrap/>
            <w:vAlign w:val="bottom"/>
            <w:hideMark/>
          </w:tcPr>
          <w:p w:rsidR="00637DE5" w:rsidRPr="00471808" w:rsidRDefault="00637DE5" w:rsidP="00C7036E">
            <w:pPr>
              <w:jc w:val="center"/>
              <w:rPr>
                <w:b/>
                <w:bCs/>
                <w:color w:val="000000"/>
                <w:sz w:val="20"/>
                <w:szCs w:val="20"/>
              </w:rPr>
            </w:pPr>
            <w:r w:rsidRPr="00471808">
              <w:rPr>
                <w:b/>
                <w:bCs/>
                <w:color w:val="000000"/>
                <w:sz w:val="20"/>
                <w:szCs w:val="20"/>
              </w:rPr>
              <w:t>RATIO</w:t>
            </w:r>
          </w:p>
        </w:tc>
        <w:tc>
          <w:tcPr>
            <w:tcW w:w="1032" w:type="dxa"/>
            <w:tcBorders>
              <w:top w:val="nil"/>
              <w:left w:val="nil"/>
              <w:bottom w:val="single" w:sz="4" w:space="0" w:color="auto"/>
              <w:right w:val="nil"/>
            </w:tcBorders>
            <w:shd w:val="clear" w:color="auto" w:fill="auto"/>
            <w:noWrap/>
            <w:vAlign w:val="bottom"/>
            <w:hideMark/>
          </w:tcPr>
          <w:p w:rsidR="00637DE5" w:rsidRPr="00471808" w:rsidRDefault="00637DE5" w:rsidP="00C7036E">
            <w:pPr>
              <w:jc w:val="center"/>
              <w:rPr>
                <w:b/>
                <w:bCs/>
                <w:color w:val="000000"/>
                <w:sz w:val="20"/>
                <w:szCs w:val="20"/>
              </w:rPr>
            </w:pPr>
            <w:r w:rsidRPr="00471808">
              <w:rPr>
                <w:b/>
                <w:bCs/>
                <w:color w:val="000000"/>
                <w:sz w:val="20"/>
                <w:szCs w:val="20"/>
              </w:rPr>
              <w:t>COST RATE</w:t>
            </w:r>
          </w:p>
        </w:tc>
        <w:tc>
          <w:tcPr>
            <w:tcW w:w="2263" w:type="dxa"/>
            <w:tcBorders>
              <w:top w:val="nil"/>
              <w:left w:val="nil"/>
              <w:bottom w:val="single" w:sz="4" w:space="0" w:color="auto"/>
              <w:right w:val="single" w:sz="4" w:space="0" w:color="auto"/>
            </w:tcBorders>
            <w:shd w:val="clear" w:color="auto" w:fill="auto"/>
            <w:noWrap/>
            <w:vAlign w:val="bottom"/>
            <w:hideMark/>
          </w:tcPr>
          <w:p w:rsidR="00637DE5" w:rsidRPr="00471808" w:rsidRDefault="00637DE5" w:rsidP="00C7036E">
            <w:pPr>
              <w:jc w:val="center"/>
              <w:rPr>
                <w:b/>
                <w:bCs/>
                <w:color w:val="000000"/>
                <w:sz w:val="20"/>
                <w:szCs w:val="20"/>
              </w:rPr>
            </w:pPr>
            <w:r w:rsidRPr="00471808">
              <w:rPr>
                <w:b/>
                <w:bCs/>
                <w:color w:val="000000"/>
                <w:sz w:val="20"/>
                <w:szCs w:val="20"/>
              </w:rPr>
              <w:t>WEIGHTED            COST</w:t>
            </w:r>
          </w:p>
        </w:tc>
      </w:tr>
      <w:tr w:rsidR="00637DE5" w:rsidRPr="00471808" w:rsidTr="00637DE5">
        <w:trPr>
          <w:trHeight w:val="289"/>
          <w:jc w:val="center"/>
        </w:trPr>
        <w:tc>
          <w:tcPr>
            <w:tcW w:w="3165" w:type="dxa"/>
            <w:tcBorders>
              <w:top w:val="nil"/>
              <w:left w:val="single" w:sz="4" w:space="0" w:color="auto"/>
              <w:bottom w:val="nil"/>
              <w:right w:val="nil"/>
            </w:tcBorders>
            <w:shd w:val="clear" w:color="auto" w:fill="auto"/>
            <w:noWrap/>
            <w:vAlign w:val="bottom"/>
            <w:hideMark/>
          </w:tcPr>
          <w:p w:rsidR="00637DE5" w:rsidRPr="00471808" w:rsidRDefault="00637DE5" w:rsidP="00C7036E">
            <w:pPr>
              <w:rPr>
                <w:color w:val="000000"/>
                <w:sz w:val="20"/>
                <w:szCs w:val="20"/>
              </w:rPr>
            </w:pPr>
            <w:r w:rsidRPr="00471808">
              <w:rPr>
                <w:color w:val="000000"/>
                <w:sz w:val="20"/>
                <w:szCs w:val="20"/>
              </w:rPr>
              <w:t> </w:t>
            </w:r>
          </w:p>
        </w:tc>
        <w:tc>
          <w:tcPr>
            <w:tcW w:w="1439" w:type="dxa"/>
            <w:tcBorders>
              <w:top w:val="nil"/>
              <w:left w:val="nil"/>
              <w:bottom w:val="nil"/>
              <w:right w:val="nil"/>
            </w:tcBorders>
            <w:shd w:val="clear" w:color="auto" w:fill="auto"/>
            <w:noWrap/>
            <w:vAlign w:val="bottom"/>
            <w:hideMark/>
          </w:tcPr>
          <w:p w:rsidR="00637DE5" w:rsidRPr="00471808" w:rsidRDefault="00637DE5" w:rsidP="00C7036E">
            <w:pPr>
              <w:jc w:val="right"/>
              <w:rPr>
                <w:b/>
                <w:bCs/>
                <w:color w:val="000000"/>
                <w:sz w:val="20"/>
                <w:szCs w:val="20"/>
              </w:rPr>
            </w:pPr>
          </w:p>
        </w:tc>
        <w:tc>
          <w:tcPr>
            <w:tcW w:w="1120" w:type="dxa"/>
            <w:tcBorders>
              <w:top w:val="nil"/>
              <w:left w:val="nil"/>
              <w:bottom w:val="nil"/>
              <w:right w:val="nil"/>
            </w:tcBorders>
            <w:shd w:val="clear" w:color="auto" w:fill="auto"/>
            <w:noWrap/>
            <w:vAlign w:val="bottom"/>
            <w:hideMark/>
          </w:tcPr>
          <w:p w:rsidR="00637DE5" w:rsidRPr="00471808" w:rsidRDefault="00637DE5" w:rsidP="00C7036E">
            <w:pPr>
              <w:jc w:val="right"/>
              <w:rPr>
                <w:b/>
                <w:bCs/>
                <w:color w:val="000000"/>
                <w:sz w:val="20"/>
                <w:szCs w:val="20"/>
              </w:rPr>
            </w:pPr>
          </w:p>
        </w:tc>
        <w:tc>
          <w:tcPr>
            <w:tcW w:w="1032" w:type="dxa"/>
            <w:tcBorders>
              <w:top w:val="nil"/>
              <w:left w:val="nil"/>
              <w:bottom w:val="nil"/>
              <w:right w:val="nil"/>
            </w:tcBorders>
            <w:shd w:val="clear" w:color="auto" w:fill="auto"/>
            <w:noWrap/>
            <w:vAlign w:val="bottom"/>
            <w:hideMark/>
          </w:tcPr>
          <w:p w:rsidR="00637DE5" w:rsidRPr="00471808" w:rsidRDefault="00637DE5" w:rsidP="00C7036E">
            <w:pPr>
              <w:jc w:val="right"/>
              <w:rPr>
                <w:b/>
                <w:bCs/>
                <w:color w:val="000000"/>
                <w:sz w:val="20"/>
                <w:szCs w:val="20"/>
              </w:rPr>
            </w:pPr>
          </w:p>
        </w:tc>
        <w:tc>
          <w:tcPr>
            <w:tcW w:w="2263"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b/>
                <w:bCs/>
                <w:color w:val="000000"/>
                <w:sz w:val="20"/>
                <w:szCs w:val="20"/>
              </w:rPr>
            </w:pPr>
            <w:r w:rsidRPr="00471808">
              <w:rPr>
                <w:b/>
                <w:bCs/>
                <w:color w:val="000000"/>
                <w:sz w:val="20"/>
                <w:szCs w:val="20"/>
              </w:rPr>
              <w:t> </w:t>
            </w:r>
          </w:p>
        </w:tc>
      </w:tr>
      <w:tr w:rsidR="00637DE5" w:rsidRPr="00471808" w:rsidTr="00637DE5">
        <w:trPr>
          <w:trHeight w:val="289"/>
          <w:jc w:val="center"/>
        </w:trPr>
        <w:tc>
          <w:tcPr>
            <w:tcW w:w="3165" w:type="dxa"/>
            <w:tcBorders>
              <w:top w:val="nil"/>
              <w:left w:val="single" w:sz="4" w:space="0" w:color="auto"/>
              <w:bottom w:val="nil"/>
              <w:right w:val="nil"/>
            </w:tcBorders>
            <w:shd w:val="clear" w:color="auto" w:fill="auto"/>
            <w:noWrap/>
            <w:vAlign w:val="bottom"/>
            <w:hideMark/>
          </w:tcPr>
          <w:p w:rsidR="00637DE5" w:rsidRPr="00471808" w:rsidRDefault="00637DE5" w:rsidP="00C7036E">
            <w:pPr>
              <w:rPr>
                <w:b/>
                <w:bCs/>
                <w:color w:val="000000"/>
                <w:sz w:val="20"/>
                <w:szCs w:val="20"/>
                <w:u w:val="single"/>
              </w:rPr>
            </w:pPr>
            <w:r w:rsidRPr="00471808">
              <w:rPr>
                <w:b/>
                <w:bCs/>
                <w:color w:val="000000"/>
                <w:sz w:val="20"/>
                <w:szCs w:val="20"/>
                <w:u w:val="single"/>
              </w:rPr>
              <w:t>PER 2015 ANNUAL REPORT</w:t>
            </w:r>
          </w:p>
        </w:tc>
        <w:tc>
          <w:tcPr>
            <w:tcW w:w="1439"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p>
        </w:tc>
        <w:tc>
          <w:tcPr>
            <w:tcW w:w="1120"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p>
        </w:tc>
        <w:tc>
          <w:tcPr>
            <w:tcW w:w="1032"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p>
        </w:tc>
        <w:tc>
          <w:tcPr>
            <w:tcW w:w="2263"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 </w:t>
            </w:r>
          </w:p>
        </w:tc>
      </w:tr>
      <w:tr w:rsidR="00637DE5" w:rsidRPr="00471808" w:rsidTr="00637DE5">
        <w:trPr>
          <w:trHeight w:val="289"/>
          <w:jc w:val="center"/>
        </w:trPr>
        <w:tc>
          <w:tcPr>
            <w:tcW w:w="3165" w:type="dxa"/>
            <w:tcBorders>
              <w:top w:val="nil"/>
              <w:left w:val="single" w:sz="4" w:space="0" w:color="auto"/>
              <w:bottom w:val="nil"/>
              <w:right w:val="nil"/>
            </w:tcBorders>
            <w:shd w:val="clear" w:color="auto" w:fill="auto"/>
            <w:noWrap/>
            <w:vAlign w:val="bottom"/>
            <w:hideMark/>
          </w:tcPr>
          <w:p w:rsidR="00637DE5" w:rsidRPr="00471808" w:rsidRDefault="00637DE5" w:rsidP="00C7036E">
            <w:pPr>
              <w:rPr>
                <w:color w:val="000000"/>
                <w:sz w:val="20"/>
                <w:szCs w:val="20"/>
              </w:rPr>
            </w:pPr>
            <w:r w:rsidRPr="00471808">
              <w:rPr>
                <w:color w:val="000000"/>
                <w:sz w:val="20"/>
                <w:szCs w:val="20"/>
              </w:rPr>
              <w:t>Common Equity</w:t>
            </w:r>
          </w:p>
        </w:tc>
        <w:tc>
          <w:tcPr>
            <w:tcW w:w="1439"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 xml:space="preserve">  $5,330,494 </w:t>
            </w:r>
          </w:p>
        </w:tc>
        <w:tc>
          <w:tcPr>
            <w:tcW w:w="1120"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46.96%</w:t>
            </w:r>
          </w:p>
        </w:tc>
        <w:tc>
          <w:tcPr>
            <w:tcW w:w="1032"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10.69%</w:t>
            </w:r>
          </w:p>
        </w:tc>
        <w:tc>
          <w:tcPr>
            <w:tcW w:w="2263"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5.02%</w:t>
            </w:r>
          </w:p>
        </w:tc>
      </w:tr>
      <w:tr w:rsidR="00637DE5" w:rsidRPr="00471808" w:rsidTr="00637DE5">
        <w:trPr>
          <w:trHeight w:val="289"/>
          <w:jc w:val="center"/>
        </w:trPr>
        <w:tc>
          <w:tcPr>
            <w:tcW w:w="3165" w:type="dxa"/>
            <w:tcBorders>
              <w:top w:val="nil"/>
              <w:left w:val="single" w:sz="4" w:space="0" w:color="auto"/>
              <w:bottom w:val="nil"/>
              <w:right w:val="nil"/>
            </w:tcBorders>
            <w:shd w:val="clear" w:color="auto" w:fill="auto"/>
            <w:noWrap/>
            <w:vAlign w:val="bottom"/>
            <w:hideMark/>
          </w:tcPr>
          <w:p w:rsidR="00637DE5" w:rsidRPr="00471808" w:rsidRDefault="00637DE5" w:rsidP="00C7036E">
            <w:pPr>
              <w:rPr>
                <w:color w:val="000000"/>
                <w:sz w:val="20"/>
                <w:szCs w:val="20"/>
              </w:rPr>
            </w:pPr>
            <w:r w:rsidRPr="00471808">
              <w:rPr>
                <w:color w:val="000000"/>
                <w:sz w:val="20"/>
                <w:szCs w:val="20"/>
              </w:rPr>
              <w:t>Long-Term Debt</w:t>
            </w:r>
          </w:p>
        </w:tc>
        <w:tc>
          <w:tcPr>
            <w:tcW w:w="1439"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 xml:space="preserve">   4,751,261 </w:t>
            </w:r>
          </w:p>
        </w:tc>
        <w:tc>
          <w:tcPr>
            <w:tcW w:w="1120"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41.86%</w:t>
            </w:r>
          </w:p>
        </w:tc>
        <w:tc>
          <w:tcPr>
            <w:tcW w:w="1032"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6.66%</w:t>
            </w:r>
          </w:p>
        </w:tc>
        <w:tc>
          <w:tcPr>
            <w:tcW w:w="2263"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2.79%</w:t>
            </w:r>
          </w:p>
        </w:tc>
      </w:tr>
      <w:tr w:rsidR="00637DE5" w:rsidRPr="00471808" w:rsidTr="00637DE5">
        <w:trPr>
          <w:trHeight w:val="289"/>
          <w:jc w:val="center"/>
        </w:trPr>
        <w:tc>
          <w:tcPr>
            <w:tcW w:w="3165" w:type="dxa"/>
            <w:tcBorders>
              <w:top w:val="nil"/>
              <w:left w:val="single" w:sz="4" w:space="0" w:color="auto"/>
              <w:bottom w:val="nil"/>
              <w:right w:val="nil"/>
            </w:tcBorders>
            <w:shd w:val="clear" w:color="auto" w:fill="auto"/>
            <w:noWrap/>
            <w:vAlign w:val="bottom"/>
            <w:hideMark/>
          </w:tcPr>
          <w:p w:rsidR="00637DE5" w:rsidRPr="00471808" w:rsidRDefault="00637DE5" w:rsidP="00C7036E">
            <w:pPr>
              <w:rPr>
                <w:color w:val="000000"/>
                <w:sz w:val="20"/>
                <w:szCs w:val="20"/>
              </w:rPr>
            </w:pPr>
            <w:r w:rsidRPr="00471808">
              <w:rPr>
                <w:color w:val="000000"/>
                <w:sz w:val="20"/>
                <w:szCs w:val="20"/>
              </w:rPr>
              <w:t>Short-Term Debt</w:t>
            </w:r>
          </w:p>
        </w:tc>
        <w:tc>
          <w:tcPr>
            <w:tcW w:w="1439"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 xml:space="preserve">         14,899 </w:t>
            </w:r>
          </w:p>
        </w:tc>
        <w:tc>
          <w:tcPr>
            <w:tcW w:w="1120"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0.13%</w:t>
            </w:r>
          </w:p>
        </w:tc>
        <w:tc>
          <w:tcPr>
            <w:tcW w:w="1032"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10.08%</w:t>
            </w:r>
          </w:p>
        </w:tc>
        <w:tc>
          <w:tcPr>
            <w:tcW w:w="2263"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0.01%</w:t>
            </w:r>
          </w:p>
        </w:tc>
      </w:tr>
      <w:tr w:rsidR="00637DE5" w:rsidRPr="00471808" w:rsidTr="00637DE5">
        <w:trPr>
          <w:trHeight w:val="289"/>
          <w:jc w:val="center"/>
        </w:trPr>
        <w:tc>
          <w:tcPr>
            <w:tcW w:w="3165" w:type="dxa"/>
            <w:tcBorders>
              <w:top w:val="nil"/>
              <w:left w:val="single" w:sz="4" w:space="0" w:color="auto"/>
              <w:bottom w:val="nil"/>
              <w:right w:val="nil"/>
            </w:tcBorders>
            <w:shd w:val="clear" w:color="auto" w:fill="auto"/>
            <w:noWrap/>
            <w:vAlign w:val="bottom"/>
            <w:hideMark/>
          </w:tcPr>
          <w:p w:rsidR="00637DE5" w:rsidRPr="00471808" w:rsidRDefault="00637DE5" w:rsidP="00C7036E">
            <w:pPr>
              <w:rPr>
                <w:color w:val="000000"/>
                <w:sz w:val="20"/>
                <w:szCs w:val="20"/>
              </w:rPr>
            </w:pPr>
            <w:r w:rsidRPr="00471808">
              <w:rPr>
                <w:color w:val="000000"/>
                <w:sz w:val="20"/>
                <w:szCs w:val="20"/>
              </w:rPr>
              <w:t>Customer Deposits</w:t>
            </w:r>
          </w:p>
        </w:tc>
        <w:tc>
          <w:tcPr>
            <w:tcW w:w="1439"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 xml:space="preserve">         53,988 </w:t>
            </w:r>
          </w:p>
        </w:tc>
        <w:tc>
          <w:tcPr>
            <w:tcW w:w="1120"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0.48%</w:t>
            </w:r>
          </w:p>
        </w:tc>
        <w:tc>
          <w:tcPr>
            <w:tcW w:w="1032"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6.00%</w:t>
            </w:r>
          </w:p>
        </w:tc>
        <w:tc>
          <w:tcPr>
            <w:tcW w:w="2263"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0.03%</w:t>
            </w:r>
          </w:p>
        </w:tc>
      </w:tr>
      <w:tr w:rsidR="00637DE5" w:rsidRPr="00471808" w:rsidTr="00637DE5">
        <w:trPr>
          <w:trHeight w:val="289"/>
          <w:jc w:val="center"/>
        </w:trPr>
        <w:tc>
          <w:tcPr>
            <w:tcW w:w="3165" w:type="dxa"/>
            <w:tcBorders>
              <w:top w:val="nil"/>
              <w:left w:val="single" w:sz="4" w:space="0" w:color="auto"/>
              <w:bottom w:val="nil"/>
              <w:right w:val="nil"/>
            </w:tcBorders>
            <w:shd w:val="clear" w:color="auto" w:fill="auto"/>
            <w:noWrap/>
            <w:vAlign w:val="bottom"/>
            <w:hideMark/>
          </w:tcPr>
          <w:p w:rsidR="00637DE5" w:rsidRPr="00471808" w:rsidRDefault="00637DE5" w:rsidP="00C7036E">
            <w:pPr>
              <w:rPr>
                <w:color w:val="000000"/>
                <w:sz w:val="20"/>
                <w:szCs w:val="20"/>
              </w:rPr>
            </w:pPr>
            <w:r w:rsidRPr="00471808">
              <w:rPr>
                <w:color w:val="000000"/>
                <w:sz w:val="20"/>
                <w:szCs w:val="20"/>
              </w:rPr>
              <w:t>Deferred Income Taxes</w:t>
            </w:r>
          </w:p>
        </w:tc>
        <w:tc>
          <w:tcPr>
            <w:tcW w:w="1439" w:type="dxa"/>
            <w:tcBorders>
              <w:top w:val="nil"/>
              <w:left w:val="nil"/>
              <w:bottom w:val="single" w:sz="4" w:space="0" w:color="auto"/>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 xml:space="preserve">   1,199,429 </w:t>
            </w:r>
          </w:p>
        </w:tc>
        <w:tc>
          <w:tcPr>
            <w:tcW w:w="1120" w:type="dxa"/>
            <w:tcBorders>
              <w:top w:val="nil"/>
              <w:left w:val="nil"/>
              <w:bottom w:val="single" w:sz="4" w:space="0" w:color="auto"/>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10.57%</w:t>
            </w:r>
          </w:p>
        </w:tc>
        <w:tc>
          <w:tcPr>
            <w:tcW w:w="1032"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0.00%</w:t>
            </w:r>
          </w:p>
        </w:tc>
        <w:tc>
          <w:tcPr>
            <w:tcW w:w="2263" w:type="dxa"/>
            <w:tcBorders>
              <w:top w:val="nil"/>
              <w:left w:val="nil"/>
              <w:bottom w:val="single" w:sz="4" w:space="0" w:color="auto"/>
              <w:right w:val="single" w:sz="4" w:space="0" w:color="auto"/>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0.00%</w:t>
            </w:r>
          </w:p>
        </w:tc>
      </w:tr>
      <w:tr w:rsidR="00637DE5" w:rsidRPr="00471808" w:rsidTr="00637DE5">
        <w:trPr>
          <w:trHeight w:val="300"/>
          <w:jc w:val="center"/>
        </w:trPr>
        <w:tc>
          <w:tcPr>
            <w:tcW w:w="3165" w:type="dxa"/>
            <w:tcBorders>
              <w:top w:val="nil"/>
              <w:left w:val="single" w:sz="4" w:space="0" w:color="auto"/>
              <w:bottom w:val="nil"/>
              <w:right w:val="nil"/>
            </w:tcBorders>
            <w:shd w:val="clear" w:color="auto" w:fill="auto"/>
            <w:noWrap/>
            <w:vAlign w:val="bottom"/>
            <w:hideMark/>
          </w:tcPr>
          <w:p w:rsidR="00637DE5" w:rsidRPr="00471808" w:rsidRDefault="00637DE5" w:rsidP="00C7036E">
            <w:pPr>
              <w:rPr>
                <w:color w:val="000000"/>
                <w:sz w:val="20"/>
                <w:szCs w:val="20"/>
              </w:rPr>
            </w:pPr>
            <w:r w:rsidRPr="00471808">
              <w:rPr>
                <w:color w:val="000000"/>
                <w:sz w:val="20"/>
                <w:szCs w:val="20"/>
              </w:rPr>
              <w:t>Total</w:t>
            </w:r>
          </w:p>
        </w:tc>
        <w:tc>
          <w:tcPr>
            <w:tcW w:w="1439" w:type="dxa"/>
            <w:tcBorders>
              <w:top w:val="nil"/>
              <w:left w:val="nil"/>
              <w:bottom w:val="double" w:sz="6" w:space="0" w:color="auto"/>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 xml:space="preserve"> $11,350,071 </w:t>
            </w:r>
          </w:p>
        </w:tc>
        <w:tc>
          <w:tcPr>
            <w:tcW w:w="1120" w:type="dxa"/>
            <w:tcBorders>
              <w:top w:val="nil"/>
              <w:left w:val="nil"/>
              <w:bottom w:val="double" w:sz="6" w:space="0" w:color="auto"/>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100.00%</w:t>
            </w:r>
          </w:p>
        </w:tc>
        <w:tc>
          <w:tcPr>
            <w:tcW w:w="1032"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p>
        </w:tc>
        <w:tc>
          <w:tcPr>
            <w:tcW w:w="2263" w:type="dxa"/>
            <w:tcBorders>
              <w:top w:val="nil"/>
              <w:left w:val="nil"/>
              <w:bottom w:val="double" w:sz="6" w:space="0" w:color="auto"/>
              <w:right w:val="single" w:sz="4" w:space="0" w:color="auto"/>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7.85%</w:t>
            </w:r>
          </w:p>
        </w:tc>
      </w:tr>
      <w:tr w:rsidR="00637DE5" w:rsidRPr="00471808" w:rsidTr="00637DE5">
        <w:trPr>
          <w:trHeight w:val="300"/>
          <w:jc w:val="center"/>
        </w:trPr>
        <w:tc>
          <w:tcPr>
            <w:tcW w:w="3165" w:type="dxa"/>
            <w:tcBorders>
              <w:top w:val="nil"/>
              <w:left w:val="single" w:sz="4" w:space="0" w:color="auto"/>
              <w:bottom w:val="nil"/>
              <w:right w:val="nil"/>
            </w:tcBorders>
            <w:shd w:val="clear" w:color="auto" w:fill="auto"/>
            <w:noWrap/>
            <w:vAlign w:val="bottom"/>
            <w:hideMark/>
          </w:tcPr>
          <w:p w:rsidR="00637DE5" w:rsidRPr="00471808" w:rsidRDefault="00637DE5" w:rsidP="00C7036E">
            <w:pPr>
              <w:rPr>
                <w:color w:val="000000"/>
                <w:sz w:val="20"/>
                <w:szCs w:val="20"/>
              </w:rPr>
            </w:pPr>
            <w:r w:rsidRPr="00471808">
              <w:rPr>
                <w:color w:val="000000"/>
                <w:sz w:val="20"/>
                <w:szCs w:val="20"/>
              </w:rPr>
              <w:t> </w:t>
            </w:r>
          </w:p>
        </w:tc>
        <w:tc>
          <w:tcPr>
            <w:tcW w:w="1439"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p>
        </w:tc>
        <w:tc>
          <w:tcPr>
            <w:tcW w:w="1120"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p>
        </w:tc>
        <w:tc>
          <w:tcPr>
            <w:tcW w:w="1032"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p>
        </w:tc>
        <w:tc>
          <w:tcPr>
            <w:tcW w:w="2263"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 </w:t>
            </w:r>
          </w:p>
        </w:tc>
      </w:tr>
      <w:tr w:rsidR="00637DE5" w:rsidRPr="00471808" w:rsidTr="00637DE5">
        <w:trPr>
          <w:trHeight w:val="289"/>
          <w:jc w:val="center"/>
        </w:trPr>
        <w:tc>
          <w:tcPr>
            <w:tcW w:w="3165" w:type="dxa"/>
            <w:tcBorders>
              <w:top w:val="nil"/>
              <w:left w:val="single" w:sz="4" w:space="0" w:color="auto"/>
              <w:bottom w:val="nil"/>
              <w:right w:val="nil"/>
            </w:tcBorders>
            <w:shd w:val="clear" w:color="auto" w:fill="auto"/>
            <w:noWrap/>
            <w:vAlign w:val="bottom"/>
            <w:hideMark/>
          </w:tcPr>
          <w:p w:rsidR="00637DE5" w:rsidRPr="00471808" w:rsidRDefault="00637DE5" w:rsidP="00C7036E">
            <w:pPr>
              <w:rPr>
                <w:color w:val="000000"/>
                <w:sz w:val="20"/>
                <w:szCs w:val="20"/>
              </w:rPr>
            </w:pPr>
            <w:r w:rsidRPr="00471808">
              <w:rPr>
                <w:color w:val="000000"/>
                <w:sz w:val="20"/>
                <w:szCs w:val="20"/>
              </w:rPr>
              <w:t> </w:t>
            </w:r>
          </w:p>
        </w:tc>
        <w:tc>
          <w:tcPr>
            <w:tcW w:w="1439"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p>
        </w:tc>
        <w:tc>
          <w:tcPr>
            <w:tcW w:w="1120"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p>
        </w:tc>
        <w:tc>
          <w:tcPr>
            <w:tcW w:w="1032"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p>
        </w:tc>
        <w:tc>
          <w:tcPr>
            <w:tcW w:w="2263"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 </w:t>
            </w:r>
          </w:p>
        </w:tc>
      </w:tr>
      <w:tr w:rsidR="00637DE5" w:rsidRPr="00471808" w:rsidTr="00637DE5">
        <w:trPr>
          <w:trHeight w:val="289"/>
          <w:jc w:val="center"/>
        </w:trPr>
        <w:tc>
          <w:tcPr>
            <w:tcW w:w="3165" w:type="dxa"/>
            <w:tcBorders>
              <w:top w:val="nil"/>
              <w:left w:val="single" w:sz="4" w:space="0" w:color="auto"/>
              <w:bottom w:val="nil"/>
              <w:right w:val="nil"/>
            </w:tcBorders>
            <w:shd w:val="clear" w:color="auto" w:fill="auto"/>
            <w:noWrap/>
            <w:vAlign w:val="bottom"/>
            <w:hideMark/>
          </w:tcPr>
          <w:p w:rsidR="00637DE5" w:rsidRPr="00471808" w:rsidRDefault="00D753CB" w:rsidP="00FB08AA">
            <w:pPr>
              <w:rPr>
                <w:b/>
                <w:bCs/>
                <w:color w:val="000000"/>
                <w:sz w:val="20"/>
                <w:szCs w:val="20"/>
                <w:u w:val="single"/>
              </w:rPr>
            </w:pPr>
            <w:r>
              <w:rPr>
                <w:b/>
                <w:bCs/>
                <w:color w:val="000000"/>
                <w:sz w:val="20"/>
                <w:szCs w:val="20"/>
                <w:u w:val="single"/>
              </w:rPr>
              <w:t xml:space="preserve">COMMISSION </w:t>
            </w:r>
            <w:r w:rsidR="00FB08AA">
              <w:rPr>
                <w:b/>
                <w:bCs/>
                <w:color w:val="000000"/>
                <w:sz w:val="20"/>
                <w:szCs w:val="20"/>
                <w:u w:val="single"/>
              </w:rPr>
              <w:t>APPROVED</w:t>
            </w:r>
          </w:p>
        </w:tc>
        <w:tc>
          <w:tcPr>
            <w:tcW w:w="1439"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p>
        </w:tc>
        <w:tc>
          <w:tcPr>
            <w:tcW w:w="1120"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p>
        </w:tc>
        <w:tc>
          <w:tcPr>
            <w:tcW w:w="1032"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p>
        </w:tc>
        <w:tc>
          <w:tcPr>
            <w:tcW w:w="2263"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 </w:t>
            </w:r>
          </w:p>
        </w:tc>
      </w:tr>
      <w:tr w:rsidR="00637DE5" w:rsidRPr="00471808" w:rsidTr="00637DE5">
        <w:trPr>
          <w:trHeight w:val="289"/>
          <w:jc w:val="center"/>
        </w:trPr>
        <w:tc>
          <w:tcPr>
            <w:tcW w:w="3165" w:type="dxa"/>
            <w:tcBorders>
              <w:top w:val="nil"/>
              <w:left w:val="single" w:sz="4" w:space="0" w:color="auto"/>
              <w:bottom w:val="nil"/>
              <w:right w:val="nil"/>
            </w:tcBorders>
            <w:shd w:val="clear" w:color="auto" w:fill="auto"/>
            <w:noWrap/>
            <w:vAlign w:val="bottom"/>
            <w:hideMark/>
          </w:tcPr>
          <w:p w:rsidR="00637DE5" w:rsidRPr="00471808" w:rsidRDefault="00637DE5" w:rsidP="00C7036E">
            <w:pPr>
              <w:rPr>
                <w:color w:val="000000"/>
                <w:sz w:val="20"/>
                <w:szCs w:val="20"/>
              </w:rPr>
            </w:pPr>
            <w:r w:rsidRPr="00471808">
              <w:rPr>
                <w:color w:val="000000"/>
                <w:sz w:val="20"/>
                <w:szCs w:val="20"/>
              </w:rPr>
              <w:t>Common Equity</w:t>
            </w:r>
          </w:p>
        </w:tc>
        <w:tc>
          <w:tcPr>
            <w:tcW w:w="1439"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 xml:space="preserve">   $5,330,494 </w:t>
            </w:r>
          </w:p>
        </w:tc>
        <w:tc>
          <w:tcPr>
            <w:tcW w:w="1120"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46.96%</w:t>
            </w:r>
          </w:p>
        </w:tc>
        <w:tc>
          <w:tcPr>
            <w:tcW w:w="1032"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10.38%</w:t>
            </w:r>
          </w:p>
        </w:tc>
        <w:tc>
          <w:tcPr>
            <w:tcW w:w="2263"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4.87%</w:t>
            </w:r>
          </w:p>
        </w:tc>
      </w:tr>
      <w:tr w:rsidR="00637DE5" w:rsidRPr="00471808" w:rsidTr="00637DE5">
        <w:trPr>
          <w:trHeight w:val="289"/>
          <w:jc w:val="center"/>
        </w:trPr>
        <w:tc>
          <w:tcPr>
            <w:tcW w:w="3165" w:type="dxa"/>
            <w:tcBorders>
              <w:top w:val="nil"/>
              <w:left w:val="single" w:sz="4" w:space="0" w:color="auto"/>
              <w:bottom w:val="nil"/>
              <w:right w:val="nil"/>
            </w:tcBorders>
            <w:shd w:val="clear" w:color="auto" w:fill="auto"/>
            <w:noWrap/>
            <w:vAlign w:val="bottom"/>
            <w:hideMark/>
          </w:tcPr>
          <w:p w:rsidR="00637DE5" w:rsidRPr="00471808" w:rsidRDefault="00637DE5" w:rsidP="00C7036E">
            <w:pPr>
              <w:rPr>
                <w:color w:val="000000"/>
                <w:sz w:val="20"/>
                <w:szCs w:val="20"/>
              </w:rPr>
            </w:pPr>
            <w:r w:rsidRPr="00471808">
              <w:rPr>
                <w:color w:val="000000"/>
                <w:sz w:val="20"/>
                <w:szCs w:val="20"/>
              </w:rPr>
              <w:t>Long-Term Debt</w:t>
            </w:r>
          </w:p>
        </w:tc>
        <w:tc>
          <w:tcPr>
            <w:tcW w:w="1439"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 xml:space="preserve">   4,751,261 </w:t>
            </w:r>
          </w:p>
        </w:tc>
        <w:tc>
          <w:tcPr>
            <w:tcW w:w="1120"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41.86%</w:t>
            </w:r>
          </w:p>
        </w:tc>
        <w:tc>
          <w:tcPr>
            <w:tcW w:w="1032"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6.66%</w:t>
            </w:r>
          </w:p>
        </w:tc>
        <w:tc>
          <w:tcPr>
            <w:tcW w:w="2263"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2.79%</w:t>
            </w:r>
          </w:p>
        </w:tc>
      </w:tr>
      <w:tr w:rsidR="00637DE5" w:rsidRPr="00471808" w:rsidTr="00637DE5">
        <w:trPr>
          <w:trHeight w:val="289"/>
          <w:jc w:val="center"/>
        </w:trPr>
        <w:tc>
          <w:tcPr>
            <w:tcW w:w="3165" w:type="dxa"/>
            <w:tcBorders>
              <w:top w:val="nil"/>
              <w:left w:val="single" w:sz="4" w:space="0" w:color="auto"/>
              <w:bottom w:val="nil"/>
              <w:right w:val="nil"/>
            </w:tcBorders>
            <w:shd w:val="clear" w:color="auto" w:fill="auto"/>
            <w:noWrap/>
            <w:vAlign w:val="bottom"/>
            <w:hideMark/>
          </w:tcPr>
          <w:p w:rsidR="00637DE5" w:rsidRPr="00471808" w:rsidRDefault="00637DE5" w:rsidP="00C7036E">
            <w:pPr>
              <w:rPr>
                <w:color w:val="000000"/>
                <w:sz w:val="20"/>
                <w:szCs w:val="20"/>
              </w:rPr>
            </w:pPr>
            <w:r w:rsidRPr="00471808">
              <w:rPr>
                <w:color w:val="000000"/>
                <w:sz w:val="20"/>
                <w:szCs w:val="20"/>
              </w:rPr>
              <w:t>Short-Term Debt</w:t>
            </w:r>
          </w:p>
        </w:tc>
        <w:tc>
          <w:tcPr>
            <w:tcW w:w="1439"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 xml:space="preserve">         14,899 </w:t>
            </w:r>
          </w:p>
        </w:tc>
        <w:tc>
          <w:tcPr>
            <w:tcW w:w="1120"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0.13%</w:t>
            </w:r>
          </w:p>
        </w:tc>
        <w:tc>
          <w:tcPr>
            <w:tcW w:w="1032"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10.08%</w:t>
            </w:r>
          </w:p>
        </w:tc>
        <w:tc>
          <w:tcPr>
            <w:tcW w:w="2263"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0.01%</w:t>
            </w:r>
          </w:p>
        </w:tc>
      </w:tr>
      <w:tr w:rsidR="00637DE5" w:rsidRPr="00471808" w:rsidTr="00637DE5">
        <w:trPr>
          <w:trHeight w:val="289"/>
          <w:jc w:val="center"/>
        </w:trPr>
        <w:tc>
          <w:tcPr>
            <w:tcW w:w="3165" w:type="dxa"/>
            <w:tcBorders>
              <w:top w:val="nil"/>
              <w:left w:val="single" w:sz="4" w:space="0" w:color="auto"/>
              <w:bottom w:val="nil"/>
              <w:right w:val="nil"/>
            </w:tcBorders>
            <w:shd w:val="clear" w:color="auto" w:fill="auto"/>
            <w:noWrap/>
            <w:vAlign w:val="bottom"/>
            <w:hideMark/>
          </w:tcPr>
          <w:p w:rsidR="00637DE5" w:rsidRPr="00471808" w:rsidRDefault="00637DE5" w:rsidP="00C7036E">
            <w:pPr>
              <w:rPr>
                <w:color w:val="000000"/>
                <w:sz w:val="20"/>
                <w:szCs w:val="20"/>
              </w:rPr>
            </w:pPr>
            <w:r w:rsidRPr="00471808">
              <w:rPr>
                <w:color w:val="000000"/>
                <w:sz w:val="20"/>
                <w:szCs w:val="20"/>
              </w:rPr>
              <w:t>Customer Deposits</w:t>
            </w:r>
          </w:p>
        </w:tc>
        <w:tc>
          <w:tcPr>
            <w:tcW w:w="1439"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 xml:space="preserve">         53,988 </w:t>
            </w:r>
          </w:p>
        </w:tc>
        <w:tc>
          <w:tcPr>
            <w:tcW w:w="1120"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0.48%</w:t>
            </w:r>
          </w:p>
        </w:tc>
        <w:tc>
          <w:tcPr>
            <w:tcW w:w="1032"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2.00%</w:t>
            </w:r>
          </w:p>
        </w:tc>
        <w:tc>
          <w:tcPr>
            <w:tcW w:w="2263" w:type="dxa"/>
            <w:tcBorders>
              <w:top w:val="nil"/>
              <w:left w:val="nil"/>
              <w:bottom w:val="nil"/>
              <w:right w:val="single" w:sz="4" w:space="0" w:color="auto"/>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0.01%</w:t>
            </w:r>
          </w:p>
        </w:tc>
      </w:tr>
      <w:tr w:rsidR="00637DE5" w:rsidRPr="00471808" w:rsidTr="00637DE5">
        <w:trPr>
          <w:trHeight w:val="289"/>
          <w:jc w:val="center"/>
        </w:trPr>
        <w:tc>
          <w:tcPr>
            <w:tcW w:w="3165" w:type="dxa"/>
            <w:tcBorders>
              <w:top w:val="nil"/>
              <w:left w:val="single" w:sz="4" w:space="0" w:color="auto"/>
              <w:bottom w:val="nil"/>
              <w:right w:val="nil"/>
            </w:tcBorders>
            <w:shd w:val="clear" w:color="auto" w:fill="auto"/>
            <w:noWrap/>
            <w:vAlign w:val="bottom"/>
            <w:hideMark/>
          </w:tcPr>
          <w:p w:rsidR="00637DE5" w:rsidRPr="00471808" w:rsidRDefault="00637DE5" w:rsidP="00C7036E">
            <w:pPr>
              <w:rPr>
                <w:color w:val="000000"/>
                <w:sz w:val="20"/>
                <w:szCs w:val="20"/>
              </w:rPr>
            </w:pPr>
            <w:r w:rsidRPr="00471808">
              <w:rPr>
                <w:color w:val="000000"/>
                <w:sz w:val="20"/>
                <w:szCs w:val="20"/>
              </w:rPr>
              <w:t>Deferred Income Taxes</w:t>
            </w:r>
          </w:p>
        </w:tc>
        <w:tc>
          <w:tcPr>
            <w:tcW w:w="1439" w:type="dxa"/>
            <w:tcBorders>
              <w:top w:val="nil"/>
              <w:left w:val="nil"/>
              <w:bottom w:val="single" w:sz="4" w:space="0" w:color="auto"/>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 xml:space="preserve">   1,199,429 </w:t>
            </w:r>
          </w:p>
        </w:tc>
        <w:tc>
          <w:tcPr>
            <w:tcW w:w="1120" w:type="dxa"/>
            <w:tcBorders>
              <w:top w:val="nil"/>
              <w:left w:val="nil"/>
              <w:bottom w:val="single" w:sz="4" w:space="0" w:color="auto"/>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10.57%</w:t>
            </w:r>
          </w:p>
        </w:tc>
        <w:tc>
          <w:tcPr>
            <w:tcW w:w="1032"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0.00%</w:t>
            </w:r>
          </w:p>
        </w:tc>
        <w:tc>
          <w:tcPr>
            <w:tcW w:w="2263" w:type="dxa"/>
            <w:tcBorders>
              <w:top w:val="nil"/>
              <w:left w:val="nil"/>
              <w:bottom w:val="single" w:sz="4" w:space="0" w:color="auto"/>
              <w:right w:val="single" w:sz="4" w:space="0" w:color="auto"/>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0.00%</w:t>
            </w:r>
          </w:p>
        </w:tc>
      </w:tr>
      <w:tr w:rsidR="00637DE5" w:rsidRPr="00471808" w:rsidTr="00637DE5">
        <w:trPr>
          <w:trHeight w:val="300"/>
          <w:jc w:val="center"/>
        </w:trPr>
        <w:tc>
          <w:tcPr>
            <w:tcW w:w="3165" w:type="dxa"/>
            <w:tcBorders>
              <w:top w:val="nil"/>
              <w:left w:val="single" w:sz="4" w:space="0" w:color="auto"/>
              <w:bottom w:val="nil"/>
              <w:right w:val="nil"/>
            </w:tcBorders>
            <w:shd w:val="clear" w:color="auto" w:fill="auto"/>
            <w:noWrap/>
            <w:vAlign w:val="bottom"/>
            <w:hideMark/>
          </w:tcPr>
          <w:p w:rsidR="00637DE5" w:rsidRPr="00471808" w:rsidRDefault="00637DE5" w:rsidP="00C7036E">
            <w:pPr>
              <w:rPr>
                <w:color w:val="000000"/>
                <w:sz w:val="20"/>
                <w:szCs w:val="20"/>
              </w:rPr>
            </w:pPr>
            <w:r w:rsidRPr="00471808">
              <w:rPr>
                <w:color w:val="000000"/>
                <w:sz w:val="20"/>
                <w:szCs w:val="20"/>
              </w:rPr>
              <w:t>Total</w:t>
            </w:r>
          </w:p>
        </w:tc>
        <w:tc>
          <w:tcPr>
            <w:tcW w:w="1439" w:type="dxa"/>
            <w:tcBorders>
              <w:top w:val="nil"/>
              <w:left w:val="nil"/>
              <w:bottom w:val="double" w:sz="6" w:space="0" w:color="auto"/>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 xml:space="preserve"> $11,350,071 </w:t>
            </w:r>
          </w:p>
        </w:tc>
        <w:tc>
          <w:tcPr>
            <w:tcW w:w="1120" w:type="dxa"/>
            <w:tcBorders>
              <w:top w:val="nil"/>
              <w:left w:val="nil"/>
              <w:bottom w:val="double" w:sz="6" w:space="0" w:color="auto"/>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100.00%</w:t>
            </w:r>
          </w:p>
        </w:tc>
        <w:tc>
          <w:tcPr>
            <w:tcW w:w="1032" w:type="dxa"/>
            <w:tcBorders>
              <w:top w:val="nil"/>
              <w:left w:val="nil"/>
              <w:bottom w:val="nil"/>
              <w:right w:val="nil"/>
            </w:tcBorders>
            <w:shd w:val="clear" w:color="auto" w:fill="auto"/>
            <w:noWrap/>
            <w:vAlign w:val="bottom"/>
            <w:hideMark/>
          </w:tcPr>
          <w:p w:rsidR="00637DE5" w:rsidRPr="00471808" w:rsidRDefault="00637DE5" w:rsidP="00C7036E">
            <w:pPr>
              <w:jc w:val="right"/>
              <w:rPr>
                <w:color w:val="000000"/>
                <w:sz w:val="20"/>
                <w:szCs w:val="20"/>
              </w:rPr>
            </w:pPr>
          </w:p>
        </w:tc>
        <w:tc>
          <w:tcPr>
            <w:tcW w:w="2263" w:type="dxa"/>
            <w:tcBorders>
              <w:top w:val="nil"/>
              <w:left w:val="nil"/>
              <w:bottom w:val="double" w:sz="6" w:space="0" w:color="auto"/>
              <w:right w:val="single" w:sz="4" w:space="0" w:color="auto"/>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7.68%</w:t>
            </w:r>
          </w:p>
        </w:tc>
      </w:tr>
      <w:tr w:rsidR="00637DE5" w:rsidRPr="00471808" w:rsidTr="00637DE5">
        <w:trPr>
          <w:trHeight w:val="300"/>
          <w:jc w:val="center"/>
        </w:trPr>
        <w:tc>
          <w:tcPr>
            <w:tcW w:w="3165" w:type="dxa"/>
            <w:tcBorders>
              <w:top w:val="nil"/>
              <w:left w:val="single" w:sz="4" w:space="0" w:color="auto"/>
              <w:bottom w:val="single" w:sz="4" w:space="0" w:color="auto"/>
              <w:right w:val="nil"/>
            </w:tcBorders>
            <w:shd w:val="clear" w:color="auto" w:fill="auto"/>
            <w:noWrap/>
            <w:vAlign w:val="bottom"/>
            <w:hideMark/>
          </w:tcPr>
          <w:p w:rsidR="00637DE5" w:rsidRPr="00471808" w:rsidRDefault="00637DE5" w:rsidP="00C7036E">
            <w:pPr>
              <w:rPr>
                <w:color w:val="000000"/>
                <w:sz w:val="20"/>
                <w:szCs w:val="20"/>
              </w:rPr>
            </w:pPr>
            <w:r w:rsidRPr="00471808">
              <w:rPr>
                <w:color w:val="000000"/>
                <w:sz w:val="20"/>
                <w:szCs w:val="20"/>
              </w:rPr>
              <w:t> </w:t>
            </w:r>
          </w:p>
        </w:tc>
        <w:tc>
          <w:tcPr>
            <w:tcW w:w="1439" w:type="dxa"/>
            <w:tcBorders>
              <w:top w:val="nil"/>
              <w:left w:val="nil"/>
              <w:bottom w:val="single" w:sz="4" w:space="0" w:color="auto"/>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 </w:t>
            </w:r>
          </w:p>
        </w:tc>
        <w:tc>
          <w:tcPr>
            <w:tcW w:w="1120" w:type="dxa"/>
            <w:tcBorders>
              <w:top w:val="nil"/>
              <w:left w:val="nil"/>
              <w:bottom w:val="single" w:sz="4" w:space="0" w:color="auto"/>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 </w:t>
            </w:r>
          </w:p>
        </w:tc>
        <w:tc>
          <w:tcPr>
            <w:tcW w:w="1032" w:type="dxa"/>
            <w:tcBorders>
              <w:top w:val="nil"/>
              <w:left w:val="nil"/>
              <w:bottom w:val="single" w:sz="4" w:space="0" w:color="auto"/>
              <w:right w:val="nil"/>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 </w:t>
            </w:r>
          </w:p>
        </w:tc>
        <w:tc>
          <w:tcPr>
            <w:tcW w:w="2263" w:type="dxa"/>
            <w:tcBorders>
              <w:top w:val="nil"/>
              <w:left w:val="nil"/>
              <w:bottom w:val="single" w:sz="4" w:space="0" w:color="auto"/>
              <w:right w:val="single" w:sz="4" w:space="0" w:color="auto"/>
            </w:tcBorders>
            <w:shd w:val="clear" w:color="auto" w:fill="auto"/>
            <w:noWrap/>
            <w:vAlign w:val="bottom"/>
            <w:hideMark/>
          </w:tcPr>
          <w:p w:rsidR="00637DE5" w:rsidRPr="00471808" w:rsidRDefault="00637DE5" w:rsidP="00C7036E">
            <w:pPr>
              <w:jc w:val="right"/>
              <w:rPr>
                <w:color w:val="000000"/>
                <w:sz w:val="20"/>
                <w:szCs w:val="20"/>
              </w:rPr>
            </w:pPr>
            <w:r w:rsidRPr="00471808">
              <w:rPr>
                <w:color w:val="000000"/>
                <w:sz w:val="20"/>
                <w:szCs w:val="20"/>
              </w:rPr>
              <w:t> </w:t>
            </w:r>
          </w:p>
        </w:tc>
      </w:tr>
    </w:tbl>
    <w:p w:rsidR="00637DE5" w:rsidRDefault="00637DE5" w:rsidP="00637DE5">
      <w:pPr>
        <w:pStyle w:val="OrderBody"/>
      </w:pPr>
    </w:p>
    <w:p w:rsidR="003A3186" w:rsidRDefault="003A3186" w:rsidP="00637DE5">
      <w:pPr>
        <w:pStyle w:val="OrderBody"/>
        <w:sectPr w:rsidR="003A3186" w:rsidSect="00637DE5">
          <w:headerReference w:type="default" r:id="rId10"/>
          <w:headerReference w:type="first" r:id="rId11"/>
          <w:pgSz w:w="12240" w:h="15840" w:code="1"/>
          <w:pgMar w:top="1440" w:right="1440" w:bottom="1440" w:left="1440" w:header="720" w:footer="720" w:gutter="0"/>
          <w:cols w:space="720"/>
          <w:docGrid w:linePitch="360"/>
        </w:sectPr>
      </w:pPr>
    </w:p>
    <w:p w:rsidR="003A3186" w:rsidRDefault="00A14F71" w:rsidP="003A3186">
      <w:r w:rsidRPr="00A14F71">
        <w:rPr>
          <w:noProof/>
        </w:rPr>
        <w:lastRenderedPageBreak/>
        <w:drawing>
          <wp:inline distT="0" distB="0" distL="0" distR="0" wp14:anchorId="61A58C40" wp14:editId="27026285">
            <wp:extent cx="8229600" cy="4636655"/>
            <wp:effectExtent l="19050" t="19050" r="19050" b="120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29600" cy="4636655"/>
                    </a:xfrm>
                    <a:prstGeom prst="rect">
                      <a:avLst/>
                    </a:prstGeom>
                    <a:noFill/>
                    <a:ln>
                      <a:solidFill>
                        <a:schemeClr val="tx1"/>
                      </a:solidFill>
                    </a:ln>
                  </pic:spPr>
                </pic:pic>
              </a:graphicData>
            </a:graphic>
          </wp:inline>
        </w:drawing>
      </w:r>
    </w:p>
    <w:p w:rsidR="003A3186" w:rsidRDefault="003A3186" w:rsidP="00637DE5">
      <w:pPr>
        <w:pStyle w:val="OrderBody"/>
        <w:sectPr w:rsidR="003A3186" w:rsidSect="003A3186">
          <w:headerReference w:type="default" r:id="rId13"/>
          <w:pgSz w:w="15840" w:h="12240" w:orient="landscape" w:code="1"/>
          <w:pgMar w:top="1440" w:right="1440" w:bottom="1440" w:left="1440" w:header="720" w:footer="720" w:gutter="0"/>
          <w:cols w:space="720"/>
          <w:docGrid w:linePitch="360"/>
        </w:sectPr>
      </w:pPr>
    </w:p>
    <w:tbl>
      <w:tblPr>
        <w:tblW w:w="9540" w:type="dxa"/>
        <w:tblInd w:w="93" w:type="dxa"/>
        <w:tblLook w:val="04A0" w:firstRow="1" w:lastRow="0" w:firstColumn="1" w:lastColumn="0" w:noHBand="0" w:noVBand="1"/>
      </w:tblPr>
      <w:tblGrid>
        <w:gridCol w:w="4720"/>
        <w:gridCol w:w="1540"/>
        <w:gridCol w:w="1660"/>
        <w:gridCol w:w="1620"/>
      </w:tblGrid>
      <w:tr w:rsidR="00904A1D" w:rsidTr="00904A1D">
        <w:trPr>
          <w:trHeight w:val="255"/>
        </w:trPr>
        <w:tc>
          <w:tcPr>
            <w:tcW w:w="4720" w:type="dxa"/>
            <w:tcBorders>
              <w:top w:val="single" w:sz="8" w:space="0" w:color="000000"/>
              <w:left w:val="single" w:sz="8" w:space="0" w:color="000000"/>
              <w:bottom w:val="nil"/>
              <w:right w:val="nil"/>
            </w:tcBorders>
            <w:shd w:val="clear" w:color="auto" w:fill="auto"/>
            <w:noWrap/>
            <w:vAlign w:val="center"/>
            <w:hideMark/>
          </w:tcPr>
          <w:p w:rsidR="00904A1D" w:rsidRDefault="00904A1D">
            <w:pPr>
              <w:rPr>
                <w:b/>
                <w:bCs/>
                <w:color w:val="000000"/>
                <w:sz w:val="20"/>
                <w:szCs w:val="20"/>
              </w:rPr>
            </w:pPr>
            <w:r>
              <w:rPr>
                <w:b/>
                <w:bCs/>
                <w:color w:val="000000"/>
                <w:sz w:val="20"/>
                <w:szCs w:val="20"/>
              </w:rPr>
              <w:lastRenderedPageBreak/>
              <w:t>UTILITIES, INC. OF FLORIDA - MARION COUNTY</w:t>
            </w:r>
          </w:p>
        </w:tc>
        <w:tc>
          <w:tcPr>
            <w:tcW w:w="1540" w:type="dxa"/>
            <w:tcBorders>
              <w:top w:val="single" w:sz="8" w:space="0" w:color="000000"/>
              <w:left w:val="nil"/>
              <w:bottom w:val="nil"/>
              <w:right w:val="nil"/>
            </w:tcBorders>
            <w:shd w:val="clear" w:color="auto" w:fill="auto"/>
            <w:noWrap/>
            <w:vAlign w:val="center"/>
            <w:hideMark/>
          </w:tcPr>
          <w:p w:rsidR="00904A1D" w:rsidRDefault="00904A1D">
            <w:pPr>
              <w:rPr>
                <w:b/>
                <w:bCs/>
                <w:color w:val="000000"/>
                <w:sz w:val="20"/>
                <w:szCs w:val="20"/>
              </w:rPr>
            </w:pPr>
            <w:r>
              <w:rPr>
                <w:b/>
                <w:bCs/>
                <w:color w:val="000000"/>
                <w:sz w:val="20"/>
                <w:szCs w:val="20"/>
              </w:rPr>
              <w:t> </w:t>
            </w:r>
          </w:p>
        </w:tc>
        <w:tc>
          <w:tcPr>
            <w:tcW w:w="1660" w:type="dxa"/>
            <w:tcBorders>
              <w:top w:val="single" w:sz="8" w:space="0" w:color="000000"/>
              <w:left w:val="nil"/>
              <w:bottom w:val="nil"/>
              <w:right w:val="nil"/>
            </w:tcBorders>
            <w:shd w:val="clear" w:color="auto" w:fill="auto"/>
            <w:noWrap/>
            <w:vAlign w:val="center"/>
            <w:hideMark/>
          </w:tcPr>
          <w:p w:rsidR="00904A1D" w:rsidRDefault="00904A1D">
            <w:pPr>
              <w:rPr>
                <w:b/>
                <w:bCs/>
                <w:color w:val="000000"/>
                <w:sz w:val="20"/>
                <w:szCs w:val="20"/>
              </w:rPr>
            </w:pPr>
            <w:r>
              <w:rPr>
                <w:b/>
                <w:bCs/>
                <w:color w:val="000000"/>
                <w:sz w:val="20"/>
                <w:szCs w:val="20"/>
              </w:rPr>
              <w:t> </w:t>
            </w:r>
          </w:p>
        </w:tc>
        <w:tc>
          <w:tcPr>
            <w:tcW w:w="1620" w:type="dxa"/>
            <w:tcBorders>
              <w:top w:val="single" w:sz="8" w:space="0" w:color="000000"/>
              <w:left w:val="nil"/>
              <w:bottom w:val="nil"/>
              <w:right w:val="single" w:sz="8" w:space="0" w:color="000000"/>
            </w:tcBorders>
            <w:shd w:val="clear" w:color="auto" w:fill="auto"/>
            <w:noWrap/>
            <w:vAlign w:val="center"/>
            <w:hideMark/>
          </w:tcPr>
          <w:p w:rsidR="00904A1D" w:rsidRDefault="00904A1D" w:rsidP="00904A1D">
            <w:pPr>
              <w:rPr>
                <w:b/>
                <w:bCs/>
                <w:color w:val="000000"/>
                <w:sz w:val="20"/>
                <w:szCs w:val="20"/>
              </w:rPr>
            </w:pPr>
            <w:r>
              <w:rPr>
                <w:b/>
                <w:bCs/>
                <w:color w:val="000000"/>
                <w:sz w:val="20"/>
                <w:szCs w:val="20"/>
              </w:rPr>
              <w:t>SCHEDULE NO. 5</w:t>
            </w:r>
          </w:p>
        </w:tc>
      </w:tr>
      <w:tr w:rsidR="00904A1D" w:rsidTr="00904A1D">
        <w:trPr>
          <w:trHeight w:val="270"/>
        </w:trPr>
        <w:tc>
          <w:tcPr>
            <w:tcW w:w="4720" w:type="dxa"/>
            <w:tcBorders>
              <w:top w:val="nil"/>
              <w:left w:val="single" w:sz="8" w:space="0" w:color="000000"/>
              <w:bottom w:val="nil"/>
              <w:right w:val="nil"/>
            </w:tcBorders>
            <w:shd w:val="clear" w:color="auto" w:fill="auto"/>
            <w:noWrap/>
            <w:vAlign w:val="center"/>
            <w:hideMark/>
          </w:tcPr>
          <w:p w:rsidR="00904A1D" w:rsidRDefault="00904A1D">
            <w:pPr>
              <w:rPr>
                <w:b/>
                <w:bCs/>
                <w:color w:val="000000"/>
                <w:sz w:val="20"/>
                <w:szCs w:val="20"/>
              </w:rPr>
            </w:pPr>
            <w:r>
              <w:rPr>
                <w:b/>
                <w:bCs/>
                <w:color w:val="000000"/>
                <w:sz w:val="20"/>
                <w:szCs w:val="20"/>
              </w:rPr>
              <w:t>MONTHLY WATER RATES</w:t>
            </w:r>
          </w:p>
        </w:tc>
        <w:tc>
          <w:tcPr>
            <w:tcW w:w="1540" w:type="dxa"/>
            <w:tcBorders>
              <w:top w:val="nil"/>
              <w:left w:val="nil"/>
              <w:bottom w:val="nil"/>
              <w:right w:val="nil"/>
            </w:tcBorders>
            <w:shd w:val="clear" w:color="auto" w:fill="auto"/>
            <w:noWrap/>
            <w:vAlign w:val="bottom"/>
            <w:hideMark/>
          </w:tcPr>
          <w:p w:rsidR="00904A1D" w:rsidRDefault="00904A1D">
            <w:pPr>
              <w:rPr>
                <w:sz w:val="20"/>
                <w:szCs w:val="20"/>
              </w:rPr>
            </w:pPr>
          </w:p>
        </w:tc>
        <w:tc>
          <w:tcPr>
            <w:tcW w:w="3280" w:type="dxa"/>
            <w:gridSpan w:val="2"/>
            <w:tcBorders>
              <w:top w:val="nil"/>
              <w:left w:val="nil"/>
              <w:bottom w:val="nil"/>
              <w:right w:val="single" w:sz="8" w:space="0" w:color="000000"/>
            </w:tcBorders>
            <w:shd w:val="clear" w:color="auto" w:fill="auto"/>
            <w:noWrap/>
            <w:vAlign w:val="center"/>
            <w:hideMark/>
          </w:tcPr>
          <w:p w:rsidR="00904A1D" w:rsidRDefault="00904A1D">
            <w:pPr>
              <w:jc w:val="right"/>
              <w:rPr>
                <w:b/>
                <w:bCs/>
                <w:color w:val="000000"/>
                <w:sz w:val="20"/>
                <w:szCs w:val="20"/>
              </w:rPr>
            </w:pPr>
            <w:r>
              <w:rPr>
                <w:b/>
                <w:bCs/>
                <w:color w:val="000000"/>
                <w:sz w:val="20"/>
                <w:szCs w:val="20"/>
              </w:rPr>
              <w:t>DOCKET NO. 150269-WS</w:t>
            </w:r>
          </w:p>
        </w:tc>
      </w:tr>
      <w:tr w:rsidR="00904A1D" w:rsidTr="00904A1D">
        <w:trPr>
          <w:trHeight w:val="300"/>
        </w:trPr>
        <w:tc>
          <w:tcPr>
            <w:tcW w:w="4720" w:type="dxa"/>
            <w:tcBorders>
              <w:top w:val="single" w:sz="8" w:space="0" w:color="000000"/>
              <w:left w:val="single" w:sz="8" w:space="0" w:color="000000"/>
              <w:bottom w:val="nil"/>
              <w:right w:val="nil"/>
            </w:tcBorders>
            <w:shd w:val="clear" w:color="auto" w:fill="auto"/>
            <w:noWrap/>
            <w:vAlign w:val="center"/>
            <w:hideMark/>
          </w:tcPr>
          <w:p w:rsidR="00904A1D" w:rsidRDefault="00904A1D">
            <w:pPr>
              <w:rPr>
                <w:b/>
                <w:bCs/>
                <w:sz w:val="20"/>
                <w:szCs w:val="20"/>
              </w:rPr>
            </w:pPr>
            <w:r>
              <w:rPr>
                <w:b/>
                <w:bCs/>
                <w:sz w:val="20"/>
                <w:szCs w:val="20"/>
              </w:rPr>
              <w:t> </w:t>
            </w:r>
          </w:p>
        </w:tc>
        <w:tc>
          <w:tcPr>
            <w:tcW w:w="1540" w:type="dxa"/>
            <w:tcBorders>
              <w:top w:val="single" w:sz="8" w:space="0" w:color="000000"/>
              <w:left w:val="nil"/>
              <w:bottom w:val="nil"/>
              <w:right w:val="nil"/>
            </w:tcBorders>
            <w:shd w:val="clear" w:color="auto" w:fill="auto"/>
            <w:noWrap/>
            <w:vAlign w:val="center"/>
            <w:hideMark/>
          </w:tcPr>
          <w:p w:rsidR="00904A1D" w:rsidRDefault="00904A1D">
            <w:pPr>
              <w:jc w:val="center"/>
              <w:rPr>
                <w:b/>
                <w:bCs/>
                <w:color w:val="000000"/>
                <w:sz w:val="20"/>
                <w:szCs w:val="20"/>
              </w:rPr>
            </w:pPr>
            <w:r>
              <w:rPr>
                <w:b/>
                <w:bCs/>
                <w:color w:val="000000"/>
                <w:sz w:val="20"/>
                <w:szCs w:val="20"/>
              </w:rPr>
              <w:t>UTILITY</w:t>
            </w:r>
          </w:p>
        </w:tc>
        <w:tc>
          <w:tcPr>
            <w:tcW w:w="1660" w:type="dxa"/>
            <w:tcBorders>
              <w:top w:val="single" w:sz="8" w:space="0" w:color="000000"/>
              <w:left w:val="nil"/>
              <w:bottom w:val="nil"/>
              <w:right w:val="nil"/>
            </w:tcBorders>
            <w:shd w:val="clear" w:color="auto" w:fill="auto"/>
            <w:noWrap/>
            <w:vAlign w:val="center"/>
            <w:hideMark/>
          </w:tcPr>
          <w:p w:rsidR="00904A1D" w:rsidRDefault="00904A1D">
            <w:pPr>
              <w:jc w:val="center"/>
              <w:rPr>
                <w:b/>
                <w:bCs/>
                <w:color w:val="000000"/>
                <w:sz w:val="20"/>
                <w:szCs w:val="20"/>
              </w:rPr>
            </w:pPr>
            <w:r>
              <w:rPr>
                <w:b/>
                <w:bCs/>
                <w:color w:val="000000"/>
                <w:sz w:val="20"/>
                <w:szCs w:val="20"/>
              </w:rPr>
              <w:t>COMMISSION</w:t>
            </w:r>
          </w:p>
        </w:tc>
        <w:tc>
          <w:tcPr>
            <w:tcW w:w="1620" w:type="dxa"/>
            <w:tcBorders>
              <w:top w:val="single" w:sz="8" w:space="0" w:color="000000"/>
              <w:left w:val="nil"/>
              <w:bottom w:val="nil"/>
              <w:right w:val="single" w:sz="8" w:space="0" w:color="000000"/>
            </w:tcBorders>
            <w:shd w:val="clear" w:color="auto" w:fill="auto"/>
            <w:noWrap/>
            <w:vAlign w:val="center"/>
            <w:hideMark/>
          </w:tcPr>
          <w:p w:rsidR="00904A1D" w:rsidRDefault="00904A1D">
            <w:pPr>
              <w:jc w:val="center"/>
              <w:rPr>
                <w:b/>
                <w:bCs/>
                <w:color w:val="000000"/>
                <w:sz w:val="20"/>
                <w:szCs w:val="20"/>
              </w:rPr>
            </w:pPr>
            <w:r>
              <w:rPr>
                <w:b/>
                <w:bCs/>
                <w:color w:val="000000"/>
                <w:sz w:val="20"/>
                <w:szCs w:val="20"/>
              </w:rPr>
              <w:t>4 YEAR</w:t>
            </w:r>
          </w:p>
        </w:tc>
      </w:tr>
      <w:tr w:rsidR="00904A1D" w:rsidTr="00904A1D">
        <w:trPr>
          <w:trHeight w:val="300"/>
        </w:trPr>
        <w:tc>
          <w:tcPr>
            <w:tcW w:w="4720" w:type="dxa"/>
            <w:tcBorders>
              <w:top w:val="nil"/>
              <w:left w:val="single" w:sz="8" w:space="0" w:color="000000"/>
              <w:bottom w:val="nil"/>
              <w:right w:val="nil"/>
            </w:tcBorders>
            <w:shd w:val="clear" w:color="auto" w:fill="auto"/>
            <w:noWrap/>
            <w:vAlign w:val="bottom"/>
            <w:hideMark/>
          </w:tcPr>
          <w:p w:rsidR="00904A1D" w:rsidRDefault="00904A1D">
            <w:pPr>
              <w:rPr>
                <w:sz w:val="20"/>
                <w:szCs w:val="20"/>
              </w:rPr>
            </w:pPr>
            <w:r>
              <w:rPr>
                <w:sz w:val="20"/>
                <w:szCs w:val="20"/>
              </w:rPr>
              <w:t> </w:t>
            </w:r>
          </w:p>
        </w:tc>
        <w:tc>
          <w:tcPr>
            <w:tcW w:w="1540" w:type="dxa"/>
            <w:tcBorders>
              <w:top w:val="nil"/>
              <w:left w:val="nil"/>
              <w:bottom w:val="nil"/>
              <w:right w:val="nil"/>
            </w:tcBorders>
            <w:shd w:val="clear" w:color="auto" w:fill="auto"/>
            <w:noWrap/>
            <w:vAlign w:val="center"/>
            <w:hideMark/>
          </w:tcPr>
          <w:p w:rsidR="00904A1D" w:rsidRDefault="00904A1D">
            <w:pPr>
              <w:jc w:val="center"/>
              <w:rPr>
                <w:b/>
                <w:bCs/>
                <w:color w:val="000000"/>
                <w:sz w:val="20"/>
                <w:szCs w:val="20"/>
              </w:rPr>
            </w:pPr>
            <w:r>
              <w:rPr>
                <w:b/>
                <w:bCs/>
                <w:color w:val="000000"/>
                <w:sz w:val="20"/>
                <w:szCs w:val="20"/>
              </w:rPr>
              <w:t>CURRENT</w:t>
            </w:r>
          </w:p>
        </w:tc>
        <w:tc>
          <w:tcPr>
            <w:tcW w:w="1660" w:type="dxa"/>
            <w:tcBorders>
              <w:top w:val="nil"/>
              <w:left w:val="nil"/>
              <w:bottom w:val="nil"/>
              <w:right w:val="nil"/>
            </w:tcBorders>
            <w:shd w:val="clear" w:color="auto" w:fill="auto"/>
            <w:noWrap/>
            <w:vAlign w:val="center"/>
            <w:hideMark/>
          </w:tcPr>
          <w:p w:rsidR="00904A1D" w:rsidRDefault="00904A1D">
            <w:pPr>
              <w:jc w:val="center"/>
              <w:rPr>
                <w:b/>
                <w:bCs/>
                <w:color w:val="000000"/>
                <w:sz w:val="20"/>
                <w:szCs w:val="20"/>
              </w:rPr>
            </w:pPr>
            <w:r>
              <w:rPr>
                <w:b/>
                <w:bCs/>
                <w:color w:val="000000"/>
                <w:sz w:val="20"/>
                <w:szCs w:val="20"/>
              </w:rPr>
              <w:t>APPROVED</w:t>
            </w:r>
          </w:p>
        </w:tc>
        <w:tc>
          <w:tcPr>
            <w:tcW w:w="1620" w:type="dxa"/>
            <w:tcBorders>
              <w:top w:val="nil"/>
              <w:left w:val="nil"/>
              <w:bottom w:val="nil"/>
              <w:right w:val="single" w:sz="8" w:space="0" w:color="000000"/>
            </w:tcBorders>
            <w:shd w:val="clear" w:color="auto" w:fill="auto"/>
            <w:noWrap/>
            <w:vAlign w:val="center"/>
            <w:hideMark/>
          </w:tcPr>
          <w:p w:rsidR="00904A1D" w:rsidRDefault="00904A1D">
            <w:pPr>
              <w:jc w:val="center"/>
              <w:rPr>
                <w:b/>
                <w:bCs/>
                <w:color w:val="000000"/>
                <w:sz w:val="20"/>
                <w:szCs w:val="20"/>
              </w:rPr>
            </w:pPr>
            <w:r>
              <w:rPr>
                <w:b/>
                <w:bCs/>
                <w:color w:val="000000"/>
                <w:sz w:val="20"/>
                <w:szCs w:val="20"/>
              </w:rPr>
              <w:t>RATE</w:t>
            </w:r>
          </w:p>
        </w:tc>
      </w:tr>
      <w:tr w:rsidR="00904A1D" w:rsidTr="00904A1D">
        <w:trPr>
          <w:trHeight w:val="315"/>
        </w:trPr>
        <w:tc>
          <w:tcPr>
            <w:tcW w:w="4720" w:type="dxa"/>
            <w:tcBorders>
              <w:top w:val="nil"/>
              <w:left w:val="single" w:sz="8" w:space="0" w:color="000000"/>
              <w:bottom w:val="single" w:sz="8" w:space="0" w:color="000000"/>
              <w:right w:val="nil"/>
            </w:tcBorders>
            <w:shd w:val="clear" w:color="auto" w:fill="auto"/>
            <w:noWrap/>
            <w:vAlign w:val="bottom"/>
            <w:hideMark/>
          </w:tcPr>
          <w:p w:rsidR="00904A1D" w:rsidRDefault="00904A1D">
            <w:pPr>
              <w:rPr>
                <w:sz w:val="20"/>
                <w:szCs w:val="20"/>
              </w:rPr>
            </w:pPr>
            <w:r>
              <w:rPr>
                <w:sz w:val="20"/>
                <w:szCs w:val="20"/>
              </w:rPr>
              <w:t> </w:t>
            </w:r>
          </w:p>
        </w:tc>
        <w:tc>
          <w:tcPr>
            <w:tcW w:w="1540" w:type="dxa"/>
            <w:tcBorders>
              <w:top w:val="nil"/>
              <w:left w:val="nil"/>
              <w:bottom w:val="single" w:sz="8" w:space="0" w:color="000000"/>
              <w:right w:val="nil"/>
            </w:tcBorders>
            <w:shd w:val="clear" w:color="auto" w:fill="auto"/>
            <w:noWrap/>
            <w:vAlign w:val="center"/>
            <w:hideMark/>
          </w:tcPr>
          <w:p w:rsidR="00904A1D" w:rsidRDefault="00904A1D">
            <w:pPr>
              <w:jc w:val="center"/>
              <w:rPr>
                <w:b/>
                <w:bCs/>
                <w:color w:val="000000"/>
                <w:sz w:val="20"/>
                <w:szCs w:val="20"/>
              </w:rPr>
            </w:pPr>
            <w:r>
              <w:rPr>
                <w:b/>
                <w:bCs/>
                <w:color w:val="000000"/>
                <w:sz w:val="20"/>
                <w:szCs w:val="20"/>
              </w:rPr>
              <w:t xml:space="preserve">RATES </w:t>
            </w:r>
          </w:p>
        </w:tc>
        <w:tc>
          <w:tcPr>
            <w:tcW w:w="1660" w:type="dxa"/>
            <w:tcBorders>
              <w:top w:val="nil"/>
              <w:left w:val="nil"/>
              <w:bottom w:val="single" w:sz="8" w:space="0" w:color="000000"/>
              <w:right w:val="nil"/>
            </w:tcBorders>
            <w:shd w:val="clear" w:color="auto" w:fill="auto"/>
            <w:noWrap/>
            <w:vAlign w:val="center"/>
            <w:hideMark/>
          </w:tcPr>
          <w:p w:rsidR="00904A1D" w:rsidRDefault="00904A1D">
            <w:pPr>
              <w:jc w:val="center"/>
              <w:rPr>
                <w:b/>
                <w:bCs/>
                <w:color w:val="000000"/>
                <w:sz w:val="20"/>
                <w:szCs w:val="20"/>
              </w:rPr>
            </w:pPr>
            <w:r>
              <w:rPr>
                <w:b/>
                <w:bCs/>
                <w:color w:val="000000"/>
                <w:sz w:val="20"/>
                <w:szCs w:val="20"/>
              </w:rPr>
              <w:t>RATES</w:t>
            </w:r>
          </w:p>
        </w:tc>
        <w:tc>
          <w:tcPr>
            <w:tcW w:w="1620" w:type="dxa"/>
            <w:tcBorders>
              <w:top w:val="nil"/>
              <w:left w:val="nil"/>
              <w:bottom w:val="single" w:sz="8" w:space="0" w:color="000000"/>
              <w:right w:val="single" w:sz="8" w:space="0" w:color="000000"/>
            </w:tcBorders>
            <w:shd w:val="clear" w:color="auto" w:fill="auto"/>
            <w:noWrap/>
            <w:vAlign w:val="center"/>
            <w:hideMark/>
          </w:tcPr>
          <w:p w:rsidR="00904A1D" w:rsidRDefault="00904A1D">
            <w:pPr>
              <w:jc w:val="center"/>
              <w:rPr>
                <w:b/>
                <w:bCs/>
                <w:color w:val="000000"/>
                <w:sz w:val="20"/>
                <w:szCs w:val="20"/>
              </w:rPr>
            </w:pPr>
            <w:r>
              <w:rPr>
                <w:b/>
                <w:bCs/>
                <w:color w:val="000000"/>
                <w:sz w:val="20"/>
                <w:szCs w:val="20"/>
              </w:rPr>
              <w:t>REDUCTION</w:t>
            </w:r>
          </w:p>
        </w:tc>
      </w:tr>
      <w:tr w:rsidR="00904A1D" w:rsidTr="00904A1D">
        <w:trPr>
          <w:trHeight w:val="300"/>
        </w:trPr>
        <w:tc>
          <w:tcPr>
            <w:tcW w:w="4720" w:type="dxa"/>
            <w:tcBorders>
              <w:top w:val="nil"/>
              <w:left w:val="single" w:sz="8" w:space="0" w:color="000000"/>
              <w:bottom w:val="nil"/>
              <w:right w:val="nil"/>
            </w:tcBorders>
            <w:shd w:val="clear" w:color="auto" w:fill="auto"/>
            <w:noWrap/>
            <w:vAlign w:val="bottom"/>
            <w:hideMark/>
          </w:tcPr>
          <w:p w:rsidR="00904A1D" w:rsidRDefault="00904A1D">
            <w:pPr>
              <w:rPr>
                <w:sz w:val="20"/>
                <w:szCs w:val="20"/>
              </w:rPr>
            </w:pPr>
            <w:r>
              <w:rPr>
                <w:sz w:val="20"/>
                <w:szCs w:val="20"/>
              </w:rPr>
              <w:t> </w:t>
            </w:r>
          </w:p>
        </w:tc>
        <w:tc>
          <w:tcPr>
            <w:tcW w:w="1540" w:type="dxa"/>
            <w:tcBorders>
              <w:top w:val="nil"/>
              <w:left w:val="nil"/>
              <w:bottom w:val="nil"/>
              <w:right w:val="nil"/>
            </w:tcBorders>
            <w:shd w:val="clear" w:color="auto" w:fill="auto"/>
            <w:noWrap/>
            <w:vAlign w:val="bottom"/>
            <w:hideMark/>
          </w:tcPr>
          <w:p w:rsidR="00904A1D" w:rsidRDefault="00904A1D">
            <w:pPr>
              <w:rPr>
                <w:sz w:val="20"/>
                <w:szCs w:val="20"/>
              </w:rPr>
            </w:pPr>
          </w:p>
        </w:tc>
        <w:tc>
          <w:tcPr>
            <w:tcW w:w="1660" w:type="dxa"/>
            <w:tcBorders>
              <w:top w:val="nil"/>
              <w:left w:val="nil"/>
              <w:bottom w:val="nil"/>
              <w:right w:val="nil"/>
            </w:tcBorders>
            <w:shd w:val="clear" w:color="auto" w:fill="auto"/>
            <w:noWrap/>
            <w:vAlign w:val="bottom"/>
            <w:hideMark/>
          </w:tcPr>
          <w:p w:rsidR="00904A1D" w:rsidRDefault="00904A1D">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w:t>
            </w:r>
          </w:p>
        </w:tc>
      </w:tr>
      <w:tr w:rsidR="00904A1D" w:rsidTr="00904A1D">
        <w:trPr>
          <w:trHeight w:val="300"/>
        </w:trPr>
        <w:tc>
          <w:tcPr>
            <w:tcW w:w="4720" w:type="dxa"/>
            <w:tcBorders>
              <w:top w:val="nil"/>
              <w:left w:val="single" w:sz="8" w:space="0" w:color="000000"/>
              <w:bottom w:val="nil"/>
              <w:right w:val="nil"/>
            </w:tcBorders>
            <w:shd w:val="clear" w:color="auto" w:fill="auto"/>
            <w:noWrap/>
            <w:vAlign w:val="center"/>
            <w:hideMark/>
          </w:tcPr>
          <w:p w:rsidR="00904A1D" w:rsidRDefault="00904A1D">
            <w:pPr>
              <w:rPr>
                <w:b/>
                <w:bCs/>
                <w:sz w:val="20"/>
                <w:szCs w:val="20"/>
                <w:u w:val="single"/>
              </w:rPr>
            </w:pPr>
            <w:r>
              <w:rPr>
                <w:b/>
                <w:bCs/>
                <w:sz w:val="20"/>
                <w:szCs w:val="20"/>
                <w:u w:val="single"/>
              </w:rPr>
              <w:t>Residential and General Service</w:t>
            </w:r>
          </w:p>
        </w:tc>
        <w:tc>
          <w:tcPr>
            <w:tcW w:w="1540" w:type="dxa"/>
            <w:tcBorders>
              <w:top w:val="nil"/>
              <w:left w:val="nil"/>
              <w:bottom w:val="nil"/>
              <w:right w:val="nil"/>
            </w:tcBorders>
            <w:shd w:val="clear" w:color="auto" w:fill="auto"/>
            <w:noWrap/>
            <w:vAlign w:val="bottom"/>
            <w:hideMark/>
          </w:tcPr>
          <w:p w:rsidR="00904A1D" w:rsidRDefault="00904A1D">
            <w:pPr>
              <w:rPr>
                <w:sz w:val="20"/>
                <w:szCs w:val="20"/>
              </w:rPr>
            </w:pPr>
          </w:p>
        </w:tc>
        <w:tc>
          <w:tcPr>
            <w:tcW w:w="1660" w:type="dxa"/>
            <w:tcBorders>
              <w:top w:val="nil"/>
              <w:left w:val="nil"/>
              <w:bottom w:val="nil"/>
              <w:right w:val="nil"/>
            </w:tcBorders>
            <w:shd w:val="clear" w:color="auto" w:fill="auto"/>
            <w:noWrap/>
            <w:vAlign w:val="bottom"/>
            <w:hideMark/>
          </w:tcPr>
          <w:p w:rsidR="00904A1D" w:rsidRDefault="00904A1D">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904A1D" w:rsidRDefault="00904A1D">
            <w:pPr>
              <w:rPr>
                <w:color w:val="000000"/>
                <w:sz w:val="20"/>
                <w:szCs w:val="20"/>
              </w:rPr>
            </w:pPr>
            <w:r>
              <w:rPr>
                <w:color w:val="000000"/>
                <w:sz w:val="20"/>
                <w:szCs w:val="20"/>
              </w:rPr>
              <w:t> </w:t>
            </w:r>
          </w:p>
        </w:tc>
      </w:tr>
      <w:tr w:rsidR="00904A1D" w:rsidTr="00904A1D">
        <w:trPr>
          <w:trHeight w:val="300"/>
        </w:trPr>
        <w:tc>
          <w:tcPr>
            <w:tcW w:w="4720" w:type="dxa"/>
            <w:tcBorders>
              <w:top w:val="nil"/>
              <w:left w:val="single" w:sz="8" w:space="0" w:color="000000"/>
              <w:bottom w:val="nil"/>
              <w:right w:val="nil"/>
            </w:tcBorders>
            <w:shd w:val="clear" w:color="auto" w:fill="auto"/>
            <w:noWrap/>
            <w:vAlign w:val="center"/>
            <w:hideMark/>
          </w:tcPr>
          <w:p w:rsidR="00904A1D" w:rsidRDefault="00904A1D">
            <w:pPr>
              <w:rPr>
                <w:sz w:val="20"/>
                <w:szCs w:val="20"/>
              </w:rPr>
            </w:pPr>
            <w:r>
              <w:rPr>
                <w:sz w:val="20"/>
                <w:szCs w:val="20"/>
              </w:rPr>
              <w:t>Base Facility Charge by Meter Size</w:t>
            </w:r>
          </w:p>
        </w:tc>
        <w:tc>
          <w:tcPr>
            <w:tcW w:w="1540" w:type="dxa"/>
            <w:tcBorders>
              <w:top w:val="nil"/>
              <w:left w:val="nil"/>
              <w:bottom w:val="nil"/>
              <w:right w:val="nil"/>
            </w:tcBorders>
            <w:shd w:val="clear" w:color="auto" w:fill="auto"/>
            <w:noWrap/>
            <w:vAlign w:val="bottom"/>
            <w:hideMark/>
          </w:tcPr>
          <w:p w:rsidR="00904A1D" w:rsidRDefault="00904A1D">
            <w:pPr>
              <w:rPr>
                <w:sz w:val="20"/>
                <w:szCs w:val="20"/>
              </w:rPr>
            </w:pPr>
          </w:p>
        </w:tc>
        <w:tc>
          <w:tcPr>
            <w:tcW w:w="1660" w:type="dxa"/>
            <w:tcBorders>
              <w:top w:val="nil"/>
              <w:left w:val="nil"/>
              <w:bottom w:val="nil"/>
              <w:right w:val="nil"/>
            </w:tcBorders>
            <w:shd w:val="clear" w:color="auto" w:fill="auto"/>
            <w:noWrap/>
            <w:vAlign w:val="bottom"/>
            <w:hideMark/>
          </w:tcPr>
          <w:p w:rsidR="00904A1D" w:rsidRDefault="00904A1D">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904A1D" w:rsidRDefault="00904A1D">
            <w:pPr>
              <w:rPr>
                <w:color w:val="000000"/>
                <w:sz w:val="20"/>
                <w:szCs w:val="20"/>
              </w:rPr>
            </w:pPr>
            <w:r>
              <w:rPr>
                <w:color w:val="000000"/>
                <w:sz w:val="20"/>
                <w:szCs w:val="20"/>
              </w:rPr>
              <w:t> </w:t>
            </w:r>
          </w:p>
        </w:tc>
      </w:tr>
      <w:tr w:rsidR="00904A1D" w:rsidTr="00904A1D">
        <w:trPr>
          <w:trHeight w:val="300"/>
        </w:trPr>
        <w:tc>
          <w:tcPr>
            <w:tcW w:w="4720" w:type="dxa"/>
            <w:tcBorders>
              <w:top w:val="nil"/>
              <w:left w:val="single" w:sz="8" w:space="0" w:color="000000"/>
              <w:bottom w:val="nil"/>
              <w:right w:val="nil"/>
            </w:tcBorders>
            <w:shd w:val="clear" w:color="auto" w:fill="auto"/>
            <w:noWrap/>
            <w:vAlign w:val="center"/>
            <w:hideMark/>
          </w:tcPr>
          <w:p w:rsidR="00904A1D" w:rsidRDefault="00904A1D">
            <w:pPr>
              <w:rPr>
                <w:color w:val="000000"/>
                <w:sz w:val="20"/>
                <w:szCs w:val="20"/>
              </w:rPr>
            </w:pPr>
            <w:r>
              <w:rPr>
                <w:color w:val="000000"/>
                <w:sz w:val="20"/>
                <w:szCs w:val="20"/>
              </w:rPr>
              <w:t>5/8"X3/4"</w:t>
            </w:r>
          </w:p>
        </w:tc>
        <w:tc>
          <w:tcPr>
            <w:tcW w:w="1540"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$3.70 </w:t>
            </w:r>
          </w:p>
        </w:tc>
        <w:tc>
          <w:tcPr>
            <w:tcW w:w="1660"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$4.80 </w:t>
            </w:r>
          </w:p>
        </w:tc>
        <w:tc>
          <w:tcPr>
            <w:tcW w:w="162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$0.06 </w:t>
            </w:r>
          </w:p>
        </w:tc>
      </w:tr>
      <w:tr w:rsidR="00904A1D" w:rsidTr="00904A1D">
        <w:trPr>
          <w:trHeight w:val="300"/>
        </w:trPr>
        <w:tc>
          <w:tcPr>
            <w:tcW w:w="4720" w:type="dxa"/>
            <w:tcBorders>
              <w:top w:val="nil"/>
              <w:left w:val="single" w:sz="8" w:space="0" w:color="000000"/>
              <w:bottom w:val="nil"/>
              <w:right w:val="nil"/>
            </w:tcBorders>
            <w:shd w:val="clear" w:color="auto" w:fill="auto"/>
            <w:noWrap/>
            <w:vAlign w:val="center"/>
            <w:hideMark/>
          </w:tcPr>
          <w:p w:rsidR="00904A1D" w:rsidRDefault="00904A1D">
            <w:pPr>
              <w:rPr>
                <w:color w:val="000000"/>
                <w:sz w:val="20"/>
                <w:szCs w:val="20"/>
              </w:rPr>
            </w:pPr>
            <w:r>
              <w:rPr>
                <w:color w:val="000000"/>
                <w:sz w:val="20"/>
                <w:szCs w:val="20"/>
              </w:rPr>
              <w:t>1"</w:t>
            </w:r>
          </w:p>
        </w:tc>
        <w:tc>
          <w:tcPr>
            <w:tcW w:w="1540"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$9.26 </w:t>
            </w:r>
          </w:p>
        </w:tc>
        <w:tc>
          <w:tcPr>
            <w:tcW w:w="1660"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$12.00 </w:t>
            </w:r>
          </w:p>
        </w:tc>
        <w:tc>
          <w:tcPr>
            <w:tcW w:w="162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$0.14 </w:t>
            </w:r>
          </w:p>
        </w:tc>
      </w:tr>
      <w:tr w:rsidR="00904A1D" w:rsidTr="00904A1D">
        <w:trPr>
          <w:trHeight w:val="255"/>
        </w:trPr>
        <w:tc>
          <w:tcPr>
            <w:tcW w:w="4720" w:type="dxa"/>
            <w:tcBorders>
              <w:top w:val="nil"/>
              <w:left w:val="single" w:sz="8" w:space="0" w:color="000000"/>
              <w:bottom w:val="nil"/>
              <w:right w:val="nil"/>
            </w:tcBorders>
            <w:shd w:val="clear" w:color="auto" w:fill="auto"/>
            <w:noWrap/>
            <w:vAlign w:val="center"/>
            <w:hideMark/>
          </w:tcPr>
          <w:p w:rsidR="00904A1D" w:rsidRDefault="00904A1D">
            <w:pPr>
              <w:rPr>
                <w:color w:val="000000"/>
                <w:sz w:val="20"/>
                <w:szCs w:val="20"/>
              </w:rPr>
            </w:pPr>
            <w:r>
              <w:rPr>
                <w:color w:val="000000"/>
                <w:sz w:val="20"/>
                <w:szCs w:val="20"/>
              </w:rPr>
              <w:t>1-1/2"</w:t>
            </w:r>
          </w:p>
        </w:tc>
        <w:tc>
          <w:tcPr>
            <w:tcW w:w="1540"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$18.52 </w:t>
            </w:r>
          </w:p>
        </w:tc>
        <w:tc>
          <w:tcPr>
            <w:tcW w:w="1660"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$24.00 </w:t>
            </w:r>
          </w:p>
        </w:tc>
        <w:tc>
          <w:tcPr>
            <w:tcW w:w="162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$0.29 </w:t>
            </w:r>
          </w:p>
        </w:tc>
      </w:tr>
      <w:tr w:rsidR="00904A1D" w:rsidTr="00904A1D">
        <w:trPr>
          <w:trHeight w:val="255"/>
        </w:trPr>
        <w:tc>
          <w:tcPr>
            <w:tcW w:w="4720" w:type="dxa"/>
            <w:tcBorders>
              <w:top w:val="nil"/>
              <w:left w:val="single" w:sz="8" w:space="0" w:color="000000"/>
              <w:bottom w:val="nil"/>
              <w:right w:val="nil"/>
            </w:tcBorders>
            <w:shd w:val="clear" w:color="auto" w:fill="auto"/>
            <w:noWrap/>
            <w:vAlign w:val="center"/>
            <w:hideMark/>
          </w:tcPr>
          <w:p w:rsidR="00904A1D" w:rsidRDefault="00904A1D">
            <w:pPr>
              <w:rPr>
                <w:color w:val="000000"/>
                <w:sz w:val="20"/>
                <w:szCs w:val="20"/>
              </w:rPr>
            </w:pPr>
            <w:r>
              <w:rPr>
                <w:color w:val="000000"/>
                <w:sz w:val="20"/>
                <w:szCs w:val="20"/>
              </w:rPr>
              <w:t>2"</w:t>
            </w:r>
          </w:p>
        </w:tc>
        <w:tc>
          <w:tcPr>
            <w:tcW w:w="1540"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$29.62 </w:t>
            </w:r>
          </w:p>
        </w:tc>
        <w:tc>
          <w:tcPr>
            <w:tcW w:w="1660"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$38.40 </w:t>
            </w:r>
          </w:p>
        </w:tc>
        <w:tc>
          <w:tcPr>
            <w:tcW w:w="162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$0.46 </w:t>
            </w:r>
          </w:p>
        </w:tc>
      </w:tr>
      <w:tr w:rsidR="00904A1D" w:rsidTr="00904A1D">
        <w:trPr>
          <w:trHeight w:val="255"/>
        </w:trPr>
        <w:tc>
          <w:tcPr>
            <w:tcW w:w="4720" w:type="dxa"/>
            <w:tcBorders>
              <w:top w:val="nil"/>
              <w:left w:val="single" w:sz="8" w:space="0" w:color="000000"/>
              <w:bottom w:val="nil"/>
              <w:right w:val="nil"/>
            </w:tcBorders>
            <w:shd w:val="clear" w:color="auto" w:fill="auto"/>
            <w:noWrap/>
            <w:vAlign w:val="center"/>
            <w:hideMark/>
          </w:tcPr>
          <w:p w:rsidR="00904A1D" w:rsidRDefault="00904A1D">
            <w:pPr>
              <w:rPr>
                <w:color w:val="000000"/>
                <w:sz w:val="20"/>
                <w:szCs w:val="20"/>
              </w:rPr>
            </w:pPr>
            <w:r>
              <w:rPr>
                <w:color w:val="000000"/>
                <w:sz w:val="20"/>
                <w:szCs w:val="20"/>
              </w:rPr>
              <w:t>3"</w:t>
            </w:r>
          </w:p>
        </w:tc>
        <w:tc>
          <w:tcPr>
            <w:tcW w:w="1540"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$59.24 </w:t>
            </w:r>
          </w:p>
        </w:tc>
        <w:tc>
          <w:tcPr>
            <w:tcW w:w="1660"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$76.80 </w:t>
            </w:r>
          </w:p>
        </w:tc>
        <w:tc>
          <w:tcPr>
            <w:tcW w:w="162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$0.92 </w:t>
            </w:r>
          </w:p>
        </w:tc>
      </w:tr>
      <w:tr w:rsidR="00904A1D" w:rsidTr="00904A1D">
        <w:trPr>
          <w:trHeight w:val="255"/>
        </w:trPr>
        <w:tc>
          <w:tcPr>
            <w:tcW w:w="4720" w:type="dxa"/>
            <w:tcBorders>
              <w:top w:val="nil"/>
              <w:left w:val="single" w:sz="8" w:space="0" w:color="000000"/>
              <w:bottom w:val="nil"/>
              <w:right w:val="nil"/>
            </w:tcBorders>
            <w:shd w:val="clear" w:color="auto" w:fill="auto"/>
            <w:noWrap/>
            <w:vAlign w:val="center"/>
            <w:hideMark/>
          </w:tcPr>
          <w:p w:rsidR="00904A1D" w:rsidRDefault="00904A1D">
            <w:pPr>
              <w:rPr>
                <w:color w:val="000000"/>
                <w:sz w:val="20"/>
                <w:szCs w:val="20"/>
              </w:rPr>
            </w:pPr>
            <w:r>
              <w:rPr>
                <w:color w:val="000000"/>
                <w:sz w:val="20"/>
                <w:szCs w:val="20"/>
              </w:rPr>
              <w:t>4"</w:t>
            </w:r>
          </w:p>
        </w:tc>
        <w:tc>
          <w:tcPr>
            <w:tcW w:w="1540"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$92.57 </w:t>
            </w:r>
          </w:p>
        </w:tc>
        <w:tc>
          <w:tcPr>
            <w:tcW w:w="1660"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$120.00 </w:t>
            </w:r>
          </w:p>
        </w:tc>
        <w:tc>
          <w:tcPr>
            <w:tcW w:w="162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$1.44 </w:t>
            </w:r>
          </w:p>
        </w:tc>
      </w:tr>
      <w:tr w:rsidR="00904A1D" w:rsidTr="00904A1D">
        <w:trPr>
          <w:trHeight w:val="255"/>
        </w:trPr>
        <w:tc>
          <w:tcPr>
            <w:tcW w:w="4720" w:type="dxa"/>
            <w:tcBorders>
              <w:top w:val="nil"/>
              <w:left w:val="single" w:sz="8" w:space="0" w:color="000000"/>
              <w:bottom w:val="nil"/>
              <w:right w:val="nil"/>
            </w:tcBorders>
            <w:shd w:val="clear" w:color="auto" w:fill="auto"/>
            <w:noWrap/>
            <w:vAlign w:val="center"/>
            <w:hideMark/>
          </w:tcPr>
          <w:p w:rsidR="00904A1D" w:rsidRDefault="00904A1D">
            <w:pPr>
              <w:rPr>
                <w:color w:val="000000"/>
                <w:sz w:val="20"/>
                <w:szCs w:val="20"/>
              </w:rPr>
            </w:pPr>
            <w:r>
              <w:rPr>
                <w:color w:val="000000"/>
                <w:sz w:val="20"/>
                <w:szCs w:val="20"/>
              </w:rPr>
              <w:t>6"</w:t>
            </w:r>
          </w:p>
        </w:tc>
        <w:tc>
          <w:tcPr>
            <w:tcW w:w="1540"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$185.13 </w:t>
            </w:r>
          </w:p>
        </w:tc>
        <w:tc>
          <w:tcPr>
            <w:tcW w:w="1660"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$240.00 </w:t>
            </w:r>
          </w:p>
        </w:tc>
        <w:tc>
          <w:tcPr>
            <w:tcW w:w="162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$2.88 </w:t>
            </w:r>
          </w:p>
        </w:tc>
      </w:tr>
      <w:tr w:rsidR="00904A1D" w:rsidTr="00904A1D">
        <w:trPr>
          <w:trHeight w:val="300"/>
        </w:trPr>
        <w:tc>
          <w:tcPr>
            <w:tcW w:w="4720" w:type="dxa"/>
            <w:tcBorders>
              <w:top w:val="nil"/>
              <w:left w:val="single" w:sz="8" w:space="0" w:color="000000"/>
              <w:bottom w:val="nil"/>
              <w:right w:val="nil"/>
            </w:tcBorders>
            <w:shd w:val="clear" w:color="auto" w:fill="auto"/>
            <w:noWrap/>
            <w:vAlign w:val="bottom"/>
            <w:hideMark/>
          </w:tcPr>
          <w:p w:rsidR="00904A1D" w:rsidRDefault="00904A1D">
            <w:pPr>
              <w:rPr>
                <w:sz w:val="20"/>
                <w:szCs w:val="20"/>
              </w:rPr>
            </w:pPr>
            <w:r>
              <w:rPr>
                <w:sz w:val="20"/>
                <w:szCs w:val="20"/>
              </w:rPr>
              <w:t> </w:t>
            </w:r>
          </w:p>
        </w:tc>
        <w:tc>
          <w:tcPr>
            <w:tcW w:w="1540" w:type="dxa"/>
            <w:tcBorders>
              <w:top w:val="nil"/>
              <w:left w:val="nil"/>
              <w:bottom w:val="nil"/>
              <w:right w:val="nil"/>
            </w:tcBorders>
            <w:shd w:val="clear" w:color="auto" w:fill="auto"/>
            <w:noWrap/>
            <w:vAlign w:val="bottom"/>
            <w:hideMark/>
          </w:tcPr>
          <w:p w:rsidR="00904A1D" w:rsidRDefault="00904A1D">
            <w:pPr>
              <w:rPr>
                <w:sz w:val="20"/>
                <w:szCs w:val="20"/>
              </w:rPr>
            </w:pPr>
          </w:p>
        </w:tc>
        <w:tc>
          <w:tcPr>
            <w:tcW w:w="1660" w:type="dxa"/>
            <w:tcBorders>
              <w:top w:val="nil"/>
              <w:left w:val="nil"/>
              <w:bottom w:val="nil"/>
              <w:right w:val="nil"/>
            </w:tcBorders>
            <w:shd w:val="clear" w:color="auto" w:fill="auto"/>
            <w:noWrap/>
            <w:vAlign w:val="bottom"/>
            <w:hideMark/>
          </w:tcPr>
          <w:p w:rsidR="00904A1D" w:rsidRDefault="00904A1D">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w:t>
            </w:r>
          </w:p>
        </w:tc>
      </w:tr>
      <w:tr w:rsidR="00904A1D" w:rsidTr="00904A1D">
        <w:trPr>
          <w:trHeight w:val="300"/>
        </w:trPr>
        <w:tc>
          <w:tcPr>
            <w:tcW w:w="4720" w:type="dxa"/>
            <w:tcBorders>
              <w:top w:val="nil"/>
              <w:left w:val="single" w:sz="8" w:space="0" w:color="000000"/>
              <w:bottom w:val="nil"/>
              <w:right w:val="nil"/>
            </w:tcBorders>
            <w:shd w:val="clear" w:color="auto" w:fill="auto"/>
            <w:noWrap/>
            <w:vAlign w:val="center"/>
            <w:hideMark/>
          </w:tcPr>
          <w:p w:rsidR="00904A1D" w:rsidRDefault="00904A1D">
            <w:pPr>
              <w:rPr>
                <w:color w:val="000000"/>
                <w:sz w:val="20"/>
                <w:szCs w:val="20"/>
              </w:rPr>
            </w:pPr>
            <w:r>
              <w:rPr>
                <w:color w:val="000000"/>
                <w:sz w:val="20"/>
                <w:szCs w:val="20"/>
              </w:rPr>
              <w:t xml:space="preserve">Charge per 1,000 gallons </w:t>
            </w:r>
          </w:p>
        </w:tc>
        <w:tc>
          <w:tcPr>
            <w:tcW w:w="1540"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$2.24 </w:t>
            </w:r>
          </w:p>
        </w:tc>
        <w:tc>
          <w:tcPr>
            <w:tcW w:w="1660"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$2.91 </w:t>
            </w:r>
          </w:p>
        </w:tc>
        <w:tc>
          <w:tcPr>
            <w:tcW w:w="162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$0.03 </w:t>
            </w:r>
          </w:p>
        </w:tc>
      </w:tr>
      <w:tr w:rsidR="00904A1D" w:rsidTr="00904A1D">
        <w:trPr>
          <w:trHeight w:val="300"/>
        </w:trPr>
        <w:tc>
          <w:tcPr>
            <w:tcW w:w="4720" w:type="dxa"/>
            <w:tcBorders>
              <w:top w:val="nil"/>
              <w:left w:val="single" w:sz="8" w:space="0" w:color="000000"/>
              <w:bottom w:val="nil"/>
              <w:right w:val="nil"/>
            </w:tcBorders>
            <w:shd w:val="clear" w:color="auto" w:fill="auto"/>
            <w:noWrap/>
            <w:vAlign w:val="bottom"/>
            <w:hideMark/>
          </w:tcPr>
          <w:p w:rsidR="00904A1D" w:rsidRDefault="00904A1D">
            <w:pPr>
              <w:rPr>
                <w:sz w:val="20"/>
                <w:szCs w:val="20"/>
              </w:rPr>
            </w:pPr>
            <w:r>
              <w:rPr>
                <w:sz w:val="20"/>
                <w:szCs w:val="20"/>
              </w:rPr>
              <w:t> </w:t>
            </w:r>
          </w:p>
        </w:tc>
        <w:tc>
          <w:tcPr>
            <w:tcW w:w="1540" w:type="dxa"/>
            <w:tcBorders>
              <w:top w:val="nil"/>
              <w:left w:val="nil"/>
              <w:bottom w:val="nil"/>
              <w:right w:val="nil"/>
            </w:tcBorders>
            <w:shd w:val="clear" w:color="auto" w:fill="auto"/>
            <w:noWrap/>
            <w:vAlign w:val="bottom"/>
            <w:hideMark/>
          </w:tcPr>
          <w:p w:rsidR="00904A1D" w:rsidRDefault="00904A1D">
            <w:pPr>
              <w:rPr>
                <w:sz w:val="20"/>
                <w:szCs w:val="20"/>
              </w:rPr>
            </w:pPr>
          </w:p>
        </w:tc>
        <w:tc>
          <w:tcPr>
            <w:tcW w:w="1660" w:type="dxa"/>
            <w:tcBorders>
              <w:top w:val="nil"/>
              <w:left w:val="nil"/>
              <w:bottom w:val="nil"/>
              <w:right w:val="nil"/>
            </w:tcBorders>
            <w:shd w:val="clear" w:color="auto" w:fill="auto"/>
            <w:noWrap/>
            <w:vAlign w:val="bottom"/>
            <w:hideMark/>
          </w:tcPr>
          <w:p w:rsidR="00904A1D" w:rsidRDefault="00904A1D">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w:t>
            </w:r>
          </w:p>
        </w:tc>
      </w:tr>
      <w:tr w:rsidR="00904A1D" w:rsidTr="00904A1D">
        <w:trPr>
          <w:trHeight w:val="300"/>
        </w:trPr>
        <w:tc>
          <w:tcPr>
            <w:tcW w:w="4720" w:type="dxa"/>
            <w:tcBorders>
              <w:top w:val="nil"/>
              <w:left w:val="single" w:sz="8" w:space="0" w:color="000000"/>
              <w:bottom w:val="nil"/>
              <w:right w:val="nil"/>
            </w:tcBorders>
            <w:shd w:val="clear" w:color="auto" w:fill="auto"/>
            <w:noWrap/>
            <w:vAlign w:val="center"/>
            <w:hideMark/>
          </w:tcPr>
          <w:p w:rsidR="00904A1D" w:rsidRDefault="00904A1D">
            <w:pPr>
              <w:rPr>
                <w:b/>
                <w:bCs/>
                <w:color w:val="000000"/>
                <w:sz w:val="20"/>
                <w:szCs w:val="20"/>
                <w:u w:val="single"/>
              </w:rPr>
            </w:pPr>
            <w:r>
              <w:rPr>
                <w:b/>
                <w:bCs/>
                <w:color w:val="000000"/>
                <w:sz w:val="20"/>
                <w:szCs w:val="20"/>
                <w:u w:val="single"/>
              </w:rPr>
              <w:t>Typical Residential 5/8" x 3/4" Meter Bill Comparison</w:t>
            </w:r>
          </w:p>
        </w:tc>
        <w:tc>
          <w:tcPr>
            <w:tcW w:w="1540" w:type="dxa"/>
            <w:tcBorders>
              <w:top w:val="nil"/>
              <w:left w:val="nil"/>
              <w:bottom w:val="nil"/>
              <w:right w:val="nil"/>
            </w:tcBorders>
            <w:shd w:val="clear" w:color="auto" w:fill="auto"/>
            <w:noWrap/>
            <w:vAlign w:val="bottom"/>
            <w:hideMark/>
          </w:tcPr>
          <w:p w:rsidR="00904A1D" w:rsidRDefault="00904A1D">
            <w:pPr>
              <w:rPr>
                <w:sz w:val="20"/>
                <w:szCs w:val="20"/>
              </w:rPr>
            </w:pPr>
          </w:p>
        </w:tc>
        <w:tc>
          <w:tcPr>
            <w:tcW w:w="1660" w:type="dxa"/>
            <w:tcBorders>
              <w:top w:val="nil"/>
              <w:left w:val="nil"/>
              <w:bottom w:val="nil"/>
              <w:right w:val="nil"/>
            </w:tcBorders>
            <w:shd w:val="clear" w:color="auto" w:fill="auto"/>
            <w:noWrap/>
            <w:vAlign w:val="bottom"/>
            <w:hideMark/>
          </w:tcPr>
          <w:p w:rsidR="00904A1D" w:rsidRDefault="00904A1D">
            <w:pPr>
              <w:rPr>
                <w:sz w:val="20"/>
                <w:szCs w:val="20"/>
              </w:rPr>
            </w:pPr>
          </w:p>
        </w:tc>
        <w:tc>
          <w:tcPr>
            <w:tcW w:w="162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w:t>
            </w:r>
          </w:p>
        </w:tc>
      </w:tr>
      <w:tr w:rsidR="00904A1D" w:rsidTr="00904A1D">
        <w:trPr>
          <w:trHeight w:val="300"/>
        </w:trPr>
        <w:tc>
          <w:tcPr>
            <w:tcW w:w="4720" w:type="dxa"/>
            <w:tcBorders>
              <w:top w:val="nil"/>
              <w:left w:val="single" w:sz="8" w:space="0" w:color="000000"/>
              <w:bottom w:val="nil"/>
              <w:right w:val="nil"/>
            </w:tcBorders>
            <w:shd w:val="clear" w:color="auto" w:fill="auto"/>
            <w:noWrap/>
            <w:vAlign w:val="center"/>
            <w:hideMark/>
          </w:tcPr>
          <w:p w:rsidR="00904A1D" w:rsidRDefault="00904A1D">
            <w:pPr>
              <w:rPr>
                <w:color w:val="000000"/>
                <w:sz w:val="20"/>
                <w:szCs w:val="20"/>
              </w:rPr>
            </w:pPr>
            <w:r>
              <w:rPr>
                <w:color w:val="000000"/>
                <w:sz w:val="20"/>
                <w:szCs w:val="20"/>
              </w:rPr>
              <w:t>3,000 Gallons</w:t>
            </w:r>
          </w:p>
        </w:tc>
        <w:tc>
          <w:tcPr>
            <w:tcW w:w="1540"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$10.42 </w:t>
            </w:r>
          </w:p>
        </w:tc>
        <w:tc>
          <w:tcPr>
            <w:tcW w:w="1660"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$13.53 </w:t>
            </w:r>
          </w:p>
        </w:tc>
        <w:tc>
          <w:tcPr>
            <w:tcW w:w="162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w:t>
            </w:r>
          </w:p>
        </w:tc>
      </w:tr>
      <w:tr w:rsidR="00904A1D" w:rsidTr="00904A1D">
        <w:trPr>
          <w:trHeight w:val="255"/>
        </w:trPr>
        <w:tc>
          <w:tcPr>
            <w:tcW w:w="4720" w:type="dxa"/>
            <w:tcBorders>
              <w:top w:val="nil"/>
              <w:left w:val="single" w:sz="8" w:space="0" w:color="000000"/>
              <w:bottom w:val="nil"/>
              <w:right w:val="nil"/>
            </w:tcBorders>
            <w:shd w:val="clear" w:color="auto" w:fill="auto"/>
            <w:noWrap/>
            <w:vAlign w:val="center"/>
            <w:hideMark/>
          </w:tcPr>
          <w:p w:rsidR="00904A1D" w:rsidRDefault="00904A1D">
            <w:pPr>
              <w:rPr>
                <w:color w:val="000000"/>
                <w:sz w:val="20"/>
                <w:szCs w:val="20"/>
              </w:rPr>
            </w:pPr>
            <w:r>
              <w:rPr>
                <w:color w:val="000000"/>
                <w:sz w:val="20"/>
                <w:szCs w:val="20"/>
              </w:rPr>
              <w:t>8,000 Gallons</w:t>
            </w:r>
          </w:p>
        </w:tc>
        <w:tc>
          <w:tcPr>
            <w:tcW w:w="1540"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$21.62 </w:t>
            </w:r>
          </w:p>
        </w:tc>
        <w:tc>
          <w:tcPr>
            <w:tcW w:w="1660"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$28.08 </w:t>
            </w:r>
          </w:p>
        </w:tc>
        <w:tc>
          <w:tcPr>
            <w:tcW w:w="162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w:t>
            </w:r>
          </w:p>
        </w:tc>
      </w:tr>
      <w:tr w:rsidR="00904A1D" w:rsidTr="00904A1D">
        <w:trPr>
          <w:trHeight w:val="255"/>
        </w:trPr>
        <w:tc>
          <w:tcPr>
            <w:tcW w:w="4720" w:type="dxa"/>
            <w:tcBorders>
              <w:top w:val="nil"/>
              <w:left w:val="single" w:sz="8" w:space="0" w:color="000000"/>
              <w:bottom w:val="nil"/>
              <w:right w:val="nil"/>
            </w:tcBorders>
            <w:shd w:val="clear" w:color="auto" w:fill="auto"/>
            <w:noWrap/>
            <w:vAlign w:val="center"/>
            <w:hideMark/>
          </w:tcPr>
          <w:p w:rsidR="00904A1D" w:rsidRDefault="00904A1D">
            <w:pPr>
              <w:rPr>
                <w:color w:val="000000"/>
                <w:sz w:val="20"/>
                <w:szCs w:val="20"/>
              </w:rPr>
            </w:pPr>
            <w:r>
              <w:rPr>
                <w:color w:val="000000"/>
                <w:sz w:val="20"/>
                <w:szCs w:val="20"/>
              </w:rPr>
              <w:t>16,000 Gallons</w:t>
            </w:r>
          </w:p>
        </w:tc>
        <w:tc>
          <w:tcPr>
            <w:tcW w:w="1540"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$39.54 </w:t>
            </w:r>
          </w:p>
        </w:tc>
        <w:tc>
          <w:tcPr>
            <w:tcW w:w="1660"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$51.36 </w:t>
            </w:r>
          </w:p>
        </w:tc>
        <w:tc>
          <w:tcPr>
            <w:tcW w:w="162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w:t>
            </w:r>
          </w:p>
        </w:tc>
      </w:tr>
      <w:tr w:rsidR="00904A1D" w:rsidTr="00904A1D">
        <w:trPr>
          <w:trHeight w:val="270"/>
        </w:trPr>
        <w:tc>
          <w:tcPr>
            <w:tcW w:w="4720" w:type="dxa"/>
            <w:tcBorders>
              <w:top w:val="nil"/>
              <w:left w:val="single" w:sz="8" w:space="0" w:color="000000"/>
              <w:bottom w:val="single" w:sz="8" w:space="0" w:color="000000"/>
              <w:right w:val="nil"/>
            </w:tcBorders>
            <w:shd w:val="clear" w:color="auto" w:fill="auto"/>
            <w:noWrap/>
            <w:vAlign w:val="bottom"/>
            <w:hideMark/>
          </w:tcPr>
          <w:p w:rsidR="00904A1D" w:rsidRDefault="00904A1D">
            <w:pPr>
              <w:rPr>
                <w:sz w:val="20"/>
                <w:szCs w:val="20"/>
              </w:rPr>
            </w:pPr>
            <w:r>
              <w:rPr>
                <w:sz w:val="20"/>
                <w:szCs w:val="20"/>
              </w:rPr>
              <w:t> </w:t>
            </w:r>
          </w:p>
        </w:tc>
        <w:tc>
          <w:tcPr>
            <w:tcW w:w="1540" w:type="dxa"/>
            <w:tcBorders>
              <w:top w:val="nil"/>
              <w:left w:val="nil"/>
              <w:bottom w:val="single" w:sz="8" w:space="0" w:color="000000"/>
              <w:right w:val="nil"/>
            </w:tcBorders>
            <w:shd w:val="clear" w:color="auto" w:fill="auto"/>
            <w:noWrap/>
            <w:vAlign w:val="bottom"/>
            <w:hideMark/>
          </w:tcPr>
          <w:p w:rsidR="00904A1D" w:rsidRDefault="00904A1D">
            <w:pPr>
              <w:rPr>
                <w:sz w:val="20"/>
                <w:szCs w:val="20"/>
              </w:rPr>
            </w:pPr>
            <w:r>
              <w:rPr>
                <w:sz w:val="20"/>
                <w:szCs w:val="20"/>
              </w:rPr>
              <w:t> </w:t>
            </w:r>
          </w:p>
        </w:tc>
        <w:tc>
          <w:tcPr>
            <w:tcW w:w="1660" w:type="dxa"/>
            <w:tcBorders>
              <w:top w:val="nil"/>
              <w:left w:val="nil"/>
              <w:bottom w:val="single" w:sz="8" w:space="0" w:color="000000"/>
              <w:right w:val="nil"/>
            </w:tcBorders>
            <w:shd w:val="clear" w:color="auto" w:fill="auto"/>
            <w:noWrap/>
            <w:vAlign w:val="bottom"/>
            <w:hideMark/>
          </w:tcPr>
          <w:p w:rsidR="00904A1D" w:rsidRDefault="00904A1D">
            <w:pPr>
              <w:rPr>
                <w:sz w:val="20"/>
                <w:szCs w:val="20"/>
              </w:rPr>
            </w:pPr>
            <w:r>
              <w:rPr>
                <w:sz w:val="20"/>
                <w:szCs w:val="20"/>
              </w:rPr>
              <w:t> </w:t>
            </w:r>
          </w:p>
        </w:tc>
        <w:tc>
          <w:tcPr>
            <w:tcW w:w="1620" w:type="dxa"/>
            <w:tcBorders>
              <w:top w:val="nil"/>
              <w:left w:val="nil"/>
              <w:bottom w:val="single" w:sz="8" w:space="0" w:color="000000"/>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w:t>
            </w:r>
          </w:p>
        </w:tc>
      </w:tr>
    </w:tbl>
    <w:p w:rsidR="00637DE5" w:rsidRDefault="00637DE5" w:rsidP="003A3186">
      <w:pPr>
        <w:pStyle w:val="OrderBody"/>
        <w:jc w:val="center"/>
        <w:rPr>
          <w:noProof/>
        </w:rPr>
      </w:pPr>
    </w:p>
    <w:p w:rsidR="00904A1D" w:rsidRPr="00637DE5" w:rsidRDefault="00637DE5" w:rsidP="00637DE5">
      <w:pPr>
        <w:pStyle w:val="OrderBody"/>
        <w:rPr>
          <w:b/>
        </w:rPr>
      </w:pPr>
      <w:r>
        <w:rPr>
          <w:noProof/>
        </w:rPr>
        <w:br w:type="page"/>
      </w:r>
    </w:p>
    <w:tbl>
      <w:tblPr>
        <w:tblW w:w="9700" w:type="dxa"/>
        <w:tblInd w:w="93" w:type="dxa"/>
        <w:tblLook w:val="04A0" w:firstRow="1" w:lastRow="0" w:firstColumn="1" w:lastColumn="0" w:noHBand="0" w:noVBand="1"/>
      </w:tblPr>
      <w:tblGrid>
        <w:gridCol w:w="5236"/>
        <w:gridCol w:w="1205"/>
        <w:gridCol w:w="1572"/>
        <w:gridCol w:w="1780"/>
      </w:tblGrid>
      <w:tr w:rsidR="00904A1D" w:rsidTr="00904A1D">
        <w:trPr>
          <w:trHeight w:val="255"/>
        </w:trPr>
        <w:tc>
          <w:tcPr>
            <w:tcW w:w="7920" w:type="dxa"/>
            <w:gridSpan w:val="3"/>
            <w:tcBorders>
              <w:top w:val="single" w:sz="8" w:space="0" w:color="000000"/>
              <w:left w:val="single" w:sz="8" w:space="0" w:color="000000"/>
              <w:bottom w:val="nil"/>
              <w:right w:val="nil"/>
            </w:tcBorders>
            <w:shd w:val="clear" w:color="auto" w:fill="auto"/>
            <w:noWrap/>
            <w:vAlign w:val="center"/>
            <w:hideMark/>
          </w:tcPr>
          <w:p w:rsidR="00904A1D" w:rsidRDefault="00904A1D">
            <w:pPr>
              <w:rPr>
                <w:b/>
                <w:bCs/>
                <w:color w:val="000000"/>
                <w:sz w:val="20"/>
                <w:szCs w:val="20"/>
              </w:rPr>
            </w:pPr>
            <w:r>
              <w:rPr>
                <w:b/>
                <w:bCs/>
                <w:color w:val="000000"/>
                <w:sz w:val="20"/>
                <w:szCs w:val="20"/>
              </w:rPr>
              <w:lastRenderedPageBreak/>
              <w:t>UTILITIES, INC. OF FLORIDA - SEMINOLE COUNTY, EXCLUDING SANLANDO</w:t>
            </w:r>
          </w:p>
        </w:tc>
        <w:tc>
          <w:tcPr>
            <w:tcW w:w="1780" w:type="dxa"/>
            <w:tcBorders>
              <w:top w:val="single" w:sz="8" w:space="0" w:color="000000"/>
              <w:left w:val="nil"/>
              <w:bottom w:val="nil"/>
              <w:right w:val="single" w:sz="8" w:space="0" w:color="000000"/>
            </w:tcBorders>
            <w:shd w:val="clear" w:color="auto" w:fill="auto"/>
            <w:noWrap/>
            <w:vAlign w:val="center"/>
            <w:hideMark/>
          </w:tcPr>
          <w:p w:rsidR="00904A1D" w:rsidRDefault="00904A1D" w:rsidP="00904A1D">
            <w:pPr>
              <w:ind w:left="-96"/>
              <w:rPr>
                <w:b/>
                <w:bCs/>
                <w:color w:val="000000"/>
                <w:sz w:val="20"/>
                <w:szCs w:val="20"/>
              </w:rPr>
            </w:pPr>
            <w:r>
              <w:rPr>
                <w:b/>
                <w:bCs/>
                <w:color w:val="000000"/>
                <w:sz w:val="20"/>
                <w:szCs w:val="20"/>
              </w:rPr>
              <w:t>SCHEDULE NO. 6</w:t>
            </w:r>
          </w:p>
        </w:tc>
      </w:tr>
      <w:tr w:rsidR="00904A1D" w:rsidTr="00904A1D">
        <w:trPr>
          <w:trHeight w:val="270"/>
        </w:trPr>
        <w:tc>
          <w:tcPr>
            <w:tcW w:w="5236" w:type="dxa"/>
            <w:tcBorders>
              <w:top w:val="nil"/>
              <w:left w:val="single" w:sz="8" w:space="0" w:color="000000"/>
              <w:bottom w:val="nil"/>
              <w:right w:val="nil"/>
            </w:tcBorders>
            <w:shd w:val="clear" w:color="auto" w:fill="auto"/>
            <w:noWrap/>
            <w:vAlign w:val="center"/>
            <w:hideMark/>
          </w:tcPr>
          <w:p w:rsidR="00904A1D" w:rsidRDefault="00904A1D">
            <w:pPr>
              <w:rPr>
                <w:b/>
                <w:bCs/>
                <w:color w:val="000000"/>
                <w:sz w:val="20"/>
                <w:szCs w:val="20"/>
              </w:rPr>
            </w:pPr>
            <w:r>
              <w:rPr>
                <w:b/>
                <w:bCs/>
                <w:color w:val="000000"/>
                <w:sz w:val="20"/>
                <w:szCs w:val="20"/>
              </w:rPr>
              <w:t>MONTHLY WATER RATES</w:t>
            </w:r>
          </w:p>
        </w:tc>
        <w:tc>
          <w:tcPr>
            <w:tcW w:w="1137" w:type="dxa"/>
            <w:tcBorders>
              <w:top w:val="nil"/>
              <w:left w:val="nil"/>
              <w:bottom w:val="nil"/>
              <w:right w:val="nil"/>
            </w:tcBorders>
            <w:shd w:val="clear" w:color="auto" w:fill="auto"/>
            <w:noWrap/>
            <w:vAlign w:val="bottom"/>
            <w:hideMark/>
          </w:tcPr>
          <w:p w:rsidR="00904A1D" w:rsidRDefault="00904A1D">
            <w:pPr>
              <w:rPr>
                <w:sz w:val="20"/>
                <w:szCs w:val="20"/>
              </w:rPr>
            </w:pPr>
          </w:p>
        </w:tc>
        <w:tc>
          <w:tcPr>
            <w:tcW w:w="3327" w:type="dxa"/>
            <w:gridSpan w:val="2"/>
            <w:tcBorders>
              <w:top w:val="nil"/>
              <w:left w:val="nil"/>
              <w:bottom w:val="nil"/>
              <w:right w:val="single" w:sz="8" w:space="0" w:color="000000"/>
            </w:tcBorders>
            <w:shd w:val="clear" w:color="auto" w:fill="auto"/>
            <w:noWrap/>
            <w:vAlign w:val="center"/>
            <w:hideMark/>
          </w:tcPr>
          <w:p w:rsidR="00904A1D" w:rsidRDefault="00904A1D">
            <w:pPr>
              <w:jc w:val="right"/>
              <w:rPr>
                <w:b/>
                <w:bCs/>
                <w:color w:val="000000"/>
                <w:sz w:val="20"/>
                <w:szCs w:val="20"/>
              </w:rPr>
            </w:pPr>
            <w:r>
              <w:rPr>
                <w:b/>
                <w:bCs/>
                <w:color w:val="000000"/>
                <w:sz w:val="20"/>
                <w:szCs w:val="20"/>
              </w:rPr>
              <w:t>DOCKET NO. 150269-WS</w:t>
            </w:r>
          </w:p>
        </w:tc>
      </w:tr>
      <w:tr w:rsidR="00904A1D" w:rsidTr="00904A1D">
        <w:trPr>
          <w:trHeight w:val="300"/>
        </w:trPr>
        <w:tc>
          <w:tcPr>
            <w:tcW w:w="5236" w:type="dxa"/>
            <w:tcBorders>
              <w:top w:val="single" w:sz="8" w:space="0" w:color="000000"/>
              <w:left w:val="single" w:sz="8" w:space="0" w:color="000000"/>
              <w:bottom w:val="nil"/>
              <w:right w:val="nil"/>
            </w:tcBorders>
            <w:shd w:val="clear" w:color="auto" w:fill="auto"/>
            <w:noWrap/>
            <w:vAlign w:val="center"/>
            <w:hideMark/>
          </w:tcPr>
          <w:p w:rsidR="00904A1D" w:rsidRDefault="00904A1D">
            <w:pPr>
              <w:rPr>
                <w:b/>
                <w:bCs/>
                <w:sz w:val="20"/>
                <w:szCs w:val="20"/>
              </w:rPr>
            </w:pPr>
            <w:r>
              <w:rPr>
                <w:b/>
                <w:bCs/>
                <w:sz w:val="20"/>
                <w:szCs w:val="20"/>
              </w:rPr>
              <w:t> </w:t>
            </w:r>
          </w:p>
        </w:tc>
        <w:tc>
          <w:tcPr>
            <w:tcW w:w="1137" w:type="dxa"/>
            <w:tcBorders>
              <w:top w:val="single" w:sz="8" w:space="0" w:color="000000"/>
              <w:left w:val="nil"/>
              <w:bottom w:val="nil"/>
              <w:right w:val="nil"/>
            </w:tcBorders>
            <w:shd w:val="clear" w:color="auto" w:fill="auto"/>
            <w:noWrap/>
            <w:vAlign w:val="center"/>
            <w:hideMark/>
          </w:tcPr>
          <w:p w:rsidR="00904A1D" w:rsidRDefault="00904A1D">
            <w:pPr>
              <w:jc w:val="center"/>
              <w:rPr>
                <w:b/>
                <w:bCs/>
                <w:color w:val="000000"/>
                <w:sz w:val="20"/>
                <w:szCs w:val="20"/>
              </w:rPr>
            </w:pPr>
            <w:r>
              <w:rPr>
                <w:b/>
                <w:bCs/>
                <w:color w:val="000000"/>
                <w:sz w:val="20"/>
                <w:szCs w:val="20"/>
              </w:rPr>
              <w:t>UTILITY</w:t>
            </w:r>
          </w:p>
        </w:tc>
        <w:tc>
          <w:tcPr>
            <w:tcW w:w="1547" w:type="dxa"/>
            <w:tcBorders>
              <w:top w:val="single" w:sz="8" w:space="0" w:color="000000"/>
              <w:left w:val="nil"/>
              <w:bottom w:val="nil"/>
              <w:right w:val="nil"/>
            </w:tcBorders>
            <w:shd w:val="clear" w:color="auto" w:fill="auto"/>
            <w:noWrap/>
            <w:vAlign w:val="center"/>
            <w:hideMark/>
          </w:tcPr>
          <w:p w:rsidR="00904A1D" w:rsidRDefault="00904A1D">
            <w:pPr>
              <w:jc w:val="center"/>
              <w:rPr>
                <w:b/>
                <w:bCs/>
                <w:color w:val="000000"/>
                <w:sz w:val="20"/>
                <w:szCs w:val="20"/>
              </w:rPr>
            </w:pPr>
            <w:r>
              <w:rPr>
                <w:b/>
                <w:bCs/>
                <w:color w:val="000000"/>
                <w:sz w:val="20"/>
                <w:szCs w:val="20"/>
              </w:rPr>
              <w:t>COMMISSION</w:t>
            </w:r>
          </w:p>
        </w:tc>
        <w:tc>
          <w:tcPr>
            <w:tcW w:w="1780" w:type="dxa"/>
            <w:tcBorders>
              <w:top w:val="single" w:sz="8" w:space="0" w:color="000000"/>
              <w:left w:val="nil"/>
              <w:bottom w:val="nil"/>
              <w:right w:val="single" w:sz="8" w:space="0" w:color="000000"/>
            </w:tcBorders>
            <w:shd w:val="clear" w:color="auto" w:fill="auto"/>
            <w:noWrap/>
            <w:vAlign w:val="center"/>
            <w:hideMark/>
          </w:tcPr>
          <w:p w:rsidR="00904A1D" w:rsidRDefault="00904A1D">
            <w:pPr>
              <w:jc w:val="center"/>
              <w:rPr>
                <w:b/>
                <w:bCs/>
                <w:color w:val="000000"/>
                <w:sz w:val="20"/>
                <w:szCs w:val="20"/>
              </w:rPr>
            </w:pPr>
            <w:r>
              <w:rPr>
                <w:b/>
                <w:bCs/>
                <w:color w:val="000000"/>
                <w:sz w:val="20"/>
                <w:szCs w:val="20"/>
              </w:rPr>
              <w:t>4 YEAR</w:t>
            </w:r>
          </w:p>
        </w:tc>
      </w:tr>
      <w:tr w:rsidR="00904A1D" w:rsidTr="00904A1D">
        <w:trPr>
          <w:trHeight w:val="300"/>
        </w:trPr>
        <w:tc>
          <w:tcPr>
            <w:tcW w:w="5236" w:type="dxa"/>
            <w:tcBorders>
              <w:top w:val="nil"/>
              <w:left w:val="single" w:sz="8" w:space="0" w:color="000000"/>
              <w:bottom w:val="nil"/>
              <w:right w:val="nil"/>
            </w:tcBorders>
            <w:shd w:val="clear" w:color="auto" w:fill="auto"/>
            <w:noWrap/>
            <w:vAlign w:val="bottom"/>
            <w:hideMark/>
          </w:tcPr>
          <w:p w:rsidR="00904A1D" w:rsidRDefault="00904A1D">
            <w:pPr>
              <w:rPr>
                <w:sz w:val="20"/>
                <w:szCs w:val="20"/>
              </w:rPr>
            </w:pPr>
            <w:r>
              <w:rPr>
                <w:sz w:val="20"/>
                <w:szCs w:val="20"/>
              </w:rPr>
              <w:t> </w:t>
            </w:r>
          </w:p>
        </w:tc>
        <w:tc>
          <w:tcPr>
            <w:tcW w:w="1137" w:type="dxa"/>
            <w:tcBorders>
              <w:top w:val="nil"/>
              <w:left w:val="nil"/>
              <w:bottom w:val="nil"/>
              <w:right w:val="nil"/>
            </w:tcBorders>
            <w:shd w:val="clear" w:color="auto" w:fill="auto"/>
            <w:noWrap/>
            <w:vAlign w:val="center"/>
            <w:hideMark/>
          </w:tcPr>
          <w:p w:rsidR="00904A1D" w:rsidRDefault="00904A1D">
            <w:pPr>
              <w:jc w:val="center"/>
              <w:rPr>
                <w:b/>
                <w:bCs/>
                <w:color w:val="000000"/>
                <w:sz w:val="20"/>
                <w:szCs w:val="20"/>
              </w:rPr>
            </w:pPr>
            <w:r>
              <w:rPr>
                <w:b/>
                <w:bCs/>
                <w:color w:val="000000"/>
                <w:sz w:val="20"/>
                <w:szCs w:val="20"/>
              </w:rPr>
              <w:t>CURRENT</w:t>
            </w:r>
          </w:p>
        </w:tc>
        <w:tc>
          <w:tcPr>
            <w:tcW w:w="1547" w:type="dxa"/>
            <w:tcBorders>
              <w:top w:val="nil"/>
              <w:left w:val="nil"/>
              <w:bottom w:val="nil"/>
              <w:right w:val="nil"/>
            </w:tcBorders>
            <w:shd w:val="clear" w:color="auto" w:fill="auto"/>
            <w:noWrap/>
            <w:vAlign w:val="center"/>
            <w:hideMark/>
          </w:tcPr>
          <w:p w:rsidR="00904A1D" w:rsidRDefault="00904A1D">
            <w:pPr>
              <w:jc w:val="center"/>
              <w:rPr>
                <w:b/>
                <w:bCs/>
                <w:color w:val="000000"/>
                <w:sz w:val="20"/>
                <w:szCs w:val="20"/>
              </w:rPr>
            </w:pPr>
            <w:r>
              <w:rPr>
                <w:b/>
                <w:bCs/>
                <w:color w:val="000000"/>
                <w:sz w:val="20"/>
                <w:szCs w:val="20"/>
              </w:rPr>
              <w:t>APPROVED</w:t>
            </w:r>
          </w:p>
        </w:tc>
        <w:tc>
          <w:tcPr>
            <w:tcW w:w="1780" w:type="dxa"/>
            <w:tcBorders>
              <w:top w:val="nil"/>
              <w:left w:val="nil"/>
              <w:bottom w:val="nil"/>
              <w:right w:val="single" w:sz="8" w:space="0" w:color="000000"/>
            </w:tcBorders>
            <w:shd w:val="clear" w:color="auto" w:fill="auto"/>
            <w:noWrap/>
            <w:vAlign w:val="center"/>
            <w:hideMark/>
          </w:tcPr>
          <w:p w:rsidR="00904A1D" w:rsidRDefault="00904A1D">
            <w:pPr>
              <w:jc w:val="center"/>
              <w:rPr>
                <w:b/>
                <w:bCs/>
                <w:color w:val="000000"/>
                <w:sz w:val="20"/>
                <w:szCs w:val="20"/>
              </w:rPr>
            </w:pPr>
            <w:r>
              <w:rPr>
                <w:b/>
                <w:bCs/>
                <w:color w:val="000000"/>
                <w:sz w:val="20"/>
                <w:szCs w:val="20"/>
              </w:rPr>
              <w:t>RATE</w:t>
            </w:r>
          </w:p>
        </w:tc>
      </w:tr>
      <w:tr w:rsidR="00904A1D" w:rsidTr="00904A1D">
        <w:trPr>
          <w:trHeight w:val="315"/>
        </w:trPr>
        <w:tc>
          <w:tcPr>
            <w:tcW w:w="5236" w:type="dxa"/>
            <w:tcBorders>
              <w:top w:val="nil"/>
              <w:left w:val="single" w:sz="8" w:space="0" w:color="000000"/>
              <w:bottom w:val="single" w:sz="8" w:space="0" w:color="000000"/>
              <w:right w:val="nil"/>
            </w:tcBorders>
            <w:shd w:val="clear" w:color="auto" w:fill="auto"/>
            <w:noWrap/>
            <w:vAlign w:val="bottom"/>
            <w:hideMark/>
          </w:tcPr>
          <w:p w:rsidR="00904A1D" w:rsidRDefault="00904A1D">
            <w:pPr>
              <w:rPr>
                <w:sz w:val="20"/>
                <w:szCs w:val="20"/>
              </w:rPr>
            </w:pPr>
            <w:r>
              <w:rPr>
                <w:sz w:val="20"/>
                <w:szCs w:val="20"/>
              </w:rPr>
              <w:t> </w:t>
            </w:r>
          </w:p>
        </w:tc>
        <w:tc>
          <w:tcPr>
            <w:tcW w:w="1137" w:type="dxa"/>
            <w:tcBorders>
              <w:top w:val="nil"/>
              <w:left w:val="nil"/>
              <w:bottom w:val="single" w:sz="8" w:space="0" w:color="000000"/>
              <w:right w:val="nil"/>
            </w:tcBorders>
            <w:shd w:val="clear" w:color="auto" w:fill="auto"/>
            <w:noWrap/>
            <w:vAlign w:val="center"/>
            <w:hideMark/>
          </w:tcPr>
          <w:p w:rsidR="00904A1D" w:rsidRDefault="00904A1D">
            <w:pPr>
              <w:jc w:val="center"/>
              <w:rPr>
                <w:b/>
                <w:bCs/>
                <w:color w:val="000000"/>
                <w:sz w:val="20"/>
                <w:szCs w:val="20"/>
              </w:rPr>
            </w:pPr>
            <w:r>
              <w:rPr>
                <w:b/>
                <w:bCs/>
                <w:color w:val="000000"/>
                <w:sz w:val="20"/>
                <w:szCs w:val="20"/>
              </w:rPr>
              <w:t xml:space="preserve">RATES </w:t>
            </w:r>
          </w:p>
        </w:tc>
        <w:tc>
          <w:tcPr>
            <w:tcW w:w="1547" w:type="dxa"/>
            <w:tcBorders>
              <w:top w:val="nil"/>
              <w:left w:val="nil"/>
              <w:bottom w:val="single" w:sz="8" w:space="0" w:color="000000"/>
              <w:right w:val="nil"/>
            </w:tcBorders>
            <w:shd w:val="clear" w:color="auto" w:fill="auto"/>
            <w:noWrap/>
            <w:vAlign w:val="center"/>
            <w:hideMark/>
          </w:tcPr>
          <w:p w:rsidR="00904A1D" w:rsidRDefault="00904A1D">
            <w:pPr>
              <w:jc w:val="center"/>
              <w:rPr>
                <w:b/>
                <w:bCs/>
                <w:color w:val="000000"/>
                <w:sz w:val="20"/>
                <w:szCs w:val="20"/>
              </w:rPr>
            </w:pPr>
            <w:r>
              <w:rPr>
                <w:b/>
                <w:bCs/>
                <w:color w:val="000000"/>
                <w:sz w:val="20"/>
                <w:szCs w:val="20"/>
              </w:rPr>
              <w:t>RATES</w:t>
            </w:r>
          </w:p>
        </w:tc>
        <w:tc>
          <w:tcPr>
            <w:tcW w:w="1780" w:type="dxa"/>
            <w:tcBorders>
              <w:top w:val="nil"/>
              <w:left w:val="nil"/>
              <w:bottom w:val="single" w:sz="8" w:space="0" w:color="000000"/>
              <w:right w:val="single" w:sz="8" w:space="0" w:color="000000"/>
            </w:tcBorders>
            <w:shd w:val="clear" w:color="auto" w:fill="auto"/>
            <w:noWrap/>
            <w:vAlign w:val="center"/>
            <w:hideMark/>
          </w:tcPr>
          <w:p w:rsidR="00904A1D" w:rsidRDefault="00904A1D">
            <w:pPr>
              <w:jc w:val="center"/>
              <w:rPr>
                <w:b/>
                <w:bCs/>
                <w:color w:val="000000"/>
                <w:sz w:val="20"/>
                <w:szCs w:val="20"/>
              </w:rPr>
            </w:pPr>
            <w:r>
              <w:rPr>
                <w:b/>
                <w:bCs/>
                <w:color w:val="000000"/>
                <w:sz w:val="20"/>
                <w:szCs w:val="20"/>
              </w:rPr>
              <w:t>REDUCTION</w:t>
            </w:r>
          </w:p>
        </w:tc>
      </w:tr>
      <w:tr w:rsidR="00904A1D" w:rsidTr="00904A1D">
        <w:trPr>
          <w:trHeight w:val="300"/>
        </w:trPr>
        <w:tc>
          <w:tcPr>
            <w:tcW w:w="5236" w:type="dxa"/>
            <w:tcBorders>
              <w:top w:val="nil"/>
              <w:left w:val="single" w:sz="8" w:space="0" w:color="000000"/>
              <w:bottom w:val="nil"/>
              <w:right w:val="nil"/>
            </w:tcBorders>
            <w:shd w:val="clear" w:color="auto" w:fill="auto"/>
            <w:noWrap/>
            <w:vAlign w:val="bottom"/>
            <w:hideMark/>
          </w:tcPr>
          <w:p w:rsidR="00904A1D" w:rsidRDefault="00904A1D">
            <w:pPr>
              <w:rPr>
                <w:sz w:val="20"/>
                <w:szCs w:val="20"/>
              </w:rPr>
            </w:pPr>
            <w:r>
              <w:rPr>
                <w:sz w:val="20"/>
                <w:szCs w:val="20"/>
              </w:rPr>
              <w:t> </w:t>
            </w:r>
          </w:p>
        </w:tc>
        <w:tc>
          <w:tcPr>
            <w:tcW w:w="1137" w:type="dxa"/>
            <w:tcBorders>
              <w:top w:val="nil"/>
              <w:left w:val="nil"/>
              <w:bottom w:val="nil"/>
              <w:right w:val="nil"/>
            </w:tcBorders>
            <w:shd w:val="clear" w:color="auto" w:fill="auto"/>
            <w:noWrap/>
            <w:vAlign w:val="bottom"/>
            <w:hideMark/>
          </w:tcPr>
          <w:p w:rsidR="00904A1D" w:rsidRDefault="00904A1D">
            <w:pPr>
              <w:rPr>
                <w:sz w:val="20"/>
                <w:szCs w:val="20"/>
              </w:rPr>
            </w:pPr>
          </w:p>
        </w:tc>
        <w:tc>
          <w:tcPr>
            <w:tcW w:w="1547" w:type="dxa"/>
            <w:tcBorders>
              <w:top w:val="nil"/>
              <w:left w:val="nil"/>
              <w:bottom w:val="nil"/>
              <w:right w:val="nil"/>
            </w:tcBorders>
            <w:shd w:val="clear" w:color="auto" w:fill="auto"/>
            <w:noWrap/>
            <w:vAlign w:val="bottom"/>
            <w:hideMark/>
          </w:tcPr>
          <w:p w:rsidR="00904A1D" w:rsidRDefault="00904A1D">
            <w:pPr>
              <w:rPr>
                <w:sz w:val="20"/>
                <w:szCs w:val="20"/>
              </w:rPr>
            </w:pPr>
          </w:p>
        </w:tc>
        <w:tc>
          <w:tcPr>
            <w:tcW w:w="178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w:t>
            </w:r>
          </w:p>
        </w:tc>
      </w:tr>
      <w:tr w:rsidR="00904A1D" w:rsidTr="00904A1D">
        <w:trPr>
          <w:trHeight w:val="300"/>
        </w:trPr>
        <w:tc>
          <w:tcPr>
            <w:tcW w:w="5236" w:type="dxa"/>
            <w:tcBorders>
              <w:top w:val="nil"/>
              <w:left w:val="single" w:sz="8" w:space="0" w:color="000000"/>
              <w:bottom w:val="nil"/>
              <w:right w:val="nil"/>
            </w:tcBorders>
            <w:shd w:val="clear" w:color="auto" w:fill="auto"/>
            <w:noWrap/>
            <w:vAlign w:val="center"/>
            <w:hideMark/>
          </w:tcPr>
          <w:p w:rsidR="00904A1D" w:rsidRDefault="00904A1D">
            <w:pPr>
              <w:rPr>
                <w:b/>
                <w:bCs/>
                <w:sz w:val="20"/>
                <w:szCs w:val="20"/>
                <w:u w:val="single"/>
              </w:rPr>
            </w:pPr>
            <w:r>
              <w:rPr>
                <w:b/>
                <w:bCs/>
                <w:sz w:val="20"/>
                <w:szCs w:val="20"/>
                <w:u w:val="single"/>
              </w:rPr>
              <w:t>Residential and General Service</w:t>
            </w:r>
          </w:p>
        </w:tc>
        <w:tc>
          <w:tcPr>
            <w:tcW w:w="1137" w:type="dxa"/>
            <w:tcBorders>
              <w:top w:val="nil"/>
              <w:left w:val="nil"/>
              <w:bottom w:val="nil"/>
              <w:right w:val="nil"/>
            </w:tcBorders>
            <w:shd w:val="clear" w:color="auto" w:fill="auto"/>
            <w:noWrap/>
            <w:vAlign w:val="bottom"/>
            <w:hideMark/>
          </w:tcPr>
          <w:p w:rsidR="00904A1D" w:rsidRDefault="00904A1D">
            <w:pPr>
              <w:rPr>
                <w:sz w:val="20"/>
                <w:szCs w:val="20"/>
              </w:rPr>
            </w:pPr>
          </w:p>
        </w:tc>
        <w:tc>
          <w:tcPr>
            <w:tcW w:w="1547" w:type="dxa"/>
            <w:tcBorders>
              <w:top w:val="nil"/>
              <w:left w:val="nil"/>
              <w:bottom w:val="nil"/>
              <w:right w:val="nil"/>
            </w:tcBorders>
            <w:shd w:val="clear" w:color="auto" w:fill="auto"/>
            <w:noWrap/>
            <w:vAlign w:val="bottom"/>
            <w:hideMark/>
          </w:tcPr>
          <w:p w:rsidR="00904A1D" w:rsidRDefault="00904A1D">
            <w:pPr>
              <w:rPr>
                <w:sz w:val="20"/>
                <w:szCs w:val="20"/>
              </w:rPr>
            </w:pPr>
          </w:p>
        </w:tc>
        <w:tc>
          <w:tcPr>
            <w:tcW w:w="1780" w:type="dxa"/>
            <w:tcBorders>
              <w:top w:val="nil"/>
              <w:left w:val="nil"/>
              <w:bottom w:val="nil"/>
              <w:right w:val="single" w:sz="8" w:space="0" w:color="000000"/>
            </w:tcBorders>
            <w:shd w:val="clear" w:color="auto" w:fill="auto"/>
            <w:noWrap/>
            <w:vAlign w:val="center"/>
            <w:hideMark/>
          </w:tcPr>
          <w:p w:rsidR="00904A1D" w:rsidRDefault="00904A1D">
            <w:pPr>
              <w:rPr>
                <w:color w:val="000000"/>
                <w:sz w:val="20"/>
                <w:szCs w:val="20"/>
              </w:rPr>
            </w:pPr>
            <w:r>
              <w:rPr>
                <w:color w:val="000000"/>
                <w:sz w:val="20"/>
                <w:szCs w:val="20"/>
              </w:rPr>
              <w:t> </w:t>
            </w:r>
          </w:p>
        </w:tc>
      </w:tr>
      <w:tr w:rsidR="00904A1D" w:rsidTr="00904A1D">
        <w:trPr>
          <w:trHeight w:val="300"/>
        </w:trPr>
        <w:tc>
          <w:tcPr>
            <w:tcW w:w="5236" w:type="dxa"/>
            <w:tcBorders>
              <w:top w:val="nil"/>
              <w:left w:val="single" w:sz="8" w:space="0" w:color="000000"/>
              <w:bottom w:val="nil"/>
              <w:right w:val="nil"/>
            </w:tcBorders>
            <w:shd w:val="clear" w:color="auto" w:fill="auto"/>
            <w:noWrap/>
            <w:vAlign w:val="center"/>
            <w:hideMark/>
          </w:tcPr>
          <w:p w:rsidR="00904A1D" w:rsidRDefault="00904A1D">
            <w:pPr>
              <w:rPr>
                <w:sz w:val="20"/>
                <w:szCs w:val="20"/>
              </w:rPr>
            </w:pPr>
            <w:r>
              <w:rPr>
                <w:sz w:val="20"/>
                <w:szCs w:val="20"/>
              </w:rPr>
              <w:t>Base Facility Charge by Meter Size</w:t>
            </w:r>
          </w:p>
        </w:tc>
        <w:tc>
          <w:tcPr>
            <w:tcW w:w="1137" w:type="dxa"/>
            <w:tcBorders>
              <w:top w:val="nil"/>
              <w:left w:val="nil"/>
              <w:bottom w:val="nil"/>
              <w:right w:val="nil"/>
            </w:tcBorders>
            <w:shd w:val="clear" w:color="auto" w:fill="auto"/>
            <w:noWrap/>
            <w:vAlign w:val="bottom"/>
            <w:hideMark/>
          </w:tcPr>
          <w:p w:rsidR="00904A1D" w:rsidRDefault="00904A1D">
            <w:pPr>
              <w:rPr>
                <w:sz w:val="20"/>
                <w:szCs w:val="20"/>
              </w:rPr>
            </w:pPr>
          </w:p>
        </w:tc>
        <w:tc>
          <w:tcPr>
            <w:tcW w:w="1547" w:type="dxa"/>
            <w:tcBorders>
              <w:top w:val="nil"/>
              <w:left w:val="nil"/>
              <w:bottom w:val="nil"/>
              <w:right w:val="nil"/>
            </w:tcBorders>
            <w:shd w:val="clear" w:color="auto" w:fill="auto"/>
            <w:noWrap/>
            <w:vAlign w:val="bottom"/>
            <w:hideMark/>
          </w:tcPr>
          <w:p w:rsidR="00904A1D" w:rsidRDefault="00904A1D">
            <w:pPr>
              <w:rPr>
                <w:sz w:val="20"/>
                <w:szCs w:val="20"/>
              </w:rPr>
            </w:pPr>
          </w:p>
        </w:tc>
        <w:tc>
          <w:tcPr>
            <w:tcW w:w="1780" w:type="dxa"/>
            <w:tcBorders>
              <w:top w:val="nil"/>
              <w:left w:val="nil"/>
              <w:bottom w:val="nil"/>
              <w:right w:val="single" w:sz="8" w:space="0" w:color="000000"/>
            </w:tcBorders>
            <w:shd w:val="clear" w:color="auto" w:fill="auto"/>
            <w:noWrap/>
            <w:vAlign w:val="center"/>
            <w:hideMark/>
          </w:tcPr>
          <w:p w:rsidR="00904A1D" w:rsidRDefault="00904A1D">
            <w:pPr>
              <w:rPr>
                <w:color w:val="000000"/>
                <w:sz w:val="20"/>
                <w:szCs w:val="20"/>
              </w:rPr>
            </w:pPr>
            <w:r>
              <w:rPr>
                <w:color w:val="000000"/>
                <w:sz w:val="20"/>
                <w:szCs w:val="20"/>
              </w:rPr>
              <w:t> </w:t>
            </w:r>
          </w:p>
        </w:tc>
      </w:tr>
      <w:tr w:rsidR="00904A1D" w:rsidTr="00904A1D">
        <w:trPr>
          <w:trHeight w:val="300"/>
        </w:trPr>
        <w:tc>
          <w:tcPr>
            <w:tcW w:w="5236" w:type="dxa"/>
            <w:tcBorders>
              <w:top w:val="nil"/>
              <w:left w:val="single" w:sz="8" w:space="0" w:color="000000"/>
              <w:bottom w:val="nil"/>
              <w:right w:val="nil"/>
            </w:tcBorders>
            <w:shd w:val="clear" w:color="auto" w:fill="auto"/>
            <w:noWrap/>
            <w:vAlign w:val="center"/>
            <w:hideMark/>
          </w:tcPr>
          <w:p w:rsidR="00904A1D" w:rsidRDefault="00904A1D">
            <w:pPr>
              <w:rPr>
                <w:color w:val="000000"/>
                <w:sz w:val="20"/>
                <w:szCs w:val="20"/>
              </w:rPr>
            </w:pPr>
            <w:r>
              <w:rPr>
                <w:color w:val="000000"/>
                <w:sz w:val="20"/>
                <w:szCs w:val="20"/>
              </w:rPr>
              <w:t>5/8"X3/4"</w:t>
            </w:r>
          </w:p>
        </w:tc>
        <w:tc>
          <w:tcPr>
            <w:tcW w:w="113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$8.32 </w:t>
            </w:r>
          </w:p>
        </w:tc>
        <w:tc>
          <w:tcPr>
            <w:tcW w:w="154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$8.46 </w:t>
            </w:r>
          </w:p>
        </w:tc>
        <w:tc>
          <w:tcPr>
            <w:tcW w:w="178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$0.02 </w:t>
            </w:r>
          </w:p>
        </w:tc>
      </w:tr>
      <w:tr w:rsidR="00904A1D" w:rsidTr="00904A1D">
        <w:trPr>
          <w:trHeight w:val="300"/>
        </w:trPr>
        <w:tc>
          <w:tcPr>
            <w:tcW w:w="5236" w:type="dxa"/>
            <w:tcBorders>
              <w:top w:val="nil"/>
              <w:left w:val="single" w:sz="8" w:space="0" w:color="000000"/>
              <w:bottom w:val="nil"/>
              <w:right w:val="nil"/>
            </w:tcBorders>
            <w:shd w:val="clear" w:color="auto" w:fill="auto"/>
            <w:noWrap/>
            <w:vAlign w:val="center"/>
            <w:hideMark/>
          </w:tcPr>
          <w:p w:rsidR="00904A1D" w:rsidRDefault="00904A1D">
            <w:pPr>
              <w:rPr>
                <w:color w:val="000000"/>
                <w:sz w:val="20"/>
                <w:szCs w:val="20"/>
              </w:rPr>
            </w:pPr>
            <w:r>
              <w:rPr>
                <w:color w:val="000000"/>
                <w:sz w:val="20"/>
                <w:szCs w:val="20"/>
              </w:rPr>
              <w:t>1"</w:t>
            </w:r>
          </w:p>
        </w:tc>
        <w:tc>
          <w:tcPr>
            <w:tcW w:w="113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$20.79 </w:t>
            </w:r>
          </w:p>
        </w:tc>
        <w:tc>
          <w:tcPr>
            <w:tcW w:w="154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$21.15 </w:t>
            </w:r>
          </w:p>
        </w:tc>
        <w:tc>
          <w:tcPr>
            <w:tcW w:w="178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$0.05 </w:t>
            </w:r>
          </w:p>
        </w:tc>
      </w:tr>
      <w:tr w:rsidR="00904A1D" w:rsidTr="00904A1D">
        <w:trPr>
          <w:trHeight w:val="255"/>
        </w:trPr>
        <w:tc>
          <w:tcPr>
            <w:tcW w:w="5236" w:type="dxa"/>
            <w:tcBorders>
              <w:top w:val="nil"/>
              <w:left w:val="single" w:sz="8" w:space="0" w:color="000000"/>
              <w:bottom w:val="nil"/>
              <w:right w:val="nil"/>
            </w:tcBorders>
            <w:shd w:val="clear" w:color="auto" w:fill="auto"/>
            <w:noWrap/>
            <w:vAlign w:val="center"/>
            <w:hideMark/>
          </w:tcPr>
          <w:p w:rsidR="00904A1D" w:rsidRDefault="00904A1D">
            <w:pPr>
              <w:rPr>
                <w:color w:val="000000"/>
                <w:sz w:val="20"/>
                <w:szCs w:val="20"/>
              </w:rPr>
            </w:pPr>
            <w:r>
              <w:rPr>
                <w:color w:val="000000"/>
                <w:sz w:val="20"/>
                <w:szCs w:val="20"/>
              </w:rPr>
              <w:t>1-1/2"</w:t>
            </w:r>
          </w:p>
        </w:tc>
        <w:tc>
          <w:tcPr>
            <w:tcW w:w="113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$41.58 </w:t>
            </w:r>
          </w:p>
        </w:tc>
        <w:tc>
          <w:tcPr>
            <w:tcW w:w="154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$42.30 </w:t>
            </w:r>
          </w:p>
        </w:tc>
        <w:tc>
          <w:tcPr>
            <w:tcW w:w="178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$0.10 </w:t>
            </w:r>
          </w:p>
        </w:tc>
      </w:tr>
      <w:tr w:rsidR="00904A1D" w:rsidTr="00904A1D">
        <w:trPr>
          <w:trHeight w:val="255"/>
        </w:trPr>
        <w:tc>
          <w:tcPr>
            <w:tcW w:w="5236" w:type="dxa"/>
            <w:tcBorders>
              <w:top w:val="nil"/>
              <w:left w:val="single" w:sz="8" w:space="0" w:color="000000"/>
              <w:bottom w:val="nil"/>
              <w:right w:val="nil"/>
            </w:tcBorders>
            <w:shd w:val="clear" w:color="auto" w:fill="auto"/>
            <w:noWrap/>
            <w:vAlign w:val="center"/>
            <w:hideMark/>
          </w:tcPr>
          <w:p w:rsidR="00904A1D" w:rsidRDefault="00904A1D">
            <w:pPr>
              <w:rPr>
                <w:color w:val="000000"/>
                <w:sz w:val="20"/>
                <w:szCs w:val="20"/>
              </w:rPr>
            </w:pPr>
            <w:r>
              <w:rPr>
                <w:color w:val="000000"/>
                <w:sz w:val="20"/>
                <w:szCs w:val="20"/>
              </w:rPr>
              <w:t>2"</w:t>
            </w:r>
          </w:p>
        </w:tc>
        <w:tc>
          <w:tcPr>
            <w:tcW w:w="113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$66.52 </w:t>
            </w:r>
          </w:p>
        </w:tc>
        <w:tc>
          <w:tcPr>
            <w:tcW w:w="154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$67.68 </w:t>
            </w:r>
          </w:p>
        </w:tc>
        <w:tc>
          <w:tcPr>
            <w:tcW w:w="178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$0.16 </w:t>
            </w:r>
          </w:p>
        </w:tc>
      </w:tr>
      <w:tr w:rsidR="00904A1D" w:rsidTr="00904A1D">
        <w:trPr>
          <w:trHeight w:val="255"/>
        </w:trPr>
        <w:tc>
          <w:tcPr>
            <w:tcW w:w="5236" w:type="dxa"/>
            <w:tcBorders>
              <w:top w:val="nil"/>
              <w:left w:val="single" w:sz="8" w:space="0" w:color="000000"/>
              <w:bottom w:val="nil"/>
              <w:right w:val="nil"/>
            </w:tcBorders>
            <w:shd w:val="clear" w:color="auto" w:fill="auto"/>
            <w:noWrap/>
            <w:vAlign w:val="center"/>
            <w:hideMark/>
          </w:tcPr>
          <w:p w:rsidR="00904A1D" w:rsidRDefault="00904A1D">
            <w:pPr>
              <w:rPr>
                <w:color w:val="000000"/>
                <w:sz w:val="20"/>
                <w:szCs w:val="20"/>
              </w:rPr>
            </w:pPr>
            <w:r>
              <w:rPr>
                <w:color w:val="000000"/>
                <w:sz w:val="20"/>
                <w:szCs w:val="20"/>
              </w:rPr>
              <w:t>3"</w:t>
            </w:r>
          </w:p>
        </w:tc>
        <w:tc>
          <w:tcPr>
            <w:tcW w:w="113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$133.06 </w:t>
            </w:r>
          </w:p>
        </w:tc>
        <w:tc>
          <w:tcPr>
            <w:tcW w:w="154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$135.36 </w:t>
            </w:r>
          </w:p>
        </w:tc>
        <w:tc>
          <w:tcPr>
            <w:tcW w:w="178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$0.31 </w:t>
            </w:r>
          </w:p>
        </w:tc>
      </w:tr>
      <w:tr w:rsidR="00904A1D" w:rsidTr="00904A1D">
        <w:trPr>
          <w:trHeight w:val="255"/>
        </w:trPr>
        <w:tc>
          <w:tcPr>
            <w:tcW w:w="5236" w:type="dxa"/>
            <w:tcBorders>
              <w:top w:val="nil"/>
              <w:left w:val="single" w:sz="8" w:space="0" w:color="000000"/>
              <w:bottom w:val="nil"/>
              <w:right w:val="nil"/>
            </w:tcBorders>
            <w:shd w:val="clear" w:color="auto" w:fill="auto"/>
            <w:noWrap/>
            <w:vAlign w:val="center"/>
            <w:hideMark/>
          </w:tcPr>
          <w:p w:rsidR="00904A1D" w:rsidRDefault="00904A1D">
            <w:pPr>
              <w:rPr>
                <w:color w:val="000000"/>
                <w:sz w:val="20"/>
                <w:szCs w:val="20"/>
              </w:rPr>
            </w:pPr>
            <w:r>
              <w:rPr>
                <w:color w:val="000000"/>
                <w:sz w:val="20"/>
                <w:szCs w:val="20"/>
              </w:rPr>
              <w:t>4"</w:t>
            </w:r>
          </w:p>
        </w:tc>
        <w:tc>
          <w:tcPr>
            <w:tcW w:w="113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$207.89 </w:t>
            </w:r>
          </w:p>
        </w:tc>
        <w:tc>
          <w:tcPr>
            <w:tcW w:w="154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$211.50 </w:t>
            </w:r>
          </w:p>
        </w:tc>
        <w:tc>
          <w:tcPr>
            <w:tcW w:w="178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$0.49 </w:t>
            </w:r>
          </w:p>
        </w:tc>
      </w:tr>
      <w:tr w:rsidR="00904A1D" w:rsidTr="00904A1D">
        <w:trPr>
          <w:trHeight w:val="255"/>
        </w:trPr>
        <w:tc>
          <w:tcPr>
            <w:tcW w:w="5236" w:type="dxa"/>
            <w:tcBorders>
              <w:top w:val="nil"/>
              <w:left w:val="single" w:sz="8" w:space="0" w:color="000000"/>
              <w:bottom w:val="nil"/>
              <w:right w:val="nil"/>
            </w:tcBorders>
            <w:shd w:val="clear" w:color="auto" w:fill="auto"/>
            <w:noWrap/>
            <w:vAlign w:val="center"/>
            <w:hideMark/>
          </w:tcPr>
          <w:p w:rsidR="00904A1D" w:rsidRDefault="00904A1D">
            <w:pPr>
              <w:rPr>
                <w:color w:val="000000"/>
                <w:sz w:val="20"/>
                <w:szCs w:val="20"/>
              </w:rPr>
            </w:pPr>
            <w:r>
              <w:rPr>
                <w:color w:val="000000"/>
                <w:sz w:val="20"/>
                <w:szCs w:val="20"/>
              </w:rPr>
              <w:t>6"</w:t>
            </w:r>
          </w:p>
        </w:tc>
        <w:tc>
          <w:tcPr>
            <w:tcW w:w="113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$415.79 </w:t>
            </w:r>
          </w:p>
        </w:tc>
        <w:tc>
          <w:tcPr>
            <w:tcW w:w="154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$423.00 </w:t>
            </w:r>
          </w:p>
        </w:tc>
        <w:tc>
          <w:tcPr>
            <w:tcW w:w="178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$0.97 </w:t>
            </w:r>
          </w:p>
        </w:tc>
      </w:tr>
      <w:tr w:rsidR="00904A1D" w:rsidTr="00904A1D">
        <w:trPr>
          <w:trHeight w:val="300"/>
        </w:trPr>
        <w:tc>
          <w:tcPr>
            <w:tcW w:w="5236" w:type="dxa"/>
            <w:tcBorders>
              <w:top w:val="nil"/>
              <w:left w:val="single" w:sz="8" w:space="0" w:color="000000"/>
              <w:bottom w:val="nil"/>
              <w:right w:val="nil"/>
            </w:tcBorders>
            <w:shd w:val="clear" w:color="auto" w:fill="auto"/>
            <w:noWrap/>
            <w:vAlign w:val="bottom"/>
            <w:hideMark/>
          </w:tcPr>
          <w:p w:rsidR="00904A1D" w:rsidRDefault="00904A1D">
            <w:pPr>
              <w:rPr>
                <w:sz w:val="20"/>
                <w:szCs w:val="20"/>
              </w:rPr>
            </w:pPr>
            <w:r>
              <w:rPr>
                <w:sz w:val="20"/>
                <w:szCs w:val="20"/>
              </w:rPr>
              <w:t> </w:t>
            </w:r>
          </w:p>
        </w:tc>
        <w:tc>
          <w:tcPr>
            <w:tcW w:w="1137" w:type="dxa"/>
            <w:tcBorders>
              <w:top w:val="nil"/>
              <w:left w:val="nil"/>
              <w:bottom w:val="nil"/>
              <w:right w:val="nil"/>
            </w:tcBorders>
            <w:shd w:val="clear" w:color="auto" w:fill="auto"/>
            <w:noWrap/>
            <w:vAlign w:val="bottom"/>
            <w:hideMark/>
          </w:tcPr>
          <w:p w:rsidR="00904A1D" w:rsidRDefault="00904A1D">
            <w:pPr>
              <w:rPr>
                <w:sz w:val="20"/>
                <w:szCs w:val="20"/>
              </w:rPr>
            </w:pPr>
          </w:p>
        </w:tc>
        <w:tc>
          <w:tcPr>
            <w:tcW w:w="1547" w:type="dxa"/>
            <w:tcBorders>
              <w:top w:val="nil"/>
              <w:left w:val="nil"/>
              <w:bottom w:val="nil"/>
              <w:right w:val="nil"/>
            </w:tcBorders>
            <w:shd w:val="clear" w:color="auto" w:fill="auto"/>
            <w:noWrap/>
            <w:vAlign w:val="bottom"/>
            <w:hideMark/>
          </w:tcPr>
          <w:p w:rsidR="00904A1D" w:rsidRDefault="00904A1D">
            <w:pPr>
              <w:rPr>
                <w:sz w:val="20"/>
                <w:szCs w:val="20"/>
              </w:rPr>
            </w:pPr>
          </w:p>
        </w:tc>
        <w:tc>
          <w:tcPr>
            <w:tcW w:w="178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w:t>
            </w:r>
          </w:p>
        </w:tc>
      </w:tr>
      <w:tr w:rsidR="00904A1D" w:rsidTr="00904A1D">
        <w:trPr>
          <w:trHeight w:val="300"/>
        </w:trPr>
        <w:tc>
          <w:tcPr>
            <w:tcW w:w="5236" w:type="dxa"/>
            <w:tcBorders>
              <w:top w:val="nil"/>
              <w:left w:val="single" w:sz="8" w:space="0" w:color="000000"/>
              <w:bottom w:val="nil"/>
              <w:right w:val="nil"/>
            </w:tcBorders>
            <w:shd w:val="clear" w:color="auto" w:fill="auto"/>
            <w:noWrap/>
            <w:vAlign w:val="center"/>
            <w:hideMark/>
          </w:tcPr>
          <w:p w:rsidR="00904A1D" w:rsidRDefault="00904A1D">
            <w:pPr>
              <w:rPr>
                <w:color w:val="000000"/>
                <w:sz w:val="20"/>
                <w:szCs w:val="20"/>
              </w:rPr>
            </w:pPr>
            <w:r>
              <w:rPr>
                <w:color w:val="000000"/>
                <w:sz w:val="20"/>
                <w:szCs w:val="20"/>
              </w:rPr>
              <w:t>Charge per 1,000 gallons - Residential</w:t>
            </w:r>
          </w:p>
        </w:tc>
        <w:tc>
          <w:tcPr>
            <w:tcW w:w="1137" w:type="dxa"/>
            <w:tcBorders>
              <w:top w:val="nil"/>
              <w:left w:val="nil"/>
              <w:bottom w:val="nil"/>
              <w:right w:val="nil"/>
            </w:tcBorders>
            <w:shd w:val="clear" w:color="auto" w:fill="auto"/>
            <w:noWrap/>
            <w:vAlign w:val="bottom"/>
            <w:hideMark/>
          </w:tcPr>
          <w:p w:rsidR="00904A1D" w:rsidRDefault="00904A1D">
            <w:pPr>
              <w:rPr>
                <w:sz w:val="20"/>
                <w:szCs w:val="20"/>
              </w:rPr>
            </w:pPr>
          </w:p>
        </w:tc>
        <w:tc>
          <w:tcPr>
            <w:tcW w:w="1547" w:type="dxa"/>
            <w:tcBorders>
              <w:top w:val="nil"/>
              <w:left w:val="nil"/>
              <w:bottom w:val="nil"/>
              <w:right w:val="nil"/>
            </w:tcBorders>
            <w:shd w:val="clear" w:color="auto" w:fill="auto"/>
            <w:noWrap/>
            <w:vAlign w:val="bottom"/>
            <w:hideMark/>
          </w:tcPr>
          <w:p w:rsidR="00904A1D" w:rsidRDefault="00904A1D">
            <w:pPr>
              <w:rPr>
                <w:sz w:val="20"/>
                <w:szCs w:val="20"/>
              </w:rPr>
            </w:pPr>
          </w:p>
        </w:tc>
        <w:tc>
          <w:tcPr>
            <w:tcW w:w="178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w:t>
            </w:r>
          </w:p>
        </w:tc>
      </w:tr>
      <w:tr w:rsidR="00904A1D" w:rsidTr="00904A1D">
        <w:trPr>
          <w:trHeight w:val="300"/>
        </w:trPr>
        <w:tc>
          <w:tcPr>
            <w:tcW w:w="5236" w:type="dxa"/>
            <w:tcBorders>
              <w:top w:val="nil"/>
              <w:left w:val="single" w:sz="8" w:space="0" w:color="000000"/>
              <w:bottom w:val="nil"/>
              <w:right w:val="nil"/>
            </w:tcBorders>
            <w:shd w:val="clear" w:color="auto" w:fill="auto"/>
            <w:noWrap/>
            <w:vAlign w:val="center"/>
            <w:hideMark/>
          </w:tcPr>
          <w:p w:rsidR="00904A1D" w:rsidRDefault="00904A1D">
            <w:pPr>
              <w:rPr>
                <w:color w:val="000000"/>
                <w:sz w:val="20"/>
                <w:szCs w:val="20"/>
              </w:rPr>
            </w:pPr>
            <w:r>
              <w:rPr>
                <w:color w:val="000000"/>
                <w:sz w:val="20"/>
                <w:szCs w:val="20"/>
              </w:rPr>
              <w:t>0 - 8,000 gallons</w:t>
            </w:r>
          </w:p>
        </w:tc>
        <w:tc>
          <w:tcPr>
            <w:tcW w:w="113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$3.70 </w:t>
            </w:r>
          </w:p>
        </w:tc>
        <w:tc>
          <w:tcPr>
            <w:tcW w:w="154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$3.76 </w:t>
            </w:r>
          </w:p>
        </w:tc>
        <w:tc>
          <w:tcPr>
            <w:tcW w:w="178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$0.01 </w:t>
            </w:r>
          </w:p>
        </w:tc>
      </w:tr>
      <w:tr w:rsidR="00904A1D" w:rsidTr="00904A1D">
        <w:trPr>
          <w:trHeight w:val="300"/>
        </w:trPr>
        <w:tc>
          <w:tcPr>
            <w:tcW w:w="5236" w:type="dxa"/>
            <w:tcBorders>
              <w:top w:val="nil"/>
              <w:left w:val="single" w:sz="8" w:space="0" w:color="000000"/>
              <w:bottom w:val="nil"/>
              <w:right w:val="nil"/>
            </w:tcBorders>
            <w:shd w:val="clear" w:color="auto" w:fill="auto"/>
            <w:noWrap/>
            <w:vAlign w:val="center"/>
            <w:hideMark/>
          </w:tcPr>
          <w:p w:rsidR="00904A1D" w:rsidRDefault="00904A1D">
            <w:pPr>
              <w:rPr>
                <w:color w:val="000000"/>
                <w:sz w:val="20"/>
                <w:szCs w:val="20"/>
              </w:rPr>
            </w:pPr>
            <w:r>
              <w:rPr>
                <w:color w:val="000000"/>
                <w:sz w:val="20"/>
                <w:szCs w:val="20"/>
              </w:rPr>
              <w:t>8,001 - 16,000 gallons</w:t>
            </w:r>
          </w:p>
        </w:tc>
        <w:tc>
          <w:tcPr>
            <w:tcW w:w="113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$6.46 </w:t>
            </w:r>
          </w:p>
        </w:tc>
        <w:tc>
          <w:tcPr>
            <w:tcW w:w="154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$6.57 </w:t>
            </w:r>
          </w:p>
        </w:tc>
        <w:tc>
          <w:tcPr>
            <w:tcW w:w="178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$0.02 </w:t>
            </w:r>
          </w:p>
        </w:tc>
      </w:tr>
      <w:tr w:rsidR="00904A1D" w:rsidTr="00904A1D">
        <w:trPr>
          <w:trHeight w:val="300"/>
        </w:trPr>
        <w:tc>
          <w:tcPr>
            <w:tcW w:w="5236" w:type="dxa"/>
            <w:tcBorders>
              <w:top w:val="nil"/>
              <w:left w:val="single" w:sz="8" w:space="0" w:color="000000"/>
              <w:bottom w:val="nil"/>
              <w:right w:val="nil"/>
            </w:tcBorders>
            <w:shd w:val="clear" w:color="auto" w:fill="auto"/>
            <w:noWrap/>
            <w:vAlign w:val="center"/>
            <w:hideMark/>
          </w:tcPr>
          <w:p w:rsidR="00904A1D" w:rsidRDefault="00904A1D">
            <w:pPr>
              <w:rPr>
                <w:color w:val="000000"/>
                <w:sz w:val="20"/>
                <w:szCs w:val="20"/>
              </w:rPr>
            </w:pPr>
            <w:r>
              <w:rPr>
                <w:color w:val="000000"/>
                <w:sz w:val="20"/>
                <w:szCs w:val="20"/>
              </w:rPr>
              <w:t>Over 16,000 gallons</w:t>
            </w:r>
          </w:p>
        </w:tc>
        <w:tc>
          <w:tcPr>
            <w:tcW w:w="113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$8.31 </w:t>
            </w:r>
          </w:p>
        </w:tc>
        <w:tc>
          <w:tcPr>
            <w:tcW w:w="154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$8.45 </w:t>
            </w:r>
          </w:p>
        </w:tc>
        <w:tc>
          <w:tcPr>
            <w:tcW w:w="178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$0.02 </w:t>
            </w:r>
          </w:p>
        </w:tc>
      </w:tr>
      <w:tr w:rsidR="00904A1D" w:rsidTr="00904A1D">
        <w:trPr>
          <w:trHeight w:val="255"/>
        </w:trPr>
        <w:tc>
          <w:tcPr>
            <w:tcW w:w="5236" w:type="dxa"/>
            <w:tcBorders>
              <w:top w:val="nil"/>
              <w:left w:val="single" w:sz="8" w:space="0" w:color="000000"/>
              <w:bottom w:val="nil"/>
              <w:right w:val="nil"/>
            </w:tcBorders>
            <w:shd w:val="clear" w:color="auto" w:fill="auto"/>
            <w:noWrap/>
            <w:vAlign w:val="center"/>
            <w:hideMark/>
          </w:tcPr>
          <w:p w:rsidR="00904A1D" w:rsidRDefault="00904A1D">
            <w:pPr>
              <w:rPr>
                <w:color w:val="000000"/>
                <w:sz w:val="20"/>
                <w:szCs w:val="20"/>
              </w:rPr>
            </w:pPr>
            <w:r>
              <w:rPr>
                <w:color w:val="000000"/>
                <w:sz w:val="20"/>
                <w:szCs w:val="20"/>
              </w:rPr>
              <w:t> </w:t>
            </w:r>
          </w:p>
        </w:tc>
        <w:tc>
          <w:tcPr>
            <w:tcW w:w="1137" w:type="dxa"/>
            <w:tcBorders>
              <w:top w:val="nil"/>
              <w:left w:val="nil"/>
              <w:bottom w:val="nil"/>
              <w:right w:val="nil"/>
            </w:tcBorders>
            <w:shd w:val="clear" w:color="auto" w:fill="auto"/>
            <w:noWrap/>
            <w:vAlign w:val="bottom"/>
            <w:hideMark/>
          </w:tcPr>
          <w:p w:rsidR="00904A1D" w:rsidRDefault="00904A1D">
            <w:pPr>
              <w:rPr>
                <w:sz w:val="20"/>
                <w:szCs w:val="20"/>
              </w:rPr>
            </w:pPr>
          </w:p>
        </w:tc>
        <w:tc>
          <w:tcPr>
            <w:tcW w:w="154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p>
        </w:tc>
        <w:tc>
          <w:tcPr>
            <w:tcW w:w="178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w:t>
            </w:r>
          </w:p>
        </w:tc>
      </w:tr>
      <w:tr w:rsidR="00904A1D" w:rsidTr="00904A1D">
        <w:trPr>
          <w:trHeight w:val="255"/>
        </w:trPr>
        <w:tc>
          <w:tcPr>
            <w:tcW w:w="5236" w:type="dxa"/>
            <w:tcBorders>
              <w:top w:val="nil"/>
              <w:left w:val="single" w:sz="8" w:space="0" w:color="000000"/>
              <w:bottom w:val="nil"/>
              <w:right w:val="nil"/>
            </w:tcBorders>
            <w:shd w:val="clear" w:color="auto" w:fill="auto"/>
            <w:noWrap/>
            <w:vAlign w:val="center"/>
            <w:hideMark/>
          </w:tcPr>
          <w:p w:rsidR="00904A1D" w:rsidRDefault="00904A1D">
            <w:pPr>
              <w:rPr>
                <w:color w:val="000000"/>
                <w:sz w:val="20"/>
                <w:szCs w:val="20"/>
              </w:rPr>
            </w:pPr>
            <w:r>
              <w:rPr>
                <w:color w:val="000000"/>
                <w:sz w:val="20"/>
                <w:szCs w:val="20"/>
              </w:rPr>
              <w:t>Charge per 1,000 gallons - General Service</w:t>
            </w:r>
          </w:p>
        </w:tc>
        <w:tc>
          <w:tcPr>
            <w:tcW w:w="113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$4.34 </w:t>
            </w:r>
          </w:p>
        </w:tc>
        <w:tc>
          <w:tcPr>
            <w:tcW w:w="154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$4.41 </w:t>
            </w:r>
          </w:p>
        </w:tc>
        <w:tc>
          <w:tcPr>
            <w:tcW w:w="178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$0.01 </w:t>
            </w:r>
          </w:p>
        </w:tc>
      </w:tr>
      <w:tr w:rsidR="00904A1D" w:rsidTr="00904A1D">
        <w:trPr>
          <w:trHeight w:val="255"/>
        </w:trPr>
        <w:tc>
          <w:tcPr>
            <w:tcW w:w="5236" w:type="dxa"/>
            <w:tcBorders>
              <w:top w:val="nil"/>
              <w:left w:val="single" w:sz="8" w:space="0" w:color="000000"/>
              <w:bottom w:val="nil"/>
              <w:right w:val="nil"/>
            </w:tcBorders>
            <w:shd w:val="clear" w:color="auto" w:fill="auto"/>
            <w:noWrap/>
            <w:vAlign w:val="bottom"/>
            <w:hideMark/>
          </w:tcPr>
          <w:p w:rsidR="00904A1D" w:rsidRDefault="00904A1D">
            <w:pPr>
              <w:rPr>
                <w:sz w:val="20"/>
                <w:szCs w:val="20"/>
              </w:rPr>
            </w:pPr>
            <w:r>
              <w:rPr>
                <w:sz w:val="20"/>
                <w:szCs w:val="20"/>
              </w:rPr>
              <w:t> </w:t>
            </w:r>
          </w:p>
        </w:tc>
        <w:tc>
          <w:tcPr>
            <w:tcW w:w="1137" w:type="dxa"/>
            <w:tcBorders>
              <w:top w:val="nil"/>
              <w:left w:val="nil"/>
              <w:bottom w:val="nil"/>
              <w:right w:val="nil"/>
            </w:tcBorders>
            <w:shd w:val="clear" w:color="auto" w:fill="auto"/>
            <w:noWrap/>
            <w:vAlign w:val="bottom"/>
            <w:hideMark/>
          </w:tcPr>
          <w:p w:rsidR="00904A1D" w:rsidRDefault="00904A1D">
            <w:pPr>
              <w:rPr>
                <w:sz w:val="20"/>
                <w:szCs w:val="20"/>
              </w:rPr>
            </w:pPr>
          </w:p>
        </w:tc>
        <w:tc>
          <w:tcPr>
            <w:tcW w:w="1547" w:type="dxa"/>
            <w:tcBorders>
              <w:top w:val="nil"/>
              <w:left w:val="nil"/>
              <w:bottom w:val="nil"/>
              <w:right w:val="nil"/>
            </w:tcBorders>
            <w:shd w:val="clear" w:color="auto" w:fill="auto"/>
            <w:noWrap/>
            <w:vAlign w:val="bottom"/>
            <w:hideMark/>
          </w:tcPr>
          <w:p w:rsidR="00904A1D" w:rsidRDefault="00904A1D">
            <w:pPr>
              <w:rPr>
                <w:sz w:val="20"/>
                <w:szCs w:val="20"/>
              </w:rPr>
            </w:pPr>
          </w:p>
        </w:tc>
        <w:tc>
          <w:tcPr>
            <w:tcW w:w="178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w:t>
            </w:r>
          </w:p>
        </w:tc>
      </w:tr>
      <w:tr w:rsidR="00904A1D" w:rsidTr="00904A1D">
        <w:trPr>
          <w:trHeight w:val="255"/>
        </w:trPr>
        <w:tc>
          <w:tcPr>
            <w:tcW w:w="5236" w:type="dxa"/>
            <w:tcBorders>
              <w:top w:val="nil"/>
              <w:left w:val="single" w:sz="8" w:space="0" w:color="000000"/>
              <w:bottom w:val="nil"/>
              <w:right w:val="nil"/>
            </w:tcBorders>
            <w:shd w:val="clear" w:color="auto" w:fill="auto"/>
            <w:noWrap/>
            <w:vAlign w:val="center"/>
            <w:hideMark/>
          </w:tcPr>
          <w:p w:rsidR="00904A1D" w:rsidRDefault="00904A1D">
            <w:pPr>
              <w:rPr>
                <w:b/>
                <w:bCs/>
                <w:color w:val="000000"/>
                <w:sz w:val="20"/>
                <w:szCs w:val="20"/>
                <w:u w:val="single"/>
              </w:rPr>
            </w:pPr>
            <w:r>
              <w:rPr>
                <w:b/>
                <w:bCs/>
                <w:color w:val="000000"/>
                <w:sz w:val="20"/>
                <w:szCs w:val="20"/>
                <w:u w:val="single"/>
              </w:rPr>
              <w:t>Typical Residential 5/8" x 3/4" Meter Bill Comparison</w:t>
            </w:r>
          </w:p>
        </w:tc>
        <w:tc>
          <w:tcPr>
            <w:tcW w:w="1137" w:type="dxa"/>
            <w:tcBorders>
              <w:top w:val="nil"/>
              <w:left w:val="nil"/>
              <w:bottom w:val="nil"/>
              <w:right w:val="nil"/>
            </w:tcBorders>
            <w:shd w:val="clear" w:color="auto" w:fill="auto"/>
            <w:noWrap/>
            <w:vAlign w:val="bottom"/>
            <w:hideMark/>
          </w:tcPr>
          <w:p w:rsidR="00904A1D" w:rsidRDefault="00904A1D">
            <w:pPr>
              <w:rPr>
                <w:sz w:val="20"/>
                <w:szCs w:val="20"/>
              </w:rPr>
            </w:pPr>
          </w:p>
        </w:tc>
        <w:tc>
          <w:tcPr>
            <w:tcW w:w="1547" w:type="dxa"/>
            <w:tcBorders>
              <w:top w:val="nil"/>
              <w:left w:val="nil"/>
              <w:bottom w:val="nil"/>
              <w:right w:val="nil"/>
            </w:tcBorders>
            <w:shd w:val="clear" w:color="auto" w:fill="auto"/>
            <w:noWrap/>
            <w:vAlign w:val="bottom"/>
            <w:hideMark/>
          </w:tcPr>
          <w:p w:rsidR="00904A1D" w:rsidRDefault="00904A1D">
            <w:pPr>
              <w:rPr>
                <w:sz w:val="20"/>
                <w:szCs w:val="20"/>
              </w:rPr>
            </w:pPr>
          </w:p>
        </w:tc>
        <w:tc>
          <w:tcPr>
            <w:tcW w:w="178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w:t>
            </w:r>
          </w:p>
        </w:tc>
      </w:tr>
      <w:tr w:rsidR="00904A1D" w:rsidTr="00904A1D">
        <w:trPr>
          <w:trHeight w:val="255"/>
        </w:trPr>
        <w:tc>
          <w:tcPr>
            <w:tcW w:w="5236" w:type="dxa"/>
            <w:tcBorders>
              <w:top w:val="nil"/>
              <w:left w:val="single" w:sz="8" w:space="0" w:color="000000"/>
              <w:bottom w:val="nil"/>
              <w:right w:val="nil"/>
            </w:tcBorders>
            <w:shd w:val="clear" w:color="auto" w:fill="auto"/>
            <w:noWrap/>
            <w:vAlign w:val="center"/>
            <w:hideMark/>
          </w:tcPr>
          <w:p w:rsidR="00904A1D" w:rsidRDefault="00904A1D">
            <w:pPr>
              <w:rPr>
                <w:color w:val="000000"/>
                <w:sz w:val="20"/>
                <w:szCs w:val="20"/>
              </w:rPr>
            </w:pPr>
            <w:r>
              <w:rPr>
                <w:color w:val="000000"/>
                <w:sz w:val="20"/>
                <w:szCs w:val="20"/>
              </w:rPr>
              <w:t>3,000 Gallons</w:t>
            </w:r>
          </w:p>
        </w:tc>
        <w:tc>
          <w:tcPr>
            <w:tcW w:w="113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$19.42 </w:t>
            </w:r>
          </w:p>
        </w:tc>
        <w:tc>
          <w:tcPr>
            <w:tcW w:w="154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$19.74 </w:t>
            </w:r>
          </w:p>
        </w:tc>
        <w:tc>
          <w:tcPr>
            <w:tcW w:w="178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w:t>
            </w:r>
          </w:p>
        </w:tc>
      </w:tr>
      <w:tr w:rsidR="00904A1D" w:rsidTr="00904A1D">
        <w:trPr>
          <w:trHeight w:val="255"/>
        </w:trPr>
        <w:tc>
          <w:tcPr>
            <w:tcW w:w="5236" w:type="dxa"/>
            <w:tcBorders>
              <w:top w:val="nil"/>
              <w:left w:val="single" w:sz="8" w:space="0" w:color="000000"/>
              <w:bottom w:val="nil"/>
              <w:right w:val="nil"/>
            </w:tcBorders>
            <w:shd w:val="clear" w:color="auto" w:fill="auto"/>
            <w:noWrap/>
            <w:vAlign w:val="center"/>
            <w:hideMark/>
          </w:tcPr>
          <w:p w:rsidR="00904A1D" w:rsidRDefault="00904A1D">
            <w:pPr>
              <w:rPr>
                <w:color w:val="000000"/>
                <w:sz w:val="20"/>
                <w:szCs w:val="20"/>
              </w:rPr>
            </w:pPr>
            <w:r>
              <w:rPr>
                <w:color w:val="000000"/>
                <w:sz w:val="20"/>
                <w:szCs w:val="20"/>
              </w:rPr>
              <w:t>8,000 Gallons</w:t>
            </w:r>
          </w:p>
        </w:tc>
        <w:tc>
          <w:tcPr>
            <w:tcW w:w="113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$37.92 </w:t>
            </w:r>
          </w:p>
        </w:tc>
        <w:tc>
          <w:tcPr>
            <w:tcW w:w="154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$38.54 </w:t>
            </w:r>
          </w:p>
        </w:tc>
        <w:tc>
          <w:tcPr>
            <w:tcW w:w="178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w:t>
            </w:r>
          </w:p>
        </w:tc>
      </w:tr>
      <w:tr w:rsidR="00904A1D" w:rsidTr="00904A1D">
        <w:trPr>
          <w:trHeight w:val="255"/>
        </w:trPr>
        <w:tc>
          <w:tcPr>
            <w:tcW w:w="5236" w:type="dxa"/>
            <w:tcBorders>
              <w:top w:val="nil"/>
              <w:left w:val="single" w:sz="8" w:space="0" w:color="000000"/>
              <w:bottom w:val="nil"/>
              <w:right w:val="nil"/>
            </w:tcBorders>
            <w:shd w:val="clear" w:color="auto" w:fill="auto"/>
            <w:noWrap/>
            <w:vAlign w:val="center"/>
            <w:hideMark/>
          </w:tcPr>
          <w:p w:rsidR="00904A1D" w:rsidRDefault="00904A1D">
            <w:pPr>
              <w:rPr>
                <w:color w:val="000000"/>
                <w:sz w:val="20"/>
                <w:szCs w:val="20"/>
              </w:rPr>
            </w:pPr>
            <w:r>
              <w:rPr>
                <w:color w:val="000000"/>
                <w:sz w:val="20"/>
                <w:szCs w:val="20"/>
              </w:rPr>
              <w:t>16,000 Gallons</w:t>
            </w:r>
          </w:p>
        </w:tc>
        <w:tc>
          <w:tcPr>
            <w:tcW w:w="113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$89.60 </w:t>
            </w:r>
          </w:p>
        </w:tc>
        <w:tc>
          <w:tcPr>
            <w:tcW w:w="1547" w:type="dxa"/>
            <w:tcBorders>
              <w:top w:val="nil"/>
              <w:left w:val="nil"/>
              <w:bottom w:val="nil"/>
              <w:right w:val="nil"/>
            </w:tcBorders>
            <w:shd w:val="clear" w:color="auto" w:fill="auto"/>
            <w:noWrap/>
            <w:vAlign w:val="center"/>
            <w:hideMark/>
          </w:tcPr>
          <w:p w:rsidR="00904A1D" w:rsidRDefault="00904A1D">
            <w:pPr>
              <w:jc w:val="right"/>
              <w:rPr>
                <w:color w:val="000000"/>
                <w:sz w:val="20"/>
                <w:szCs w:val="20"/>
              </w:rPr>
            </w:pPr>
            <w:r>
              <w:rPr>
                <w:color w:val="000000"/>
                <w:sz w:val="20"/>
                <w:szCs w:val="20"/>
              </w:rPr>
              <w:t xml:space="preserve">$91.10 </w:t>
            </w:r>
          </w:p>
        </w:tc>
        <w:tc>
          <w:tcPr>
            <w:tcW w:w="1780" w:type="dxa"/>
            <w:tcBorders>
              <w:top w:val="nil"/>
              <w:left w:val="nil"/>
              <w:bottom w:val="nil"/>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w:t>
            </w:r>
          </w:p>
        </w:tc>
      </w:tr>
      <w:tr w:rsidR="00904A1D" w:rsidTr="00904A1D">
        <w:trPr>
          <w:trHeight w:val="270"/>
        </w:trPr>
        <w:tc>
          <w:tcPr>
            <w:tcW w:w="5236" w:type="dxa"/>
            <w:tcBorders>
              <w:top w:val="nil"/>
              <w:left w:val="single" w:sz="8" w:space="0" w:color="000000"/>
              <w:bottom w:val="single" w:sz="8" w:space="0" w:color="000000"/>
              <w:right w:val="nil"/>
            </w:tcBorders>
            <w:shd w:val="clear" w:color="auto" w:fill="auto"/>
            <w:noWrap/>
            <w:vAlign w:val="bottom"/>
            <w:hideMark/>
          </w:tcPr>
          <w:p w:rsidR="00904A1D" w:rsidRDefault="00904A1D">
            <w:pPr>
              <w:rPr>
                <w:sz w:val="20"/>
                <w:szCs w:val="20"/>
              </w:rPr>
            </w:pPr>
            <w:r>
              <w:rPr>
                <w:sz w:val="20"/>
                <w:szCs w:val="20"/>
              </w:rPr>
              <w:t> </w:t>
            </w:r>
          </w:p>
        </w:tc>
        <w:tc>
          <w:tcPr>
            <w:tcW w:w="1137" w:type="dxa"/>
            <w:tcBorders>
              <w:top w:val="nil"/>
              <w:left w:val="nil"/>
              <w:bottom w:val="single" w:sz="8" w:space="0" w:color="000000"/>
              <w:right w:val="nil"/>
            </w:tcBorders>
            <w:shd w:val="clear" w:color="auto" w:fill="auto"/>
            <w:noWrap/>
            <w:vAlign w:val="bottom"/>
            <w:hideMark/>
          </w:tcPr>
          <w:p w:rsidR="00904A1D" w:rsidRDefault="00904A1D">
            <w:pPr>
              <w:rPr>
                <w:sz w:val="20"/>
                <w:szCs w:val="20"/>
              </w:rPr>
            </w:pPr>
            <w:r>
              <w:rPr>
                <w:sz w:val="20"/>
                <w:szCs w:val="20"/>
              </w:rPr>
              <w:t> </w:t>
            </w:r>
          </w:p>
        </w:tc>
        <w:tc>
          <w:tcPr>
            <w:tcW w:w="1547" w:type="dxa"/>
            <w:tcBorders>
              <w:top w:val="nil"/>
              <w:left w:val="nil"/>
              <w:bottom w:val="single" w:sz="8" w:space="0" w:color="000000"/>
              <w:right w:val="nil"/>
            </w:tcBorders>
            <w:shd w:val="clear" w:color="auto" w:fill="auto"/>
            <w:noWrap/>
            <w:vAlign w:val="bottom"/>
            <w:hideMark/>
          </w:tcPr>
          <w:p w:rsidR="00904A1D" w:rsidRDefault="00904A1D">
            <w:pPr>
              <w:rPr>
                <w:sz w:val="20"/>
                <w:szCs w:val="20"/>
              </w:rPr>
            </w:pPr>
            <w:r>
              <w:rPr>
                <w:sz w:val="20"/>
                <w:szCs w:val="20"/>
              </w:rPr>
              <w:t> </w:t>
            </w:r>
          </w:p>
        </w:tc>
        <w:tc>
          <w:tcPr>
            <w:tcW w:w="1780" w:type="dxa"/>
            <w:tcBorders>
              <w:top w:val="nil"/>
              <w:left w:val="nil"/>
              <w:bottom w:val="single" w:sz="8" w:space="0" w:color="000000"/>
              <w:right w:val="single" w:sz="8" w:space="0" w:color="000000"/>
            </w:tcBorders>
            <w:shd w:val="clear" w:color="auto" w:fill="auto"/>
            <w:noWrap/>
            <w:vAlign w:val="center"/>
            <w:hideMark/>
          </w:tcPr>
          <w:p w:rsidR="00904A1D" w:rsidRDefault="00904A1D">
            <w:pPr>
              <w:jc w:val="right"/>
              <w:rPr>
                <w:color w:val="000000"/>
                <w:sz w:val="20"/>
                <w:szCs w:val="20"/>
              </w:rPr>
            </w:pPr>
            <w:r>
              <w:rPr>
                <w:color w:val="000000"/>
                <w:sz w:val="20"/>
                <w:szCs w:val="20"/>
              </w:rPr>
              <w:t> </w:t>
            </w:r>
          </w:p>
        </w:tc>
      </w:tr>
    </w:tbl>
    <w:p w:rsidR="00637DE5" w:rsidRPr="00637DE5" w:rsidRDefault="00637DE5" w:rsidP="00637DE5">
      <w:pPr>
        <w:pStyle w:val="OrderBody"/>
        <w:rPr>
          <w:b/>
        </w:rPr>
      </w:pPr>
    </w:p>
    <w:sectPr w:rsidR="00637DE5" w:rsidRPr="00637DE5" w:rsidSect="003A3186">
      <w:head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0CE" w:rsidRDefault="000810CE">
      <w:r>
        <w:separator/>
      </w:r>
    </w:p>
  </w:endnote>
  <w:endnote w:type="continuationSeparator" w:id="0">
    <w:p w:rsidR="000810CE" w:rsidRDefault="00081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CE" w:rsidRDefault="000810CE">
    <w:pPr>
      <w:pStyle w:val="Footer"/>
    </w:pPr>
  </w:p>
  <w:p w:rsidR="000810CE" w:rsidRDefault="00081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0CE" w:rsidRDefault="000810CE">
      <w:r>
        <w:separator/>
      </w:r>
    </w:p>
  </w:footnote>
  <w:footnote w:type="continuationSeparator" w:id="0">
    <w:p w:rsidR="000810CE" w:rsidRDefault="000810CE">
      <w:r>
        <w:continuationSeparator/>
      </w:r>
    </w:p>
  </w:footnote>
  <w:footnote w:id="1">
    <w:p w:rsidR="000810CE" w:rsidRPr="00C7036E" w:rsidRDefault="000810CE" w:rsidP="00637DE5">
      <w:pPr>
        <w:pStyle w:val="FootnoteText"/>
      </w:pPr>
      <w:r>
        <w:rPr>
          <w:rStyle w:val="FootnoteReference"/>
        </w:rPr>
        <w:footnoteRef/>
      </w:r>
      <w:r>
        <w:t xml:space="preserve"> Order No. PSC-14-0025-PAA-WS, issued January 10, 2014, in Docket No. 120209-WS, </w:t>
      </w:r>
      <w:r w:rsidRPr="00637DE5">
        <w:rPr>
          <w:u w:val="single"/>
        </w:rPr>
        <w:t>In re: Application for increase in water and wastewater rates in Marion, Orange, Pasco, Pinellas, and Seminole Counties by Utilities, Inc. of Florida</w:t>
      </w:r>
      <w:r w:rsidRPr="00C7036E">
        <w:t>.</w:t>
      </w:r>
    </w:p>
  </w:footnote>
  <w:footnote w:id="2">
    <w:p w:rsidR="000810CE" w:rsidRDefault="000810CE" w:rsidP="00637DE5">
      <w:pPr>
        <w:pStyle w:val="FootnoteText"/>
      </w:pPr>
      <w:r>
        <w:rPr>
          <w:rStyle w:val="FootnoteReference"/>
        </w:rPr>
        <w:footnoteRef/>
      </w:r>
      <w:r>
        <w:t xml:space="preserve"> Order No. PSC-16-0135-PCO-WS, issued April 4, 2016, in Docket No. 150269-WS, </w:t>
      </w:r>
      <w:r w:rsidRPr="00C7036E">
        <w:rPr>
          <w:u w:val="single"/>
        </w:rPr>
        <w:t>In re: Application for limited proceeding water rate increase in Marion, Pasco, and Seminole Counties, by Utilities, Inc. of Florida</w:t>
      </w:r>
      <w:r>
        <w:t>.</w:t>
      </w:r>
    </w:p>
  </w:footnote>
  <w:footnote w:id="3">
    <w:p w:rsidR="000810CE" w:rsidRDefault="000810CE" w:rsidP="00637DE5">
      <w:pPr>
        <w:pStyle w:val="FootnoteText"/>
      </w:pPr>
      <w:r>
        <w:rPr>
          <w:rStyle w:val="FootnoteReference"/>
        </w:rPr>
        <w:footnoteRef/>
      </w:r>
      <w:r>
        <w:t xml:space="preserve"> Document No. 00669-16</w:t>
      </w:r>
    </w:p>
  </w:footnote>
  <w:footnote w:id="4">
    <w:p w:rsidR="000810CE" w:rsidRDefault="000810CE" w:rsidP="00637DE5">
      <w:pPr>
        <w:pStyle w:val="FootnoteText"/>
      </w:pPr>
      <w:r>
        <w:rPr>
          <w:rStyle w:val="FootnoteReference"/>
        </w:rPr>
        <w:footnoteRef/>
      </w:r>
      <w:r>
        <w:t xml:space="preserve"> Document No. 03459-16</w:t>
      </w:r>
    </w:p>
  </w:footnote>
  <w:footnote w:id="5">
    <w:p w:rsidR="000810CE" w:rsidRDefault="000810CE" w:rsidP="00637DE5">
      <w:pPr>
        <w:pStyle w:val="FootnoteText"/>
      </w:pPr>
      <w:r>
        <w:rPr>
          <w:rStyle w:val="FootnoteReference"/>
        </w:rPr>
        <w:footnoteRef/>
      </w:r>
      <w:r>
        <w:t xml:space="preserve"> Document No. 03641-16</w:t>
      </w:r>
    </w:p>
  </w:footnote>
  <w:footnote w:id="6">
    <w:p w:rsidR="000810CE" w:rsidRDefault="000810CE" w:rsidP="00637DE5">
      <w:pPr>
        <w:pStyle w:val="FootnoteText"/>
      </w:pPr>
      <w:r>
        <w:rPr>
          <w:rStyle w:val="FootnoteReference"/>
        </w:rPr>
        <w:footnoteRef/>
      </w:r>
      <w:r>
        <w:t xml:space="preserve"> Order No. PSC-16-0143-FOF-WS, issued April 12, 2016, in Docket No. 150235-WS, </w:t>
      </w:r>
      <w:r w:rsidRPr="00637DE5">
        <w:rPr>
          <w:u w:val="single"/>
        </w:rPr>
        <w:t>In re: Joint application for acknowledgement of corporate reorganization and request for approval of name changes on water and/or wastewater certificates of Cypress Lakes Utilities, Inc. in Polk County; Utilities, Inc. of Eagle Ridge in Lee County; Utilities, Inc. of Florida in Marion, Orange, Pasco, Pinellas, and Seminole Counties; Labrador Utilities, Inc. in Pasco County; Lake Placid Utilities, Inc. in Highlands County; Lake Utility Services, Inc. in Lake County; Utilities, Inc. of Longwood in Seminole County; Mid-County Services, Inc. in Pinellas County; Utilities, Inc. of Pennbrooke in Lake County; Utilities, Inc. of Sandalhaven in Charlotte County; Sanlando Utilities Corporation in Seminole County; and Tierra Verde Utilities, Inc. in Pinellas County, to Utilities, Inc. of Florida</w:t>
      </w:r>
      <w:r w:rsidRPr="00F57F71">
        <w:t>.</w:t>
      </w:r>
    </w:p>
  </w:footnote>
  <w:footnote w:id="7">
    <w:p w:rsidR="000810CE" w:rsidRPr="00F57F71" w:rsidRDefault="000810CE" w:rsidP="00637DE5">
      <w:pPr>
        <w:pStyle w:val="FootnoteText"/>
      </w:pPr>
      <w:r>
        <w:rPr>
          <w:rStyle w:val="FootnoteReference"/>
        </w:rPr>
        <w:footnoteRef/>
      </w:r>
      <w:r>
        <w:t xml:space="preserve"> Order No. PSC-14-0025-PAA-WS, issued January 10, 2014, in Docket No. 120209-WS, </w:t>
      </w:r>
      <w:r w:rsidRPr="00F57F71">
        <w:rPr>
          <w:u w:val="single"/>
        </w:rPr>
        <w:t>In re: Application for increase in water and wastewater rates in Marion, Orange, Pasco, Pinellas, and Seminole Counties by Utilities, Inc. of Florida</w:t>
      </w:r>
      <w:r>
        <w:t>.</w:t>
      </w:r>
    </w:p>
  </w:footnote>
  <w:footnote w:id="8">
    <w:p w:rsidR="000810CE" w:rsidRDefault="000810CE" w:rsidP="00637DE5">
      <w:pPr>
        <w:pStyle w:val="FootnoteText"/>
      </w:pPr>
      <w:r>
        <w:rPr>
          <w:rStyle w:val="FootnoteReference"/>
        </w:rPr>
        <w:footnoteRef/>
      </w:r>
      <w:r>
        <w:t xml:space="preserve"> Document No. 03733-16.</w:t>
      </w:r>
    </w:p>
  </w:footnote>
  <w:footnote w:id="9">
    <w:p w:rsidR="000810CE" w:rsidRDefault="000810CE">
      <w:pPr>
        <w:pStyle w:val="FootnoteText"/>
      </w:pPr>
      <w:r>
        <w:rPr>
          <w:rStyle w:val="FootnoteReference"/>
        </w:rPr>
        <w:footnoteRef/>
      </w:r>
      <w:r>
        <w:t xml:space="preserve"> Document No. 04394-16.</w:t>
      </w:r>
    </w:p>
  </w:footnote>
  <w:footnote w:id="10">
    <w:p w:rsidR="000810CE" w:rsidRPr="00637DE5" w:rsidRDefault="000810CE" w:rsidP="00637DE5">
      <w:pPr>
        <w:pStyle w:val="FootnoteText"/>
        <w:rPr>
          <w:u w:val="single"/>
        </w:rPr>
      </w:pPr>
      <w:r>
        <w:rPr>
          <w:rStyle w:val="FootnoteReference"/>
        </w:rPr>
        <w:footnoteRef/>
      </w:r>
      <w:r>
        <w:t xml:space="preserve"> </w:t>
      </w:r>
      <w:r w:rsidRPr="00EA42A6">
        <w:t xml:space="preserve">Order No. PSC-09-0651-PAA-SU, issued September 28, 2009, in Docket No. 090121-SU, </w:t>
      </w:r>
      <w:r w:rsidRPr="002A5767">
        <w:rPr>
          <w:u w:val="single"/>
        </w:rPr>
        <w:t>In re: Ap</w:t>
      </w:r>
      <w:r w:rsidRPr="00637DE5">
        <w:rPr>
          <w:u w:val="single"/>
        </w:rPr>
        <w:t>plication for limited proceeding rate increase in Seminole County by Alafaya Utilities, Inc.</w:t>
      </w:r>
      <w:r w:rsidRPr="00EA42A6">
        <w:t xml:space="preserve">; and Order No. PSC-10-0682-PAA-WS, issued November 15, 2010, in Docket No. 090349-WS, </w:t>
      </w:r>
      <w:r w:rsidRPr="002A5767">
        <w:rPr>
          <w:u w:val="single"/>
        </w:rPr>
        <w:t>In re: Ap</w:t>
      </w:r>
      <w:r w:rsidRPr="00637DE5">
        <w:rPr>
          <w:u w:val="single"/>
        </w:rPr>
        <w:t>plication for limited proceeding rate increase in Polk County by Cypress Lakes Utilities,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CE" w:rsidRDefault="000810CE">
    <w:pPr>
      <w:pStyle w:val="OrderHeader"/>
    </w:pPr>
    <w:r>
      <w:t xml:space="preserve">ORDER NO. </w:t>
    </w:r>
    <w:fldSimple w:instr=" REF OrderNo0296 ">
      <w:r w:rsidR="0095274B">
        <w:t>PSC-16-0296-PAA-WS</w:t>
      </w:r>
    </w:fldSimple>
  </w:p>
  <w:p w:rsidR="000810CE" w:rsidRDefault="000810CE">
    <w:pPr>
      <w:pStyle w:val="OrderHeader"/>
    </w:pPr>
    <w:bookmarkStart w:id="8" w:name="HeaderDocketNo"/>
    <w:bookmarkEnd w:id="8"/>
    <w:r>
      <w:t>DOCKET NO. 150269-WS</w:t>
    </w:r>
  </w:p>
  <w:p w:rsidR="000810CE" w:rsidRDefault="000810C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274B">
      <w:rPr>
        <w:rStyle w:val="PageNumber"/>
        <w:noProof/>
      </w:rPr>
      <w:t>10</w:t>
    </w:r>
    <w:r>
      <w:rPr>
        <w:rStyle w:val="PageNumber"/>
      </w:rPr>
      <w:fldChar w:fldCharType="end"/>
    </w:r>
  </w:p>
  <w:p w:rsidR="000810CE" w:rsidRDefault="000810CE">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74B" w:rsidRDefault="000810CE" w:rsidP="0095274B">
    <w:pPr>
      <w:pStyle w:val="OrderHeader"/>
    </w:pPr>
    <w:r>
      <w:t xml:space="preserve">ORDER NO. </w:t>
    </w:r>
    <w:r w:rsidR="0095274B">
      <w:fldChar w:fldCharType="begin"/>
    </w:r>
    <w:r w:rsidR="0095274B">
      <w:instrText xml:space="preserve"> REF OrderNo0296 </w:instrText>
    </w:r>
    <w:r w:rsidR="0095274B">
      <w:fldChar w:fldCharType="separate"/>
    </w:r>
    <w:r w:rsidR="0095274B">
      <w:t>PSC-16-0296-PAA-WS</w:t>
    </w:r>
    <w:r w:rsidR="0095274B">
      <w:fldChar w:fldCharType="end"/>
    </w:r>
    <w:bookmarkStart w:id="9" w:name="OrderText"/>
    <w:bookmarkEnd w:id="9"/>
  </w:p>
  <w:p w:rsidR="000810CE" w:rsidRDefault="000810CE">
    <w:pPr>
      <w:pStyle w:val="OrderHeader"/>
    </w:pPr>
    <w:r>
      <w:t>DOCKET NO. 150269-WS</w:t>
    </w:r>
  </w:p>
  <w:p w:rsidR="000810CE" w:rsidRDefault="000810C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274B">
      <w:rPr>
        <w:rStyle w:val="PageNumber"/>
        <w:noProof/>
      </w:rPr>
      <w:t>13</w:t>
    </w:r>
    <w:r>
      <w:rPr>
        <w:rStyle w:val="PageNumber"/>
      </w:rPr>
      <w:fldChar w:fldCharType="end"/>
    </w:r>
  </w:p>
  <w:p w:rsidR="000810CE" w:rsidRDefault="000810CE">
    <w:pPr>
      <w:pStyle w:val="Order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CE" w:rsidRDefault="000810C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74B" w:rsidRDefault="000810CE" w:rsidP="0095274B">
    <w:pPr>
      <w:pStyle w:val="OrderHeader"/>
    </w:pPr>
    <w:r>
      <w:t xml:space="preserve">ORDER NO. </w:t>
    </w:r>
    <w:r w:rsidR="0095274B">
      <w:fldChar w:fldCharType="begin"/>
    </w:r>
    <w:r w:rsidR="0095274B">
      <w:instrText xml:space="preserve"> REF OrderNo0296 </w:instrText>
    </w:r>
    <w:r w:rsidR="0095274B">
      <w:fldChar w:fldCharType="separate"/>
    </w:r>
    <w:r w:rsidR="0095274B">
      <w:t>PSC-16-0296-PAA-WS</w:t>
    </w:r>
    <w:r w:rsidR="0095274B">
      <w:fldChar w:fldCharType="end"/>
    </w:r>
  </w:p>
  <w:p w:rsidR="000810CE" w:rsidRDefault="000810CE">
    <w:pPr>
      <w:pStyle w:val="OrderHeader"/>
    </w:pPr>
    <w:r>
      <w:t>DOCKET NO. 150269-WS</w:t>
    </w:r>
  </w:p>
  <w:p w:rsidR="000810CE" w:rsidRDefault="000810C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274B">
      <w:rPr>
        <w:rStyle w:val="PageNumber"/>
        <w:noProof/>
      </w:rPr>
      <w:t>14</w:t>
    </w:r>
    <w:r>
      <w:rPr>
        <w:rStyle w:val="PageNumber"/>
      </w:rPr>
      <w:fldChar w:fldCharType="end"/>
    </w:r>
  </w:p>
  <w:p w:rsidR="000810CE" w:rsidRDefault="000810CE">
    <w:pPr>
      <w:pStyle w:val="OrderHeader"/>
      <w:rPr>
        <w:rStyle w:val="PageNumbe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74B" w:rsidRDefault="000810CE" w:rsidP="0095274B">
    <w:pPr>
      <w:pStyle w:val="OrderHeader"/>
    </w:pPr>
    <w:r>
      <w:t xml:space="preserve">ORDER NO. </w:t>
    </w:r>
    <w:r w:rsidR="0095274B">
      <w:fldChar w:fldCharType="begin"/>
    </w:r>
    <w:r w:rsidR="0095274B">
      <w:instrText xml:space="preserve"> REF OrderNo0296 </w:instrText>
    </w:r>
    <w:r w:rsidR="0095274B">
      <w:fldChar w:fldCharType="separate"/>
    </w:r>
    <w:r w:rsidR="0095274B">
      <w:t>PSC-16-0296-PAA-WS</w:t>
    </w:r>
    <w:r w:rsidR="0095274B">
      <w:fldChar w:fldCharType="end"/>
    </w:r>
  </w:p>
  <w:p w:rsidR="000810CE" w:rsidRDefault="000810CE">
    <w:pPr>
      <w:pStyle w:val="OrderHeader"/>
    </w:pPr>
    <w:r>
      <w:t>DOCKET NO. 150269-WS</w:t>
    </w:r>
  </w:p>
  <w:p w:rsidR="000810CE" w:rsidRDefault="000810C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274B">
      <w:rPr>
        <w:rStyle w:val="PageNumber"/>
        <w:noProof/>
      </w:rPr>
      <w:t>16</w:t>
    </w:r>
    <w:r>
      <w:rPr>
        <w:rStyle w:val="PageNumber"/>
      </w:rPr>
      <w:fldChar w:fldCharType="end"/>
    </w:r>
  </w:p>
  <w:p w:rsidR="000810CE" w:rsidRDefault="000810CE">
    <w:pPr>
      <w:pStyle w:val="OrderHeader"/>
      <w:rPr>
        <w:rStyle w:val="PageNumb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69-WS"/>
  </w:docVars>
  <w:rsids>
    <w:rsidRoot w:val="00637DE5"/>
    <w:rsid w:val="000022B8"/>
    <w:rsid w:val="00053AB9"/>
    <w:rsid w:val="00056229"/>
    <w:rsid w:val="00065FC2"/>
    <w:rsid w:val="000810CE"/>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9675D"/>
    <w:rsid w:val="002A11AC"/>
    <w:rsid w:val="002A5767"/>
    <w:rsid w:val="002A6F30"/>
    <w:rsid w:val="002D7D15"/>
    <w:rsid w:val="002E27EB"/>
    <w:rsid w:val="00303FDE"/>
    <w:rsid w:val="003140E8"/>
    <w:rsid w:val="003231C7"/>
    <w:rsid w:val="00331ED0"/>
    <w:rsid w:val="0035495B"/>
    <w:rsid w:val="003744F5"/>
    <w:rsid w:val="00390DD8"/>
    <w:rsid w:val="00394DC6"/>
    <w:rsid w:val="00397C3E"/>
    <w:rsid w:val="003A3186"/>
    <w:rsid w:val="003D4CCA"/>
    <w:rsid w:val="003D6416"/>
    <w:rsid w:val="003E1D48"/>
    <w:rsid w:val="0042527B"/>
    <w:rsid w:val="00457DC7"/>
    <w:rsid w:val="00472BCC"/>
    <w:rsid w:val="004A25CD"/>
    <w:rsid w:val="004A26CC"/>
    <w:rsid w:val="004B2108"/>
    <w:rsid w:val="004B3A2B"/>
    <w:rsid w:val="004B4A2F"/>
    <w:rsid w:val="004D2D1B"/>
    <w:rsid w:val="004F2DDE"/>
    <w:rsid w:val="0050097F"/>
    <w:rsid w:val="00514B1F"/>
    <w:rsid w:val="00556A10"/>
    <w:rsid w:val="005963C2"/>
    <w:rsid w:val="005B45F7"/>
    <w:rsid w:val="005B63EA"/>
    <w:rsid w:val="00637DE5"/>
    <w:rsid w:val="00660774"/>
    <w:rsid w:val="00665CC7"/>
    <w:rsid w:val="006A0BF3"/>
    <w:rsid w:val="006B0DA6"/>
    <w:rsid w:val="006C547E"/>
    <w:rsid w:val="006D66CA"/>
    <w:rsid w:val="00704C5D"/>
    <w:rsid w:val="00715275"/>
    <w:rsid w:val="00733B6B"/>
    <w:rsid w:val="0076170F"/>
    <w:rsid w:val="0076669C"/>
    <w:rsid w:val="007865E9"/>
    <w:rsid w:val="00792383"/>
    <w:rsid w:val="007A060F"/>
    <w:rsid w:val="007A4B9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B669B"/>
    <w:rsid w:val="008C6A5B"/>
    <w:rsid w:val="008E26A5"/>
    <w:rsid w:val="008E42D2"/>
    <w:rsid w:val="009040EE"/>
    <w:rsid w:val="00904A1D"/>
    <w:rsid w:val="009057FD"/>
    <w:rsid w:val="00922A7F"/>
    <w:rsid w:val="00923A5E"/>
    <w:rsid w:val="0095274B"/>
    <w:rsid w:val="009924CF"/>
    <w:rsid w:val="00994100"/>
    <w:rsid w:val="009D4C29"/>
    <w:rsid w:val="00A14F71"/>
    <w:rsid w:val="00A54348"/>
    <w:rsid w:val="00A62DAB"/>
    <w:rsid w:val="00A726A6"/>
    <w:rsid w:val="00A97535"/>
    <w:rsid w:val="00AA73F1"/>
    <w:rsid w:val="00AB0E1A"/>
    <w:rsid w:val="00AB1A30"/>
    <w:rsid w:val="00AD1ED3"/>
    <w:rsid w:val="00AE3378"/>
    <w:rsid w:val="00B05B2D"/>
    <w:rsid w:val="00B0777D"/>
    <w:rsid w:val="00B30818"/>
    <w:rsid w:val="00B4057A"/>
    <w:rsid w:val="00B40894"/>
    <w:rsid w:val="00B45E75"/>
    <w:rsid w:val="00B50876"/>
    <w:rsid w:val="00B55EE5"/>
    <w:rsid w:val="00B73DE6"/>
    <w:rsid w:val="00B86EF0"/>
    <w:rsid w:val="00B97900"/>
    <w:rsid w:val="00BA44A8"/>
    <w:rsid w:val="00BF6691"/>
    <w:rsid w:val="00C028FC"/>
    <w:rsid w:val="00C66692"/>
    <w:rsid w:val="00C7036E"/>
    <w:rsid w:val="00C91123"/>
    <w:rsid w:val="00CA71FF"/>
    <w:rsid w:val="00CB5276"/>
    <w:rsid w:val="00CB68D7"/>
    <w:rsid w:val="00CC7E68"/>
    <w:rsid w:val="00CD7132"/>
    <w:rsid w:val="00CE0E6F"/>
    <w:rsid w:val="00D30B48"/>
    <w:rsid w:val="00D324EC"/>
    <w:rsid w:val="00D46FAA"/>
    <w:rsid w:val="00D57BB2"/>
    <w:rsid w:val="00D751EE"/>
    <w:rsid w:val="00D753CB"/>
    <w:rsid w:val="00D8560E"/>
    <w:rsid w:val="00D8758F"/>
    <w:rsid w:val="00DC1D94"/>
    <w:rsid w:val="00DE057F"/>
    <w:rsid w:val="00DE2082"/>
    <w:rsid w:val="00DE2289"/>
    <w:rsid w:val="00E04410"/>
    <w:rsid w:val="00E11351"/>
    <w:rsid w:val="00E15E0B"/>
    <w:rsid w:val="00E53140"/>
    <w:rsid w:val="00E84E9A"/>
    <w:rsid w:val="00EA172C"/>
    <w:rsid w:val="00EA259B"/>
    <w:rsid w:val="00EA35A3"/>
    <w:rsid w:val="00EA3E6A"/>
    <w:rsid w:val="00EB18EF"/>
    <w:rsid w:val="00EE17DF"/>
    <w:rsid w:val="00EF4621"/>
    <w:rsid w:val="00F277B6"/>
    <w:rsid w:val="00F54380"/>
    <w:rsid w:val="00F54B47"/>
    <w:rsid w:val="00F57F71"/>
    <w:rsid w:val="00F70E84"/>
    <w:rsid w:val="00F80F5E"/>
    <w:rsid w:val="00FA3BD0"/>
    <w:rsid w:val="00FA6EFD"/>
    <w:rsid w:val="00FB08AA"/>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Title">
    <w:name w:val="Table Title"/>
    <w:basedOn w:val="BodyText"/>
    <w:next w:val="BodyText"/>
    <w:qFormat/>
    <w:rsid w:val="00637DE5"/>
    <w:pPr>
      <w:spacing w:after="0"/>
      <w:jc w:val="center"/>
    </w:pPr>
    <w:rPr>
      <w:rFonts w:ascii="Arial" w:hAnsi="Arial"/>
      <w:b/>
    </w:rPr>
  </w:style>
  <w:style w:type="paragraph" w:styleId="BalloonText">
    <w:name w:val="Balloon Text"/>
    <w:basedOn w:val="Normal"/>
    <w:link w:val="BalloonTextChar"/>
    <w:rsid w:val="00A54348"/>
    <w:rPr>
      <w:rFonts w:ascii="Tahoma" w:hAnsi="Tahoma" w:cs="Tahoma"/>
      <w:sz w:val="16"/>
      <w:szCs w:val="16"/>
    </w:rPr>
  </w:style>
  <w:style w:type="character" w:customStyle="1" w:styleId="BalloonTextChar">
    <w:name w:val="Balloon Text Char"/>
    <w:basedOn w:val="DefaultParagraphFont"/>
    <w:link w:val="BalloonText"/>
    <w:rsid w:val="00A543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Title">
    <w:name w:val="Table Title"/>
    <w:basedOn w:val="BodyText"/>
    <w:next w:val="BodyText"/>
    <w:qFormat/>
    <w:rsid w:val="00637DE5"/>
    <w:pPr>
      <w:spacing w:after="0"/>
      <w:jc w:val="center"/>
    </w:pPr>
    <w:rPr>
      <w:rFonts w:ascii="Arial" w:hAnsi="Arial"/>
      <w:b/>
    </w:rPr>
  </w:style>
  <w:style w:type="paragraph" w:styleId="BalloonText">
    <w:name w:val="Balloon Text"/>
    <w:basedOn w:val="Normal"/>
    <w:link w:val="BalloonTextChar"/>
    <w:rsid w:val="00A54348"/>
    <w:rPr>
      <w:rFonts w:ascii="Tahoma" w:hAnsi="Tahoma" w:cs="Tahoma"/>
      <w:sz w:val="16"/>
      <w:szCs w:val="16"/>
    </w:rPr>
  </w:style>
  <w:style w:type="character" w:customStyle="1" w:styleId="BalloonTextChar">
    <w:name w:val="Balloon Text Char"/>
    <w:basedOn w:val="DefaultParagraphFont"/>
    <w:link w:val="BalloonText"/>
    <w:rsid w:val="00A54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618357">
      <w:bodyDiv w:val="1"/>
      <w:marLeft w:val="0"/>
      <w:marRight w:val="0"/>
      <w:marTop w:val="0"/>
      <w:marBottom w:val="0"/>
      <w:divBdr>
        <w:top w:val="none" w:sz="0" w:space="0" w:color="auto"/>
        <w:left w:val="none" w:sz="0" w:space="0" w:color="auto"/>
        <w:bottom w:val="none" w:sz="0" w:space="0" w:color="auto"/>
        <w:right w:val="none" w:sz="0" w:space="0" w:color="auto"/>
      </w:divBdr>
    </w:div>
    <w:div w:id="107643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F51E2-800F-4E20-8595-E964F1E21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16</Pages>
  <Words>4681</Words>
  <Characters>26796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2016-07-27T15:34:00Z</dcterms:created>
  <dcterms:modified xsi:type="dcterms:W3CDTF">2016-07-27T15:56:00Z</dcterms:modified>
</cp:coreProperties>
</file>