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85585" w:rsidP="00285585">
      <w:pPr>
        <w:pStyle w:val="OrderHeading"/>
      </w:pPr>
      <w:bookmarkStart w:id="0" w:name="_GoBack"/>
      <w:bookmarkEnd w:id="0"/>
      <w:r>
        <w:t>BEFORE THE FLORIDA PUBLIC SERVICE COMMISSION</w:t>
      </w:r>
    </w:p>
    <w:p w:rsidR="00285585" w:rsidRDefault="00285585" w:rsidP="00285585">
      <w:pPr>
        <w:pStyle w:val="OrderHeading"/>
      </w:pPr>
    </w:p>
    <w:p w:rsidR="00285585" w:rsidRDefault="00285585" w:rsidP="0028558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85585" w:rsidRPr="00C63FCF" w:rsidTr="00C63FCF">
        <w:trPr>
          <w:trHeight w:val="828"/>
        </w:trPr>
        <w:tc>
          <w:tcPr>
            <w:tcW w:w="4788" w:type="dxa"/>
            <w:tcBorders>
              <w:bottom w:val="single" w:sz="8" w:space="0" w:color="auto"/>
              <w:right w:val="double" w:sz="6" w:space="0" w:color="auto"/>
            </w:tcBorders>
            <w:shd w:val="clear" w:color="auto" w:fill="auto"/>
          </w:tcPr>
          <w:p w:rsidR="00285585" w:rsidRDefault="00285585" w:rsidP="00C63FCF">
            <w:pPr>
              <w:pStyle w:val="OrderBody"/>
              <w:tabs>
                <w:tab w:val="center" w:pos="4320"/>
                <w:tab w:val="right" w:pos="8640"/>
              </w:tabs>
              <w:jc w:val="left"/>
            </w:pPr>
            <w:r>
              <w:t xml:space="preserve">In re: </w:t>
            </w:r>
            <w:bookmarkStart w:id="1" w:name="SSInRe"/>
            <w:bookmarkEnd w:id="1"/>
            <w:r>
              <w:t>Petition for approval to include in base rates the revenue requirement for the Hines chillers uprate project, by Duke Energy Florida, LLC.</w:t>
            </w:r>
          </w:p>
        </w:tc>
        <w:tc>
          <w:tcPr>
            <w:tcW w:w="4788" w:type="dxa"/>
            <w:tcBorders>
              <w:left w:val="double" w:sz="6" w:space="0" w:color="auto"/>
            </w:tcBorders>
            <w:shd w:val="clear" w:color="auto" w:fill="auto"/>
          </w:tcPr>
          <w:p w:rsidR="00285585" w:rsidRDefault="00285585" w:rsidP="00285585">
            <w:pPr>
              <w:pStyle w:val="OrderBody"/>
            </w:pPr>
            <w:r>
              <w:t xml:space="preserve">DOCKET NO. </w:t>
            </w:r>
            <w:bookmarkStart w:id="2" w:name="SSDocketNo"/>
            <w:bookmarkEnd w:id="2"/>
            <w:r>
              <w:t>160128-EI</w:t>
            </w:r>
          </w:p>
          <w:p w:rsidR="00285585" w:rsidRDefault="00285585" w:rsidP="00C63FCF">
            <w:pPr>
              <w:pStyle w:val="OrderBody"/>
              <w:tabs>
                <w:tab w:val="center" w:pos="4320"/>
                <w:tab w:val="right" w:pos="8640"/>
              </w:tabs>
              <w:jc w:val="left"/>
            </w:pPr>
            <w:r>
              <w:t xml:space="preserve">ORDER NO. </w:t>
            </w:r>
            <w:bookmarkStart w:id="3" w:name="OrderNo0362"/>
            <w:r w:rsidR="00E5552F">
              <w:t>PSC-16-0362-TRF-EI</w:t>
            </w:r>
            <w:bookmarkEnd w:id="3"/>
          </w:p>
          <w:p w:rsidR="00285585" w:rsidRDefault="00285585" w:rsidP="00C63FCF">
            <w:pPr>
              <w:pStyle w:val="OrderBody"/>
              <w:tabs>
                <w:tab w:val="center" w:pos="4320"/>
                <w:tab w:val="right" w:pos="8640"/>
              </w:tabs>
              <w:jc w:val="left"/>
            </w:pPr>
            <w:r>
              <w:t xml:space="preserve">ISSUED: </w:t>
            </w:r>
            <w:r w:rsidR="00E5552F">
              <w:t>August 29, 2016</w:t>
            </w:r>
          </w:p>
        </w:tc>
      </w:tr>
    </w:tbl>
    <w:p w:rsidR="00285585" w:rsidRDefault="00285585" w:rsidP="00285585"/>
    <w:p w:rsidR="00285585" w:rsidRDefault="00285585" w:rsidP="00285585"/>
    <w:p w:rsidR="00285585" w:rsidRPr="00E46E1F" w:rsidRDefault="00285585">
      <w:pPr>
        <w:ind w:firstLine="720"/>
        <w:jc w:val="both"/>
      </w:pPr>
      <w:bookmarkStart w:id="4" w:name="Commissioners"/>
      <w:bookmarkEnd w:id="4"/>
      <w:r w:rsidRPr="00E46E1F">
        <w:t>The following Commissioners participated in the disposition of this matter:</w:t>
      </w:r>
    </w:p>
    <w:p w:rsidR="00285585" w:rsidRPr="00E46E1F" w:rsidRDefault="00285585"/>
    <w:p w:rsidR="00285585" w:rsidRDefault="00285585">
      <w:pPr>
        <w:jc w:val="center"/>
      </w:pPr>
      <w:r>
        <w:t>JULIE I. BROWN</w:t>
      </w:r>
      <w:r w:rsidRPr="00E46E1F">
        <w:t>, Chairman</w:t>
      </w:r>
    </w:p>
    <w:p w:rsidR="00285585" w:rsidRPr="00E46E1F" w:rsidRDefault="00285585">
      <w:pPr>
        <w:jc w:val="center"/>
      </w:pPr>
      <w:r w:rsidRPr="00E46E1F">
        <w:t>LISA POLAK EDGAR</w:t>
      </w:r>
    </w:p>
    <w:p w:rsidR="00285585" w:rsidRDefault="00285585">
      <w:pPr>
        <w:jc w:val="center"/>
      </w:pPr>
      <w:r>
        <w:t>ART GRAHAM</w:t>
      </w:r>
    </w:p>
    <w:p w:rsidR="00285585" w:rsidRDefault="00285585">
      <w:pPr>
        <w:jc w:val="center"/>
      </w:pPr>
      <w:r>
        <w:t>RONALD A. BRISÉ</w:t>
      </w:r>
    </w:p>
    <w:p w:rsidR="00285585" w:rsidRDefault="00285585">
      <w:pPr>
        <w:jc w:val="center"/>
      </w:pPr>
      <w:r>
        <w:t>JIMMY PATRONIS</w:t>
      </w:r>
    </w:p>
    <w:p w:rsidR="00CB5276" w:rsidRDefault="00CB5276">
      <w:pPr>
        <w:pStyle w:val="OrderBody"/>
      </w:pPr>
    </w:p>
    <w:p w:rsidR="002F247C" w:rsidRDefault="00285585" w:rsidP="00285585">
      <w:pPr>
        <w:pStyle w:val="CenterUnderline"/>
      </w:pPr>
      <w:r>
        <w:t>ORDER</w:t>
      </w:r>
      <w:bookmarkStart w:id="5" w:name="OrderTitle"/>
      <w:r w:rsidR="002F247C">
        <w:t xml:space="preserve"> APPROVING REVENUE REQUIREMENT FOR THE</w:t>
      </w:r>
    </w:p>
    <w:p w:rsidR="00285585" w:rsidRDefault="002F247C" w:rsidP="00285585">
      <w:pPr>
        <w:pStyle w:val="CenterUnderline"/>
      </w:pPr>
      <w:r>
        <w:t>HINES CHILLERS UPRATE PROJECT BY DUKE ENERGY FLORIDA, LLC</w:t>
      </w:r>
      <w:r w:rsidR="00285585">
        <w:t xml:space="preserve"> </w:t>
      </w:r>
      <w:bookmarkEnd w:id="5"/>
    </w:p>
    <w:p w:rsidR="00285585" w:rsidRDefault="00285585" w:rsidP="00285585">
      <w:pPr>
        <w:pStyle w:val="CenterUnderline"/>
      </w:pPr>
    </w:p>
    <w:p w:rsidR="00285585" w:rsidRDefault="00285585" w:rsidP="00285585">
      <w:pPr>
        <w:pStyle w:val="OrderBody"/>
      </w:pPr>
      <w:r>
        <w:t>BY THE COMMISSION:</w:t>
      </w:r>
    </w:p>
    <w:p w:rsidR="00285585" w:rsidRDefault="00285585" w:rsidP="00285585">
      <w:pPr>
        <w:pStyle w:val="OrderBody"/>
      </w:pPr>
    </w:p>
    <w:p w:rsidR="00CB5276" w:rsidRPr="003E7F4C" w:rsidRDefault="003E7F4C" w:rsidP="003E7F4C">
      <w:pPr>
        <w:pStyle w:val="OrderBody"/>
        <w:jc w:val="center"/>
        <w:rPr>
          <w:u w:val="single"/>
        </w:rPr>
      </w:pPr>
      <w:bookmarkStart w:id="6" w:name="OrderText"/>
      <w:bookmarkEnd w:id="6"/>
      <w:r w:rsidRPr="003E7F4C">
        <w:rPr>
          <w:u w:val="single"/>
        </w:rPr>
        <w:t>Background</w:t>
      </w:r>
    </w:p>
    <w:p w:rsidR="003E7F4C" w:rsidRDefault="003E7F4C">
      <w:pPr>
        <w:pStyle w:val="OrderBody"/>
      </w:pPr>
    </w:p>
    <w:p w:rsidR="003E7F4C" w:rsidRPr="003E7F4C" w:rsidRDefault="003E7F4C" w:rsidP="003E7F4C">
      <w:pPr>
        <w:pStyle w:val="OrderBody"/>
        <w:spacing w:after="240"/>
        <w:ind w:firstLine="720"/>
      </w:pPr>
      <w:r w:rsidRPr="003E7F4C">
        <w:t xml:space="preserve">On May 20, 2016, Duke Energy Florida, LLC (DEF) filed a petition for approval to include in base rates the revenue requirement for the Hines Chillers Uprate Project. By Order No. PSC-13-0598-FOF-EI, </w:t>
      </w:r>
      <w:r w:rsidR="002F247C">
        <w:t>we</w:t>
      </w:r>
      <w:r w:rsidRPr="003E7F4C">
        <w:t xml:space="preserve"> approved the Revised and Restated Stipulation and Settlement Agreement (RRSSA).</w:t>
      </w:r>
      <w:r w:rsidRPr="003E7F4C">
        <w:rPr>
          <w:vertAlign w:val="superscript"/>
        </w:rPr>
        <w:footnoteReference w:id="1"/>
      </w:r>
      <w:r w:rsidRPr="003E7F4C">
        <w:t xml:space="preserve"> Paragraph 16(a) of the RRSSA includes provisions for DEF to seek recovery of the prudently incurred revenue requirement of power uprates to existing DEF units, which may be placed in-service prior to year-end 2017</w:t>
      </w:r>
      <w:r w:rsidR="002F247C">
        <w:t xml:space="preserve"> </w:t>
      </w:r>
      <w:r w:rsidRPr="003E7F4C">
        <w:t>through a separate base rate increase at the time each unit is placed in service.</w:t>
      </w:r>
    </w:p>
    <w:p w:rsidR="003E7F4C" w:rsidRPr="003E7F4C" w:rsidRDefault="003E7F4C" w:rsidP="003E7F4C">
      <w:pPr>
        <w:pStyle w:val="OrderBody"/>
        <w:spacing w:after="240"/>
        <w:ind w:firstLine="720"/>
      </w:pPr>
      <w:r w:rsidRPr="003E7F4C">
        <w:t xml:space="preserve">Subsequently, in Order No. PSC-14-0590-FOF-EI, </w:t>
      </w:r>
      <w:r w:rsidR="002F247C">
        <w:t>we</w:t>
      </w:r>
      <w:r w:rsidRPr="003E7F4C">
        <w:t xml:space="preserve"> granted DEF a determination of need for the Hines Chillers Uprate Project.</w:t>
      </w:r>
      <w:r w:rsidRPr="003E7F4C">
        <w:rPr>
          <w:vertAlign w:val="superscript"/>
        </w:rPr>
        <w:footnoteReference w:id="2"/>
      </w:r>
      <w:r w:rsidRPr="003E7F4C">
        <w:t xml:space="preserve"> Intervening parties in that proceeding included the Office of Public Counsel (OPC), Florida Industrial Power Users Group (FIPUG), White Springs Agricultural Chemicals, Inc. d/b/a PCS Phosphate (PCS Phosphate), Calpine Construction Finance Company, L.P. (Calpine), and NRG Florida, LP (NRG). </w:t>
      </w:r>
      <w:r w:rsidR="002F247C">
        <w:t>We</w:t>
      </w:r>
      <w:r w:rsidRPr="003E7F4C">
        <w:t xml:space="preserve"> weighed parties’ arguments, evaluated the need for reliability and cost-effectiveness of various generation alternatives, and found that the Hines Chillers Uprate Project represented an optimal resource to meet DEF’s needs prior to 2018. </w:t>
      </w:r>
    </w:p>
    <w:p w:rsidR="003E7F4C" w:rsidRPr="003E7F4C" w:rsidRDefault="003E7F4C" w:rsidP="003E7F4C">
      <w:pPr>
        <w:pStyle w:val="OrderBody"/>
        <w:spacing w:after="240"/>
        <w:ind w:firstLine="720"/>
      </w:pPr>
      <w:r w:rsidRPr="003E7F4C">
        <w:lastRenderedPageBreak/>
        <w:t>The Hines Chillers Uprate Project consists of installation of chiller modules for the existing Hines Energy Center power block units, a large chilled water storage tank, an auxiliary power system, pumps and chilled water supply and return piping, and gas turbine air inlet chiller coils. The installation of the chiller system on the existing Hines Energy Center power block units (Hines Units 1 - 4) is designed to cool the gas turbine inlet air, thus increasing the capacity of each power block while maintaining fuel efficiency. Hines Units 1 - 4 have a total installed capacity of approximately 1,900 megawatts (MW). Based on Order No. PSC-14-0590-FOF-EI, the project is expected to increase the summer capacity of those units by approximately 220 MW to meet the summer peak demand, which DEF projected to grow to 9,439 MW by the summer of 2018.</w:t>
      </w:r>
    </w:p>
    <w:p w:rsidR="003E7F4C" w:rsidRPr="003E7F4C" w:rsidRDefault="002F247C" w:rsidP="003E7F4C">
      <w:pPr>
        <w:pStyle w:val="OrderBody"/>
        <w:spacing w:after="240"/>
        <w:ind w:firstLine="720"/>
      </w:pPr>
      <w:r>
        <w:t>We</w:t>
      </w:r>
      <w:r w:rsidR="003E7F4C" w:rsidRPr="003E7F4C">
        <w:t xml:space="preserve"> ha</w:t>
      </w:r>
      <w:r>
        <w:t>ve</w:t>
      </w:r>
      <w:r w:rsidR="003E7F4C" w:rsidRPr="003E7F4C">
        <w:t xml:space="preserve"> jurisdiction pursuant to Section 366.06, Florida Statutes.</w:t>
      </w:r>
    </w:p>
    <w:p w:rsidR="003E7F4C" w:rsidRDefault="003E7F4C" w:rsidP="003E7F4C">
      <w:pPr>
        <w:pStyle w:val="OrderBody"/>
        <w:jc w:val="center"/>
      </w:pPr>
      <w:r w:rsidRPr="003E7F4C">
        <w:rPr>
          <w:u w:val="single"/>
        </w:rPr>
        <w:t>Decision</w:t>
      </w:r>
    </w:p>
    <w:p w:rsidR="00CB5276" w:rsidRDefault="00CB5276"/>
    <w:p w:rsidR="003E7F4C" w:rsidRPr="003E7F4C" w:rsidRDefault="003E7F4C" w:rsidP="002F247C">
      <w:pPr>
        <w:pStyle w:val="OrderBody"/>
        <w:spacing w:after="240"/>
        <w:ind w:firstLine="720"/>
      </w:pPr>
      <w:r w:rsidRPr="003E7F4C">
        <w:t xml:space="preserve">DEF is seeking to recover the full, prudently incurred revenue requirement for the Hines Chillers Uprate Project pursuant to Paragraph 16(a) of the RRSSA. The project will be implemented in two phases. DEF is requesting that </w:t>
      </w:r>
      <w:r w:rsidR="002F247C">
        <w:t>we</w:t>
      </w:r>
      <w:r w:rsidRPr="003E7F4C">
        <w:t xml:space="preserve"> approve the phase 1 revenue requirement of $16,676,114 and phase 2 revenue requirement of $2,915,328. However, </w:t>
      </w:r>
      <w:r w:rsidR="002F247C">
        <w:t>DEF</w:t>
      </w:r>
      <w:r w:rsidRPr="003E7F4C">
        <w:t xml:space="preserve"> is only requesting approval for the rate increase associated with the phase 1 revenue requirement in this petition. The rate increase for phase 2 </w:t>
      </w:r>
      <w:r w:rsidR="002F247C">
        <w:t>was</w:t>
      </w:r>
      <w:r w:rsidRPr="003E7F4C">
        <w:t xml:space="preserve"> requested as part of a separate petition in August 2016. </w:t>
      </w:r>
    </w:p>
    <w:p w:rsidR="003E7F4C" w:rsidRPr="003E7F4C" w:rsidRDefault="003E7F4C" w:rsidP="003E7F4C">
      <w:pPr>
        <w:pStyle w:val="OrderBody"/>
        <w:spacing w:after="240"/>
        <w:ind w:firstLine="720"/>
        <w:rPr>
          <w:b/>
        </w:rPr>
      </w:pPr>
      <w:r w:rsidRPr="003E7F4C">
        <w:rPr>
          <w:b/>
        </w:rPr>
        <w:t>Cost Estimates and Projected Performance</w:t>
      </w:r>
    </w:p>
    <w:p w:rsidR="003E7F4C" w:rsidRPr="003E7F4C" w:rsidRDefault="003E7F4C" w:rsidP="003E7F4C">
      <w:pPr>
        <w:pStyle w:val="OrderBody"/>
        <w:spacing w:after="240"/>
        <w:ind w:firstLine="720"/>
      </w:pPr>
      <w:r w:rsidRPr="003E7F4C">
        <w:t xml:space="preserve">According to </w:t>
      </w:r>
      <w:r w:rsidR="00BC2644" w:rsidRPr="003E7F4C">
        <w:t xml:space="preserve">testimony </w:t>
      </w:r>
      <w:r w:rsidR="00BC2644">
        <w:t xml:space="preserve">that </w:t>
      </w:r>
      <w:r w:rsidRPr="003E7F4C">
        <w:t xml:space="preserve">DEF filed in this docket, the updated construction cost estimate for the Hines Chillers Uprate Project is approximately $151 million. This is $9 million less than the $160 million estimate provided in Docket No. 140111-EI. In that proceeding, </w:t>
      </w:r>
      <w:r w:rsidR="002F247C">
        <w:t>we</w:t>
      </w:r>
      <w:r w:rsidRPr="003E7F4C">
        <w:t xml:space="preserve"> found the construction cost estimate comparable to a similar project installed at the Duke Energy Carolinas Dan River Combined Cycle project.</w:t>
      </w:r>
    </w:p>
    <w:p w:rsidR="003E7F4C" w:rsidRPr="003E7F4C" w:rsidRDefault="003E7F4C" w:rsidP="003E7F4C">
      <w:pPr>
        <w:pStyle w:val="OrderBody"/>
        <w:spacing w:after="240"/>
        <w:ind w:firstLine="720"/>
      </w:pPr>
      <w:r w:rsidRPr="003E7F4C">
        <w:t>In addition, testimony</w:t>
      </w:r>
      <w:r w:rsidR="00BC2644">
        <w:t xml:space="preserve"> filed in this proceeding</w:t>
      </w:r>
      <w:r w:rsidRPr="003E7F4C">
        <w:t xml:space="preserve"> addressed DEF’s effort to execute the project efficiently by selecting an Engineering Procurement Construction (EPC) company by competitive bidding and by planning the construction in two phases to align with already scheduled maintenance outages for the Hines Units. The first phase, with an estimated cost of $127 million for work on Hines Units 1-3 and the common equipment, is expected to be completed and placed into commercial service in October 2016. The second phase, with an estimated cost of $24 million for the work for Hines Unit 4, is expected to be completed in January 2017. Based on DEF’s response to </w:t>
      </w:r>
      <w:r w:rsidR="002F247C">
        <w:t xml:space="preserve">Commission </w:t>
      </w:r>
      <w:r w:rsidRPr="003E7F4C">
        <w:t>staff’s data request, cost incurred to date is $101 million, with an estimated $50 million for the project to be completed as planned.</w:t>
      </w:r>
    </w:p>
    <w:p w:rsidR="003E7F4C" w:rsidRPr="003E7F4C" w:rsidRDefault="002F247C" w:rsidP="003E7F4C">
      <w:pPr>
        <w:pStyle w:val="OrderBody"/>
        <w:spacing w:after="240"/>
        <w:ind w:firstLine="720"/>
      </w:pPr>
      <w:r>
        <w:rPr>
          <w:bCs/>
        </w:rPr>
        <w:t>We recognize</w:t>
      </w:r>
      <w:r w:rsidR="003E7F4C" w:rsidRPr="003E7F4C">
        <w:rPr>
          <w:bCs/>
        </w:rPr>
        <w:t xml:space="preserve"> that the costs sought for recovery by DEF are still estimates at this time. </w:t>
      </w:r>
      <w:r w:rsidR="003E7F4C" w:rsidRPr="003E7F4C">
        <w:t xml:space="preserve">Regarding the issue of </w:t>
      </w:r>
      <w:r w:rsidR="003E7F4C" w:rsidRPr="003E7F4C">
        <w:rPr>
          <w:bCs/>
        </w:rPr>
        <w:t>a potential variance from the estimate</w:t>
      </w:r>
      <w:r w:rsidR="003E7F4C" w:rsidRPr="003E7F4C">
        <w:t xml:space="preserve">, DEF stated in its response to </w:t>
      </w:r>
      <w:r w:rsidR="00810F16">
        <w:t xml:space="preserve">Commission </w:t>
      </w:r>
      <w:r w:rsidR="003E7F4C" w:rsidRPr="003E7F4C">
        <w:t>staff’s data request that there is no such provision</w:t>
      </w:r>
      <w:r w:rsidR="003E7F4C" w:rsidRPr="003E7F4C">
        <w:rPr>
          <w:bCs/>
        </w:rPr>
        <w:t xml:space="preserve"> for modification of the </w:t>
      </w:r>
      <w:r w:rsidR="003E7F4C" w:rsidRPr="003E7F4C">
        <w:t xml:space="preserve">base rate adjustments under paragraph 16(a) of the RRSSA. Paragraph 16 of the RRSSA provides different treatments for units and uprates to existing units placed in-service and/or </w:t>
      </w:r>
      <w:r w:rsidR="003E7F4C" w:rsidRPr="003E7F4C">
        <w:lastRenderedPageBreak/>
        <w:t xml:space="preserve">acquired/purchased prior to year-end 2017. While specific true-up provisions in a manner similar to cost recovery clauses are prescribed for the 2018 Generation Base Rate Adjustment (GBRA) factor under 16(b) through 16(f), there is not a true-up mechanism under paragraph 16(a) of the RRSSA. </w:t>
      </w:r>
    </w:p>
    <w:p w:rsidR="003E7F4C" w:rsidRPr="003E7F4C" w:rsidRDefault="00810F16" w:rsidP="003E7F4C">
      <w:pPr>
        <w:pStyle w:val="OrderBody"/>
        <w:spacing w:after="240"/>
        <w:ind w:firstLine="720"/>
      </w:pPr>
      <w:r>
        <w:t>We recognize</w:t>
      </w:r>
      <w:r w:rsidR="003E7F4C" w:rsidRPr="003E7F4C">
        <w:t xml:space="preserve"> that even without such a true-up provision, costs will be reset in DEF’s next general base rate case proceeding if actual costs for the Hines Chillers Uprate Project differ from what is approved in this docket.</w:t>
      </w:r>
    </w:p>
    <w:p w:rsidR="003E7F4C" w:rsidRPr="003E7F4C" w:rsidRDefault="003E7F4C" w:rsidP="003E7F4C">
      <w:pPr>
        <w:pStyle w:val="OrderBody"/>
        <w:spacing w:after="240"/>
        <w:ind w:firstLine="720"/>
      </w:pPr>
      <w:r w:rsidRPr="003E7F4C">
        <w:t xml:space="preserve">In response to </w:t>
      </w:r>
      <w:r w:rsidR="00810F16">
        <w:t xml:space="preserve">Commission </w:t>
      </w:r>
      <w:r w:rsidRPr="003E7F4C">
        <w:t xml:space="preserve">staff’s data request, DEF provided an updated comparison of the current cost estimates with those provided in Docket No. 140111-EI. DEF also identified the variables that contributed to the total cost reduction, with the reduced costs mainly caused by the contingency and not design changes. DEF also provided an update of the projected performance, which is consistent with its projection in Docket No. 140111-EI. </w:t>
      </w:r>
      <w:r w:rsidR="00810F16">
        <w:t>We find that</w:t>
      </w:r>
      <w:r w:rsidRPr="003E7F4C">
        <w:t xml:space="preserve"> DEF has demonstrated that costs of the Hines Chillers Uprate Project are reasonable.</w:t>
      </w:r>
    </w:p>
    <w:p w:rsidR="003E7F4C" w:rsidRDefault="003E7F4C" w:rsidP="003E7F4C">
      <w:pPr>
        <w:pStyle w:val="OrderBody"/>
        <w:ind w:firstLine="720"/>
      </w:pPr>
      <w:r w:rsidRPr="003E7F4C">
        <w:t xml:space="preserve">DEF is only requesting approval for the rate increase associated with the phase 1 revenue requirement in this petition. DEF </w:t>
      </w:r>
      <w:r w:rsidR="00810F16">
        <w:t>filed</w:t>
      </w:r>
      <w:r w:rsidRPr="003E7F4C">
        <w:t xml:space="preserve"> its petition for the approval for the rate increase associated with phase 2 of the Hines Chiller Uprate Project and the Osprey acquisition revenue requirement in August 2016. The reason for this separate filing is based on the timing of the Osprey project, which is expected to come online in the same time period as phase 2 of the Hines Chiller Uprate Project. While the cost estimate is reasonable, as discussed earlier, </w:t>
      </w:r>
      <w:r w:rsidR="00810F16">
        <w:t>we find that</w:t>
      </w:r>
      <w:r w:rsidRPr="003E7F4C">
        <w:t xml:space="preserve"> the phase 2 revenue requirement s</w:t>
      </w:r>
      <w:r w:rsidR="00810F16">
        <w:t>hall</w:t>
      </w:r>
      <w:r w:rsidRPr="003E7F4C">
        <w:t xml:space="preserve"> be addressed in the upcoming separate docket because revenue requirements and rates are normally considered together. </w:t>
      </w:r>
    </w:p>
    <w:p w:rsidR="002F247C" w:rsidRPr="003E7F4C" w:rsidRDefault="002F247C" w:rsidP="003E7F4C">
      <w:pPr>
        <w:pStyle w:val="OrderBody"/>
        <w:ind w:firstLine="720"/>
      </w:pPr>
    </w:p>
    <w:p w:rsidR="003E7F4C" w:rsidRPr="003E7F4C" w:rsidRDefault="003E7F4C" w:rsidP="003E7F4C">
      <w:pPr>
        <w:pStyle w:val="OrderBody"/>
        <w:spacing w:before="240" w:after="240"/>
        <w:ind w:firstLine="720"/>
        <w:rPr>
          <w:b/>
        </w:rPr>
      </w:pPr>
      <w:r w:rsidRPr="003E7F4C">
        <w:rPr>
          <w:b/>
        </w:rPr>
        <w:t>Revenue Requirement</w:t>
      </w:r>
    </w:p>
    <w:p w:rsidR="003E7F4C" w:rsidRPr="003E7F4C" w:rsidRDefault="003E7F4C" w:rsidP="009F6410">
      <w:pPr>
        <w:pStyle w:val="OrderBody"/>
        <w:spacing w:after="240"/>
        <w:ind w:firstLine="720"/>
      </w:pPr>
      <w:r w:rsidRPr="003E7F4C">
        <w:t>Based on the estimated cost to complete phase 1 of the Hines Chillers Uprate Project, DEF calculated a revenue requirement of $16,676,114.</w:t>
      </w:r>
      <w:r w:rsidRPr="003E7F4C">
        <w:rPr>
          <w:vertAlign w:val="superscript"/>
        </w:rPr>
        <w:footnoteReference w:id="3"/>
      </w:r>
      <w:r w:rsidRPr="003E7F4C">
        <w:t xml:space="preserve"> In accordance with paragraph 16(a) of the RRSSA, DEF utilized the capital structure from its most recent actual earnings surveillance report</w:t>
      </w:r>
      <w:r w:rsidRPr="003E7F4C">
        <w:rPr>
          <w:vertAlign w:val="superscript"/>
        </w:rPr>
        <w:footnoteReference w:id="4"/>
      </w:r>
      <w:r w:rsidRPr="003E7F4C">
        <w:t xml:space="preserve"> and a 10.50 percent return on equity to calculate the revenue requirement. The revenue requirement calculations also include the recovery of O&amp;M expenses, depreciation expense, property insurance, and property tax. </w:t>
      </w:r>
      <w:r w:rsidR="00810F16">
        <w:t>We have</w:t>
      </w:r>
      <w:r w:rsidRPr="003E7F4C">
        <w:t xml:space="preserve"> reviewed the revenue requirement calculations and </w:t>
      </w:r>
      <w:r w:rsidR="00810F16">
        <w:t>find</w:t>
      </w:r>
      <w:r w:rsidRPr="003E7F4C">
        <w:t xml:space="preserve"> they have been appropriately calculated.</w:t>
      </w:r>
    </w:p>
    <w:p w:rsidR="003E7F4C" w:rsidRPr="003E7F4C" w:rsidRDefault="003E7F4C" w:rsidP="003E7F4C">
      <w:pPr>
        <w:pStyle w:val="OrderBody"/>
        <w:spacing w:after="240"/>
        <w:ind w:firstLine="720"/>
        <w:rPr>
          <w:b/>
        </w:rPr>
      </w:pPr>
      <w:r w:rsidRPr="003E7F4C">
        <w:rPr>
          <w:b/>
        </w:rPr>
        <w:t>Conclusion</w:t>
      </w:r>
    </w:p>
    <w:p w:rsidR="00810F16" w:rsidRDefault="003E7F4C" w:rsidP="003E7F4C">
      <w:pPr>
        <w:pStyle w:val="OrderBody"/>
        <w:spacing w:after="240"/>
        <w:ind w:firstLine="720"/>
        <w:rPr>
          <w:bCs/>
        </w:rPr>
      </w:pPr>
      <w:r w:rsidRPr="003E7F4C">
        <w:rPr>
          <w:bCs/>
        </w:rPr>
        <w:t>The appropriate amount of revenue requirement for DEF’s proposed phase 1 rate increase associated with the Hines Chillers Uprate Project is $16,676,114. The phase 2 revenue requirement and rate increase sh</w:t>
      </w:r>
      <w:r w:rsidR="00810F16">
        <w:rPr>
          <w:bCs/>
        </w:rPr>
        <w:t>all</w:t>
      </w:r>
      <w:r w:rsidRPr="003E7F4C">
        <w:rPr>
          <w:bCs/>
        </w:rPr>
        <w:t xml:space="preserve"> be addressed </w:t>
      </w:r>
      <w:r w:rsidR="00810F16">
        <w:rPr>
          <w:bCs/>
        </w:rPr>
        <w:t xml:space="preserve">in DEF’s separately filed petition. </w:t>
      </w:r>
    </w:p>
    <w:p w:rsidR="009F6410" w:rsidRDefault="009F6410" w:rsidP="006C18BA">
      <w:pPr>
        <w:pStyle w:val="OrderBody"/>
        <w:spacing w:after="240"/>
        <w:ind w:firstLine="720"/>
        <w:rPr>
          <w:b/>
        </w:rPr>
      </w:pPr>
    </w:p>
    <w:p w:rsidR="00810F16" w:rsidRPr="003E7F4C" w:rsidRDefault="00810F16" w:rsidP="006C18BA">
      <w:pPr>
        <w:pStyle w:val="OrderBody"/>
        <w:spacing w:after="240"/>
        <w:ind w:firstLine="720"/>
        <w:rPr>
          <w:b/>
        </w:rPr>
      </w:pPr>
      <w:r>
        <w:rPr>
          <w:b/>
        </w:rPr>
        <w:lastRenderedPageBreak/>
        <w:t xml:space="preserve">DEF’s Proposed Tariffs and Associated Charges </w:t>
      </w:r>
    </w:p>
    <w:p w:rsidR="003E7F4C" w:rsidRPr="003E7F4C" w:rsidRDefault="003E7F4C" w:rsidP="00810F16">
      <w:pPr>
        <w:pStyle w:val="OrderBody"/>
        <w:spacing w:after="240"/>
        <w:ind w:firstLine="720"/>
        <w:rPr>
          <w:bCs/>
        </w:rPr>
      </w:pPr>
      <w:r w:rsidRPr="003E7F4C">
        <w:rPr>
          <w:bCs/>
        </w:rPr>
        <w:t xml:space="preserve">As discussed </w:t>
      </w:r>
      <w:r w:rsidR="00810F16">
        <w:rPr>
          <w:bCs/>
        </w:rPr>
        <w:t>above</w:t>
      </w:r>
      <w:r w:rsidRPr="003E7F4C">
        <w:rPr>
          <w:bCs/>
        </w:rPr>
        <w:t>, DEF has proposed to increase its base rates by $16,676,114. DEF allocated this amount to all its rate classes at a uniform percentage (0.99 percent) as shown in Exhibit C of the petition consistent with the terms of the RRSSA. A residential customer who uses 1,000 kilowatt-hours will see a $0.50 increase on the monthly bill. The proposed tariffs are shown in Exhibit E of the petition.</w:t>
      </w:r>
    </w:p>
    <w:p w:rsidR="003E7F4C" w:rsidRPr="003E7F4C" w:rsidRDefault="003E7F4C" w:rsidP="003E7F4C">
      <w:pPr>
        <w:pStyle w:val="OrderBody"/>
        <w:spacing w:after="240"/>
        <w:ind w:firstLine="720"/>
        <w:rPr>
          <w:bCs/>
        </w:rPr>
      </w:pPr>
      <w:r w:rsidRPr="003E7F4C">
        <w:rPr>
          <w:bCs/>
        </w:rPr>
        <w:t xml:space="preserve">In response to </w:t>
      </w:r>
      <w:r w:rsidR="00810F16">
        <w:rPr>
          <w:bCs/>
        </w:rPr>
        <w:t xml:space="preserve">Commission </w:t>
      </w:r>
      <w:r w:rsidRPr="003E7F4C">
        <w:rPr>
          <w:bCs/>
        </w:rPr>
        <w:t xml:space="preserve">staff’s first data request, DEF stated that customers will be notified of the rate changes via October bill inserts, DEF website and via email for electronic bill customers. </w:t>
      </w:r>
    </w:p>
    <w:p w:rsidR="006C18BA" w:rsidRDefault="006C18BA" w:rsidP="006C18BA">
      <w:pPr>
        <w:pStyle w:val="OrderBody"/>
        <w:spacing w:after="240"/>
        <w:ind w:firstLine="720"/>
        <w:rPr>
          <w:bCs/>
        </w:rPr>
      </w:pPr>
      <w:r w:rsidRPr="003E7F4C">
        <w:rPr>
          <w:bCs/>
        </w:rPr>
        <w:t>The appropriate amount of revenue requirement for DEF’s proposed phase 1 rate increase associated with the Hines Chillers Uprate Project is $16,676,114.</w:t>
      </w:r>
      <w:r>
        <w:rPr>
          <w:bCs/>
        </w:rPr>
        <w:t xml:space="preserve"> We have</w:t>
      </w:r>
      <w:r w:rsidRPr="003E7F4C">
        <w:rPr>
          <w:bCs/>
        </w:rPr>
        <w:t xml:space="preserve"> reviewed the proposed tariffs, calculation of the revised base rate charges and DEF’s responses to data requests and </w:t>
      </w:r>
      <w:r>
        <w:rPr>
          <w:bCs/>
        </w:rPr>
        <w:t xml:space="preserve">find that they shall be approved. </w:t>
      </w:r>
      <w:r w:rsidR="009F6410">
        <w:rPr>
          <w:bCs/>
        </w:rPr>
        <w:t xml:space="preserve">The proposed tariffs and associated charges shall go into effect with the first </w:t>
      </w:r>
      <w:r w:rsidR="009F6410" w:rsidRPr="003E7F4C">
        <w:rPr>
          <w:bCs/>
        </w:rPr>
        <w:t>cycle in November 2016.</w:t>
      </w:r>
      <w:r w:rsidR="00BC2644">
        <w:rPr>
          <w:bCs/>
        </w:rPr>
        <w:t xml:space="preserve"> </w:t>
      </w:r>
      <w:r>
        <w:rPr>
          <w:bCs/>
        </w:rPr>
        <w:t xml:space="preserve">If our order is protested, </w:t>
      </w:r>
      <w:r w:rsidRPr="003E7F4C">
        <w:rPr>
          <w:bCs/>
        </w:rPr>
        <w:t>DEF should be allowed to implement the rates subject to refund pending the results of any subsequent proceeding.</w:t>
      </w:r>
    </w:p>
    <w:p w:rsidR="003E7F4C" w:rsidRDefault="003E7F4C" w:rsidP="003E7F4C">
      <w:pPr>
        <w:pStyle w:val="OrderBody"/>
      </w:pPr>
      <w:r>
        <w:tab/>
        <w:t>Based on the foregoing, it is</w:t>
      </w:r>
    </w:p>
    <w:p w:rsidR="003E7F4C" w:rsidRDefault="003E7F4C" w:rsidP="003E7F4C">
      <w:pPr>
        <w:pStyle w:val="OrderBody"/>
      </w:pPr>
    </w:p>
    <w:p w:rsidR="003E7F4C" w:rsidRDefault="003E7F4C" w:rsidP="009F6410">
      <w:pPr>
        <w:pStyle w:val="OrderBody"/>
      </w:pPr>
      <w:r>
        <w:tab/>
        <w:t>ORDERED by the Florida Public Service Commission that</w:t>
      </w:r>
      <w:r w:rsidR="005F49D4">
        <w:t xml:space="preserve"> the appropriate amount of revenue requirement for Duke Energy Florida, LLC’s proposed phase 1 rate increase associated with the Hines Chillers Uprate Project is $16,676,114. It is further </w:t>
      </w:r>
    </w:p>
    <w:p w:rsidR="005F49D4" w:rsidRDefault="005F49D4" w:rsidP="009F6410">
      <w:pPr>
        <w:pStyle w:val="OrderBody"/>
      </w:pPr>
    </w:p>
    <w:p w:rsidR="005F49D4" w:rsidRDefault="005F49D4" w:rsidP="009F6410">
      <w:pPr>
        <w:pStyle w:val="OrderBody"/>
      </w:pPr>
      <w:r>
        <w:tab/>
        <w:t xml:space="preserve">ORDERED that the phase 2 revenue requirement and rate increase shall be addressed in Duke Energy Florida, LLC’s separately filed petition. It is further </w:t>
      </w:r>
    </w:p>
    <w:p w:rsidR="009F6410" w:rsidRDefault="009F6410" w:rsidP="009F6410">
      <w:pPr>
        <w:pStyle w:val="OrderBody"/>
      </w:pPr>
    </w:p>
    <w:p w:rsidR="009F6410" w:rsidRDefault="009F6410" w:rsidP="009F6410">
      <w:pPr>
        <w:pStyle w:val="OrderBody"/>
      </w:pPr>
      <w:r>
        <w:tab/>
        <w:t xml:space="preserve">ORDERED that proposed tariffs and associated charges shall go into effect with the first cycle in November 2016. It is further </w:t>
      </w:r>
    </w:p>
    <w:p w:rsidR="003E7F4C" w:rsidRDefault="003E7F4C" w:rsidP="009F6410">
      <w:pPr>
        <w:pStyle w:val="OrderBody"/>
      </w:pPr>
    </w:p>
    <w:p w:rsidR="003E7F4C" w:rsidRDefault="003E7F4C" w:rsidP="009F6410">
      <w:pPr>
        <w:jc w:val="both"/>
      </w:pPr>
      <w:r>
        <w:tab/>
        <w:t>ORDERED that if a protest is filed within 21 days of issuance of the Order, the tariff shall remain in effect with any charges held subject to refund pending resolution of the protest.  It is further</w:t>
      </w:r>
    </w:p>
    <w:p w:rsidR="003E7F4C" w:rsidRDefault="003E7F4C" w:rsidP="009F6410">
      <w:pPr>
        <w:jc w:val="both"/>
      </w:pPr>
    </w:p>
    <w:p w:rsidR="003E7F4C" w:rsidRDefault="003E7F4C" w:rsidP="009F6410">
      <w:pPr>
        <w:jc w:val="both"/>
      </w:pPr>
      <w:r>
        <w:tab/>
        <w:t>ORDERED that if no timely protest is filed, this docket shall be closed upon the issuance of a Consummating Order.</w:t>
      </w:r>
    </w:p>
    <w:p w:rsidR="009F6410" w:rsidRDefault="009F6410" w:rsidP="009F6410">
      <w:pPr>
        <w:jc w:val="both"/>
      </w:pPr>
    </w:p>
    <w:p w:rsidR="003E7F4C" w:rsidRDefault="003E7F4C" w:rsidP="003E7F4C"/>
    <w:p w:rsidR="003E7F4C" w:rsidRDefault="003E7F4C" w:rsidP="00E5552F">
      <w:pPr>
        <w:keepNext/>
        <w:keepLines/>
        <w:jc w:val="both"/>
      </w:pPr>
      <w:r>
        <w:lastRenderedPageBreak/>
        <w:tab/>
        <w:t xml:space="preserve">By ORDER of the Florida Public Service Commission this </w:t>
      </w:r>
      <w:bookmarkStart w:id="7" w:name="replaceDate"/>
      <w:bookmarkEnd w:id="7"/>
      <w:r w:rsidR="00E5552F">
        <w:rPr>
          <w:u w:val="single"/>
        </w:rPr>
        <w:t>29th</w:t>
      </w:r>
      <w:r w:rsidR="00E5552F">
        <w:t xml:space="preserve"> day of </w:t>
      </w:r>
      <w:r w:rsidR="00E5552F">
        <w:rPr>
          <w:u w:val="single"/>
        </w:rPr>
        <w:t>August</w:t>
      </w:r>
      <w:r w:rsidR="00E5552F">
        <w:t xml:space="preserve">, </w:t>
      </w:r>
      <w:r w:rsidR="00E5552F">
        <w:rPr>
          <w:u w:val="single"/>
        </w:rPr>
        <w:t>2016</w:t>
      </w:r>
      <w:r w:rsidR="00E5552F">
        <w:t>.</w:t>
      </w:r>
    </w:p>
    <w:p w:rsidR="00E5552F" w:rsidRPr="00E5552F" w:rsidRDefault="00E5552F" w:rsidP="00E5552F">
      <w:pPr>
        <w:keepNext/>
        <w:keepLines/>
        <w:jc w:val="both"/>
      </w:pPr>
    </w:p>
    <w:p w:rsidR="003E7F4C" w:rsidRDefault="003E7F4C" w:rsidP="003E7F4C">
      <w:pPr>
        <w:keepNext/>
        <w:keepLines/>
      </w:pPr>
    </w:p>
    <w:p w:rsidR="003E7F4C" w:rsidRDefault="003E7F4C" w:rsidP="003E7F4C">
      <w:pPr>
        <w:keepNext/>
        <w:keepLines/>
      </w:pPr>
    </w:p>
    <w:p w:rsidR="003E7F4C" w:rsidRDefault="003E7F4C" w:rsidP="003E7F4C">
      <w:pPr>
        <w:keepNext/>
        <w:keepLines/>
      </w:pPr>
    </w:p>
    <w:tbl>
      <w:tblPr>
        <w:tblW w:w="4720" w:type="dxa"/>
        <w:tblInd w:w="3800" w:type="dxa"/>
        <w:tblLayout w:type="fixed"/>
        <w:tblLook w:val="0000" w:firstRow="0" w:lastRow="0" w:firstColumn="0" w:lastColumn="0" w:noHBand="0" w:noVBand="0"/>
      </w:tblPr>
      <w:tblGrid>
        <w:gridCol w:w="686"/>
        <w:gridCol w:w="4034"/>
      </w:tblGrid>
      <w:tr w:rsidR="003E7F4C" w:rsidTr="003E7F4C">
        <w:tc>
          <w:tcPr>
            <w:tcW w:w="720" w:type="dxa"/>
            <w:shd w:val="clear" w:color="auto" w:fill="auto"/>
          </w:tcPr>
          <w:p w:rsidR="003E7F4C" w:rsidRDefault="003E7F4C" w:rsidP="003E7F4C">
            <w:pPr>
              <w:keepNext/>
              <w:keepLines/>
            </w:pPr>
            <w:bookmarkStart w:id="8" w:name="bkmrkSignature" w:colFirst="0" w:colLast="0"/>
          </w:p>
        </w:tc>
        <w:tc>
          <w:tcPr>
            <w:tcW w:w="4320" w:type="dxa"/>
            <w:tcBorders>
              <w:bottom w:val="single" w:sz="4" w:space="0" w:color="auto"/>
            </w:tcBorders>
            <w:shd w:val="clear" w:color="auto" w:fill="auto"/>
          </w:tcPr>
          <w:p w:rsidR="003E7F4C" w:rsidRDefault="00E5552F" w:rsidP="003E7F4C">
            <w:pPr>
              <w:keepNext/>
              <w:keepLines/>
            </w:pPr>
            <w:r>
              <w:t>/s/ Carlotta S. Stauffer</w:t>
            </w:r>
          </w:p>
        </w:tc>
      </w:tr>
      <w:bookmarkEnd w:id="8"/>
      <w:tr w:rsidR="003E7F4C" w:rsidTr="003E7F4C">
        <w:tc>
          <w:tcPr>
            <w:tcW w:w="720" w:type="dxa"/>
            <w:shd w:val="clear" w:color="auto" w:fill="auto"/>
          </w:tcPr>
          <w:p w:rsidR="003E7F4C" w:rsidRDefault="003E7F4C" w:rsidP="003E7F4C">
            <w:pPr>
              <w:keepNext/>
              <w:keepLines/>
            </w:pPr>
          </w:p>
        </w:tc>
        <w:tc>
          <w:tcPr>
            <w:tcW w:w="4320" w:type="dxa"/>
            <w:tcBorders>
              <w:top w:val="single" w:sz="4" w:space="0" w:color="auto"/>
            </w:tcBorders>
            <w:shd w:val="clear" w:color="auto" w:fill="auto"/>
          </w:tcPr>
          <w:p w:rsidR="003E7F4C" w:rsidRDefault="003E7F4C" w:rsidP="003E7F4C">
            <w:pPr>
              <w:keepNext/>
              <w:keepLines/>
            </w:pPr>
            <w:r>
              <w:t>CARLOTTA S. STAUFFER</w:t>
            </w:r>
          </w:p>
          <w:p w:rsidR="003E7F4C" w:rsidRDefault="003E7F4C" w:rsidP="003E7F4C">
            <w:pPr>
              <w:keepNext/>
              <w:keepLines/>
            </w:pPr>
            <w:r>
              <w:t>Commission Clerk</w:t>
            </w:r>
          </w:p>
        </w:tc>
      </w:tr>
    </w:tbl>
    <w:p w:rsidR="003E7F4C" w:rsidRDefault="003E7F4C" w:rsidP="003E7F4C">
      <w:pPr>
        <w:pStyle w:val="OrderSigInfo"/>
        <w:keepNext/>
        <w:keepLines/>
      </w:pPr>
      <w:r>
        <w:t>Florida Public Service Commission</w:t>
      </w:r>
    </w:p>
    <w:p w:rsidR="003E7F4C" w:rsidRDefault="003E7F4C" w:rsidP="003E7F4C">
      <w:pPr>
        <w:pStyle w:val="OrderSigInfo"/>
        <w:keepNext/>
        <w:keepLines/>
      </w:pPr>
      <w:r>
        <w:t>2540 Shumard Oak Boulevard</w:t>
      </w:r>
    </w:p>
    <w:p w:rsidR="003E7F4C" w:rsidRDefault="003E7F4C" w:rsidP="003E7F4C">
      <w:pPr>
        <w:pStyle w:val="OrderSigInfo"/>
        <w:keepNext/>
        <w:keepLines/>
      </w:pPr>
      <w:r>
        <w:t>Tallahassee, Florida  32399</w:t>
      </w:r>
    </w:p>
    <w:p w:rsidR="003E7F4C" w:rsidRDefault="003E7F4C" w:rsidP="003E7F4C">
      <w:pPr>
        <w:pStyle w:val="OrderSigInfo"/>
        <w:keepNext/>
        <w:keepLines/>
      </w:pPr>
      <w:r>
        <w:t>(850) 413</w:t>
      </w:r>
      <w:r>
        <w:noBreakHyphen/>
        <w:t>6770</w:t>
      </w:r>
    </w:p>
    <w:p w:rsidR="003E7F4C" w:rsidRDefault="003E7F4C" w:rsidP="003E7F4C">
      <w:pPr>
        <w:pStyle w:val="OrderSigInfo"/>
        <w:keepNext/>
        <w:keepLines/>
      </w:pPr>
      <w:r>
        <w:t>www.floridapsc.com</w:t>
      </w:r>
    </w:p>
    <w:p w:rsidR="003E7F4C" w:rsidRDefault="003E7F4C" w:rsidP="003E7F4C">
      <w:pPr>
        <w:pStyle w:val="OrderSigInfo"/>
        <w:keepNext/>
        <w:keepLines/>
      </w:pPr>
    </w:p>
    <w:p w:rsidR="003E7F4C" w:rsidRDefault="003E7F4C" w:rsidP="003E7F4C">
      <w:pPr>
        <w:pStyle w:val="OrderSigInfo"/>
        <w:keepNext/>
        <w:keepLines/>
      </w:pPr>
      <w:r>
        <w:t>Copies furnished:  A copy of this document is provided to the parties of record at the time of issuance and, if applicable, interested persons.</w:t>
      </w:r>
    </w:p>
    <w:p w:rsidR="003E7F4C" w:rsidRDefault="003E7F4C" w:rsidP="003E7F4C">
      <w:pPr>
        <w:pStyle w:val="OrderBody"/>
        <w:keepNext/>
        <w:keepLines/>
      </w:pPr>
    </w:p>
    <w:p w:rsidR="003E7F4C" w:rsidRDefault="003E7F4C" w:rsidP="003E7F4C">
      <w:pPr>
        <w:keepNext/>
        <w:keepLines/>
      </w:pPr>
      <w:r>
        <w:t>DJ</w:t>
      </w:r>
    </w:p>
    <w:p w:rsidR="003E7F4C" w:rsidRDefault="003E7F4C" w:rsidP="003E7F4C"/>
    <w:p w:rsidR="003E7F4C" w:rsidRDefault="003E7F4C" w:rsidP="003E7F4C">
      <w:pPr>
        <w:pStyle w:val="CenterUnderline"/>
      </w:pPr>
      <w:r>
        <w:t>NOTICE OF FURTHER PROCEEDINGS</w:t>
      </w:r>
    </w:p>
    <w:p w:rsidR="003E7F4C" w:rsidRDefault="003E7F4C" w:rsidP="003E7F4C">
      <w:pPr>
        <w:pStyle w:val="CenterUnderline"/>
        <w:rPr>
          <w:u w:val="none"/>
        </w:rPr>
      </w:pPr>
    </w:p>
    <w:p w:rsidR="003E7F4C" w:rsidRDefault="003E7F4C" w:rsidP="003E7F4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E7F4C" w:rsidRDefault="003E7F4C" w:rsidP="003E7F4C">
      <w:pPr>
        <w:pStyle w:val="OrderBody"/>
      </w:pPr>
    </w:p>
    <w:p w:rsidR="003E7F4C" w:rsidRDefault="003E7F4C" w:rsidP="003E7F4C">
      <w:pPr>
        <w:pStyle w:val="OrderBody"/>
      </w:pPr>
      <w:r>
        <w:tab/>
        <w:t>Mediation may be available on a case-by-case basis.  If mediation is conducted, it does not affect a substantially interested person's right to a hearing.</w:t>
      </w:r>
    </w:p>
    <w:p w:rsidR="003E7F4C" w:rsidRDefault="003E7F4C" w:rsidP="003E7F4C">
      <w:pPr>
        <w:pStyle w:val="OrderBody"/>
      </w:pPr>
    </w:p>
    <w:p w:rsidR="003E7F4C" w:rsidRDefault="003E7F4C" w:rsidP="003E7F4C">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E5552F">
        <w:rPr>
          <w:u w:val="single"/>
        </w:rPr>
        <w:t>September 19, 2016</w:t>
      </w:r>
      <w:r>
        <w:t xml:space="preserve">. </w:t>
      </w:r>
    </w:p>
    <w:p w:rsidR="003E7F4C" w:rsidRDefault="003E7F4C" w:rsidP="003E7F4C">
      <w:pPr>
        <w:pStyle w:val="OrderBody"/>
      </w:pPr>
    </w:p>
    <w:p w:rsidR="003E7F4C" w:rsidRDefault="003E7F4C" w:rsidP="003E7F4C">
      <w:pPr>
        <w:pStyle w:val="OrderBody"/>
      </w:pPr>
      <w:r>
        <w:tab/>
        <w:t>In the absence of such a petition, this Order shall become final and effective upon the issuance of a Consummating Order.</w:t>
      </w:r>
    </w:p>
    <w:p w:rsidR="003E7F4C" w:rsidRDefault="003E7F4C" w:rsidP="003E7F4C">
      <w:pPr>
        <w:pStyle w:val="OrderBody"/>
      </w:pPr>
    </w:p>
    <w:p w:rsidR="003E7F4C" w:rsidRDefault="003E7F4C" w:rsidP="003E7F4C">
      <w:pPr>
        <w:pStyle w:val="OrderBody"/>
      </w:pPr>
      <w:r>
        <w:tab/>
        <w:t>Any objection or protest filed in this docket before the issuance date of this order is considered abandoned unless it satisfies the foregoing conditions and is renewed within the specified protest period.</w:t>
      </w:r>
    </w:p>
    <w:p w:rsidR="003E7F4C" w:rsidRPr="003E7F4C" w:rsidRDefault="003E7F4C" w:rsidP="003E7F4C">
      <w:pPr>
        <w:pStyle w:val="OrderBody"/>
      </w:pPr>
    </w:p>
    <w:sectPr w:rsidR="003E7F4C" w:rsidRPr="003E7F4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585" w:rsidRDefault="00285585">
      <w:r>
        <w:separator/>
      </w:r>
    </w:p>
  </w:endnote>
  <w:endnote w:type="continuationSeparator" w:id="0">
    <w:p w:rsidR="00285585" w:rsidRDefault="0028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585" w:rsidRDefault="00285585">
      <w:r>
        <w:separator/>
      </w:r>
    </w:p>
  </w:footnote>
  <w:footnote w:type="continuationSeparator" w:id="0">
    <w:p w:rsidR="00285585" w:rsidRDefault="00285585">
      <w:r>
        <w:continuationSeparator/>
      </w:r>
    </w:p>
  </w:footnote>
  <w:footnote w:id="1">
    <w:p w:rsidR="003E7F4C" w:rsidRPr="00107ED7" w:rsidRDefault="003E7F4C" w:rsidP="003E7F4C">
      <w:pPr>
        <w:pStyle w:val="FootnoteText"/>
      </w:pPr>
      <w:r>
        <w:rPr>
          <w:rStyle w:val="FootnoteReference"/>
        </w:rPr>
        <w:footnoteRef/>
      </w:r>
      <w:r>
        <w:t xml:space="preserve">Order No. PSC-13-0598-FOF-EI, issued November 12, 2013, in Docket No. 130208-EI, </w:t>
      </w:r>
      <w:r w:rsidRPr="003E7F4C">
        <w:rPr>
          <w:u w:val="single"/>
        </w:rPr>
        <w:t>In re: Petition for limited proceeding to approve revised and restated stipulation and settlement agreement by Duke Energy Florida, Inc. d/b/a Duke Energy.</w:t>
      </w:r>
    </w:p>
  </w:footnote>
  <w:footnote w:id="2">
    <w:p w:rsidR="003E7F4C" w:rsidRPr="001C05AB" w:rsidRDefault="003E7F4C" w:rsidP="003E7F4C">
      <w:pPr>
        <w:pStyle w:val="FootnoteText"/>
        <w:rPr>
          <w:i/>
        </w:rPr>
      </w:pPr>
      <w:r>
        <w:rPr>
          <w:rStyle w:val="FootnoteReference"/>
        </w:rPr>
        <w:footnoteRef/>
      </w:r>
      <w:r>
        <w:t xml:space="preserve">Order No. PSC-14-0590-FOF-EI, issued October 21, 2014, in Docket No. 140111-EI, </w:t>
      </w:r>
      <w:r w:rsidRPr="003E7F4C">
        <w:rPr>
          <w:u w:val="single"/>
        </w:rPr>
        <w:t>In re: Petition for determination of cost effective generation alternative to meet need prior to 2018, by Duke Energy Florida, Inc.</w:t>
      </w:r>
    </w:p>
  </w:footnote>
  <w:footnote w:id="3">
    <w:p w:rsidR="003E7F4C" w:rsidRPr="003E7F4C" w:rsidRDefault="003E7F4C" w:rsidP="003E7F4C">
      <w:pPr>
        <w:pStyle w:val="FootnoteText"/>
        <w:rPr>
          <w:rFonts w:ascii="Calibri" w:hAnsi="Calibri"/>
        </w:rPr>
      </w:pPr>
      <w:r>
        <w:rPr>
          <w:rStyle w:val="FootnoteReference"/>
        </w:rPr>
        <w:footnoteRef/>
      </w:r>
      <w:r>
        <w:t xml:space="preserve"> Exhibit B, P. 1 of 2, of Document No. 03105-16 (DEF’s Petition).</w:t>
      </w:r>
    </w:p>
  </w:footnote>
  <w:footnote w:id="4">
    <w:p w:rsidR="003E7F4C" w:rsidRDefault="003E7F4C" w:rsidP="003E7F4C">
      <w:pPr>
        <w:pStyle w:val="FootnoteText"/>
      </w:pPr>
      <w:r>
        <w:rPr>
          <w:rStyle w:val="FootnoteReference"/>
        </w:rPr>
        <w:footnoteRef/>
      </w:r>
      <w:r>
        <w:t xml:space="preserve"> March 2016 Earnings Surveillance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B15FAA">
      <w:fldChar w:fldCharType="begin"/>
    </w:r>
    <w:r w:rsidR="00B15FAA">
      <w:instrText xml:space="preserve"> REF OrderNo0362 </w:instrText>
    </w:r>
    <w:r w:rsidR="00B15FAA">
      <w:fldChar w:fldCharType="separate"/>
    </w:r>
    <w:r w:rsidR="00B15FAA">
      <w:t>PSC-16-0362-TRF-EI</w:t>
    </w:r>
    <w:r w:rsidR="00B15FAA">
      <w:fldChar w:fldCharType="end"/>
    </w:r>
  </w:p>
  <w:p w:rsidR="00FA6EFD" w:rsidRDefault="00285585">
    <w:pPr>
      <w:pStyle w:val="OrderHeader"/>
    </w:pPr>
    <w:bookmarkStart w:id="9" w:name="HeaderDocketNo"/>
    <w:bookmarkEnd w:id="9"/>
    <w:r>
      <w:t>DOCKET NO. 160128-EI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5FAA">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28-EI"/>
  </w:docVars>
  <w:rsids>
    <w:rsidRoot w:val="0028558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85585"/>
    <w:rsid w:val="002A11AC"/>
    <w:rsid w:val="002A6F30"/>
    <w:rsid w:val="002D7D15"/>
    <w:rsid w:val="002E27EB"/>
    <w:rsid w:val="002F247C"/>
    <w:rsid w:val="00303FDE"/>
    <w:rsid w:val="003140E8"/>
    <w:rsid w:val="003231C7"/>
    <w:rsid w:val="00331ED0"/>
    <w:rsid w:val="0035495B"/>
    <w:rsid w:val="003744F5"/>
    <w:rsid w:val="00390DD8"/>
    <w:rsid w:val="00394DC6"/>
    <w:rsid w:val="00397C3E"/>
    <w:rsid w:val="003D4CCA"/>
    <w:rsid w:val="003D6416"/>
    <w:rsid w:val="003E1D48"/>
    <w:rsid w:val="003E7F4C"/>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F49D4"/>
    <w:rsid w:val="00660774"/>
    <w:rsid w:val="00665CC7"/>
    <w:rsid w:val="006A0BF3"/>
    <w:rsid w:val="006B0DA6"/>
    <w:rsid w:val="006C18BA"/>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0F16"/>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1532A"/>
    <w:rsid w:val="00922A7F"/>
    <w:rsid w:val="00923A5E"/>
    <w:rsid w:val="009924CF"/>
    <w:rsid w:val="00994100"/>
    <w:rsid w:val="009D4C29"/>
    <w:rsid w:val="009F6410"/>
    <w:rsid w:val="00A62DAB"/>
    <w:rsid w:val="00A726A6"/>
    <w:rsid w:val="00A97535"/>
    <w:rsid w:val="00AA73F1"/>
    <w:rsid w:val="00AB0E1A"/>
    <w:rsid w:val="00AB1A30"/>
    <w:rsid w:val="00AD1ED3"/>
    <w:rsid w:val="00B0777D"/>
    <w:rsid w:val="00B15FAA"/>
    <w:rsid w:val="00B4057A"/>
    <w:rsid w:val="00B40894"/>
    <w:rsid w:val="00B45E75"/>
    <w:rsid w:val="00B50876"/>
    <w:rsid w:val="00B55EE5"/>
    <w:rsid w:val="00B73DE6"/>
    <w:rsid w:val="00B86EF0"/>
    <w:rsid w:val="00B97900"/>
    <w:rsid w:val="00BA44A8"/>
    <w:rsid w:val="00BC2644"/>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5552F"/>
    <w:rsid w:val="00EA172C"/>
    <w:rsid w:val="00EA259B"/>
    <w:rsid w:val="00EA35A3"/>
    <w:rsid w:val="00EA3E6A"/>
    <w:rsid w:val="00EB18EF"/>
    <w:rsid w:val="00EE17DF"/>
    <w:rsid w:val="00EF4621"/>
    <w:rsid w:val="00F277B6"/>
    <w:rsid w:val="00F54380"/>
    <w:rsid w:val="00F54B47"/>
    <w:rsid w:val="00F70E84"/>
    <w:rsid w:val="00FA6EFD"/>
    <w:rsid w:val="00FB2AF9"/>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5552F"/>
    <w:rPr>
      <w:rFonts w:ascii="Tahoma" w:hAnsi="Tahoma" w:cs="Tahoma"/>
      <w:sz w:val="16"/>
      <w:szCs w:val="16"/>
    </w:rPr>
  </w:style>
  <w:style w:type="character" w:customStyle="1" w:styleId="BalloonTextChar">
    <w:name w:val="Balloon Text Char"/>
    <w:basedOn w:val="DefaultParagraphFont"/>
    <w:link w:val="BalloonText"/>
    <w:rsid w:val="00E555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5552F"/>
    <w:rPr>
      <w:rFonts w:ascii="Tahoma" w:hAnsi="Tahoma" w:cs="Tahoma"/>
      <w:sz w:val="16"/>
      <w:szCs w:val="16"/>
    </w:rPr>
  </w:style>
  <w:style w:type="character" w:customStyle="1" w:styleId="BalloonTextChar">
    <w:name w:val="Balloon Text Char"/>
    <w:basedOn w:val="DefaultParagraphFont"/>
    <w:link w:val="BalloonText"/>
    <w:rsid w:val="00E55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Pages>
  <Words>1815</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2016-08-29T15:03:00Z</dcterms:created>
  <dcterms:modified xsi:type="dcterms:W3CDTF">2016-08-29T18:21:00Z</dcterms:modified>
</cp:coreProperties>
</file>