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835B7" w:rsidP="00E835B7">
      <w:pPr>
        <w:pStyle w:val="OrderHeading"/>
      </w:pPr>
      <w:bookmarkStart w:id="0" w:name="_GoBack"/>
      <w:bookmarkEnd w:id="0"/>
      <w:r>
        <w:t>BEFORE THE FLORIDA PUBLIC SERVICE COMMISSION</w:t>
      </w:r>
    </w:p>
    <w:p w:rsidR="00E835B7" w:rsidRDefault="00E835B7" w:rsidP="00E835B7">
      <w:pPr>
        <w:pStyle w:val="OrderHeading"/>
      </w:pPr>
    </w:p>
    <w:p w:rsidR="00E835B7" w:rsidRDefault="00E835B7" w:rsidP="00E835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35B7" w:rsidRPr="00C63FCF" w:rsidTr="00C46164">
        <w:trPr>
          <w:trHeight w:val="828"/>
        </w:trPr>
        <w:tc>
          <w:tcPr>
            <w:tcW w:w="4788" w:type="dxa"/>
            <w:tcBorders>
              <w:bottom w:val="single" w:sz="8" w:space="0" w:color="auto"/>
              <w:right w:val="double" w:sz="6" w:space="0" w:color="auto"/>
            </w:tcBorders>
            <w:shd w:val="clear" w:color="auto" w:fill="auto"/>
          </w:tcPr>
          <w:p w:rsidR="00E835B7" w:rsidRDefault="00E835B7" w:rsidP="00C46164">
            <w:pPr>
              <w:pStyle w:val="OrderBody"/>
              <w:tabs>
                <w:tab w:val="center" w:pos="4320"/>
                <w:tab w:val="right" w:pos="8640"/>
              </w:tabs>
              <w:jc w:val="left"/>
            </w:pPr>
            <w:r>
              <w:t xml:space="preserve">In re: </w:t>
            </w:r>
            <w:bookmarkStart w:id="1" w:name="SSInRe"/>
            <w:bookmarkEnd w:id="1"/>
            <w:r>
              <w:t>Application for increase in water rates in Charlotte County by Bocilla Utilities, Inc.</w:t>
            </w:r>
          </w:p>
        </w:tc>
        <w:tc>
          <w:tcPr>
            <w:tcW w:w="4788" w:type="dxa"/>
            <w:tcBorders>
              <w:left w:val="double" w:sz="6" w:space="0" w:color="auto"/>
            </w:tcBorders>
            <w:shd w:val="clear" w:color="auto" w:fill="auto"/>
          </w:tcPr>
          <w:p w:rsidR="00E835B7" w:rsidRDefault="00E835B7" w:rsidP="00E835B7">
            <w:pPr>
              <w:pStyle w:val="OrderBody"/>
            </w:pPr>
            <w:r>
              <w:t xml:space="preserve">DOCKET NO. </w:t>
            </w:r>
            <w:bookmarkStart w:id="2" w:name="SSDocketNo"/>
            <w:bookmarkEnd w:id="2"/>
            <w:r>
              <w:t>160065-WU</w:t>
            </w:r>
          </w:p>
          <w:p w:rsidR="00E835B7" w:rsidRDefault="00E835B7" w:rsidP="00C46164">
            <w:pPr>
              <w:pStyle w:val="OrderBody"/>
              <w:tabs>
                <w:tab w:val="center" w:pos="4320"/>
                <w:tab w:val="right" w:pos="8640"/>
              </w:tabs>
              <w:jc w:val="left"/>
            </w:pPr>
            <w:r>
              <w:t xml:space="preserve">ORDER NO. </w:t>
            </w:r>
            <w:bookmarkStart w:id="3" w:name="OrderNo0364"/>
            <w:r w:rsidR="00EA5457">
              <w:t>PSC-16-0364-PCO-WU</w:t>
            </w:r>
            <w:bookmarkEnd w:id="3"/>
          </w:p>
          <w:p w:rsidR="00E835B7" w:rsidRDefault="00E835B7" w:rsidP="00C46164">
            <w:pPr>
              <w:pStyle w:val="OrderBody"/>
              <w:tabs>
                <w:tab w:val="center" w:pos="4320"/>
                <w:tab w:val="right" w:pos="8640"/>
              </w:tabs>
              <w:jc w:val="left"/>
            </w:pPr>
            <w:r>
              <w:t xml:space="preserve">ISSUED: </w:t>
            </w:r>
            <w:r w:rsidR="00EA5457">
              <w:t>August 29, 2016</w:t>
            </w:r>
          </w:p>
        </w:tc>
      </w:tr>
    </w:tbl>
    <w:p w:rsidR="00E835B7" w:rsidRDefault="00E835B7" w:rsidP="00E835B7"/>
    <w:p w:rsidR="00E835B7" w:rsidRDefault="00E835B7" w:rsidP="00E835B7"/>
    <w:p w:rsidR="00E835B7" w:rsidRPr="00E46E1F" w:rsidRDefault="00E835B7">
      <w:pPr>
        <w:ind w:firstLine="720"/>
        <w:jc w:val="both"/>
      </w:pPr>
      <w:bookmarkStart w:id="4" w:name="Commissioners"/>
      <w:bookmarkEnd w:id="4"/>
      <w:r w:rsidRPr="00E46E1F">
        <w:t>The following Commissioners participated in the disposition of this matter:</w:t>
      </w:r>
    </w:p>
    <w:p w:rsidR="00E835B7" w:rsidRPr="00E46E1F" w:rsidRDefault="00E835B7"/>
    <w:p w:rsidR="00E835B7" w:rsidRDefault="00E835B7">
      <w:pPr>
        <w:jc w:val="center"/>
      </w:pPr>
      <w:r>
        <w:t>JULIE I. BROWN</w:t>
      </w:r>
      <w:r w:rsidRPr="00E46E1F">
        <w:t>, Chairman</w:t>
      </w:r>
    </w:p>
    <w:p w:rsidR="00E835B7" w:rsidRPr="00E46E1F" w:rsidRDefault="00E835B7">
      <w:pPr>
        <w:jc w:val="center"/>
      </w:pPr>
      <w:r w:rsidRPr="00E46E1F">
        <w:t>LISA POLAK EDGAR</w:t>
      </w:r>
    </w:p>
    <w:p w:rsidR="00E835B7" w:rsidRDefault="00E835B7">
      <w:pPr>
        <w:jc w:val="center"/>
      </w:pPr>
      <w:r>
        <w:t>ART GRAHAM</w:t>
      </w:r>
    </w:p>
    <w:p w:rsidR="00E835B7" w:rsidRDefault="00E835B7">
      <w:pPr>
        <w:jc w:val="center"/>
      </w:pPr>
      <w:r>
        <w:t>RONALD A. BRISÉ</w:t>
      </w:r>
    </w:p>
    <w:p w:rsidR="00E835B7" w:rsidRDefault="00E835B7">
      <w:pPr>
        <w:jc w:val="center"/>
      </w:pPr>
      <w:r>
        <w:t>JIMMY PATRONIS</w:t>
      </w:r>
    </w:p>
    <w:p w:rsidR="00CB5276" w:rsidRDefault="00CB5276">
      <w:pPr>
        <w:pStyle w:val="OrderBody"/>
      </w:pPr>
    </w:p>
    <w:p w:rsidR="00E835B7" w:rsidRDefault="00E835B7" w:rsidP="00E835B7">
      <w:pPr>
        <w:pStyle w:val="CenterUnderline"/>
      </w:pPr>
      <w:r>
        <w:t>ORDER</w:t>
      </w:r>
      <w:bookmarkStart w:id="5" w:name="OrderTitle"/>
      <w:r>
        <w:t xml:space="preserve"> </w:t>
      </w:r>
      <w:r w:rsidR="001612C3">
        <w:t xml:space="preserve">SUSPENDING PROPOSED FINAL RATES </w:t>
      </w:r>
      <w:r w:rsidR="00A63919">
        <w:t>AND APPROVING INTERIM RATES</w:t>
      </w:r>
      <w:r w:rsidR="00752FD3">
        <w:t xml:space="preserve"> </w:t>
      </w:r>
      <w:bookmarkEnd w:id="5"/>
    </w:p>
    <w:p w:rsidR="00E835B7" w:rsidRDefault="00E835B7" w:rsidP="00E835B7">
      <w:pPr>
        <w:pStyle w:val="CenterUnderline"/>
      </w:pPr>
    </w:p>
    <w:p w:rsidR="00E835B7" w:rsidRDefault="00E835B7" w:rsidP="00E835B7">
      <w:pPr>
        <w:pStyle w:val="OrderBody"/>
      </w:pPr>
      <w:r>
        <w:t>BY THE COMMISSION:</w:t>
      </w:r>
    </w:p>
    <w:p w:rsidR="00E835B7" w:rsidRDefault="00E835B7" w:rsidP="00E835B7">
      <w:pPr>
        <w:pStyle w:val="OrderBody"/>
      </w:pPr>
    </w:p>
    <w:p w:rsidR="00CB5276" w:rsidRPr="00E835B7" w:rsidRDefault="00E835B7" w:rsidP="00E835B7">
      <w:pPr>
        <w:pStyle w:val="OrderBody"/>
        <w:jc w:val="center"/>
        <w:rPr>
          <w:u w:val="single"/>
        </w:rPr>
      </w:pPr>
      <w:bookmarkStart w:id="6" w:name="OrderText"/>
      <w:bookmarkEnd w:id="6"/>
      <w:r w:rsidRPr="00E835B7">
        <w:rPr>
          <w:u w:val="single"/>
        </w:rPr>
        <w:t>Background</w:t>
      </w:r>
    </w:p>
    <w:p w:rsidR="00E835B7" w:rsidRDefault="00E835B7">
      <w:pPr>
        <w:pStyle w:val="OrderBody"/>
      </w:pPr>
    </w:p>
    <w:p w:rsidR="00E835B7" w:rsidRPr="00E835B7" w:rsidRDefault="00E835B7" w:rsidP="00E835B7">
      <w:pPr>
        <w:pStyle w:val="OrderBody"/>
        <w:spacing w:after="240"/>
        <w:ind w:firstLine="720"/>
      </w:pPr>
      <w:r w:rsidRPr="00E835B7">
        <w:t>Bocilla Utilities, Inc. (Bocilla or Utility) is a Class B utility providing water service to approximately 399 water customers in Charlotte County. Effective February 12, 2013, Bocilla was granted water Certificate No. 662-W.</w:t>
      </w:r>
      <w:r w:rsidRPr="00E835B7">
        <w:rPr>
          <w:vertAlign w:val="superscript"/>
        </w:rPr>
        <w:footnoteReference w:id="1"/>
      </w:r>
      <w:r w:rsidRPr="00E835B7">
        <w:t xml:space="preserve"> Bocilla’s rates have never been established for ratemaking pu</w:t>
      </w:r>
      <w:r w:rsidR="00752FD3">
        <w:t>rposes by this</w:t>
      </w:r>
      <w:r w:rsidRPr="00E835B7">
        <w:t xml:space="preserve"> Commission.</w:t>
      </w:r>
    </w:p>
    <w:p w:rsidR="00E835B7" w:rsidRPr="00E835B7" w:rsidRDefault="00E835B7" w:rsidP="00E835B7">
      <w:pPr>
        <w:pStyle w:val="OrderBody"/>
        <w:spacing w:after="240"/>
        <w:ind w:firstLine="720"/>
      </w:pPr>
      <w:r w:rsidRPr="00E835B7">
        <w:t>By letter dated May 20, 2016, Bocilla provided its Minimum Filing Requirements (MFRs) for a file and suspend rate increase. In its application, the Utility requested a test year ended December 31, 2015, for purposes of interim and final rates. On May 23, 2016, Bo</w:t>
      </w:r>
      <w:r w:rsidR="00752FD3">
        <w:t>cilla provided its waiver of this</w:t>
      </w:r>
      <w:r w:rsidRPr="00E835B7">
        <w:t xml:space="preserve"> Commission’s 60-day deadline, as set forth in Sections 367.081(6) and 367.082(2)(a), Florida Statutes (F.S.), through August 9, 2016.</w:t>
      </w:r>
    </w:p>
    <w:p w:rsidR="00E835B7" w:rsidRPr="00E835B7" w:rsidRDefault="00E835B7" w:rsidP="00E835B7">
      <w:pPr>
        <w:pStyle w:val="OrderBody"/>
        <w:spacing w:after="240"/>
        <w:ind w:firstLine="720"/>
      </w:pPr>
      <w:r w:rsidRPr="00E835B7">
        <w:t xml:space="preserve">This </w:t>
      </w:r>
      <w:r w:rsidR="00752FD3">
        <w:t>order</w:t>
      </w:r>
      <w:r w:rsidRPr="00E835B7">
        <w:t xml:space="preserve"> addresses the suspension of Bocilla’s requested final rates and the Utility’s requested interim rates. </w:t>
      </w:r>
      <w:r w:rsidR="00752FD3">
        <w:t>We have</w:t>
      </w:r>
      <w:r w:rsidRPr="00E835B7">
        <w:t xml:space="preserve"> jurisdiction pursuant to Sections 367.081 and 367.082, F.S.</w:t>
      </w:r>
    </w:p>
    <w:p w:rsidR="00752FD3" w:rsidRDefault="00E835B7" w:rsidP="00752FD3">
      <w:pPr>
        <w:pStyle w:val="OrderBody"/>
        <w:spacing w:after="240"/>
        <w:jc w:val="center"/>
        <w:rPr>
          <w:u w:val="single"/>
        </w:rPr>
      </w:pPr>
      <w:r w:rsidRPr="00E835B7">
        <w:rPr>
          <w:u w:val="single"/>
        </w:rPr>
        <w:t>Decision</w:t>
      </w:r>
    </w:p>
    <w:p w:rsidR="00752FD3" w:rsidRPr="00752FD3" w:rsidRDefault="00752FD3" w:rsidP="00752FD3">
      <w:pPr>
        <w:pStyle w:val="OrderBody"/>
        <w:spacing w:after="240"/>
        <w:rPr>
          <w:b/>
        </w:rPr>
      </w:pPr>
      <w:r>
        <w:rPr>
          <w:b/>
        </w:rPr>
        <w:t>Suspension of Rates</w:t>
      </w:r>
    </w:p>
    <w:p w:rsidR="00E835B7" w:rsidRPr="00E835B7" w:rsidRDefault="00E835B7" w:rsidP="00752FD3">
      <w:pPr>
        <w:spacing w:after="240"/>
        <w:ind w:firstLine="720"/>
        <w:jc w:val="both"/>
      </w:pPr>
      <w:r w:rsidRPr="00E835B7">
        <w:t>Section 367</w:t>
      </w:r>
      <w:r w:rsidR="00752FD3">
        <w:t>.081(6), F.S., provides that this</w:t>
      </w:r>
      <w:r w:rsidRPr="00E835B7">
        <w:t xml:space="preserve"> Commission may, for good cause, withhold consent to the implementation of requested rates within 60 days after the date the rate request is filed. Further, Section 367.081(10), F.S., permits the proposed rates to go into effect (secured and subject to refund) at the expiration of five months from the of</w:t>
      </w:r>
      <w:r w:rsidR="00752FD3">
        <w:t>ficial date of filing (1) if this</w:t>
      </w:r>
      <w:r w:rsidRPr="00E835B7">
        <w:t xml:space="preserve"> </w:t>
      </w:r>
      <w:r w:rsidRPr="00E835B7">
        <w:lastRenderedPageBreak/>
        <w:t>Commission has not acted upon the reque</w:t>
      </w:r>
      <w:r w:rsidR="00752FD3">
        <w:t>sted rate increase or (2) if this</w:t>
      </w:r>
      <w:r w:rsidRPr="00E835B7">
        <w:t xml:space="preserve"> Commission's Proposed Agency Action is protested by a party other than the Utility. </w:t>
      </w:r>
    </w:p>
    <w:p w:rsidR="00E835B7" w:rsidRPr="00E835B7" w:rsidRDefault="00752FD3" w:rsidP="00E835B7">
      <w:pPr>
        <w:spacing w:after="240"/>
        <w:ind w:firstLine="720"/>
        <w:jc w:val="both"/>
      </w:pPr>
      <w:r>
        <w:t>We</w:t>
      </w:r>
      <w:r w:rsidR="00E835B7" w:rsidRPr="00E835B7">
        <w:t xml:space="preserve"> reviewed the filing and considered the information filed in support of the rate application and the proposed final rates. </w:t>
      </w:r>
      <w:r>
        <w:t xml:space="preserve">We find </w:t>
      </w:r>
      <w:r w:rsidR="00E835B7" w:rsidRPr="00E835B7">
        <w:t xml:space="preserve">that further investigation of this information, including on-site investigation by Commission staff, is necessary. To date, </w:t>
      </w:r>
      <w:r>
        <w:t xml:space="preserve">Commission </w:t>
      </w:r>
      <w:r w:rsidR="00E835B7" w:rsidRPr="00E835B7">
        <w:t>staff has initiated an audit of Bocilla’s books</w:t>
      </w:r>
      <w:r>
        <w:t xml:space="preserve"> and records. The audit report wa</w:t>
      </w:r>
      <w:r w:rsidR="00E835B7" w:rsidRPr="00E835B7">
        <w:t xml:space="preserve">s due on August 23, 2016. In addition, </w:t>
      </w:r>
      <w:r>
        <w:t xml:space="preserve">our </w:t>
      </w:r>
      <w:r w:rsidR="00E835B7" w:rsidRPr="00E835B7">
        <w:t xml:space="preserve">staff sent a data request to Bocilla on July 28, 2016, and the response is due </w:t>
      </w:r>
      <w:r w:rsidR="006C6B0A">
        <w:t xml:space="preserve">on </w:t>
      </w:r>
      <w:r w:rsidR="00E835B7" w:rsidRPr="00E835B7">
        <w:t xml:space="preserve">August 29, 2016. Further, </w:t>
      </w:r>
      <w:r>
        <w:t xml:space="preserve">we find that </w:t>
      </w:r>
      <w:r w:rsidR="00E835B7" w:rsidRPr="00E835B7">
        <w:t xml:space="preserve">additional requests will be necessary to process this case. Based on the foregoing, </w:t>
      </w:r>
      <w:r w:rsidR="009466F3">
        <w:t>this Commission finds</w:t>
      </w:r>
      <w:r w:rsidR="00E835B7" w:rsidRPr="00E835B7">
        <w:t xml:space="preserve"> that the Utility's proposed final water rates</w:t>
      </w:r>
      <w:r w:rsidR="009466F3">
        <w:t xml:space="preserve"> shall</w:t>
      </w:r>
      <w:r w:rsidR="00E835B7" w:rsidRPr="00E835B7">
        <w:t xml:space="preserve"> be suspended.</w:t>
      </w:r>
    </w:p>
    <w:p w:rsidR="009466F3" w:rsidRPr="009466F3" w:rsidRDefault="009466F3" w:rsidP="009466F3">
      <w:pPr>
        <w:spacing w:after="240"/>
        <w:jc w:val="both"/>
        <w:rPr>
          <w:b/>
        </w:rPr>
      </w:pPr>
      <w:r>
        <w:rPr>
          <w:b/>
        </w:rPr>
        <w:t>Interim Rates</w:t>
      </w:r>
    </w:p>
    <w:p w:rsidR="00E835B7" w:rsidRPr="00E835B7" w:rsidRDefault="00E835B7" w:rsidP="009466F3">
      <w:pPr>
        <w:spacing w:after="240"/>
        <w:ind w:firstLine="720"/>
        <w:jc w:val="both"/>
      </w:pPr>
      <w:r w:rsidRPr="00E835B7">
        <w:t xml:space="preserve">Bocilla </w:t>
      </w:r>
      <w:r w:rsidR="009466F3">
        <w:t>shall</w:t>
      </w:r>
      <w:r w:rsidRPr="00E835B7">
        <w:t xml:space="preserve"> be authorized to collect annual revenues as indicated below: </w:t>
      </w:r>
    </w:p>
    <w:p w:rsidR="00E835B7" w:rsidRPr="00E835B7" w:rsidRDefault="00E835B7" w:rsidP="00E835B7">
      <w:pPr>
        <w:jc w:val="center"/>
        <w:rPr>
          <w:b/>
        </w:rPr>
      </w:pPr>
      <w:r w:rsidRPr="00E835B7">
        <w:rPr>
          <w:b/>
        </w:rPr>
        <w:t>Annual Revenues</w:t>
      </w:r>
    </w:p>
    <w:tbl>
      <w:tblPr>
        <w:tblW w:w="0" w:type="auto"/>
        <w:jc w:val="center"/>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E835B7" w:rsidRPr="004D6FCA" w:rsidTr="00C46164">
        <w:trPr>
          <w:cantSplit/>
          <w:jc w:val="center"/>
        </w:trPr>
        <w:tc>
          <w:tcPr>
            <w:tcW w:w="1425" w:type="dxa"/>
          </w:tcPr>
          <w:p w:rsidR="00E835B7" w:rsidRPr="00E835B7" w:rsidRDefault="00E835B7" w:rsidP="00C46164">
            <w:pPr>
              <w:spacing w:before="120" w:after="57"/>
              <w:rPr>
                <w:highlight w:val="lightGray"/>
              </w:rPr>
            </w:pPr>
            <w:r w:rsidRPr="00E835B7">
              <w:rPr>
                <w:highlight w:val="lightGray"/>
                <w:lang w:val="en-CA"/>
              </w:rPr>
              <w:fldChar w:fldCharType="begin"/>
            </w:r>
            <w:r w:rsidRPr="00E835B7">
              <w:rPr>
                <w:highlight w:val="lightGray"/>
                <w:lang w:val="en-CA"/>
              </w:rPr>
              <w:instrText xml:space="preserve"> SEQ CHAPTER \h \r 1</w:instrText>
            </w:r>
            <w:r w:rsidRPr="00E835B7">
              <w:rPr>
                <w:highlight w:val="lightGray"/>
                <w:lang w:val="en-CA"/>
              </w:rPr>
              <w:fldChar w:fldCharType="end"/>
            </w:r>
          </w:p>
        </w:tc>
        <w:tc>
          <w:tcPr>
            <w:tcW w:w="1710" w:type="dxa"/>
          </w:tcPr>
          <w:p w:rsidR="00E835B7" w:rsidRPr="004D6FCA" w:rsidRDefault="00E835B7" w:rsidP="00C46164">
            <w:pPr>
              <w:spacing w:before="120"/>
              <w:jc w:val="center"/>
            </w:pPr>
            <w:r w:rsidRPr="004D6FCA">
              <w:t>Adjusted Test</w:t>
            </w:r>
          </w:p>
          <w:p w:rsidR="00E835B7" w:rsidRPr="004D6FCA" w:rsidRDefault="00E835B7" w:rsidP="00C46164">
            <w:pPr>
              <w:spacing w:after="57"/>
              <w:jc w:val="center"/>
            </w:pPr>
            <w:r w:rsidRPr="004D6FCA">
              <w:rPr>
                <w:u w:val="single"/>
              </w:rPr>
              <w:t>Year Revenues</w:t>
            </w:r>
          </w:p>
        </w:tc>
        <w:tc>
          <w:tcPr>
            <w:tcW w:w="1539" w:type="dxa"/>
          </w:tcPr>
          <w:p w:rsidR="00E835B7" w:rsidRPr="004D6FCA" w:rsidRDefault="00E835B7" w:rsidP="00C46164">
            <w:pPr>
              <w:spacing w:after="57"/>
              <w:jc w:val="center"/>
            </w:pPr>
          </w:p>
          <w:p w:rsidR="00E835B7" w:rsidRPr="004D6FCA" w:rsidRDefault="00E835B7" w:rsidP="00C46164">
            <w:pPr>
              <w:spacing w:after="57"/>
              <w:jc w:val="center"/>
              <w:rPr>
                <w:u w:val="single"/>
              </w:rPr>
            </w:pPr>
            <w:r w:rsidRPr="004D6FCA">
              <w:rPr>
                <w:u w:val="single"/>
              </w:rPr>
              <w:t xml:space="preserve">$ Increase </w:t>
            </w:r>
          </w:p>
        </w:tc>
        <w:tc>
          <w:tcPr>
            <w:tcW w:w="1596" w:type="dxa"/>
          </w:tcPr>
          <w:p w:rsidR="00E835B7" w:rsidRPr="004D6FCA" w:rsidRDefault="00E835B7" w:rsidP="00C46164">
            <w:pPr>
              <w:spacing w:before="120"/>
              <w:jc w:val="center"/>
              <w:rPr>
                <w:u w:val="single"/>
              </w:rPr>
            </w:pPr>
            <w:r w:rsidRPr="004D6FCA">
              <w:t>Revenue</w:t>
            </w:r>
          </w:p>
          <w:p w:rsidR="00E835B7" w:rsidRPr="004D6FCA" w:rsidRDefault="00E835B7" w:rsidP="00C46164">
            <w:pPr>
              <w:spacing w:after="57"/>
              <w:jc w:val="center"/>
            </w:pPr>
            <w:r w:rsidRPr="004D6FCA">
              <w:rPr>
                <w:u w:val="single"/>
              </w:rPr>
              <w:t>Requirement</w:t>
            </w:r>
          </w:p>
        </w:tc>
        <w:tc>
          <w:tcPr>
            <w:tcW w:w="1368" w:type="dxa"/>
          </w:tcPr>
          <w:p w:rsidR="00E835B7" w:rsidRPr="004D6FCA" w:rsidRDefault="00E835B7" w:rsidP="00C46164">
            <w:pPr>
              <w:spacing w:after="57"/>
              <w:jc w:val="center"/>
              <w:rPr>
                <w:u w:val="single"/>
              </w:rPr>
            </w:pPr>
          </w:p>
          <w:p w:rsidR="00E835B7" w:rsidRPr="004D6FCA" w:rsidRDefault="00E835B7" w:rsidP="00C46164">
            <w:pPr>
              <w:spacing w:after="57"/>
              <w:jc w:val="center"/>
            </w:pPr>
            <w:r w:rsidRPr="004D6FCA">
              <w:rPr>
                <w:u w:val="single"/>
              </w:rPr>
              <w:t>% Increase</w:t>
            </w:r>
          </w:p>
        </w:tc>
      </w:tr>
      <w:tr w:rsidR="00E835B7" w:rsidRPr="004D6FCA" w:rsidTr="00C46164">
        <w:trPr>
          <w:cantSplit/>
          <w:jc w:val="center"/>
        </w:trPr>
        <w:tc>
          <w:tcPr>
            <w:tcW w:w="1425" w:type="dxa"/>
          </w:tcPr>
          <w:p w:rsidR="00E835B7" w:rsidRPr="004D6FCA" w:rsidRDefault="00E835B7" w:rsidP="00C46164">
            <w:pPr>
              <w:spacing w:before="120" w:after="57"/>
            </w:pPr>
            <w:r w:rsidRPr="004D6FCA">
              <w:t>Water</w:t>
            </w:r>
          </w:p>
        </w:tc>
        <w:tc>
          <w:tcPr>
            <w:tcW w:w="1710" w:type="dxa"/>
          </w:tcPr>
          <w:p w:rsidR="00E835B7" w:rsidRPr="004D6FCA" w:rsidRDefault="00E835B7" w:rsidP="00C46164">
            <w:pPr>
              <w:spacing w:before="120" w:after="57"/>
              <w:jc w:val="center"/>
            </w:pPr>
            <w:r>
              <w:t>$398,963</w:t>
            </w:r>
          </w:p>
        </w:tc>
        <w:tc>
          <w:tcPr>
            <w:tcW w:w="1539" w:type="dxa"/>
          </w:tcPr>
          <w:p w:rsidR="00E835B7" w:rsidRPr="004D6FCA" w:rsidRDefault="00E835B7" w:rsidP="00C46164">
            <w:pPr>
              <w:spacing w:before="120" w:after="57"/>
              <w:jc w:val="center"/>
            </w:pPr>
            <w:r w:rsidRPr="004D6FCA">
              <w:t>$</w:t>
            </w:r>
            <w:r>
              <w:t>65,159</w:t>
            </w:r>
          </w:p>
        </w:tc>
        <w:tc>
          <w:tcPr>
            <w:tcW w:w="1596" w:type="dxa"/>
          </w:tcPr>
          <w:p w:rsidR="00E835B7" w:rsidRPr="004D6FCA" w:rsidRDefault="00E835B7" w:rsidP="00C46164">
            <w:pPr>
              <w:spacing w:before="120" w:after="57"/>
              <w:jc w:val="center"/>
            </w:pPr>
            <w:r>
              <w:t>$464,122</w:t>
            </w:r>
          </w:p>
        </w:tc>
        <w:tc>
          <w:tcPr>
            <w:tcW w:w="1368" w:type="dxa"/>
          </w:tcPr>
          <w:p w:rsidR="00E835B7" w:rsidRPr="004D6FCA" w:rsidRDefault="00E835B7" w:rsidP="00C46164">
            <w:pPr>
              <w:spacing w:before="120" w:after="57"/>
              <w:jc w:val="center"/>
            </w:pPr>
            <w:r w:rsidRPr="004D6FCA">
              <w:t xml:space="preserve"> </w:t>
            </w:r>
            <w:r>
              <w:t>16.33</w:t>
            </w:r>
            <w:r w:rsidRPr="004D6FCA">
              <w:t>%</w:t>
            </w:r>
          </w:p>
        </w:tc>
      </w:tr>
    </w:tbl>
    <w:p w:rsidR="00E835B7" w:rsidRDefault="00E835B7" w:rsidP="00E835B7">
      <w:pPr>
        <w:spacing w:after="240"/>
        <w:ind w:firstLine="720"/>
        <w:jc w:val="both"/>
        <w:rPr>
          <w:b/>
          <w:bCs/>
          <w:i/>
          <w:iCs/>
        </w:rPr>
      </w:pPr>
    </w:p>
    <w:p w:rsidR="00E835B7" w:rsidRPr="00E835B7" w:rsidRDefault="00E835B7" w:rsidP="009466F3">
      <w:pPr>
        <w:spacing w:after="240"/>
        <w:ind w:firstLine="720"/>
        <w:jc w:val="both"/>
      </w:pPr>
      <w:r w:rsidRPr="00E835B7">
        <w:t>On May 24, 2016, Bocilla filed its rate base, cost of capital, and operating statements to support its requested interim increase in rates. Pursuant to Section 367.082(1), F.S., in order to establish a prima facie entitlement for interim relief, the Utility shall demonstrate that it is earning outside the range of reasonableness on its rate of return. Pursuant to Section 367.082(2)(a), F.S., in a proceeding for a</w:t>
      </w:r>
      <w:r w:rsidR="006C6B0A">
        <w:t>n interim increase in rates, this</w:t>
      </w:r>
      <w:r w:rsidRPr="00E835B7">
        <w:t xml:space="preserve"> Commission shall authorize, within 60 days of the filing for such relief, the collection of rates sufficient to earn the minimum of the range of rate of return. Based on the Utility’s filing and the </w:t>
      </w:r>
      <w:r w:rsidR="009466F3">
        <w:t>approved</w:t>
      </w:r>
      <w:r w:rsidRPr="00E835B7">
        <w:t xml:space="preserve"> adjustments below, </w:t>
      </w:r>
      <w:r w:rsidR="009466F3">
        <w:t>this Commission finds</w:t>
      </w:r>
      <w:r w:rsidRPr="00E835B7">
        <w:t xml:space="preserve"> that the Utility has demonstrated a prima facie entitlement in accordance with Section 367.082(1), F.S.</w:t>
      </w:r>
    </w:p>
    <w:p w:rsidR="00E835B7" w:rsidRPr="00E835B7" w:rsidRDefault="00E835B7" w:rsidP="00E835B7">
      <w:pPr>
        <w:spacing w:after="240"/>
        <w:ind w:firstLine="720"/>
        <w:jc w:val="both"/>
      </w:pPr>
      <w:r w:rsidRPr="00E835B7">
        <w:t>Pursuant to Section 367.082(5)(b)1., F.S., the achieved rate of return for interim purposes must be calculated by applying adjustments consistent with adjustments made in the Utility’s most recent rate proceeding and annualizing any rate changes. This is the Utility’s first rate proceeding since receiving a grandfather certificate in Order No. PSC-13-0228-PAA-WU.</w:t>
      </w:r>
      <w:r w:rsidRPr="00E835B7">
        <w:rPr>
          <w:vertAlign w:val="superscript"/>
        </w:rPr>
        <w:footnoteReference w:id="2"/>
      </w:r>
      <w:r w:rsidRPr="00E835B7">
        <w:t xml:space="preserve"> Therefore, ad</w:t>
      </w:r>
      <w:r w:rsidR="009466F3">
        <w:t>justments from a prior case are</w:t>
      </w:r>
      <w:r w:rsidRPr="00E835B7">
        <w:t xml:space="preserve"> not necessary. However, </w:t>
      </w:r>
      <w:r w:rsidR="009466F3">
        <w:t>we</w:t>
      </w:r>
      <w:r w:rsidRPr="00E835B7">
        <w:t xml:space="preserve"> reviewed Bocilla’s interim request, and </w:t>
      </w:r>
      <w:r w:rsidR="009466F3">
        <w:t>find that our approved</w:t>
      </w:r>
      <w:r w:rsidRPr="00E835B7">
        <w:t xml:space="preserve"> adjustments are necessary as discussed below. </w:t>
      </w:r>
      <w:r w:rsidR="009466F3">
        <w:t>A</w:t>
      </w:r>
      <w:r w:rsidRPr="00E835B7">
        <w:t xml:space="preserve">ccounting schedules to illustrate </w:t>
      </w:r>
      <w:r w:rsidR="009466F3">
        <w:t>our approved</w:t>
      </w:r>
      <w:r w:rsidRPr="00E835B7">
        <w:t xml:space="preserve"> rate base, capital structure, and test year operating income amounts</w:t>
      </w:r>
      <w:r w:rsidR="009466F3">
        <w:t xml:space="preserve"> are attached to this order</w:t>
      </w:r>
      <w:r w:rsidRPr="00E835B7">
        <w:t xml:space="preserve">. </w:t>
      </w:r>
      <w:r w:rsidR="009466F3">
        <w:t>The r</w:t>
      </w:r>
      <w:r w:rsidRPr="00E835B7">
        <w:t>ate base</w:t>
      </w:r>
      <w:r w:rsidR="009466F3">
        <w:t xml:space="preserve"> schedule</w:t>
      </w:r>
      <w:r w:rsidRPr="00E835B7">
        <w:t xml:space="preserve"> is label</w:t>
      </w:r>
      <w:r w:rsidR="009466F3">
        <w:t>ed as Schedule No. 1-A, with our</w:t>
      </w:r>
      <w:r w:rsidRPr="00E835B7">
        <w:t xml:space="preserve"> adjustments shown on Schedule No. 1-B. Capital structure is labeled </w:t>
      </w:r>
      <w:r w:rsidRPr="00E835B7">
        <w:lastRenderedPageBreak/>
        <w:t>as Schedule No. 2. Operating income is label</w:t>
      </w:r>
      <w:r w:rsidR="009466F3">
        <w:t>ed as Schedule No. 3-A, with our</w:t>
      </w:r>
      <w:r w:rsidRPr="00E835B7">
        <w:t xml:space="preserve"> adjustments shown on Schedule No. 3-B.</w:t>
      </w:r>
    </w:p>
    <w:p w:rsidR="00E835B7" w:rsidRPr="00B72225" w:rsidRDefault="00E835B7" w:rsidP="00E835B7">
      <w:pPr>
        <w:spacing w:after="240"/>
        <w:ind w:firstLine="720"/>
        <w:jc w:val="both"/>
        <w:rPr>
          <w:bCs/>
          <w:i/>
          <w:iCs/>
        </w:rPr>
      </w:pPr>
      <w:r w:rsidRPr="00B72225">
        <w:rPr>
          <w:bCs/>
          <w:i/>
          <w:iCs/>
        </w:rPr>
        <w:t>Rate Base</w:t>
      </w:r>
    </w:p>
    <w:p w:rsidR="00E835B7" w:rsidRPr="00E835B7" w:rsidRDefault="00E835B7" w:rsidP="00E835B7">
      <w:pPr>
        <w:spacing w:after="240"/>
        <w:ind w:firstLine="720"/>
        <w:jc w:val="both"/>
      </w:pPr>
      <w:r w:rsidRPr="00E835B7">
        <w:t xml:space="preserve">As mentioned above, this is the Utility’s first rate proceeding since receiving its grandfather certificate, therefore, there are no adjustments necessary to comply with prior orders. However, </w:t>
      </w:r>
      <w:r w:rsidR="00B72225">
        <w:t xml:space="preserve">we find that </w:t>
      </w:r>
      <w:r w:rsidRPr="00E835B7">
        <w:t xml:space="preserve">the following adjustments are necessary for interim purposes. </w:t>
      </w:r>
    </w:p>
    <w:p w:rsidR="00E835B7" w:rsidRPr="00E835B7" w:rsidRDefault="00E835B7" w:rsidP="00E835B7">
      <w:pPr>
        <w:spacing w:after="240"/>
        <w:ind w:firstLine="720"/>
        <w:jc w:val="both"/>
      </w:pPr>
      <w:r w:rsidRPr="00E835B7">
        <w:t xml:space="preserve">Pursuant to Rule 25-30.433(4), Florida Administrative Code (F.A.C.), </w:t>
      </w:r>
      <w:r w:rsidR="00B72225">
        <w:t>the averaging method used by this</w:t>
      </w:r>
      <w:r w:rsidRPr="00E835B7">
        <w:t xml:space="preserve"> Commission to calculate rate base and cost of capital in a rate case proceeding shall be the beginning and end-of-year average for Class B utilities. In its filing, the Utility used a 13-month average to calculate rate base and cost of capital. As a result, </w:t>
      </w:r>
      <w:r w:rsidR="00B72225">
        <w:t>we find that</w:t>
      </w:r>
      <w:r w:rsidRPr="00E835B7">
        <w:t xml:space="preserve"> the following adjustments to reflect the beginning and end-of-year averages</w:t>
      </w:r>
      <w:r w:rsidR="00B72225">
        <w:t xml:space="preserve"> are appropriate</w:t>
      </w:r>
      <w:r w:rsidRPr="00E835B7">
        <w:t xml:space="preserve">. </w:t>
      </w:r>
      <w:r w:rsidR="00B72225">
        <w:t>We find that decreasing</w:t>
      </w:r>
      <w:r w:rsidRPr="00E835B7">
        <w:t xml:space="preserve"> plant in service by $23</w:t>
      </w:r>
      <w:r w:rsidR="00A806A4">
        <w:t>,143, decreasing</w:t>
      </w:r>
      <w:r w:rsidRPr="00E835B7">
        <w:t xml:space="preserve"> contributions-in-aid-of-constructi</w:t>
      </w:r>
      <w:r w:rsidR="00A806A4">
        <w:t>on (CIAC) by $346, and increasing</w:t>
      </w:r>
      <w:r w:rsidRPr="00E835B7">
        <w:t xml:space="preserve"> amortization of CIAC by $96</w:t>
      </w:r>
      <w:r w:rsidR="00A806A4">
        <w:t xml:space="preserve"> is appropriate</w:t>
      </w:r>
      <w:r w:rsidRPr="00E835B7">
        <w:t xml:space="preserve">. Additionally, </w:t>
      </w:r>
      <w:r w:rsidR="00A806A4">
        <w:t>we find that</w:t>
      </w:r>
      <w:r w:rsidRPr="00E835B7">
        <w:t xml:space="preserve"> </w:t>
      </w:r>
      <w:r w:rsidR="006C6B0A">
        <w:t xml:space="preserve">removing </w:t>
      </w:r>
      <w:r w:rsidRPr="00E835B7">
        <w:t>$44,000 attributed to land that was accounted for twice in the calculation of rate base</w:t>
      </w:r>
      <w:r w:rsidR="00A806A4">
        <w:t xml:space="preserve"> is appropriate</w:t>
      </w:r>
      <w:r w:rsidRPr="00E835B7">
        <w:t xml:space="preserve">. </w:t>
      </w:r>
    </w:p>
    <w:p w:rsidR="00E835B7" w:rsidRPr="00E835B7" w:rsidRDefault="00E835B7" w:rsidP="00E835B7">
      <w:pPr>
        <w:spacing w:after="240"/>
        <w:ind w:firstLine="720"/>
        <w:jc w:val="both"/>
      </w:pPr>
      <w:r w:rsidRPr="00E835B7">
        <w:t xml:space="preserve">Pursuant to Rule 25-30.110(2), F.A.C., the Utility’s filings shall be consistent and reconcilable with the Utility’s Annual Report. As such, </w:t>
      </w:r>
      <w:r w:rsidR="00A806A4">
        <w:t>we find that decreasing</w:t>
      </w:r>
      <w:r w:rsidRPr="00E835B7">
        <w:t xml:space="preserve"> construction-work-in-progress by $42 in order to be consistent with the Utility’s 2015 Annual Report</w:t>
      </w:r>
      <w:r w:rsidR="00A806A4">
        <w:t xml:space="preserve"> is appropriate</w:t>
      </w:r>
      <w:r w:rsidRPr="00E835B7">
        <w:t>.</w:t>
      </w:r>
    </w:p>
    <w:p w:rsidR="00E835B7" w:rsidRPr="00E835B7" w:rsidRDefault="00E835B7" w:rsidP="00E835B7">
      <w:pPr>
        <w:spacing w:after="240"/>
        <w:ind w:firstLine="720"/>
        <w:jc w:val="both"/>
      </w:pPr>
      <w:r w:rsidRPr="00E835B7">
        <w:t xml:space="preserve">Pursuant to Rule 25-30.433(2), F.A.C., working capital for Class B utilities shall be calculated using the formula method (one-eighth of operation and maintenance expenses). In its filing, the Utility used the balance sheet approach to calculate interim working capital. Using the correct methodology yields a working capital allowance of $45,466 ($363,729/8). As a result, </w:t>
      </w:r>
      <w:r w:rsidR="00A806A4">
        <w:t xml:space="preserve">this Commission finds that decreasing </w:t>
      </w:r>
      <w:r w:rsidRPr="00E835B7">
        <w:t>working capital by $72,197 ($45,466 - $117,663) to reflect one-eighth of operation and maintenance expenses</w:t>
      </w:r>
      <w:r w:rsidR="00A806A4">
        <w:t xml:space="preserve"> is appropriate</w:t>
      </w:r>
      <w:r w:rsidRPr="00E835B7">
        <w:t xml:space="preserve">. Based on the above, </w:t>
      </w:r>
      <w:r w:rsidR="00A806A4">
        <w:t>this Commission finds</w:t>
      </w:r>
      <w:r w:rsidRPr="00E835B7">
        <w:t xml:space="preserve"> that Bocilla’s interim rate base </w:t>
      </w:r>
      <w:r w:rsidR="00A806A4">
        <w:t>shall</w:t>
      </w:r>
      <w:r w:rsidRPr="00E835B7">
        <w:t xml:space="preserve"> be $646,070.</w:t>
      </w:r>
    </w:p>
    <w:p w:rsidR="00E835B7" w:rsidRPr="00A806A4" w:rsidRDefault="00E835B7" w:rsidP="00E835B7">
      <w:pPr>
        <w:spacing w:after="240"/>
        <w:ind w:firstLine="720"/>
        <w:jc w:val="both"/>
        <w:rPr>
          <w:bCs/>
          <w:i/>
          <w:iCs/>
        </w:rPr>
      </w:pPr>
      <w:r w:rsidRPr="00A806A4">
        <w:rPr>
          <w:bCs/>
          <w:i/>
          <w:iCs/>
        </w:rPr>
        <w:t>Cost of Capital</w:t>
      </w:r>
    </w:p>
    <w:p w:rsidR="00E835B7" w:rsidRPr="00E835B7" w:rsidRDefault="00E835B7" w:rsidP="00E835B7">
      <w:pPr>
        <w:spacing w:after="240"/>
        <w:ind w:firstLine="720"/>
        <w:jc w:val="both"/>
      </w:pPr>
      <w:r w:rsidRPr="00E835B7">
        <w:t xml:space="preserve">Based on an analysis of the MFRs, </w:t>
      </w:r>
      <w:r w:rsidR="00511087">
        <w:t>we find that</w:t>
      </w:r>
      <w:r w:rsidRPr="00E835B7">
        <w:t xml:space="preserve"> adjustments are necessary to the Utility's capital structure. In its interim request, the Utility used a return on equity (ROE) of 10.50 percent. Pursuant to Section 367.082(5)(b)3., F.S., if a rate of return on equity has</w:t>
      </w:r>
      <w:r w:rsidR="00511087">
        <w:t xml:space="preserve"> not yet been established by this</w:t>
      </w:r>
      <w:r w:rsidRPr="00E835B7">
        <w:t xml:space="preserve"> Commission, the Utility shall use the approved leverage formula ROE</w:t>
      </w:r>
      <w:r w:rsidRPr="00E835B7">
        <w:rPr>
          <w:vertAlign w:val="superscript"/>
        </w:rPr>
        <w:footnoteReference w:id="3"/>
      </w:r>
      <w:r w:rsidRPr="00E835B7">
        <w:t xml:space="preserve"> which results in an ROE of 11.16 percent. However, pursuant to Section 367.082(2)(b), F.S., interim rate relief is calculated using the minimum of the range of its ROE which is 10.16 percent. As mentioned above, the Utility used a 13-month average to calculate cost of capital. As a result, </w:t>
      </w:r>
      <w:r w:rsidR="00511087">
        <w:t>we find that decreasing</w:t>
      </w:r>
      <w:r w:rsidRPr="00E835B7">
        <w:t xml:space="preserve"> long-term debt by $95 and increased common equity by $13,074 to reflect </w:t>
      </w:r>
      <w:r w:rsidRPr="00E835B7">
        <w:lastRenderedPageBreak/>
        <w:t>the appropriate beginning and end-of-year averages</w:t>
      </w:r>
      <w:r w:rsidR="00511087">
        <w:t xml:space="preserve"> is appropriate</w:t>
      </w:r>
      <w:r w:rsidRPr="00E835B7">
        <w:t xml:space="preserve">. Based on the above, </w:t>
      </w:r>
      <w:r w:rsidR="00511087">
        <w:t>this Commission finds that</w:t>
      </w:r>
      <w:r w:rsidRPr="00E835B7">
        <w:t xml:space="preserve"> an interim weighted averag</w:t>
      </w:r>
      <w:r w:rsidR="006C6B0A">
        <w:t>e cost of capital for Bocilla shall be</w:t>
      </w:r>
      <w:r w:rsidRPr="00E835B7">
        <w:t xml:space="preserve"> 5.85 percent.</w:t>
      </w:r>
    </w:p>
    <w:p w:rsidR="00E835B7" w:rsidRPr="00511087" w:rsidRDefault="00E835B7" w:rsidP="00E835B7">
      <w:pPr>
        <w:spacing w:after="240"/>
        <w:ind w:firstLine="720"/>
        <w:jc w:val="both"/>
        <w:rPr>
          <w:bCs/>
          <w:i/>
          <w:iCs/>
        </w:rPr>
      </w:pPr>
      <w:r w:rsidRPr="00511087">
        <w:rPr>
          <w:bCs/>
          <w:i/>
          <w:iCs/>
        </w:rPr>
        <w:t>Net Operating Income</w:t>
      </w:r>
    </w:p>
    <w:p w:rsidR="00E835B7" w:rsidRPr="00E835B7" w:rsidRDefault="00E835B7" w:rsidP="00E835B7">
      <w:pPr>
        <w:spacing w:after="240"/>
        <w:ind w:firstLine="720"/>
        <w:jc w:val="both"/>
      </w:pPr>
      <w:r w:rsidRPr="00E835B7">
        <w:t xml:space="preserve">In order to attain the appropriate amount of interim test year operating revenues, </w:t>
      </w:r>
      <w:r w:rsidR="00511087">
        <w:t>we</w:t>
      </w:r>
      <w:r w:rsidRPr="00E835B7">
        <w:t xml:space="preserve"> removed the Utility's requested interim revenue increase of $82,200. </w:t>
      </w:r>
      <w:r w:rsidR="00511087">
        <w:t xml:space="preserve">We </w:t>
      </w:r>
      <w:r w:rsidRPr="00E835B7">
        <w:t xml:space="preserve">also reduced regulatory assessment fees (RAFs) by $3,341 to reflect the removal of the Utility’s requested revenue increase. Based on </w:t>
      </w:r>
      <w:r w:rsidR="00511087">
        <w:t>our</w:t>
      </w:r>
      <w:r w:rsidRPr="00E835B7">
        <w:t xml:space="preserve"> annualized revenue calculations, revenues </w:t>
      </w:r>
      <w:r w:rsidR="00511087">
        <w:t>shall</w:t>
      </w:r>
      <w:r w:rsidRPr="00E835B7">
        <w:t xml:space="preserve"> be increased by $7,946. Based on the above, </w:t>
      </w:r>
      <w:r w:rsidR="00511087">
        <w:t>this Commission finds</w:t>
      </w:r>
      <w:r w:rsidRPr="00E835B7">
        <w:t xml:space="preserve"> that the appropriate test year operating income, before any revenue increase, is a $24,405 loss.</w:t>
      </w:r>
    </w:p>
    <w:p w:rsidR="00E835B7" w:rsidRPr="00511087" w:rsidRDefault="00E835B7" w:rsidP="00E835B7">
      <w:pPr>
        <w:spacing w:after="240"/>
        <w:ind w:firstLine="720"/>
        <w:jc w:val="both"/>
        <w:rPr>
          <w:bCs/>
          <w:i/>
          <w:iCs/>
        </w:rPr>
      </w:pPr>
      <w:r w:rsidRPr="00511087">
        <w:rPr>
          <w:bCs/>
          <w:i/>
          <w:iCs/>
        </w:rPr>
        <w:t>Revenue Requirement</w:t>
      </w:r>
    </w:p>
    <w:p w:rsidR="00CB5276" w:rsidRDefault="00E835B7" w:rsidP="00E835B7">
      <w:pPr>
        <w:spacing w:after="240"/>
        <w:ind w:firstLine="720"/>
        <w:jc w:val="both"/>
      </w:pPr>
      <w:r w:rsidRPr="00E835B7">
        <w:t xml:space="preserve">Based on the above adjustments, </w:t>
      </w:r>
      <w:r w:rsidR="006C6B0A">
        <w:t>we find that</w:t>
      </w:r>
      <w:r w:rsidRPr="00E835B7">
        <w:t xml:space="preserve"> a revenue requirement of $464,122</w:t>
      </w:r>
      <w:r w:rsidR="006C6B0A">
        <w:t xml:space="preserve"> shall be approved</w:t>
      </w:r>
      <w:r w:rsidRPr="00E835B7">
        <w:t xml:space="preserve">. This represents an interim increase in annual revenues of $65,159 (or 16.33 percent). This increase </w:t>
      </w:r>
      <w:r w:rsidR="006C6B0A">
        <w:t>allows</w:t>
      </w:r>
      <w:r w:rsidRPr="00E835B7">
        <w:t xml:space="preserve"> the Utility the opportunity to recover its operating expenses and earn a 5.85 percent return on its rate base.</w:t>
      </w:r>
    </w:p>
    <w:p w:rsidR="00172AE4" w:rsidRPr="00172AE4" w:rsidRDefault="00172AE4" w:rsidP="00172AE4">
      <w:pPr>
        <w:spacing w:after="240"/>
        <w:jc w:val="both"/>
        <w:rPr>
          <w:b/>
          <w:bCs/>
          <w:iCs/>
        </w:rPr>
      </w:pPr>
      <w:r>
        <w:rPr>
          <w:b/>
          <w:bCs/>
          <w:iCs/>
        </w:rPr>
        <w:t>Appropriate Interim Water Rates</w:t>
      </w:r>
    </w:p>
    <w:p w:rsidR="00E835B7" w:rsidRPr="00E835B7" w:rsidRDefault="00172AE4" w:rsidP="00172AE4">
      <w:pPr>
        <w:spacing w:after="240"/>
        <w:ind w:firstLine="720"/>
        <w:jc w:val="both"/>
      </w:pPr>
      <w:r>
        <w:t>This Commission finds</w:t>
      </w:r>
      <w:r w:rsidR="00E835B7" w:rsidRPr="00E835B7">
        <w:t xml:space="preserve"> that interim service rates for Bocilla </w:t>
      </w:r>
      <w:r>
        <w:t xml:space="preserve">shall </w:t>
      </w:r>
      <w:r w:rsidR="00E835B7" w:rsidRPr="00E835B7">
        <w:t xml:space="preserve">be designed to allow the Utility the opportunity to generate annual operating revenues of $464,122. Before removal of miscellaneous revenues, this would result in an increase of $65,159 (16.33 percent). To determine the appropriate increase to apply to the service rates, miscellaneous revenues </w:t>
      </w:r>
      <w:r>
        <w:t xml:space="preserve">shall </w:t>
      </w:r>
      <w:r w:rsidR="00E835B7" w:rsidRPr="00E835B7">
        <w:t>be removed from the test year revenues. The calculation is as follows:</w:t>
      </w:r>
    </w:p>
    <w:p w:rsidR="00E835B7" w:rsidRPr="00E835B7" w:rsidRDefault="00E835B7" w:rsidP="00E835B7">
      <w:pPr>
        <w:jc w:val="center"/>
        <w:rPr>
          <w:b/>
        </w:rPr>
      </w:pPr>
      <w:r w:rsidRPr="00E835B7">
        <w:rPr>
          <w:b/>
        </w:rPr>
        <w:t>Table 1</w:t>
      </w:r>
    </w:p>
    <w:p w:rsidR="00E835B7" w:rsidRPr="00E835B7" w:rsidRDefault="00E835B7" w:rsidP="00E835B7">
      <w:pPr>
        <w:jc w:val="center"/>
        <w:rPr>
          <w:b/>
        </w:rPr>
      </w:pPr>
      <w:r w:rsidRPr="00E835B7">
        <w:rPr>
          <w:b/>
        </w:rPr>
        <w:t xml:space="preserve">Percentage Service Rate Increase </w:t>
      </w:r>
    </w:p>
    <w:tbl>
      <w:tblPr>
        <w:tblW w:w="81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59"/>
        <w:gridCol w:w="1405"/>
      </w:tblGrid>
      <w:tr w:rsidR="00E835B7" w:rsidTr="00C46164">
        <w:trPr>
          <w:jc w:val="center"/>
        </w:trPr>
        <w:tc>
          <w:tcPr>
            <w:tcW w:w="686" w:type="dxa"/>
          </w:tcPr>
          <w:p w:rsidR="00E835B7" w:rsidRDefault="00E835B7" w:rsidP="00C46164">
            <w:pPr>
              <w:jc w:val="right"/>
            </w:pPr>
          </w:p>
        </w:tc>
        <w:tc>
          <w:tcPr>
            <w:tcW w:w="6059" w:type="dxa"/>
          </w:tcPr>
          <w:p w:rsidR="00E835B7" w:rsidRDefault="00E835B7" w:rsidP="00C46164"/>
        </w:tc>
        <w:tc>
          <w:tcPr>
            <w:tcW w:w="1405" w:type="dxa"/>
            <w:hideMark/>
          </w:tcPr>
          <w:p w:rsidR="00E835B7" w:rsidRDefault="00E835B7" w:rsidP="00C46164">
            <w:pPr>
              <w:jc w:val="center"/>
              <w:rPr>
                <w:u w:val="single"/>
              </w:rPr>
            </w:pPr>
            <w:r>
              <w:rPr>
                <w:u w:val="single"/>
              </w:rPr>
              <w:t>Water</w:t>
            </w:r>
          </w:p>
        </w:tc>
      </w:tr>
      <w:tr w:rsidR="00E835B7" w:rsidTr="00C46164">
        <w:trPr>
          <w:trHeight w:val="117"/>
          <w:jc w:val="center"/>
        </w:trPr>
        <w:tc>
          <w:tcPr>
            <w:tcW w:w="686" w:type="dxa"/>
          </w:tcPr>
          <w:p w:rsidR="00E835B7" w:rsidRDefault="00E835B7" w:rsidP="00C46164">
            <w:pPr>
              <w:jc w:val="right"/>
            </w:pPr>
          </w:p>
        </w:tc>
        <w:tc>
          <w:tcPr>
            <w:tcW w:w="6059" w:type="dxa"/>
          </w:tcPr>
          <w:p w:rsidR="00E835B7" w:rsidRDefault="00E835B7" w:rsidP="00C46164"/>
        </w:tc>
        <w:tc>
          <w:tcPr>
            <w:tcW w:w="1405" w:type="dxa"/>
          </w:tcPr>
          <w:p w:rsidR="00E835B7" w:rsidRDefault="00E835B7" w:rsidP="00C46164">
            <w:pPr>
              <w:jc w:val="right"/>
            </w:pPr>
          </w:p>
        </w:tc>
      </w:tr>
      <w:tr w:rsidR="00E835B7" w:rsidTr="00C46164">
        <w:trPr>
          <w:jc w:val="center"/>
        </w:trPr>
        <w:tc>
          <w:tcPr>
            <w:tcW w:w="686" w:type="dxa"/>
            <w:hideMark/>
          </w:tcPr>
          <w:p w:rsidR="00E835B7" w:rsidRDefault="00E835B7" w:rsidP="00C46164">
            <w:pPr>
              <w:jc w:val="right"/>
            </w:pPr>
            <w:r>
              <w:t>1</w:t>
            </w:r>
          </w:p>
        </w:tc>
        <w:tc>
          <w:tcPr>
            <w:tcW w:w="6059" w:type="dxa"/>
            <w:hideMark/>
          </w:tcPr>
          <w:p w:rsidR="00E835B7" w:rsidRDefault="00E835B7" w:rsidP="00C46164">
            <w:r>
              <w:t>Total Test Year Revenues</w:t>
            </w:r>
          </w:p>
        </w:tc>
        <w:tc>
          <w:tcPr>
            <w:tcW w:w="1405" w:type="dxa"/>
            <w:hideMark/>
          </w:tcPr>
          <w:p w:rsidR="00E835B7" w:rsidRDefault="00E835B7" w:rsidP="00C46164">
            <w:pPr>
              <w:jc w:val="right"/>
            </w:pPr>
            <w:r>
              <w:t>$398,963</w:t>
            </w:r>
          </w:p>
        </w:tc>
      </w:tr>
      <w:tr w:rsidR="00E835B7" w:rsidTr="00C46164">
        <w:trPr>
          <w:jc w:val="center"/>
        </w:trPr>
        <w:tc>
          <w:tcPr>
            <w:tcW w:w="686" w:type="dxa"/>
          </w:tcPr>
          <w:p w:rsidR="00E835B7" w:rsidRDefault="00E835B7" w:rsidP="00C46164">
            <w:pPr>
              <w:jc w:val="right"/>
            </w:pPr>
          </w:p>
        </w:tc>
        <w:tc>
          <w:tcPr>
            <w:tcW w:w="6059" w:type="dxa"/>
          </w:tcPr>
          <w:p w:rsidR="00E835B7" w:rsidRDefault="00E835B7" w:rsidP="00C46164"/>
        </w:tc>
        <w:tc>
          <w:tcPr>
            <w:tcW w:w="1405" w:type="dxa"/>
          </w:tcPr>
          <w:p w:rsidR="00E835B7" w:rsidRDefault="00E835B7" w:rsidP="00C46164">
            <w:pPr>
              <w:jc w:val="right"/>
            </w:pPr>
          </w:p>
        </w:tc>
      </w:tr>
      <w:tr w:rsidR="00E835B7" w:rsidTr="00C46164">
        <w:trPr>
          <w:jc w:val="center"/>
        </w:trPr>
        <w:tc>
          <w:tcPr>
            <w:tcW w:w="686" w:type="dxa"/>
            <w:hideMark/>
          </w:tcPr>
          <w:p w:rsidR="00E835B7" w:rsidRDefault="00E835B7" w:rsidP="00C46164">
            <w:pPr>
              <w:jc w:val="right"/>
            </w:pPr>
            <w:r>
              <w:t>2</w:t>
            </w:r>
          </w:p>
        </w:tc>
        <w:tc>
          <w:tcPr>
            <w:tcW w:w="6059" w:type="dxa"/>
            <w:hideMark/>
          </w:tcPr>
          <w:p w:rsidR="00E835B7" w:rsidRDefault="00E835B7" w:rsidP="00C46164">
            <w:r>
              <w:t>Less: Miscellaneous Revenues</w:t>
            </w:r>
          </w:p>
        </w:tc>
        <w:tc>
          <w:tcPr>
            <w:tcW w:w="1405" w:type="dxa"/>
            <w:hideMark/>
          </w:tcPr>
          <w:p w:rsidR="00E835B7" w:rsidRDefault="00E835B7" w:rsidP="00C46164">
            <w:pPr>
              <w:jc w:val="right"/>
              <w:rPr>
                <w:u w:val="single"/>
              </w:rPr>
            </w:pPr>
            <w:r>
              <w:rPr>
                <w:u w:val="single"/>
              </w:rPr>
              <w:t>$2,168</w:t>
            </w:r>
          </w:p>
        </w:tc>
      </w:tr>
      <w:tr w:rsidR="00E835B7" w:rsidTr="00C46164">
        <w:trPr>
          <w:jc w:val="center"/>
        </w:trPr>
        <w:tc>
          <w:tcPr>
            <w:tcW w:w="686" w:type="dxa"/>
          </w:tcPr>
          <w:p w:rsidR="00E835B7" w:rsidRDefault="00E835B7" w:rsidP="00C46164">
            <w:pPr>
              <w:jc w:val="right"/>
            </w:pPr>
          </w:p>
        </w:tc>
        <w:tc>
          <w:tcPr>
            <w:tcW w:w="6059" w:type="dxa"/>
          </w:tcPr>
          <w:p w:rsidR="00E835B7" w:rsidRDefault="00E835B7" w:rsidP="00C46164"/>
        </w:tc>
        <w:tc>
          <w:tcPr>
            <w:tcW w:w="1405" w:type="dxa"/>
          </w:tcPr>
          <w:p w:rsidR="00E835B7" w:rsidRDefault="00E835B7" w:rsidP="00C46164">
            <w:pPr>
              <w:jc w:val="right"/>
            </w:pPr>
          </w:p>
        </w:tc>
      </w:tr>
      <w:tr w:rsidR="00E835B7" w:rsidTr="00C46164">
        <w:trPr>
          <w:jc w:val="center"/>
        </w:trPr>
        <w:tc>
          <w:tcPr>
            <w:tcW w:w="686" w:type="dxa"/>
            <w:hideMark/>
          </w:tcPr>
          <w:p w:rsidR="00E835B7" w:rsidRDefault="00E835B7" w:rsidP="00C46164">
            <w:pPr>
              <w:jc w:val="right"/>
            </w:pPr>
            <w:r>
              <w:t>3</w:t>
            </w:r>
          </w:p>
        </w:tc>
        <w:tc>
          <w:tcPr>
            <w:tcW w:w="6059" w:type="dxa"/>
            <w:hideMark/>
          </w:tcPr>
          <w:p w:rsidR="00E835B7" w:rsidRDefault="00E835B7" w:rsidP="00C46164">
            <w:r>
              <w:t>Test Year Revenues from Service Rates</w:t>
            </w:r>
          </w:p>
        </w:tc>
        <w:tc>
          <w:tcPr>
            <w:tcW w:w="1405" w:type="dxa"/>
            <w:hideMark/>
          </w:tcPr>
          <w:p w:rsidR="00E835B7" w:rsidRDefault="00E835B7" w:rsidP="00C46164">
            <w:pPr>
              <w:jc w:val="right"/>
            </w:pPr>
            <w:r>
              <w:t>$396,795</w:t>
            </w:r>
          </w:p>
        </w:tc>
      </w:tr>
      <w:tr w:rsidR="00E835B7" w:rsidTr="00C46164">
        <w:trPr>
          <w:jc w:val="center"/>
        </w:trPr>
        <w:tc>
          <w:tcPr>
            <w:tcW w:w="686" w:type="dxa"/>
          </w:tcPr>
          <w:p w:rsidR="00E835B7" w:rsidRDefault="00E835B7" w:rsidP="00C46164">
            <w:pPr>
              <w:jc w:val="right"/>
            </w:pPr>
          </w:p>
        </w:tc>
        <w:tc>
          <w:tcPr>
            <w:tcW w:w="6059" w:type="dxa"/>
          </w:tcPr>
          <w:p w:rsidR="00E835B7" w:rsidRDefault="00E835B7" w:rsidP="00C46164"/>
        </w:tc>
        <w:tc>
          <w:tcPr>
            <w:tcW w:w="1405" w:type="dxa"/>
          </w:tcPr>
          <w:p w:rsidR="00E835B7" w:rsidRDefault="00E835B7" w:rsidP="00C46164">
            <w:pPr>
              <w:jc w:val="right"/>
            </w:pPr>
          </w:p>
        </w:tc>
      </w:tr>
      <w:tr w:rsidR="00E835B7" w:rsidTr="00C46164">
        <w:trPr>
          <w:jc w:val="center"/>
        </w:trPr>
        <w:tc>
          <w:tcPr>
            <w:tcW w:w="686" w:type="dxa"/>
            <w:hideMark/>
          </w:tcPr>
          <w:p w:rsidR="00E835B7" w:rsidRDefault="00E835B7" w:rsidP="00C46164">
            <w:pPr>
              <w:jc w:val="right"/>
            </w:pPr>
            <w:r>
              <w:t>4</w:t>
            </w:r>
          </w:p>
        </w:tc>
        <w:tc>
          <w:tcPr>
            <w:tcW w:w="6059" w:type="dxa"/>
            <w:hideMark/>
          </w:tcPr>
          <w:p w:rsidR="00E835B7" w:rsidRDefault="00E835B7" w:rsidP="00C46164">
            <w:r>
              <w:t>Revenue Increase</w:t>
            </w:r>
          </w:p>
        </w:tc>
        <w:tc>
          <w:tcPr>
            <w:tcW w:w="1405" w:type="dxa"/>
            <w:hideMark/>
          </w:tcPr>
          <w:p w:rsidR="00E835B7" w:rsidRDefault="00E835B7" w:rsidP="00C46164">
            <w:pPr>
              <w:jc w:val="right"/>
              <w:rPr>
                <w:u w:val="single"/>
              </w:rPr>
            </w:pPr>
            <w:r>
              <w:rPr>
                <w:u w:val="single"/>
              </w:rPr>
              <w:t>$65,159</w:t>
            </w:r>
          </w:p>
        </w:tc>
      </w:tr>
      <w:tr w:rsidR="00E835B7" w:rsidTr="00C46164">
        <w:trPr>
          <w:jc w:val="center"/>
        </w:trPr>
        <w:tc>
          <w:tcPr>
            <w:tcW w:w="686" w:type="dxa"/>
          </w:tcPr>
          <w:p w:rsidR="00E835B7" w:rsidRDefault="00E835B7" w:rsidP="00C46164">
            <w:pPr>
              <w:jc w:val="right"/>
            </w:pPr>
          </w:p>
        </w:tc>
        <w:tc>
          <w:tcPr>
            <w:tcW w:w="6059" w:type="dxa"/>
          </w:tcPr>
          <w:p w:rsidR="00E835B7" w:rsidRDefault="00E835B7" w:rsidP="00C46164"/>
        </w:tc>
        <w:tc>
          <w:tcPr>
            <w:tcW w:w="1405" w:type="dxa"/>
          </w:tcPr>
          <w:p w:rsidR="00E835B7" w:rsidRDefault="00E835B7" w:rsidP="00C46164">
            <w:pPr>
              <w:jc w:val="right"/>
            </w:pPr>
          </w:p>
        </w:tc>
      </w:tr>
      <w:tr w:rsidR="00E835B7" w:rsidTr="00C46164">
        <w:trPr>
          <w:jc w:val="center"/>
        </w:trPr>
        <w:tc>
          <w:tcPr>
            <w:tcW w:w="686" w:type="dxa"/>
            <w:hideMark/>
          </w:tcPr>
          <w:p w:rsidR="00E835B7" w:rsidRDefault="00E835B7" w:rsidP="00C46164">
            <w:pPr>
              <w:jc w:val="right"/>
            </w:pPr>
            <w:r>
              <w:t>5</w:t>
            </w:r>
          </w:p>
        </w:tc>
        <w:tc>
          <w:tcPr>
            <w:tcW w:w="6059" w:type="dxa"/>
            <w:hideMark/>
          </w:tcPr>
          <w:p w:rsidR="00E835B7" w:rsidRDefault="00E835B7" w:rsidP="00C46164">
            <w:r>
              <w:t>Percentage Service Rate Increase (Line 4/Line 3)</w:t>
            </w:r>
          </w:p>
        </w:tc>
        <w:tc>
          <w:tcPr>
            <w:tcW w:w="1405" w:type="dxa"/>
            <w:hideMark/>
          </w:tcPr>
          <w:p w:rsidR="00E835B7" w:rsidRDefault="00E835B7" w:rsidP="00C46164">
            <w:pPr>
              <w:jc w:val="right"/>
            </w:pPr>
            <w:r>
              <w:t xml:space="preserve"> 16.42%</w:t>
            </w:r>
          </w:p>
        </w:tc>
      </w:tr>
    </w:tbl>
    <w:p w:rsidR="00E835B7" w:rsidRDefault="00E835B7" w:rsidP="00E835B7">
      <w:r>
        <w:t xml:space="preserve">          Source: </w:t>
      </w:r>
      <w:r w:rsidR="00172AE4">
        <w:t>Approved</w:t>
      </w:r>
      <w:r>
        <w:t xml:space="preserve"> Revenue Requirement and MFRs</w:t>
      </w:r>
    </w:p>
    <w:p w:rsidR="00E835B7" w:rsidRDefault="00E835B7" w:rsidP="00E835B7"/>
    <w:p w:rsidR="00E835B7" w:rsidRDefault="00172AE4" w:rsidP="00E835B7">
      <w:pPr>
        <w:spacing w:after="240"/>
        <w:ind w:firstLine="720"/>
        <w:jc w:val="both"/>
      </w:pPr>
      <w:r>
        <w:t xml:space="preserve">This Commission finds </w:t>
      </w:r>
      <w:r w:rsidR="00E835B7">
        <w:t xml:space="preserve">that the interim rate increase of 16.42 percent for Bocilla </w:t>
      </w:r>
      <w:r>
        <w:t>shall</w:t>
      </w:r>
      <w:r w:rsidR="00E835B7">
        <w:t xml:space="preserve"> be applied as an across-the-board increase to the existing service rates. The rates, as shown on Schedule No. 4, </w:t>
      </w:r>
      <w:r>
        <w:t>shall</w:t>
      </w:r>
      <w:r w:rsidR="00E835B7">
        <w:t xml:space="preserve"> be effective for service rendered on or after the stamped approval date on </w:t>
      </w:r>
      <w:r w:rsidR="00E835B7">
        <w:lastRenderedPageBreak/>
        <w:t xml:space="preserve">the tariff sheets pursuant to Rule 25-30.475(1), F.A.C. The Utility </w:t>
      </w:r>
      <w:r>
        <w:t>shall</w:t>
      </w:r>
      <w:r w:rsidR="00E835B7">
        <w:t xml:space="preserve"> file revised tariff sheets and a proposed customer notice to reflect the Commission-approved rates. In addition, the approved rates </w:t>
      </w:r>
      <w:r>
        <w:t>shall</w:t>
      </w:r>
      <w:r w:rsidR="00E835B7">
        <w:t xml:space="preserve"> not be implemented until the required security has been filed, </w:t>
      </w:r>
      <w:r>
        <w:t xml:space="preserve">Commission </w:t>
      </w:r>
      <w:r w:rsidR="00E835B7">
        <w:t xml:space="preserve">staff has approved the proposed customer notice, and the notice has been received by the customers. The Utility </w:t>
      </w:r>
      <w:r>
        <w:t>shall</w:t>
      </w:r>
      <w:r w:rsidR="00E835B7">
        <w:t xml:space="preserve"> provide proof of the date notice was given within 10 days of the date of the notice.</w:t>
      </w:r>
    </w:p>
    <w:p w:rsidR="00172AE4" w:rsidRPr="00172AE4" w:rsidRDefault="00172AE4" w:rsidP="00172AE4">
      <w:pPr>
        <w:spacing w:after="240"/>
        <w:jc w:val="both"/>
        <w:rPr>
          <w:b/>
          <w:bCs/>
        </w:rPr>
      </w:pPr>
      <w:r>
        <w:rPr>
          <w:b/>
          <w:bCs/>
        </w:rPr>
        <w:t>Appropriate Security to Guarantee Interim Increase</w:t>
      </w:r>
    </w:p>
    <w:p w:rsidR="00E835B7" w:rsidRPr="00E835B7" w:rsidRDefault="00E835B7" w:rsidP="00172AE4">
      <w:pPr>
        <w:spacing w:after="240"/>
        <w:ind w:firstLine="720"/>
        <w:jc w:val="both"/>
      </w:pPr>
      <w:r w:rsidRPr="00E835B7">
        <w:t>Pursuant to Section 367.082(2)(a), F.S., revenues collected under interim rates shall be placed under bond, escrow, letter of credit, or corporate undertaking subject to refund with intere</w:t>
      </w:r>
      <w:r w:rsidR="00172AE4">
        <w:t>st at a rate ordered by this</w:t>
      </w:r>
      <w:r w:rsidRPr="00E835B7">
        <w:t xml:space="preserve"> Commission. As </w:t>
      </w:r>
      <w:r w:rsidR="00172AE4">
        <w:t>stated above</w:t>
      </w:r>
      <w:r w:rsidRPr="00E835B7">
        <w:t xml:space="preserve">, the total interim increase is $65,159. In accordance with Rule 25-30.360, F.A.C., </w:t>
      </w:r>
      <w:r w:rsidR="00172AE4">
        <w:t>we</w:t>
      </w:r>
      <w:r w:rsidRPr="00E835B7">
        <w:t xml:space="preserve"> calculated the potential refund of revenues and interest collected under interim conditions to be $43,638. This amount is based on an estimated eight months of revenue being collected from </w:t>
      </w:r>
      <w:r w:rsidR="00172AE4">
        <w:t>the approved</w:t>
      </w:r>
      <w:r w:rsidRPr="00E835B7">
        <w:t xml:space="preserve"> interim rates over the Utility’s current authorized rates shown on Schedule No. 4.</w:t>
      </w:r>
    </w:p>
    <w:p w:rsidR="00E835B7" w:rsidRPr="00E835B7" w:rsidRDefault="00E835B7" w:rsidP="00E835B7">
      <w:pPr>
        <w:spacing w:after="240"/>
        <w:ind w:firstLine="720"/>
        <w:jc w:val="both"/>
      </w:pPr>
      <w:r w:rsidRPr="00E835B7">
        <w:t xml:space="preserve">The criteria for a corporate undertaking include sufficient liquidity, ownership equity, profitability, and interest coverage to guarantee any potential refund. </w:t>
      </w:r>
      <w:r w:rsidRPr="00EF6A3D">
        <w:t xml:space="preserve">The Utility indicated to </w:t>
      </w:r>
      <w:r w:rsidR="00172AE4" w:rsidRPr="00EF6A3D">
        <w:t>this Commission</w:t>
      </w:r>
      <w:r w:rsidR="00EF6A3D">
        <w:t xml:space="preserve"> that it intended</w:t>
      </w:r>
      <w:r w:rsidRPr="00EF6A3D">
        <w:t xml:space="preserve"> to utilize an escrow account as security for potential refund of interim rates granted. As such, </w:t>
      </w:r>
      <w:r w:rsidR="00EF6A3D">
        <w:t xml:space="preserve">we </w:t>
      </w:r>
      <w:r w:rsidRPr="00EF6A3D">
        <w:t>did not perform an analysis regarding the Utility’s financial capability to support a corporate undertaking.</w:t>
      </w:r>
      <w:r w:rsidRPr="00E835B7">
        <w:t xml:space="preserve"> </w:t>
      </w:r>
      <w:r w:rsidR="00EF6A3D">
        <w:t xml:space="preserve">This Commission finds that </w:t>
      </w:r>
      <w:r w:rsidRPr="00E835B7">
        <w:t xml:space="preserve">Bocilla </w:t>
      </w:r>
      <w:r w:rsidR="00EF6A3D">
        <w:t xml:space="preserve">shall </w:t>
      </w:r>
      <w:r w:rsidRPr="00E835B7">
        <w:t>be required to secure a letter of credit, or alternately an escrow account or surety bond, to guarantee any potential refund of water revenues. The requirements associated with each are discussed below.</w:t>
      </w:r>
    </w:p>
    <w:p w:rsidR="00E835B7" w:rsidRPr="00E835B7" w:rsidRDefault="00E835B7" w:rsidP="00E835B7">
      <w:pPr>
        <w:spacing w:after="240"/>
        <w:ind w:firstLine="720"/>
        <w:jc w:val="both"/>
      </w:pPr>
      <w:r w:rsidRPr="00E835B7">
        <w:t xml:space="preserve">If the security provided is a surety bond or a letter of credit, said instrument </w:t>
      </w:r>
      <w:r w:rsidR="00EF6A3D">
        <w:t>shall</w:t>
      </w:r>
      <w:r w:rsidRPr="00E835B7">
        <w:t xml:space="preserve"> be in the amount of $43,638. If the Utility chooses a surety bond as security, the surety bond </w:t>
      </w:r>
      <w:r w:rsidR="00EF6A3D">
        <w:t>shall</w:t>
      </w:r>
      <w:r w:rsidRPr="00E835B7">
        <w:t xml:space="preserve"> state that it will be released or terminated only upon subsequent order of </w:t>
      </w:r>
      <w:r w:rsidR="00EF6A3D">
        <w:t>this</w:t>
      </w:r>
      <w:r w:rsidRPr="00E835B7">
        <w:t xml:space="preserve"> Commission. If the Utility chooses to provide a letter of credit as security, the letter of credit </w:t>
      </w:r>
      <w:r w:rsidR="00EF6A3D">
        <w:t>shall</w:t>
      </w:r>
      <w:r w:rsidRPr="00E835B7">
        <w:t xml:space="preserve"> state that it is irrevocable for the period it is in effect and that it will be in effect until a final Commission order is rendered releasing the funds to the Utility or requiring a refund.</w:t>
      </w:r>
    </w:p>
    <w:p w:rsidR="00E835B7" w:rsidRPr="00E835B7" w:rsidRDefault="00E835B7" w:rsidP="00E835B7">
      <w:pPr>
        <w:spacing w:after="240"/>
        <w:ind w:firstLine="720"/>
        <w:jc w:val="both"/>
      </w:pPr>
      <w:r w:rsidRPr="00E835B7">
        <w:t xml:space="preserve">If the security provided is an escrow account, said account </w:t>
      </w:r>
      <w:r w:rsidR="00EF6A3D">
        <w:t>shall</w:t>
      </w:r>
      <w:r w:rsidRPr="00E835B7">
        <w:t xml:space="preserve"> be established between the Utility and an independent financial institution or the Division of Treasury for the Florida Department of Financial Services pursuant to</w:t>
      </w:r>
      <w:r w:rsidR="00EF6A3D">
        <w:t xml:space="preserve"> a written escrow agreement. This</w:t>
      </w:r>
      <w:r w:rsidRPr="00E835B7">
        <w:t xml:space="preserve"> Commission sh</w:t>
      </w:r>
      <w:r w:rsidR="00EF6A3D">
        <w:t>all</w:t>
      </w:r>
      <w:r w:rsidRPr="00E835B7">
        <w:t xml:space="preserve"> be a party to the written escrow agreement and a signatory to the escrow account. The written escrow </w:t>
      </w:r>
      <w:r w:rsidR="00EF6A3D">
        <w:t>agreement shall</w:t>
      </w:r>
      <w:r w:rsidRPr="00E835B7">
        <w:t xml:space="preserve"> state the following: the account is established at the direction of the Commission for the purpose set forth above; no withdrawals of funds shall occur without the prior approval of the Commission through the Commission Clerk, Office of Commission Clerk; the account shall be interest bearing; information concerning that escrow account shall be available from the institution to the Commission or its representative at all times; the amount of revenue subject to refund shall be deposited in the escrow account within seven days of receipt; and, pursuant to </w:t>
      </w:r>
      <w:r w:rsidRPr="00EF6A3D">
        <w:rPr>
          <w:u w:val="single"/>
        </w:rPr>
        <w:t>Cosentino v. Elson</w:t>
      </w:r>
      <w:r w:rsidRPr="00E835B7">
        <w:t>, 263 So. 2d 253 (Fla. 3d DCA 1972), escrow accounts are not subject to garnishments.</w:t>
      </w:r>
    </w:p>
    <w:p w:rsidR="00E835B7" w:rsidRPr="00E835B7" w:rsidRDefault="00E835B7" w:rsidP="00E835B7">
      <w:pPr>
        <w:spacing w:after="240"/>
        <w:ind w:firstLine="720"/>
        <w:jc w:val="both"/>
      </w:pPr>
      <w:r w:rsidRPr="00E835B7">
        <w:lastRenderedPageBreak/>
        <w:t>If the security provided is an escrow account, the Utility sh</w:t>
      </w:r>
      <w:r w:rsidR="00EF6A3D">
        <w:t>all</w:t>
      </w:r>
      <w:r w:rsidRPr="00E835B7">
        <w:t xml:space="preserve"> deposit $5,430 into the escrow account each month. The escrow agreement sh</w:t>
      </w:r>
      <w:r w:rsidR="00EF6A3D">
        <w:t>all</w:t>
      </w:r>
      <w:r w:rsidRPr="00E835B7">
        <w:t xml:space="preserve"> also state that “if a refund to the customers is required, all interest earned on the escrow account shall be distributed to the customers, and if a refund to the customers is not required, the interest earned on the escrow account shall revert to the Utility.”</w:t>
      </w:r>
    </w:p>
    <w:p w:rsidR="00E835B7" w:rsidRPr="00E835B7" w:rsidRDefault="00E835B7" w:rsidP="00E835B7">
      <w:pPr>
        <w:spacing w:after="240"/>
        <w:ind w:firstLine="720"/>
        <w:jc w:val="both"/>
      </w:pPr>
      <w:r w:rsidRPr="00E835B7">
        <w:t>Regardless of the type of security provided, the Utility sh</w:t>
      </w:r>
      <w:r w:rsidR="00EF6A3D">
        <w:t>all</w:t>
      </w:r>
      <w:r w:rsidRPr="00E835B7">
        <w:t xml:space="preserve"> keep an accurate and detailed account of all monies it receives. Pursuant to Rule 25-30.360(6), F.A.C., the Utility sh</w:t>
      </w:r>
      <w:r w:rsidR="00EF6A3D">
        <w:t>all</w:t>
      </w:r>
      <w:r w:rsidRPr="00E835B7">
        <w:t xml:space="preserve"> provide a report by the 20th day of each month indicating the monthly and total revenue collected subject to refund. Should a refund be required, the refund sh</w:t>
      </w:r>
      <w:r w:rsidR="00EF6A3D">
        <w:t>all</w:t>
      </w:r>
      <w:r w:rsidRPr="00E835B7">
        <w:t xml:space="preserve"> be with interest and undertaken in accordance with Rule 25-30.360, F.A.C. </w:t>
      </w:r>
    </w:p>
    <w:p w:rsidR="00E835B7" w:rsidRDefault="00E835B7" w:rsidP="00E835B7">
      <w:pPr>
        <w:spacing w:after="240"/>
        <w:ind w:firstLine="720"/>
        <w:jc w:val="both"/>
      </w:pPr>
      <w:r w:rsidRPr="00E835B7">
        <w:t>In no instance sh</w:t>
      </w:r>
      <w:r w:rsidR="00EF6A3D">
        <w:t>all</w:t>
      </w:r>
      <w:r w:rsidRPr="00E835B7">
        <w:t xml:space="preserve"> maintenance and administrative costs associated with any refund be borne by the customers. Such costs are the responsibility of, and sh</w:t>
      </w:r>
      <w:r w:rsidR="00EF6A3D">
        <w:t>all</w:t>
      </w:r>
      <w:r w:rsidRPr="00E835B7">
        <w:t xml:space="preserve"> be borne by, the Utility.</w:t>
      </w:r>
    </w:p>
    <w:p w:rsidR="00E835B7" w:rsidRDefault="00E835B7" w:rsidP="00E835B7">
      <w:pPr>
        <w:pStyle w:val="OrderBody"/>
      </w:pPr>
      <w:r>
        <w:tab/>
        <w:t>Based on the foregoing, it is</w:t>
      </w:r>
    </w:p>
    <w:p w:rsidR="00E835B7" w:rsidRDefault="00E835B7" w:rsidP="00E835B7">
      <w:pPr>
        <w:pStyle w:val="OrderBody"/>
      </w:pPr>
    </w:p>
    <w:p w:rsidR="00E835B7" w:rsidRDefault="00E835B7" w:rsidP="00E835B7">
      <w:pPr>
        <w:pStyle w:val="OrderBody"/>
      </w:pPr>
      <w:r>
        <w:tab/>
        <w:t>ORDERED by the Florida Public Service Commission that</w:t>
      </w:r>
      <w:r w:rsidR="00EF6A3D">
        <w:t xml:space="preserve"> Bocilla Utilities, Inc.’s proposed final water rates are hereby suspended.  It is further</w:t>
      </w:r>
    </w:p>
    <w:p w:rsidR="00EF6A3D" w:rsidRDefault="00EF6A3D" w:rsidP="00E835B7">
      <w:pPr>
        <w:pStyle w:val="OrderBody"/>
      </w:pPr>
    </w:p>
    <w:p w:rsidR="00EF6A3D" w:rsidRDefault="00EF6A3D" w:rsidP="00E835B7">
      <w:pPr>
        <w:pStyle w:val="OrderBody"/>
      </w:pPr>
      <w:r>
        <w:tab/>
        <w:t xml:space="preserve">ORDERED that Bocilla Utilities, Inc.’s requested interim revenue requirement and </w:t>
      </w:r>
      <w:r w:rsidR="004F16CB">
        <w:t xml:space="preserve">interim </w:t>
      </w:r>
      <w:r>
        <w:t>rate increase for water are hereby approved and set forth in the body of this order.  It is further</w:t>
      </w:r>
    </w:p>
    <w:p w:rsidR="00EF6A3D" w:rsidRDefault="00EF6A3D" w:rsidP="00E835B7">
      <w:pPr>
        <w:pStyle w:val="OrderBody"/>
      </w:pPr>
    </w:p>
    <w:p w:rsidR="00EF6A3D" w:rsidRDefault="00EF6A3D" w:rsidP="00E835B7">
      <w:pPr>
        <w:pStyle w:val="OrderBody"/>
      </w:pPr>
      <w:r>
        <w:tab/>
        <w:t>ORDERED that Bocilla Utilities, Inc. shall secure a letter of credit, or alternately an escrow account or surety bond, to guarantee any potential refund of revenues collected under interim conditions as set forth herein.  It is further</w:t>
      </w:r>
    </w:p>
    <w:p w:rsidR="004F16CB" w:rsidRDefault="004F16CB" w:rsidP="00E835B7">
      <w:pPr>
        <w:pStyle w:val="OrderBody"/>
      </w:pPr>
    </w:p>
    <w:p w:rsidR="004F16CB" w:rsidRDefault="004F16CB" w:rsidP="004F16CB">
      <w:pPr>
        <w:pStyle w:val="OrderBody"/>
        <w:ind w:firstLine="720"/>
      </w:pPr>
      <w:r>
        <w:t>ORDERED that the rates, as shown on Schedule No. 4, shall be effective for service rendered on or after the stamped approval date on the tariff sheets pursuant to Rule 25-30.475(1), F.A.C.  It is further</w:t>
      </w:r>
    </w:p>
    <w:p w:rsidR="004F16CB" w:rsidRDefault="004F16CB" w:rsidP="004F16CB">
      <w:pPr>
        <w:pStyle w:val="OrderBody"/>
      </w:pPr>
    </w:p>
    <w:p w:rsidR="004F16CB" w:rsidRDefault="004F16CB" w:rsidP="004F16CB">
      <w:pPr>
        <w:pStyle w:val="OrderBody"/>
      </w:pPr>
      <w:r>
        <w:tab/>
        <w:t>ORDERED that Bocilla Utilities, Inc. shall file revised tariff sheets and a proposed customer notice to reflect this Commission’s approved rates.  It is further</w:t>
      </w:r>
    </w:p>
    <w:p w:rsidR="004F16CB" w:rsidRDefault="004F16CB" w:rsidP="004F16CB">
      <w:pPr>
        <w:pStyle w:val="OrderBody"/>
      </w:pPr>
    </w:p>
    <w:p w:rsidR="004F16CB" w:rsidRDefault="004F16CB" w:rsidP="004F16CB">
      <w:pPr>
        <w:pStyle w:val="OrderBody"/>
      </w:pPr>
      <w:r>
        <w:tab/>
        <w:t>ORDERED that the approved rates shall not be implemented until the required security has been filed, Commission staff has approved the proposed customer notice, and the notice has been received by the customers.  The Utility shall provide proof of the date notice was given within 10 days of the date of the notice.  It is further</w:t>
      </w:r>
    </w:p>
    <w:p w:rsidR="004F16CB" w:rsidRDefault="004F16CB" w:rsidP="00E835B7">
      <w:pPr>
        <w:pStyle w:val="OrderBody"/>
      </w:pPr>
    </w:p>
    <w:p w:rsidR="00EF6A3D" w:rsidRDefault="00EF6A3D" w:rsidP="00E835B7">
      <w:pPr>
        <w:pStyle w:val="OrderBody"/>
      </w:pPr>
      <w:r>
        <w:tab/>
        <w:t>ORDERED that pursuant to Rule 25-30.360(6), F.A.C., Bocilla Utilities, Inc. shall provide a report by the 20</w:t>
      </w:r>
      <w:r w:rsidRPr="00EF6A3D">
        <w:t>th</w:t>
      </w:r>
      <w:r>
        <w:t xml:space="preserve"> day of each month indicating the monthly and total revenue collected subject to refund.  It is further</w:t>
      </w:r>
    </w:p>
    <w:p w:rsidR="00EF6A3D" w:rsidRDefault="00EF6A3D" w:rsidP="00E835B7">
      <w:pPr>
        <w:pStyle w:val="OrderBody"/>
      </w:pPr>
    </w:p>
    <w:p w:rsidR="00692FA0" w:rsidRDefault="00692FA0" w:rsidP="004F16CB">
      <w:pPr>
        <w:pStyle w:val="OrderBody"/>
        <w:ind w:firstLine="720"/>
      </w:pPr>
      <w:r>
        <w:lastRenderedPageBreak/>
        <w:t xml:space="preserve">ORDERED that this docket shall remain open pending this Commission’s final action on Bocilla Utilities, Inc.’s requested </w:t>
      </w:r>
      <w:r w:rsidR="004F16CB">
        <w:t>final water rates</w:t>
      </w:r>
      <w:r>
        <w:t>.</w:t>
      </w:r>
    </w:p>
    <w:p w:rsidR="004F16CB" w:rsidRDefault="004F16CB" w:rsidP="004F16CB">
      <w:pPr>
        <w:pStyle w:val="OrderBody"/>
        <w:ind w:firstLine="720"/>
      </w:pPr>
    </w:p>
    <w:p w:rsidR="00E835B7" w:rsidRDefault="00E835B7" w:rsidP="00E835B7">
      <w:pPr>
        <w:pStyle w:val="OrderBody"/>
        <w:keepNext/>
        <w:keepLines/>
      </w:pPr>
      <w:r>
        <w:tab/>
        <w:t xml:space="preserve">By ORDER of the Florida Public Service Commission this </w:t>
      </w:r>
      <w:bookmarkStart w:id="7" w:name="replaceDate"/>
      <w:bookmarkEnd w:id="7"/>
      <w:r w:rsidR="00EA5457">
        <w:rPr>
          <w:u w:val="single"/>
        </w:rPr>
        <w:t>29th</w:t>
      </w:r>
      <w:r w:rsidR="00EA5457">
        <w:t xml:space="preserve"> day of </w:t>
      </w:r>
      <w:r w:rsidR="00EA5457">
        <w:rPr>
          <w:u w:val="single"/>
        </w:rPr>
        <w:t>August</w:t>
      </w:r>
      <w:r w:rsidR="00EA5457">
        <w:t xml:space="preserve">, </w:t>
      </w:r>
      <w:r w:rsidR="00EA5457">
        <w:rPr>
          <w:u w:val="single"/>
        </w:rPr>
        <w:t>2016</w:t>
      </w:r>
      <w:r w:rsidR="00EA5457">
        <w:t>.</w:t>
      </w:r>
    </w:p>
    <w:p w:rsidR="00EA5457" w:rsidRPr="00EA5457" w:rsidRDefault="00EA5457" w:rsidP="00E835B7">
      <w:pPr>
        <w:pStyle w:val="OrderBody"/>
        <w:keepNext/>
        <w:keepLines/>
      </w:pPr>
    </w:p>
    <w:p w:rsidR="00E835B7" w:rsidRDefault="00E835B7" w:rsidP="00E835B7">
      <w:pPr>
        <w:pStyle w:val="OrderBody"/>
        <w:keepNext/>
        <w:keepLines/>
      </w:pPr>
    </w:p>
    <w:p w:rsidR="00E835B7" w:rsidRDefault="00E835B7" w:rsidP="00E835B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835B7" w:rsidTr="00E835B7">
        <w:tc>
          <w:tcPr>
            <w:tcW w:w="720" w:type="dxa"/>
            <w:shd w:val="clear" w:color="auto" w:fill="auto"/>
          </w:tcPr>
          <w:p w:rsidR="00E835B7" w:rsidRDefault="00E835B7" w:rsidP="00E835B7">
            <w:pPr>
              <w:pStyle w:val="OrderBody"/>
              <w:keepNext/>
              <w:keepLines/>
            </w:pPr>
            <w:bookmarkStart w:id="8" w:name="bkmrkSignature" w:colFirst="0" w:colLast="0"/>
          </w:p>
        </w:tc>
        <w:tc>
          <w:tcPr>
            <w:tcW w:w="4320" w:type="dxa"/>
            <w:tcBorders>
              <w:bottom w:val="single" w:sz="4" w:space="0" w:color="auto"/>
            </w:tcBorders>
            <w:shd w:val="clear" w:color="auto" w:fill="auto"/>
          </w:tcPr>
          <w:p w:rsidR="00E835B7" w:rsidRDefault="00EA5457" w:rsidP="00E835B7">
            <w:pPr>
              <w:pStyle w:val="OrderBody"/>
              <w:keepNext/>
              <w:keepLines/>
            </w:pPr>
            <w:r>
              <w:t>/s/ Carlotta S. Stauffer</w:t>
            </w:r>
          </w:p>
        </w:tc>
      </w:tr>
      <w:bookmarkEnd w:id="8"/>
      <w:tr w:rsidR="00E835B7" w:rsidTr="00E835B7">
        <w:tc>
          <w:tcPr>
            <w:tcW w:w="720" w:type="dxa"/>
            <w:shd w:val="clear" w:color="auto" w:fill="auto"/>
          </w:tcPr>
          <w:p w:rsidR="00E835B7" w:rsidRDefault="00E835B7" w:rsidP="00E835B7">
            <w:pPr>
              <w:pStyle w:val="OrderBody"/>
              <w:keepNext/>
              <w:keepLines/>
            </w:pPr>
          </w:p>
        </w:tc>
        <w:tc>
          <w:tcPr>
            <w:tcW w:w="4320" w:type="dxa"/>
            <w:tcBorders>
              <w:top w:val="single" w:sz="4" w:space="0" w:color="auto"/>
            </w:tcBorders>
            <w:shd w:val="clear" w:color="auto" w:fill="auto"/>
          </w:tcPr>
          <w:p w:rsidR="00E835B7" w:rsidRDefault="00E835B7" w:rsidP="00E835B7">
            <w:pPr>
              <w:pStyle w:val="OrderBody"/>
              <w:keepNext/>
              <w:keepLines/>
            </w:pPr>
            <w:r>
              <w:t>CARLOTTA S. STAUFFER</w:t>
            </w:r>
          </w:p>
          <w:p w:rsidR="00E835B7" w:rsidRDefault="00E835B7" w:rsidP="00E835B7">
            <w:pPr>
              <w:pStyle w:val="OrderBody"/>
              <w:keepNext/>
              <w:keepLines/>
            </w:pPr>
            <w:r>
              <w:t>Commission Clerk</w:t>
            </w:r>
          </w:p>
        </w:tc>
      </w:tr>
    </w:tbl>
    <w:p w:rsidR="00E835B7" w:rsidRDefault="00E835B7" w:rsidP="00E835B7">
      <w:pPr>
        <w:pStyle w:val="OrderSigInfo"/>
        <w:keepNext/>
        <w:keepLines/>
      </w:pPr>
      <w:r>
        <w:t>Florida Public Service Commission</w:t>
      </w:r>
    </w:p>
    <w:p w:rsidR="00E835B7" w:rsidRDefault="00E835B7" w:rsidP="00E835B7">
      <w:pPr>
        <w:pStyle w:val="OrderSigInfo"/>
        <w:keepNext/>
        <w:keepLines/>
      </w:pPr>
      <w:r>
        <w:t>2540 Shumard Oak Boulevard</w:t>
      </w:r>
    </w:p>
    <w:p w:rsidR="00E835B7" w:rsidRDefault="00E835B7" w:rsidP="00E835B7">
      <w:pPr>
        <w:pStyle w:val="OrderSigInfo"/>
        <w:keepNext/>
        <w:keepLines/>
      </w:pPr>
      <w:r>
        <w:t>Tallahassee, Florida  32399</w:t>
      </w:r>
    </w:p>
    <w:p w:rsidR="00E835B7" w:rsidRDefault="00E835B7" w:rsidP="00E835B7">
      <w:pPr>
        <w:pStyle w:val="OrderSigInfo"/>
        <w:keepNext/>
        <w:keepLines/>
      </w:pPr>
      <w:r>
        <w:t>(850) 413</w:t>
      </w:r>
      <w:r>
        <w:noBreakHyphen/>
        <w:t>6770</w:t>
      </w:r>
    </w:p>
    <w:p w:rsidR="00E835B7" w:rsidRDefault="00E835B7" w:rsidP="00E835B7">
      <w:pPr>
        <w:pStyle w:val="OrderSigInfo"/>
        <w:keepNext/>
        <w:keepLines/>
      </w:pPr>
      <w:r>
        <w:t>www.floridapsc.com</w:t>
      </w:r>
    </w:p>
    <w:p w:rsidR="00E835B7" w:rsidRDefault="00E835B7" w:rsidP="00E835B7">
      <w:pPr>
        <w:pStyle w:val="OrderSigInfo"/>
        <w:keepNext/>
        <w:keepLines/>
      </w:pPr>
    </w:p>
    <w:p w:rsidR="00E835B7" w:rsidRDefault="00E835B7" w:rsidP="00E835B7">
      <w:pPr>
        <w:pStyle w:val="OrderSigInfo"/>
        <w:keepNext/>
        <w:keepLines/>
      </w:pPr>
      <w:r>
        <w:t>Copies furnished:  A copy of this document is provided to the parties of record at the time of issuance and, if applicable, interested persons.</w:t>
      </w:r>
    </w:p>
    <w:p w:rsidR="00E835B7" w:rsidRDefault="00E835B7" w:rsidP="00E835B7">
      <w:pPr>
        <w:pStyle w:val="OrderBody"/>
        <w:keepNext/>
        <w:keepLines/>
      </w:pPr>
    </w:p>
    <w:p w:rsidR="00E835B7" w:rsidRDefault="00E835B7" w:rsidP="00E835B7">
      <w:pPr>
        <w:pStyle w:val="OrderBody"/>
        <w:keepNext/>
        <w:keepLines/>
      </w:pPr>
      <w:r>
        <w:t>MAL</w:t>
      </w:r>
    </w:p>
    <w:p w:rsidR="001612C3" w:rsidRDefault="001612C3" w:rsidP="00E835B7">
      <w:pPr>
        <w:pStyle w:val="OrderBody"/>
        <w:keepNext/>
        <w:keepLines/>
      </w:pPr>
    </w:p>
    <w:p w:rsidR="001612C3" w:rsidRDefault="001612C3" w:rsidP="001612C3">
      <w:pPr>
        <w:pStyle w:val="CenterUnderline"/>
      </w:pPr>
      <w:r>
        <w:t>NOTICE OF FURTHER PROCEEDINGS OR JUDICIAL REVIEW</w:t>
      </w:r>
    </w:p>
    <w:p w:rsidR="001612C3" w:rsidRDefault="001612C3" w:rsidP="001612C3">
      <w:pPr>
        <w:pStyle w:val="OrderBody"/>
      </w:pPr>
    </w:p>
    <w:p w:rsidR="001612C3" w:rsidRDefault="001612C3" w:rsidP="001612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12C3" w:rsidRDefault="001612C3" w:rsidP="001612C3">
      <w:pPr>
        <w:pStyle w:val="OrderBody"/>
      </w:pPr>
    </w:p>
    <w:p w:rsidR="004E0AFA" w:rsidRDefault="004E0AFA" w:rsidP="004E0AFA">
      <w:pPr>
        <w:pStyle w:val="OrderBody"/>
        <w:ind w:firstLine="720"/>
      </w:pPr>
      <w:r>
        <w:t>Any party adversely affected by the portion of this order suspending proposed final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0AFA" w:rsidRDefault="004E0AFA" w:rsidP="004E0AFA">
      <w:pPr>
        <w:pStyle w:val="OrderBody"/>
      </w:pPr>
    </w:p>
    <w:p w:rsidR="004E0AFA" w:rsidRDefault="004E0AFA" w:rsidP="004E0AFA">
      <w:pPr>
        <w:pStyle w:val="OrderBody"/>
        <w:ind w:firstLine="720"/>
      </w:pPr>
      <w:r>
        <w:t>Mediation may be available on a case-by-case basis.  If mediation is conducted, it does not affect a substantially interested person's right to a hearing.</w:t>
      </w:r>
    </w:p>
    <w:p w:rsidR="004E0AFA" w:rsidRDefault="004E0AFA" w:rsidP="001612C3">
      <w:pPr>
        <w:pStyle w:val="OrderBody"/>
      </w:pPr>
    </w:p>
    <w:p w:rsidR="00C46164" w:rsidRDefault="001612C3" w:rsidP="00C46164">
      <w:pPr>
        <w:pStyle w:val="OrderBody"/>
      </w:pPr>
      <w:r>
        <w:lastRenderedPageBreak/>
        <w:tab/>
        <w:t xml:space="preserve">Any party adversely affected by </w:t>
      </w:r>
      <w:r w:rsidR="004E0AFA">
        <w:t xml:space="preserve">the portion of </w:t>
      </w:r>
      <w:r>
        <w:t>this order</w:t>
      </w:r>
      <w:r w:rsidR="004E0AFA">
        <w:t xml:space="preserve"> approving interim rates</w:t>
      </w:r>
      <w:r>
        <w:t xml:space="preserve">,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C46164">
        <w:t xml:space="preserve">a water or wastewater utility.  </w:t>
      </w:r>
      <w:r>
        <w:t xml:space="preserve">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w:t>
      </w:r>
      <w:r w:rsidR="00C46164">
        <w:t xml:space="preserve"> </w:t>
      </w:r>
      <w:r>
        <w:t>of Appellate Procedure.</w:t>
      </w:r>
    </w:p>
    <w:p w:rsidR="00C46164" w:rsidRDefault="00C46164" w:rsidP="00C46164">
      <w:pPr>
        <w:pStyle w:val="OrderBody"/>
      </w:pPr>
    </w:p>
    <w:p w:rsidR="00C46164" w:rsidRDefault="00C46164" w:rsidP="00C46164">
      <w:pPr>
        <w:pStyle w:val="OrderBody"/>
        <w:sectPr w:rsidR="00C46164">
          <w:head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tbl>
      <w:tblPr>
        <w:tblW w:w="9648" w:type="dxa"/>
        <w:tblInd w:w="93" w:type="dxa"/>
        <w:tblLook w:val="04A0" w:firstRow="1" w:lastRow="0" w:firstColumn="1" w:lastColumn="0" w:noHBand="0" w:noVBand="1"/>
      </w:tblPr>
      <w:tblGrid>
        <w:gridCol w:w="416"/>
        <w:gridCol w:w="3660"/>
        <w:gridCol w:w="1116"/>
        <w:gridCol w:w="1080"/>
        <w:gridCol w:w="1116"/>
        <w:gridCol w:w="1272"/>
        <w:gridCol w:w="1272"/>
      </w:tblGrid>
      <w:tr w:rsidR="00C46164" w:rsidTr="00C46164">
        <w:trPr>
          <w:trHeight w:val="270"/>
        </w:trPr>
        <w:tc>
          <w:tcPr>
            <w:tcW w:w="416" w:type="dxa"/>
            <w:tcBorders>
              <w:top w:val="single" w:sz="4" w:space="0" w:color="auto"/>
              <w:left w:val="single" w:sz="4" w:space="0" w:color="auto"/>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lastRenderedPageBreak/>
              <w:t> </w:t>
            </w:r>
          </w:p>
        </w:tc>
        <w:tc>
          <w:tcPr>
            <w:tcW w:w="3660" w:type="dxa"/>
            <w:tcBorders>
              <w:top w:val="single" w:sz="4" w:space="0" w:color="auto"/>
              <w:left w:val="nil"/>
              <w:bottom w:val="nil"/>
              <w:right w:val="nil"/>
            </w:tcBorders>
            <w:shd w:val="clear" w:color="auto" w:fill="auto"/>
            <w:noWrap/>
            <w:vAlign w:val="bottom"/>
            <w:hideMark/>
          </w:tcPr>
          <w:p w:rsidR="00C46164" w:rsidRDefault="00C46164" w:rsidP="00C46164">
            <w:pPr>
              <w:rPr>
                <w:b/>
                <w:bCs/>
                <w:sz w:val="20"/>
                <w:szCs w:val="20"/>
              </w:rPr>
            </w:pPr>
            <w:r>
              <w:rPr>
                <w:b/>
                <w:bCs/>
                <w:sz w:val="20"/>
                <w:szCs w:val="20"/>
              </w:rPr>
              <w:t>Bocilla Utilities, Inc.</w:t>
            </w:r>
          </w:p>
        </w:tc>
        <w:tc>
          <w:tcPr>
            <w:tcW w:w="1116" w:type="dxa"/>
            <w:tcBorders>
              <w:top w:val="single" w:sz="4" w:space="0" w:color="auto"/>
              <w:left w:val="nil"/>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080" w:type="dxa"/>
            <w:tcBorders>
              <w:top w:val="single" w:sz="4" w:space="0" w:color="auto"/>
              <w:left w:val="nil"/>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116" w:type="dxa"/>
            <w:tcBorders>
              <w:top w:val="single" w:sz="4" w:space="0" w:color="auto"/>
              <w:left w:val="nil"/>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2260" w:type="dxa"/>
            <w:gridSpan w:val="2"/>
            <w:tcBorders>
              <w:top w:val="single" w:sz="4" w:space="0" w:color="auto"/>
              <w:left w:val="nil"/>
              <w:bottom w:val="nil"/>
              <w:right w:val="single" w:sz="4" w:space="0" w:color="000000"/>
            </w:tcBorders>
            <w:shd w:val="clear" w:color="auto" w:fill="auto"/>
            <w:noWrap/>
            <w:vAlign w:val="bottom"/>
            <w:hideMark/>
          </w:tcPr>
          <w:p w:rsidR="00C46164" w:rsidRDefault="00C46164" w:rsidP="00C46164">
            <w:pPr>
              <w:jc w:val="right"/>
              <w:rPr>
                <w:b/>
                <w:bCs/>
                <w:sz w:val="20"/>
                <w:szCs w:val="20"/>
              </w:rPr>
            </w:pPr>
            <w:r>
              <w:rPr>
                <w:b/>
                <w:bCs/>
                <w:sz w:val="20"/>
                <w:szCs w:val="20"/>
              </w:rPr>
              <w:t>Schedule No. 1-A</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b/>
                <w:bCs/>
                <w:sz w:val="20"/>
                <w:szCs w:val="20"/>
              </w:rPr>
            </w:pPr>
            <w:r>
              <w:rPr>
                <w:b/>
                <w:bCs/>
                <w:sz w:val="20"/>
                <w:szCs w:val="20"/>
              </w:rPr>
              <w:t>Schedule of Water Rate Base</w:t>
            </w:r>
          </w:p>
        </w:tc>
        <w:tc>
          <w:tcPr>
            <w:tcW w:w="1116"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2260" w:type="dxa"/>
            <w:gridSpan w:val="2"/>
            <w:tcBorders>
              <w:top w:val="nil"/>
              <w:left w:val="nil"/>
              <w:bottom w:val="nil"/>
              <w:right w:val="single" w:sz="4" w:space="0" w:color="000000"/>
            </w:tcBorders>
            <w:shd w:val="clear" w:color="auto" w:fill="auto"/>
            <w:noWrap/>
            <w:vAlign w:val="bottom"/>
            <w:hideMark/>
          </w:tcPr>
          <w:p w:rsidR="00C46164" w:rsidRDefault="00C46164" w:rsidP="00C46164">
            <w:pPr>
              <w:jc w:val="right"/>
              <w:rPr>
                <w:b/>
                <w:bCs/>
                <w:sz w:val="20"/>
                <w:szCs w:val="20"/>
              </w:rPr>
            </w:pPr>
            <w:r>
              <w:rPr>
                <w:b/>
                <w:bCs/>
                <w:sz w:val="20"/>
                <w:szCs w:val="20"/>
              </w:rPr>
              <w:t>Docket No. 160065-WU</w:t>
            </w:r>
          </w:p>
        </w:tc>
      </w:tr>
      <w:tr w:rsidR="00C46164" w:rsidTr="00C46164">
        <w:trPr>
          <w:trHeight w:val="270"/>
        </w:trPr>
        <w:tc>
          <w:tcPr>
            <w:tcW w:w="416" w:type="dxa"/>
            <w:tcBorders>
              <w:top w:val="nil"/>
              <w:left w:val="single" w:sz="4" w:space="0" w:color="auto"/>
              <w:bottom w:val="single" w:sz="4" w:space="0" w:color="auto"/>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3660" w:type="dxa"/>
            <w:tcBorders>
              <w:top w:val="nil"/>
              <w:left w:val="nil"/>
              <w:bottom w:val="single" w:sz="4" w:space="0" w:color="auto"/>
              <w:right w:val="nil"/>
            </w:tcBorders>
            <w:shd w:val="clear" w:color="auto" w:fill="auto"/>
            <w:noWrap/>
            <w:vAlign w:val="bottom"/>
            <w:hideMark/>
          </w:tcPr>
          <w:p w:rsidR="00C46164" w:rsidRDefault="00C46164" w:rsidP="00C46164">
            <w:pPr>
              <w:rPr>
                <w:b/>
                <w:bCs/>
                <w:sz w:val="20"/>
                <w:szCs w:val="20"/>
              </w:rPr>
            </w:pPr>
            <w:r>
              <w:rPr>
                <w:b/>
                <w:bCs/>
                <w:sz w:val="20"/>
                <w:szCs w:val="20"/>
              </w:rPr>
              <w:t>Test Year Ended 12/31/15</w:t>
            </w:r>
          </w:p>
        </w:tc>
        <w:tc>
          <w:tcPr>
            <w:tcW w:w="1116" w:type="dxa"/>
            <w:tcBorders>
              <w:top w:val="nil"/>
              <w:left w:val="nil"/>
              <w:bottom w:val="single" w:sz="4" w:space="0" w:color="auto"/>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b/>
                <w:bCs/>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Test Year</w:t>
            </w:r>
          </w:p>
        </w:tc>
        <w:tc>
          <w:tcPr>
            <w:tcW w:w="108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Utility</w:t>
            </w: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Adjusted</w:t>
            </w:r>
          </w:p>
        </w:tc>
        <w:tc>
          <w:tcPr>
            <w:tcW w:w="1120" w:type="dxa"/>
            <w:tcBorders>
              <w:top w:val="nil"/>
              <w:left w:val="nil"/>
              <w:bottom w:val="nil"/>
              <w:right w:val="nil"/>
            </w:tcBorders>
            <w:shd w:val="clear" w:color="auto" w:fill="auto"/>
            <w:noWrap/>
            <w:vAlign w:val="bottom"/>
            <w:hideMark/>
          </w:tcPr>
          <w:p w:rsidR="00C46164" w:rsidRDefault="004F16CB" w:rsidP="00C46164">
            <w:pPr>
              <w:jc w:val="center"/>
              <w:rPr>
                <w:b/>
                <w:bCs/>
                <w:sz w:val="20"/>
                <w:szCs w:val="20"/>
              </w:rPr>
            </w:pPr>
            <w:r>
              <w:rPr>
                <w:b/>
                <w:bCs/>
                <w:sz w:val="20"/>
                <w:szCs w:val="20"/>
              </w:rPr>
              <w:t>Commission</w:t>
            </w:r>
          </w:p>
        </w:tc>
        <w:tc>
          <w:tcPr>
            <w:tcW w:w="1140" w:type="dxa"/>
            <w:tcBorders>
              <w:top w:val="nil"/>
              <w:left w:val="nil"/>
              <w:bottom w:val="nil"/>
              <w:right w:val="single" w:sz="4" w:space="0" w:color="auto"/>
            </w:tcBorders>
            <w:shd w:val="clear" w:color="auto" w:fill="auto"/>
            <w:noWrap/>
            <w:vAlign w:val="bottom"/>
            <w:hideMark/>
          </w:tcPr>
          <w:p w:rsidR="00C46164" w:rsidRDefault="004F16CB" w:rsidP="00C46164">
            <w:pPr>
              <w:jc w:val="center"/>
              <w:rPr>
                <w:b/>
                <w:bCs/>
                <w:sz w:val="20"/>
                <w:szCs w:val="20"/>
              </w:rPr>
            </w:pPr>
            <w:r>
              <w:rPr>
                <w:b/>
                <w:bCs/>
                <w:sz w:val="20"/>
                <w:szCs w:val="20"/>
              </w:rPr>
              <w:t>Commission</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b/>
                <w:bCs/>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Per</w:t>
            </w:r>
          </w:p>
        </w:tc>
        <w:tc>
          <w:tcPr>
            <w:tcW w:w="108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Adjust-</w:t>
            </w: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Test Year</w:t>
            </w:r>
          </w:p>
        </w:tc>
        <w:tc>
          <w:tcPr>
            <w:tcW w:w="112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Adjust-</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center"/>
              <w:rPr>
                <w:b/>
                <w:bCs/>
                <w:sz w:val="20"/>
                <w:szCs w:val="20"/>
              </w:rPr>
            </w:pPr>
            <w:r>
              <w:rPr>
                <w:b/>
                <w:bCs/>
                <w:sz w:val="20"/>
                <w:szCs w:val="20"/>
              </w:rPr>
              <w:t>Adjusted</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Description</w:t>
            </w: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Utility</w:t>
            </w:r>
          </w:p>
        </w:tc>
        <w:tc>
          <w:tcPr>
            <w:tcW w:w="108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ments</w:t>
            </w:r>
          </w:p>
        </w:tc>
        <w:tc>
          <w:tcPr>
            <w:tcW w:w="1116"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Per Utility</w:t>
            </w:r>
          </w:p>
        </w:tc>
        <w:tc>
          <w:tcPr>
            <w:tcW w:w="1120" w:type="dxa"/>
            <w:tcBorders>
              <w:top w:val="nil"/>
              <w:left w:val="nil"/>
              <w:bottom w:val="nil"/>
              <w:right w:val="nil"/>
            </w:tcBorders>
            <w:shd w:val="clear" w:color="auto" w:fill="auto"/>
            <w:noWrap/>
            <w:vAlign w:val="bottom"/>
            <w:hideMark/>
          </w:tcPr>
          <w:p w:rsidR="00C46164" w:rsidRDefault="00C46164" w:rsidP="00C46164">
            <w:pPr>
              <w:jc w:val="center"/>
              <w:rPr>
                <w:b/>
                <w:bCs/>
                <w:sz w:val="20"/>
                <w:szCs w:val="20"/>
              </w:rPr>
            </w:pPr>
            <w:r>
              <w:rPr>
                <w:b/>
                <w:bCs/>
                <w:sz w:val="20"/>
                <w:szCs w:val="20"/>
              </w:rPr>
              <w:t>ments</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center"/>
              <w:rPr>
                <w:b/>
                <w:bCs/>
                <w:sz w:val="20"/>
                <w:szCs w:val="20"/>
              </w:rPr>
            </w:pPr>
            <w:r>
              <w:rPr>
                <w:b/>
                <w:bCs/>
                <w:sz w:val="20"/>
                <w:szCs w:val="20"/>
              </w:rPr>
              <w:t>Test Year</w:t>
            </w:r>
          </w:p>
        </w:tc>
      </w:tr>
      <w:tr w:rsidR="00C46164" w:rsidTr="00C46164">
        <w:trPr>
          <w:trHeight w:val="270"/>
        </w:trPr>
        <w:tc>
          <w:tcPr>
            <w:tcW w:w="416" w:type="dxa"/>
            <w:tcBorders>
              <w:top w:val="single" w:sz="4" w:space="0" w:color="000000"/>
              <w:left w:val="single" w:sz="4" w:space="0" w:color="auto"/>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3660" w:type="dxa"/>
            <w:tcBorders>
              <w:top w:val="single" w:sz="4" w:space="0" w:color="000000"/>
              <w:left w:val="nil"/>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1116" w:type="dxa"/>
            <w:tcBorders>
              <w:top w:val="single" w:sz="4" w:space="0" w:color="000000"/>
              <w:left w:val="nil"/>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1080" w:type="dxa"/>
            <w:tcBorders>
              <w:top w:val="single" w:sz="4" w:space="0" w:color="000000"/>
              <w:left w:val="nil"/>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1116" w:type="dxa"/>
            <w:tcBorders>
              <w:top w:val="single" w:sz="4" w:space="0" w:color="000000"/>
              <w:left w:val="nil"/>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1120" w:type="dxa"/>
            <w:tcBorders>
              <w:top w:val="single" w:sz="4" w:space="0" w:color="000000"/>
              <w:left w:val="nil"/>
              <w:bottom w:val="nil"/>
              <w:right w:val="nil"/>
            </w:tcBorders>
            <w:shd w:val="clear" w:color="auto" w:fill="auto"/>
            <w:noWrap/>
            <w:vAlign w:val="bottom"/>
            <w:hideMark/>
          </w:tcPr>
          <w:p w:rsidR="00C46164" w:rsidRDefault="00C46164" w:rsidP="00C46164">
            <w:pPr>
              <w:rPr>
                <w:sz w:val="20"/>
                <w:szCs w:val="20"/>
              </w:rPr>
            </w:pPr>
            <w:r>
              <w:rPr>
                <w:sz w:val="20"/>
                <w:szCs w:val="20"/>
              </w:rPr>
              <w:t> </w:t>
            </w:r>
          </w:p>
        </w:tc>
        <w:tc>
          <w:tcPr>
            <w:tcW w:w="1140" w:type="dxa"/>
            <w:tcBorders>
              <w:top w:val="single" w:sz="4" w:space="0" w:color="000000"/>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1</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Plant in Service</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$1,205,896 </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$1,205,896 </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($67,143)</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 xml:space="preserve">$1,138,754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2</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Land and Land Rights</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44,000 </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44,000 </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 xml:space="preserve">44,000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3</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r>
              <w:rPr>
                <w:color w:val="000000"/>
                <w:sz w:val="20"/>
                <w:szCs w:val="20"/>
              </w:rPr>
              <w:t>Construction Work in Progress</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42 </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0</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42 </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(42)</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 xml:space="preserve">0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4</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Accumulated Depreciation</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(349,147)</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(349,147)</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(349,147)</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5</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CIAC</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(459,194)</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(459,194)</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346 </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(458,848)</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6</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Amortization of CIAC</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225,750 </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225,750 </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rPr>
            </w:pPr>
            <w:r>
              <w:rPr>
                <w:sz w:val="20"/>
                <w:szCs w:val="20"/>
              </w:rPr>
              <w:t xml:space="preserve">96 </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rPr>
            </w:pPr>
            <w:r>
              <w:rPr>
                <w:sz w:val="20"/>
                <w:szCs w:val="20"/>
              </w:rPr>
              <w:t xml:space="preserve">225,846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7</w:t>
            </w:r>
          </w:p>
        </w:tc>
        <w:tc>
          <w:tcPr>
            <w:tcW w:w="3660" w:type="dxa"/>
            <w:tcBorders>
              <w:top w:val="nil"/>
              <w:left w:val="nil"/>
              <w:bottom w:val="nil"/>
              <w:right w:val="nil"/>
            </w:tcBorders>
            <w:shd w:val="clear" w:color="auto" w:fill="auto"/>
            <w:noWrap/>
            <w:vAlign w:val="bottom"/>
            <w:hideMark/>
          </w:tcPr>
          <w:p w:rsidR="00C46164" w:rsidRDefault="00C46164" w:rsidP="00C46164">
            <w:pPr>
              <w:rPr>
                <w:sz w:val="20"/>
                <w:szCs w:val="20"/>
              </w:rPr>
            </w:pPr>
            <w:r>
              <w:rPr>
                <w:sz w:val="20"/>
                <w:szCs w:val="20"/>
              </w:rPr>
              <w:t>Working Capital Allowance</w:t>
            </w:r>
          </w:p>
        </w:tc>
        <w:tc>
          <w:tcPr>
            <w:tcW w:w="1116" w:type="dxa"/>
            <w:tcBorders>
              <w:top w:val="nil"/>
              <w:left w:val="nil"/>
              <w:bottom w:val="nil"/>
              <w:right w:val="nil"/>
            </w:tcBorders>
            <w:shd w:val="clear" w:color="auto" w:fill="auto"/>
            <w:noWrap/>
            <w:vAlign w:val="bottom"/>
            <w:hideMark/>
          </w:tcPr>
          <w:p w:rsidR="00C46164" w:rsidRPr="006F09AB" w:rsidRDefault="00C46164" w:rsidP="00C46164">
            <w:pPr>
              <w:jc w:val="right"/>
              <w:rPr>
                <w:sz w:val="20"/>
                <w:szCs w:val="20"/>
                <w:u w:val="single"/>
              </w:rPr>
            </w:pPr>
            <w:r w:rsidRPr="006F09AB">
              <w:rPr>
                <w:sz w:val="20"/>
                <w:szCs w:val="20"/>
                <w:u w:val="single"/>
              </w:rPr>
              <w:t xml:space="preserve">0 </w:t>
            </w:r>
          </w:p>
        </w:tc>
        <w:tc>
          <w:tcPr>
            <w:tcW w:w="1080" w:type="dxa"/>
            <w:tcBorders>
              <w:top w:val="nil"/>
              <w:left w:val="nil"/>
              <w:bottom w:val="nil"/>
              <w:right w:val="nil"/>
            </w:tcBorders>
            <w:shd w:val="clear" w:color="auto" w:fill="auto"/>
            <w:noWrap/>
            <w:vAlign w:val="bottom"/>
            <w:hideMark/>
          </w:tcPr>
          <w:p w:rsidR="00C46164" w:rsidRPr="006F09AB" w:rsidRDefault="00C46164" w:rsidP="00C46164">
            <w:pPr>
              <w:jc w:val="right"/>
              <w:rPr>
                <w:sz w:val="20"/>
                <w:szCs w:val="20"/>
                <w:u w:val="single"/>
              </w:rPr>
            </w:pPr>
            <w:r w:rsidRPr="006F09AB">
              <w:rPr>
                <w:sz w:val="20"/>
                <w:szCs w:val="20"/>
                <w:u w:val="single"/>
              </w:rPr>
              <w:t xml:space="preserve">117,663 </w:t>
            </w:r>
          </w:p>
        </w:tc>
        <w:tc>
          <w:tcPr>
            <w:tcW w:w="1116" w:type="dxa"/>
            <w:tcBorders>
              <w:top w:val="nil"/>
              <w:left w:val="nil"/>
              <w:bottom w:val="nil"/>
              <w:right w:val="nil"/>
            </w:tcBorders>
            <w:shd w:val="clear" w:color="auto" w:fill="auto"/>
            <w:noWrap/>
            <w:vAlign w:val="bottom"/>
            <w:hideMark/>
          </w:tcPr>
          <w:p w:rsidR="00C46164" w:rsidRPr="006F09AB" w:rsidRDefault="00C46164" w:rsidP="00C46164">
            <w:pPr>
              <w:jc w:val="right"/>
              <w:rPr>
                <w:sz w:val="20"/>
                <w:szCs w:val="20"/>
                <w:u w:val="single"/>
              </w:rPr>
            </w:pPr>
            <w:r w:rsidRPr="006F09AB">
              <w:rPr>
                <w:sz w:val="20"/>
                <w:szCs w:val="20"/>
                <w:u w:val="single"/>
              </w:rPr>
              <w:t xml:space="preserve">117,663 </w:t>
            </w:r>
          </w:p>
        </w:tc>
        <w:tc>
          <w:tcPr>
            <w:tcW w:w="1120" w:type="dxa"/>
            <w:tcBorders>
              <w:top w:val="nil"/>
              <w:left w:val="nil"/>
              <w:bottom w:val="nil"/>
              <w:right w:val="nil"/>
            </w:tcBorders>
            <w:shd w:val="clear" w:color="auto" w:fill="auto"/>
            <w:noWrap/>
            <w:vAlign w:val="bottom"/>
            <w:hideMark/>
          </w:tcPr>
          <w:p w:rsidR="00C46164" w:rsidRPr="006F09AB" w:rsidRDefault="00C46164" w:rsidP="00C46164">
            <w:pPr>
              <w:jc w:val="right"/>
              <w:rPr>
                <w:sz w:val="20"/>
                <w:szCs w:val="20"/>
                <w:u w:val="single"/>
              </w:rPr>
            </w:pPr>
            <w:r w:rsidRPr="006F09AB">
              <w:rPr>
                <w:sz w:val="20"/>
                <w:szCs w:val="20"/>
                <w:u w:val="single"/>
              </w:rPr>
              <w:t>(72,197)</w:t>
            </w:r>
          </w:p>
        </w:tc>
        <w:tc>
          <w:tcPr>
            <w:tcW w:w="1140" w:type="dxa"/>
            <w:tcBorders>
              <w:top w:val="nil"/>
              <w:left w:val="nil"/>
              <w:bottom w:val="nil"/>
              <w:right w:val="single" w:sz="4" w:space="0" w:color="auto"/>
            </w:tcBorders>
            <w:shd w:val="clear" w:color="auto" w:fill="auto"/>
            <w:noWrap/>
            <w:vAlign w:val="bottom"/>
            <w:hideMark/>
          </w:tcPr>
          <w:p w:rsidR="00C46164" w:rsidRPr="006F09AB" w:rsidRDefault="00C46164" w:rsidP="00C46164">
            <w:pPr>
              <w:jc w:val="right"/>
              <w:rPr>
                <w:sz w:val="20"/>
                <w:szCs w:val="20"/>
                <w:u w:val="single"/>
              </w:rPr>
            </w:pPr>
            <w:r w:rsidRPr="006F09AB">
              <w:rPr>
                <w:sz w:val="20"/>
                <w:szCs w:val="20"/>
                <w:u w:val="single"/>
              </w:rPr>
              <w:t xml:space="preserve">45,466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C46164" w:rsidRDefault="00C46164" w:rsidP="00C46164">
            <w:pPr>
              <w:rPr>
                <w:color w:val="000000"/>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08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16"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20" w:type="dxa"/>
            <w:tcBorders>
              <w:top w:val="nil"/>
              <w:left w:val="nil"/>
              <w:bottom w:val="nil"/>
              <w:right w:val="nil"/>
            </w:tcBorders>
            <w:shd w:val="clear" w:color="auto" w:fill="auto"/>
            <w:noWrap/>
            <w:vAlign w:val="bottom"/>
            <w:hideMark/>
          </w:tcPr>
          <w:p w:rsidR="00C46164" w:rsidRDefault="00C46164" w:rsidP="00C46164">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rPr>
                <w:sz w:val="20"/>
                <w:szCs w:val="20"/>
              </w:rPr>
            </w:pPr>
            <w:r>
              <w:rPr>
                <w:sz w:val="20"/>
                <w:szCs w:val="20"/>
              </w:rPr>
              <w:t> </w:t>
            </w:r>
          </w:p>
        </w:tc>
      </w:tr>
      <w:tr w:rsidR="00C46164" w:rsidTr="00C46164">
        <w:trPr>
          <w:trHeight w:val="270"/>
        </w:trPr>
        <w:tc>
          <w:tcPr>
            <w:tcW w:w="416" w:type="dxa"/>
            <w:tcBorders>
              <w:top w:val="nil"/>
              <w:left w:val="single" w:sz="4" w:space="0" w:color="auto"/>
              <w:bottom w:val="nil"/>
              <w:right w:val="nil"/>
            </w:tcBorders>
            <w:shd w:val="clear" w:color="auto" w:fill="auto"/>
            <w:noWrap/>
            <w:vAlign w:val="bottom"/>
            <w:hideMark/>
          </w:tcPr>
          <w:p w:rsidR="00C46164" w:rsidRDefault="00C46164" w:rsidP="00C46164">
            <w:pPr>
              <w:jc w:val="right"/>
              <w:rPr>
                <w:sz w:val="20"/>
                <w:szCs w:val="20"/>
              </w:rPr>
            </w:pPr>
            <w:r>
              <w:rPr>
                <w:sz w:val="20"/>
                <w:szCs w:val="20"/>
              </w:rPr>
              <w:t>8</w:t>
            </w:r>
          </w:p>
        </w:tc>
        <w:tc>
          <w:tcPr>
            <w:tcW w:w="3660" w:type="dxa"/>
            <w:tcBorders>
              <w:top w:val="nil"/>
              <w:left w:val="nil"/>
              <w:bottom w:val="nil"/>
              <w:right w:val="nil"/>
            </w:tcBorders>
            <w:shd w:val="clear" w:color="auto" w:fill="auto"/>
            <w:noWrap/>
            <w:vAlign w:val="bottom"/>
            <w:hideMark/>
          </w:tcPr>
          <w:p w:rsidR="00C46164" w:rsidRDefault="00C46164" w:rsidP="00C46164">
            <w:pPr>
              <w:rPr>
                <w:b/>
                <w:bCs/>
                <w:sz w:val="20"/>
                <w:szCs w:val="20"/>
              </w:rPr>
            </w:pPr>
            <w:r>
              <w:rPr>
                <w:b/>
                <w:bCs/>
                <w:sz w:val="20"/>
                <w:szCs w:val="20"/>
              </w:rPr>
              <w:t>Rate Base</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u w:val="double"/>
              </w:rPr>
            </w:pPr>
            <w:r>
              <w:rPr>
                <w:sz w:val="20"/>
                <w:szCs w:val="20"/>
                <w:u w:val="double"/>
              </w:rPr>
              <w:t xml:space="preserve">$667,347 </w:t>
            </w:r>
          </w:p>
        </w:tc>
        <w:tc>
          <w:tcPr>
            <w:tcW w:w="1080" w:type="dxa"/>
            <w:tcBorders>
              <w:top w:val="nil"/>
              <w:left w:val="nil"/>
              <w:bottom w:val="nil"/>
              <w:right w:val="nil"/>
            </w:tcBorders>
            <w:shd w:val="clear" w:color="auto" w:fill="auto"/>
            <w:noWrap/>
            <w:vAlign w:val="bottom"/>
            <w:hideMark/>
          </w:tcPr>
          <w:p w:rsidR="00C46164" w:rsidRDefault="00C46164" w:rsidP="00C46164">
            <w:pPr>
              <w:jc w:val="right"/>
              <w:rPr>
                <w:sz w:val="20"/>
                <w:szCs w:val="20"/>
                <w:u w:val="double"/>
              </w:rPr>
            </w:pPr>
            <w:r>
              <w:rPr>
                <w:sz w:val="20"/>
                <w:szCs w:val="20"/>
                <w:u w:val="double"/>
              </w:rPr>
              <w:t xml:space="preserve">$117,663 </w:t>
            </w:r>
          </w:p>
        </w:tc>
        <w:tc>
          <w:tcPr>
            <w:tcW w:w="1116" w:type="dxa"/>
            <w:tcBorders>
              <w:top w:val="nil"/>
              <w:left w:val="nil"/>
              <w:bottom w:val="nil"/>
              <w:right w:val="nil"/>
            </w:tcBorders>
            <w:shd w:val="clear" w:color="auto" w:fill="auto"/>
            <w:noWrap/>
            <w:vAlign w:val="bottom"/>
            <w:hideMark/>
          </w:tcPr>
          <w:p w:rsidR="00C46164" w:rsidRDefault="00C46164" w:rsidP="00C46164">
            <w:pPr>
              <w:jc w:val="right"/>
              <w:rPr>
                <w:sz w:val="20"/>
                <w:szCs w:val="20"/>
                <w:u w:val="double"/>
              </w:rPr>
            </w:pPr>
            <w:r>
              <w:rPr>
                <w:sz w:val="20"/>
                <w:szCs w:val="20"/>
                <w:u w:val="double"/>
              </w:rPr>
              <w:t xml:space="preserve">$785,010 </w:t>
            </w:r>
          </w:p>
        </w:tc>
        <w:tc>
          <w:tcPr>
            <w:tcW w:w="1120" w:type="dxa"/>
            <w:tcBorders>
              <w:top w:val="nil"/>
              <w:left w:val="nil"/>
              <w:bottom w:val="nil"/>
              <w:right w:val="nil"/>
            </w:tcBorders>
            <w:shd w:val="clear" w:color="auto" w:fill="auto"/>
            <w:noWrap/>
            <w:vAlign w:val="bottom"/>
            <w:hideMark/>
          </w:tcPr>
          <w:p w:rsidR="00C46164" w:rsidRDefault="00C46164" w:rsidP="00C46164">
            <w:pPr>
              <w:jc w:val="right"/>
              <w:rPr>
                <w:sz w:val="20"/>
                <w:szCs w:val="20"/>
                <w:u w:val="double"/>
              </w:rPr>
            </w:pPr>
            <w:r>
              <w:rPr>
                <w:sz w:val="20"/>
                <w:szCs w:val="20"/>
                <w:u w:val="double"/>
              </w:rPr>
              <w:t>($138,940)</w:t>
            </w:r>
          </w:p>
        </w:tc>
        <w:tc>
          <w:tcPr>
            <w:tcW w:w="1140" w:type="dxa"/>
            <w:tcBorders>
              <w:top w:val="nil"/>
              <w:left w:val="nil"/>
              <w:bottom w:val="nil"/>
              <w:right w:val="single" w:sz="4" w:space="0" w:color="auto"/>
            </w:tcBorders>
            <w:shd w:val="clear" w:color="auto" w:fill="auto"/>
            <w:noWrap/>
            <w:vAlign w:val="bottom"/>
            <w:hideMark/>
          </w:tcPr>
          <w:p w:rsidR="00C46164" w:rsidRDefault="00C46164" w:rsidP="00C46164">
            <w:pPr>
              <w:jc w:val="right"/>
              <w:rPr>
                <w:sz w:val="20"/>
                <w:szCs w:val="20"/>
                <w:u w:val="double"/>
              </w:rPr>
            </w:pPr>
            <w:r>
              <w:rPr>
                <w:sz w:val="20"/>
                <w:szCs w:val="20"/>
                <w:u w:val="double"/>
              </w:rPr>
              <w:t xml:space="preserve">$646,070 </w:t>
            </w:r>
          </w:p>
        </w:tc>
      </w:tr>
      <w:tr w:rsidR="00C46164" w:rsidTr="00C46164">
        <w:trPr>
          <w:trHeight w:val="270"/>
        </w:trPr>
        <w:tc>
          <w:tcPr>
            <w:tcW w:w="416" w:type="dxa"/>
            <w:tcBorders>
              <w:top w:val="nil"/>
              <w:left w:val="single" w:sz="4" w:space="0" w:color="auto"/>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3660" w:type="dxa"/>
            <w:tcBorders>
              <w:top w:val="nil"/>
              <w:left w:val="nil"/>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1116" w:type="dxa"/>
            <w:tcBorders>
              <w:top w:val="nil"/>
              <w:left w:val="nil"/>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1080" w:type="dxa"/>
            <w:tcBorders>
              <w:top w:val="nil"/>
              <w:left w:val="nil"/>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1116" w:type="dxa"/>
            <w:tcBorders>
              <w:top w:val="nil"/>
              <w:left w:val="nil"/>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1120" w:type="dxa"/>
            <w:tcBorders>
              <w:top w:val="nil"/>
              <w:left w:val="nil"/>
              <w:bottom w:val="single" w:sz="4" w:space="0" w:color="auto"/>
              <w:right w:val="nil"/>
            </w:tcBorders>
            <w:shd w:val="clear" w:color="auto" w:fill="auto"/>
            <w:noWrap/>
            <w:vAlign w:val="bottom"/>
            <w:hideMark/>
          </w:tcPr>
          <w:p w:rsidR="00C46164" w:rsidRDefault="00C46164" w:rsidP="00C46164">
            <w:pPr>
              <w:rPr>
                <w:sz w:val="20"/>
                <w:szCs w:val="20"/>
                <w:u w:val="single"/>
              </w:rPr>
            </w:pPr>
          </w:p>
        </w:tc>
        <w:tc>
          <w:tcPr>
            <w:tcW w:w="1140" w:type="dxa"/>
            <w:tcBorders>
              <w:top w:val="nil"/>
              <w:left w:val="nil"/>
              <w:bottom w:val="single" w:sz="4" w:space="0" w:color="auto"/>
              <w:right w:val="single" w:sz="4" w:space="0" w:color="auto"/>
            </w:tcBorders>
            <w:shd w:val="clear" w:color="auto" w:fill="auto"/>
            <w:noWrap/>
            <w:vAlign w:val="bottom"/>
            <w:hideMark/>
          </w:tcPr>
          <w:p w:rsidR="00C46164" w:rsidRDefault="00C46164" w:rsidP="00C46164">
            <w:pPr>
              <w:rPr>
                <w:sz w:val="20"/>
                <w:szCs w:val="20"/>
                <w:u w:val="single"/>
              </w:rPr>
            </w:pPr>
          </w:p>
        </w:tc>
      </w:tr>
    </w:tbl>
    <w:p w:rsidR="00C46164" w:rsidRDefault="00C46164" w:rsidP="007E53CC">
      <w:pPr>
        <w:pStyle w:val="OrderBody"/>
        <w:sectPr w:rsidR="00C46164">
          <w:headerReference w:type="first" r:id="rId11"/>
          <w:pgSz w:w="12240" w:h="15840" w:code="1"/>
          <w:pgMar w:top="1440" w:right="1440" w:bottom="1440" w:left="1440" w:header="720" w:footer="720" w:gutter="0"/>
          <w:cols w:space="720"/>
          <w:titlePg/>
          <w:docGrid w:linePitch="360"/>
        </w:sectPr>
      </w:pPr>
    </w:p>
    <w:p w:rsidR="00C46164" w:rsidRDefault="00C46164" w:rsidP="007E53CC">
      <w:pPr>
        <w:pStyle w:val="OrderBody"/>
      </w:pPr>
    </w:p>
    <w:tbl>
      <w:tblPr>
        <w:tblpPr w:leftFromText="180" w:rightFromText="180" w:vertAnchor="text" w:horzAnchor="margin" w:tblpY="8"/>
        <w:tblW w:w="96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
        <w:gridCol w:w="5940"/>
        <w:gridCol w:w="1260"/>
        <w:gridCol w:w="1710"/>
        <w:gridCol w:w="360"/>
      </w:tblGrid>
      <w:tr w:rsidR="00D222F6" w:rsidRPr="00192E4E" w:rsidTr="00BC6809">
        <w:trPr>
          <w:trHeight w:val="270"/>
        </w:trPr>
        <w:tc>
          <w:tcPr>
            <w:tcW w:w="378" w:type="dxa"/>
            <w:tcBorders>
              <w:top w:val="single" w:sz="4" w:space="0" w:color="auto"/>
              <w:bottom w:val="nil"/>
            </w:tcBorders>
            <w:shd w:val="clear" w:color="000000" w:fill="FFFFFF"/>
            <w:noWrap/>
            <w:vAlign w:val="bottom"/>
            <w:hideMark/>
          </w:tcPr>
          <w:p w:rsidR="00D222F6" w:rsidRPr="00192E4E" w:rsidRDefault="00D222F6" w:rsidP="00BC6809">
            <w:pPr>
              <w:rPr>
                <w:sz w:val="20"/>
                <w:szCs w:val="20"/>
              </w:rPr>
            </w:pPr>
            <w:bookmarkStart w:id="10" w:name="RANGE!B5:E22"/>
            <w:r w:rsidRPr="00192E4E">
              <w:rPr>
                <w:sz w:val="20"/>
                <w:szCs w:val="20"/>
              </w:rPr>
              <w:t> </w:t>
            </w:r>
            <w:bookmarkEnd w:id="10"/>
          </w:p>
        </w:tc>
        <w:tc>
          <w:tcPr>
            <w:tcW w:w="5940" w:type="dxa"/>
            <w:tcBorders>
              <w:top w:val="single" w:sz="4" w:space="0" w:color="auto"/>
              <w:bottom w:val="nil"/>
            </w:tcBorders>
            <w:shd w:val="clear" w:color="000000" w:fill="FFFFFF"/>
            <w:noWrap/>
            <w:vAlign w:val="bottom"/>
            <w:hideMark/>
          </w:tcPr>
          <w:p w:rsidR="00D222F6" w:rsidRPr="00192E4E" w:rsidRDefault="00D222F6" w:rsidP="00BC6809">
            <w:pPr>
              <w:rPr>
                <w:b/>
                <w:bCs/>
                <w:sz w:val="20"/>
                <w:szCs w:val="20"/>
              </w:rPr>
            </w:pPr>
            <w:r>
              <w:rPr>
                <w:b/>
                <w:bCs/>
                <w:sz w:val="20"/>
                <w:szCs w:val="20"/>
              </w:rPr>
              <w:t>Bocilla Utilities, Inc.</w:t>
            </w:r>
          </w:p>
        </w:tc>
        <w:tc>
          <w:tcPr>
            <w:tcW w:w="2970" w:type="dxa"/>
            <w:gridSpan w:val="2"/>
            <w:tcBorders>
              <w:top w:val="single" w:sz="4" w:space="0" w:color="auto"/>
              <w:bottom w:val="nil"/>
            </w:tcBorders>
            <w:shd w:val="clear" w:color="000000" w:fill="FFFFFF"/>
            <w:noWrap/>
            <w:vAlign w:val="bottom"/>
            <w:hideMark/>
          </w:tcPr>
          <w:p w:rsidR="00D222F6" w:rsidRPr="00192E4E" w:rsidRDefault="00D222F6" w:rsidP="00BC6809">
            <w:pPr>
              <w:jc w:val="right"/>
              <w:rPr>
                <w:b/>
                <w:bCs/>
                <w:sz w:val="20"/>
                <w:szCs w:val="20"/>
              </w:rPr>
            </w:pPr>
            <w:r>
              <w:rPr>
                <w:b/>
                <w:bCs/>
                <w:sz w:val="20"/>
                <w:szCs w:val="20"/>
              </w:rPr>
              <w:t>Schedule No. 1-B</w:t>
            </w:r>
          </w:p>
        </w:tc>
        <w:tc>
          <w:tcPr>
            <w:tcW w:w="360" w:type="dxa"/>
            <w:tcBorders>
              <w:top w:val="single" w:sz="4" w:space="0" w:color="auto"/>
              <w:bottom w:val="nil"/>
            </w:tcBorders>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tcBorders>
              <w:top w:val="nil"/>
              <w:bottom w:val="nil"/>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5940" w:type="dxa"/>
            <w:tcBorders>
              <w:top w:val="nil"/>
              <w:bottom w:val="nil"/>
            </w:tcBorders>
            <w:shd w:val="clear" w:color="000000" w:fill="FFFFFF"/>
            <w:noWrap/>
            <w:vAlign w:val="bottom"/>
            <w:hideMark/>
          </w:tcPr>
          <w:p w:rsidR="00D222F6" w:rsidRPr="00192E4E" w:rsidRDefault="00D222F6" w:rsidP="00BC6809">
            <w:pPr>
              <w:rPr>
                <w:b/>
                <w:bCs/>
                <w:sz w:val="20"/>
                <w:szCs w:val="20"/>
              </w:rPr>
            </w:pPr>
            <w:r w:rsidRPr="00192E4E">
              <w:rPr>
                <w:b/>
                <w:bCs/>
                <w:sz w:val="20"/>
                <w:szCs w:val="20"/>
              </w:rPr>
              <w:t>Adjustments to Rate Base</w:t>
            </w:r>
          </w:p>
        </w:tc>
        <w:tc>
          <w:tcPr>
            <w:tcW w:w="2970" w:type="dxa"/>
            <w:gridSpan w:val="2"/>
            <w:tcBorders>
              <w:top w:val="nil"/>
              <w:bottom w:val="nil"/>
            </w:tcBorders>
            <w:shd w:val="clear" w:color="000000" w:fill="FFFFFF"/>
            <w:noWrap/>
            <w:vAlign w:val="bottom"/>
            <w:hideMark/>
          </w:tcPr>
          <w:p w:rsidR="00D222F6" w:rsidRPr="00192E4E" w:rsidRDefault="00D222F6" w:rsidP="00BC6809">
            <w:pPr>
              <w:jc w:val="right"/>
              <w:rPr>
                <w:b/>
                <w:bCs/>
                <w:sz w:val="20"/>
                <w:szCs w:val="20"/>
              </w:rPr>
            </w:pPr>
            <w:r>
              <w:rPr>
                <w:b/>
                <w:bCs/>
                <w:sz w:val="20"/>
                <w:szCs w:val="20"/>
              </w:rPr>
              <w:t>Docket No. 160065-WU</w:t>
            </w:r>
          </w:p>
        </w:tc>
        <w:tc>
          <w:tcPr>
            <w:tcW w:w="360" w:type="dxa"/>
            <w:tcBorders>
              <w:top w:val="nil"/>
              <w:bottom w:val="nil"/>
            </w:tcBorders>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tcBorders>
              <w:top w:val="nil"/>
              <w:bottom w:val="single" w:sz="4" w:space="0" w:color="auto"/>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5940" w:type="dxa"/>
            <w:tcBorders>
              <w:top w:val="nil"/>
              <w:bottom w:val="single" w:sz="4" w:space="0" w:color="auto"/>
            </w:tcBorders>
            <w:shd w:val="clear" w:color="000000" w:fill="FFFFFF"/>
            <w:noWrap/>
            <w:vAlign w:val="bottom"/>
            <w:hideMark/>
          </w:tcPr>
          <w:p w:rsidR="00D222F6" w:rsidRPr="00192E4E" w:rsidRDefault="00D222F6" w:rsidP="00BC6809">
            <w:pPr>
              <w:rPr>
                <w:b/>
                <w:bCs/>
                <w:sz w:val="20"/>
                <w:szCs w:val="20"/>
              </w:rPr>
            </w:pPr>
            <w:r w:rsidRPr="00192E4E">
              <w:rPr>
                <w:b/>
                <w:bCs/>
                <w:sz w:val="20"/>
                <w:szCs w:val="20"/>
              </w:rPr>
              <w:t>Test Year Ended 12/31/15</w:t>
            </w:r>
          </w:p>
        </w:tc>
        <w:tc>
          <w:tcPr>
            <w:tcW w:w="1260" w:type="dxa"/>
            <w:tcBorders>
              <w:top w:val="nil"/>
              <w:bottom w:val="single" w:sz="4" w:space="0" w:color="auto"/>
            </w:tcBorders>
            <w:shd w:val="clear" w:color="000000" w:fill="FFFFFF"/>
            <w:noWrap/>
            <w:vAlign w:val="bottom"/>
            <w:hideMark/>
          </w:tcPr>
          <w:p w:rsidR="00D222F6" w:rsidRPr="00192E4E" w:rsidRDefault="00D222F6" w:rsidP="00BC6809">
            <w:pPr>
              <w:jc w:val="right"/>
              <w:rPr>
                <w:b/>
                <w:bCs/>
                <w:sz w:val="20"/>
                <w:szCs w:val="20"/>
              </w:rPr>
            </w:pPr>
            <w:r w:rsidRPr="00192E4E">
              <w:rPr>
                <w:b/>
                <w:bCs/>
                <w:sz w:val="20"/>
                <w:szCs w:val="20"/>
              </w:rPr>
              <w:t> </w:t>
            </w:r>
          </w:p>
        </w:tc>
        <w:tc>
          <w:tcPr>
            <w:tcW w:w="1710" w:type="dxa"/>
            <w:tcBorders>
              <w:top w:val="nil"/>
              <w:bottom w:val="single" w:sz="4" w:space="0" w:color="auto"/>
            </w:tcBorders>
            <w:shd w:val="clear" w:color="000000" w:fill="FFFFFF"/>
            <w:noWrap/>
            <w:vAlign w:val="bottom"/>
            <w:hideMark/>
          </w:tcPr>
          <w:p w:rsidR="00D222F6" w:rsidRPr="00192E4E" w:rsidRDefault="00D222F6" w:rsidP="00BC6809">
            <w:pPr>
              <w:rPr>
                <w:b/>
                <w:bCs/>
                <w:sz w:val="20"/>
                <w:szCs w:val="20"/>
              </w:rPr>
            </w:pPr>
            <w:r w:rsidRPr="00192E4E">
              <w:rPr>
                <w:b/>
                <w:bCs/>
                <w:sz w:val="20"/>
                <w:szCs w:val="20"/>
              </w:rPr>
              <w:t> </w:t>
            </w:r>
          </w:p>
        </w:tc>
        <w:tc>
          <w:tcPr>
            <w:tcW w:w="360" w:type="dxa"/>
            <w:tcBorders>
              <w:top w:val="nil"/>
              <w:bottom w:val="single" w:sz="4" w:space="0" w:color="auto"/>
            </w:tcBorders>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tcBorders>
              <w:top w:val="single" w:sz="4" w:space="0" w:color="auto"/>
              <w:bottom w:val="nil"/>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5940" w:type="dxa"/>
            <w:tcBorders>
              <w:top w:val="single" w:sz="4" w:space="0" w:color="auto"/>
              <w:bottom w:val="nil"/>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1260" w:type="dxa"/>
            <w:tcBorders>
              <w:top w:val="single" w:sz="4" w:space="0" w:color="auto"/>
              <w:bottom w:val="nil"/>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1710" w:type="dxa"/>
            <w:tcBorders>
              <w:top w:val="single" w:sz="4" w:space="0" w:color="auto"/>
              <w:bottom w:val="nil"/>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360" w:type="dxa"/>
            <w:tcBorders>
              <w:top w:val="single" w:sz="4" w:space="0" w:color="auto"/>
              <w:bottom w:val="nil"/>
            </w:tcBorders>
            <w:shd w:val="clear" w:color="auto" w:fill="auto"/>
            <w:noWrap/>
            <w:vAlign w:val="bottom"/>
          </w:tcPr>
          <w:p w:rsidR="00D222F6" w:rsidRPr="00192E4E" w:rsidRDefault="00D222F6" w:rsidP="00BC6809">
            <w:pPr>
              <w:rPr>
                <w:sz w:val="20"/>
                <w:szCs w:val="20"/>
              </w:rPr>
            </w:pPr>
          </w:p>
        </w:tc>
      </w:tr>
      <w:tr w:rsidR="00D222F6" w:rsidRPr="00192E4E" w:rsidTr="00BC6809">
        <w:trPr>
          <w:trHeight w:val="270"/>
        </w:trPr>
        <w:tc>
          <w:tcPr>
            <w:tcW w:w="378" w:type="dxa"/>
            <w:tcBorders>
              <w:top w:val="nil"/>
              <w:bottom w:val="nil"/>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7200" w:type="dxa"/>
            <w:gridSpan w:val="2"/>
            <w:tcBorders>
              <w:top w:val="nil"/>
              <w:bottom w:val="nil"/>
            </w:tcBorders>
            <w:shd w:val="clear" w:color="auto" w:fill="auto"/>
            <w:noWrap/>
            <w:vAlign w:val="bottom"/>
            <w:hideMark/>
          </w:tcPr>
          <w:p w:rsidR="00D222F6" w:rsidRPr="00192E4E" w:rsidRDefault="00D222F6" w:rsidP="00BC6809">
            <w:pPr>
              <w:rPr>
                <w:b/>
                <w:bCs/>
                <w:sz w:val="20"/>
                <w:szCs w:val="20"/>
              </w:rPr>
            </w:pPr>
            <w:r w:rsidRPr="00192E4E">
              <w:rPr>
                <w:b/>
                <w:bCs/>
                <w:sz w:val="20"/>
                <w:szCs w:val="20"/>
              </w:rPr>
              <w:t>Explanation</w:t>
            </w:r>
          </w:p>
        </w:tc>
        <w:tc>
          <w:tcPr>
            <w:tcW w:w="1710" w:type="dxa"/>
            <w:tcBorders>
              <w:top w:val="nil"/>
              <w:bottom w:val="nil"/>
            </w:tcBorders>
            <w:shd w:val="clear" w:color="auto" w:fill="auto"/>
            <w:noWrap/>
            <w:vAlign w:val="bottom"/>
            <w:hideMark/>
          </w:tcPr>
          <w:p w:rsidR="00D222F6" w:rsidRPr="00192E4E" w:rsidRDefault="00D222F6" w:rsidP="00BC6809">
            <w:pPr>
              <w:jc w:val="center"/>
              <w:rPr>
                <w:b/>
                <w:bCs/>
                <w:sz w:val="20"/>
                <w:szCs w:val="20"/>
              </w:rPr>
            </w:pPr>
            <w:r w:rsidRPr="00192E4E">
              <w:rPr>
                <w:b/>
                <w:bCs/>
                <w:sz w:val="20"/>
                <w:szCs w:val="20"/>
              </w:rPr>
              <w:t>Water</w:t>
            </w:r>
          </w:p>
        </w:tc>
        <w:tc>
          <w:tcPr>
            <w:tcW w:w="360" w:type="dxa"/>
            <w:tcBorders>
              <w:top w:val="nil"/>
              <w:bottom w:val="nil"/>
            </w:tcBorders>
            <w:shd w:val="clear" w:color="auto" w:fill="auto"/>
            <w:noWrap/>
            <w:vAlign w:val="bottom"/>
          </w:tcPr>
          <w:p w:rsidR="00D222F6" w:rsidRPr="00192E4E" w:rsidRDefault="00D222F6" w:rsidP="00BC6809">
            <w:pPr>
              <w:jc w:val="center"/>
              <w:rPr>
                <w:sz w:val="20"/>
                <w:szCs w:val="20"/>
              </w:rPr>
            </w:pPr>
          </w:p>
        </w:tc>
      </w:tr>
      <w:tr w:rsidR="00D222F6" w:rsidRPr="00192E4E" w:rsidTr="00BC6809">
        <w:trPr>
          <w:trHeight w:val="270"/>
        </w:trPr>
        <w:tc>
          <w:tcPr>
            <w:tcW w:w="378" w:type="dxa"/>
            <w:tcBorders>
              <w:top w:val="nil"/>
              <w:bottom w:val="single" w:sz="4" w:space="0" w:color="auto"/>
            </w:tcBorders>
            <w:shd w:val="clear" w:color="auto" w:fill="auto"/>
            <w:noWrap/>
            <w:vAlign w:val="bottom"/>
            <w:hideMark/>
          </w:tcPr>
          <w:p w:rsidR="00D222F6" w:rsidRPr="00192E4E" w:rsidRDefault="00D222F6" w:rsidP="00BC6809">
            <w:pPr>
              <w:rPr>
                <w:sz w:val="20"/>
                <w:szCs w:val="20"/>
              </w:rPr>
            </w:pPr>
            <w:r w:rsidRPr="00192E4E">
              <w:rPr>
                <w:sz w:val="20"/>
                <w:szCs w:val="20"/>
              </w:rPr>
              <w:t> </w:t>
            </w:r>
          </w:p>
        </w:tc>
        <w:tc>
          <w:tcPr>
            <w:tcW w:w="5940" w:type="dxa"/>
            <w:tcBorders>
              <w:top w:val="nil"/>
              <w:bottom w:val="single" w:sz="4" w:space="0" w:color="auto"/>
            </w:tcBorders>
            <w:shd w:val="clear" w:color="auto" w:fill="auto"/>
            <w:noWrap/>
            <w:vAlign w:val="bottom"/>
            <w:hideMark/>
          </w:tcPr>
          <w:p w:rsidR="00D222F6" w:rsidRPr="00192E4E" w:rsidRDefault="00D222F6" w:rsidP="00BC6809">
            <w:pPr>
              <w:rPr>
                <w:sz w:val="20"/>
                <w:szCs w:val="20"/>
              </w:rPr>
            </w:pPr>
          </w:p>
        </w:tc>
        <w:tc>
          <w:tcPr>
            <w:tcW w:w="1260" w:type="dxa"/>
            <w:tcBorders>
              <w:top w:val="nil"/>
              <w:bottom w:val="single" w:sz="4" w:space="0" w:color="auto"/>
            </w:tcBorders>
            <w:shd w:val="clear" w:color="auto" w:fill="auto"/>
            <w:noWrap/>
            <w:vAlign w:val="bottom"/>
          </w:tcPr>
          <w:p w:rsidR="00D222F6" w:rsidRPr="00192E4E" w:rsidRDefault="00D222F6" w:rsidP="00BC6809">
            <w:pPr>
              <w:rPr>
                <w:sz w:val="20"/>
                <w:szCs w:val="20"/>
              </w:rPr>
            </w:pPr>
          </w:p>
        </w:tc>
        <w:tc>
          <w:tcPr>
            <w:tcW w:w="1710" w:type="dxa"/>
            <w:tcBorders>
              <w:top w:val="nil"/>
              <w:bottom w:val="single" w:sz="4" w:space="0" w:color="auto"/>
            </w:tcBorders>
            <w:shd w:val="clear" w:color="auto" w:fill="auto"/>
            <w:noWrap/>
            <w:vAlign w:val="bottom"/>
            <w:hideMark/>
          </w:tcPr>
          <w:p w:rsidR="00D222F6" w:rsidRPr="00192E4E" w:rsidRDefault="00D222F6" w:rsidP="00BC6809">
            <w:pPr>
              <w:rPr>
                <w:sz w:val="20"/>
                <w:szCs w:val="20"/>
              </w:rPr>
            </w:pPr>
          </w:p>
        </w:tc>
        <w:tc>
          <w:tcPr>
            <w:tcW w:w="360" w:type="dxa"/>
            <w:tcBorders>
              <w:top w:val="nil"/>
              <w:bottom w:val="single" w:sz="4" w:space="0" w:color="auto"/>
            </w:tcBorders>
            <w:shd w:val="clear" w:color="auto" w:fill="auto"/>
            <w:noWrap/>
            <w:vAlign w:val="bottom"/>
          </w:tcPr>
          <w:p w:rsidR="00D222F6" w:rsidRPr="00192E4E" w:rsidRDefault="00D222F6" w:rsidP="00BC6809">
            <w:pPr>
              <w:rPr>
                <w:sz w:val="20"/>
                <w:szCs w:val="20"/>
              </w:rPr>
            </w:pPr>
          </w:p>
        </w:tc>
      </w:tr>
      <w:tr w:rsidR="00D222F6" w:rsidRPr="00192E4E" w:rsidTr="00BC6809">
        <w:trPr>
          <w:trHeight w:val="270"/>
        </w:trPr>
        <w:tc>
          <w:tcPr>
            <w:tcW w:w="378" w:type="dxa"/>
            <w:tcBorders>
              <w:top w:val="single" w:sz="4" w:space="0" w:color="auto"/>
            </w:tcBorders>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tcBorders>
              <w:top w:val="single" w:sz="4" w:space="0" w:color="auto"/>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1260" w:type="dxa"/>
            <w:tcBorders>
              <w:top w:val="single" w:sz="4" w:space="0" w:color="auto"/>
            </w:tcBorders>
            <w:shd w:val="clear" w:color="000000" w:fill="FFFFFF"/>
            <w:noWrap/>
            <w:vAlign w:val="bottom"/>
          </w:tcPr>
          <w:p w:rsidR="00D222F6" w:rsidRPr="00192E4E" w:rsidRDefault="00D222F6" w:rsidP="00BC6809">
            <w:pPr>
              <w:rPr>
                <w:sz w:val="20"/>
                <w:szCs w:val="20"/>
              </w:rPr>
            </w:pPr>
          </w:p>
        </w:tc>
        <w:tc>
          <w:tcPr>
            <w:tcW w:w="1710" w:type="dxa"/>
            <w:tcBorders>
              <w:top w:val="single" w:sz="4" w:space="0" w:color="auto"/>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tcBorders>
              <w:top w:val="single" w:sz="4" w:space="0" w:color="auto"/>
            </w:tcBorders>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u w:val="single"/>
              </w:rPr>
            </w:pPr>
            <w:r w:rsidRPr="00192E4E">
              <w:rPr>
                <w:sz w:val="20"/>
                <w:szCs w:val="20"/>
                <w:u w:val="single"/>
              </w:rPr>
              <w:t>Plant In Service</w:t>
            </w:r>
          </w:p>
        </w:tc>
        <w:tc>
          <w:tcPr>
            <w:tcW w:w="1260" w:type="dxa"/>
            <w:shd w:val="clear" w:color="000000" w:fill="FFFFFF"/>
            <w:noWrap/>
            <w:vAlign w:val="bottom"/>
          </w:tcPr>
          <w:p w:rsidR="00D222F6" w:rsidRPr="00192E4E" w:rsidRDefault="00D222F6" w:rsidP="00BC6809">
            <w:pPr>
              <w:rPr>
                <w:sz w:val="20"/>
                <w:szCs w:val="20"/>
              </w:rPr>
            </w:pPr>
          </w:p>
        </w:tc>
        <w:tc>
          <w:tcPr>
            <w:tcW w:w="1710" w:type="dxa"/>
            <w:tcBorders>
              <w:bottom w:val="nil"/>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rPr>
                <w:sz w:val="20"/>
                <w:szCs w:val="20"/>
              </w:rPr>
            </w:pPr>
            <w:r>
              <w:rPr>
                <w:sz w:val="20"/>
                <w:szCs w:val="20"/>
              </w:rPr>
              <w:t>1</w:t>
            </w:r>
          </w:p>
        </w:tc>
        <w:tc>
          <w:tcPr>
            <w:tcW w:w="5940" w:type="dxa"/>
            <w:shd w:val="clear" w:color="000000" w:fill="FFFFFF"/>
            <w:noWrap/>
            <w:vAlign w:val="bottom"/>
            <w:hideMark/>
          </w:tcPr>
          <w:p w:rsidR="00D222F6" w:rsidRPr="00192E4E" w:rsidRDefault="00D222F6" w:rsidP="00BC6809">
            <w:pPr>
              <w:rPr>
                <w:sz w:val="20"/>
                <w:szCs w:val="20"/>
              </w:rPr>
            </w:pPr>
            <w:r>
              <w:rPr>
                <w:sz w:val="20"/>
                <w:szCs w:val="20"/>
              </w:rPr>
              <w:t>Remove duplicate land</w:t>
            </w:r>
            <w:r w:rsidRPr="00192E4E">
              <w:rPr>
                <w:sz w:val="20"/>
                <w:szCs w:val="20"/>
              </w:rPr>
              <w:t>. (Issue 2)</w:t>
            </w:r>
          </w:p>
        </w:tc>
        <w:tc>
          <w:tcPr>
            <w:tcW w:w="1260" w:type="dxa"/>
            <w:tcBorders>
              <w:right w:val="nil"/>
            </w:tcBorders>
            <w:shd w:val="clear" w:color="000000" w:fill="FFFFFF"/>
            <w:noWrap/>
            <w:vAlign w:val="bottom"/>
          </w:tcPr>
          <w:p w:rsidR="00D222F6" w:rsidRPr="00192E4E" w:rsidRDefault="00D222F6" w:rsidP="00BC6809">
            <w:pPr>
              <w:jc w:val="right"/>
              <w:rPr>
                <w:sz w:val="20"/>
                <w:szCs w:val="20"/>
                <w:u w:val="double"/>
              </w:rPr>
            </w:pPr>
          </w:p>
        </w:tc>
        <w:tc>
          <w:tcPr>
            <w:tcW w:w="1710" w:type="dxa"/>
            <w:tcBorders>
              <w:top w:val="nil"/>
              <w:left w:val="nil"/>
              <w:bottom w:val="nil"/>
              <w:right w:val="nil"/>
            </w:tcBorders>
            <w:shd w:val="clear" w:color="000000" w:fill="FFFFFF"/>
            <w:noWrap/>
            <w:vAlign w:val="bottom"/>
            <w:hideMark/>
          </w:tcPr>
          <w:p w:rsidR="00D222F6" w:rsidRPr="007D2704" w:rsidRDefault="00D222F6" w:rsidP="00BC6809">
            <w:pPr>
              <w:jc w:val="right"/>
              <w:rPr>
                <w:sz w:val="20"/>
                <w:szCs w:val="20"/>
              </w:rPr>
            </w:pPr>
            <w:r w:rsidRPr="007D2704">
              <w:rPr>
                <w:sz w:val="20"/>
                <w:szCs w:val="20"/>
              </w:rPr>
              <w:t>($44,000)</w:t>
            </w:r>
          </w:p>
        </w:tc>
        <w:tc>
          <w:tcPr>
            <w:tcW w:w="360" w:type="dxa"/>
            <w:tcBorders>
              <w:left w:val="nil"/>
            </w:tcBorders>
            <w:shd w:val="clear" w:color="000000" w:fill="FFFFFF"/>
            <w:noWrap/>
            <w:vAlign w:val="bottom"/>
          </w:tcPr>
          <w:p w:rsidR="00D222F6" w:rsidRPr="007D2704"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Pr>
                <w:sz w:val="20"/>
                <w:szCs w:val="20"/>
              </w:rPr>
              <w:t>2</w:t>
            </w: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Pr>
                <w:sz w:val="20"/>
                <w:szCs w:val="20"/>
              </w:rPr>
              <w:t>Reflect simple average. (Issue 2)</w:t>
            </w:r>
          </w:p>
        </w:tc>
        <w:tc>
          <w:tcPr>
            <w:tcW w:w="1260" w:type="dxa"/>
            <w:tcBorders>
              <w:right w:val="nil"/>
            </w:tcBorders>
            <w:shd w:val="clear" w:color="000000" w:fill="FFFFFF"/>
            <w:noWrap/>
            <w:vAlign w:val="bottom"/>
          </w:tcPr>
          <w:p w:rsidR="00D222F6" w:rsidRPr="00192E4E" w:rsidRDefault="00D222F6" w:rsidP="00BC6809">
            <w:pPr>
              <w:rPr>
                <w:sz w:val="20"/>
                <w:szCs w:val="20"/>
              </w:rPr>
            </w:pPr>
          </w:p>
        </w:tc>
        <w:tc>
          <w:tcPr>
            <w:tcW w:w="1710" w:type="dxa"/>
            <w:tcBorders>
              <w:top w:val="nil"/>
              <w:left w:val="nil"/>
              <w:bottom w:val="nil"/>
              <w:right w:val="nil"/>
            </w:tcBorders>
            <w:shd w:val="clear" w:color="000000" w:fill="FFFFFF"/>
            <w:noWrap/>
            <w:vAlign w:val="bottom"/>
            <w:hideMark/>
          </w:tcPr>
          <w:p w:rsidR="00D222F6" w:rsidRPr="006F09AB" w:rsidRDefault="00D222F6" w:rsidP="00BC6809">
            <w:pPr>
              <w:jc w:val="right"/>
              <w:rPr>
                <w:sz w:val="20"/>
                <w:szCs w:val="20"/>
                <w:u w:val="single"/>
              </w:rPr>
            </w:pPr>
            <w:r>
              <w:rPr>
                <w:sz w:val="20"/>
                <w:szCs w:val="20"/>
                <w:u w:val="single"/>
              </w:rPr>
              <w:t>(</w:t>
            </w:r>
            <w:r w:rsidRPr="006F09AB">
              <w:rPr>
                <w:sz w:val="20"/>
                <w:szCs w:val="20"/>
                <w:u w:val="single"/>
              </w:rPr>
              <w:t>23,143)</w:t>
            </w:r>
          </w:p>
        </w:tc>
        <w:tc>
          <w:tcPr>
            <w:tcW w:w="360" w:type="dxa"/>
            <w:tcBorders>
              <w:left w:val="nil"/>
            </w:tcBorders>
            <w:shd w:val="clear" w:color="000000" w:fill="FFFFFF"/>
            <w:noWrap/>
            <w:vAlign w:val="bottom"/>
          </w:tcPr>
          <w:p w:rsidR="00D222F6" w:rsidRPr="006F09AB" w:rsidRDefault="00D222F6" w:rsidP="00BC6809">
            <w:pPr>
              <w:rPr>
                <w:sz w:val="20"/>
                <w:szCs w:val="20"/>
                <w:u w:val="single"/>
              </w:rPr>
            </w:pPr>
          </w:p>
        </w:tc>
      </w:tr>
      <w:tr w:rsidR="00D222F6" w:rsidRPr="00192E4E" w:rsidTr="00BC6809">
        <w:trPr>
          <w:trHeight w:val="270"/>
        </w:trPr>
        <w:tc>
          <w:tcPr>
            <w:tcW w:w="378" w:type="dxa"/>
            <w:shd w:val="clear" w:color="000000" w:fill="FFFFFF"/>
            <w:noWrap/>
            <w:vAlign w:val="bottom"/>
          </w:tcPr>
          <w:p w:rsidR="00D222F6" w:rsidRPr="00192E4E" w:rsidRDefault="00D222F6" w:rsidP="00BC6809">
            <w:pPr>
              <w:jc w:val="center"/>
              <w:rPr>
                <w:sz w:val="20"/>
                <w:szCs w:val="20"/>
              </w:rPr>
            </w:pPr>
          </w:p>
        </w:tc>
        <w:tc>
          <w:tcPr>
            <w:tcW w:w="5940" w:type="dxa"/>
            <w:shd w:val="clear" w:color="000000" w:fill="FFFFFF"/>
            <w:noWrap/>
            <w:vAlign w:val="bottom"/>
          </w:tcPr>
          <w:p w:rsidR="00D222F6" w:rsidRDefault="00D222F6" w:rsidP="00BC6809">
            <w:pPr>
              <w:rPr>
                <w:sz w:val="20"/>
                <w:szCs w:val="20"/>
              </w:rPr>
            </w:pPr>
            <w:r>
              <w:rPr>
                <w:sz w:val="20"/>
                <w:szCs w:val="20"/>
              </w:rPr>
              <w:t xml:space="preserve">    Total</w:t>
            </w:r>
          </w:p>
        </w:tc>
        <w:tc>
          <w:tcPr>
            <w:tcW w:w="1260" w:type="dxa"/>
            <w:tcBorders>
              <w:right w:val="nil"/>
            </w:tcBorders>
            <w:shd w:val="clear" w:color="000000" w:fill="FFFFFF"/>
            <w:noWrap/>
            <w:vAlign w:val="bottom"/>
          </w:tcPr>
          <w:p w:rsidR="00D222F6" w:rsidRPr="00192E4E" w:rsidRDefault="00D222F6" w:rsidP="00BC6809">
            <w:pPr>
              <w:rPr>
                <w:sz w:val="20"/>
                <w:szCs w:val="20"/>
              </w:rPr>
            </w:pPr>
          </w:p>
        </w:tc>
        <w:tc>
          <w:tcPr>
            <w:tcW w:w="1710" w:type="dxa"/>
            <w:tcBorders>
              <w:top w:val="nil"/>
              <w:left w:val="nil"/>
              <w:bottom w:val="nil"/>
              <w:right w:val="nil"/>
            </w:tcBorders>
            <w:shd w:val="clear" w:color="000000" w:fill="FFFFFF"/>
            <w:noWrap/>
            <w:vAlign w:val="bottom"/>
          </w:tcPr>
          <w:p w:rsidR="00D222F6" w:rsidRPr="00AA19D8" w:rsidRDefault="00D222F6" w:rsidP="00BC6809">
            <w:pPr>
              <w:jc w:val="right"/>
              <w:rPr>
                <w:sz w:val="20"/>
                <w:szCs w:val="20"/>
                <w:u w:val="double"/>
              </w:rPr>
            </w:pPr>
            <w:r w:rsidRPr="00AA19D8">
              <w:rPr>
                <w:sz w:val="20"/>
                <w:szCs w:val="20"/>
                <w:u w:val="double"/>
              </w:rPr>
              <w:t>($67,143)</w:t>
            </w:r>
          </w:p>
        </w:tc>
        <w:tc>
          <w:tcPr>
            <w:tcW w:w="360" w:type="dxa"/>
            <w:tcBorders>
              <w:left w:val="nil"/>
            </w:tcBorders>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tcPr>
          <w:p w:rsidR="00D222F6" w:rsidRPr="00192E4E" w:rsidRDefault="00D222F6" w:rsidP="00BC6809">
            <w:pPr>
              <w:jc w:val="center"/>
              <w:rPr>
                <w:sz w:val="20"/>
                <w:szCs w:val="20"/>
              </w:rPr>
            </w:pPr>
          </w:p>
        </w:tc>
        <w:tc>
          <w:tcPr>
            <w:tcW w:w="5940" w:type="dxa"/>
            <w:shd w:val="clear" w:color="000000" w:fill="FFFFFF"/>
            <w:noWrap/>
            <w:vAlign w:val="bottom"/>
          </w:tcPr>
          <w:p w:rsidR="00D222F6" w:rsidRDefault="00D222F6" w:rsidP="00BC6809">
            <w:pPr>
              <w:rPr>
                <w:sz w:val="20"/>
                <w:szCs w:val="20"/>
                <w:u w:val="single"/>
              </w:rPr>
            </w:pPr>
          </w:p>
        </w:tc>
        <w:tc>
          <w:tcPr>
            <w:tcW w:w="1260" w:type="dxa"/>
            <w:shd w:val="clear" w:color="000000" w:fill="FFFFFF"/>
            <w:noWrap/>
            <w:vAlign w:val="bottom"/>
          </w:tcPr>
          <w:p w:rsidR="00D222F6" w:rsidRPr="00192E4E" w:rsidRDefault="00D222F6" w:rsidP="00BC6809">
            <w:pPr>
              <w:rPr>
                <w:sz w:val="20"/>
                <w:szCs w:val="20"/>
              </w:rPr>
            </w:pPr>
          </w:p>
        </w:tc>
        <w:tc>
          <w:tcPr>
            <w:tcW w:w="1710" w:type="dxa"/>
            <w:tcBorders>
              <w:top w:val="nil"/>
            </w:tcBorders>
            <w:shd w:val="clear" w:color="000000" w:fill="FFFFFF"/>
            <w:noWrap/>
            <w:vAlign w:val="bottom"/>
          </w:tcPr>
          <w:p w:rsidR="00D222F6" w:rsidRPr="00192E4E" w:rsidRDefault="00D222F6" w:rsidP="00BC6809">
            <w:pPr>
              <w:rPr>
                <w:sz w:val="20"/>
                <w:szCs w:val="20"/>
              </w:rPr>
            </w:pP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tcPr>
          <w:p w:rsidR="00D222F6" w:rsidRPr="00192E4E" w:rsidRDefault="00D222F6" w:rsidP="00BC6809">
            <w:pPr>
              <w:jc w:val="center"/>
              <w:rPr>
                <w:sz w:val="20"/>
                <w:szCs w:val="20"/>
              </w:rPr>
            </w:pPr>
          </w:p>
        </w:tc>
        <w:tc>
          <w:tcPr>
            <w:tcW w:w="5940" w:type="dxa"/>
            <w:shd w:val="clear" w:color="000000" w:fill="FFFFFF"/>
            <w:noWrap/>
            <w:vAlign w:val="bottom"/>
          </w:tcPr>
          <w:p w:rsidR="00D222F6" w:rsidRDefault="00D222F6" w:rsidP="00BC6809">
            <w:pPr>
              <w:rPr>
                <w:sz w:val="20"/>
                <w:szCs w:val="20"/>
                <w:u w:val="single"/>
              </w:rPr>
            </w:pPr>
            <w:r>
              <w:rPr>
                <w:sz w:val="20"/>
                <w:szCs w:val="20"/>
                <w:u w:val="single"/>
              </w:rPr>
              <w:t>Construction Work-in-Progress</w:t>
            </w:r>
          </w:p>
        </w:tc>
        <w:tc>
          <w:tcPr>
            <w:tcW w:w="1260" w:type="dxa"/>
            <w:shd w:val="clear" w:color="000000" w:fill="FFFFFF"/>
            <w:noWrap/>
            <w:vAlign w:val="bottom"/>
          </w:tcPr>
          <w:p w:rsidR="00D222F6" w:rsidRPr="00192E4E" w:rsidRDefault="00D222F6" w:rsidP="00BC6809">
            <w:pPr>
              <w:rPr>
                <w:sz w:val="20"/>
                <w:szCs w:val="20"/>
              </w:rPr>
            </w:pPr>
          </w:p>
        </w:tc>
        <w:tc>
          <w:tcPr>
            <w:tcW w:w="1710" w:type="dxa"/>
            <w:tcBorders>
              <w:top w:val="nil"/>
            </w:tcBorders>
            <w:shd w:val="clear" w:color="000000" w:fill="FFFFFF"/>
            <w:noWrap/>
            <w:vAlign w:val="bottom"/>
          </w:tcPr>
          <w:p w:rsidR="00D222F6" w:rsidRPr="00192E4E" w:rsidRDefault="00D222F6" w:rsidP="00BC6809">
            <w:pPr>
              <w:rPr>
                <w:sz w:val="20"/>
                <w:szCs w:val="20"/>
              </w:rPr>
            </w:pP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tcPr>
          <w:p w:rsidR="00D222F6" w:rsidRPr="00192E4E" w:rsidRDefault="00D222F6" w:rsidP="00BC6809">
            <w:pPr>
              <w:jc w:val="center"/>
              <w:rPr>
                <w:sz w:val="20"/>
                <w:szCs w:val="20"/>
              </w:rPr>
            </w:pPr>
          </w:p>
        </w:tc>
        <w:tc>
          <w:tcPr>
            <w:tcW w:w="5940" w:type="dxa"/>
            <w:shd w:val="clear" w:color="000000" w:fill="FFFFFF"/>
            <w:noWrap/>
            <w:vAlign w:val="bottom"/>
          </w:tcPr>
          <w:p w:rsidR="00D222F6" w:rsidRPr="00CF4C6C" w:rsidRDefault="00D222F6" w:rsidP="00BC6809">
            <w:pPr>
              <w:rPr>
                <w:sz w:val="20"/>
                <w:szCs w:val="20"/>
              </w:rPr>
            </w:pPr>
            <w:r w:rsidRPr="00CF4C6C">
              <w:rPr>
                <w:sz w:val="20"/>
                <w:szCs w:val="20"/>
              </w:rPr>
              <w:t>Reconcile to annual report</w:t>
            </w:r>
            <w:r>
              <w:rPr>
                <w:sz w:val="20"/>
                <w:szCs w:val="20"/>
              </w:rPr>
              <w:t>. (Issue 2)</w:t>
            </w:r>
          </w:p>
        </w:tc>
        <w:tc>
          <w:tcPr>
            <w:tcW w:w="1260" w:type="dxa"/>
            <w:shd w:val="clear" w:color="000000" w:fill="FFFFFF"/>
            <w:noWrap/>
            <w:vAlign w:val="bottom"/>
          </w:tcPr>
          <w:p w:rsidR="00D222F6" w:rsidRPr="00192E4E" w:rsidRDefault="00D222F6" w:rsidP="00BC6809">
            <w:pPr>
              <w:rPr>
                <w:sz w:val="20"/>
                <w:szCs w:val="20"/>
              </w:rPr>
            </w:pPr>
          </w:p>
        </w:tc>
        <w:tc>
          <w:tcPr>
            <w:tcW w:w="1710" w:type="dxa"/>
            <w:tcBorders>
              <w:top w:val="nil"/>
            </w:tcBorders>
            <w:shd w:val="clear" w:color="000000" w:fill="FFFFFF"/>
            <w:noWrap/>
            <w:vAlign w:val="bottom"/>
          </w:tcPr>
          <w:p w:rsidR="00D222F6" w:rsidRPr="00CF4C6C" w:rsidRDefault="00D222F6" w:rsidP="00BC6809">
            <w:pPr>
              <w:jc w:val="right"/>
              <w:rPr>
                <w:sz w:val="20"/>
                <w:szCs w:val="20"/>
                <w:u w:val="double"/>
              </w:rPr>
            </w:pPr>
            <w:r w:rsidRPr="00CF4C6C">
              <w:rPr>
                <w:sz w:val="20"/>
                <w:szCs w:val="20"/>
                <w:u w:val="double"/>
              </w:rPr>
              <w:t>($42)</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Default="00D222F6" w:rsidP="00BC6809">
            <w:pPr>
              <w:rPr>
                <w:sz w:val="20"/>
                <w:szCs w:val="20"/>
                <w:u w:val="single"/>
              </w:rPr>
            </w:pPr>
          </w:p>
          <w:p w:rsidR="00D222F6" w:rsidRPr="00192E4E" w:rsidRDefault="00D222F6" w:rsidP="00BC6809">
            <w:pPr>
              <w:rPr>
                <w:sz w:val="20"/>
                <w:szCs w:val="20"/>
                <w:u w:val="single"/>
              </w:rPr>
            </w:pPr>
            <w:r>
              <w:rPr>
                <w:sz w:val="20"/>
                <w:szCs w:val="20"/>
                <w:u w:val="single"/>
              </w:rPr>
              <w:t>CIAC</w:t>
            </w:r>
          </w:p>
        </w:tc>
        <w:tc>
          <w:tcPr>
            <w:tcW w:w="1260" w:type="dxa"/>
            <w:shd w:val="clear" w:color="000000" w:fill="FFFFFF"/>
            <w:noWrap/>
            <w:vAlign w:val="bottom"/>
          </w:tcPr>
          <w:p w:rsidR="00D222F6" w:rsidRPr="00192E4E" w:rsidRDefault="00D222F6" w:rsidP="00BC6809">
            <w:pPr>
              <w:rPr>
                <w:sz w:val="20"/>
                <w:szCs w:val="20"/>
              </w:rPr>
            </w:pPr>
          </w:p>
        </w:tc>
        <w:tc>
          <w:tcPr>
            <w:tcW w:w="1710" w:type="dxa"/>
            <w:tcBorders>
              <w:top w:val="nil"/>
            </w:tcBorders>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Pr>
                <w:sz w:val="20"/>
                <w:szCs w:val="20"/>
              </w:rPr>
              <w:t>Reflect simple average</w:t>
            </w:r>
            <w:r w:rsidRPr="00192E4E">
              <w:rPr>
                <w:sz w:val="20"/>
                <w:szCs w:val="20"/>
              </w:rPr>
              <w:t>. (Issue 2)</w:t>
            </w:r>
          </w:p>
        </w:tc>
        <w:tc>
          <w:tcPr>
            <w:tcW w:w="1260" w:type="dxa"/>
            <w:shd w:val="clear" w:color="000000" w:fill="FFFFFF"/>
            <w:noWrap/>
            <w:vAlign w:val="bottom"/>
          </w:tcPr>
          <w:p w:rsidR="00D222F6" w:rsidRPr="00192E4E" w:rsidRDefault="00D222F6" w:rsidP="00BC6809">
            <w:pPr>
              <w:jc w:val="right"/>
              <w:rPr>
                <w:sz w:val="20"/>
                <w:szCs w:val="20"/>
                <w:u w:val="double"/>
              </w:rPr>
            </w:pPr>
          </w:p>
        </w:tc>
        <w:tc>
          <w:tcPr>
            <w:tcW w:w="1710" w:type="dxa"/>
            <w:shd w:val="clear" w:color="000000" w:fill="FFFFFF"/>
            <w:noWrap/>
            <w:vAlign w:val="bottom"/>
            <w:hideMark/>
          </w:tcPr>
          <w:p w:rsidR="00D222F6" w:rsidRPr="00192E4E" w:rsidRDefault="00D222F6" w:rsidP="00BC6809">
            <w:pPr>
              <w:jc w:val="right"/>
              <w:rPr>
                <w:sz w:val="20"/>
                <w:szCs w:val="20"/>
                <w:u w:val="double"/>
              </w:rPr>
            </w:pPr>
            <w:r>
              <w:rPr>
                <w:sz w:val="20"/>
                <w:szCs w:val="20"/>
                <w:u w:val="double"/>
              </w:rPr>
              <w:t>$346</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1260" w:type="dxa"/>
            <w:shd w:val="clear" w:color="000000" w:fill="FFFFFF"/>
            <w:noWrap/>
            <w:vAlign w:val="bottom"/>
          </w:tcPr>
          <w:p w:rsidR="00D222F6" w:rsidRPr="00192E4E" w:rsidRDefault="00D222F6" w:rsidP="00BC6809">
            <w:pPr>
              <w:rPr>
                <w:sz w:val="20"/>
                <w:szCs w:val="20"/>
              </w:rPr>
            </w:pPr>
          </w:p>
        </w:tc>
        <w:tc>
          <w:tcPr>
            <w:tcW w:w="171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u w:val="single"/>
              </w:rPr>
            </w:pPr>
            <w:r w:rsidRPr="00192E4E">
              <w:rPr>
                <w:sz w:val="20"/>
                <w:szCs w:val="20"/>
                <w:u w:val="single"/>
              </w:rPr>
              <w:t xml:space="preserve">Accumulated </w:t>
            </w:r>
            <w:r>
              <w:rPr>
                <w:sz w:val="20"/>
                <w:szCs w:val="20"/>
                <w:u w:val="single"/>
              </w:rPr>
              <w:t>Amortization of CIAC</w:t>
            </w:r>
          </w:p>
        </w:tc>
        <w:tc>
          <w:tcPr>
            <w:tcW w:w="1260" w:type="dxa"/>
            <w:shd w:val="clear" w:color="000000" w:fill="FFFFFF"/>
            <w:noWrap/>
            <w:vAlign w:val="bottom"/>
          </w:tcPr>
          <w:p w:rsidR="00D222F6" w:rsidRPr="00192E4E" w:rsidRDefault="00D222F6" w:rsidP="00BC6809">
            <w:pPr>
              <w:rPr>
                <w:sz w:val="20"/>
                <w:szCs w:val="20"/>
              </w:rPr>
            </w:pPr>
          </w:p>
        </w:tc>
        <w:tc>
          <w:tcPr>
            <w:tcW w:w="171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u w:val="single"/>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7200" w:type="dxa"/>
            <w:gridSpan w:val="2"/>
            <w:shd w:val="clear" w:color="auto" w:fill="auto"/>
            <w:noWrap/>
            <w:vAlign w:val="bottom"/>
            <w:hideMark/>
          </w:tcPr>
          <w:p w:rsidR="00D222F6" w:rsidRPr="00192E4E" w:rsidRDefault="00D222F6" w:rsidP="00BC6809">
            <w:pPr>
              <w:rPr>
                <w:sz w:val="20"/>
                <w:szCs w:val="20"/>
                <w:u w:val="double"/>
              </w:rPr>
            </w:pPr>
            <w:r w:rsidRPr="00192E4E">
              <w:rPr>
                <w:sz w:val="20"/>
                <w:szCs w:val="20"/>
              </w:rPr>
              <w:t>Re</w:t>
            </w:r>
            <w:r>
              <w:rPr>
                <w:sz w:val="20"/>
                <w:szCs w:val="20"/>
              </w:rPr>
              <w:t>flect simple average</w:t>
            </w:r>
            <w:r w:rsidRPr="00192E4E">
              <w:rPr>
                <w:sz w:val="20"/>
                <w:szCs w:val="20"/>
              </w:rPr>
              <w:t>. (Issue 2)</w:t>
            </w:r>
          </w:p>
        </w:tc>
        <w:tc>
          <w:tcPr>
            <w:tcW w:w="1710" w:type="dxa"/>
            <w:shd w:val="clear" w:color="000000" w:fill="FFFFFF"/>
            <w:noWrap/>
            <w:vAlign w:val="bottom"/>
            <w:hideMark/>
          </w:tcPr>
          <w:p w:rsidR="00D222F6" w:rsidRPr="00192E4E" w:rsidRDefault="00D222F6" w:rsidP="00BC6809">
            <w:pPr>
              <w:jc w:val="right"/>
              <w:rPr>
                <w:sz w:val="20"/>
                <w:szCs w:val="20"/>
                <w:u w:val="double"/>
              </w:rPr>
            </w:pPr>
            <w:r>
              <w:rPr>
                <w:sz w:val="20"/>
                <w:szCs w:val="20"/>
                <w:u w:val="double"/>
              </w:rPr>
              <w:t>$96</w:t>
            </w:r>
            <w:r w:rsidRPr="00192E4E">
              <w:rPr>
                <w:sz w:val="20"/>
                <w:szCs w:val="20"/>
                <w:u w:val="double"/>
              </w:rPr>
              <w:t xml:space="preserve"> </w:t>
            </w:r>
          </w:p>
        </w:tc>
        <w:tc>
          <w:tcPr>
            <w:tcW w:w="360" w:type="dxa"/>
            <w:shd w:val="clear" w:color="000000" w:fill="FFFFFF"/>
            <w:noWrap/>
            <w:vAlign w:val="bottom"/>
          </w:tcPr>
          <w:p w:rsidR="00D222F6" w:rsidRPr="00192E4E" w:rsidRDefault="00D222F6" w:rsidP="00BC6809">
            <w:pPr>
              <w:rPr>
                <w:sz w:val="20"/>
                <w:szCs w:val="20"/>
                <w:u w:val="single"/>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1260" w:type="dxa"/>
            <w:shd w:val="clear" w:color="000000" w:fill="FFFFFF"/>
            <w:noWrap/>
            <w:vAlign w:val="bottom"/>
          </w:tcPr>
          <w:p w:rsidR="00D222F6" w:rsidRPr="00192E4E" w:rsidRDefault="00D222F6" w:rsidP="00BC6809">
            <w:pPr>
              <w:rPr>
                <w:sz w:val="20"/>
                <w:szCs w:val="20"/>
              </w:rPr>
            </w:pPr>
          </w:p>
        </w:tc>
        <w:tc>
          <w:tcPr>
            <w:tcW w:w="171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u w:val="single"/>
              </w:rPr>
            </w:pPr>
            <w:r w:rsidRPr="00192E4E">
              <w:rPr>
                <w:sz w:val="20"/>
                <w:szCs w:val="20"/>
                <w:u w:val="single"/>
              </w:rPr>
              <w:t>Working Capital</w:t>
            </w:r>
          </w:p>
        </w:tc>
        <w:tc>
          <w:tcPr>
            <w:tcW w:w="1260" w:type="dxa"/>
            <w:shd w:val="clear" w:color="000000" w:fill="FFFFFF"/>
            <w:noWrap/>
            <w:vAlign w:val="bottom"/>
          </w:tcPr>
          <w:p w:rsidR="00D222F6" w:rsidRPr="00192E4E" w:rsidRDefault="00D222F6" w:rsidP="00BC6809">
            <w:pPr>
              <w:rPr>
                <w:sz w:val="20"/>
                <w:szCs w:val="20"/>
              </w:rPr>
            </w:pPr>
          </w:p>
        </w:tc>
        <w:tc>
          <w:tcPr>
            <w:tcW w:w="171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Pr>
                <w:sz w:val="20"/>
                <w:szCs w:val="20"/>
              </w:rPr>
              <w:t>Reflect 1/8</w:t>
            </w:r>
            <w:r w:rsidRPr="00AA19D8">
              <w:rPr>
                <w:sz w:val="20"/>
                <w:szCs w:val="20"/>
                <w:vertAlign w:val="superscript"/>
              </w:rPr>
              <w:t>th</w:t>
            </w:r>
            <w:r>
              <w:rPr>
                <w:sz w:val="20"/>
                <w:szCs w:val="20"/>
              </w:rPr>
              <w:t xml:space="preserve"> O&amp;M expense</w:t>
            </w:r>
            <w:r w:rsidRPr="00192E4E">
              <w:rPr>
                <w:sz w:val="20"/>
                <w:szCs w:val="20"/>
              </w:rPr>
              <w:t>. (Issue 2)</w:t>
            </w:r>
          </w:p>
        </w:tc>
        <w:tc>
          <w:tcPr>
            <w:tcW w:w="1260" w:type="dxa"/>
            <w:shd w:val="clear" w:color="auto" w:fill="auto"/>
            <w:noWrap/>
            <w:vAlign w:val="bottom"/>
          </w:tcPr>
          <w:p w:rsidR="00D222F6" w:rsidRPr="00192E4E" w:rsidRDefault="00D222F6" w:rsidP="00BC6809">
            <w:pPr>
              <w:jc w:val="right"/>
              <w:rPr>
                <w:sz w:val="20"/>
                <w:szCs w:val="20"/>
                <w:u w:val="double"/>
              </w:rPr>
            </w:pPr>
          </w:p>
        </w:tc>
        <w:tc>
          <w:tcPr>
            <w:tcW w:w="1710" w:type="dxa"/>
            <w:shd w:val="clear" w:color="000000" w:fill="FFFFFF"/>
            <w:noWrap/>
            <w:vAlign w:val="bottom"/>
            <w:hideMark/>
          </w:tcPr>
          <w:p w:rsidR="00D222F6" w:rsidRPr="00192E4E" w:rsidRDefault="00D222F6" w:rsidP="00BC6809">
            <w:pPr>
              <w:jc w:val="right"/>
              <w:rPr>
                <w:sz w:val="20"/>
                <w:szCs w:val="20"/>
                <w:u w:val="double"/>
              </w:rPr>
            </w:pPr>
            <w:r>
              <w:rPr>
                <w:sz w:val="20"/>
                <w:szCs w:val="20"/>
                <w:u w:val="double"/>
              </w:rPr>
              <w:t>($72,197)</w:t>
            </w:r>
            <w:r w:rsidRPr="00192E4E">
              <w:rPr>
                <w:sz w:val="20"/>
                <w:szCs w:val="20"/>
                <w:u w:val="double"/>
              </w:rPr>
              <w:t xml:space="preserve"> </w:t>
            </w:r>
          </w:p>
        </w:tc>
        <w:tc>
          <w:tcPr>
            <w:tcW w:w="360" w:type="dxa"/>
            <w:shd w:val="clear" w:color="000000" w:fill="FFFFFF"/>
            <w:noWrap/>
            <w:vAlign w:val="bottom"/>
          </w:tcPr>
          <w:p w:rsidR="00D222F6" w:rsidRPr="00192E4E" w:rsidRDefault="00D222F6" w:rsidP="00BC6809">
            <w:pPr>
              <w:rPr>
                <w:sz w:val="20"/>
                <w:szCs w:val="20"/>
              </w:rPr>
            </w:pPr>
          </w:p>
        </w:tc>
      </w:tr>
      <w:tr w:rsidR="00D222F6" w:rsidRPr="00192E4E" w:rsidTr="00BC6809">
        <w:trPr>
          <w:trHeight w:val="270"/>
        </w:trPr>
        <w:tc>
          <w:tcPr>
            <w:tcW w:w="378" w:type="dxa"/>
            <w:shd w:val="clear" w:color="000000" w:fill="FFFFFF"/>
            <w:noWrap/>
            <w:vAlign w:val="bottom"/>
            <w:hideMark/>
          </w:tcPr>
          <w:p w:rsidR="00D222F6" w:rsidRDefault="00D222F6" w:rsidP="00BC6809">
            <w:pPr>
              <w:jc w:val="center"/>
              <w:rPr>
                <w:sz w:val="20"/>
                <w:szCs w:val="20"/>
              </w:rPr>
            </w:pPr>
          </w:p>
          <w:p w:rsidR="00D222F6" w:rsidRPr="00192E4E" w:rsidRDefault="00D222F6" w:rsidP="00BC6809">
            <w:pPr>
              <w:jc w:val="center"/>
              <w:rPr>
                <w:sz w:val="20"/>
                <w:szCs w:val="20"/>
              </w:rPr>
            </w:pPr>
            <w:r w:rsidRPr="00192E4E">
              <w:rPr>
                <w:sz w:val="20"/>
                <w:szCs w:val="20"/>
              </w:rPr>
              <w:t> </w:t>
            </w:r>
          </w:p>
        </w:tc>
        <w:tc>
          <w:tcPr>
            <w:tcW w:w="594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126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1710" w:type="dxa"/>
            <w:shd w:val="clear" w:color="000000" w:fill="FFFFFF"/>
            <w:noWrap/>
            <w:vAlign w:val="bottom"/>
            <w:hideMark/>
          </w:tcPr>
          <w:p w:rsidR="00D222F6" w:rsidRPr="00192E4E" w:rsidRDefault="00D222F6" w:rsidP="00BC6809">
            <w:pPr>
              <w:rPr>
                <w:sz w:val="20"/>
                <w:szCs w:val="20"/>
              </w:rPr>
            </w:pPr>
            <w:r w:rsidRPr="00192E4E">
              <w:rPr>
                <w:sz w:val="20"/>
                <w:szCs w:val="20"/>
              </w:rPr>
              <w:t> </w:t>
            </w:r>
          </w:p>
        </w:tc>
        <w:tc>
          <w:tcPr>
            <w:tcW w:w="360" w:type="dxa"/>
            <w:shd w:val="clear" w:color="000000" w:fill="FFFFFF"/>
            <w:noWrap/>
            <w:vAlign w:val="bottom"/>
          </w:tcPr>
          <w:p w:rsidR="00D222F6" w:rsidRPr="00192E4E" w:rsidRDefault="00D222F6" w:rsidP="00BC6809">
            <w:pPr>
              <w:rPr>
                <w:sz w:val="20"/>
                <w:szCs w:val="20"/>
              </w:rPr>
            </w:pPr>
          </w:p>
        </w:tc>
      </w:tr>
    </w:tbl>
    <w:p w:rsidR="005B3FA4" w:rsidRDefault="005B3FA4" w:rsidP="007E53CC">
      <w:pPr>
        <w:pStyle w:val="OrderBody"/>
        <w:sectPr w:rsidR="005B3FA4">
          <w:headerReference w:type="first" r:id="rId12"/>
          <w:pgSz w:w="12240" w:h="15840" w:code="1"/>
          <w:pgMar w:top="1440" w:right="1440" w:bottom="1440" w:left="1440" w:header="720" w:footer="720" w:gutter="0"/>
          <w:cols w:space="720"/>
          <w:titlePg/>
          <w:docGrid w:linePitch="360"/>
        </w:sectPr>
      </w:pPr>
    </w:p>
    <w:p w:rsidR="005B3FA4" w:rsidRDefault="005B3FA4" w:rsidP="007E53CC">
      <w:pPr>
        <w:pStyle w:val="OrderBody"/>
      </w:pPr>
    </w:p>
    <w:tbl>
      <w:tblPr>
        <w:tblpPr w:leftFromText="180" w:rightFromText="180" w:vertAnchor="page" w:horzAnchor="margin" w:tblpY="1604"/>
        <w:tblW w:w="1267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8"/>
        <w:gridCol w:w="2316"/>
        <w:gridCol w:w="196"/>
        <w:gridCol w:w="912"/>
        <w:gridCol w:w="1108"/>
        <w:gridCol w:w="1335"/>
        <w:gridCol w:w="1260"/>
        <w:gridCol w:w="1457"/>
        <w:gridCol w:w="1153"/>
        <w:gridCol w:w="978"/>
        <w:gridCol w:w="1246"/>
        <w:gridCol w:w="172"/>
      </w:tblGrid>
      <w:tr w:rsidR="00D222F6" w:rsidTr="00BC6809">
        <w:trPr>
          <w:trHeight w:val="254"/>
        </w:trPr>
        <w:tc>
          <w:tcPr>
            <w:tcW w:w="538"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color w:val="000000"/>
                <w:sz w:val="20"/>
                <w:szCs w:val="20"/>
              </w:rPr>
            </w:pPr>
            <w:bookmarkStart w:id="11" w:name="RANGE!A4:J31"/>
            <w:r>
              <w:rPr>
                <w:rFonts w:ascii="Arial" w:hAnsi="Arial" w:cs="Arial"/>
                <w:color w:val="000000"/>
                <w:sz w:val="20"/>
                <w:szCs w:val="20"/>
              </w:rPr>
              <w:t> </w:t>
            </w:r>
            <w:bookmarkEnd w:id="11"/>
          </w:p>
        </w:tc>
        <w:tc>
          <w:tcPr>
            <w:tcW w:w="2316"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Bocilla Utilities, Inc.</w:t>
            </w:r>
          </w:p>
        </w:tc>
        <w:tc>
          <w:tcPr>
            <w:tcW w:w="1108" w:type="dxa"/>
            <w:gridSpan w:val="2"/>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108"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335"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260"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457"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3377" w:type="dxa"/>
            <w:gridSpan w:val="3"/>
            <w:shd w:val="clear" w:color="000000" w:fill="FFFFFF"/>
            <w:noWrap/>
            <w:tcMar>
              <w:top w:w="15" w:type="dxa"/>
              <w:left w:w="15" w:type="dxa"/>
              <w:bottom w:w="0" w:type="dxa"/>
              <w:right w:w="15" w:type="dxa"/>
            </w:tcMar>
            <w:vAlign w:val="bottom"/>
            <w:hideMark/>
          </w:tcPr>
          <w:p w:rsidR="00D222F6" w:rsidRPr="002C7B39" w:rsidRDefault="00D222F6" w:rsidP="00BC6809">
            <w:pPr>
              <w:jc w:val="right"/>
              <w:rPr>
                <w:b/>
                <w:sz w:val="20"/>
              </w:rPr>
            </w:pPr>
            <w:r w:rsidRPr="002C7B39">
              <w:rPr>
                <w:color w:val="000000"/>
                <w:sz w:val="20"/>
              </w:rPr>
              <w:t> </w:t>
            </w:r>
            <w:r w:rsidRPr="002C7B39">
              <w:rPr>
                <w:b/>
                <w:sz w:val="20"/>
              </w:rPr>
              <w:t> Schedule No. 2</w:t>
            </w:r>
          </w:p>
        </w:tc>
        <w:tc>
          <w:tcPr>
            <w:tcW w:w="172"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color w:val="000000"/>
                <w:sz w:val="20"/>
                <w:szCs w:val="20"/>
              </w:rPr>
            </w:pPr>
            <w:r>
              <w:rPr>
                <w:rFonts w:ascii="Arial" w:hAnsi="Arial" w:cs="Arial"/>
                <w:color w:val="000000"/>
                <w:sz w:val="20"/>
                <w:szCs w:val="20"/>
              </w:rPr>
              <w:t> </w:t>
            </w:r>
          </w:p>
        </w:tc>
      </w:tr>
      <w:tr w:rsidR="00D222F6" w:rsidTr="00BC6809">
        <w:trPr>
          <w:trHeight w:val="270"/>
        </w:trPr>
        <w:tc>
          <w:tcPr>
            <w:tcW w:w="0" w:type="auto"/>
            <w:tcBorders>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color w:val="000000"/>
                <w:sz w:val="20"/>
                <w:szCs w:val="20"/>
              </w:rPr>
            </w:pPr>
            <w:r>
              <w:rPr>
                <w:rFonts w:ascii="Arial" w:hAnsi="Arial" w:cs="Arial"/>
                <w:color w:val="000000"/>
                <w:sz w:val="20"/>
                <w:szCs w:val="20"/>
              </w:rPr>
              <w:t> </w:t>
            </w:r>
          </w:p>
        </w:tc>
        <w:tc>
          <w:tcPr>
            <w:tcW w:w="0" w:type="auto"/>
            <w:gridSpan w:val="3"/>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Capital Structure-Simple Average</w:t>
            </w:r>
          </w:p>
        </w:tc>
        <w:tc>
          <w:tcPr>
            <w:tcW w:w="0" w:type="auto"/>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335" w:type="dxa"/>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260" w:type="dxa"/>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457" w:type="dxa"/>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3377" w:type="dxa"/>
            <w:gridSpan w:val="3"/>
            <w:tcBorders>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right"/>
              <w:rPr>
                <w:b/>
                <w:sz w:val="20"/>
              </w:rPr>
            </w:pPr>
            <w:r w:rsidRPr="002C7B39">
              <w:rPr>
                <w:color w:val="000000"/>
                <w:sz w:val="20"/>
              </w:rPr>
              <w:t> </w:t>
            </w:r>
            <w:r w:rsidRPr="002C7B39">
              <w:rPr>
                <w:b/>
                <w:sz w:val="20"/>
              </w:rPr>
              <w:t> Docket No. 160065-WU</w:t>
            </w:r>
          </w:p>
        </w:tc>
        <w:tc>
          <w:tcPr>
            <w:tcW w:w="0" w:type="auto"/>
            <w:tcBorders>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color w:val="000000"/>
                <w:sz w:val="20"/>
                <w:szCs w:val="20"/>
              </w:rPr>
            </w:pPr>
            <w:r>
              <w:rPr>
                <w:rFonts w:ascii="Arial" w:hAnsi="Arial" w:cs="Arial"/>
                <w:color w:val="000000"/>
                <w:sz w:val="20"/>
                <w:szCs w:val="20"/>
              </w:rPr>
              <w:t> </w:t>
            </w:r>
          </w:p>
        </w:tc>
      </w:tr>
      <w:tr w:rsidR="00D222F6" w:rsidTr="00BC6809">
        <w:trPr>
          <w:trHeight w:val="270"/>
        </w:trPr>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color w:val="000000"/>
                <w:sz w:val="20"/>
                <w:szCs w:val="20"/>
              </w:rPr>
            </w:pPr>
            <w:r>
              <w:rPr>
                <w:rFonts w:ascii="Arial" w:hAnsi="Arial" w:cs="Arial"/>
                <w:color w:val="000000"/>
                <w:sz w:val="20"/>
                <w:szCs w:val="20"/>
              </w:rPr>
              <w:t> </w:t>
            </w:r>
          </w:p>
        </w:tc>
        <w:tc>
          <w:tcPr>
            <w:tcW w:w="2512" w:type="dxa"/>
            <w:gridSpan w:val="2"/>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Test Year Ended 12/31/15</w:t>
            </w:r>
          </w:p>
        </w:tc>
        <w:tc>
          <w:tcPr>
            <w:tcW w:w="912"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335"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260"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457"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153"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978"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246"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b/>
                <w:bCs/>
                <w:sz w:val="20"/>
                <w:szCs w:val="20"/>
              </w:rPr>
            </w:pPr>
            <w:r>
              <w:rPr>
                <w:rFonts w:ascii="Arial" w:hAnsi="Arial" w:cs="Arial"/>
                <w:b/>
                <w:bCs/>
                <w:sz w:val="20"/>
                <w:szCs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0" w:type="auto"/>
            <w:gridSpan w:val="2"/>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Specific</w:t>
            </w:r>
          </w:p>
        </w:tc>
        <w:tc>
          <w:tcPr>
            <w:tcW w:w="1335"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Subtotal</w:t>
            </w:r>
          </w:p>
        </w:tc>
        <w:tc>
          <w:tcPr>
            <w:tcW w:w="1260"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Prorata</w:t>
            </w:r>
          </w:p>
        </w:tc>
        <w:tc>
          <w:tcPr>
            <w:tcW w:w="1457"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Capital</w:t>
            </w:r>
          </w:p>
        </w:tc>
        <w:tc>
          <w:tcPr>
            <w:tcW w:w="1153"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978"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246" w:type="dxa"/>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b/>
                <w:bCs/>
                <w:sz w:val="20"/>
                <w:szCs w:val="20"/>
              </w:rPr>
            </w:pPr>
            <w:r>
              <w:rPr>
                <w:rFonts w:ascii="Arial" w:hAnsi="Arial" w:cs="Arial"/>
                <w:b/>
                <w:bCs/>
                <w:sz w:val="20"/>
                <w:szCs w:val="20"/>
              </w:rPr>
              <w:t> </w:t>
            </w:r>
          </w:p>
        </w:tc>
      </w:tr>
      <w:tr w:rsidR="00D222F6" w:rsidTr="00BC6809">
        <w:trPr>
          <w:trHeight w:val="270"/>
        </w:trPr>
        <w:tc>
          <w:tcPr>
            <w:tcW w:w="0" w:type="auto"/>
            <w:tcBorders>
              <w:top w:val="nil"/>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b/>
                <w:bCs/>
                <w:sz w:val="20"/>
                <w:szCs w:val="20"/>
              </w:rPr>
            </w:pPr>
            <w:r>
              <w:rPr>
                <w:rFonts w:ascii="Arial" w:hAnsi="Arial" w:cs="Arial"/>
                <w:b/>
                <w:bCs/>
                <w:sz w:val="20"/>
                <w:szCs w:val="20"/>
              </w:rPr>
              <w:t> </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0" w:type="auto"/>
            <w:gridSpan w:val="2"/>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Total</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Adjust-</w:t>
            </w:r>
          </w:p>
        </w:tc>
        <w:tc>
          <w:tcPr>
            <w:tcW w:w="1335"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Adjusted</w:t>
            </w:r>
          </w:p>
        </w:tc>
        <w:tc>
          <w:tcPr>
            <w:tcW w:w="1260"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Adjust-</w:t>
            </w:r>
          </w:p>
        </w:tc>
        <w:tc>
          <w:tcPr>
            <w:tcW w:w="1457"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Reconciled</w:t>
            </w:r>
          </w:p>
        </w:tc>
        <w:tc>
          <w:tcPr>
            <w:tcW w:w="1153"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978"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Cost</w:t>
            </w:r>
          </w:p>
        </w:tc>
        <w:tc>
          <w:tcPr>
            <w:tcW w:w="1246" w:type="dxa"/>
            <w:tcBorders>
              <w:top w:val="nil"/>
              <w:bottom w:val="nil"/>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Weighted</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b/>
                <w:bCs/>
                <w:sz w:val="20"/>
                <w:szCs w:val="20"/>
              </w:rPr>
            </w:pPr>
            <w:r>
              <w:rPr>
                <w:rFonts w:ascii="Arial" w:hAnsi="Arial" w:cs="Arial"/>
                <w:b/>
                <w:bCs/>
                <w:sz w:val="20"/>
                <w:szCs w:val="20"/>
              </w:rPr>
              <w:t> </w:t>
            </w:r>
          </w:p>
        </w:tc>
      </w:tr>
      <w:tr w:rsidR="00D222F6" w:rsidTr="00BC6809">
        <w:trPr>
          <w:trHeight w:val="270"/>
        </w:trPr>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b/>
                <w:bCs/>
                <w:sz w:val="20"/>
                <w:szCs w:val="20"/>
              </w:rPr>
            </w:pPr>
            <w:r>
              <w:rPr>
                <w:rFonts w:ascii="Arial" w:hAnsi="Arial" w:cs="Arial"/>
                <w:b/>
                <w:bCs/>
                <w:sz w:val="20"/>
                <w:szCs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Description</w:t>
            </w:r>
          </w:p>
        </w:tc>
        <w:tc>
          <w:tcPr>
            <w:tcW w:w="0" w:type="auto"/>
            <w:gridSpan w:val="2"/>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Capital</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ments</w:t>
            </w:r>
          </w:p>
        </w:tc>
        <w:tc>
          <w:tcPr>
            <w:tcW w:w="1335"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Capital</w:t>
            </w:r>
          </w:p>
        </w:tc>
        <w:tc>
          <w:tcPr>
            <w:tcW w:w="1260"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ments</w:t>
            </w:r>
          </w:p>
        </w:tc>
        <w:tc>
          <w:tcPr>
            <w:tcW w:w="1457"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to Rate Base</w:t>
            </w:r>
          </w:p>
        </w:tc>
        <w:tc>
          <w:tcPr>
            <w:tcW w:w="1153"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Ratio</w:t>
            </w:r>
          </w:p>
        </w:tc>
        <w:tc>
          <w:tcPr>
            <w:tcW w:w="978"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Rate</w:t>
            </w:r>
          </w:p>
        </w:tc>
        <w:tc>
          <w:tcPr>
            <w:tcW w:w="1246" w:type="dxa"/>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rPr>
            </w:pPr>
            <w:r w:rsidRPr="002C7B39">
              <w:rPr>
                <w:b/>
                <w:sz w:val="20"/>
              </w:rPr>
              <w:t>Cost</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D222F6" w:rsidRDefault="00D222F6" w:rsidP="00BC6809">
            <w:pPr>
              <w:jc w:val="center"/>
              <w:rPr>
                <w:rFonts w:ascii="Arial" w:hAnsi="Arial" w:cs="Arial"/>
                <w:b/>
                <w:bCs/>
                <w:sz w:val="20"/>
                <w:szCs w:val="20"/>
              </w:rPr>
            </w:pPr>
            <w:r>
              <w:rPr>
                <w:rFonts w:ascii="Arial" w:hAnsi="Arial" w:cs="Arial"/>
                <w:b/>
                <w:bCs/>
                <w:sz w:val="20"/>
                <w:szCs w:val="20"/>
              </w:rPr>
              <w:t> </w:t>
            </w:r>
          </w:p>
        </w:tc>
      </w:tr>
      <w:tr w:rsidR="00D222F6" w:rsidTr="00BC6809">
        <w:trPr>
          <w:trHeight w:val="270"/>
        </w:trPr>
        <w:tc>
          <w:tcPr>
            <w:tcW w:w="0" w:type="auto"/>
            <w:gridSpan w:val="2"/>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Per Utility</w:t>
            </w:r>
          </w:p>
        </w:tc>
        <w:tc>
          <w:tcPr>
            <w:tcW w:w="0" w:type="auto"/>
            <w:gridSpan w:val="2"/>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335"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260"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457"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153"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978"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246" w:type="dxa"/>
            <w:tcBorders>
              <w:top w:val="single" w:sz="4" w:space="0" w:color="auto"/>
            </w:tcBorders>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tcBorders>
              <w:top w:val="single" w:sz="4" w:space="0" w:color="auto"/>
            </w:tcBorders>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Long-term Debt</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$1,005,321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$1,005,321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$1,005,321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83.19%</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5.00%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4.16%</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2</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Short-term Debt</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3</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Preferred Stock</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4</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Common Equity</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203,077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203,077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203,077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16.81%</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10.50%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1.77%</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5</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Customer Deposits</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6</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Deferred Income Taxes</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12,122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12,122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12,122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7</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Total Capital</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$1,220,520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$1,220,520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$1,220,520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100.00%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rPr>
                <w:sz w:val="20"/>
                <w:u w:val="double"/>
              </w:rPr>
            </w:pP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5.92%</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u w:val="double"/>
              </w:rPr>
            </w:pP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rPr>
                <w:sz w:val="20"/>
              </w:rPr>
            </w:pP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gridSpan w:val="2"/>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xml:space="preserve">Per </w:t>
            </w:r>
            <w:r w:rsidR="00A1405A">
              <w:rPr>
                <w:b/>
                <w:sz w:val="20"/>
              </w:rPr>
              <w:t>Commission</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rPr>
                <w:color w:val="000000"/>
                <w:sz w:val="20"/>
              </w:rPr>
            </w:pP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rPr>
                <w:sz w:val="20"/>
              </w:rPr>
            </w:pP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8</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Long-term Debt</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$1,005,321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($95)</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$1,005,226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($478,718)</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$526,508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81.49%</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5.00%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4.07%</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9</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Short-term Debt</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10</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Preferred Stock</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11</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Common Equity</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203,077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13,074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216,151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(102,938)</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113,213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17.52%</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10.16%</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1.78%</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12</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Customer Deposits</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13</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Deferred Income Taxes</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12,122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0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12,122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(5,773)</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 xml:space="preserve">6,349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0.98%</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single"/>
              </w:rPr>
            </w:pPr>
            <w:r w:rsidRPr="002C7B39">
              <w:rPr>
                <w:sz w:val="20"/>
                <w:u w:val="single"/>
              </w:rPr>
              <w:t>0.00%</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jc w:val="center"/>
              <w:rPr>
                <w:sz w:val="20"/>
              </w:rPr>
            </w:pPr>
            <w:r w:rsidRPr="002C7B39">
              <w:rPr>
                <w:sz w:val="20"/>
              </w:rPr>
              <w:t>14</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Total Capital</w:t>
            </w:r>
          </w:p>
        </w:tc>
        <w:tc>
          <w:tcPr>
            <w:tcW w:w="0" w:type="auto"/>
            <w:gridSpan w:val="2"/>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$1,220,520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$12,979 </w:t>
            </w:r>
          </w:p>
        </w:tc>
        <w:tc>
          <w:tcPr>
            <w:tcW w:w="1335"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$1,233,499 </w:t>
            </w:r>
          </w:p>
        </w:tc>
        <w:tc>
          <w:tcPr>
            <w:tcW w:w="1260"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($587,429)</w:t>
            </w:r>
          </w:p>
        </w:tc>
        <w:tc>
          <w:tcPr>
            <w:tcW w:w="1457"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 xml:space="preserve">$646,070 </w:t>
            </w:r>
          </w:p>
        </w:tc>
        <w:tc>
          <w:tcPr>
            <w:tcW w:w="1153"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100.00%</w:t>
            </w:r>
          </w:p>
        </w:tc>
        <w:tc>
          <w:tcPr>
            <w:tcW w:w="978" w:type="dxa"/>
            <w:shd w:val="clear" w:color="auto" w:fill="auto"/>
            <w:noWrap/>
            <w:tcMar>
              <w:top w:w="15" w:type="dxa"/>
              <w:left w:w="15" w:type="dxa"/>
              <w:bottom w:w="0" w:type="dxa"/>
              <w:right w:w="15" w:type="dxa"/>
            </w:tcMar>
            <w:vAlign w:val="bottom"/>
            <w:hideMark/>
          </w:tcPr>
          <w:p w:rsidR="00D222F6" w:rsidRPr="002C7B39" w:rsidRDefault="00D222F6" w:rsidP="00BC6809">
            <w:pPr>
              <w:rPr>
                <w:sz w:val="20"/>
                <w:u w:val="double"/>
              </w:rPr>
            </w:pPr>
          </w:p>
        </w:tc>
        <w:tc>
          <w:tcPr>
            <w:tcW w:w="1246" w:type="dxa"/>
            <w:shd w:val="clear" w:color="auto" w:fill="auto"/>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5.85%</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u w:val="double"/>
              </w:rPr>
            </w:pP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260"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457"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153"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978"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246" w:type="dxa"/>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260"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457" w:type="dxa"/>
            <w:shd w:val="clear" w:color="000000" w:fill="FFFFFF"/>
            <w:noWrap/>
            <w:tcMar>
              <w:top w:w="15" w:type="dxa"/>
              <w:left w:w="15" w:type="dxa"/>
              <w:bottom w:w="0" w:type="dxa"/>
              <w:right w:w="15" w:type="dxa"/>
            </w:tcMar>
            <w:vAlign w:val="bottom"/>
            <w:hideMark/>
          </w:tcPr>
          <w:p w:rsidR="00D222F6" w:rsidRPr="002C7B39" w:rsidRDefault="00D222F6" w:rsidP="00BC6809">
            <w:pPr>
              <w:rPr>
                <w:b/>
                <w:sz w:val="20"/>
              </w:rPr>
            </w:pPr>
            <w:r w:rsidRPr="002C7B39">
              <w:rPr>
                <w:b/>
                <w:sz w:val="20"/>
              </w:rPr>
              <w:t> </w:t>
            </w:r>
          </w:p>
        </w:tc>
        <w:tc>
          <w:tcPr>
            <w:tcW w:w="1153" w:type="dxa"/>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u w:val="single"/>
              </w:rPr>
            </w:pPr>
            <w:r w:rsidRPr="002C7B39">
              <w:rPr>
                <w:b/>
                <w:sz w:val="20"/>
                <w:u w:val="single"/>
              </w:rPr>
              <w:t>LOW</w:t>
            </w:r>
          </w:p>
        </w:tc>
        <w:tc>
          <w:tcPr>
            <w:tcW w:w="978" w:type="dxa"/>
            <w:shd w:val="clear" w:color="000000" w:fill="FFFFFF"/>
            <w:noWrap/>
            <w:tcMar>
              <w:top w:w="15" w:type="dxa"/>
              <w:left w:w="15" w:type="dxa"/>
              <w:bottom w:w="0" w:type="dxa"/>
              <w:right w:w="15" w:type="dxa"/>
            </w:tcMar>
            <w:vAlign w:val="bottom"/>
            <w:hideMark/>
          </w:tcPr>
          <w:p w:rsidR="00D222F6" w:rsidRPr="002C7B39" w:rsidRDefault="00D222F6" w:rsidP="00BC6809">
            <w:pPr>
              <w:jc w:val="center"/>
              <w:rPr>
                <w:b/>
                <w:sz w:val="20"/>
                <w:u w:val="single"/>
              </w:rPr>
            </w:pPr>
            <w:r w:rsidRPr="002C7B39">
              <w:rPr>
                <w:b/>
                <w:sz w:val="20"/>
                <w:u w:val="single"/>
              </w:rPr>
              <w:t>HIGH</w:t>
            </w:r>
          </w:p>
        </w:tc>
        <w:tc>
          <w:tcPr>
            <w:tcW w:w="1246" w:type="dxa"/>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2717" w:type="dxa"/>
            <w:gridSpan w:val="2"/>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color w:val="000000"/>
                <w:sz w:val="20"/>
              </w:rPr>
              <w:t> </w:t>
            </w:r>
            <w:r w:rsidRPr="002C7B39">
              <w:rPr>
                <w:sz w:val="20"/>
              </w:rPr>
              <w:t xml:space="preserve">   RETURN ON EQUITY</w:t>
            </w:r>
          </w:p>
        </w:tc>
        <w:tc>
          <w:tcPr>
            <w:tcW w:w="1153" w:type="dxa"/>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10.16%</w:t>
            </w:r>
          </w:p>
        </w:tc>
        <w:tc>
          <w:tcPr>
            <w:tcW w:w="978" w:type="dxa"/>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12.16%</w:t>
            </w:r>
          </w:p>
        </w:tc>
        <w:tc>
          <w:tcPr>
            <w:tcW w:w="1246" w:type="dxa"/>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D222F6" w:rsidRPr="002C7B39" w:rsidRDefault="00D222F6" w:rsidP="00BC6809">
            <w:pPr>
              <w:rPr>
                <w:color w:val="000000"/>
                <w:sz w:val="20"/>
              </w:rPr>
            </w:pPr>
            <w:r w:rsidRPr="002C7B39">
              <w:rPr>
                <w:color w:val="000000"/>
                <w:sz w:val="20"/>
              </w:rPr>
              <w:t> </w:t>
            </w:r>
          </w:p>
        </w:tc>
        <w:tc>
          <w:tcPr>
            <w:tcW w:w="0" w:type="auto"/>
            <w:shd w:val="clear" w:color="auto" w:fill="auto"/>
            <w:noWrap/>
            <w:tcMar>
              <w:top w:w="15" w:type="dxa"/>
              <w:left w:w="15" w:type="dxa"/>
              <w:bottom w:w="0" w:type="dxa"/>
              <w:right w:w="15" w:type="dxa"/>
            </w:tcMar>
            <w:vAlign w:val="bottom"/>
            <w:hideMark/>
          </w:tcPr>
          <w:p w:rsidR="00D222F6" w:rsidRPr="002C7B39" w:rsidRDefault="00D222F6" w:rsidP="00BC6809">
            <w:pPr>
              <w:rPr>
                <w:sz w:val="20"/>
              </w:rPr>
            </w:pPr>
          </w:p>
        </w:tc>
        <w:tc>
          <w:tcPr>
            <w:tcW w:w="4052" w:type="dxa"/>
            <w:gridSpan w:val="3"/>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rPr>
            </w:pPr>
            <w:r w:rsidRPr="002C7B39">
              <w:rPr>
                <w:sz w:val="20"/>
              </w:rPr>
              <w:t> OVERALL RATE OF RETURN</w:t>
            </w:r>
          </w:p>
        </w:tc>
        <w:tc>
          <w:tcPr>
            <w:tcW w:w="1153" w:type="dxa"/>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5.85%</w:t>
            </w:r>
          </w:p>
        </w:tc>
        <w:tc>
          <w:tcPr>
            <w:tcW w:w="978" w:type="dxa"/>
            <w:shd w:val="clear" w:color="000000" w:fill="FFFFFF"/>
            <w:noWrap/>
            <w:tcMar>
              <w:top w:w="15" w:type="dxa"/>
              <w:left w:w="15" w:type="dxa"/>
              <w:bottom w:w="0" w:type="dxa"/>
              <w:right w:w="15" w:type="dxa"/>
            </w:tcMar>
            <w:vAlign w:val="bottom"/>
            <w:hideMark/>
          </w:tcPr>
          <w:p w:rsidR="00D222F6" w:rsidRPr="002C7B39" w:rsidRDefault="00D222F6" w:rsidP="00BC6809">
            <w:pPr>
              <w:jc w:val="right"/>
              <w:rPr>
                <w:sz w:val="20"/>
                <w:u w:val="double"/>
              </w:rPr>
            </w:pPr>
            <w:r w:rsidRPr="002C7B39">
              <w:rPr>
                <w:sz w:val="20"/>
                <w:u w:val="double"/>
              </w:rPr>
              <w:t>6.20%</w:t>
            </w:r>
          </w:p>
        </w:tc>
        <w:tc>
          <w:tcPr>
            <w:tcW w:w="1246" w:type="dxa"/>
            <w:shd w:val="clear" w:color="000000" w:fill="FFFFFF"/>
            <w:noWrap/>
            <w:tcMar>
              <w:top w:w="15" w:type="dxa"/>
              <w:left w:w="15" w:type="dxa"/>
              <w:bottom w:w="0" w:type="dxa"/>
              <w:right w:w="15" w:type="dxa"/>
            </w:tcMar>
            <w:vAlign w:val="bottom"/>
            <w:hideMark/>
          </w:tcPr>
          <w:p w:rsidR="00D222F6" w:rsidRPr="002C7B39" w:rsidRDefault="00D222F6" w:rsidP="00BC680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0" w:type="auto"/>
            <w:gridSpan w:val="2"/>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1335"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1260"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1457"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1153"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978"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1246" w:type="dxa"/>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D222F6" w:rsidRDefault="00D222F6" w:rsidP="00BC6809">
            <w:pPr>
              <w:rPr>
                <w:rFonts w:ascii="Arial" w:hAnsi="Arial" w:cs="Arial"/>
                <w:sz w:val="20"/>
                <w:szCs w:val="20"/>
              </w:rPr>
            </w:pPr>
            <w:r>
              <w:rPr>
                <w:rFonts w:ascii="Arial" w:hAnsi="Arial" w:cs="Arial"/>
                <w:sz w:val="20"/>
                <w:szCs w:val="20"/>
              </w:rPr>
              <w:t> </w:t>
            </w:r>
          </w:p>
        </w:tc>
      </w:tr>
      <w:tr w:rsidR="00D222F6" w:rsidTr="00BC6809">
        <w:trPr>
          <w:trHeight w:val="270"/>
        </w:trPr>
        <w:tc>
          <w:tcPr>
            <w:tcW w:w="0" w:type="auto"/>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0" w:type="auto"/>
            <w:gridSpan w:val="2"/>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1335"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1260"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1457"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1153"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978"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1246" w:type="dxa"/>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D222F6" w:rsidRDefault="00D222F6" w:rsidP="00BC6809">
            <w:pPr>
              <w:rPr>
                <w:rFonts w:ascii="Arial" w:hAnsi="Arial" w:cs="Arial"/>
                <w:sz w:val="20"/>
                <w:szCs w:val="20"/>
              </w:rPr>
            </w:pPr>
          </w:p>
        </w:tc>
      </w:tr>
    </w:tbl>
    <w:p w:rsidR="00D222F6" w:rsidRDefault="00D222F6" w:rsidP="007E53CC">
      <w:pPr>
        <w:pStyle w:val="OrderBody"/>
        <w:sectPr w:rsidR="00D222F6" w:rsidSect="00D222F6">
          <w:headerReference w:type="first" r:id="rId13"/>
          <w:pgSz w:w="15840" w:h="12240" w:orient="landscape" w:code="1"/>
          <w:pgMar w:top="1440" w:right="1296" w:bottom="1440" w:left="1296" w:header="720" w:footer="720" w:gutter="0"/>
          <w:cols w:space="720"/>
          <w:titlePg/>
          <w:docGrid w:linePitch="360"/>
        </w:sectPr>
      </w:pPr>
    </w:p>
    <w:tbl>
      <w:tblPr>
        <w:tblpPr w:leftFromText="180" w:rightFromText="180" w:vertAnchor="page" w:horzAnchor="margin" w:tblpXSpec="center" w:tblpY="1616"/>
        <w:tblW w:w="11450" w:type="dxa"/>
        <w:tblLook w:val="04A0" w:firstRow="1" w:lastRow="0" w:firstColumn="1" w:lastColumn="0" w:noHBand="0" w:noVBand="1"/>
      </w:tblPr>
      <w:tblGrid>
        <w:gridCol w:w="416"/>
        <w:gridCol w:w="2713"/>
        <w:gridCol w:w="436"/>
        <w:gridCol w:w="704"/>
        <w:gridCol w:w="1140"/>
        <w:gridCol w:w="1140"/>
        <w:gridCol w:w="1272"/>
        <w:gridCol w:w="1272"/>
        <w:gridCol w:w="950"/>
        <w:gridCol w:w="1371"/>
        <w:gridCol w:w="300"/>
      </w:tblGrid>
      <w:tr w:rsidR="00C65157" w:rsidTr="00BC6809">
        <w:trPr>
          <w:trHeight w:val="255"/>
        </w:trPr>
        <w:tc>
          <w:tcPr>
            <w:tcW w:w="416" w:type="dxa"/>
            <w:tcBorders>
              <w:top w:val="single" w:sz="4" w:space="0" w:color="auto"/>
              <w:left w:val="single" w:sz="4" w:space="0" w:color="auto"/>
              <w:bottom w:val="nil"/>
              <w:right w:val="nil"/>
            </w:tcBorders>
            <w:shd w:val="clear" w:color="000000" w:fill="FFFFFF"/>
            <w:noWrap/>
            <w:vAlign w:val="bottom"/>
            <w:hideMark/>
          </w:tcPr>
          <w:p w:rsidR="00C65157" w:rsidRDefault="00C65157" w:rsidP="00BC6809">
            <w:pPr>
              <w:rPr>
                <w:color w:val="000000"/>
                <w:sz w:val="20"/>
                <w:szCs w:val="20"/>
              </w:rPr>
            </w:pPr>
            <w:bookmarkStart w:id="12" w:name="RANGE!A5:I32"/>
            <w:bookmarkStart w:id="13" w:name="OLE_LINK26"/>
            <w:bookmarkStart w:id="14" w:name="OLE_LINK27"/>
            <w:r>
              <w:rPr>
                <w:color w:val="000000"/>
                <w:sz w:val="20"/>
                <w:szCs w:val="20"/>
              </w:rPr>
              <w:lastRenderedPageBreak/>
              <w:t> </w:t>
            </w:r>
            <w:bookmarkEnd w:id="12"/>
          </w:p>
        </w:tc>
        <w:tc>
          <w:tcPr>
            <w:tcW w:w="2713" w:type="dxa"/>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Bocilla Utilities, Inc.</w:t>
            </w:r>
          </w:p>
        </w:tc>
        <w:tc>
          <w:tcPr>
            <w:tcW w:w="1140" w:type="dxa"/>
            <w:gridSpan w:val="2"/>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2321" w:type="dxa"/>
            <w:gridSpan w:val="2"/>
            <w:tcBorders>
              <w:top w:val="single" w:sz="4" w:space="0" w:color="auto"/>
              <w:left w:val="nil"/>
              <w:bottom w:val="nil"/>
              <w:right w:val="nil"/>
            </w:tcBorders>
            <w:shd w:val="clear" w:color="000000" w:fill="FFFFFF"/>
            <w:noWrap/>
            <w:vAlign w:val="bottom"/>
            <w:hideMark/>
          </w:tcPr>
          <w:p w:rsidR="00C65157" w:rsidRDefault="00C65157" w:rsidP="00BC6809">
            <w:pPr>
              <w:jc w:val="right"/>
              <w:rPr>
                <w:b/>
                <w:bCs/>
                <w:sz w:val="20"/>
                <w:szCs w:val="20"/>
              </w:rPr>
            </w:pPr>
            <w:r>
              <w:rPr>
                <w:b/>
                <w:bCs/>
                <w:sz w:val="20"/>
                <w:szCs w:val="20"/>
              </w:rPr>
              <w:t>Schedule No. 3-A</w:t>
            </w:r>
          </w:p>
        </w:tc>
        <w:tc>
          <w:tcPr>
            <w:tcW w:w="300" w:type="dxa"/>
            <w:tcBorders>
              <w:top w:val="single" w:sz="4" w:space="0" w:color="auto"/>
              <w:left w:val="nil"/>
              <w:bottom w:val="nil"/>
              <w:right w:val="single" w:sz="4" w:space="0" w:color="auto"/>
            </w:tcBorders>
            <w:shd w:val="clear" w:color="000000" w:fill="FFFFFF"/>
            <w:noWrap/>
            <w:vAlign w:val="bottom"/>
            <w:hideMark/>
          </w:tcPr>
          <w:p w:rsidR="00C65157" w:rsidRDefault="00C65157" w:rsidP="00BC6809">
            <w:pPr>
              <w:rPr>
                <w:color w:val="000000"/>
                <w:sz w:val="20"/>
                <w:szCs w:val="20"/>
              </w:rPr>
            </w:pPr>
            <w:r>
              <w:rPr>
                <w:color w:val="000000"/>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rPr>
                <w:color w:val="000000"/>
                <w:sz w:val="20"/>
                <w:szCs w:val="20"/>
              </w:rPr>
            </w:pPr>
            <w:r>
              <w:rPr>
                <w:color w:val="000000"/>
                <w:sz w:val="20"/>
                <w:szCs w:val="20"/>
              </w:rPr>
              <w:t> </w:t>
            </w:r>
          </w:p>
        </w:tc>
        <w:tc>
          <w:tcPr>
            <w:tcW w:w="3149" w:type="dxa"/>
            <w:gridSpan w:val="2"/>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Statement of Water Operations</w:t>
            </w:r>
          </w:p>
        </w:tc>
        <w:tc>
          <w:tcPr>
            <w:tcW w:w="704"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2321" w:type="dxa"/>
            <w:gridSpan w:val="2"/>
            <w:tcBorders>
              <w:top w:val="nil"/>
              <w:left w:val="nil"/>
              <w:bottom w:val="nil"/>
              <w:right w:val="nil"/>
            </w:tcBorders>
            <w:shd w:val="clear" w:color="000000" w:fill="FFFFFF"/>
            <w:noWrap/>
            <w:vAlign w:val="bottom"/>
            <w:hideMark/>
          </w:tcPr>
          <w:p w:rsidR="00C65157" w:rsidRDefault="00C65157" w:rsidP="00BC6809">
            <w:pPr>
              <w:jc w:val="right"/>
              <w:rPr>
                <w:b/>
                <w:bCs/>
                <w:sz w:val="20"/>
                <w:szCs w:val="20"/>
              </w:rPr>
            </w:pPr>
            <w:r>
              <w:rPr>
                <w:b/>
                <w:bCs/>
                <w:sz w:val="20"/>
                <w:szCs w:val="20"/>
              </w:rPr>
              <w:t>Docket No. 160065-WU</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color w:val="000000"/>
                <w:sz w:val="20"/>
                <w:szCs w:val="20"/>
              </w:rPr>
            </w:pPr>
            <w:r>
              <w:rPr>
                <w:color w:val="000000"/>
                <w:sz w:val="20"/>
                <w:szCs w:val="20"/>
              </w:rPr>
              <w:t> </w:t>
            </w:r>
          </w:p>
        </w:tc>
      </w:tr>
      <w:tr w:rsidR="00C65157" w:rsidTr="00BC6809">
        <w:trPr>
          <w:trHeight w:val="255"/>
        </w:trPr>
        <w:tc>
          <w:tcPr>
            <w:tcW w:w="416" w:type="dxa"/>
            <w:tcBorders>
              <w:top w:val="nil"/>
              <w:left w:val="single" w:sz="4" w:space="0" w:color="auto"/>
              <w:bottom w:val="single" w:sz="4" w:space="0" w:color="auto"/>
              <w:right w:val="nil"/>
            </w:tcBorders>
            <w:shd w:val="clear" w:color="000000" w:fill="FFFFFF"/>
            <w:noWrap/>
            <w:vAlign w:val="bottom"/>
            <w:hideMark/>
          </w:tcPr>
          <w:p w:rsidR="00C65157" w:rsidRDefault="00C65157" w:rsidP="00BC6809">
            <w:pPr>
              <w:rPr>
                <w:color w:val="000000"/>
                <w:sz w:val="20"/>
                <w:szCs w:val="20"/>
              </w:rPr>
            </w:pPr>
            <w:r>
              <w:rPr>
                <w:color w:val="000000"/>
                <w:sz w:val="20"/>
                <w:szCs w:val="20"/>
              </w:rPr>
              <w:t> </w:t>
            </w:r>
          </w:p>
        </w:tc>
        <w:tc>
          <w:tcPr>
            <w:tcW w:w="2713"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Test Year Ended 12/31/15</w:t>
            </w:r>
          </w:p>
        </w:tc>
        <w:tc>
          <w:tcPr>
            <w:tcW w:w="1140" w:type="dxa"/>
            <w:gridSpan w:val="2"/>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950"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1371" w:type="dxa"/>
            <w:tcBorders>
              <w:top w:val="nil"/>
              <w:left w:val="nil"/>
              <w:bottom w:val="single" w:sz="4" w:space="0" w:color="auto"/>
              <w:right w:val="nil"/>
            </w:tcBorders>
            <w:shd w:val="clear" w:color="000000" w:fill="FFFFFF"/>
            <w:noWrap/>
            <w:vAlign w:val="bottom"/>
            <w:hideMark/>
          </w:tcPr>
          <w:p w:rsidR="00C65157" w:rsidRDefault="00C65157" w:rsidP="00BC6809">
            <w:pPr>
              <w:rPr>
                <w:b/>
                <w:bCs/>
                <w:sz w:val="20"/>
                <w:szCs w:val="20"/>
              </w:rPr>
            </w:pPr>
            <w:r>
              <w:rPr>
                <w:b/>
                <w:bCs/>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C65157" w:rsidRDefault="00C65157" w:rsidP="00BC6809">
            <w:pPr>
              <w:rPr>
                <w:b/>
                <w:bCs/>
                <w:sz w:val="20"/>
                <w:szCs w:val="20"/>
              </w:rPr>
            </w:pPr>
            <w:r>
              <w:rPr>
                <w:b/>
                <w:bCs/>
                <w:sz w:val="20"/>
                <w:szCs w:val="20"/>
              </w:rPr>
              <w:t> </w:t>
            </w:r>
          </w:p>
        </w:tc>
      </w:tr>
      <w:tr w:rsidR="00C65157" w:rsidTr="00BC6809">
        <w:trPr>
          <w:trHeight w:val="255"/>
        </w:trPr>
        <w:tc>
          <w:tcPr>
            <w:tcW w:w="416" w:type="dxa"/>
            <w:tcBorders>
              <w:top w:val="nil"/>
              <w:left w:val="single" w:sz="4" w:space="0" w:color="auto"/>
              <w:bottom w:val="nil"/>
              <w:right w:val="nil"/>
            </w:tcBorders>
            <w:shd w:val="clear" w:color="auto" w:fill="auto"/>
            <w:noWrap/>
            <w:vAlign w:val="bottom"/>
            <w:hideMark/>
          </w:tcPr>
          <w:p w:rsidR="00C65157" w:rsidRDefault="00C65157" w:rsidP="00BC680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C65157" w:rsidRDefault="00C65157" w:rsidP="00BC6809">
            <w:pPr>
              <w:rPr>
                <w:b/>
                <w:bCs/>
                <w:sz w:val="20"/>
                <w:szCs w:val="20"/>
              </w:rPr>
            </w:pP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Test Year</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Utility</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Adjusted</w:t>
            </w:r>
          </w:p>
        </w:tc>
        <w:tc>
          <w:tcPr>
            <w:tcW w:w="1140" w:type="dxa"/>
            <w:tcBorders>
              <w:top w:val="nil"/>
              <w:left w:val="nil"/>
              <w:bottom w:val="nil"/>
              <w:right w:val="nil"/>
            </w:tcBorders>
            <w:shd w:val="clear" w:color="auto" w:fill="auto"/>
            <w:noWrap/>
            <w:vAlign w:val="bottom"/>
            <w:hideMark/>
          </w:tcPr>
          <w:p w:rsidR="00C65157" w:rsidRDefault="004F16CB" w:rsidP="00BC6809">
            <w:pPr>
              <w:jc w:val="center"/>
              <w:rPr>
                <w:b/>
                <w:bCs/>
                <w:sz w:val="20"/>
                <w:szCs w:val="20"/>
              </w:rPr>
            </w:pPr>
            <w:r>
              <w:rPr>
                <w:b/>
                <w:bCs/>
                <w:sz w:val="20"/>
                <w:szCs w:val="20"/>
              </w:rPr>
              <w:t>Commission</w:t>
            </w:r>
          </w:p>
        </w:tc>
        <w:tc>
          <w:tcPr>
            <w:tcW w:w="1140" w:type="dxa"/>
            <w:tcBorders>
              <w:top w:val="nil"/>
              <w:left w:val="nil"/>
              <w:bottom w:val="nil"/>
              <w:right w:val="nil"/>
            </w:tcBorders>
            <w:shd w:val="clear" w:color="auto" w:fill="auto"/>
            <w:noWrap/>
            <w:vAlign w:val="bottom"/>
            <w:hideMark/>
          </w:tcPr>
          <w:p w:rsidR="00C65157" w:rsidRDefault="004F16CB" w:rsidP="00BC6809">
            <w:pPr>
              <w:jc w:val="center"/>
              <w:rPr>
                <w:b/>
                <w:bCs/>
                <w:sz w:val="20"/>
                <w:szCs w:val="20"/>
              </w:rPr>
            </w:pPr>
            <w:r>
              <w:rPr>
                <w:b/>
                <w:bCs/>
                <w:sz w:val="20"/>
                <w:szCs w:val="20"/>
              </w:rPr>
              <w:t>Commission</w:t>
            </w:r>
          </w:p>
        </w:tc>
        <w:tc>
          <w:tcPr>
            <w:tcW w:w="950" w:type="dxa"/>
            <w:tcBorders>
              <w:top w:val="nil"/>
              <w:left w:val="nil"/>
              <w:bottom w:val="nil"/>
              <w:right w:val="nil"/>
            </w:tcBorders>
            <w:shd w:val="clear" w:color="auto" w:fill="auto"/>
            <w:noWrap/>
            <w:vAlign w:val="bottom"/>
            <w:hideMark/>
          </w:tcPr>
          <w:p w:rsidR="00C65157" w:rsidRDefault="00C65157" w:rsidP="00BC6809">
            <w:pPr>
              <w:rPr>
                <w:b/>
                <w:bCs/>
                <w:sz w:val="20"/>
                <w:szCs w:val="20"/>
              </w:rPr>
            </w:pPr>
          </w:p>
        </w:tc>
        <w:tc>
          <w:tcPr>
            <w:tcW w:w="1371" w:type="dxa"/>
            <w:tcBorders>
              <w:top w:val="nil"/>
              <w:left w:val="nil"/>
              <w:bottom w:val="nil"/>
              <w:right w:val="nil"/>
            </w:tcBorders>
            <w:shd w:val="clear" w:color="auto" w:fill="auto"/>
            <w:noWrap/>
            <w:vAlign w:val="bottom"/>
            <w:hideMark/>
          </w:tcPr>
          <w:p w:rsidR="00C65157" w:rsidRDefault="00C65157" w:rsidP="00BC6809">
            <w:pPr>
              <w:rPr>
                <w:b/>
                <w:bCs/>
                <w:sz w:val="20"/>
                <w:szCs w:val="20"/>
              </w:rPr>
            </w:pPr>
          </w:p>
        </w:tc>
        <w:tc>
          <w:tcPr>
            <w:tcW w:w="300" w:type="dxa"/>
            <w:tcBorders>
              <w:top w:val="nil"/>
              <w:left w:val="nil"/>
              <w:bottom w:val="nil"/>
              <w:right w:val="single" w:sz="4" w:space="0" w:color="auto"/>
            </w:tcBorders>
            <w:shd w:val="clear" w:color="auto" w:fill="auto"/>
            <w:noWrap/>
            <w:vAlign w:val="bottom"/>
            <w:hideMark/>
          </w:tcPr>
          <w:p w:rsidR="00C65157" w:rsidRDefault="00C65157" w:rsidP="00BC6809">
            <w:pPr>
              <w:rPr>
                <w:b/>
                <w:bCs/>
                <w:sz w:val="20"/>
                <w:szCs w:val="20"/>
              </w:rPr>
            </w:pPr>
            <w:r>
              <w:rPr>
                <w:b/>
                <w:bCs/>
                <w:sz w:val="20"/>
                <w:szCs w:val="20"/>
              </w:rPr>
              <w:t> </w:t>
            </w:r>
          </w:p>
        </w:tc>
      </w:tr>
      <w:tr w:rsidR="00C65157" w:rsidTr="00BC6809">
        <w:trPr>
          <w:trHeight w:val="255"/>
        </w:trPr>
        <w:tc>
          <w:tcPr>
            <w:tcW w:w="416" w:type="dxa"/>
            <w:tcBorders>
              <w:top w:val="nil"/>
              <w:left w:val="single" w:sz="4" w:space="0" w:color="auto"/>
              <w:bottom w:val="nil"/>
              <w:right w:val="nil"/>
            </w:tcBorders>
            <w:shd w:val="clear" w:color="auto" w:fill="auto"/>
            <w:noWrap/>
            <w:vAlign w:val="bottom"/>
            <w:hideMark/>
          </w:tcPr>
          <w:p w:rsidR="00C65157" w:rsidRDefault="00C65157" w:rsidP="00BC680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C65157" w:rsidRDefault="00C65157" w:rsidP="00BC6809">
            <w:pPr>
              <w:rPr>
                <w:b/>
                <w:bCs/>
                <w:sz w:val="20"/>
                <w:szCs w:val="20"/>
              </w:rPr>
            </w:pP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Per</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Adjust-</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Test Year</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Adjust-</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Adjusted</w:t>
            </w:r>
          </w:p>
        </w:tc>
        <w:tc>
          <w:tcPr>
            <w:tcW w:w="95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Revenue</w:t>
            </w:r>
          </w:p>
        </w:tc>
        <w:tc>
          <w:tcPr>
            <w:tcW w:w="1371"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Revenue</w:t>
            </w:r>
          </w:p>
        </w:tc>
        <w:tc>
          <w:tcPr>
            <w:tcW w:w="300" w:type="dxa"/>
            <w:tcBorders>
              <w:top w:val="nil"/>
              <w:left w:val="nil"/>
              <w:bottom w:val="nil"/>
              <w:right w:val="single" w:sz="4" w:space="0" w:color="auto"/>
            </w:tcBorders>
            <w:shd w:val="clear" w:color="auto" w:fill="auto"/>
            <w:noWrap/>
            <w:vAlign w:val="bottom"/>
            <w:hideMark/>
          </w:tcPr>
          <w:p w:rsidR="00C65157" w:rsidRDefault="00C65157" w:rsidP="00BC6809">
            <w:pPr>
              <w:jc w:val="center"/>
              <w:rPr>
                <w:b/>
                <w:bCs/>
                <w:sz w:val="20"/>
                <w:szCs w:val="20"/>
              </w:rPr>
            </w:pPr>
            <w:r>
              <w:rPr>
                <w:b/>
                <w:bCs/>
                <w:sz w:val="20"/>
                <w:szCs w:val="20"/>
              </w:rPr>
              <w:t> </w:t>
            </w:r>
          </w:p>
        </w:tc>
      </w:tr>
      <w:tr w:rsidR="00C65157" w:rsidTr="00BC6809">
        <w:trPr>
          <w:trHeight w:val="255"/>
        </w:trPr>
        <w:tc>
          <w:tcPr>
            <w:tcW w:w="416" w:type="dxa"/>
            <w:tcBorders>
              <w:top w:val="nil"/>
              <w:left w:val="single" w:sz="4" w:space="0" w:color="auto"/>
              <w:bottom w:val="nil"/>
              <w:right w:val="nil"/>
            </w:tcBorders>
            <w:shd w:val="clear" w:color="auto" w:fill="auto"/>
            <w:noWrap/>
            <w:vAlign w:val="bottom"/>
            <w:hideMark/>
          </w:tcPr>
          <w:p w:rsidR="00C65157" w:rsidRDefault="00C65157" w:rsidP="00BC680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Description</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Utility</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ments</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Per Utility</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ments</w:t>
            </w:r>
          </w:p>
        </w:tc>
        <w:tc>
          <w:tcPr>
            <w:tcW w:w="114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Test Year</w:t>
            </w:r>
          </w:p>
        </w:tc>
        <w:tc>
          <w:tcPr>
            <w:tcW w:w="950"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Increase</w:t>
            </w:r>
          </w:p>
        </w:tc>
        <w:tc>
          <w:tcPr>
            <w:tcW w:w="1371" w:type="dxa"/>
            <w:tcBorders>
              <w:top w:val="nil"/>
              <w:left w:val="nil"/>
              <w:bottom w:val="nil"/>
              <w:right w:val="nil"/>
            </w:tcBorders>
            <w:shd w:val="clear" w:color="auto" w:fill="auto"/>
            <w:noWrap/>
            <w:vAlign w:val="bottom"/>
            <w:hideMark/>
          </w:tcPr>
          <w:p w:rsidR="00C65157" w:rsidRDefault="00C65157" w:rsidP="00BC6809">
            <w:pPr>
              <w:jc w:val="center"/>
              <w:rPr>
                <w:b/>
                <w:bCs/>
                <w:sz w:val="20"/>
                <w:szCs w:val="20"/>
              </w:rPr>
            </w:pPr>
            <w:r>
              <w:rPr>
                <w:b/>
                <w:bCs/>
                <w:sz w:val="20"/>
                <w:szCs w:val="20"/>
              </w:rPr>
              <w:t>Requirement</w:t>
            </w:r>
          </w:p>
        </w:tc>
        <w:tc>
          <w:tcPr>
            <w:tcW w:w="300" w:type="dxa"/>
            <w:tcBorders>
              <w:top w:val="nil"/>
              <w:left w:val="nil"/>
              <w:bottom w:val="nil"/>
              <w:right w:val="single" w:sz="4" w:space="0" w:color="auto"/>
            </w:tcBorders>
            <w:shd w:val="clear" w:color="auto" w:fill="auto"/>
            <w:noWrap/>
            <w:vAlign w:val="bottom"/>
            <w:hideMark/>
          </w:tcPr>
          <w:p w:rsidR="00C65157" w:rsidRDefault="00C65157" w:rsidP="00BC6809">
            <w:pPr>
              <w:jc w:val="center"/>
              <w:rPr>
                <w:b/>
                <w:bCs/>
                <w:sz w:val="20"/>
                <w:szCs w:val="20"/>
              </w:rPr>
            </w:pPr>
            <w:r>
              <w:rPr>
                <w:b/>
                <w:bCs/>
                <w:sz w:val="20"/>
                <w:szCs w:val="20"/>
              </w:rPr>
              <w:t> </w:t>
            </w:r>
          </w:p>
        </w:tc>
      </w:tr>
      <w:tr w:rsidR="00C65157" w:rsidTr="00BC6809">
        <w:trPr>
          <w:trHeight w:val="255"/>
        </w:trPr>
        <w:tc>
          <w:tcPr>
            <w:tcW w:w="416" w:type="dxa"/>
            <w:tcBorders>
              <w:top w:val="single" w:sz="4" w:space="0" w:color="000000"/>
              <w:left w:val="single" w:sz="4" w:space="0" w:color="auto"/>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2713"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single" w:sz="4" w:space="0" w:color="000000"/>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single" w:sz="4" w:space="0" w:color="000000"/>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1</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Operating Revenues:</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$391,017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$82,200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$473,217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($74,254)</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$398,963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$65,159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$464,122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single"/>
              </w:rPr>
            </w:pP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16.33%</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Operating Expenses</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2</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xml:space="preserve">    Operation &amp; Maintenance</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$363,729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$363,729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$363,729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$0</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$363,729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3</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xml:space="preserve">    Depreciation</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14,743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14,743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14,743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0</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14,743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4</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xml:space="preserve">    Amortization</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0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0</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0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5</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xml:space="preserve">    Taxes Other Than Income</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44,538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3,699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rPr>
            </w:pPr>
            <w:r>
              <w:rPr>
                <w:sz w:val="20"/>
                <w:szCs w:val="20"/>
              </w:rPr>
              <w:t xml:space="preserve">48,237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(3,341)</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44,791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3,036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rPr>
            </w:pPr>
            <w:r>
              <w:rPr>
                <w:sz w:val="20"/>
                <w:szCs w:val="20"/>
              </w:rPr>
              <w:t xml:space="preserve">47,828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auto" w:fill="auto"/>
            <w:noWrap/>
            <w:vAlign w:val="bottom"/>
            <w:hideMark/>
          </w:tcPr>
          <w:p w:rsidR="00C65157" w:rsidRDefault="00C65157" w:rsidP="00BC6809">
            <w:pPr>
              <w:rPr>
                <w:sz w:val="20"/>
                <w:szCs w:val="20"/>
              </w:rPr>
            </w:pP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6</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xml:space="preserve">    Income Taxes</w:t>
            </w:r>
          </w:p>
        </w:tc>
        <w:tc>
          <w:tcPr>
            <w:tcW w:w="1140" w:type="dxa"/>
            <w:gridSpan w:val="2"/>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auto" w:fill="auto"/>
            <w:noWrap/>
            <w:vAlign w:val="bottom"/>
            <w:hideMark/>
          </w:tcPr>
          <w:p w:rsidR="00C65157" w:rsidRDefault="00C65157" w:rsidP="00BC680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0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0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0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single"/>
              </w:rPr>
            </w:pP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7</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Total Operating Expense</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$423,010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$3,699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$426,709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($3,341)</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$423,263 </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$3,036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single"/>
              </w:rPr>
            </w:pPr>
            <w:r>
              <w:rPr>
                <w:sz w:val="20"/>
                <w:szCs w:val="20"/>
                <w:u w:val="single"/>
              </w:rPr>
              <w:t xml:space="preserve">$426,300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single"/>
              </w:rPr>
            </w:pP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8</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Operating Income</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($31,993)</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$78,501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$46,508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($70,913)</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($24,405)</w:t>
            </w:r>
          </w:p>
        </w:tc>
        <w:tc>
          <w:tcPr>
            <w:tcW w:w="95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$62,227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$37,822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double"/>
              </w:rPr>
            </w:pP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9</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Rate Base</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$785,010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$785,010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$646,070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 xml:space="preserve">$646,070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double"/>
              </w:rPr>
            </w:pP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tr w:rsidR="00C65157" w:rsidTr="00BC6809">
        <w:trPr>
          <w:trHeight w:val="255"/>
        </w:trPr>
        <w:tc>
          <w:tcPr>
            <w:tcW w:w="416" w:type="dxa"/>
            <w:tcBorders>
              <w:top w:val="nil"/>
              <w:left w:val="single" w:sz="4" w:space="0" w:color="auto"/>
              <w:bottom w:val="nil"/>
              <w:right w:val="nil"/>
            </w:tcBorders>
            <w:shd w:val="clear" w:color="000000" w:fill="FFFFFF"/>
            <w:noWrap/>
            <w:vAlign w:val="bottom"/>
            <w:hideMark/>
          </w:tcPr>
          <w:p w:rsidR="00C65157" w:rsidRDefault="00C65157" w:rsidP="00BC6809">
            <w:pPr>
              <w:jc w:val="center"/>
              <w:rPr>
                <w:sz w:val="20"/>
                <w:szCs w:val="20"/>
              </w:rPr>
            </w:pPr>
            <w:r>
              <w:rPr>
                <w:sz w:val="20"/>
                <w:szCs w:val="20"/>
              </w:rPr>
              <w:t>10</w:t>
            </w:r>
          </w:p>
        </w:tc>
        <w:tc>
          <w:tcPr>
            <w:tcW w:w="2713" w:type="dxa"/>
            <w:tcBorders>
              <w:top w:val="nil"/>
              <w:left w:val="nil"/>
              <w:bottom w:val="nil"/>
              <w:right w:val="nil"/>
            </w:tcBorders>
            <w:shd w:val="clear" w:color="000000" w:fill="FFFFFF"/>
            <w:noWrap/>
            <w:vAlign w:val="bottom"/>
            <w:hideMark/>
          </w:tcPr>
          <w:p w:rsidR="00C65157" w:rsidRDefault="00C65157" w:rsidP="00BC6809">
            <w:pPr>
              <w:rPr>
                <w:b/>
                <w:bCs/>
                <w:sz w:val="20"/>
                <w:szCs w:val="20"/>
              </w:rPr>
            </w:pPr>
            <w:r>
              <w:rPr>
                <w:b/>
                <w:bCs/>
                <w:sz w:val="20"/>
                <w:szCs w:val="20"/>
              </w:rPr>
              <w:t>Rate of Return</w:t>
            </w:r>
          </w:p>
        </w:tc>
        <w:tc>
          <w:tcPr>
            <w:tcW w:w="1140" w:type="dxa"/>
            <w:gridSpan w:val="2"/>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(4.08%)</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5.92%</w:t>
            </w:r>
          </w:p>
        </w:tc>
        <w:tc>
          <w:tcPr>
            <w:tcW w:w="114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C65157" w:rsidRDefault="00C65157" w:rsidP="00BC6809">
            <w:pPr>
              <w:jc w:val="right"/>
              <w:rPr>
                <w:sz w:val="20"/>
                <w:szCs w:val="20"/>
                <w:u w:val="double"/>
              </w:rPr>
            </w:pPr>
            <w:r>
              <w:rPr>
                <w:sz w:val="20"/>
                <w:szCs w:val="20"/>
                <w:u w:val="double"/>
              </w:rPr>
              <w:t>(4.12%)</w:t>
            </w:r>
          </w:p>
        </w:tc>
        <w:tc>
          <w:tcPr>
            <w:tcW w:w="950" w:type="dxa"/>
            <w:tcBorders>
              <w:top w:val="nil"/>
              <w:left w:val="nil"/>
              <w:bottom w:val="nil"/>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nil"/>
              <w:right w:val="nil"/>
            </w:tcBorders>
            <w:shd w:val="clear" w:color="auto" w:fill="auto"/>
            <w:noWrap/>
            <w:vAlign w:val="bottom"/>
            <w:hideMark/>
          </w:tcPr>
          <w:p w:rsidR="00C65157" w:rsidRDefault="00C65157" w:rsidP="00BC6809">
            <w:pPr>
              <w:jc w:val="right"/>
              <w:rPr>
                <w:sz w:val="20"/>
                <w:szCs w:val="20"/>
                <w:u w:val="double"/>
              </w:rPr>
            </w:pPr>
            <w:r>
              <w:rPr>
                <w:sz w:val="20"/>
                <w:szCs w:val="20"/>
                <w:u w:val="double"/>
              </w:rPr>
              <w:t>5.85%</w:t>
            </w:r>
          </w:p>
        </w:tc>
        <w:tc>
          <w:tcPr>
            <w:tcW w:w="300" w:type="dxa"/>
            <w:tcBorders>
              <w:top w:val="nil"/>
              <w:left w:val="nil"/>
              <w:bottom w:val="nil"/>
              <w:right w:val="single" w:sz="4" w:space="0" w:color="auto"/>
            </w:tcBorders>
            <w:shd w:val="clear" w:color="000000" w:fill="FFFFFF"/>
            <w:noWrap/>
            <w:vAlign w:val="bottom"/>
            <w:hideMark/>
          </w:tcPr>
          <w:p w:rsidR="00C65157" w:rsidRDefault="00C65157" w:rsidP="00BC6809">
            <w:pPr>
              <w:rPr>
                <w:sz w:val="20"/>
                <w:szCs w:val="20"/>
                <w:u w:val="double"/>
              </w:rPr>
            </w:pPr>
          </w:p>
        </w:tc>
      </w:tr>
      <w:tr w:rsidR="00C65157" w:rsidTr="00BC6809">
        <w:trPr>
          <w:trHeight w:val="255"/>
        </w:trPr>
        <w:tc>
          <w:tcPr>
            <w:tcW w:w="416" w:type="dxa"/>
            <w:tcBorders>
              <w:top w:val="nil"/>
              <w:left w:val="single" w:sz="4" w:space="0" w:color="auto"/>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2713"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gridSpan w:val="2"/>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950"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1371" w:type="dxa"/>
            <w:tcBorders>
              <w:top w:val="nil"/>
              <w:left w:val="nil"/>
              <w:bottom w:val="single" w:sz="4" w:space="0" w:color="auto"/>
              <w:right w:val="nil"/>
            </w:tcBorders>
            <w:shd w:val="clear" w:color="000000" w:fill="FFFFFF"/>
            <w:noWrap/>
            <w:vAlign w:val="bottom"/>
            <w:hideMark/>
          </w:tcPr>
          <w:p w:rsidR="00C65157" w:rsidRDefault="00C65157" w:rsidP="00BC6809">
            <w:pPr>
              <w:rPr>
                <w:sz w:val="20"/>
                <w:szCs w:val="20"/>
              </w:rPr>
            </w:pPr>
            <w:r>
              <w:rPr>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C65157" w:rsidRDefault="00C65157" w:rsidP="00BC6809">
            <w:pPr>
              <w:rPr>
                <w:sz w:val="20"/>
                <w:szCs w:val="20"/>
              </w:rPr>
            </w:pPr>
            <w:r>
              <w:rPr>
                <w:sz w:val="20"/>
                <w:szCs w:val="20"/>
              </w:rPr>
              <w:t> </w:t>
            </w:r>
          </w:p>
        </w:tc>
      </w:tr>
      <w:bookmarkEnd w:id="13"/>
      <w:bookmarkEnd w:id="14"/>
    </w:tbl>
    <w:p w:rsidR="00C65157" w:rsidRDefault="00C65157" w:rsidP="007E53CC">
      <w:pPr>
        <w:pStyle w:val="OrderBody"/>
      </w:pPr>
    </w:p>
    <w:p w:rsidR="005B3FA4" w:rsidRDefault="005B3FA4" w:rsidP="007E53CC">
      <w:pPr>
        <w:pStyle w:val="OrderBody"/>
        <w:sectPr w:rsidR="005B3FA4" w:rsidSect="005B3FA4">
          <w:headerReference w:type="first" r:id="rId14"/>
          <w:pgSz w:w="12240" w:h="15840" w:code="1"/>
          <w:pgMar w:top="1440" w:right="1440" w:bottom="1440" w:left="1440" w:header="720" w:footer="720" w:gutter="0"/>
          <w:cols w:space="720"/>
          <w:titlePg/>
          <w:docGrid w:linePitch="360"/>
        </w:sectPr>
      </w:pPr>
    </w:p>
    <w:tbl>
      <w:tblPr>
        <w:tblpPr w:leftFromText="180" w:rightFromText="180" w:vertAnchor="page" w:horzAnchor="margin" w:tblpY="1680"/>
        <w:tblW w:w="9735" w:type="dxa"/>
        <w:tblLook w:val="04A0" w:firstRow="1" w:lastRow="0" w:firstColumn="1" w:lastColumn="0" w:noHBand="0" w:noVBand="1"/>
      </w:tblPr>
      <w:tblGrid>
        <w:gridCol w:w="375"/>
        <w:gridCol w:w="5940"/>
        <w:gridCol w:w="1530"/>
        <w:gridCol w:w="1620"/>
        <w:gridCol w:w="270"/>
      </w:tblGrid>
      <w:tr w:rsidR="005B3FA4" w:rsidRPr="00192E4E" w:rsidTr="00BC6809">
        <w:trPr>
          <w:trHeight w:val="270"/>
        </w:trPr>
        <w:tc>
          <w:tcPr>
            <w:tcW w:w="375" w:type="dxa"/>
            <w:tcBorders>
              <w:top w:val="single" w:sz="4" w:space="0" w:color="auto"/>
              <w:left w:val="single" w:sz="4" w:space="0" w:color="auto"/>
              <w:bottom w:val="nil"/>
              <w:right w:val="nil"/>
            </w:tcBorders>
            <w:shd w:val="clear" w:color="000000" w:fill="FFFFFF"/>
            <w:noWrap/>
            <w:vAlign w:val="bottom"/>
            <w:hideMark/>
          </w:tcPr>
          <w:p w:rsidR="005B3FA4" w:rsidRPr="00192E4E" w:rsidRDefault="005B3FA4" w:rsidP="00BC6809">
            <w:pPr>
              <w:rPr>
                <w:rFonts w:ascii="Arial" w:hAnsi="Arial" w:cs="Arial"/>
                <w:sz w:val="20"/>
                <w:szCs w:val="20"/>
              </w:rPr>
            </w:pPr>
            <w:bookmarkStart w:id="15" w:name="RANGE!B29:E53"/>
            <w:bookmarkStart w:id="16" w:name="OLE_LINK30"/>
            <w:r w:rsidRPr="00192E4E">
              <w:rPr>
                <w:rFonts w:ascii="Arial" w:hAnsi="Arial" w:cs="Arial"/>
                <w:sz w:val="20"/>
                <w:szCs w:val="20"/>
              </w:rPr>
              <w:lastRenderedPageBreak/>
              <w:t> </w:t>
            </w:r>
            <w:bookmarkEnd w:id="15"/>
          </w:p>
        </w:tc>
        <w:tc>
          <w:tcPr>
            <w:tcW w:w="5940" w:type="dxa"/>
            <w:tcBorders>
              <w:top w:val="single" w:sz="4" w:space="0" w:color="auto"/>
              <w:left w:val="nil"/>
              <w:bottom w:val="nil"/>
              <w:right w:val="nil"/>
            </w:tcBorders>
            <w:shd w:val="clear" w:color="000000" w:fill="FFFFFF"/>
            <w:noWrap/>
            <w:vAlign w:val="bottom"/>
            <w:hideMark/>
          </w:tcPr>
          <w:p w:rsidR="005B3FA4" w:rsidRPr="00192E4E" w:rsidRDefault="005B3FA4" w:rsidP="00BC6809">
            <w:pPr>
              <w:rPr>
                <w:b/>
                <w:bCs/>
                <w:sz w:val="20"/>
                <w:szCs w:val="20"/>
              </w:rPr>
            </w:pPr>
            <w:r>
              <w:rPr>
                <w:b/>
                <w:bCs/>
                <w:sz w:val="20"/>
                <w:szCs w:val="20"/>
              </w:rPr>
              <w:t>Bocilla Utilities, Inc.</w:t>
            </w:r>
          </w:p>
        </w:tc>
        <w:tc>
          <w:tcPr>
            <w:tcW w:w="3150" w:type="dxa"/>
            <w:gridSpan w:val="2"/>
            <w:tcBorders>
              <w:top w:val="single" w:sz="4" w:space="0" w:color="auto"/>
              <w:left w:val="nil"/>
              <w:bottom w:val="nil"/>
              <w:right w:val="nil"/>
            </w:tcBorders>
            <w:shd w:val="clear" w:color="000000" w:fill="FFFFFF"/>
            <w:noWrap/>
            <w:vAlign w:val="bottom"/>
            <w:hideMark/>
          </w:tcPr>
          <w:p w:rsidR="005B3FA4" w:rsidRPr="00192E4E" w:rsidRDefault="005B3FA4" w:rsidP="00BC6809">
            <w:pPr>
              <w:jc w:val="right"/>
              <w:rPr>
                <w:b/>
                <w:bCs/>
                <w:sz w:val="20"/>
                <w:szCs w:val="20"/>
              </w:rPr>
            </w:pPr>
            <w:r>
              <w:rPr>
                <w:b/>
                <w:bCs/>
                <w:sz w:val="20"/>
                <w:szCs w:val="20"/>
              </w:rPr>
              <w:t>Schedule 3-B</w:t>
            </w:r>
          </w:p>
        </w:tc>
        <w:tc>
          <w:tcPr>
            <w:tcW w:w="270" w:type="dxa"/>
            <w:tcBorders>
              <w:top w:val="single" w:sz="4" w:space="0" w:color="auto"/>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b/>
                <w:bCs/>
                <w:sz w:val="20"/>
                <w:szCs w:val="20"/>
              </w:rPr>
            </w:pPr>
            <w:r w:rsidRPr="00192E4E">
              <w:rPr>
                <w:b/>
                <w:bCs/>
                <w:sz w:val="20"/>
                <w:szCs w:val="20"/>
              </w:rPr>
              <w:t>Adjustment to Operating Income</w:t>
            </w:r>
          </w:p>
        </w:tc>
        <w:tc>
          <w:tcPr>
            <w:tcW w:w="3150" w:type="dxa"/>
            <w:gridSpan w:val="2"/>
            <w:tcBorders>
              <w:top w:val="nil"/>
              <w:left w:val="nil"/>
              <w:bottom w:val="nil"/>
              <w:right w:val="nil"/>
            </w:tcBorders>
            <w:shd w:val="clear" w:color="000000" w:fill="FFFFFF"/>
            <w:noWrap/>
            <w:vAlign w:val="bottom"/>
            <w:hideMark/>
          </w:tcPr>
          <w:p w:rsidR="005B3FA4" w:rsidRPr="00192E4E" w:rsidRDefault="005B3FA4" w:rsidP="00BC6809">
            <w:pPr>
              <w:jc w:val="right"/>
              <w:rPr>
                <w:b/>
                <w:bCs/>
                <w:sz w:val="20"/>
                <w:szCs w:val="20"/>
              </w:rPr>
            </w:pPr>
            <w:r w:rsidRPr="00192E4E">
              <w:rPr>
                <w:b/>
                <w:bCs/>
                <w:sz w:val="20"/>
                <w:szCs w:val="20"/>
              </w:rPr>
              <w:t>Docket No. 16</w:t>
            </w:r>
            <w:r>
              <w:rPr>
                <w:b/>
                <w:bCs/>
                <w:sz w:val="20"/>
                <w:szCs w:val="20"/>
              </w:rPr>
              <w:t>0065-WU</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b/>
                <w:bCs/>
                <w:sz w:val="20"/>
                <w:szCs w:val="20"/>
              </w:rPr>
            </w:pPr>
            <w:r w:rsidRPr="00192E4E">
              <w:rPr>
                <w:b/>
                <w:bCs/>
                <w:sz w:val="20"/>
                <w:szCs w:val="20"/>
              </w:rPr>
              <w:t>Test Year Ended 12/31/15</w:t>
            </w:r>
          </w:p>
        </w:tc>
        <w:tc>
          <w:tcPr>
            <w:tcW w:w="1530" w:type="dxa"/>
            <w:tcBorders>
              <w:top w:val="nil"/>
              <w:left w:val="nil"/>
              <w:bottom w:val="nil"/>
              <w:right w:val="nil"/>
            </w:tcBorders>
            <w:shd w:val="clear" w:color="000000" w:fill="FFFFFF"/>
            <w:noWrap/>
            <w:vAlign w:val="bottom"/>
            <w:hideMark/>
          </w:tcPr>
          <w:p w:rsidR="005B3FA4" w:rsidRPr="00192E4E" w:rsidRDefault="005B3FA4" w:rsidP="00BC6809">
            <w:pPr>
              <w:rPr>
                <w:b/>
                <w:bCs/>
                <w:sz w:val="20"/>
                <w:szCs w:val="20"/>
              </w:rPr>
            </w:pPr>
            <w:r w:rsidRPr="00192E4E">
              <w:rPr>
                <w:b/>
                <w:bCs/>
                <w:sz w:val="20"/>
                <w:szCs w:val="20"/>
              </w:rPr>
              <w:t> </w:t>
            </w: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rPr>
                <w:b/>
                <w:bCs/>
                <w:sz w:val="20"/>
                <w:szCs w:val="20"/>
              </w:rPr>
            </w:pPr>
            <w:r w:rsidRPr="00192E4E">
              <w:rPr>
                <w:b/>
                <w:bCs/>
                <w:sz w:val="20"/>
                <w:szCs w:val="20"/>
              </w:rPr>
              <w:t> </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single" w:sz="4" w:space="0" w:color="000000"/>
              <w:left w:val="single" w:sz="4" w:space="0" w:color="auto"/>
              <w:bottom w:val="nil"/>
              <w:right w:val="nil"/>
            </w:tcBorders>
            <w:shd w:val="clear" w:color="auto" w:fill="auto"/>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 </w:t>
            </w:r>
          </w:p>
        </w:tc>
        <w:tc>
          <w:tcPr>
            <w:tcW w:w="1530" w:type="dxa"/>
            <w:tcBorders>
              <w:top w:val="single" w:sz="4" w:space="0" w:color="000000"/>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 </w:t>
            </w:r>
          </w:p>
        </w:tc>
        <w:tc>
          <w:tcPr>
            <w:tcW w:w="1620" w:type="dxa"/>
            <w:tcBorders>
              <w:top w:val="single" w:sz="4" w:space="0" w:color="000000"/>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 </w:t>
            </w:r>
          </w:p>
        </w:tc>
        <w:tc>
          <w:tcPr>
            <w:tcW w:w="270" w:type="dxa"/>
            <w:tcBorders>
              <w:top w:val="single" w:sz="4" w:space="0" w:color="000000"/>
              <w:left w:val="nil"/>
              <w:bottom w:val="nil"/>
              <w:right w:val="single" w:sz="4" w:space="0" w:color="auto"/>
            </w:tcBorders>
            <w:shd w:val="clear" w:color="auto" w:fill="auto"/>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auto" w:fill="auto"/>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5B3FA4" w:rsidRPr="00192E4E" w:rsidRDefault="005B3FA4" w:rsidP="00BC6809">
            <w:pPr>
              <w:rPr>
                <w:b/>
                <w:bCs/>
                <w:sz w:val="20"/>
                <w:szCs w:val="20"/>
              </w:rPr>
            </w:pPr>
            <w:r w:rsidRPr="00192E4E">
              <w:rPr>
                <w:b/>
                <w:bCs/>
                <w:sz w:val="20"/>
                <w:szCs w:val="20"/>
              </w:rPr>
              <w:t>Explanation</w:t>
            </w:r>
          </w:p>
        </w:tc>
        <w:tc>
          <w:tcPr>
            <w:tcW w:w="1530" w:type="dxa"/>
            <w:tcBorders>
              <w:top w:val="nil"/>
              <w:left w:val="nil"/>
              <w:bottom w:val="nil"/>
              <w:right w:val="nil"/>
            </w:tcBorders>
            <w:shd w:val="clear" w:color="auto" w:fill="auto"/>
            <w:noWrap/>
            <w:vAlign w:val="bottom"/>
          </w:tcPr>
          <w:p w:rsidR="005B3FA4" w:rsidRPr="00192E4E" w:rsidRDefault="005B3FA4" w:rsidP="00BC6809">
            <w:pPr>
              <w:jc w:val="center"/>
              <w:rPr>
                <w:b/>
                <w:bCs/>
                <w:sz w:val="20"/>
                <w:szCs w:val="20"/>
              </w:rPr>
            </w:pPr>
          </w:p>
        </w:tc>
        <w:tc>
          <w:tcPr>
            <w:tcW w:w="1620" w:type="dxa"/>
            <w:tcBorders>
              <w:top w:val="nil"/>
              <w:left w:val="nil"/>
              <w:bottom w:val="nil"/>
              <w:right w:val="nil"/>
            </w:tcBorders>
            <w:shd w:val="clear" w:color="auto" w:fill="auto"/>
            <w:noWrap/>
            <w:vAlign w:val="bottom"/>
            <w:hideMark/>
          </w:tcPr>
          <w:p w:rsidR="005B3FA4" w:rsidRPr="00192E4E" w:rsidRDefault="005B3FA4" w:rsidP="00BC6809">
            <w:pPr>
              <w:jc w:val="center"/>
              <w:rPr>
                <w:b/>
                <w:bCs/>
                <w:sz w:val="20"/>
                <w:szCs w:val="20"/>
              </w:rPr>
            </w:pPr>
            <w:r>
              <w:rPr>
                <w:b/>
                <w:bCs/>
                <w:sz w:val="20"/>
                <w:szCs w:val="20"/>
              </w:rPr>
              <w:t>W</w:t>
            </w:r>
            <w:r w:rsidRPr="00192E4E">
              <w:rPr>
                <w:b/>
                <w:bCs/>
                <w:sz w:val="20"/>
                <w:szCs w:val="20"/>
              </w:rPr>
              <w:t>ater</w:t>
            </w:r>
          </w:p>
        </w:tc>
        <w:tc>
          <w:tcPr>
            <w:tcW w:w="270" w:type="dxa"/>
            <w:tcBorders>
              <w:top w:val="nil"/>
              <w:left w:val="nil"/>
              <w:bottom w:val="nil"/>
              <w:right w:val="single" w:sz="4" w:space="0" w:color="auto"/>
            </w:tcBorders>
            <w:shd w:val="clear" w:color="auto" w:fill="auto"/>
            <w:noWrap/>
            <w:vAlign w:val="bottom"/>
          </w:tcPr>
          <w:p w:rsidR="005B3FA4" w:rsidRPr="00192E4E" w:rsidRDefault="005B3FA4" w:rsidP="00BC6809">
            <w:pPr>
              <w:jc w:val="cente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auto" w:fill="auto"/>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5B3FA4" w:rsidRPr="00192E4E" w:rsidRDefault="005B3FA4" w:rsidP="00BC6809">
            <w:pPr>
              <w:rPr>
                <w:rFonts w:ascii="Arial" w:hAnsi="Arial" w:cs="Arial"/>
                <w:sz w:val="20"/>
                <w:szCs w:val="20"/>
              </w:rPr>
            </w:pPr>
          </w:p>
        </w:tc>
        <w:tc>
          <w:tcPr>
            <w:tcW w:w="1530" w:type="dxa"/>
            <w:tcBorders>
              <w:top w:val="nil"/>
              <w:left w:val="nil"/>
              <w:bottom w:val="nil"/>
              <w:right w:val="nil"/>
            </w:tcBorders>
            <w:shd w:val="clear" w:color="auto" w:fill="auto"/>
            <w:noWrap/>
            <w:vAlign w:val="bottom"/>
          </w:tcPr>
          <w:p w:rsidR="005B3FA4" w:rsidRPr="00192E4E" w:rsidRDefault="005B3FA4" w:rsidP="00BC6809">
            <w:pP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5B3FA4" w:rsidRPr="00192E4E" w:rsidRDefault="005B3FA4" w:rsidP="00BC6809">
            <w:pPr>
              <w:rPr>
                <w:rFonts w:ascii="Arial" w:hAnsi="Arial" w:cs="Arial"/>
                <w:sz w:val="20"/>
                <w:szCs w:val="20"/>
              </w:rPr>
            </w:pPr>
          </w:p>
        </w:tc>
        <w:tc>
          <w:tcPr>
            <w:tcW w:w="270" w:type="dxa"/>
            <w:tcBorders>
              <w:top w:val="nil"/>
              <w:left w:val="nil"/>
              <w:bottom w:val="nil"/>
              <w:right w:val="single" w:sz="4" w:space="0" w:color="auto"/>
            </w:tcBorders>
            <w:shd w:val="clear" w:color="auto" w:fill="auto"/>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single" w:sz="4" w:space="0" w:color="000000"/>
              <w:left w:val="single" w:sz="4" w:space="0" w:color="auto"/>
              <w:bottom w:val="nil"/>
              <w:right w:val="nil"/>
            </w:tcBorders>
            <w:shd w:val="clear" w:color="000000" w:fill="FFFFFF"/>
            <w:noWrap/>
            <w:vAlign w:val="bottom"/>
            <w:hideMark/>
          </w:tcPr>
          <w:p w:rsidR="005B3FA4" w:rsidRPr="00192E4E" w:rsidRDefault="005B3FA4" w:rsidP="00BC6809">
            <w:pPr>
              <w:jc w:val="cente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1530" w:type="dxa"/>
            <w:tcBorders>
              <w:top w:val="single" w:sz="4" w:space="0" w:color="000000"/>
              <w:left w:val="nil"/>
              <w:bottom w:val="nil"/>
              <w:right w:val="nil"/>
            </w:tcBorders>
            <w:shd w:val="clear" w:color="000000" w:fill="FFFFFF"/>
            <w:noWrap/>
            <w:vAlign w:val="bottom"/>
          </w:tcPr>
          <w:p w:rsidR="005B3FA4" w:rsidRPr="00192E4E" w:rsidRDefault="005B3FA4" w:rsidP="00BC6809">
            <w:pPr>
              <w:rPr>
                <w:rFonts w:ascii="Arial" w:hAnsi="Arial" w:cs="Arial"/>
                <w:sz w:val="20"/>
                <w:szCs w:val="20"/>
              </w:rPr>
            </w:pPr>
          </w:p>
        </w:tc>
        <w:tc>
          <w:tcPr>
            <w:tcW w:w="1620" w:type="dxa"/>
            <w:tcBorders>
              <w:top w:val="single" w:sz="4" w:space="0" w:color="000000"/>
              <w:left w:val="nil"/>
              <w:bottom w:val="nil"/>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270" w:type="dxa"/>
            <w:tcBorders>
              <w:top w:val="single" w:sz="4" w:space="0" w:color="000000"/>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sz w:val="20"/>
                <w:szCs w:val="20"/>
                <w:u w:val="single"/>
              </w:rPr>
            </w:pPr>
            <w:r w:rsidRPr="00192E4E">
              <w:rPr>
                <w:sz w:val="20"/>
                <w:szCs w:val="20"/>
                <w:u w:val="single"/>
              </w:rPr>
              <w:t>Operating Revenues</w:t>
            </w:r>
          </w:p>
        </w:tc>
        <w:tc>
          <w:tcPr>
            <w:tcW w:w="1530" w:type="dxa"/>
            <w:tcBorders>
              <w:top w:val="nil"/>
              <w:left w:val="nil"/>
              <w:bottom w:val="nil"/>
              <w:right w:val="nil"/>
            </w:tcBorders>
            <w:shd w:val="clear" w:color="000000" w:fill="FFFFFF"/>
            <w:noWrap/>
            <w:vAlign w:val="bottom"/>
          </w:tcPr>
          <w:p w:rsidR="005B3FA4" w:rsidRPr="00192E4E" w:rsidRDefault="005B3FA4" w:rsidP="00BC6809">
            <w:pPr>
              <w:rPr>
                <w:sz w:val="20"/>
                <w:szCs w:val="20"/>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1</w:t>
            </w:r>
          </w:p>
        </w:tc>
        <w:tc>
          <w:tcPr>
            <w:tcW w:w="5940" w:type="dxa"/>
            <w:tcBorders>
              <w:top w:val="nil"/>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Remove requested interim revenue increase. (Issue 2)</w:t>
            </w:r>
          </w:p>
        </w:tc>
        <w:tc>
          <w:tcPr>
            <w:tcW w:w="1530" w:type="dxa"/>
            <w:tcBorders>
              <w:top w:val="nil"/>
              <w:left w:val="nil"/>
              <w:bottom w:val="nil"/>
              <w:right w:val="nil"/>
            </w:tcBorders>
            <w:shd w:val="clear" w:color="000000" w:fill="FFFFFF"/>
            <w:noWrap/>
            <w:vAlign w:val="bottom"/>
          </w:tcPr>
          <w:p w:rsidR="005B3FA4" w:rsidRPr="00192E4E" w:rsidRDefault="005B3FA4" w:rsidP="00BC6809">
            <w:pPr>
              <w:jc w:val="right"/>
              <w:rPr>
                <w:sz w:val="20"/>
                <w:szCs w:val="20"/>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jc w:val="right"/>
              <w:rPr>
                <w:sz w:val="20"/>
                <w:szCs w:val="20"/>
              </w:rPr>
            </w:pPr>
            <w:r>
              <w:rPr>
                <w:sz w:val="20"/>
                <w:szCs w:val="20"/>
              </w:rPr>
              <w:t>($82,000</w:t>
            </w:r>
            <w:r w:rsidRPr="00192E4E">
              <w:rPr>
                <w:sz w:val="20"/>
                <w:szCs w:val="20"/>
              </w:rPr>
              <w:t>)</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2</w:t>
            </w:r>
          </w:p>
        </w:tc>
        <w:tc>
          <w:tcPr>
            <w:tcW w:w="5940" w:type="dxa"/>
            <w:tcBorders>
              <w:top w:val="nil"/>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Reflect the appropriate amount of test year revenues. (Issue 2)</w:t>
            </w:r>
          </w:p>
        </w:tc>
        <w:tc>
          <w:tcPr>
            <w:tcW w:w="1530" w:type="dxa"/>
            <w:tcBorders>
              <w:top w:val="nil"/>
              <w:left w:val="nil"/>
              <w:bottom w:val="nil"/>
              <w:right w:val="nil"/>
            </w:tcBorders>
            <w:shd w:val="clear" w:color="000000" w:fill="FFFFFF"/>
            <w:noWrap/>
            <w:vAlign w:val="bottom"/>
          </w:tcPr>
          <w:p w:rsidR="005B3FA4" w:rsidRPr="00192E4E" w:rsidRDefault="005B3FA4" w:rsidP="00BC6809">
            <w:pPr>
              <w:jc w:val="right"/>
              <w:rPr>
                <w:sz w:val="20"/>
                <w:szCs w:val="20"/>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jc w:val="right"/>
              <w:rPr>
                <w:sz w:val="20"/>
                <w:szCs w:val="20"/>
                <w:u w:val="single"/>
              </w:rPr>
            </w:pPr>
            <w:r>
              <w:rPr>
                <w:sz w:val="20"/>
                <w:szCs w:val="20"/>
                <w:u w:val="single"/>
              </w:rPr>
              <w:t>7,946</w:t>
            </w:r>
            <w:r w:rsidRPr="00192E4E">
              <w:rPr>
                <w:sz w:val="20"/>
                <w:szCs w:val="20"/>
                <w:u w:val="single"/>
              </w:rPr>
              <w:t xml:space="preserve"> </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color w:val="000000"/>
                <w:sz w:val="20"/>
                <w:szCs w:val="20"/>
              </w:rPr>
            </w:pPr>
            <w:r w:rsidRPr="00192E4E">
              <w:rPr>
                <w:color w:val="000000"/>
                <w:sz w:val="20"/>
                <w:szCs w:val="20"/>
              </w:rPr>
              <w:t xml:space="preserve"> Total</w:t>
            </w:r>
          </w:p>
        </w:tc>
        <w:tc>
          <w:tcPr>
            <w:tcW w:w="1530" w:type="dxa"/>
            <w:tcBorders>
              <w:top w:val="nil"/>
              <w:left w:val="nil"/>
              <w:bottom w:val="nil"/>
              <w:right w:val="nil"/>
            </w:tcBorders>
            <w:shd w:val="clear" w:color="000000" w:fill="FFFFFF"/>
            <w:noWrap/>
            <w:vAlign w:val="bottom"/>
          </w:tcPr>
          <w:p w:rsidR="005B3FA4" w:rsidRPr="00192E4E" w:rsidRDefault="005B3FA4" w:rsidP="00BC6809">
            <w:pPr>
              <w:jc w:val="right"/>
              <w:rPr>
                <w:sz w:val="20"/>
                <w:szCs w:val="20"/>
                <w:u w:val="double"/>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jc w:val="right"/>
              <w:rPr>
                <w:sz w:val="20"/>
                <w:szCs w:val="20"/>
                <w:u w:val="double"/>
              </w:rPr>
            </w:pPr>
            <w:r>
              <w:rPr>
                <w:sz w:val="20"/>
                <w:szCs w:val="20"/>
                <w:u w:val="double"/>
              </w:rPr>
              <w:t>($74,254</w:t>
            </w:r>
            <w:r w:rsidRPr="00192E4E">
              <w:rPr>
                <w:sz w:val="20"/>
                <w:szCs w:val="20"/>
                <w:u w:val="double"/>
              </w:rPr>
              <w:t>)</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color w:val="000000"/>
                <w:sz w:val="20"/>
                <w:szCs w:val="20"/>
              </w:rPr>
            </w:pPr>
            <w:r w:rsidRPr="00192E4E">
              <w:rPr>
                <w:color w:val="000000"/>
                <w:sz w:val="20"/>
                <w:szCs w:val="20"/>
              </w:rPr>
              <w:t> </w:t>
            </w:r>
          </w:p>
        </w:tc>
        <w:tc>
          <w:tcPr>
            <w:tcW w:w="1530" w:type="dxa"/>
            <w:tcBorders>
              <w:top w:val="nil"/>
              <w:left w:val="nil"/>
              <w:bottom w:val="nil"/>
              <w:right w:val="nil"/>
            </w:tcBorders>
            <w:shd w:val="clear" w:color="000000" w:fill="FFFFFF"/>
            <w:noWrap/>
            <w:vAlign w:val="bottom"/>
          </w:tcPr>
          <w:p w:rsidR="005B3FA4" w:rsidRPr="00192E4E" w:rsidRDefault="005B3FA4" w:rsidP="00BC6809">
            <w:pPr>
              <w:rPr>
                <w:sz w:val="20"/>
                <w:szCs w:val="20"/>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5B3FA4" w:rsidRPr="00192E4E" w:rsidRDefault="005B3FA4" w:rsidP="00BC6809">
            <w:pPr>
              <w:rPr>
                <w:sz w:val="20"/>
                <w:szCs w:val="20"/>
                <w:u w:val="single"/>
              </w:rPr>
            </w:pPr>
            <w:r w:rsidRPr="00192E4E">
              <w:rPr>
                <w:sz w:val="20"/>
                <w:szCs w:val="20"/>
                <w:u w:val="single"/>
              </w:rPr>
              <w:t>Taxes Other Than Income</w:t>
            </w:r>
          </w:p>
        </w:tc>
        <w:tc>
          <w:tcPr>
            <w:tcW w:w="1530" w:type="dxa"/>
            <w:tcBorders>
              <w:top w:val="nil"/>
              <w:left w:val="nil"/>
              <w:bottom w:val="nil"/>
              <w:right w:val="nil"/>
            </w:tcBorders>
            <w:shd w:val="clear" w:color="000000" w:fill="FFFFFF"/>
            <w:noWrap/>
            <w:vAlign w:val="bottom"/>
          </w:tcPr>
          <w:p w:rsidR="005B3FA4" w:rsidRPr="00192E4E" w:rsidRDefault="005B3FA4" w:rsidP="00BC6809">
            <w:pPr>
              <w:rPr>
                <w:sz w:val="20"/>
                <w:szCs w:val="20"/>
              </w:rPr>
            </w:pPr>
          </w:p>
        </w:tc>
        <w:tc>
          <w:tcPr>
            <w:tcW w:w="1620" w:type="dxa"/>
            <w:tcBorders>
              <w:top w:val="nil"/>
              <w:left w:val="nil"/>
              <w:bottom w:val="nil"/>
              <w:right w:val="nil"/>
            </w:tcBorders>
            <w:shd w:val="clear" w:color="000000" w:fill="FFFFFF"/>
            <w:noWrap/>
            <w:vAlign w:val="bottom"/>
            <w:hideMark/>
          </w:tcPr>
          <w:p w:rsidR="005B3FA4" w:rsidRPr="00192E4E" w:rsidRDefault="005B3FA4" w:rsidP="00BC680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nil"/>
              <w:right w:val="nil"/>
            </w:tcBorders>
            <w:shd w:val="clear" w:color="000000" w:fill="FFFFFF"/>
            <w:noWrap/>
            <w:vAlign w:val="bottom"/>
            <w:hideMark/>
          </w:tcPr>
          <w:p w:rsidR="005B3FA4" w:rsidRPr="00192E4E" w:rsidRDefault="005B3FA4" w:rsidP="00BC6809">
            <w:pPr>
              <w:jc w:val="center"/>
              <w:rPr>
                <w:sz w:val="20"/>
                <w:szCs w:val="20"/>
              </w:rPr>
            </w:pPr>
          </w:p>
        </w:tc>
        <w:tc>
          <w:tcPr>
            <w:tcW w:w="5940" w:type="dxa"/>
            <w:tcBorders>
              <w:top w:val="nil"/>
              <w:left w:val="nil"/>
              <w:bottom w:val="nil"/>
              <w:right w:val="nil"/>
            </w:tcBorders>
            <w:shd w:val="clear" w:color="auto" w:fill="auto"/>
            <w:noWrap/>
            <w:vAlign w:val="bottom"/>
            <w:hideMark/>
          </w:tcPr>
          <w:p w:rsidR="005B3FA4" w:rsidRPr="00192E4E" w:rsidRDefault="005B3FA4" w:rsidP="00BC6809">
            <w:pPr>
              <w:rPr>
                <w:sz w:val="20"/>
                <w:szCs w:val="20"/>
              </w:rPr>
            </w:pPr>
            <w:r w:rsidRPr="00192E4E">
              <w:rPr>
                <w:sz w:val="20"/>
                <w:szCs w:val="20"/>
              </w:rPr>
              <w:t xml:space="preserve">RAFs on revenue adjustments above. (Issue 2) </w:t>
            </w:r>
          </w:p>
        </w:tc>
        <w:tc>
          <w:tcPr>
            <w:tcW w:w="1530" w:type="dxa"/>
            <w:tcBorders>
              <w:top w:val="nil"/>
              <w:left w:val="nil"/>
              <w:bottom w:val="nil"/>
              <w:right w:val="nil"/>
            </w:tcBorders>
            <w:shd w:val="clear" w:color="000000" w:fill="FFFFFF"/>
            <w:noWrap/>
            <w:vAlign w:val="bottom"/>
          </w:tcPr>
          <w:p w:rsidR="005B3FA4" w:rsidRPr="00192E4E" w:rsidRDefault="005B3FA4" w:rsidP="00BC6809">
            <w:pPr>
              <w:jc w:val="right"/>
              <w:rPr>
                <w:sz w:val="20"/>
                <w:szCs w:val="20"/>
              </w:rPr>
            </w:pPr>
          </w:p>
        </w:tc>
        <w:tc>
          <w:tcPr>
            <w:tcW w:w="1620" w:type="dxa"/>
            <w:tcBorders>
              <w:top w:val="nil"/>
              <w:left w:val="nil"/>
              <w:bottom w:val="nil"/>
              <w:right w:val="nil"/>
            </w:tcBorders>
            <w:shd w:val="clear" w:color="000000" w:fill="FFFFFF"/>
            <w:noWrap/>
            <w:vAlign w:val="bottom"/>
            <w:hideMark/>
          </w:tcPr>
          <w:p w:rsidR="005B3FA4" w:rsidRPr="001B4751" w:rsidRDefault="005B3FA4" w:rsidP="00BC6809">
            <w:pPr>
              <w:jc w:val="right"/>
              <w:rPr>
                <w:sz w:val="20"/>
                <w:szCs w:val="20"/>
                <w:u w:val="double"/>
              </w:rPr>
            </w:pPr>
            <w:r>
              <w:rPr>
                <w:sz w:val="20"/>
                <w:szCs w:val="20"/>
                <w:u w:val="double"/>
              </w:rPr>
              <w:t>($3,341</w:t>
            </w:r>
            <w:r w:rsidRPr="001B4751">
              <w:rPr>
                <w:sz w:val="20"/>
                <w:szCs w:val="20"/>
                <w:u w:val="double"/>
              </w:rPr>
              <w:t>)</w:t>
            </w:r>
          </w:p>
        </w:tc>
        <w:tc>
          <w:tcPr>
            <w:tcW w:w="270" w:type="dxa"/>
            <w:tcBorders>
              <w:top w:val="nil"/>
              <w:left w:val="nil"/>
              <w:bottom w:val="nil"/>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tr w:rsidR="005B3FA4" w:rsidRPr="00192E4E" w:rsidTr="00BC6809">
        <w:trPr>
          <w:trHeight w:val="270"/>
        </w:trPr>
        <w:tc>
          <w:tcPr>
            <w:tcW w:w="375" w:type="dxa"/>
            <w:tcBorders>
              <w:top w:val="nil"/>
              <w:left w:val="single" w:sz="4" w:space="0" w:color="auto"/>
              <w:bottom w:val="single" w:sz="4" w:space="0" w:color="auto"/>
              <w:right w:val="nil"/>
            </w:tcBorders>
            <w:shd w:val="clear" w:color="000000" w:fill="FFFFFF"/>
            <w:noWrap/>
            <w:vAlign w:val="bottom"/>
            <w:hideMark/>
          </w:tcPr>
          <w:p w:rsidR="005B3FA4" w:rsidRPr="00192E4E" w:rsidRDefault="005B3FA4" w:rsidP="00BC6809">
            <w:pPr>
              <w:jc w:val="center"/>
              <w:rPr>
                <w:rFonts w:ascii="Arial" w:hAnsi="Arial" w:cs="Arial"/>
                <w:sz w:val="20"/>
                <w:szCs w:val="20"/>
              </w:rPr>
            </w:pPr>
            <w:r w:rsidRPr="00192E4E">
              <w:rPr>
                <w:rFonts w:ascii="Arial" w:hAnsi="Arial" w:cs="Arial"/>
                <w:sz w:val="20"/>
                <w:szCs w:val="20"/>
              </w:rPr>
              <w:t> </w:t>
            </w:r>
          </w:p>
        </w:tc>
        <w:tc>
          <w:tcPr>
            <w:tcW w:w="5940" w:type="dxa"/>
            <w:tcBorders>
              <w:top w:val="nil"/>
              <w:left w:val="nil"/>
              <w:bottom w:val="single" w:sz="4" w:space="0" w:color="auto"/>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1530" w:type="dxa"/>
            <w:tcBorders>
              <w:top w:val="nil"/>
              <w:left w:val="nil"/>
              <w:bottom w:val="single" w:sz="4" w:space="0" w:color="auto"/>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1620" w:type="dxa"/>
            <w:tcBorders>
              <w:top w:val="nil"/>
              <w:left w:val="nil"/>
              <w:bottom w:val="single" w:sz="4" w:space="0" w:color="auto"/>
              <w:right w:val="nil"/>
            </w:tcBorders>
            <w:shd w:val="clear" w:color="000000" w:fill="FFFFFF"/>
            <w:noWrap/>
            <w:vAlign w:val="bottom"/>
            <w:hideMark/>
          </w:tcPr>
          <w:p w:rsidR="005B3FA4" w:rsidRPr="00192E4E" w:rsidRDefault="005B3FA4" w:rsidP="00BC6809">
            <w:pPr>
              <w:rPr>
                <w:rFonts w:ascii="Arial" w:hAnsi="Arial" w:cs="Arial"/>
                <w:sz w:val="20"/>
                <w:szCs w:val="20"/>
              </w:rPr>
            </w:pPr>
            <w:r w:rsidRPr="00192E4E">
              <w:rPr>
                <w:rFonts w:ascii="Arial" w:hAnsi="Arial" w:cs="Arial"/>
                <w:sz w:val="20"/>
                <w:szCs w:val="20"/>
              </w:rPr>
              <w:t> </w:t>
            </w:r>
          </w:p>
        </w:tc>
        <w:tc>
          <w:tcPr>
            <w:tcW w:w="270" w:type="dxa"/>
            <w:tcBorders>
              <w:top w:val="nil"/>
              <w:left w:val="nil"/>
              <w:bottom w:val="single" w:sz="4" w:space="0" w:color="auto"/>
              <w:right w:val="single" w:sz="4" w:space="0" w:color="auto"/>
            </w:tcBorders>
            <w:shd w:val="clear" w:color="000000" w:fill="FFFFFF"/>
            <w:noWrap/>
            <w:vAlign w:val="bottom"/>
          </w:tcPr>
          <w:p w:rsidR="005B3FA4" w:rsidRPr="00192E4E" w:rsidRDefault="005B3FA4" w:rsidP="00BC6809">
            <w:pPr>
              <w:rPr>
                <w:rFonts w:ascii="Arial" w:hAnsi="Arial" w:cs="Arial"/>
                <w:sz w:val="20"/>
                <w:szCs w:val="20"/>
              </w:rPr>
            </w:pPr>
          </w:p>
        </w:tc>
      </w:tr>
      <w:bookmarkEnd w:id="16"/>
    </w:tbl>
    <w:p w:rsidR="005B3FA4" w:rsidRDefault="005B3FA4" w:rsidP="007E53CC">
      <w:pPr>
        <w:pStyle w:val="OrderBody"/>
      </w:pPr>
    </w:p>
    <w:p w:rsidR="00D222F6" w:rsidRDefault="00D222F6" w:rsidP="007E53CC">
      <w:pPr>
        <w:pStyle w:val="OrderBody"/>
        <w:sectPr w:rsidR="00D222F6" w:rsidSect="005B3FA4">
          <w:headerReference w:type="first" r:id="rId15"/>
          <w:pgSz w:w="12240" w:h="15840" w:code="1"/>
          <w:pgMar w:top="1440" w:right="1440" w:bottom="1440" w:left="1440" w:header="720" w:footer="720" w:gutter="0"/>
          <w:cols w:space="720"/>
          <w:titlePg/>
          <w:docGrid w:linePitch="360"/>
        </w:sectPr>
      </w:pPr>
    </w:p>
    <w:p w:rsidR="00D222F6" w:rsidRDefault="00D222F6" w:rsidP="007E53CC">
      <w:pPr>
        <w:pStyle w:val="OrderBody"/>
      </w:pPr>
    </w:p>
    <w:p w:rsidR="00C65157" w:rsidRDefault="00EF0624" w:rsidP="007E53CC">
      <w:pPr>
        <w:pStyle w:val="OrderBody"/>
      </w:pPr>
      <w:r w:rsidRPr="003D62D5">
        <w:rPr>
          <w:noProof/>
        </w:rPr>
        <w:drawing>
          <wp:inline distT="0" distB="0" distL="0" distR="0" wp14:anchorId="19ACC5BB" wp14:editId="142A4F82">
            <wp:extent cx="5943600" cy="444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47540"/>
                    </a:xfrm>
                    <a:prstGeom prst="rect">
                      <a:avLst/>
                    </a:prstGeom>
                    <a:noFill/>
                    <a:ln>
                      <a:noFill/>
                    </a:ln>
                  </pic:spPr>
                </pic:pic>
              </a:graphicData>
            </a:graphic>
          </wp:inline>
        </w:drawing>
      </w:r>
    </w:p>
    <w:sectPr w:rsidR="00C65157" w:rsidSect="005B3FA4">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164" w:rsidRDefault="00C46164">
      <w:r>
        <w:separator/>
      </w:r>
    </w:p>
  </w:endnote>
  <w:endnote w:type="continuationSeparator" w:id="0">
    <w:p w:rsidR="00C46164" w:rsidRDefault="00C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64" w:rsidRDefault="00C46164">
    <w:pPr>
      <w:pStyle w:val="Footer"/>
    </w:pPr>
  </w:p>
  <w:p w:rsidR="00C46164" w:rsidRDefault="00C46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164" w:rsidRDefault="00C46164">
      <w:r>
        <w:separator/>
      </w:r>
    </w:p>
  </w:footnote>
  <w:footnote w:type="continuationSeparator" w:id="0">
    <w:p w:rsidR="00C46164" w:rsidRDefault="00C46164">
      <w:r>
        <w:continuationSeparator/>
      </w:r>
    </w:p>
  </w:footnote>
  <w:footnote w:id="1">
    <w:p w:rsidR="00C46164" w:rsidRPr="002C7B39" w:rsidRDefault="00C46164" w:rsidP="00E835B7">
      <w:pPr>
        <w:pStyle w:val="FootnoteText"/>
        <w:rPr>
          <w:rStyle w:val="FootnoteReference"/>
          <w:i/>
        </w:rPr>
      </w:pPr>
      <w:r w:rsidRPr="00E3161D">
        <w:rPr>
          <w:rStyle w:val="FootnoteReference"/>
        </w:rPr>
        <w:footnoteRef/>
      </w:r>
      <w:r w:rsidRPr="002C7B39">
        <w:t>O</w:t>
      </w:r>
      <w:r w:rsidRPr="00E835B7">
        <w:rPr>
          <w:rStyle w:val="FootnoteReference"/>
          <w:vertAlign w:val="baseline"/>
        </w:rPr>
        <w:t xml:space="preserve">rder No. PSC-13-0228-PAA-WU, issued May 29, 2013, in Docket No. 130067-WU, </w:t>
      </w:r>
      <w:r w:rsidRPr="00E835B7">
        <w:rPr>
          <w:rStyle w:val="FootnoteReference"/>
          <w:u w:val="single"/>
          <w:vertAlign w:val="baseline"/>
        </w:rPr>
        <w:t>In re: Application for grandfather certificate to operate water utility in Charlotte County by Bocilla Utilities, Inc.</w:t>
      </w:r>
    </w:p>
  </w:footnote>
  <w:footnote w:id="2">
    <w:p w:rsidR="00C46164" w:rsidRPr="00E40C3E" w:rsidRDefault="00C46164" w:rsidP="00E835B7">
      <w:pPr>
        <w:pStyle w:val="FootnoteText"/>
        <w:rPr>
          <w:b/>
          <w:i/>
        </w:rPr>
      </w:pPr>
      <w:r>
        <w:rPr>
          <w:rStyle w:val="FootnoteReference"/>
        </w:rPr>
        <w:footnoteRef/>
      </w:r>
      <w:r>
        <w:t xml:space="preserve">Order No. PSC-13-0228-PAA-WU, issued May 29, 2013, in Docket No. 130067-WU, </w:t>
      </w:r>
      <w:r w:rsidRPr="00E835B7">
        <w:rPr>
          <w:u w:val="single"/>
        </w:rPr>
        <w:t xml:space="preserve">In re: </w:t>
      </w:r>
      <w:r w:rsidRPr="00E835B7">
        <w:rPr>
          <w:rStyle w:val="Strong"/>
          <w:b w:val="0"/>
          <w:color w:val="000000"/>
          <w:u w:val="single"/>
        </w:rPr>
        <w:t>Application for grandfather certificate to operate water utility in Charlotte County by Bocilla Utilities, Inc.</w:t>
      </w:r>
    </w:p>
  </w:footnote>
  <w:footnote w:id="3">
    <w:p w:rsidR="00C46164" w:rsidRPr="00E835B7" w:rsidRDefault="00C46164" w:rsidP="00E835B7">
      <w:pPr>
        <w:pStyle w:val="FootnoteText"/>
        <w:rPr>
          <w:b/>
          <w:u w:val="single"/>
        </w:rPr>
      </w:pPr>
      <w:r>
        <w:rPr>
          <w:rStyle w:val="FootnoteReference"/>
        </w:rPr>
        <w:footnoteRef/>
      </w:r>
      <w:r>
        <w:t xml:space="preserve">Order No. PSC-16-0254-PAA-WS, issued June 29, 2016, in Docket No. 160006-WS, </w:t>
      </w:r>
      <w:r w:rsidRPr="00E835B7">
        <w:rPr>
          <w:u w:val="single"/>
        </w:rPr>
        <w:t xml:space="preserve">In re: </w:t>
      </w:r>
      <w:r w:rsidRPr="00E835B7">
        <w:rPr>
          <w:rStyle w:val="Strong"/>
          <w:b w:val="0"/>
          <w:color w:val="000000"/>
          <w:u w:val="single"/>
        </w:rPr>
        <w:t>Water and wastewater industry annual reestablishment of authorized range of return on common equity for water and wastewater utilities pursuant to Section 367.081(4)(f), F.S.</w:t>
      </w:r>
    </w:p>
    <w:p w:rsidR="00C46164" w:rsidRDefault="00C46164" w:rsidP="00E835B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64" w:rsidRDefault="00C46164">
    <w:pPr>
      <w:pStyle w:val="OrderHeader"/>
    </w:pPr>
    <w:r>
      <w:t xml:space="preserve">ORDER NO. </w:t>
    </w:r>
    <w:fldSimple w:instr=" REF OrderNo0364 ">
      <w:r w:rsidR="006E5C3D">
        <w:t>PSC-16-0364-PCO-WU</w:t>
      </w:r>
    </w:fldSimple>
  </w:p>
  <w:p w:rsidR="00C46164" w:rsidRDefault="00C46164">
    <w:pPr>
      <w:pStyle w:val="OrderHeader"/>
    </w:pPr>
    <w:bookmarkStart w:id="9" w:name="HeaderDocketNo"/>
    <w:bookmarkEnd w:id="9"/>
    <w:r>
      <w:t>DOCKET NO. 160065-WU</w:t>
    </w:r>
  </w:p>
  <w:p w:rsidR="00C46164" w:rsidRDefault="00C461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8</w:t>
    </w:r>
    <w:r>
      <w:rPr>
        <w:rStyle w:val="PageNumber"/>
      </w:rPr>
      <w:fldChar w:fldCharType="end"/>
    </w:r>
  </w:p>
  <w:p w:rsidR="00C46164" w:rsidRDefault="00C46164">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64" w:rsidRDefault="00C46164" w:rsidP="00C46164">
    <w:pPr>
      <w:tabs>
        <w:tab w:val="left" w:pos="8055"/>
        <w:tab w:val="left" w:pos="861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F6" w:rsidRPr="00C46164" w:rsidRDefault="00D222F6" w:rsidP="00D222F6">
    <w:pPr>
      <w:tabs>
        <w:tab w:val="right" w:pos="9360"/>
      </w:tabs>
      <w:jc w:val="both"/>
    </w:pPr>
    <w:r>
      <w:t xml:space="preserve">ORDER NO. </w:t>
    </w:r>
    <w:r w:rsidR="00EA5457">
      <w:t>PSC-16-0364-PCO-WU</w:t>
    </w:r>
    <w:r>
      <w:tab/>
    </w:r>
    <w:r w:rsidRPr="00C46164">
      <w:t>Schedule No. 1-A</w:t>
    </w:r>
  </w:p>
  <w:p w:rsidR="00D222F6" w:rsidRDefault="00D222F6" w:rsidP="00D222F6">
    <w:pPr>
      <w:pStyle w:val="OrderHeader"/>
    </w:pPr>
    <w:r>
      <w:t>DOCKET NO. 160065-WU</w:t>
    </w:r>
    <w:r>
      <w:tab/>
      <w:t xml:space="preserve">                                                                                                     1 of 1</w:t>
    </w:r>
  </w:p>
  <w:p w:rsidR="00D222F6" w:rsidRDefault="00D222F6" w:rsidP="00D222F6">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9</w:t>
    </w:r>
    <w:r>
      <w:rPr>
        <w:rStyle w:val="PageNumber"/>
      </w:rPr>
      <w:fldChar w:fldCharType="end"/>
    </w:r>
    <w:r>
      <w:rPr>
        <w:rStyle w:val="PageNumber"/>
      </w:rPr>
      <w:tab/>
    </w:r>
    <w:r w:rsidRPr="00C46164">
      <w:tab/>
      <w:t xml:space="preserve">       </w:t>
    </w:r>
  </w:p>
  <w:p w:rsidR="00D222F6" w:rsidRDefault="00D222F6" w:rsidP="00C46164">
    <w:pPr>
      <w:tabs>
        <w:tab w:val="left" w:pos="8055"/>
        <w:tab w:val="left" w:pos="8610"/>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F6" w:rsidRPr="00C46164" w:rsidRDefault="00D222F6" w:rsidP="00D222F6">
    <w:pPr>
      <w:tabs>
        <w:tab w:val="right" w:pos="9360"/>
      </w:tabs>
      <w:jc w:val="both"/>
    </w:pPr>
    <w:r>
      <w:t xml:space="preserve">ORDER NO. </w:t>
    </w:r>
    <w:r w:rsidR="00EA5457">
      <w:t>PSC-16-0364-PCO-WU</w:t>
    </w:r>
    <w:r>
      <w:tab/>
      <w:t>Schedule No.</w:t>
    </w:r>
    <w:r w:rsidR="00C65157">
      <w:t xml:space="preserve"> 1-B</w:t>
    </w:r>
  </w:p>
  <w:p w:rsidR="00D222F6" w:rsidRDefault="00D222F6" w:rsidP="00D222F6">
    <w:pPr>
      <w:pStyle w:val="OrderHeader"/>
    </w:pPr>
    <w:r>
      <w:t>DOCKET NO. 160065-WU</w:t>
    </w:r>
    <w:r>
      <w:tab/>
      <w:t xml:space="preserve">                                                                                                     1 of 1</w:t>
    </w:r>
  </w:p>
  <w:p w:rsidR="00C46164" w:rsidRPr="005B3FA4" w:rsidRDefault="00D222F6" w:rsidP="00D222F6">
    <w:pPr>
      <w:tabs>
        <w:tab w:val="left" w:pos="8160"/>
        <w:tab w:val="left" w:pos="12000"/>
        <w:tab w:val="right" w:pos="12816"/>
      </w:tabs>
      <w:jc w:val="both"/>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10</w:t>
    </w:r>
    <w:r>
      <w:rPr>
        <w:rStyle w:val="PageNumber"/>
      </w:rPr>
      <w:fldChar w:fldCharType="end"/>
    </w:r>
    <w:r w:rsidR="005B3FA4" w:rsidRPr="005B3FA4">
      <w:t xml:space="preserve">         </w:t>
    </w:r>
    <w:r w:rsidR="005B3FA4" w:rsidRPr="005B3FA4">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57" w:rsidRPr="00C46164" w:rsidRDefault="00C65157" w:rsidP="00D222F6">
    <w:pPr>
      <w:tabs>
        <w:tab w:val="right" w:pos="9360"/>
      </w:tabs>
      <w:jc w:val="both"/>
    </w:pPr>
    <w:r>
      <w:t xml:space="preserve">ORDER NO. </w:t>
    </w:r>
    <w:r w:rsidR="00EA5457">
      <w:t>PSC-16-0364-PCO-WU</w:t>
    </w:r>
    <w:r>
      <w:tab/>
      <w:t xml:space="preserve">     </w:t>
    </w:r>
    <w:r>
      <w:tab/>
      <w:t xml:space="preserve">    Schedule No. 2</w:t>
    </w:r>
  </w:p>
  <w:p w:rsidR="00C65157" w:rsidRDefault="00C65157" w:rsidP="00D222F6">
    <w:pPr>
      <w:pStyle w:val="OrderHeader"/>
    </w:pPr>
    <w:r>
      <w:t xml:space="preserve">DOCKET NO. 160065-WU                                                                              </w:t>
    </w:r>
    <w:r>
      <w:tab/>
      <w:t xml:space="preserve">                       </w:t>
    </w:r>
    <w:r>
      <w:tab/>
    </w:r>
    <w:r>
      <w:tab/>
      <w:t xml:space="preserve">       1 of 1</w:t>
    </w:r>
  </w:p>
  <w:p w:rsidR="00C65157" w:rsidRPr="005B3FA4" w:rsidRDefault="00C65157" w:rsidP="00D222F6">
    <w:pPr>
      <w:tabs>
        <w:tab w:val="left" w:pos="8160"/>
        <w:tab w:val="left" w:pos="12000"/>
        <w:tab w:val="right" w:pos="12816"/>
      </w:tabs>
      <w:jc w:val="both"/>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11</w:t>
    </w:r>
    <w:r>
      <w:rPr>
        <w:rStyle w:val="PageNumber"/>
      </w:rPr>
      <w:fldChar w:fldCharType="end"/>
    </w:r>
    <w:r w:rsidRPr="005B3FA4">
      <w:t xml:space="preserve">         </w:t>
    </w:r>
    <w:r w:rsidRPr="005B3FA4">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57" w:rsidRPr="00C46164" w:rsidRDefault="00C65157" w:rsidP="00D222F6">
    <w:pPr>
      <w:tabs>
        <w:tab w:val="right" w:pos="9360"/>
      </w:tabs>
      <w:jc w:val="both"/>
    </w:pPr>
    <w:r>
      <w:t xml:space="preserve">ORDER NO. </w:t>
    </w:r>
    <w:r w:rsidR="00EA5457">
      <w:t>PSC-16-0364-PCO-WU</w:t>
    </w:r>
    <w:r>
      <w:tab/>
      <w:t xml:space="preserve">   Schedule No. 3-A</w:t>
    </w:r>
  </w:p>
  <w:p w:rsidR="00C65157" w:rsidRDefault="00C65157" w:rsidP="00D222F6">
    <w:pPr>
      <w:pStyle w:val="OrderHeader"/>
    </w:pPr>
    <w:r>
      <w:t xml:space="preserve">DOCKET NO. 160065-WU                                                                              </w:t>
    </w:r>
    <w:r>
      <w:tab/>
      <w:t xml:space="preserve">                       1 of 1</w:t>
    </w:r>
  </w:p>
  <w:p w:rsidR="00C65157" w:rsidRPr="005B3FA4" w:rsidRDefault="00C65157" w:rsidP="00D222F6">
    <w:pPr>
      <w:tabs>
        <w:tab w:val="left" w:pos="8160"/>
        <w:tab w:val="left" w:pos="12000"/>
        <w:tab w:val="right" w:pos="12816"/>
      </w:tabs>
      <w:jc w:val="both"/>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12</w:t>
    </w:r>
    <w:r>
      <w:rPr>
        <w:rStyle w:val="PageNumber"/>
      </w:rPr>
      <w:fldChar w:fldCharType="end"/>
    </w:r>
    <w:r w:rsidRPr="005B3FA4">
      <w:t xml:space="preserve">         </w:t>
    </w:r>
    <w:r w:rsidRPr="005B3FA4">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57" w:rsidRPr="00C46164" w:rsidRDefault="00C65157" w:rsidP="00D222F6">
    <w:pPr>
      <w:tabs>
        <w:tab w:val="right" w:pos="9360"/>
      </w:tabs>
      <w:jc w:val="both"/>
    </w:pPr>
    <w:r>
      <w:t xml:space="preserve">ORDER NO. </w:t>
    </w:r>
    <w:r w:rsidR="00EA5457">
      <w:t>PSC-16-0364-PCO-WU</w:t>
    </w:r>
    <w:r>
      <w:tab/>
      <w:t xml:space="preserve">   Schedule No. 3-B</w:t>
    </w:r>
  </w:p>
  <w:p w:rsidR="00C65157" w:rsidRDefault="00C65157" w:rsidP="00D222F6">
    <w:pPr>
      <w:pStyle w:val="OrderHeader"/>
    </w:pPr>
    <w:r>
      <w:t xml:space="preserve">DOCKET NO. 160065-WU                                                                              </w:t>
    </w:r>
    <w:r>
      <w:tab/>
      <w:t xml:space="preserve">                       1 of 1</w:t>
    </w:r>
  </w:p>
  <w:p w:rsidR="00C65157" w:rsidRPr="005B3FA4" w:rsidRDefault="00C65157" w:rsidP="00D222F6">
    <w:pPr>
      <w:tabs>
        <w:tab w:val="left" w:pos="8160"/>
        <w:tab w:val="left" w:pos="12000"/>
        <w:tab w:val="right" w:pos="12816"/>
      </w:tabs>
      <w:jc w:val="both"/>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13</w:t>
    </w:r>
    <w:r>
      <w:rPr>
        <w:rStyle w:val="PageNumber"/>
      </w:rPr>
      <w:fldChar w:fldCharType="end"/>
    </w:r>
    <w:r w:rsidRPr="005B3FA4">
      <w:t xml:space="preserve">         </w:t>
    </w:r>
    <w:r w:rsidRPr="005B3FA4">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57" w:rsidRPr="00C46164" w:rsidRDefault="00C65157" w:rsidP="00D222F6">
    <w:pPr>
      <w:tabs>
        <w:tab w:val="right" w:pos="9360"/>
      </w:tabs>
      <w:jc w:val="both"/>
    </w:pPr>
    <w:r>
      <w:t xml:space="preserve">ORDER NO. </w:t>
    </w:r>
    <w:r w:rsidR="00EA5457">
      <w:t>PSC-16-0364-PCO-WU</w:t>
    </w:r>
    <w:r>
      <w:tab/>
      <w:t xml:space="preserve">   Schedule No. 4</w:t>
    </w:r>
  </w:p>
  <w:p w:rsidR="00C65157" w:rsidRDefault="00C65157" w:rsidP="00D222F6">
    <w:pPr>
      <w:pStyle w:val="OrderHeader"/>
    </w:pPr>
    <w:r>
      <w:t xml:space="preserve">DOCKET NO. 160065-WU                                                                              </w:t>
    </w:r>
    <w:r>
      <w:tab/>
      <w:t xml:space="preserve">                       1 of 1</w:t>
    </w:r>
  </w:p>
  <w:p w:rsidR="00C65157" w:rsidRPr="005B3FA4" w:rsidRDefault="00C65157" w:rsidP="00D222F6">
    <w:pPr>
      <w:tabs>
        <w:tab w:val="left" w:pos="8160"/>
        <w:tab w:val="left" w:pos="12000"/>
        <w:tab w:val="right" w:pos="12816"/>
      </w:tabs>
      <w:jc w:val="both"/>
    </w:pPr>
    <w:r>
      <w:t xml:space="preserve">PAGE </w:t>
    </w:r>
    <w:r>
      <w:rPr>
        <w:rStyle w:val="PageNumber"/>
      </w:rPr>
      <w:fldChar w:fldCharType="begin"/>
    </w:r>
    <w:r>
      <w:rPr>
        <w:rStyle w:val="PageNumber"/>
      </w:rPr>
      <w:instrText xml:space="preserve"> PAGE </w:instrText>
    </w:r>
    <w:r>
      <w:rPr>
        <w:rStyle w:val="PageNumber"/>
      </w:rPr>
      <w:fldChar w:fldCharType="separate"/>
    </w:r>
    <w:r w:rsidR="006E5C3D">
      <w:rPr>
        <w:rStyle w:val="PageNumber"/>
        <w:noProof/>
      </w:rPr>
      <w:t>14</w:t>
    </w:r>
    <w:r>
      <w:rPr>
        <w:rStyle w:val="PageNumber"/>
      </w:rPr>
      <w:fldChar w:fldCharType="end"/>
    </w:r>
    <w:r w:rsidRPr="005B3FA4">
      <w:t xml:space="preserve">         </w:t>
    </w:r>
    <w:r w:rsidRPr="005B3FA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5-WU"/>
  </w:docVars>
  <w:rsids>
    <w:rsidRoot w:val="00E835B7"/>
    <w:rsid w:val="000022B8"/>
    <w:rsid w:val="00053AB9"/>
    <w:rsid w:val="00056229"/>
    <w:rsid w:val="00065FC2"/>
    <w:rsid w:val="00090AFC"/>
    <w:rsid w:val="000D06E8"/>
    <w:rsid w:val="000E344D"/>
    <w:rsid w:val="000F3B2C"/>
    <w:rsid w:val="000F7BE3"/>
    <w:rsid w:val="00116AD3"/>
    <w:rsid w:val="00126593"/>
    <w:rsid w:val="00142A96"/>
    <w:rsid w:val="001612C3"/>
    <w:rsid w:val="00172AE4"/>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3EB5"/>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E0AFA"/>
    <w:rsid w:val="004F16CB"/>
    <w:rsid w:val="004F2DDE"/>
    <w:rsid w:val="0050097F"/>
    <w:rsid w:val="00511087"/>
    <w:rsid w:val="00514B1F"/>
    <w:rsid w:val="00556A10"/>
    <w:rsid w:val="005963C2"/>
    <w:rsid w:val="005B3FA4"/>
    <w:rsid w:val="005B45F7"/>
    <w:rsid w:val="005B63EA"/>
    <w:rsid w:val="00660774"/>
    <w:rsid w:val="00665CC7"/>
    <w:rsid w:val="00692FA0"/>
    <w:rsid w:val="006A0BF3"/>
    <w:rsid w:val="006B0DA6"/>
    <w:rsid w:val="006C547E"/>
    <w:rsid w:val="006C6485"/>
    <w:rsid w:val="006C6B0A"/>
    <w:rsid w:val="006E5C3D"/>
    <w:rsid w:val="00704C5D"/>
    <w:rsid w:val="00715275"/>
    <w:rsid w:val="00733B6B"/>
    <w:rsid w:val="00752FD3"/>
    <w:rsid w:val="0076170F"/>
    <w:rsid w:val="0076669C"/>
    <w:rsid w:val="007865E9"/>
    <w:rsid w:val="00792383"/>
    <w:rsid w:val="007A060F"/>
    <w:rsid w:val="007D3D20"/>
    <w:rsid w:val="007E3AFD"/>
    <w:rsid w:val="007E53CC"/>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66F3"/>
    <w:rsid w:val="009924CF"/>
    <w:rsid w:val="00994100"/>
    <w:rsid w:val="009D4C29"/>
    <w:rsid w:val="00A11499"/>
    <w:rsid w:val="00A1405A"/>
    <w:rsid w:val="00A62DAB"/>
    <w:rsid w:val="00A63919"/>
    <w:rsid w:val="00A726A6"/>
    <w:rsid w:val="00A806A4"/>
    <w:rsid w:val="00A97535"/>
    <w:rsid w:val="00AA73F1"/>
    <w:rsid w:val="00AB0E1A"/>
    <w:rsid w:val="00AB1A30"/>
    <w:rsid w:val="00AD1ED3"/>
    <w:rsid w:val="00AF1979"/>
    <w:rsid w:val="00B0777D"/>
    <w:rsid w:val="00B4057A"/>
    <w:rsid w:val="00B40894"/>
    <w:rsid w:val="00B45E75"/>
    <w:rsid w:val="00B50876"/>
    <w:rsid w:val="00B55EE5"/>
    <w:rsid w:val="00B72225"/>
    <w:rsid w:val="00B73DE6"/>
    <w:rsid w:val="00B86EF0"/>
    <w:rsid w:val="00B97900"/>
    <w:rsid w:val="00BA44A8"/>
    <w:rsid w:val="00BF6691"/>
    <w:rsid w:val="00C028FC"/>
    <w:rsid w:val="00C46164"/>
    <w:rsid w:val="00C65157"/>
    <w:rsid w:val="00C66692"/>
    <w:rsid w:val="00C91123"/>
    <w:rsid w:val="00CA71FF"/>
    <w:rsid w:val="00CB5276"/>
    <w:rsid w:val="00CB68D7"/>
    <w:rsid w:val="00CC7E68"/>
    <w:rsid w:val="00CD7132"/>
    <w:rsid w:val="00CE0E6F"/>
    <w:rsid w:val="00D222F6"/>
    <w:rsid w:val="00D30B48"/>
    <w:rsid w:val="00D46FAA"/>
    <w:rsid w:val="00D57BB2"/>
    <w:rsid w:val="00D8560E"/>
    <w:rsid w:val="00D8758F"/>
    <w:rsid w:val="00DC1D94"/>
    <w:rsid w:val="00DE057F"/>
    <w:rsid w:val="00DE2082"/>
    <w:rsid w:val="00DE2289"/>
    <w:rsid w:val="00E04410"/>
    <w:rsid w:val="00E11351"/>
    <w:rsid w:val="00E835B7"/>
    <w:rsid w:val="00EA172C"/>
    <w:rsid w:val="00EA259B"/>
    <w:rsid w:val="00EA35A3"/>
    <w:rsid w:val="00EA3E6A"/>
    <w:rsid w:val="00EA5457"/>
    <w:rsid w:val="00EB18EF"/>
    <w:rsid w:val="00EE17DF"/>
    <w:rsid w:val="00EF0624"/>
    <w:rsid w:val="00EF4621"/>
    <w:rsid w:val="00EF6A3D"/>
    <w:rsid w:val="00F277B6"/>
    <w:rsid w:val="00F54380"/>
    <w:rsid w:val="00F54B47"/>
    <w:rsid w:val="00F6749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uiPriority w:val="22"/>
    <w:qFormat/>
    <w:rsid w:val="00E835B7"/>
    <w:rPr>
      <w:b/>
      <w:bCs/>
    </w:rPr>
  </w:style>
  <w:style w:type="paragraph" w:styleId="BalloonText">
    <w:name w:val="Balloon Text"/>
    <w:basedOn w:val="Normal"/>
    <w:link w:val="BalloonTextChar"/>
    <w:rsid w:val="00D222F6"/>
    <w:rPr>
      <w:rFonts w:ascii="Tahoma" w:hAnsi="Tahoma" w:cs="Tahoma"/>
      <w:sz w:val="16"/>
      <w:szCs w:val="16"/>
    </w:rPr>
  </w:style>
  <w:style w:type="character" w:customStyle="1" w:styleId="BalloonTextChar">
    <w:name w:val="Balloon Text Char"/>
    <w:basedOn w:val="DefaultParagraphFont"/>
    <w:link w:val="BalloonText"/>
    <w:rsid w:val="00D22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uiPriority w:val="22"/>
    <w:qFormat/>
    <w:rsid w:val="00E835B7"/>
    <w:rPr>
      <w:b/>
      <w:bCs/>
    </w:rPr>
  </w:style>
  <w:style w:type="paragraph" w:styleId="BalloonText">
    <w:name w:val="Balloon Text"/>
    <w:basedOn w:val="Normal"/>
    <w:link w:val="BalloonTextChar"/>
    <w:rsid w:val="00D222F6"/>
    <w:rPr>
      <w:rFonts w:ascii="Tahoma" w:hAnsi="Tahoma" w:cs="Tahoma"/>
      <w:sz w:val="16"/>
      <w:szCs w:val="16"/>
    </w:rPr>
  </w:style>
  <w:style w:type="character" w:customStyle="1" w:styleId="BalloonTextChar">
    <w:name w:val="Balloon Text Char"/>
    <w:basedOn w:val="DefaultParagraphFont"/>
    <w:link w:val="BalloonText"/>
    <w:rsid w:val="00D22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751F-A06B-47DD-9E0B-672E7A7F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3461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2016-08-29T16:29:00Z</dcterms:created>
  <dcterms:modified xsi:type="dcterms:W3CDTF">2016-08-29T18:22:00Z</dcterms:modified>
</cp:coreProperties>
</file>