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5040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50403">
            <w:pPr>
              <w:pStyle w:val="MemoHeading"/>
            </w:pPr>
            <w:bookmarkStart w:id="1" w:name="FilingDate"/>
            <w:r>
              <w:t>August 31,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50403" w:rsidRDefault="00F50403">
            <w:pPr>
              <w:pStyle w:val="MemoHeading"/>
            </w:pPr>
            <w:bookmarkStart w:id="2" w:name="From"/>
            <w:r>
              <w:t>Division of Economics (Guffey)</w:t>
            </w:r>
          </w:p>
          <w:p w:rsidR="007C0528" w:rsidRDefault="00F50403">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50403">
            <w:pPr>
              <w:pStyle w:val="MemoHeadingRe"/>
            </w:pPr>
            <w:bookmarkStart w:id="3" w:name="Re"/>
            <w:r>
              <w:t>Docket No. 160173-EI – Petition for approval of modification to and extension of the approved economic development and re-development rider experimental pilot tariffs,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50403">
            <w:pPr>
              <w:pStyle w:val="MemoHeading"/>
            </w:pPr>
            <w:bookmarkStart w:id="4" w:name="AgendaDate"/>
            <w:r>
              <w:t>09/13/16</w:t>
            </w:r>
            <w:bookmarkEnd w:id="4"/>
            <w:r w:rsidR="007C0528">
              <w:t xml:space="preserve"> – </w:t>
            </w:r>
            <w:bookmarkStart w:id="5" w:name="PermittedStatus"/>
            <w:r>
              <w:t xml:space="preserve">Regular Agenda – </w:t>
            </w:r>
            <w:r w:rsidR="00D61BF3">
              <w:t xml:space="preserve">Tariff Filing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5040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5040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50403" w:rsidP="00F50403">
            <w:pPr>
              <w:pStyle w:val="MemoHeading"/>
            </w:pPr>
            <w:bookmarkStart w:id="9" w:name="CriticalDates"/>
            <w:r>
              <w:t>09/19/16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50403">
            <w:pPr>
              <w:pStyle w:val="MemoHeading"/>
            </w:pPr>
            <w:bookmarkStart w:id="10" w:name="SpecialInstructions"/>
            <w:r>
              <w:t>None</w:t>
            </w:r>
            <w:bookmarkEnd w:id="10"/>
          </w:p>
        </w:tc>
      </w:tr>
    </w:tbl>
    <w:p w:rsidR="007C0528" w:rsidRDefault="007C0528">
      <w:pPr>
        <w:pStyle w:val="BodyText"/>
      </w:pPr>
    </w:p>
    <w:p w:rsidR="007C0528" w:rsidRDefault="00715D88" w:rsidP="00715D88">
      <w:pPr>
        <w:pStyle w:val="RecommendationMajorSectionHeading"/>
        <w:tabs>
          <w:tab w:val="left" w:pos="3495"/>
          <w:tab w:val="center" w:pos="4680"/>
        </w:tabs>
        <w:jc w:val="left"/>
      </w:pPr>
      <w:bookmarkStart w:id="11" w:name="RecToC"/>
      <w:bookmarkEnd w:id="11"/>
      <w:r>
        <w:tab/>
      </w:r>
      <w:r>
        <w:tab/>
      </w:r>
      <w:r w:rsidR="007C0528">
        <w:t xml:space="preserve"> </w:t>
      </w:r>
      <w:bookmarkStart w:id="12" w:name="CaseBackground"/>
      <w:r w:rsidR="007C0528">
        <w:t>Case Background</w:t>
      </w:r>
      <w:r w:rsidR="007C0528">
        <w:fldChar w:fldCharType="begin"/>
      </w:r>
      <w:r w:rsidR="007C0528">
        <w:instrText xml:space="preserve"> TC  "</w:instrText>
      </w:r>
      <w:r w:rsidR="007C0528">
        <w:tab/>
      </w:r>
      <w:bookmarkStart w:id="13" w:name="_Toc94516455"/>
      <w:r w:rsidR="007C0528">
        <w:instrText>Case Background</w:instrText>
      </w:r>
      <w:bookmarkEnd w:id="13"/>
      <w:r w:rsidR="007C0528">
        <w:instrText xml:space="preserve">" \l 1 </w:instrText>
      </w:r>
      <w:r w:rsidR="007C0528">
        <w:fldChar w:fldCharType="end"/>
      </w:r>
    </w:p>
    <w:p w:rsidR="0068481F" w:rsidRDefault="00F50403">
      <w:pPr>
        <w:pStyle w:val="BodyText"/>
      </w:pPr>
      <w:r>
        <w:t xml:space="preserve">On July 19, 2016, Duke Energy Florida, LLC (DEF or company) filed a petition requesting approval of modifications to and </w:t>
      </w:r>
      <w:r w:rsidR="0020578B">
        <w:t xml:space="preserve">an </w:t>
      </w:r>
      <w:r>
        <w:t xml:space="preserve">extension of </w:t>
      </w:r>
      <w:r w:rsidR="00D61BF3">
        <w:t xml:space="preserve">the approved </w:t>
      </w:r>
      <w:r w:rsidR="00211776">
        <w:t xml:space="preserve">pilot </w:t>
      </w:r>
      <w:r>
        <w:t xml:space="preserve">Economic Development </w:t>
      </w:r>
      <w:r w:rsidR="00E12B8C">
        <w:t xml:space="preserve">(ED-1) </w:t>
      </w:r>
      <w:r>
        <w:t xml:space="preserve">and </w:t>
      </w:r>
      <w:r w:rsidR="00211776">
        <w:t xml:space="preserve">Economic </w:t>
      </w:r>
      <w:r>
        <w:t xml:space="preserve">Re-Development </w:t>
      </w:r>
      <w:r w:rsidR="00E12B8C">
        <w:t xml:space="preserve">(EDR-1) </w:t>
      </w:r>
      <w:r w:rsidR="00211776">
        <w:t>r</w:t>
      </w:r>
      <w:r>
        <w:t>ider</w:t>
      </w:r>
      <w:r w:rsidR="00211776">
        <w:t>s</w:t>
      </w:r>
      <w:r w:rsidR="00D61BF3">
        <w:t xml:space="preserve"> (economic development riders)</w:t>
      </w:r>
      <w:r>
        <w:t xml:space="preserve">. </w:t>
      </w:r>
      <w:r w:rsidR="00E12B8C">
        <w:t xml:space="preserve">Modifications to these tariffs </w:t>
      </w:r>
      <w:r w:rsidR="00211776">
        <w:t>(</w:t>
      </w:r>
      <w:r w:rsidR="00B11C2A">
        <w:t>S</w:t>
      </w:r>
      <w:r w:rsidR="00211776">
        <w:t>heet Nos. 6.380</w:t>
      </w:r>
      <w:r w:rsidR="00211776" w:rsidRPr="00211776">
        <w:t xml:space="preserve"> </w:t>
      </w:r>
      <w:r w:rsidR="00211776">
        <w:t xml:space="preserve">and 6.385) </w:t>
      </w:r>
      <w:r w:rsidR="00E12B8C">
        <w:t xml:space="preserve">are needed to continue the pilot program for an additional three years, along with clarifications to the accompanying </w:t>
      </w:r>
      <w:r w:rsidR="00B11C2A">
        <w:t>s</w:t>
      </w:r>
      <w:r w:rsidR="00E12B8C">
        <w:t xml:space="preserve">tandard </w:t>
      </w:r>
      <w:proofErr w:type="gramStart"/>
      <w:r w:rsidR="00D61BF3">
        <w:t>s</w:t>
      </w:r>
      <w:r w:rsidR="00B11C2A">
        <w:t>ervice</w:t>
      </w:r>
      <w:proofErr w:type="gramEnd"/>
      <w:r w:rsidR="00B11C2A">
        <w:t xml:space="preserve"> </w:t>
      </w:r>
      <w:r w:rsidR="00D61BF3">
        <w:t>a</w:t>
      </w:r>
      <w:r w:rsidR="00E12B8C">
        <w:t>greement</w:t>
      </w:r>
      <w:r w:rsidR="00B11C2A">
        <w:t xml:space="preserve"> forms</w:t>
      </w:r>
      <w:r w:rsidR="00E12B8C">
        <w:t xml:space="preserve"> (</w:t>
      </w:r>
      <w:r w:rsidR="00B11C2A">
        <w:t xml:space="preserve">Sheet Nos. </w:t>
      </w:r>
      <w:r w:rsidR="00E12B8C">
        <w:t>7.500 and 7.510).</w:t>
      </w:r>
      <w:r w:rsidR="005E25EF">
        <w:t xml:space="preserve"> The </w:t>
      </w:r>
      <w:r w:rsidR="00B02C44">
        <w:t>tariffs</w:t>
      </w:r>
      <w:r w:rsidR="005E25EF">
        <w:t xml:space="preserve"> and form</w:t>
      </w:r>
      <w:r w:rsidR="00B11C2A">
        <w:t>s</w:t>
      </w:r>
      <w:r w:rsidR="005E25EF">
        <w:t xml:space="preserve"> in this petition were initially approved by the Commission </w:t>
      </w:r>
      <w:r w:rsidR="00D61BF3">
        <w:t xml:space="preserve">in Order No. </w:t>
      </w:r>
      <w:proofErr w:type="gramStart"/>
      <w:r w:rsidR="00D61BF3">
        <w:t>PSC-13-0598-FOF-EI</w:t>
      </w:r>
      <w:r w:rsidR="005E25EF">
        <w:t xml:space="preserve"> as part of DEFs’ Revised and Restated Stipulation and Settlement Agreement (RRSSA).</w:t>
      </w:r>
      <w:proofErr w:type="gramEnd"/>
      <w:r w:rsidR="00011288">
        <w:rPr>
          <w:rStyle w:val="FootnoteReference"/>
        </w:rPr>
        <w:footnoteReference w:id="1"/>
      </w:r>
      <w:r w:rsidR="005E25EF">
        <w:t xml:space="preserve"> Paragraph 17 and Exhibit 15 of the RRSSA provided </w:t>
      </w:r>
      <w:r w:rsidR="00B02C44">
        <w:t>that</w:t>
      </w:r>
      <w:r w:rsidR="005E25EF">
        <w:t xml:space="preserve"> DEF introduce these tariffs on a pilot basis for three </w:t>
      </w:r>
      <w:r w:rsidR="005E25EF">
        <w:lastRenderedPageBreak/>
        <w:t>years</w:t>
      </w:r>
      <w:r w:rsidR="003348B5">
        <w:t xml:space="preserve"> (from October 2013 to October 2016). The riders</w:t>
      </w:r>
      <w:r w:rsidR="00172DDC">
        <w:t>,</w:t>
      </w:r>
      <w:r w:rsidR="003348B5">
        <w:t xml:space="preserve"> which require a </w:t>
      </w:r>
      <w:r w:rsidR="00624642">
        <w:t xml:space="preserve">five-year electric service contract, provide base rate credits/reduction for new businesses that meet certain requirements </w:t>
      </w:r>
      <w:r w:rsidR="001A426D">
        <w:t>such</w:t>
      </w:r>
      <w:r w:rsidR="00624642">
        <w:t xml:space="preserve"> as minimum load, job creation</w:t>
      </w:r>
      <w:r w:rsidR="00172DDC">
        <w:t>,</w:t>
      </w:r>
      <w:r w:rsidR="00624642">
        <w:t xml:space="preserve"> and verification that the availability of the riders are a significant factor in the customer’s location or expansion decision.</w:t>
      </w:r>
    </w:p>
    <w:p w:rsidR="00624642" w:rsidRDefault="00624642">
      <w:pPr>
        <w:pStyle w:val="BodyText"/>
      </w:pPr>
      <w:r>
        <w:t xml:space="preserve">Staff issued one data </w:t>
      </w:r>
      <w:r w:rsidR="001A426D">
        <w:t>request</w:t>
      </w:r>
      <w:r>
        <w:t xml:space="preserve"> to DEF on </w:t>
      </w:r>
      <w:r w:rsidR="00F8140C">
        <w:t>A</w:t>
      </w:r>
      <w:r>
        <w:t xml:space="preserve">ugust 4, 2016, for which responses were received on </w:t>
      </w:r>
      <w:r w:rsidR="00F8140C">
        <w:t>A</w:t>
      </w:r>
      <w:r>
        <w:t>ugust 12, 2016. The tariff pages and service agreement forms with proposed changes are contained in Attachment A of this recommendation. The Commission has jurisdiction over this matter pursuant to Sections 288.035 and 366.06, Florida Statutes.</w:t>
      </w:r>
    </w:p>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A265EC" w:rsidRDefault="00A265EC">
      <w:pPr>
        <w:pStyle w:val="IssueHeading"/>
        <w:rPr>
          <w:vanish/>
          <w:specVanish/>
        </w:rPr>
      </w:pPr>
      <w:r w:rsidRPr="004C3641">
        <w:t xml:space="preserve">Issue </w:t>
      </w:r>
      <w:fldSimple w:instr=" SEQ Issue \* MERGEFORMAT ">
        <w:r w:rsidR="00C161C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161C7">
        <w:rPr>
          <w:noProof/>
        </w:rPr>
        <w:instrText>1</w:instrText>
      </w:r>
      <w:r>
        <w:fldChar w:fldCharType="end"/>
      </w:r>
      <w:r>
        <w:tab/>
        <w:instrText xml:space="preserve">" \l 1 </w:instrText>
      </w:r>
      <w:r>
        <w:fldChar w:fldCharType="end"/>
      </w:r>
      <w:r>
        <w:t> </w:t>
      </w:r>
    </w:p>
    <w:p w:rsidR="00A265EC" w:rsidRDefault="00A265EC">
      <w:pPr>
        <w:pStyle w:val="BodyText"/>
      </w:pPr>
      <w:r>
        <w:t xml:space="preserve"> Should the Commission approve DEF's petition to extend its </w:t>
      </w:r>
      <w:r w:rsidR="00B247AD">
        <w:t>e</w:t>
      </w:r>
      <w:r>
        <w:t xml:space="preserve">conomic </w:t>
      </w:r>
      <w:r w:rsidR="00B247AD">
        <w:t>d</w:t>
      </w:r>
      <w:r w:rsidR="008C7D7B">
        <w:t>evelopment</w:t>
      </w:r>
      <w:r>
        <w:t xml:space="preserve"> </w:t>
      </w:r>
      <w:r w:rsidR="00595EED">
        <w:t xml:space="preserve">riders </w:t>
      </w:r>
      <w:r>
        <w:t>until October 17, 2019</w:t>
      </w:r>
      <w:r w:rsidR="00172DDC">
        <w:t>,</w:t>
      </w:r>
      <w:r>
        <w:t xml:space="preserve"> and approve the revised </w:t>
      </w:r>
      <w:r w:rsidR="00B247AD">
        <w:t>s</w:t>
      </w:r>
      <w:r>
        <w:t xml:space="preserve">ervice </w:t>
      </w:r>
      <w:r w:rsidR="00B247AD">
        <w:t>a</w:t>
      </w:r>
      <w:r>
        <w:t xml:space="preserve">greement forms? </w:t>
      </w:r>
    </w:p>
    <w:p w:rsidR="00A265EC" w:rsidRPr="004C3641" w:rsidRDefault="00A265EC">
      <w:pPr>
        <w:pStyle w:val="IssueSubsectionHeading"/>
        <w:rPr>
          <w:vanish/>
          <w:specVanish/>
        </w:rPr>
      </w:pPr>
      <w:r w:rsidRPr="004C3641">
        <w:t>Recommendation: </w:t>
      </w:r>
    </w:p>
    <w:p w:rsidR="00A265EC" w:rsidRDefault="00A265EC">
      <w:pPr>
        <w:pStyle w:val="BodyText"/>
      </w:pPr>
      <w:r>
        <w:t> </w:t>
      </w:r>
      <w:r w:rsidR="00CB114F">
        <w:t xml:space="preserve">Yes, the Commission </w:t>
      </w:r>
      <w:r w:rsidR="00211776">
        <w:t xml:space="preserve">should </w:t>
      </w:r>
      <w:r w:rsidR="00CB114F">
        <w:t xml:space="preserve">approve DEF's petition to extend its </w:t>
      </w:r>
      <w:r w:rsidR="00B247AD">
        <w:t>e</w:t>
      </w:r>
      <w:r w:rsidR="00CB114F">
        <w:t xml:space="preserve">conomic </w:t>
      </w:r>
      <w:r w:rsidR="00B247AD">
        <w:t>d</w:t>
      </w:r>
      <w:r w:rsidR="00CB114F">
        <w:t xml:space="preserve">evelopment </w:t>
      </w:r>
      <w:r w:rsidR="00595EED">
        <w:t xml:space="preserve">riders </w:t>
      </w:r>
      <w:r w:rsidR="00CB114F">
        <w:t>until October 17, 2019</w:t>
      </w:r>
      <w:r w:rsidR="00172DDC">
        <w:t>,</w:t>
      </w:r>
      <w:r w:rsidR="00CB114F">
        <w:t xml:space="preserve"> and approve the revised </w:t>
      </w:r>
      <w:r w:rsidR="00B247AD">
        <w:t>s</w:t>
      </w:r>
      <w:r w:rsidR="00CB114F">
        <w:t xml:space="preserve">ervice </w:t>
      </w:r>
      <w:r w:rsidR="00B247AD">
        <w:t>a</w:t>
      </w:r>
      <w:r w:rsidR="00CB114F">
        <w:t>greement forms</w:t>
      </w:r>
      <w:r w:rsidR="00595EED">
        <w:t>.</w:t>
      </w:r>
      <w:r w:rsidR="00CB114F">
        <w:t xml:space="preserve"> </w:t>
      </w:r>
      <w:r>
        <w:t>(Guffey)</w:t>
      </w:r>
    </w:p>
    <w:p w:rsidR="00A265EC" w:rsidRPr="004C3641" w:rsidRDefault="00A265EC">
      <w:pPr>
        <w:pStyle w:val="IssueSubsectionHeading"/>
        <w:rPr>
          <w:vanish/>
          <w:specVanish/>
        </w:rPr>
      </w:pPr>
      <w:r w:rsidRPr="004C3641">
        <w:t>Staff Analysis: </w:t>
      </w:r>
    </w:p>
    <w:p w:rsidR="006238A8" w:rsidRDefault="00A265EC" w:rsidP="001A426D">
      <w:pPr>
        <w:pStyle w:val="BodyText"/>
      </w:pPr>
      <w:r>
        <w:t> </w:t>
      </w:r>
      <w:r w:rsidR="00846DE9">
        <w:t>T</w:t>
      </w:r>
      <w:r w:rsidR="00F26CC6">
        <w:t xml:space="preserve">he economic development riders are designed to attract new commercial and industrial customers to DEF’s service territory and foster economic growth. </w:t>
      </w:r>
      <w:r w:rsidR="009B4A46">
        <w:t xml:space="preserve">The riders offer base rate electric price incentives over a five-year period for new or expanding businesses that meet certain electric load, </w:t>
      </w:r>
      <w:r w:rsidR="00DE0856">
        <w:t xml:space="preserve">capital investment, </w:t>
      </w:r>
      <w:r w:rsidR="009B4A46">
        <w:t>and job creation requirements.</w:t>
      </w:r>
      <w:r w:rsidR="00DE0856">
        <w:t xml:space="preserve"> As shown in Table 1-1, the two riders require that the </w:t>
      </w:r>
      <w:r w:rsidR="00E34A4E">
        <w:t xml:space="preserve">rider </w:t>
      </w:r>
      <w:r w:rsidR="00DE0856">
        <w:t>customers hire and maintain the following number of full-time employees.</w:t>
      </w:r>
      <w:r w:rsidR="009B4A46">
        <w:t xml:space="preserve">  </w:t>
      </w:r>
    </w:p>
    <w:p w:rsidR="006238A8" w:rsidRDefault="006238A8" w:rsidP="006238A8">
      <w:pPr>
        <w:pStyle w:val="TableNumber"/>
        <w:keepNext/>
      </w:pPr>
      <w:r>
        <w:t xml:space="preserve">Table </w:t>
      </w:r>
      <w:r w:rsidR="000E4190">
        <w:fldChar w:fldCharType="begin"/>
      </w:r>
      <w:r w:rsidR="000E4190">
        <w:instrText xml:space="preserve"> SEQ Issue \c </w:instrText>
      </w:r>
      <w:r w:rsidR="000E4190">
        <w:fldChar w:fldCharType="separate"/>
      </w:r>
      <w:r w:rsidR="00C161C7">
        <w:rPr>
          <w:noProof/>
        </w:rPr>
        <w:t>1</w:t>
      </w:r>
      <w:r w:rsidR="000E4190">
        <w:rPr>
          <w:noProof/>
        </w:rPr>
        <w:fldChar w:fldCharType="end"/>
      </w:r>
      <w:r>
        <w:t>-1</w:t>
      </w:r>
    </w:p>
    <w:p w:rsidR="006238A8" w:rsidRDefault="006238A8" w:rsidP="006238A8">
      <w:pPr>
        <w:pStyle w:val="TableTitle"/>
        <w:keepNext/>
      </w:pPr>
      <w:r>
        <w:t>Required Full Time Employees &amp; Capital Investments</w:t>
      </w:r>
    </w:p>
    <w:tbl>
      <w:tblPr>
        <w:tblStyle w:val="TableGrid"/>
        <w:tblW w:w="0" w:type="auto"/>
        <w:tblLook w:val="04A0" w:firstRow="1" w:lastRow="0" w:firstColumn="1" w:lastColumn="0" w:noHBand="0" w:noVBand="1"/>
      </w:tblPr>
      <w:tblGrid>
        <w:gridCol w:w="2394"/>
        <w:gridCol w:w="2394"/>
        <w:gridCol w:w="2394"/>
        <w:gridCol w:w="2394"/>
      </w:tblGrid>
      <w:tr w:rsidR="006238A8" w:rsidRPr="006238A8" w:rsidTr="006238A8">
        <w:tc>
          <w:tcPr>
            <w:tcW w:w="2394" w:type="dxa"/>
          </w:tcPr>
          <w:p w:rsidR="006238A8" w:rsidRPr="006238A8" w:rsidRDefault="006238A8" w:rsidP="00E4402C">
            <w:pPr>
              <w:jc w:val="center"/>
              <w:rPr>
                <w:b/>
              </w:rPr>
            </w:pPr>
            <w:r w:rsidRPr="006238A8">
              <w:rPr>
                <w:b/>
              </w:rPr>
              <w:t>Rider</w:t>
            </w:r>
          </w:p>
        </w:tc>
        <w:tc>
          <w:tcPr>
            <w:tcW w:w="2394" w:type="dxa"/>
          </w:tcPr>
          <w:p w:rsidR="006238A8" w:rsidRPr="006238A8" w:rsidRDefault="00B247AD" w:rsidP="006238A8">
            <w:pPr>
              <w:jc w:val="center"/>
              <w:rPr>
                <w:b/>
              </w:rPr>
            </w:pPr>
            <w:r>
              <w:rPr>
                <w:b/>
              </w:rPr>
              <w:t xml:space="preserve">Minimum </w:t>
            </w:r>
            <w:r w:rsidR="006238A8" w:rsidRPr="006238A8">
              <w:rPr>
                <w:b/>
              </w:rPr>
              <w:t>kW Load</w:t>
            </w:r>
          </w:p>
        </w:tc>
        <w:tc>
          <w:tcPr>
            <w:tcW w:w="2394" w:type="dxa"/>
          </w:tcPr>
          <w:p w:rsidR="006238A8" w:rsidRPr="006238A8" w:rsidRDefault="006238A8" w:rsidP="006238A8">
            <w:pPr>
              <w:jc w:val="center"/>
              <w:rPr>
                <w:b/>
              </w:rPr>
            </w:pPr>
            <w:r w:rsidRPr="006238A8">
              <w:rPr>
                <w:b/>
              </w:rPr>
              <w:t>Number of FTEs</w:t>
            </w:r>
          </w:p>
        </w:tc>
        <w:tc>
          <w:tcPr>
            <w:tcW w:w="2394" w:type="dxa"/>
          </w:tcPr>
          <w:p w:rsidR="006238A8" w:rsidRPr="006238A8" w:rsidRDefault="006238A8" w:rsidP="006238A8">
            <w:pPr>
              <w:jc w:val="center"/>
              <w:rPr>
                <w:b/>
              </w:rPr>
            </w:pPr>
            <w:r w:rsidRPr="006238A8">
              <w:rPr>
                <w:b/>
              </w:rPr>
              <w:t>Capital Investment</w:t>
            </w:r>
          </w:p>
        </w:tc>
      </w:tr>
      <w:tr w:rsidR="006238A8" w:rsidTr="006238A8">
        <w:tc>
          <w:tcPr>
            <w:tcW w:w="2394" w:type="dxa"/>
          </w:tcPr>
          <w:p w:rsidR="006238A8" w:rsidRDefault="006238A8" w:rsidP="006238A8">
            <w:r>
              <w:t>ED-1</w:t>
            </w:r>
          </w:p>
        </w:tc>
        <w:tc>
          <w:tcPr>
            <w:tcW w:w="2394" w:type="dxa"/>
          </w:tcPr>
          <w:p w:rsidR="006238A8" w:rsidRDefault="0069517A" w:rsidP="0069517A">
            <w:pPr>
              <w:jc w:val="center"/>
            </w:pPr>
            <w:r>
              <w:t>500</w:t>
            </w:r>
          </w:p>
        </w:tc>
        <w:tc>
          <w:tcPr>
            <w:tcW w:w="2394" w:type="dxa"/>
          </w:tcPr>
          <w:p w:rsidR="006238A8" w:rsidRDefault="0069517A" w:rsidP="0069517A">
            <w:pPr>
              <w:jc w:val="center"/>
            </w:pPr>
            <w:r>
              <w:t>25</w:t>
            </w:r>
          </w:p>
        </w:tc>
        <w:tc>
          <w:tcPr>
            <w:tcW w:w="2394" w:type="dxa"/>
          </w:tcPr>
          <w:p w:rsidR="006238A8" w:rsidRDefault="0069517A" w:rsidP="0069517A">
            <w:pPr>
              <w:jc w:val="center"/>
            </w:pPr>
            <w:r>
              <w:t>$500,000 or greater</w:t>
            </w:r>
          </w:p>
        </w:tc>
      </w:tr>
      <w:tr w:rsidR="006238A8" w:rsidTr="006238A8">
        <w:tc>
          <w:tcPr>
            <w:tcW w:w="2394" w:type="dxa"/>
          </w:tcPr>
          <w:p w:rsidR="006238A8" w:rsidRDefault="006238A8" w:rsidP="006238A8">
            <w:r>
              <w:t>EDR-1</w:t>
            </w:r>
          </w:p>
        </w:tc>
        <w:tc>
          <w:tcPr>
            <w:tcW w:w="2394" w:type="dxa"/>
          </w:tcPr>
          <w:p w:rsidR="006238A8" w:rsidRDefault="0069517A" w:rsidP="0069517A">
            <w:pPr>
              <w:jc w:val="center"/>
            </w:pPr>
            <w:r>
              <w:t>350</w:t>
            </w:r>
          </w:p>
        </w:tc>
        <w:tc>
          <w:tcPr>
            <w:tcW w:w="2394" w:type="dxa"/>
          </w:tcPr>
          <w:p w:rsidR="006238A8" w:rsidRDefault="0069517A" w:rsidP="0069517A">
            <w:pPr>
              <w:jc w:val="center"/>
            </w:pPr>
            <w:r>
              <w:t>15</w:t>
            </w:r>
          </w:p>
        </w:tc>
        <w:tc>
          <w:tcPr>
            <w:tcW w:w="2394" w:type="dxa"/>
          </w:tcPr>
          <w:p w:rsidR="006238A8" w:rsidRDefault="0069517A" w:rsidP="0069517A">
            <w:pPr>
              <w:jc w:val="center"/>
            </w:pPr>
            <w:r>
              <w:t>$200,000 or greater</w:t>
            </w:r>
          </w:p>
        </w:tc>
      </w:tr>
    </w:tbl>
    <w:p w:rsidR="006238A8" w:rsidRDefault="006238A8" w:rsidP="006238A8">
      <w:pPr>
        <w:pStyle w:val="TableSource"/>
      </w:pPr>
      <w:r>
        <w:t xml:space="preserve">Source: </w:t>
      </w:r>
      <w:r w:rsidR="0069517A">
        <w:t>Tariff Sheet Nos. 6.380 &amp; 6.385</w:t>
      </w:r>
    </w:p>
    <w:p w:rsidR="001A426D" w:rsidRDefault="008F1597" w:rsidP="001A426D">
      <w:pPr>
        <w:pStyle w:val="BodyText"/>
      </w:pPr>
      <w:r>
        <w:t xml:space="preserve">To take service under </w:t>
      </w:r>
      <w:r w:rsidR="00057637">
        <w:t xml:space="preserve">the </w:t>
      </w:r>
      <w:r w:rsidR="00211776">
        <w:t>subject</w:t>
      </w:r>
      <w:r w:rsidR="00057637">
        <w:t xml:space="preserve"> </w:t>
      </w:r>
      <w:r>
        <w:t xml:space="preserve">riders, the customers must agree to a minimum five-year service agreement and the </w:t>
      </w:r>
      <w:r w:rsidR="001B23F4">
        <w:t>c</w:t>
      </w:r>
      <w:r>
        <w:t xml:space="preserve">ompany will request verification </w:t>
      </w:r>
      <w:r w:rsidR="00211776">
        <w:t xml:space="preserve">from the rider customers </w:t>
      </w:r>
      <w:r w:rsidR="00172DDC">
        <w:t xml:space="preserve">of </w:t>
      </w:r>
      <w:r w:rsidR="00211776">
        <w:t xml:space="preserve">the </w:t>
      </w:r>
      <w:r w:rsidR="004043F4">
        <w:t xml:space="preserve">number of jobs created as a direct result of the riders. </w:t>
      </w:r>
      <w:r w:rsidR="001A426D">
        <w:t>DEF states that the first ED-1 customer enrolled in April 2014</w:t>
      </w:r>
      <w:r w:rsidR="00057637">
        <w:t>,</w:t>
      </w:r>
      <w:r w:rsidR="001A426D">
        <w:t xml:space="preserve"> and since then </w:t>
      </w:r>
      <w:r w:rsidR="0020578B">
        <w:t xml:space="preserve">DEF </w:t>
      </w:r>
      <w:r w:rsidR="001A426D">
        <w:t xml:space="preserve">has attracted </w:t>
      </w:r>
      <w:r w:rsidR="00057637">
        <w:t>five</w:t>
      </w:r>
      <w:r w:rsidR="001A426D">
        <w:t xml:space="preserve"> more customers </w:t>
      </w:r>
      <w:r w:rsidR="00057637">
        <w:t xml:space="preserve">for a total of six (one EDR-1 customer and five ED-1 customers) </w:t>
      </w:r>
      <w:r w:rsidR="001A426D">
        <w:t xml:space="preserve">that has the potential to create 968 FTE jobs. </w:t>
      </w:r>
      <w:r w:rsidR="001A426D" w:rsidRPr="00CC56FF">
        <w:t xml:space="preserve">DEF is also working on attracting additional customers </w:t>
      </w:r>
      <w:r w:rsidR="0020578B">
        <w:t>for whom</w:t>
      </w:r>
      <w:r w:rsidR="001A426D" w:rsidRPr="00CC56FF">
        <w:t xml:space="preserve"> the economic development rider is a significant factor in their location/expansion decision</w:t>
      </w:r>
      <w:r w:rsidR="0020578B">
        <w:t>s</w:t>
      </w:r>
      <w:r w:rsidR="001A426D" w:rsidRPr="00CC56FF">
        <w:t>.</w:t>
      </w:r>
      <w:r w:rsidR="001A426D">
        <w:t xml:space="preserve"> DEF proposes to extend the pilot program for </w:t>
      </w:r>
      <w:r w:rsidR="00172DDC">
        <w:t xml:space="preserve">an </w:t>
      </w:r>
      <w:r w:rsidR="001A426D">
        <w:t>additional three years, until October 17, 2019.</w:t>
      </w:r>
    </w:p>
    <w:p w:rsidR="00E34A4E" w:rsidRDefault="00F25C94" w:rsidP="00E34A4E">
      <w:pPr>
        <w:jc w:val="both"/>
      </w:pPr>
      <w:r>
        <w:t xml:space="preserve">Table 1-2 illustrates the credits that will be applied to base demand and energy charges. </w:t>
      </w:r>
    </w:p>
    <w:p w:rsidR="00E34A4E" w:rsidRDefault="00E34A4E" w:rsidP="00E34A4E">
      <w:pPr>
        <w:jc w:val="both"/>
      </w:pPr>
    </w:p>
    <w:p w:rsidR="00595EED" w:rsidRPr="00E34A4E" w:rsidRDefault="00BD6CE8" w:rsidP="00E34A4E">
      <w:pPr>
        <w:jc w:val="center"/>
        <w:rPr>
          <w:rFonts w:ascii="Arial" w:hAnsi="Arial" w:cs="Arial"/>
          <w:b/>
        </w:rPr>
      </w:pPr>
      <w:r w:rsidRPr="00E34A4E">
        <w:rPr>
          <w:rFonts w:ascii="Arial" w:hAnsi="Arial" w:cs="Arial"/>
          <w:b/>
        </w:rPr>
        <w:t xml:space="preserve">Table </w:t>
      </w:r>
      <w:r w:rsidR="00E34A4E" w:rsidRPr="00E34A4E">
        <w:rPr>
          <w:rFonts w:ascii="Arial" w:hAnsi="Arial" w:cs="Arial"/>
          <w:b/>
        </w:rPr>
        <w:fldChar w:fldCharType="begin"/>
      </w:r>
      <w:r w:rsidR="00E34A4E" w:rsidRPr="00E34A4E">
        <w:rPr>
          <w:rFonts w:ascii="Arial" w:hAnsi="Arial" w:cs="Arial"/>
          <w:b/>
        </w:rPr>
        <w:instrText xml:space="preserve"> SEQ Issue \c </w:instrText>
      </w:r>
      <w:r w:rsidR="00E34A4E" w:rsidRPr="00E34A4E">
        <w:rPr>
          <w:rFonts w:ascii="Arial" w:hAnsi="Arial" w:cs="Arial"/>
          <w:b/>
        </w:rPr>
        <w:fldChar w:fldCharType="separate"/>
      </w:r>
      <w:r w:rsidR="00C161C7">
        <w:rPr>
          <w:rFonts w:ascii="Arial" w:hAnsi="Arial" w:cs="Arial"/>
          <w:b/>
          <w:noProof/>
        </w:rPr>
        <w:t>1</w:t>
      </w:r>
      <w:r w:rsidR="00E34A4E" w:rsidRPr="00E34A4E">
        <w:rPr>
          <w:rFonts w:ascii="Arial" w:hAnsi="Arial" w:cs="Arial"/>
          <w:b/>
          <w:noProof/>
        </w:rPr>
        <w:fldChar w:fldCharType="end"/>
      </w:r>
      <w:r w:rsidRPr="00E34A4E">
        <w:rPr>
          <w:rFonts w:ascii="Arial" w:hAnsi="Arial" w:cs="Arial"/>
          <w:b/>
        </w:rPr>
        <w:t>-2</w:t>
      </w:r>
    </w:p>
    <w:p w:rsidR="00BD6CE8" w:rsidRDefault="00BD6CE8" w:rsidP="00BD6CE8">
      <w:pPr>
        <w:pStyle w:val="TableTitle"/>
        <w:keepNext/>
      </w:pPr>
      <w:r>
        <w:t>Percentage Reduction in Base Demand &amp; Energy Charges</w:t>
      </w:r>
    </w:p>
    <w:tbl>
      <w:tblPr>
        <w:tblStyle w:val="TableGrid"/>
        <w:tblW w:w="0" w:type="auto"/>
        <w:tblLook w:val="04A0" w:firstRow="1" w:lastRow="0" w:firstColumn="1" w:lastColumn="0" w:noHBand="0" w:noVBand="1"/>
      </w:tblPr>
      <w:tblGrid>
        <w:gridCol w:w="3192"/>
        <w:gridCol w:w="3192"/>
        <w:gridCol w:w="3192"/>
      </w:tblGrid>
      <w:tr w:rsidR="00BD6CE8" w:rsidRPr="00BD6CE8" w:rsidTr="00BD6CE8">
        <w:tc>
          <w:tcPr>
            <w:tcW w:w="3192" w:type="dxa"/>
          </w:tcPr>
          <w:p w:rsidR="00BD6CE8" w:rsidRPr="00BD6CE8" w:rsidRDefault="00BD6CE8" w:rsidP="00BD6CE8">
            <w:pPr>
              <w:jc w:val="center"/>
              <w:rPr>
                <w:b/>
              </w:rPr>
            </w:pPr>
            <w:r w:rsidRPr="00BD6CE8">
              <w:rPr>
                <w:b/>
              </w:rPr>
              <w:t>Year</w:t>
            </w:r>
          </w:p>
        </w:tc>
        <w:tc>
          <w:tcPr>
            <w:tcW w:w="3192" w:type="dxa"/>
          </w:tcPr>
          <w:p w:rsidR="00BD6CE8" w:rsidRPr="00BD6CE8" w:rsidRDefault="00BD6CE8" w:rsidP="00BD6CE8">
            <w:pPr>
              <w:jc w:val="center"/>
              <w:rPr>
                <w:b/>
              </w:rPr>
            </w:pPr>
            <w:r w:rsidRPr="00BD6CE8">
              <w:rPr>
                <w:b/>
              </w:rPr>
              <w:t>ED-1</w:t>
            </w:r>
          </w:p>
        </w:tc>
        <w:tc>
          <w:tcPr>
            <w:tcW w:w="3192" w:type="dxa"/>
          </w:tcPr>
          <w:p w:rsidR="00BD6CE8" w:rsidRPr="00BD6CE8" w:rsidRDefault="00BD6CE8" w:rsidP="00BD6CE8">
            <w:pPr>
              <w:jc w:val="center"/>
              <w:rPr>
                <w:b/>
              </w:rPr>
            </w:pPr>
            <w:r w:rsidRPr="00BD6CE8">
              <w:rPr>
                <w:b/>
              </w:rPr>
              <w:t>EDR-1</w:t>
            </w:r>
            <w:r w:rsidR="00E34A4E">
              <w:rPr>
                <w:rStyle w:val="FootnoteReference"/>
                <w:b/>
              </w:rPr>
              <w:footnoteReference w:id="2"/>
            </w:r>
          </w:p>
        </w:tc>
      </w:tr>
      <w:tr w:rsidR="00BD6CE8" w:rsidTr="00BD6CE8">
        <w:tc>
          <w:tcPr>
            <w:tcW w:w="3192" w:type="dxa"/>
          </w:tcPr>
          <w:p w:rsidR="00BD6CE8" w:rsidRDefault="00BD6CE8" w:rsidP="00BD6CE8">
            <w:pPr>
              <w:jc w:val="center"/>
            </w:pPr>
            <w:r>
              <w:t>1</w:t>
            </w:r>
          </w:p>
        </w:tc>
        <w:tc>
          <w:tcPr>
            <w:tcW w:w="3192" w:type="dxa"/>
          </w:tcPr>
          <w:p w:rsidR="00BD6CE8" w:rsidRDefault="00BD6CE8" w:rsidP="00BD6CE8">
            <w:pPr>
              <w:jc w:val="center"/>
            </w:pPr>
            <w:r>
              <w:t>50%</w:t>
            </w:r>
          </w:p>
        </w:tc>
        <w:tc>
          <w:tcPr>
            <w:tcW w:w="3192" w:type="dxa"/>
          </w:tcPr>
          <w:p w:rsidR="00BD6CE8" w:rsidRDefault="00BD6CE8" w:rsidP="00BD6CE8">
            <w:pPr>
              <w:jc w:val="center"/>
            </w:pPr>
            <w:r>
              <w:t>50%</w:t>
            </w:r>
          </w:p>
        </w:tc>
      </w:tr>
      <w:tr w:rsidR="00BD6CE8" w:rsidTr="00BD6CE8">
        <w:tc>
          <w:tcPr>
            <w:tcW w:w="3192" w:type="dxa"/>
          </w:tcPr>
          <w:p w:rsidR="00BD6CE8" w:rsidRDefault="00BD6CE8" w:rsidP="00BD6CE8">
            <w:pPr>
              <w:jc w:val="center"/>
            </w:pPr>
            <w:r>
              <w:t>2</w:t>
            </w:r>
          </w:p>
        </w:tc>
        <w:tc>
          <w:tcPr>
            <w:tcW w:w="3192" w:type="dxa"/>
          </w:tcPr>
          <w:p w:rsidR="00BD6CE8" w:rsidRDefault="00BD6CE8" w:rsidP="00BD6CE8">
            <w:pPr>
              <w:jc w:val="center"/>
            </w:pPr>
            <w:r>
              <w:t>40%</w:t>
            </w:r>
          </w:p>
        </w:tc>
        <w:tc>
          <w:tcPr>
            <w:tcW w:w="3192" w:type="dxa"/>
          </w:tcPr>
          <w:p w:rsidR="00BD6CE8" w:rsidRDefault="00BD6CE8" w:rsidP="00BD6CE8">
            <w:pPr>
              <w:jc w:val="center"/>
            </w:pPr>
            <w:r>
              <w:t>35%</w:t>
            </w:r>
          </w:p>
        </w:tc>
      </w:tr>
      <w:tr w:rsidR="00BD6CE8" w:rsidTr="00BD6CE8">
        <w:tc>
          <w:tcPr>
            <w:tcW w:w="3192" w:type="dxa"/>
          </w:tcPr>
          <w:p w:rsidR="00BD6CE8" w:rsidRDefault="00BD6CE8" w:rsidP="00BD6CE8">
            <w:pPr>
              <w:jc w:val="center"/>
            </w:pPr>
            <w:r>
              <w:t>3</w:t>
            </w:r>
          </w:p>
        </w:tc>
        <w:tc>
          <w:tcPr>
            <w:tcW w:w="3192" w:type="dxa"/>
          </w:tcPr>
          <w:p w:rsidR="00BD6CE8" w:rsidRDefault="00BD6CE8" w:rsidP="00BD6CE8">
            <w:pPr>
              <w:jc w:val="center"/>
            </w:pPr>
            <w:r>
              <w:t>30%</w:t>
            </w:r>
          </w:p>
        </w:tc>
        <w:tc>
          <w:tcPr>
            <w:tcW w:w="3192" w:type="dxa"/>
          </w:tcPr>
          <w:p w:rsidR="00BD6CE8" w:rsidRDefault="00BD6CE8" w:rsidP="00BD6CE8">
            <w:pPr>
              <w:jc w:val="center"/>
            </w:pPr>
            <w:r>
              <w:t>15%</w:t>
            </w:r>
          </w:p>
        </w:tc>
      </w:tr>
      <w:tr w:rsidR="00BD6CE8" w:rsidTr="00BD6CE8">
        <w:tc>
          <w:tcPr>
            <w:tcW w:w="3192" w:type="dxa"/>
          </w:tcPr>
          <w:p w:rsidR="00BD6CE8" w:rsidRDefault="00BD6CE8" w:rsidP="00BD6CE8">
            <w:pPr>
              <w:jc w:val="center"/>
            </w:pPr>
            <w:r>
              <w:t>4</w:t>
            </w:r>
          </w:p>
        </w:tc>
        <w:tc>
          <w:tcPr>
            <w:tcW w:w="3192" w:type="dxa"/>
          </w:tcPr>
          <w:p w:rsidR="00BD6CE8" w:rsidRDefault="00BD6CE8" w:rsidP="00BD6CE8">
            <w:pPr>
              <w:jc w:val="center"/>
            </w:pPr>
            <w:r>
              <w:t>20%</w:t>
            </w:r>
          </w:p>
        </w:tc>
        <w:tc>
          <w:tcPr>
            <w:tcW w:w="3192" w:type="dxa"/>
          </w:tcPr>
          <w:p w:rsidR="00BD6CE8" w:rsidRDefault="00BD6CE8" w:rsidP="00BD6CE8">
            <w:pPr>
              <w:jc w:val="center"/>
            </w:pPr>
            <w:r>
              <w:t>0%</w:t>
            </w:r>
          </w:p>
        </w:tc>
      </w:tr>
      <w:tr w:rsidR="00BD6CE8" w:rsidTr="00BD6CE8">
        <w:tc>
          <w:tcPr>
            <w:tcW w:w="3192" w:type="dxa"/>
          </w:tcPr>
          <w:p w:rsidR="00BD6CE8" w:rsidRDefault="00BD6CE8" w:rsidP="00BD6CE8">
            <w:pPr>
              <w:jc w:val="center"/>
            </w:pPr>
            <w:r>
              <w:t>5</w:t>
            </w:r>
          </w:p>
        </w:tc>
        <w:tc>
          <w:tcPr>
            <w:tcW w:w="3192" w:type="dxa"/>
          </w:tcPr>
          <w:p w:rsidR="00BD6CE8" w:rsidRDefault="00BD6CE8" w:rsidP="00BD6CE8">
            <w:pPr>
              <w:jc w:val="center"/>
            </w:pPr>
            <w:r>
              <w:t>10%</w:t>
            </w:r>
          </w:p>
        </w:tc>
        <w:tc>
          <w:tcPr>
            <w:tcW w:w="3192" w:type="dxa"/>
          </w:tcPr>
          <w:p w:rsidR="00BD6CE8" w:rsidRDefault="00BD6CE8" w:rsidP="00BD6CE8">
            <w:pPr>
              <w:jc w:val="center"/>
            </w:pPr>
            <w:r>
              <w:t>0%</w:t>
            </w:r>
          </w:p>
        </w:tc>
      </w:tr>
    </w:tbl>
    <w:p w:rsidR="00BD6CE8" w:rsidRDefault="00BD6CE8" w:rsidP="00BD6CE8">
      <w:pPr>
        <w:pStyle w:val="TableSource"/>
        <w:tabs>
          <w:tab w:val="left" w:pos="6780"/>
        </w:tabs>
      </w:pPr>
      <w:r>
        <w:t xml:space="preserve">Source: </w:t>
      </w:r>
      <w:r w:rsidR="009B4A46">
        <w:t>Tariff Sheet Nos. 6.380 &amp; 6.385</w:t>
      </w:r>
      <w:r>
        <w:tab/>
      </w:r>
    </w:p>
    <w:p w:rsidR="00715D88" w:rsidRDefault="00C92AD1" w:rsidP="00C92AD1">
      <w:pPr>
        <w:jc w:val="both"/>
      </w:pPr>
      <w:r>
        <w:lastRenderedPageBreak/>
        <w:t>The company, in its response to staff’s data request</w:t>
      </w:r>
      <w:r w:rsidR="00057637">
        <w:t xml:space="preserve"> and a follow-up request</w:t>
      </w:r>
      <w:r>
        <w:t xml:space="preserve">, stated that </w:t>
      </w:r>
      <w:r w:rsidR="001A1E6E">
        <w:t xml:space="preserve">the enrolled </w:t>
      </w:r>
      <w:r>
        <w:t xml:space="preserve">customers are currently </w:t>
      </w:r>
      <w:r w:rsidR="001A1E6E">
        <w:t xml:space="preserve">not </w:t>
      </w:r>
      <w:r>
        <w:t xml:space="preserve">taking service </w:t>
      </w:r>
      <w:r w:rsidR="00057637">
        <w:t xml:space="preserve">under the </w:t>
      </w:r>
      <w:r w:rsidR="00EE6189">
        <w:t>economic development</w:t>
      </w:r>
      <w:r w:rsidR="00057637">
        <w:t xml:space="preserve"> riders because they</w:t>
      </w:r>
      <w:r>
        <w:t xml:space="preserve"> are not yet ready to commence their respective discounts. </w:t>
      </w:r>
      <w:r w:rsidR="0048635D">
        <w:t>The single EDR-1 applicant who is in the process of ramping up the operation expects to meet the minimum service threshold by September 2016. Of the five ED-1 applicants, four are ramping up their new operations by installing new equipment, increasing product output and/or adding more shifts/increasing hours of operation. However, these four customers have not yet met the minimum ED-1 kW demand</w:t>
      </w:r>
      <w:r w:rsidR="00EE6189">
        <w:t xml:space="preserve"> and/or </w:t>
      </w:r>
      <w:r w:rsidR="0048635D">
        <w:t>load factor threshold.</w:t>
      </w:r>
      <w:r w:rsidR="00CC56FF">
        <w:t xml:space="preserve"> The company estimates these customers might receive the</w:t>
      </w:r>
      <w:r w:rsidR="00E34A4E">
        <w:t>ir discounts in September 2017. The fifth ED-1 applicant has yet to construct their building.</w:t>
      </w:r>
    </w:p>
    <w:p w:rsidR="00715D88" w:rsidRDefault="00715D88" w:rsidP="00C92AD1">
      <w:pPr>
        <w:jc w:val="both"/>
      </w:pPr>
    </w:p>
    <w:p w:rsidR="003A1028" w:rsidRDefault="00D72ED1" w:rsidP="00C92AD1">
      <w:pPr>
        <w:jc w:val="both"/>
      </w:pPr>
      <w:r>
        <w:t xml:space="preserve">DEF’s </w:t>
      </w:r>
      <w:r w:rsidR="00C92AD1">
        <w:t>petition</w:t>
      </w:r>
      <w:r>
        <w:t xml:space="preserve"> </w:t>
      </w:r>
      <w:r w:rsidR="0040733D">
        <w:t>states</w:t>
      </w:r>
      <w:r w:rsidR="00EE6189">
        <w:t xml:space="preserve"> that the company </w:t>
      </w:r>
      <w:r w:rsidR="00C92AD1">
        <w:t xml:space="preserve">is not requesting the pilot tariffs be made permanent at this time, because the company wants additional time to market the tariff and determine customers’ interest in the program. </w:t>
      </w:r>
      <w:r>
        <w:t xml:space="preserve">In response to a staff’s data request and follow-up question regarding if the company would make the riders permanent after October 17, 2019, DEF stated that if this petition is approved, DEF would </w:t>
      </w:r>
      <w:r w:rsidR="003A1028">
        <w:t>make</w:t>
      </w:r>
      <w:r>
        <w:t xml:space="preserve"> a request to the Commission on or before October 17, 2019 to: (1) </w:t>
      </w:r>
      <w:r w:rsidR="002F1055">
        <w:t>continue the riders as is</w:t>
      </w:r>
      <w:r w:rsidR="001D04AC">
        <w:t>;</w:t>
      </w:r>
      <w:r w:rsidR="002F1055">
        <w:t xml:space="preserve"> (2) </w:t>
      </w:r>
      <w:r w:rsidR="003A1028">
        <w:t>continue the riders with modifications based on the experienced gained from the current customers; or (3) discontinue the riders.</w:t>
      </w:r>
    </w:p>
    <w:p w:rsidR="003A16D2" w:rsidRDefault="003A16D2" w:rsidP="00C92AD1">
      <w:pPr>
        <w:jc w:val="both"/>
      </w:pPr>
    </w:p>
    <w:p w:rsidR="003A16D2" w:rsidRDefault="003A16D2" w:rsidP="00C92AD1">
      <w:pPr>
        <w:jc w:val="both"/>
      </w:pPr>
      <w:r>
        <w:t>The riders appear to be successful in attracting new load and incremental base revenues to DEF’s service territory, which benefits the general body of ratepayers. Therefore, staff recommends that the Commission approve DEF’s petition for an extension of its economic development</w:t>
      </w:r>
      <w:r w:rsidR="001B23F4">
        <w:t xml:space="preserve"> </w:t>
      </w:r>
      <w:r>
        <w:t xml:space="preserve">riders until October </w:t>
      </w:r>
      <w:r w:rsidR="00962969">
        <w:t xml:space="preserve">17, </w:t>
      </w:r>
      <w:r>
        <w:t>2019</w:t>
      </w:r>
      <w:r w:rsidR="001B23F4">
        <w:t xml:space="preserve"> and approve the revised service agreement forms</w:t>
      </w:r>
      <w:r w:rsidR="0020578B">
        <w:t xml:space="preserve"> as shown in Attachment A to this recommendation</w:t>
      </w:r>
      <w:r>
        <w:t xml:space="preserve">. </w:t>
      </w:r>
    </w:p>
    <w:p w:rsidR="00733FE0" w:rsidRDefault="00733FE0">
      <w:pPr>
        <w:pStyle w:val="IssueHeading"/>
        <w:rPr>
          <w:vanish/>
          <w:specVanish/>
        </w:rPr>
      </w:pPr>
      <w:r w:rsidRPr="004C3641">
        <w:rPr>
          <w:b w:val="0"/>
          <w:i w:val="0"/>
        </w:rPr>
        <w:br w:type="page"/>
      </w:r>
      <w:r w:rsidRPr="004C3641">
        <w:lastRenderedPageBreak/>
        <w:t xml:space="preserve">Issue </w:t>
      </w:r>
      <w:fldSimple w:instr=" SEQ Issue \* MERGEFORMAT ">
        <w:r w:rsidR="00C161C7">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161C7">
        <w:rPr>
          <w:noProof/>
        </w:rPr>
        <w:instrText>2</w:instrText>
      </w:r>
      <w:r>
        <w:fldChar w:fldCharType="end"/>
      </w:r>
      <w:r>
        <w:tab/>
        <w:instrText xml:space="preserve">" \l 1 </w:instrText>
      </w:r>
      <w:r>
        <w:fldChar w:fldCharType="end"/>
      </w:r>
      <w:r>
        <w:t> </w:t>
      </w:r>
    </w:p>
    <w:p w:rsidR="00733FE0" w:rsidRDefault="00733FE0">
      <w:pPr>
        <w:pStyle w:val="BodyText"/>
      </w:pPr>
      <w:r>
        <w:t> Should this docket be closed?</w:t>
      </w:r>
    </w:p>
    <w:p w:rsidR="00733FE0" w:rsidRPr="004C3641" w:rsidRDefault="00733FE0">
      <w:pPr>
        <w:pStyle w:val="IssueSubsectionHeading"/>
        <w:rPr>
          <w:vanish/>
          <w:specVanish/>
        </w:rPr>
      </w:pPr>
      <w:r w:rsidRPr="004C3641">
        <w:t>Recommendation: </w:t>
      </w:r>
    </w:p>
    <w:p w:rsidR="00733FE0" w:rsidRDefault="00733FE0">
      <w:pPr>
        <w:pStyle w:val="BodyText"/>
      </w:pPr>
      <w:r>
        <w:t> If Issue 1 is approved and a protest is filed within 21 days of the issuance of the order, the tariff should remain in effect pending resolution of the protest. If no timely protest is filed, this docket should be closed upon the issuance of a consummating order. (Mapp)</w:t>
      </w:r>
    </w:p>
    <w:p w:rsidR="00733FE0" w:rsidRPr="004C3641" w:rsidRDefault="00733FE0">
      <w:pPr>
        <w:pStyle w:val="IssueSubsectionHeading"/>
        <w:rPr>
          <w:vanish/>
          <w:specVanish/>
        </w:rPr>
      </w:pPr>
      <w:r w:rsidRPr="004C3641">
        <w:t>Staff Analysis: </w:t>
      </w:r>
    </w:p>
    <w:p w:rsidR="00733FE0" w:rsidRDefault="00733FE0">
      <w:pPr>
        <w:pStyle w:val="BodyText"/>
      </w:pPr>
      <w:r>
        <w:t> If Issue 1 is approved and a protest is filed within 21 days of the issuance of the order, the tariff should remain in effect pending resolution of the protest. If no timely protest is filed, this docket should be closed upon the issuance of a consummating order.</w:t>
      </w:r>
    </w:p>
    <w:p w:rsidR="007D30E2" w:rsidRDefault="007D30E2" w:rsidP="00E275D8">
      <w:pPr>
        <w:pStyle w:val="BodyText"/>
        <w:sectPr w:rsidR="007D30E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7D30E2" w:rsidRDefault="007D30E2" w:rsidP="00E275D8">
      <w:pPr>
        <w:pStyle w:val="BodyText"/>
        <w:sectPr w:rsidR="007D30E2"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E32D790" wp14:editId="379D50B9">
            <wp:extent cx="5838825" cy="7391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838825" cy="7391400"/>
                    </a:xfrm>
                    <a:prstGeom prst="rect">
                      <a:avLst/>
                    </a:prstGeom>
                  </pic:spPr>
                </pic:pic>
              </a:graphicData>
            </a:graphic>
          </wp:inline>
        </w:drawing>
      </w:r>
    </w:p>
    <w:p w:rsidR="007D30E2" w:rsidRDefault="007D30E2" w:rsidP="00E275D8">
      <w:pPr>
        <w:pStyle w:val="BodyText"/>
        <w:sectPr w:rsidR="007D30E2"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1230BC22" wp14:editId="1D5BE01A">
            <wp:extent cx="5800725" cy="7467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800725" cy="7467600"/>
                    </a:xfrm>
                    <a:prstGeom prst="rect">
                      <a:avLst/>
                    </a:prstGeom>
                  </pic:spPr>
                </pic:pic>
              </a:graphicData>
            </a:graphic>
          </wp:inline>
        </w:drawing>
      </w:r>
    </w:p>
    <w:p w:rsidR="007D30E2" w:rsidRDefault="007D30E2" w:rsidP="00E275D8">
      <w:pPr>
        <w:pStyle w:val="BodyText"/>
        <w:sectPr w:rsidR="007D30E2"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39E66B57" wp14:editId="57B0B542">
            <wp:extent cx="5848350" cy="7543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848350" cy="7543800"/>
                    </a:xfrm>
                    <a:prstGeom prst="rect">
                      <a:avLst/>
                    </a:prstGeom>
                  </pic:spPr>
                </pic:pic>
              </a:graphicData>
            </a:graphic>
          </wp:inline>
        </w:drawing>
      </w:r>
    </w:p>
    <w:p w:rsidR="00E06484" w:rsidRDefault="007D30E2" w:rsidP="00E275D8">
      <w:pPr>
        <w:pStyle w:val="BodyText"/>
      </w:pPr>
      <w:r>
        <w:rPr>
          <w:noProof/>
        </w:rPr>
        <w:lastRenderedPageBreak/>
        <w:drawing>
          <wp:inline distT="0" distB="0" distL="0" distR="0" wp14:anchorId="190B6A24" wp14:editId="65F3B60D">
            <wp:extent cx="5829300" cy="7524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829300" cy="7524750"/>
                    </a:xfrm>
                    <a:prstGeom prst="rect">
                      <a:avLst/>
                    </a:prstGeom>
                  </pic:spPr>
                </pic:pic>
              </a:graphicData>
            </a:graphic>
          </wp:inline>
        </w:drawing>
      </w:r>
    </w:p>
    <w:sectPr w:rsidR="00E06484" w:rsidSect="006848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403" w:rsidRDefault="00F50403">
      <w:r>
        <w:separator/>
      </w:r>
    </w:p>
  </w:endnote>
  <w:endnote w:type="continuationSeparator" w:id="0">
    <w:p w:rsidR="00F50403" w:rsidRDefault="00F5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33649">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403" w:rsidRDefault="00F50403">
      <w:r>
        <w:separator/>
      </w:r>
    </w:p>
  </w:footnote>
  <w:footnote w:type="continuationSeparator" w:id="0">
    <w:p w:rsidR="00F50403" w:rsidRDefault="00F50403">
      <w:r>
        <w:continuationSeparator/>
      </w:r>
    </w:p>
  </w:footnote>
  <w:footnote w:id="1">
    <w:p w:rsidR="00011288" w:rsidRDefault="00011288">
      <w:pPr>
        <w:pStyle w:val="FootnoteText"/>
      </w:pPr>
      <w:r>
        <w:rPr>
          <w:rStyle w:val="FootnoteReference"/>
        </w:rPr>
        <w:footnoteRef/>
      </w:r>
      <w:r>
        <w:t xml:space="preserve"> </w:t>
      </w:r>
      <w:proofErr w:type="gramStart"/>
      <w:r>
        <w:t>Order No.</w:t>
      </w:r>
      <w:proofErr w:type="gramEnd"/>
      <w:r>
        <w:t xml:space="preserve"> PSC-13-0598-FOF-EI, issued November 12, 2013, in Docket No. 130208-EI, </w:t>
      </w:r>
      <w:r w:rsidRPr="00211776">
        <w:rPr>
          <w:i/>
        </w:rPr>
        <w:t xml:space="preserve">In re: </w:t>
      </w:r>
      <w:bookmarkStart w:id="14" w:name="SSInRe"/>
      <w:bookmarkEnd w:id="14"/>
      <w:r w:rsidRPr="00211776">
        <w:rPr>
          <w:i/>
        </w:rPr>
        <w:t>Petition for limited proceeding to approve revised and restated stipulation and settlement agreement by Duke Energy Florida, Inc. d/b/a Duke Energy.</w:t>
      </w:r>
      <w:r w:rsidRPr="00011288">
        <w:t xml:space="preserve"> </w:t>
      </w:r>
    </w:p>
  </w:footnote>
  <w:footnote w:id="2">
    <w:p w:rsidR="00E34A4E" w:rsidRDefault="00E34A4E">
      <w:pPr>
        <w:pStyle w:val="FootnoteText"/>
      </w:pPr>
      <w:r>
        <w:rPr>
          <w:rStyle w:val="FootnoteReference"/>
        </w:rPr>
        <w:footnoteRef/>
      </w:r>
      <w:r>
        <w:t xml:space="preserve"> The EDR-1 rider also provides a reduction of the non-fuel and non-asset securitization charge factors.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F50403" w:rsidP="00220732">
    <w:pPr>
      <w:pStyle w:val="Header"/>
      <w:tabs>
        <w:tab w:val="clear" w:pos="4320"/>
        <w:tab w:val="clear" w:pos="8640"/>
        <w:tab w:val="right" w:pos="9360"/>
      </w:tabs>
    </w:pPr>
    <w:bookmarkStart w:id="15" w:name="DocketLabel"/>
    <w:r>
      <w:t>Docket No.</w:t>
    </w:r>
    <w:bookmarkEnd w:id="15"/>
    <w:r w:rsidR="00212B17">
      <w:t xml:space="preserve"> </w:t>
    </w:r>
    <w:bookmarkStart w:id="16" w:name="DocketList"/>
    <w:r>
      <w:t>160173-EI</w:t>
    </w:r>
    <w:bookmarkEnd w:id="16"/>
  </w:p>
  <w:p w:rsidR="00212B17" w:rsidRDefault="00212B17">
    <w:pPr>
      <w:pStyle w:val="Header"/>
    </w:pPr>
    <w:r>
      <w:t xml:space="preserve">Date: </w:t>
    </w:r>
    <w:r w:rsidR="000E4190">
      <w:fldChar w:fldCharType="begin"/>
    </w:r>
    <w:r w:rsidR="000E4190">
      <w:instrText xml:space="preserve"> REF FilingDate </w:instrText>
    </w:r>
    <w:r w:rsidR="000E4190">
      <w:fldChar w:fldCharType="separate"/>
    </w:r>
    <w:r w:rsidR="00C161C7">
      <w:t>August 31, 2016</w:t>
    </w:r>
    <w:r w:rsidR="000E419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C161C7">
      <w:t>Docket No.</w:t>
    </w:r>
    <w:r>
      <w:fldChar w:fldCharType="end"/>
    </w:r>
    <w:r>
      <w:t xml:space="preserve"> </w:t>
    </w:r>
    <w:r>
      <w:fldChar w:fldCharType="begin"/>
    </w:r>
    <w:r>
      <w:instrText xml:space="preserve"> REF DocketList</w:instrText>
    </w:r>
    <w:r>
      <w:fldChar w:fldCharType="separate"/>
    </w:r>
    <w:r w:rsidR="00C161C7">
      <w:t>160173-EI</w:t>
    </w:r>
    <w:r>
      <w:fldChar w:fldCharType="end"/>
    </w:r>
    <w:r>
      <w:tab/>
      <w:t xml:space="preserve">Issue </w:t>
    </w:r>
    <w:r w:rsidR="000E4190">
      <w:fldChar w:fldCharType="begin"/>
    </w:r>
    <w:r w:rsidR="000E4190">
      <w:instrText xml:space="preserve"> Seq Issue \c \* Arabic </w:instrText>
    </w:r>
    <w:r w:rsidR="000E4190">
      <w:fldChar w:fldCharType="separate"/>
    </w:r>
    <w:r w:rsidR="00533649">
      <w:rPr>
        <w:noProof/>
      </w:rPr>
      <w:t>2</w:t>
    </w:r>
    <w:r w:rsidR="000E4190">
      <w:rPr>
        <w:noProof/>
      </w:rPr>
      <w:fldChar w:fldCharType="end"/>
    </w:r>
  </w:p>
  <w:p w:rsidR="00212B17" w:rsidRDefault="00212B17">
    <w:pPr>
      <w:pStyle w:val="Header"/>
    </w:pPr>
    <w:r>
      <w:t xml:space="preserve">Date: </w:t>
    </w:r>
    <w:r w:rsidR="000E4190">
      <w:fldChar w:fldCharType="begin"/>
    </w:r>
    <w:r w:rsidR="000E4190">
      <w:instrText xml:space="preserve"> REF FilingDate </w:instrText>
    </w:r>
    <w:r w:rsidR="000E4190">
      <w:fldChar w:fldCharType="separate"/>
    </w:r>
    <w:r w:rsidR="00C161C7">
      <w:t>August 31, 2016</w:t>
    </w:r>
    <w:r w:rsidR="000E4190">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0E2" w:rsidRDefault="007D30E2" w:rsidP="00220732">
    <w:pPr>
      <w:pStyle w:val="Header"/>
      <w:tabs>
        <w:tab w:val="clear" w:pos="4320"/>
        <w:tab w:val="clear" w:pos="8640"/>
        <w:tab w:val="right" w:pos="9360"/>
      </w:tabs>
    </w:pPr>
    <w:r>
      <w:fldChar w:fldCharType="begin"/>
    </w:r>
    <w:r>
      <w:instrText xml:space="preserve"> REF DocketLabel</w:instrText>
    </w:r>
    <w:r>
      <w:fldChar w:fldCharType="separate"/>
    </w:r>
    <w:r w:rsidR="00C161C7">
      <w:t>Docket No.</w:t>
    </w:r>
    <w:r>
      <w:fldChar w:fldCharType="end"/>
    </w:r>
    <w:r>
      <w:t xml:space="preserve"> </w:t>
    </w:r>
    <w:r>
      <w:fldChar w:fldCharType="begin"/>
    </w:r>
    <w:r>
      <w:instrText xml:space="preserve"> REF DocketList</w:instrText>
    </w:r>
    <w:r>
      <w:fldChar w:fldCharType="separate"/>
    </w:r>
    <w:r w:rsidR="00C161C7">
      <w:t>160173-EI</w:t>
    </w:r>
    <w:r>
      <w:fldChar w:fldCharType="end"/>
    </w:r>
    <w:r>
      <w:tab/>
      <w:t>Attachment A</w:t>
    </w:r>
  </w:p>
  <w:p w:rsidR="007D30E2" w:rsidRDefault="007D30E2">
    <w:pPr>
      <w:pStyle w:val="Header"/>
    </w:pPr>
    <w:r>
      <w:t xml:space="preserve">Date: </w:t>
    </w:r>
    <w:r w:rsidR="000E4190">
      <w:fldChar w:fldCharType="begin"/>
    </w:r>
    <w:r w:rsidR="000E4190">
      <w:instrText xml:space="preserve"> REF FilingDate </w:instrText>
    </w:r>
    <w:r w:rsidR="000E4190">
      <w:fldChar w:fldCharType="separate"/>
    </w:r>
    <w:r w:rsidR="00C161C7">
      <w:t>August 31, 2016</w:t>
    </w:r>
    <w:r w:rsidR="000E4190">
      <w:fldChar w:fldCharType="end"/>
    </w:r>
    <w:r>
      <w:tab/>
    </w:r>
    <w:r>
      <w:tab/>
      <w:t xml:space="preserve">                                                             Page 1 of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0E2" w:rsidRDefault="007D30E2" w:rsidP="00220732">
    <w:pPr>
      <w:pStyle w:val="Header"/>
      <w:tabs>
        <w:tab w:val="clear" w:pos="4320"/>
        <w:tab w:val="clear" w:pos="8640"/>
        <w:tab w:val="right" w:pos="9360"/>
      </w:tabs>
    </w:pPr>
    <w:r>
      <w:fldChar w:fldCharType="begin"/>
    </w:r>
    <w:r>
      <w:instrText xml:space="preserve"> REF DocketLabel</w:instrText>
    </w:r>
    <w:r>
      <w:fldChar w:fldCharType="separate"/>
    </w:r>
    <w:r w:rsidR="00C161C7">
      <w:t>Docket No.</w:t>
    </w:r>
    <w:r>
      <w:fldChar w:fldCharType="end"/>
    </w:r>
    <w:r>
      <w:t xml:space="preserve"> </w:t>
    </w:r>
    <w:r>
      <w:fldChar w:fldCharType="begin"/>
    </w:r>
    <w:r>
      <w:instrText xml:space="preserve"> REF DocketList</w:instrText>
    </w:r>
    <w:r>
      <w:fldChar w:fldCharType="separate"/>
    </w:r>
    <w:r w:rsidR="00C161C7">
      <w:t>160173-EI</w:t>
    </w:r>
    <w:r>
      <w:fldChar w:fldCharType="end"/>
    </w:r>
    <w:r>
      <w:tab/>
      <w:t>Attachment A</w:t>
    </w:r>
  </w:p>
  <w:p w:rsidR="007D30E2" w:rsidRDefault="007D30E2">
    <w:pPr>
      <w:pStyle w:val="Header"/>
    </w:pPr>
    <w:r>
      <w:t xml:space="preserve">Date: </w:t>
    </w:r>
    <w:r w:rsidR="000E4190">
      <w:fldChar w:fldCharType="begin"/>
    </w:r>
    <w:r w:rsidR="000E4190">
      <w:instrText xml:space="preserve"> REF FilingDate </w:instrText>
    </w:r>
    <w:r w:rsidR="000E4190">
      <w:fldChar w:fldCharType="separate"/>
    </w:r>
    <w:r w:rsidR="00C161C7">
      <w:t>August 31, 2016</w:t>
    </w:r>
    <w:r w:rsidR="000E4190">
      <w:fldChar w:fldCharType="end"/>
    </w:r>
    <w:r>
      <w:tab/>
    </w:r>
    <w:r>
      <w:tab/>
      <w:t xml:space="preserve">                                                             Page 2 of 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0E2" w:rsidRDefault="007D30E2" w:rsidP="00220732">
    <w:pPr>
      <w:pStyle w:val="Header"/>
      <w:tabs>
        <w:tab w:val="clear" w:pos="4320"/>
        <w:tab w:val="clear" w:pos="8640"/>
        <w:tab w:val="right" w:pos="9360"/>
      </w:tabs>
    </w:pPr>
    <w:r>
      <w:fldChar w:fldCharType="begin"/>
    </w:r>
    <w:r>
      <w:instrText xml:space="preserve"> REF DocketLabel</w:instrText>
    </w:r>
    <w:r>
      <w:fldChar w:fldCharType="separate"/>
    </w:r>
    <w:r w:rsidR="00C161C7">
      <w:t>Docket No.</w:t>
    </w:r>
    <w:r>
      <w:fldChar w:fldCharType="end"/>
    </w:r>
    <w:r>
      <w:t xml:space="preserve"> </w:t>
    </w:r>
    <w:r>
      <w:fldChar w:fldCharType="begin"/>
    </w:r>
    <w:r>
      <w:instrText xml:space="preserve"> REF DocketList</w:instrText>
    </w:r>
    <w:r>
      <w:fldChar w:fldCharType="separate"/>
    </w:r>
    <w:r w:rsidR="00C161C7">
      <w:t>160173-EI</w:t>
    </w:r>
    <w:r>
      <w:fldChar w:fldCharType="end"/>
    </w:r>
    <w:r>
      <w:tab/>
      <w:t>Attachment A</w:t>
    </w:r>
  </w:p>
  <w:p w:rsidR="007D30E2" w:rsidRDefault="007D30E2">
    <w:pPr>
      <w:pStyle w:val="Header"/>
    </w:pPr>
    <w:r>
      <w:t xml:space="preserve">Date: </w:t>
    </w:r>
    <w:r w:rsidR="000E4190">
      <w:fldChar w:fldCharType="begin"/>
    </w:r>
    <w:r w:rsidR="000E4190">
      <w:instrText xml:space="preserve"> RE</w:instrText>
    </w:r>
    <w:r w:rsidR="000E4190">
      <w:instrText xml:space="preserve">F FilingDate </w:instrText>
    </w:r>
    <w:r w:rsidR="000E4190">
      <w:fldChar w:fldCharType="separate"/>
    </w:r>
    <w:r w:rsidR="00C161C7">
      <w:t>August 31, 2016</w:t>
    </w:r>
    <w:r w:rsidR="000E4190">
      <w:fldChar w:fldCharType="end"/>
    </w:r>
    <w:r>
      <w:tab/>
    </w:r>
    <w:r>
      <w:tab/>
      <w:t xml:space="preserve">                                                             Page 3 of 4</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0E2" w:rsidRDefault="007D30E2" w:rsidP="00220732">
    <w:pPr>
      <w:pStyle w:val="Header"/>
      <w:tabs>
        <w:tab w:val="clear" w:pos="4320"/>
        <w:tab w:val="clear" w:pos="8640"/>
        <w:tab w:val="right" w:pos="9360"/>
      </w:tabs>
    </w:pPr>
    <w:r>
      <w:fldChar w:fldCharType="begin"/>
    </w:r>
    <w:r>
      <w:instrText xml:space="preserve"> REF DocketLabel</w:instrText>
    </w:r>
    <w:r>
      <w:fldChar w:fldCharType="separate"/>
    </w:r>
    <w:r w:rsidR="00C161C7">
      <w:t>Docket No.</w:t>
    </w:r>
    <w:r>
      <w:fldChar w:fldCharType="end"/>
    </w:r>
    <w:r>
      <w:t xml:space="preserve"> </w:t>
    </w:r>
    <w:r>
      <w:fldChar w:fldCharType="begin"/>
    </w:r>
    <w:r>
      <w:instrText xml:space="preserve"> REF DocketList</w:instrText>
    </w:r>
    <w:r>
      <w:fldChar w:fldCharType="separate"/>
    </w:r>
    <w:r w:rsidR="00C161C7">
      <w:t>160173-EI</w:t>
    </w:r>
    <w:r>
      <w:fldChar w:fldCharType="end"/>
    </w:r>
    <w:r>
      <w:tab/>
      <w:t>Attachment A</w:t>
    </w:r>
  </w:p>
  <w:p w:rsidR="007D30E2" w:rsidRDefault="007D30E2">
    <w:pPr>
      <w:pStyle w:val="Header"/>
    </w:pPr>
    <w:r>
      <w:t xml:space="preserve">Date: </w:t>
    </w:r>
    <w:r w:rsidR="000E4190">
      <w:fldChar w:fldCharType="begin"/>
    </w:r>
    <w:r w:rsidR="000E4190">
      <w:instrText xml:space="preserve"> REF FilingDate </w:instrText>
    </w:r>
    <w:r w:rsidR="000E4190">
      <w:fldChar w:fldCharType="separate"/>
    </w:r>
    <w:r w:rsidR="00C161C7">
      <w:t>August 31, 2016</w:t>
    </w:r>
    <w:r w:rsidR="000E4190">
      <w:fldChar w:fldCharType="end"/>
    </w:r>
    <w:r>
      <w:tab/>
    </w:r>
    <w:r>
      <w:tab/>
      <w:t xml:space="preserve">                                                             Page 4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50403"/>
    <w:rsid w:val="00010E37"/>
    <w:rsid w:val="00011288"/>
    <w:rsid w:val="000247C5"/>
    <w:rsid w:val="000277C2"/>
    <w:rsid w:val="00035B48"/>
    <w:rsid w:val="00036CE2"/>
    <w:rsid w:val="000437FE"/>
    <w:rsid w:val="000513BE"/>
    <w:rsid w:val="00057637"/>
    <w:rsid w:val="00065A06"/>
    <w:rsid w:val="000666F3"/>
    <w:rsid w:val="00070DCB"/>
    <w:rsid w:val="00073120"/>
    <w:rsid w:val="000764D0"/>
    <w:rsid w:val="000828D3"/>
    <w:rsid w:val="000A2B57"/>
    <w:rsid w:val="000A418B"/>
    <w:rsid w:val="000C4431"/>
    <w:rsid w:val="000C641A"/>
    <w:rsid w:val="000D4319"/>
    <w:rsid w:val="000F374A"/>
    <w:rsid w:val="00117C8C"/>
    <w:rsid w:val="00124E2E"/>
    <w:rsid w:val="00125ED4"/>
    <w:rsid w:val="001305E9"/>
    <w:rsid w:val="001307AF"/>
    <w:rsid w:val="00135687"/>
    <w:rsid w:val="0015506E"/>
    <w:rsid w:val="00163031"/>
    <w:rsid w:val="00171A90"/>
    <w:rsid w:val="00172DDC"/>
    <w:rsid w:val="00180254"/>
    <w:rsid w:val="00191E1F"/>
    <w:rsid w:val="00192943"/>
    <w:rsid w:val="001A1E6E"/>
    <w:rsid w:val="001A426D"/>
    <w:rsid w:val="001A7406"/>
    <w:rsid w:val="001B23F4"/>
    <w:rsid w:val="001B4FEE"/>
    <w:rsid w:val="001B51C5"/>
    <w:rsid w:val="001B6F3F"/>
    <w:rsid w:val="001C52B5"/>
    <w:rsid w:val="001D04AC"/>
    <w:rsid w:val="001D0D3E"/>
    <w:rsid w:val="001F2245"/>
    <w:rsid w:val="001F6DA1"/>
    <w:rsid w:val="002044E6"/>
    <w:rsid w:val="0020578B"/>
    <w:rsid w:val="00205C82"/>
    <w:rsid w:val="00205DC2"/>
    <w:rsid w:val="00211776"/>
    <w:rsid w:val="00212B17"/>
    <w:rsid w:val="002163B6"/>
    <w:rsid w:val="00220732"/>
    <w:rsid w:val="00221D32"/>
    <w:rsid w:val="00225C3F"/>
    <w:rsid w:val="00263D44"/>
    <w:rsid w:val="002702AD"/>
    <w:rsid w:val="00292D82"/>
    <w:rsid w:val="002963CB"/>
    <w:rsid w:val="002D226D"/>
    <w:rsid w:val="002F1055"/>
    <w:rsid w:val="002F6030"/>
    <w:rsid w:val="003037E1"/>
    <w:rsid w:val="00307E51"/>
    <w:rsid w:val="003103EC"/>
    <w:rsid w:val="003144EF"/>
    <w:rsid w:val="00322F74"/>
    <w:rsid w:val="003348B5"/>
    <w:rsid w:val="00340073"/>
    <w:rsid w:val="00360B0D"/>
    <w:rsid w:val="00372805"/>
    <w:rsid w:val="00373180"/>
    <w:rsid w:val="00375AB9"/>
    <w:rsid w:val="003821A0"/>
    <w:rsid w:val="00385B04"/>
    <w:rsid w:val="003864CF"/>
    <w:rsid w:val="003A1028"/>
    <w:rsid w:val="003A16D2"/>
    <w:rsid w:val="003A22A6"/>
    <w:rsid w:val="003A5494"/>
    <w:rsid w:val="003B2510"/>
    <w:rsid w:val="003C2CC4"/>
    <w:rsid w:val="003E0EFC"/>
    <w:rsid w:val="003E4A2B"/>
    <w:rsid w:val="003E76C2"/>
    <w:rsid w:val="003F1679"/>
    <w:rsid w:val="003F4A35"/>
    <w:rsid w:val="003F7FDD"/>
    <w:rsid w:val="00402481"/>
    <w:rsid w:val="004042B4"/>
    <w:rsid w:val="004043F4"/>
    <w:rsid w:val="0040733D"/>
    <w:rsid w:val="00412DAE"/>
    <w:rsid w:val="00417917"/>
    <w:rsid w:val="00431598"/>
    <w:rsid w:val="004426B8"/>
    <w:rsid w:val="00444432"/>
    <w:rsid w:val="00471860"/>
    <w:rsid w:val="0048635D"/>
    <w:rsid w:val="004B60BD"/>
    <w:rsid w:val="004C1794"/>
    <w:rsid w:val="004C3150"/>
    <w:rsid w:val="004C3641"/>
    <w:rsid w:val="004C4390"/>
    <w:rsid w:val="004C4AF7"/>
    <w:rsid w:val="004D2881"/>
    <w:rsid w:val="004D385F"/>
    <w:rsid w:val="004D5B39"/>
    <w:rsid w:val="004E330D"/>
    <w:rsid w:val="004E5147"/>
    <w:rsid w:val="004F20BF"/>
    <w:rsid w:val="0050652D"/>
    <w:rsid w:val="00506C03"/>
    <w:rsid w:val="00516496"/>
    <w:rsid w:val="0052572A"/>
    <w:rsid w:val="00533649"/>
    <w:rsid w:val="005345CD"/>
    <w:rsid w:val="00543CB3"/>
    <w:rsid w:val="00560FF0"/>
    <w:rsid w:val="005614BD"/>
    <w:rsid w:val="0057154F"/>
    <w:rsid w:val="00581CA3"/>
    <w:rsid w:val="00587A44"/>
    <w:rsid w:val="00595EED"/>
    <w:rsid w:val="00597730"/>
    <w:rsid w:val="005977EC"/>
    <w:rsid w:val="00597DE7"/>
    <w:rsid w:val="005A4AA2"/>
    <w:rsid w:val="005B34B6"/>
    <w:rsid w:val="005B6C8F"/>
    <w:rsid w:val="005D0F74"/>
    <w:rsid w:val="005D2E7D"/>
    <w:rsid w:val="005D454D"/>
    <w:rsid w:val="005D4A8F"/>
    <w:rsid w:val="005D561B"/>
    <w:rsid w:val="005E25EF"/>
    <w:rsid w:val="005F468D"/>
    <w:rsid w:val="005F69A3"/>
    <w:rsid w:val="00615423"/>
    <w:rsid w:val="006165B2"/>
    <w:rsid w:val="00617276"/>
    <w:rsid w:val="006238A8"/>
    <w:rsid w:val="00624642"/>
    <w:rsid w:val="00625D97"/>
    <w:rsid w:val="00625F1C"/>
    <w:rsid w:val="00630CEB"/>
    <w:rsid w:val="00632264"/>
    <w:rsid w:val="006470BC"/>
    <w:rsid w:val="00667036"/>
    <w:rsid w:val="00673BDB"/>
    <w:rsid w:val="006769F0"/>
    <w:rsid w:val="006771B8"/>
    <w:rsid w:val="00677DC0"/>
    <w:rsid w:val="006843B6"/>
    <w:rsid w:val="0068481F"/>
    <w:rsid w:val="0068671E"/>
    <w:rsid w:val="0069517A"/>
    <w:rsid w:val="00696F5D"/>
    <w:rsid w:val="00697249"/>
    <w:rsid w:val="006B3947"/>
    <w:rsid w:val="006B4293"/>
    <w:rsid w:val="006B624F"/>
    <w:rsid w:val="006C31E3"/>
    <w:rsid w:val="006D18D3"/>
    <w:rsid w:val="006E08CB"/>
    <w:rsid w:val="006E598D"/>
    <w:rsid w:val="00702E6D"/>
    <w:rsid w:val="0070437D"/>
    <w:rsid w:val="00705B04"/>
    <w:rsid w:val="00715D88"/>
    <w:rsid w:val="00733FE0"/>
    <w:rsid w:val="00734820"/>
    <w:rsid w:val="007349DC"/>
    <w:rsid w:val="0074365E"/>
    <w:rsid w:val="007515FD"/>
    <w:rsid w:val="00760D80"/>
    <w:rsid w:val="00780C09"/>
    <w:rsid w:val="00780DDF"/>
    <w:rsid w:val="007834E9"/>
    <w:rsid w:val="00787DBC"/>
    <w:rsid w:val="00792935"/>
    <w:rsid w:val="007A04A1"/>
    <w:rsid w:val="007A1840"/>
    <w:rsid w:val="007C0528"/>
    <w:rsid w:val="007C3D38"/>
    <w:rsid w:val="007D0F35"/>
    <w:rsid w:val="007D30E2"/>
    <w:rsid w:val="007D4FEB"/>
    <w:rsid w:val="007D6146"/>
    <w:rsid w:val="007E0CE7"/>
    <w:rsid w:val="007F1193"/>
    <w:rsid w:val="007F417F"/>
    <w:rsid w:val="008042BD"/>
    <w:rsid w:val="00816624"/>
    <w:rsid w:val="00822427"/>
    <w:rsid w:val="00822562"/>
    <w:rsid w:val="00823663"/>
    <w:rsid w:val="00832DDC"/>
    <w:rsid w:val="008429A1"/>
    <w:rsid w:val="00846DE9"/>
    <w:rsid w:val="00850BAC"/>
    <w:rsid w:val="00854A3E"/>
    <w:rsid w:val="00855D08"/>
    <w:rsid w:val="00864E46"/>
    <w:rsid w:val="00874344"/>
    <w:rsid w:val="00882155"/>
    <w:rsid w:val="0088233B"/>
    <w:rsid w:val="0088599E"/>
    <w:rsid w:val="00886C37"/>
    <w:rsid w:val="00892D99"/>
    <w:rsid w:val="008A4DC0"/>
    <w:rsid w:val="008B62AE"/>
    <w:rsid w:val="008C04B5"/>
    <w:rsid w:val="008C14FA"/>
    <w:rsid w:val="008C7D7B"/>
    <w:rsid w:val="008D4057"/>
    <w:rsid w:val="008E1F19"/>
    <w:rsid w:val="008F1597"/>
    <w:rsid w:val="008F2262"/>
    <w:rsid w:val="008F7736"/>
    <w:rsid w:val="0090019E"/>
    <w:rsid w:val="00901086"/>
    <w:rsid w:val="00901C8A"/>
    <w:rsid w:val="00905886"/>
    <w:rsid w:val="009070D6"/>
    <w:rsid w:val="009076C6"/>
    <w:rsid w:val="0091019E"/>
    <w:rsid w:val="009106F1"/>
    <w:rsid w:val="009145D6"/>
    <w:rsid w:val="00920E64"/>
    <w:rsid w:val="00922002"/>
    <w:rsid w:val="00924020"/>
    <w:rsid w:val="009271A7"/>
    <w:rsid w:val="0093658B"/>
    <w:rsid w:val="009429FF"/>
    <w:rsid w:val="00945BD6"/>
    <w:rsid w:val="009479FB"/>
    <w:rsid w:val="00951C45"/>
    <w:rsid w:val="00962969"/>
    <w:rsid w:val="009656F2"/>
    <w:rsid w:val="00966A08"/>
    <w:rsid w:val="00971207"/>
    <w:rsid w:val="00975CB4"/>
    <w:rsid w:val="009863B0"/>
    <w:rsid w:val="00987DE1"/>
    <w:rsid w:val="00990571"/>
    <w:rsid w:val="0099673A"/>
    <w:rsid w:val="009A3330"/>
    <w:rsid w:val="009A7C96"/>
    <w:rsid w:val="009B4A46"/>
    <w:rsid w:val="009C3DB9"/>
    <w:rsid w:val="009D46E5"/>
    <w:rsid w:val="009D568A"/>
    <w:rsid w:val="009E7CA4"/>
    <w:rsid w:val="009F04EC"/>
    <w:rsid w:val="009F3B36"/>
    <w:rsid w:val="00A019B9"/>
    <w:rsid w:val="00A12508"/>
    <w:rsid w:val="00A1282B"/>
    <w:rsid w:val="00A13A27"/>
    <w:rsid w:val="00A175B6"/>
    <w:rsid w:val="00A21835"/>
    <w:rsid w:val="00A265EC"/>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2C44"/>
    <w:rsid w:val="00B05B51"/>
    <w:rsid w:val="00B11C2A"/>
    <w:rsid w:val="00B14E5A"/>
    <w:rsid w:val="00B15370"/>
    <w:rsid w:val="00B17BEB"/>
    <w:rsid w:val="00B21A3C"/>
    <w:rsid w:val="00B223C0"/>
    <w:rsid w:val="00B234ED"/>
    <w:rsid w:val="00B247AD"/>
    <w:rsid w:val="00B249B2"/>
    <w:rsid w:val="00B25CA3"/>
    <w:rsid w:val="00B32987"/>
    <w:rsid w:val="00B57A6A"/>
    <w:rsid w:val="00B760F1"/>
    <w:rsid w:val="00B7669E"/>
    <w:rsid w:val="00B77DA1"/>
    <w:rsid w:val="00BA0D55"/>
    <w:rsid w:val="00BA37B3"/>
    <w:rsid w:val="00BA4CC6"/>
    <w:rsid w:val="00BB3493"/>
    <w:rsid w:val="00BB7468"/>
    <w:rsid w:val="00BC188A"/>
    <w:rsid w:val="00BD6CE8"/>
    <w:rsid w:val="00BF5010"/>
    <w:rsid w:val="00C13791"/>
    <w:rsid w:val="00C161C7"/>
    <w:rsid w:val="00C31BB3"/>
    <w:rsid w:val="00C36977"/>
    <w:rsid w:val="00C477D9"/>
    <w:rsid w:val="00C60BA3"/>
    <w:rsid w:val="00C623F7"/>
    <w:rsid w:val="00C81670"/>
    <w:rsid w:val="00C81773"/>
    <w:rsid w:val="00C82861"/>
    <w:rsid w:val="00C86896"/>
    <w:rsid w:val="00C907A8"/>
    <w:rsid w:val="00C92AD1"/>
    <w:rsid w:val="00C93211"/>
    <w:rsid w:val="00C942EC"/>
    <w:rsid w:val="00C96047"/>
    <w:rsid w:val="00C979D0"/>
    <w:rsid w:val="00CA0818"/>
    <w:rsid w:val="00CA2C8F"/>
    <w:rsid w:val="00CA30DA"/>
    <w:rsid w:val="00CA3A24"/>
    <w:rsid w:val="00CB114F"/>
    <w:rsid w:val="00CB1777"/>
    <w:rsid w:val="00CB33E9"/>
    <w:rsid w:val="00CC10A9"/>
    <w:rsid w:val="00CC2CBF"/>
    <w:rsid w:val="00CC56FF"/>
    <w:rsid w:val="00CE2BF8"/>
    <w:rsid w:val="00CE484E"/>
    <w:rsid w:val="00CF0DA8"/>
    <w:rsid w:val="00CF2E25"/>
    <w:rsid w:val="00CF4453"/>
    <w:rsid w:val="00CF5D94"/>
    <w:rsid w:val="00D034D7"/>
    <w:rsid w:val="00D04BE4"/>
    <w:rsid w:val="00D12565"/>
    <w:rsid w:val="00D14127"/>
    <w:rsid w:val="00D25E84"/>
    <w:rsid w:val="00D54C41"/>
    <w:rsid w:val="00D60F02"/>
    <w:rsid w:val="00D61BF3"/>
    <w:rsid w:val="00D66E49"/>
    <w:rsid w:val="00D72ED1"/>
    <w:rsid w:val="00D72F74"/>
    <w:rsid w:val="00D73437"/>
    <w:rsid w:val="00D81563"/>
    <w:rsid w:val="00D83968"/>
    <w:rsid w:val="00D85907"/>
    <w:rsid w:val="00D9073E"/>
    <w:rsid w:val="00D9221D"/>
    <w:rsid w:val="00D958DF"/>
    <w:rsid w:val="00D96DA1"/>
    <w:rsid w:val="00DA51E7"/>
    <w:rsid w:val="00DB1C78"/>
    <w:rsid w:val="00DB7D96"/>
    <w:rsid w:val="00DC23FE"/>
    <w:rsid w:val="00DC59E6"/>
    <w:rsid w:val="00DD150B"/>
    <w:rsid w:val="00DD5025"/>
    <w:rsid w:val="00DE0856"/>
    <w:rsid w:val="00DF1510"/>
    <w:rsid w:val="00E06484"/>
    <w:rsid w:val="00E12B8C"/>
    <w:rsid w:val="00E20A7D"/>
    <w:rsid w:val="00E275D8"/>
    <w:rsid w:val="00E34A4E"/>
    <w:rsid w:val="00E375CA"/>
    <w:rsid w:val="00E4402C"/>
    <w:rsid w:val="00E567E8"/>
    <w:rsid w:val="00E64679"/>
    <w:rsid w:val="00E65EBC"/>
    <w:rsid w:val="00E73432"/>
    <w:rsid w:val="00E73BB7"/>
    <w:rsid w:val="00E77B0C"/>
    <w:rsid w:val="00E77FB8"/>
    <w:rsid w:val="00E838B0"/>
    <w:rsid w:val="00E86A7C"/>
    <w:rsid w:val="00E878E1"/>
    <w:rsid w:val="00E87F2C"/>
    <w:rsid w:val="00E95278"/>
    <w:rsid w:val="00EA2273"/>
    <w:rsid w:val="00EB2DB3"/>
    <w:rsid w:val="00EC3FBB"/>
    <w:rsid w:val="00EC4CF3"/>
    <w:rsid w:val="00EC6B7A"/>
    <w:rsid w:val="00ED3A87"/>
    <w:rsid w:val="00ED5B67"/>
    <w:rsid w:val="00EE6189"/>
    <w:rsid w:val="00EF264C"/>
    <w:rsid w:val="00EF3FEE"/>
    <w:rsid w:val="00F04B59"/>
    <w:rsid w:val="00F11741"/>
    <w:rsid w:val="00F12B1C"/>
    <w:rsid w:val="00F13CF8"/>
    <w:rsid w:val="00F15855"/>
    <w:rsid w:val="00F25C94"/>
    <w:rsid w:val="00F26CC6"/>
    <w:rsid w:val="00F32978"/>
    <w:rsid w:val="00F45CB2"/>
    <w:rsid w:val="00F50403"/>
    <w:rsid w:val="00F544C0"/>
    <w:rsid w:val="00F55332"/>
    <w:rsid w:val="00F65519"/>
    <w:rsid w:val="00F713C0"/>
    <w:rsid w:val="00F75DDC"/>
    <w:rsid w:val="00F7792F"/>
    <w:rsid w:val="00F8140C"/>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112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011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B30EC-D3B7-4D47-8CF0-CB1BA2A7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9</Pages>
  <Words>1060</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2016-08-29T15:46:00Z</cp:lastPrinted>
  <dcterms:created xsi:type="dcterms:W3CDTF">2016-08-31T13:45:00Z</dcterms:created>
  <dcterms:modified xsi:type="dcterms:W3CDTF">2016-08-31T13:45:00Z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160173-EI</vt:lpwstr>
  </property>
  <property fmtid="{D5CDD505-2E9C-101B-9397-08002B2CF9AE}" pid="3" name="MasterDocument">
    <vt:bool>false</vt:bool>
  </property>
</Properties>
</file>