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4F7AE9">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21923">
            <w:pPr>
              <w:pStyle w:val="MemoHeading"/>
            </w:pPr>
            <w:bookmarkStart w:id="0" w:name="FilingDate"/>
            <w:r>
              <w:t>August 31,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21923" w:rsidRDefault="00A21923">
            <w:pPr>
              <w:pStyle w:val="MemoHeading"/>
            </w:pPr>
            <w:bookmarkStart w:id="1" w:name="From"/>
            <w:r>
              <w:t xml:space="preserve">Division of Accounting and Finance (Slemkewicz, </w:t>
            </w:r>
            <w:r w:rsidR="009C3610">
              <w:t>D. Buys,</w:t>
            </w:r>
            <w:r>
              <w:t xml:space="preserve"> Mouring)</w:t>
            </w:r>
          </w:p>
          <w:p w:rsidR="00A21923" w:rsidRDefault="00A21923">
            <w:pPr>
              <w:pStyle w:val="MemoHeading"/>
            </w:pPr>
            <w:r>
              <w:t>Division of Economics (Hudson, Johnson)</w:t>
            </w:r>
          </w:p>
          <w:p w:rsidR="00A21923" w:rsidRDefault="00A21923">
            <w:pPr>
              <w:pStyle w:val="MemoHeading"/>
            </w:pPr>
            <w:r>
              <w:t>Division of Engineering (King, Mtenga)</w:t>
            </w:r>
          </w:p>
          <w:p w:rsidR="007C0528" w:rsidRDefault="00A21923">
            <w:pPr>
              <w:pStyle w:val="MemoHeading"/>
            </w:pPr>
            <w:r>
              <w:t>Office of the General Counsel (Mapp)</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21923">
            <w:pPr>
              <w:pStyle w:val="MemoHeadingRe"/>
            </w:pPr>
            <w:bookmarkStart w:id="2" w:name="Re"/>
            <w:r>
              <w:t>Docket No. 150269-WS – Application for limited proceeding water rate increase in Marion, Pasco, and Seminole Counties, by Utilities, Inc. of Florida.</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21923">
            <w:pPr>
              <w:pStyle w:val="MemoHeading"/>
            </w:pPr>
            <w:bookmarkStart w:id="3" w:name="AgendaDate"/>
            <w:r>
              <w:t>09/13/16</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21923">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21923">
            <w:pPr>
              <w:pStyle w:val="MemoHeading"/>
            </w:pPr>
            <w:bookmarkStart w:id="6" w:name="PrehearingOfficer"/>
            <w:r>
              <w:t>Brisé</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A21923">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2192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40EF5" w:rsidRDefault="00B40EF5" w:rsidP="00B40EF5">
      <w:pPr>
        <w:pStyle w:val="BodyText"/>
      </w:pPr>
      <w:r>
        <w:t>Utilities, Inc. of Florida (UIF or Utility) is a Class A utility providing water and wastewater service to</w:t>
      </w:r>
      <w:r w:rsidRPr="00FD1F17">
        <w:t xml:space="preserve"> twenty</w:t>
      </w:r>
      <w:r w:rsidR="00FD1F17" w:rsidRPr="00FD1F17">
        <w:t>-seven</w:t>
      </w:r>
      <w:r>
        <w:t xml:space="preserve"> systems in the following counties: </w:t>
      </w:r>
      <w:r w:rsidR="00FD1F17">
        <w:t xml:space="preserve">Charlotte, Highlands, Lake, Lee, </w:t>
      </w:r>
      <w:r>
        <w:t>Marion, Orange, Pasco, Pinellas,</w:t>
      </w:r>
      <w:r w:rsidR="00FD1F17">
        <w:t xml:space="preserve"> Polk,</w:t>
      </w:r>
      <w:r>
        <w:t xml:space="preserve"> and Seminole. On December 30, 2015, the Utility requested a limited proceeding water rate increase for Marion, Pasco, and Seminole Counties. UIF is a wholly-owned subsidiary of Utilities, Inc. (UI). The Utility’s last rate case was in 2012.</w:t>
      </w:r>
      <w:r>
        <w:rPr>
          <w:rStyle w:val="FootnoteReference"/>
        </w:rPr>
        <w:footnoteReference w:id="1"/>
      </w:r>
    </w:p>
    <w:p w:rsidR="00B40EF5" w:rsidRDefault="00B40EF5" w:rsidP="00B40EF5">
      <w:pPr>
        <w:pStyle w:val="BodyText"/>
      </w:pPr>
      <w:r>
        <w:lastRenderedPageBreak/>
        <w:t xml:space="preserve">The petition for a limited proceeding was filed pursuant to Rule 25-30.446, Florida Administrative Code (F.A.C.). Driving the limited proceeding were (1) galvanized service line replacement </w:t>
      </w:r>
      <w:r w:rsidR="00C608B5">
        <w:t xml:space="preserve">costs in Marion County, (2) </w:t>
      </w:r>
      <w:r>
        <w:t>loss of irrigation customers, plant additions, and purchased water costs in Pasco County, and (3) interconnection plant addition costs in Seminole County.</w:t>
      </w:r>
      <w:r w:rsidR="00907AD5" w:rsidRPr="00907AD5">
        <w:rPr>
          <w:rStyle w:val="FootnoteReference"/>
        </w:rPr>
        <w:t xml:space="preserve"> </w:t>
      </w:r>
      <w:r w:rsidR="00907AD5">
        <w:rPr>
          <w:rStyle w:val="FootnoteReference"/>
        </w:rPr>
        <w:footnoteReference w:id="2"/>
      </w:r>
    </w:p>
    <w:p w:rsidR="00B40EF5" w:rsidRDefault="00B40EF5" w:rsidP="00B40EF5">
      <w:pPr>
        <w:pStyle w:val="BodyText"/>
      </w:pPr>
      <w:r>
        <w:t>On March 24, 2016, the Office of Public Counsel (OPC) filed its notice of intervention in this proceeding, and an Order acknowledging intervention was issued on April 4, 2016.</w:t>
      </w:r>
      <w:r>
        <w:rPr>
          <w:rStyle w:val="FootnoteReference"/>
        </w:rPr>
        <w:footnoteReference w:id="3"/>
      </w:r>
      <w:r>
        <w:t xml:space="preserve"> Prior to the notice of intervention, OPC submitted a letter, dated February 2, 2016, outlining concerns that OPC had with the Utility’s petition for Marion, Pasco, and Seminole Counties.</w:t>
      </w:r>
      <w:r>
        <w:rPr>
          <w:rStyle w:val="FootnoteReference"/>
        </w:rPr>
        <w:footnoteReference w:id="4"/>
      </w:r>
      <w:r>
        <w:t xml:space="preserve"> UIF responded to OPC’s concerns in a letter dated </w:t>
      </w:r>
      <w:r w:rsidR="00462580">
        <w:t>March 2, 2016.</w:t>
      </w:r>
      <w:r w:rsidR="00462580">
        <w:rPr>
          <w:rStyle w:val="FootnoteReference"/>
        </w:rPr>
        <w:footnoteReference w:id="5"/>
      </w:r>
    </w:p>
    <w:p w:rsidR="00997B67" w:rsidRDefault="00997B67" w:rsidP="00B40EF5">
      <w:pPr>
        <w:pStyle w:val="BodyText"/>
      </w:pPr>
      <w:r>
        <w:t>An estimated 500 customers attended the 2 customer meetings held in New Port Richey</w:t>
      </w:r>
      <w:r w:rsidR="006E2FDE">
        <w:t xml:space="preserve"> (Pasco County)</w:t>
      </w:r>
      <w:r>
        <w:t xml:space="preserve"> on April 12, 2016, with 175 customers providing comments. No customers attended the meeting held on April 13, 2016, in Ocala </w:t>
      </w:r>
      <w:r w:rsidR="006604A4">
        <w:t>for the customers in</w:t>
      </w:r>
      <w:r>
        <w:t xml:space="preserve"> Marion and Seminole Counties.</w:t>
      </w:r>
    </w:p>
    <w:p w:rsidR="00443581" w:rsidRPr="00443581" w:rsidRDefault="00443581" w:rsidP="00B40EF5">
      <w:pPr>
        <w:pStyle w:val="BodyText"/>
      </w:pPr>
      <w:r w:rsidRPr="00443581">
        <w:t xml:space="preserve">UIF </w:t>
      </w:r>
      <w:r>
        <w:t>notified the Commission of its intent to file an application for a rate increase on April 28, 2016</w:t>
      </w:r>
      <w:r w:rsidR="00A4389D">
        <w:t>, for all regulated systems in Florida</w:t>
      </w:r>
      <w:r>
        <w:t>. Docket No. 160101-WS was assigned to the forthcoming proceeding.</w:t>
      </w:r>
      <w:r>
        <w:rPr>
          <w:rStyle w:val="FootnoteReference"/>
        </w:rPr>
        <w:footnoteReference w:id="6"/>
      </w:r>
      <w:r>
        <w:t xml:space="preserve"> The Minimum Filing Requirements are due </w:t>
      </w:r>
      <w:r w:rsidR="00824457">
        <w:t>no later than September 30, 2016</w:t>
      </w:r>
      <w:r w:rsidR="009935E2">
        <w:t>,</w:t>
      </w:r>
      <w:r w:rsidR="00824457">
        <w:t xml:space="preserve"> and will be based on a historic test year ended December 31, 2015.</w:t>
      </w:r>
    </w:p>
    <w:p w:rsidR="00B40EF5" w:rsidRDefault="00B40EF5" w:rsidP="00B40EF5">
      <w:pPr>
        <w:pStyle w:val="BodyText"/>
      </w:pPr>
      <w:r>
        <w:t xml:space="preserve">By letter dated June 8, 2016, UIF requested </w:t>
      </w:r>
      <w:r w:rsidRPr="0036529D">
        <w:t>that the por</w:t>
      </w:r>
      <w:r>
        <w:t xml:space="preserve">tion of this limited proceeding </w:t>
      </w:r>
      <w:r w:rsidRPr="0036529D">
        <w:t>addressing</w:t>
      </w:r>
      <w:r>
        <w:t xml:space="preserve"> a rate increase</w:t>
      </w:r>
      <w:r w:rsidRPr="0036529D">
        <w:t xml:space="preserve"> in </w:t>
      </w:r>
      <w:r>
        <w:t>Pasco</w:t>
      </w:r>
      <w:r w:rsidRPr="0036529D">
        <w:t xml:space="preserve"> Count</w:t>
      </w:r>
      <w:r>
        <w:t>y</w:t>
      </w:r>
      <w:r w:rsidRPr="0036529D">
        <w:t xml:space="preserve"> be bifurcate</w:t>
      </w:r>
      <w:r>
        <w:t xml:space="preserve">d from the portion addressing </w:t>
      </w:r>
      <w:r w:rsidRPr="0036529D">
        <w:t>rate increase</w:t>
      </w:r>
      <w:r>
        <w:t>s</w:t>
      </w:r>
      <w:r w:rsidRPr="0036529D">
        <w:t xml:space="preserve"> in </w:t>
      </w:r>
      <w:r>
        <w:t>Marion and Seminole Counties</w:t>
      </w:r>
      <w:r w:rsidRPr="0036529D">
        <w:t>.</w:t>
      </w:r>
      <w:r>
        <w:rPr>
          <w:rStyle w:val="FootnoteReference"/>
        </w:rPr>
        <w:footnoteReference w:id="7"/>
      </w:r>
      <w:r>
        <w:t xml:space="preserve"> OPC filed a response to UIF’s bifurcation request on June 13, 2016.</w:t>
      </w:r>
      <w:r>
        <w:rPr>
          <w:rStyle w:val="FootnoteReference"/>
        </w:rPr>
        <w:footnoteReference w:id="8"/>
      </w:r>
      <w:r>
        <w:t xml:space="preserve"> </w:t>
      </w:r>
      <w:r w:rsidR="00DB3A8E">
        <w:t>As a r</w:t>
      </w:r>
      <w:r w:rsidR="00FD1F17">
        <w:t xml:space="preserve">esult of the bifurcation, </w:t>
      </w:r>
      <w:r w:rsidR="00DB3A8E">
        <w:t xml:space="preserve">rate increases </w:t>
      </w:r>
      <w:r w:rsidR="00FD1F17">
        <w:t>were addressed</w:t>
      </w:r>
      <w:r w:rsidR="00DB3A8E">
        <w:t xml:space="preserve"> at the July 7, 2016 Commission Conference</w:t>
      </w:r>
      <w:r w:rsidR="00C608B5" w:rsidRPr="00C608B5">
        <w:t xml:space="preserve"> </w:t>
      </w:r>
      <w:r w:rsidR="00C608B5">
        <w:t xml:space="preserve">for Marion and Seminole Counties </w:t>
      </w:r>
      <w:r w:rsidR="00192F38">
        <w:t>only</w:t>
      </w:r>
      <w:r w:rsidR="00FD1F17">
        <w:t xml:space="preserve">. The Commission’s vote on the </w:t>
      </w:r>
      <w:r w:rsidR="00586D15">
        <w:t>limited proceeding</w:t>
      </w:r>
      <w:r w:rsidR="00FD1F17">
        <w:t xml:space="preserve"> for Marion and </w:t>
      </w:r>
      <w:r w:rsidR="00586D15">
        <w:t>Seminole Counties was</w:t>
      </w:r>
      <w:r w:rsidR="00FD1F17">
        <w:t xml:space="preserve"> codified in</w:t>
      </w:r>
      <w:r w:rsidR="00DB3A8E">
        <w:t xml:space="preserve"> Order No. PSC-16-0296-PAA-WS, issued July 27, 2016.</w:t>
      </w:r>
      <w:r w:rsidR="00DA309A">
        <w:t xml:space="preserve"> A consummating order was issued in Order No. PSC-16-0342-CO-WS on August 22, 2016.</w:t>
      </w:r>
    </w:p>
    <w:p w:rsidR="00DE5BEB" w:rsidRDefault="00586D15" w:rsidP="00B40EF5">
      <w:pPr>
        <w:pStyle w:val="BodyText"/>
      </w:pPr>
      <w:r>
        <w:lastRenderedPageBreak/>
        <w:t xml:space="preserve">In its initial filing, </w:t>
      </w:r>
      <w:r w:rsidR="00FD1F17">
        <w:t xml:space="preserve">UIF’s </w:t>
      </w:r>
      <w:r>
        <w:t xml:space="preserve">request </w:t>
      </w:r>
      <w:r w:rsidR="0006782B">
        <w:t>for Pasco County was separated into Phase I</w:t>
      </w:r>
      <w:r w:rsidR="00576454">
        <w:t xml:space="preserve"> regarding the loss of revenue associated with customer-installed irrigation wells,</w:t>
      </w:r>
      <w:r w:rsidR="0006782B">
        <w:t xml:space="preserve"> and Phase II</w:t>
      </w:r>
      <w:r w:rsidR="00576454">
        <w:t xml:space="preserve"> associated with UIF’s interconnection to Pasco County for bulk provision of water to UIF’s Summertree customers</w:t>
      </w:r>
      <w:r w:rsidR="0006782B">
        <w:t xml:space="preserve">. </w:t>
      </w:r>
      <w:r w:rsidR="002A6C5F">
        <w:t>By letter dated August 11, 2016, the Utility advised the Commission that it was wit</w:t>
      </w:r>
      <w:r w:rsidR="00FD1F17">
        <w:t>hdrawing its request for the Phase I</w:t>
      </w:r>
      <w:r w:rsidR="002A6C5F">
        <w:t xml:space="preserve"> rate i</w:t>
      </w:r>
      <w:r w:rsidR="00FD1F17">
        <w:t>ncrease for Pasco County</w:t>
      </w:r>
      <w:r w:rsidR="0039287E">
        <w:t xml:space="preserve"> to be deferred and considered later in the </w:t>
      </w:r>
      <w:r w:rsidR="00A855E4">
        <w:t>consolidated rate case</w:t>
      </w:r>
      <w:r w:rsidR="0039287E">
        <w:t xml:space="preserve"> docket</w:t>
      </w:r>
      <w:r w:rsidR="002A6C5F">
        <w:t>.</w:t>
      </w:r>
      <w:r w:rsidR="001522F0">
        <w:rPr>
          <w:rStyle w:val="FootnoteReference"/>
        </w:rPr>
        <w:footnoteReference w:id="9"/>
      </w:r>
      <w:r w:rsidR="002A6C5F">
        <w:t xml:space="preserve"> </w:t>
      </w:r>
      <w:r w:rsidR="006F22D4" w:rsidRPr="006F22D4">
        <w:t>On August 18, 2016, OPC submitted a letter</w:t>
      </w:r>
      <w:r w:rsidR="00531CF6">
        <w:t xml:space="preserve"> in this docket</w:t>
      </w:r>
      <w:r>
        <w:t xml:space="preserve"> requesting a</w:t>
      </w:r>
      <w:r w:rsidR="006F22D4">
        <w:t xml:space="preserve"> deferral of the decision to cons</w:t>
      </w:r>
      <w:r w:rsidR="00C92094">
        <w:t>ider any rate increase</w:t>
      </w:r>
      <w:r w:rsidR="00FD1F17">
        <w:t xml:space="preserve"> until (1) the actual amount of any Southwest Florida Water Management District </w:t>
      </w:r>
      <w:r w:rsidR="001230A7">
        <w:t xml:space="preserve">(SWFWMD) </w:t>
      </w:r>
      <w:r w:rsidR="00FD1F17">
        <w:t>grants have been taken into account; (2</w:t>
      </w:r>
      <w:r w:rsidR="006F22D4">
        <w:t>) any possible over</w:t>
      </w:r>
      <w:r w:rsidR="00FD1F17">
        <w:t>earnings have been evaluated; (3</w:t>
      </w:r>
      <w:r w:rsidR="006F22D4">
        <w:t>) any potential customer savings from the UIF consolida</w:t>
      </w:r>
      <w:r w:rsidR="00FD1F17">
        <w:t>tion have been evaluated; and (4</w:t>
      </w:r>
      <w:r w:rsidR="006F22D4">
        <w:t>) the quality of water service issues have been addressed and resolved.</w:t>
      </w:r>
      <w:r w:rsidR="00DE5BEB" w:rsidRPr="006F22D4">
        <w:rPr>
          <w:rStyle w:val="FootnoteReference"/>
        </w:rPr>
        <w:footnoteReference w:id="10"/>
      </w:r>
    </w:p>
    <w:p w:rsidR="0006782B" w:rsidRDefault="00824457" w:rsidP="00B40EF5">
      <w:pPr>
        <w:pStyle w:val="BodyText"/>
      </w:pPr>
      <w:r>
        <w:t xml:space="preserve">The </w:t>
      </w:r>
      <w:r w:rsidR="00C92094">
        <w:t xml:space="preserve">Phase I </w:t>
      </w:r>
      <w:r>
        <w:t>rate in</w:t>
      </w:r>
      <w:r w:rsidR="00C92094">
        <w:t xml:space="preserve">crease for Pasco County </w:t>
      </w:r>
      <w:r>
        <w:t xml:space="preserve">will be addressed in the forthcoming rate case in Docket No. 160101-WS. </w:t>
      </w:r>
      <w:r w:rsidR="002A6C5F">
        <w:t xml:space="preserve">This recommendation </w:t>
      </w:r>
      <w:r w:rsidR="00586D15">
        <w:t xml:space="preserve">only </w:t>
      </w:r>
      <w:r w:rsidR="0006782B">
        <w:t>addresses</w:t>
      </w:r>
      <w:r w:rsidR="00586D15">
        <w:t xml:space="preserve"> </w:t>
      </w:r>
      <w:r w:rsidR="0006782B">
        <w:t xml:space="preserve">the </w:t>
      </w:r>
      <w:r w:rsidR="00C92094">
        <w:t>requested</w:t>
      </w:r>
      <w:r w:rsidR="0006782B">
        <w:t xml:space="preserve"> Phase II </w:t>
      </w:r>
      <w:r w:rsidR="002A6C5F">
        <w:t xml:space="preserve">rate </w:t>
      </w:r>
      <w:r w:rsidR="004E4B2A">
        <w:t>increase</w:t>
      </w:r>
      <w:r w:rsidR="00C92094">
        <w:t xml:space="preserve"> directly related to the interconnection w</w:t>
      </w:r>
      <w:r w:rsidR="00C608B5">
        <w:t xml:space="preserve">ith Pasco County to address </w:t>
      </w:r>
      <w:r w:rsidR="00C92094">
        <w:t>water quality issues.</w:t>
      </w:r>
    </w:p>
    <w:p w:rsidR="00B40EF5" w:rsidRDefault="00B40EF5" w:rsidP="00B40EF5">
      <w:pPr>
        <w:pStyle w:val="BodyText"/>
      </w:pPr>
      <w:r>
        <w:t>The Commission has jurisdiction pursuant to Sections 367.081</w:t>
      </w:r>
      <w:r w:rsidR="009C3610">
        <w:t xml:space="preserve"> </w:t>
      </w:r>
      <w:r>
        <w:t>and 367.0822, Florida Statutes (F.S.).</w:t>
      </w:r>
    </w:p>
    <w:bookmarkEnd w:id="11"/>
    <w:p w:rsidR="00EA2273" w:rsidRDefault="00EA2273" w:rsidP="00A21923">
      <w:pPr>
        <w:pStyle w:val="RecommendationMajorSectionHeading"/>
        <w:jc w:val="left"/>
        <w:sectPr w:rsidR="00EA2273">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8472B2" w:rsidRDefault="007C0528" w:rsidP="008472B2">
      <w:pPr>
        <w:pStyle w:val="RecommendationMajorSectionHeading"/>
      </w:pPr>
      <w:bookmarkStart w:id="15" w:name="DiscussionOfIssues"/>
      <w:r>
        <w:t>Discussion of Issues</w:t>
      </w:r>
      <w:bookmarkEnd w:id="15"/>
    </w:p>
    <w:p w:rsidR="00001E17" w:rsidRDefault="00001E17">
      <w:pPr>
        <w:pStyle w:val="IssueHeading"/>
        <w:rPr>
          <w:vanish/>
          <w:specVanish/>
        </w:rPr>
      </w:pPr>
      <w:r w:rsidRPr="004C3641">
        <w:t xml:space="preserve">Issue </w:t>
      </w:r>
      <w:fldSimple w:instr=" SEQ Issue \* MERGEFORMAT ">
        <w:r w:rsidR="00AF2F3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F2F30">
        <w:rPr>
          <w:noProof/>
        </w:rPr>
        <w:instrText>1</w:instrText>
      </w:r>
      <w:r>
        <w:fldChar w:fldCharType="end"/>
      </w:r>
      <w:r>
        <w:tab/>
        <w:instrText xml:space="preserve">" \l 1 </w:instrText>
      </w:r>
      <w:r>
        <w:fldChar w:fldCharType="end"/>
      </w:r>
      <w:r>
        <w:t> </w:t>
      </w:r>
    </w:p>
    <w:p w:rsidR="00001E17" w:rsidRDefault="00001E17">
      <w:pPr>
        <w:pStyle w:val="BodyText"/>
      </w:pPr>
      <w:r>
        <w:t xml:space="preserve"> Should the Utility's requested increase </w:t>
      </w:r>
      <w:r w:rsidR="00045898">
        <w:t>associated with the Pasco County</w:t>
      </w:r>
      <w:r w:rsidR="00A855E4">
        <w:t xml:space="preserve"> Interconnect Phase II</w:t>
      </w:r>
      <w:r w:rsidR="00045898">
        <w:t xml:space="preserve"> </w:t>
      </w:r>
      <w:r>
        <w:t>be approved?</w:t>
      </w:r>
    </w:p>
    <w:p w:rsidR="00001E17" w:rsidRPr="004C3641" w:rsidRDefault="00001E17">
      <w:pPr>
        <w:pStyle w:val="IssueSubsectionHeading"/>
        <w:rPr>
          <w:vanish/>
          <w:specVanish/>
        </w:rPr>
      </w:pPr>
      <w:r w:rsidRPr="004C3641">
        <w:t>Recommendation: </w:t>
      </w:r>
    </w:p>
    <w:p w:rsidR="008624F2" w:rsidRDefault="00586D15" w:rsidP="008624F2">
      <w:pPr>
        <w:pStyle w:val="BodyText"/>
      </w:pPr>
      <w:r>
        <w:t> </w:t>
      </w:r>
      <w:r w:rsidR="00A855E4">
        <w:t xml:space="preserve">Yes, as modified by staff. </w:t>
      </w:r>
    </w:p>
    <w:p w:rsidR="0003183D" w:rsidRDefault="00586D15" w:rsidP="008624F2">
      <w:pPr>
        <w:pStyle w:val="BodyText"/>
        <w:numPr>
          <w:ilvl w:val="0"/>
          <w:numId w:val="12"/>
        </w:numPr>
      </w:pPr>
      <w:r>
        <w:t>T</w:t>
      </w:r>
      <w:r w:rsidR="00001E17">
        <w:t xml:space="preserve">he Commission should approve a water rate increase of </w:t>
      </w:r>
      <w:r w:rsidR="00D567A1">
        <w:t>$4</w:t>
      </w:r>
      <w:r w:rsidR="00F854FA">
        <w:t>6,944</w:t>
      </w:r>
      <w:r w:rsidR="00BA625B" w:rsidRPr="00BA625B">
        <w:t xml:space="preserve"> (or </w:t>
      </w:r>
      <w:r w:rsidR="00D567A1">
        <w:t>5.</w:t>
      </w:r>
      <w:r w:rsidR="00F854FA">
        <w:t>3</w:t>
      </w:r>
      <w:r w:rsidR="00D567A1">
        <w:t>5</w:t>
      </w:r>
      <w:r w:rsidR="00001E17">
        <w:t xml:space="preserve"> percent) for Pasco County Phase II. </w:t>
      </w:r>
    </w:p>
    <w:p w:rsidR="008624F2" w:rsidRDefault="00305590" w:rsidP="0003183D">
      <w:pPr>
        <w:pStyle w:val="BodyText"/>
        <w:numPr>
          <w:ilvl w:val="0"/>
          <w:numId w:val="12"/>
        </w:numPr>
      </w:pPr>
      <w:r w:rsidRPr="006F22D4">
        <w:t xml:space="preserve">In addition, the estimated $200,000 net cost to retire the abandoned wells should be reviewed in the forthcoming </w:t>
      </w:r>
      <w:r w:rsidR="00692D77" w:rsidRPr="006F22D4">
        <w:t xml:space="preserve">consolidated </w:t>
      </w:r>
      <w:r w:rsidRPr="006F22D4">
        <w:t>rate case in Docket No. 160161-WS.</w:t>
      </w:r>
      <w:r>
        <w:t xml:space="preserve"> </w:t>
      </w:r>
    </w:p>
    <w:p w:rsidR="008624F2" w:rsidRDefault="00A855E4" w:rsidP="0003183D">
      <w:pPr>
        <w:pStyle w:val="BodyText"/>
        <w:numPr>
          <w:ilvl w:val="0"/>
          <w:numId w:val="12"/>
        </w:numPr>
      </w:pPr>
      <w:r>
        <w:t xml:space="preserve">Further, </w:t>
      </w:r>
      <w:r w:rsidR="006759E0">
        <w:t>UIF should be directed to provide seco</w:t>
      </w:r>
      <w:r w:rsidR="00093D27">
        <w:t>ndary water quality results for</w:t>
      </w:r>
      <w:r w:rsidR="006759E0">
        <w:t xml:space="preserve"> portions of its Summertree distribution system at least every six months. </w:t>
      </w:r>
      <w:r w:rsidR="00C92094" w:rsidRPr="00C87019">
        <w:t xml:space="preserve">Samples should be taken from the same sites labeled “nearby system site” </w:t>
      </w:r>
      <w:r w:rsidR="00C92094">
        <w:t>shown in Appendix A of the CPH Engineering R</w:t>
      </w:r>
      <w:r w:rsidR="00C92094" w:rsidRPr="00C87019">
        <w:t>eport for consistency purposes. Such results should be filed with the Commission for informational purposes.</w:t>
      </w:r>
      <w:r w:rsidR="00C92094">
        <w:t xml:space="preserve"> </w:t>
      </w:r>
      <w:r w:rsidR="008D2D4A" w:rsidRPr="008D2D4A">
        <w:rPr>
          <w:bCs/>
        </w:rPr>
        <w:t>The first report should be filed no later than two months after the completion of the interconnection with Pasco County.</w:t>
      </w:r>
      <w:r w:rsidR="008D2D4A" w:rsidRPr="008D2D4A">
        <w:t xml:space="preserve"> </w:t>
      </w:r>
    </w:p>
    <w:p w:rsidR="00001E17" w:rsidRDefault="007318E1" w:rsidP="0003183D">
      <w:pPr>
        <w:pStyle w:val="BodyText"/>
        <w:numPr>
          <w:ilvl w:val="0"/>
          <w:numId w:val="12"/>
        </w:numPr>
      </w:pPr>
      <w:r w:rsidRPr="00EA2139">
        <w:t>Pursuant to Order No. PSC-14-0025-PAA-WS,</w:t>
      </w:r>
      <w:r w:rsidRPr="00EA2139">
        <w:rPr>
          <w:vertAlign w:val="superscript"/>
        </w:rPr>
        <w:t xml:space="preserve"> </w:t>
      </w:r>
      <w:r w:rsidRPr="00EA2139">
        <w:t xml:space="preserve">the 100-basis point reduction in return on equity </w:t>
      </w:r>
      <w:r w:rsidR="000E1A9C">
        <w:t xml:space="preserve">and water testing requirement </w:t>
      </w:r>
      <w:r w:rsidRPr="00EA2139">
        <w:t>should remain in plac</w:t>
      </w:r>
      <w:r>
        <w:t>e</w:t>
      </w:r>
      <w:r w:rsidRPr="006759E0">
        <w:t xml:space="preserve"> </w:t>
      </w:r>
      <w:r w:rsidRPr="00EA2139">
        <w:t>until the water quality is deemed satisfactory by the Commission.</w:t>
      </w:r>
      <w:r>
        <w:t xml:space="preserve"> </w:t>
      </w:r>
      <w:r w:rsidR="00001E17">
        <w:t>(Slemkewicz, Mtenga</w:t>
      </w:r>
      <w:r w:rsidR="00547019">
        <w:t>, Hudson</w:t>
      </w:r>
      <w:r w:rsidR="00001E17">
        <w:t xml:space="preserve">) </w:t>
      </w:r>
    </w:p>
    <w:p w:rsidR="00001E17" w:rsidRPr="004C3641" w:rsidRDefault="00001E17">
      <w:pPr>
        <w:pStyle w:val="IssueSubsectionHeading"/>
        <w:rPr>
          <w:vanish/>
          <w:specVanish/>
        </w:rPr>
      </w:pPr>
      <w:r w:rsidRPr="004C3641">
        <w:t>Staff Analysis: </w:t>
      </w:r>
    </w:p>
    <w:p w:rsidR="00001E17" w:rsidRDefault="00001E17">
      <w:pPr>
        <w:pStyle w:val="BodyText"/>
      </w:pPr>
      <w:r>
        <w:t> </w:t>
      </w:r>
      <w:r w:rsidR="009321B9">
        <w:t>As a result of UIF’s withdrawal of its Pasco County Phase I request, s</w:t>
      </w:r>
      <w:r w:rsidR="00C40753">
        <w:t>taff has modified</w:t>
      </w:r>
      <w:r w:rsidR="00702E0B">
        <w:t xml:space="preserve"> the Utility’s original request</w:t>
      </w:r>
      <w:r w:rsidR="00C40753">
        <w:t xml:space="preserve"> for </w:t>
      </w:r>
      <w:r w:rsidR="00586D15">
        <w:t>Pasco County Phase II to recognize</w:t>
      </w:r>
      <w:r w:rsidR="00C40753">
        <w:t xml:space="preserve"> rate case expense in operating expense</w:t>
      </w:r>
      <w:r w:rsidR="00540612">
        <w:t>. Staff also</w:t>
      </w:r>
      <w:r w:rsidR="00C40753">
        <w:t xml:space="preserve"> reduce</w:t>
      </w:r>
      <w:r w:rsidR="00540612">
        <w:t>d</w:t>
      </w:r>
      <w:r w:rsidR="00C40753">
        <w:t xml:space="preserve"> the annualized revenues to reflect</w:t>
      </w:r>
      <w:r w:rsidR="00586D15">
        <w:t xml:space="preserve"> the effects of the loss of </w:t>
      </w:r>
      <w:r w:rsidR="00C40753">
        <w:t>irrigation customers</w:t>
      </w:r>
      <w:r w:rsidR="009321B9">
        <w:t>. Accordingly</w:t>
      </w:r>
      <w:r w:rsidR="00C40753">
        <w:t xml:space="preserve">, the </w:t>
      </w:r>
      <w:r w:rsidR="0077432F">
        <w:t xml:space="preserve">requested </w:t>
      </w:r>
      <w:r w:rsidR="00C40753">
        <w:t xml:space="preserve">rate increase is </w:t>
      </w:r>
      <w:r w:rsidR="007A6806">
        <w:t>$52,547 (or 6.05 percent)</w:t>
      </w:r>
      <w:r w:rsidR="003147ED">
        <w:t xml:space="preserve"> as shown on Schedule No. 1</w:t>
      </w:r>
      <w:r w:rsidR="007A6806">
        <w:t>. S</w:t>
      </w:r>
      <w:r w:rsidR="00C40753">
        <w:t>taff’s analysis is based on</w:t>
      </w:r>
      <w:r w:rsidR="0077789F">
        <w:t xml:space="preserve"> the</w:t>
      </w:r>
      <w:r w:rsidR="00C40753">
        <w:t xml:space="preserve"> modified amounts.</w:t>
      </w:r>
      <w:r w:rsidR="00270FEA">
        <w:t xml:space="preserve"> However, with regard to UIF’s calculated </w:t>
      </w:r>
      <w:r w:rsidR="00270FEA">
        <w:t>rate increase of $52,547 (or 6.05 percent) for Pasco County Phase</w:t>
      </w:r>
      <w:r w:rsidR="00270FEA">
        <w:t xml:space="preserve"> II, s</w:t>
      </w:r>
      <w:r w:rsidR="00270FEA">
        <w:t>taff would note that the Utility made one error in its calculation of the income subject to state and federal income taxes. In calculating the taxable income amount, UIF multiplied the decreased rate base amount by the total overall ROR of 8.03 percent. The proper calculation would be to multiply the decreased rate base amount by only the common equity weighted cost component of the ROR. In its calculation, staff used a common equity weighted cost component of 4.41 percent rather than the total overall ROR of 7.22 percent. Based on its adjustments, staff has calculated a water rate increase of $46,994 (or 5.35 percent) for Pasco County Phase II as shown in Schedule No. 1.</w:t>
      </w:r>
    </w:p>
    <w:p w:rsidR="00BA625B" w:rsidRDefault="00BA625B" w:rsidP="00BA625B">
      <w:pPr>
        <w:pStyle w:val="First-LevelSubheading"/>
      </w:pPr>
      <w:r>
        <w:t>Rate Base</w:t>
      </w:r>
    </w:p>
    <w:p w:rsidR="00BA625B" w:rsidRPr="00BA625B" w:rsidRDefault="00C40753" w:rsidP="00BA625B">
      <w:pPr>
        <w:pStyle w:val="BodyText"/>
      </w:pPr>
      <w:r>
        <w:t>T</w:t>
      </w:r>
      <w:r w:rsidR="00595028">
        <w:t>he Utility requested a rate base reduction of $356,579 to reflect the abandonment of water wells in Pasco County</w:t>
      </w:r>
      <w:r w:rsidR="00C35854">
        <w:t xml:space="preserve"> Phase II</w:t>
      </w:r>
      <w:r w:rsidR="00595028">
        <w:t>. The rate base componen</w:t>
      </w:r>
      <w:r w:rsidR="0004383F">
        <w:t>ts were Retirements</w:t>
      </w:r>
      <w:r w:rsidR="00595028">
        <w:t xml:space="preserve"> and Cash Working Capital.</w:t>
      </w:r>
    </w:p>
    <w:p w:rsidR="00BA625B" w:rsidRDefault="0004383F" w:rsidP="00BA625B">
      <w:pPr>
        <w:pStyle w:val="Second-LevelSubheading"/>
      </w:pPr>
      <w:r>
        <w:t>Retirements</w:t>
      </w:r>
    </w:p>
    <w:p w:rsidR="00C87019" w:rsidRDefault="0004383F" w:rsidP="00C87019">
      <w:pPr>
        <w:pStyle w:val="BodyText"/>
      </w:pPr>
      <w:r w:rsidRPr="0004383F">
        <w:t>In its filing,</w:t>
      </w:r>
      <w:r>
        <w:t xml:space="preserve"> UIF reduced rate base by </w:t>
      </w:r>
      <w:r w:rsidR="00C87019">
        <w:t xml:space="preserve">the net book value of </w:t>
      </w:r>
      <w:r>
        <w:t xml:space="preserve">$363,697 for the retirement of the abandoned wells. </w:t>
      </w:r>
    </w:p>
    <w:p w:rsidR="00C87019" w:rsidRPr="00C87019" w:rsidRDefault="00765A18" w:rsidP="00C87019">
      <w:pPr>
        <w:pStyle w:val="BodyText"/>
      </w:pPr>
      <w:r>
        <w:t>By</w:t>
      </w:r>
      <w:r w:rsidR="00C87019" w:rsidRPr="00C87019">
        <w:t xml:space="preserve"> Order </w:t>
      </w:r>
      <w:r w:rsidR="006F22D4">
        <w:t xml:space="preserve">No. </w:t>
      </w:r>
      <w:r w:rsidR="00706090">
        <w:t>PSC-</w:t>
      </w:r>
      <w:r w:rsidR="00C87019" w:rsidRPr="00C87019">
        <w:t>14-0025-PAA-WS</w:t>
      </w:r>
      <w:r w:rsidR="006F22D4">
        <w:t xml:space="preserve"> (2014 Order)</w:t>
      </w:r>
      <w:r w:rsidR="00C87019" w:rsidRPr="00C87019">
        <w:t xml:space="preserve">, the Commission found the quality of water in the Summertree water system to be unsatisfactory and ordered that the revenue requirement for the Summertree water system be subject to a </w:t>
      </w:r>
      <w:r w:rsidR="006F22D4">
        <w:t>100-</w:t>
      </w:r>
      <w:r w:rsidR="00C87019">
        <w:t>basis point reduction in return on equity</w:t>
      </w:r>
      <w:r w:rsidR="00C87019" w:rsidRPr="00C87019">
        <w:t xml:space="preserve"> (or approximately $23,115</w:t>
      </w:r>
      <w:r w:rsidR="007D5406">
        <w:t xml:space="preserve"> annually</w:t>
      </w:r>
      <w:r w:rsidR="00C87019" w:rsidRPr="00C87019">
        <w:t>)</w:t>
      </w:r>
      <w:r w:rsidR="00C87019">
        <w:t xml:space="preserve"> until the Utility demonstrated that the water quality had</w:t>
      </w:r>
      <w:r w:rsidR="00C87019" w:rsidRPr="00C87019">
        <w:t xml:space="preserve"> been restored to the point where it is deemed satisfactory by this Commission</w:t>
      </w:r>
      <w:r w:rsidR="00EC3257">
        <w:t>.</w:t>
      </w:r>
      <w:r w:rsidR="00C87019" w:rsidRPr="00C87019">
        <w:rPr>
          <w:vertAlign w:val="superscript"/>
        </w:rPr>
        <w:footnoteReference w:id="11"/>
      </w:r>
      <w:r w:rsidR="00C87019" w:rsidRPr="00C87019">
        <w:t xml:space="preserve"> To address the water quality issues, the Commission ordered several future actions that would need to be taken by the Utilit</w:t>
      </w:r>
      <w:r w:rsidR="00706090">
        <w:t>y to satisfy the concerns of its</w:t>
      </w:r>
      <w:r w:rsidR="00C87019" w:rsidRPr="00C87019">
        <w:t xml:space="preserve"> customers:</w:t>
      </w:r>
    </w:p>
    <w:p w:rsidR="00C87019" w:rsidRPr="00C87019" w:rsidRDefault="00C87019" w:rsidP="00C87019">
      <w:pPr>
        <w:pStyle w:val="BodyText"/>
        <w:numPr>
          <w:ilvl w:val="0"/>
          <w:numId w:val="11"/>
        </w:numPr>
      </w:pPr>
      <w:r w:rsidRPr="00C87019">
        <w:t>Coordinate with the OPC to develop a customer engagement plan</w:t>
      </w:r>
      <w:r>
        <w:t>;</w:t>
      </w:r>
      <w:r w:rsidRPr="00C87019">
        <w:t xml:space="preserve"> </w:t>
      </w:r>
    </w:p>
    <w:p w:rsidR="00C87019" w:rsidRPr="00C87019" w:rsidRDefault="00235359" w:rsidP="00C87019">
      <w:pPr>
        <w:pStyle w:val="BodyText"/>
        <w:numPr>
          <w:ilvl w:val="0"/>
          <w:numId w:val="11"/>
        </w:numPr>
      </w:pPr>
      <w:r>
        <w:t>i</w:t>
      </w:r>
      <w:r w:rsidR="00C87019" w:rsidRPr="00C87019">
        <w:t>dentify suitable treatment options to address the secondary water quality issues including an estimated rate impact to customers</w:t>
      </w:r>
      <w:r w:rsidR="00C87019">
        <w:t>;</w:t>
      </w:r>
      <w:r w:rsidR="00C87019" w:rsidRPr="00C87019">
        <w:t xml:space="preserve"> </w:t>
      </w:r>
    </w:p>
    <w:p w:rsidR="00C87019" w:rsidRPr="00C87019" w:rsidRDefault="00235359" w:rsidP="00C87019">
      <w:pPr>
        <w:pStyle w:val="BodyText"/>
        <w:numPr>
          <w:ilvl w:val="0"/>
          <w:numId w:val="11"/>
        </w:numPr>
      </w:pPr>
      <w:r>
        <w:t>c</w:t>
      </w:r>
      <w:r w:rsidR="00C87019" w:rsidRPr="00C87019">
        <w:t>onsider the cost and feasibility of connecting to the Pasco County water system with the purchase of bulk water from the County</w:t>
      </w:r>
      <w:r w:rsidR="00C87019">
        <w:t>; and</w:t>
      </w:r>
    </w:p>
    <w:p w:rsidR="00C87019" w:rsidRPr="00C87019" w:rsidRDefault="00235359" w:rsidP="00C87019">
      <w:pPr>
        <w:pStyle w:val="BodyText"/>
        <w:numPr>
          <w:ilvl w:val="0"/>
          <w:numId w:val="11"/>
        </w:numPr>
      </w:pPr>
      <w:r>
        <w:t>p</w:t>
      </w:r>
      <w:r w:rsidR="00C87019" w:rsidRPr="00C87019">
        <w:t>resent options to Summertree customers and conduct a survey to determine customer preferences</w:t>
      </w:r>
      <w:r w:rsidR="00C87019">
        <w:t>.</w:t>
      </w:r>
      <w:r w:rsidR="00C87019" w:rsidRPr="00C87019">
        <w:t xml:space="preserve"> </w:t>
      </w:r>
    </w:p>
    <w:p w:rsidR="00C87019" w:rsidRPr="00C87019" w:rsidRDefault="006F22D4" w:rsidP="00C87019">
      <w:pPr>
        <w:pStyle w:val="BodyText"/>
      </w:pPr>
      <w:r>
        <w:t>As directed by the 2014 O</w:t>
      </w:r>
      <w:r w:rsidR="00C87019" w:rsidRPr="00C87019">
        <w:t xml:space="preserve">rder, OPC, who was the facilitator, coordinated community meetings between </w:t>
      </w:r>
      <w:r w:rsidR="00C87019">
        <w:t>the U</w:t>
      </w:r>
      <w:r w:rsidR="00C87019" w:rsidRPr="00C87019">
        <w:t xml:space="preserve">tility and Summertree residents beginning in January 2014. A total of 30 meetings were held from 2014 through 2016 </w:t>
      </w:r>
      <w:r w:rsidR="00A652E0">
        <w:t xml:space="preserve">in a group consisting of </w:t>
      </w:r>
      <w:r w:rsidR="00C87019" w:rsidRPr="00C87019">
        <w:t xml:space="preserve">representatives of </w:t>
      </w:r>
      <w:r w:rsidR="00706090">
        <w:t xml:space="preserve">the </w:t>
      </w:r>
      <w:r w:rsidR="00C87019" w:rsidRPr="00C87019">
        <w:t>Summertree residents, the Utility, OPC and in some instances Pasco County Commissioners and/or Florida State Legislators. OPC</w:t>
      </w:r>
      <w:r w:rsidR="0055070D" w:rsidRPr="0055070D">
        <w:t xml:space="preserve"> </w:t>
      </w:r>
      <w:r w:rsidR="00E570EB">
        <w:t>compiled thorough minutes of</w:t>
      </w:r>
      <w:r w:rsidR="0055070D" w:rsidRPr="00C87019">
        <w:t xml:space="preserve"> the meetings</w:t>
      </w:r>
      <w:r w:rsidR="0055070D">
        <w:t xml:space="preserve"> and</w:t>
      </w:r>
      <w:r w:rsidR="00C87019" w:rsidRPr="00C87019">
        <w:t xml:space="preserve"> provided periodic </w:t>
      </w:r>
      <w:r w:rsidR="0055070D">
        <w:t>updates to Commission staff</w:t>
      </w:r>
      <w:r w:rsidR="00C87019" w:rsidRPr="00C87019">
        <w:t xml:space="preserve">.  </w:t>
      </w:r>
    </w:p>
    <w:p w:rsidR="00C87019" w:rsidRPr="00C87019" w:rsidRDefault="0055070D" w:rsidP="00C87019">
      <w:pPr>
        <w:pStyle w:val="BodyText"/>
      </w:pPr>
      <w:r>
        <w:t xml:space="preserve">On </w:t>
      </w:r>
      <w:r w:rsidR="00C87019" w:rsidRPr="00C87019">
        <w:t>April 28, 2014</w:t>
      </w:r>
      <w:r w:rsidR="0003594D">
        <w:t xml:space="preserve">, a </w:t>
      </w:r>
      <w:r w:rsidR="00C87019" w:rsidRPr="00C87019">
        <w:t>meeting</w:t>
      </w:r>
      <w:r w:rsidR="0003594D">
        <w:t xml:space="preserve"> was held to discuss </w:t>
      </w:r>
      <w:r w:rsidR="00C87019" w:rsidRPr="00C87019">
        <w:t>the treatment alternatives analysis report prepared by CPH Engineering (CPH Report)</w:t>
      </w:r>
      <w:r w:rsidR="00C87019" w:rsidRPr="00C87019">
        <w:rPr>
          <w:vertAlign w:val="superscript"/>
        </w:rPr>
        <w:footnoteReference w:id="12"/>
      </w:r>
      <w:r w:rsidR="00C87019" w:rsidRPr="00C87019">
        <w:t xml:space="preserve"> </w:t>
      </w:r>
      <w:r w:rsidR="0003594D">
        <w:t xml:space="preserve">that </w:t>
      </w:r>
      <w:r w:rsidR="00C87019" w:rsidRPr="00C87019">
        <w:t>was s</w:t>
      </w:r>
      <w:r w:rsidR="005D4DB3">
        <w:t>ubmitted</w:t>
      </w:r>
      <w:r w:rsidR="0095341C">
        <w:t xml:space="preserve"> by UIF</w:t>
      </w:r>
      <w:r w:rsidR="005D4DB3">
        <w:t xml:space="preserve"> to the group. The CPH R</w:t>
      </w:r>
      <w:r w:rsidR="00C87019" w:rsidRPr="00C87019">
        <w:t>eport outlined three possible soluti</w:t>
      </w:r>
      <w:r w:rsidR="00586D15">
        <w:t>ons to the water quality issues:</w:t>
      </w:r>
      <w:r w:rsidR="00C87019" w:rsidRPr="00C87019">
        <w:t xml:space="preserve"> construction of a centralized water treatment plant with upgraded t</w:t>
      </w:r>
      <w:r w:rsidR="00586D15">
        <w:t>reatment;</w:t>
      </w:r>
      <w:r w:rsidR="00C87019" w:rsidRPr="00C87019">
        <w:t xml:space="preserve"> upgraded wa</w:t>
      </w:r>
      <w:r w:rsidR="00586D15">
        <w:t>ter treatment at each well site;</w:t>
      </w:r>
      <w:r w:rsidR="00C87019" w:rsidRPr="00C87019">
        <w:t xml:space="preserve"> or interconnection with Pasco County. As note</w:t>
      </w:r>
      <w:r w:rsidR="005D4DB3">
        <w:t>d on pages 8 and 10 of the CPH R</w:t>
      </w:r>
      <w:r w:rsidR="00C87019" w:rsidRPr="00C87019">
        <w:t xml:space="preserve">eport, the elevated color concentrations in the distribution system were most likely due to </w:t>
      </w:r>
      <w:r w:rsidR="00E570EB">
        <w:t xml:space="preserve">the </w:t>
      </w:r>
      <w:r w:rsidR="00C87019" w:rsidRPr="00C87019">
        <w:t xml:space="preserve">buildup of </w:t>
      </w:r>
      <w:r w:rsidR="005D4DB3">
        <w:t>biomass. Specifically, the CPH R</w:t>
      </w:r>
      <w:r w:rsidR="00C87019" w:rsidRPr="00C87019">
        <w:t>eport recommended that prior to any treatment modifications, the Utility</w:t>
      </w:r>
      <w:r w:rsidR="00586D15">
        <w:t xml:space="preserve"> should</w:t>
      </w:r>
      <w:r w:rsidR="00C87019" w:rsidRPr="00C87019">
        <w:t xml:space="preserve"> “thoroughly flush the distributi</w:t>
      </w:r>
      <w:r w:rsidR="00635C3C">
        <w:t>on system to remove any [possible]</w:t>
      </w:r>
      <w:r w:rsidR="00C87019" w:rsidRPr="00C87019">
        <w:t xml:space="preserve"> biomass in the system and repeat the flushing proce</w:t>
      </w:r>
      <w:r w:rsidR="005D4DB3">
        <w:t>ss at least annually.” The CPH R</w:t>
      </w:r>
      <w:r w:rsidR="00C87019" w:rsidRPr="00C87019">
        <w:t>eport also indicated that interconnecting with Pasco County would require the Utility to decommission its four production wells and each of their associated water treatment facilities to conform to the rules and regulations of the Southwest Flor</w:t>
      </w:r>
      <w:r w:rsidR="00C87019">
        <w:t xml:space="preserve">ida Water Management District. The </w:t>
      </w:r>
      <w:r w:rsidR="007966F6">
        <w:t>CPH</w:t>
      </w:r>
      <w:r w:rsidR="005D4DB3">
        <w:t xml:space="preserve"> R</w:t>
      </w:r>
      <w:r w:rsidR="00C87019">
        <w:t>eport concluded that the interconnection was</w:t>
      </w:r>
      <w:r w:rsidR="00C87019" w:rsidRPr="00C87019">
        <w:t xml:space="preserve"> the lowest cost option that would provide improved water quality with respect to</w:t>
      </w:r>
      <w:r w:rsidR="005D4DB3">
        <w:t xml:space="preserve"> iron, odor and color. The CPH R</w:t>
      </w:r>
      <w:r w:rsidR="00C87019" w:rsidRPr="00C87019">
        <w:t xml:space="preserve">eport ultimately recommended </w:t>
      </w:r>
      <w:r w:rsidR="00C87019">
        <w:t xml:space="preserve">that </w:t>
      </w:r>
      <w:r w:rsidR="00C87019" w:rsidRPr="00C87019">
        <w:t xml:space="preserve">“Utilities Inc. of Florida pursue a potable water interconnection with Pasco County, including a thorough cleaning of the distribution system.” </w:t>
      </w:r>
    </w:p>
    <w:p w:rsidR="005E766D" w:rsidRPr="005E766D" w:rsidRDefault="00C87019" w:rsidP="00C87019">
      <w:pPr>
        <w:pStyle w:val="BodyText"/>
        <w:rPr>
          <w:caps/>
        </w:rPr>
      </w:pPr>
      <w:r w:rsidRPr="00C87019">
        <w:t>In accorda</w:t>
      </w:r>
      <w:r w:rsidR="006E2253">
        <w:t>nce with the 2014 O</w:t>
      </w:r>
      <w:r w:rsidRPr="00C87019">
        <w:t xml:space="preserve">rder, OPC coordinated subsequent meetings between the Utility and representatives of Summertree residents to discuss the different options, </w:t>
      </w:r>
      <w:r w:rsidR="00355553">
        <w:t>with UIF ultimately proposing</w:t>
      </w:r>
      <w:r w:rsidRPr="00C87019">
        <w:t xml:space="preserve"> the recommendation of the Pasco County Interconnection. To solicit customer input</w:t>
      </w:r>
      <w:r>
        <w:t>,</w:t>
      </w:r>
      <w:r w:rsidRPr="00C87019">
        <w:t xml:space="preserve"> OPC organized a survey ballot, the language of which was finalized in January 2016. </w:t>
      </w:r>
      <w:r>
        <w:t>The ballot asked the residents whether Summertree should interconnect with Pasco County and to rate the quality of water service provided by UIF.</w:t>
      </w:r>
      <w:r w:rsidR="00FE2213">
        <w:t xml:space="preserve"> B</w:t>
      </w:r>
      <w:r w:rsidR="00AC598A">
        <w:t xml:space="preserve">allots were mailed </w:t>
      </w:r>
      <w:r w:rsidRPr="00C87019">
        <w:t xml:space="preserve">to </w:t>
      </w:r>
      <w:r w:rsidR="00D52A69">
        <w:t xml:space="preserve">approximately </w:t>
      </w:r>
      <w:r w:rsidR="00132EE3" w:rsidRPr="00132EE3">
        <w:t>1,172</w:t>
      </w:r>
      <w:r w:rsidR="00D52A69" w:rsidRPr="00132EE3">
        <w:t xml:space="preserve"> </w:t>
      </w:r>
      <w:r w:rsidR="006E2253">
        <w:t xml:space="preserve">customers in March </w:t>
      </w:r>
      <w:r w:rsidRPr="00C87019">
        <w:t xml:space="preserve">2016. A total of </w:t>
      </w:r>
      <w:r w:rsidRPr="005F6911">
        <w:t xml:space="preserve">876 </w:t>
      </w:r>
      <w:r w:rsidR="00E13C95" w:rsidRPr="005F6911">
        <w:t xml:space="preserve">valid </w:t>
      </w:r>
      <w:r w:rsidRPr="00C87019">
        <w:t xml:space="preserve">survey responses were returned with 830 of the residents voting in favor of the interconnection and 746 rating the quality of service as unsatisfactory. </w:t>
      </w:r>
      <w:r w:rsidR="005E766D">
        <w:t>As noted in the case background, 175 customers provided comments at the April 12, 2016 customer meetings. The majority of the comments focused on the unsatisfactory quality of service provided by UIF.</w:t>
      </w:r>
    </w:p>
    <w:p w:rsidR="00BA625B" w:rsidRDefault="00C87019" w:rsidP="00C87019">
      <w:pPr>
        <w:pStyle w:val="BodyText"/>
      </w:pPr>
      <w:r w:rsidRPr="00C87019">
        <w:t>While the interconnection with Pasco County should improve water quality, the final</w:t>
      </w:r>
      <w:r w:rsidR="003517E0">
        <w:t xml:space="preserve"> impact on </w:t>
      </w:r>
      <w:r w:rsidRPr="00C87019">
        <w:t xml:space="preserve">water quality can be </w:t>
      </w:r>
      <w:r w:rsidR="002975E9">
        <w:t>determined only</w:t>
      </w:r>
      <w:r w:rsidRPr="00C87019">
        <w:t xml:space="preserve"> after the completion of the interconnection and the implementation of a flushing protocol.</w:t>
      </w:r>
      <w:r w:rsidR="00800045" w:rsidRPr="00800045">
        <w:t xml:space="preserve"> </w:t>
      </w:r>
      <w:r w:rsidRPr="00C87019">
        <w:t>Therefore</w:t>
      </w:r>
      <w:r>
        <w:t>,</w:t>
      </w:r>
      <w:r w:rsidRPr="00C87019">
        <w:t xml:space="preserve"> the Utility should be directed to provide seco</w:t>
      </w:r>
      <w:r w:rsidR="001304C6">
        <w:t>ndary water quality results for</w:t>
      </w:r>
      <w:r w:rsidRPr="00C87019">
        <w:t xml:space="preserve"> portions of its </w:t>
      </w:r>
      <w:r w:rsidR="00586D15">
        <w:t xml:space="preserve">Summertree </w:t>
      </w:r>
      <w:r w:rsidRPr="00C87019">
        <w:t>distribution s</w:t>
      </w:r>
      <w:r w:rsidR="00EA2139">
        <w:t>ystem at least every six months</w:t>
      </w:r>
      <w:r w:rsidR="004C32D4">
        <w:t xml:space="preserve"> until the Commission finds the water quality to be satisfactory</w:t>
      </w:r>
      <w:r w:rsidR="00800045">
        <w:t>.</w:t>
      </w:r>
      <w:r w:rsidR="00EA2139">
        <w:t xml:space="preserve"> </w:t>
      </w:r>
      <w:r w:rsidRPr="00C87019">
        <w:t xml:space="preserve">Samples should be taken from the same sites labeled “nearby system site” </w:t>
      </w:r>
      <w:r w:rsidR="005D4DB3">
        <w:t>shown in Appendix A of the CPH R</w:t>
      </w:r>
      <w:r w:rsidRPr="00C87019">
        <w:t>eport for consistency purposes. Such results should be filed with the Commission for informational purposes.</w:t>
      </w:r>
      <w:r w:rsidR="008D2D4A">
        <w:t xml:space="preserve"> </w:t>
      </w:r>
      <w:r w:rsidR="008D2D4A" w:rsidRPr="008D2D4A">
        <w:rPr>
          <w:bCs/>
        </w:rPr>
        <w:t>The first report should be filed no later than two months after the completion of the interconnection with Pasco County.</w:t>
      </w:r>
      <w:r w:rsidR="00F2205C">
        <w:rPr>
          <w:bCs/>
        </w:rPr>
        <w:t xml:space="preserve"> </w:t>
      </w:r>
      <w:r w:rsidR="00F2205C" w:rsidRPr="00EA2139">
        <w:t>Pursuant</w:t>
      </w:r>
      <w:r w:rsidR="00F2205C">
        <w:t xml:space="preserve"> to the 2014 Order</w:t>
      </w:r>
      <w:r w:rsidR="00F2205C" w:rsidRPr="00EA2139">
        <w:t>, the 100-basis point reduction in return on equity should remain in place</w:t>
      </w:r>
      <w:r w:rsidR="00F2205C">
        <w:t xml:space="preserve"> </w:t>
      </w:r>
      <w:r w:rsidR="00F2205C" w:rsidRPr="00EA2139">
        <w:t>until the Utility can demonstrate that the water quality is deemed</w:t>
      </w:r>
      <w:r w:rsidR="00F2205C">
        <w:t xml:space="preserve"> satisfactory by the Commission</w:t>
      </w:r>
      <w:r w:rsidR="00F2205C" w:rsidRPr="00EA2139">
        <w:t>.</w:t>
      </w:r>
    </w:p>
    <w:p w:rsidR="00C87019" w:rsidRPr="007F3F3E" w:rsidRDefault="00C87019" w:rsidP="00C87019">
      <w:pPr>
        <w:pStyle w:val="BodyText"/>
        <w:rPr>
          <w:b/>
        </w:rPr>
      </w:pPr>
      <w:r>
        <w:t>As previously discussed, the abandonment of the wells and the interconnection with Pasco County was considered to be the lowest cost option.</w:t>
      </w:r>
      <w:r w:rsidR="000F219A">
        <w:t xml:space="preserve"> Staff would note that the Bulk Water Agreement with Pasco County provides that the $896,141 initial connection fee</w:t>
      </w:r>
      <w:r w:rsidR="002A42C7">
        <w:rPr>
          <w:rStyle w:val="FootnoteReference"/>
        </w:rPr>
        <w:footnoteReference w:id="13"/>
      </w:r>
      <w:r w:rsidR="000F219A">
        <w:t xml:space="preserve"> will be paid for by Pasco County from a grant </w:t>
      </w:r>
      <w:r w:rsidR="007318E1">
        <w:t>provided by the Florida D</w:t>
      </w:r>
      <w:r w:rsidR="007966F6">
        <w:t>epartment of Environmental Protection</w:t>
      </w:r>
      <w:r w:rsidR="001230A7">
        <w:t xml:space="preserve"> (FDEP)</w:t>
      </w:r>
      <w:r w:rsidR="000F219A">
        <w:t>.</w:t>
      </w:r>
      <w:r w:rsidR="000F219A">
        <w:rPr>
          <w:rStyle w:val="FootnoteReference"/>
        </w:rPr>
        <w:footnoteReference w:id="14"/>
      </w:r>
      <w:r w:rsidR="0055070D">
        <w:t xml:space="preserve"> S</w:t>
      </w:r>
      <w:r>
        <w:t xml:space="preserve">taff recommends that </w:t>
      </w:r>
      <w:r w:rsidR="008509E0">
        <w:t xml:space="preserve">rate base be reduced by </w:t>
      </w:r>
      <w:r w:rsidR="008E3064">
        <w:t xml:space="preserve">the </w:t>
      </w:r>
      <w:r w:rsidR="008509E0">
        <w:t>$</w:t>
      </w:r>
      <w:r w:rsidR="00D941B1">
        <w:t>363,697</w:t>
      </w:r>
      <w:r w:rsidR="008E3064">
        <w:t xml:space="preserve"> net book value of the abandoned wells</w:t>
      </w:r>
      <w:r w:rsidR="00561946">
        <w:t xml:space="preserve"> to reflect their removal from rate base</w:t>
      </w:r>
      <w:r w:rsidR="008E3064">
        <w:t>.</w:t>
      </w:r>
      <w:r w:rsidR="000F219A">
        <w:t xml:space="preserve"> </w:t>
      </w:r>
    </w:p>
    <w:p w:rsidR="00BA625B" w:rsidRDefault="00BA625B" w:rsidP="00BA625B">
      <w:pPr>
        <w:pStyle w:val="Second-LevelSubheading"/>
      </w:pPr>
      <w:r>
        <w:t>Working Capital Allowance</w:t>
      </w:r>
    </w:p>
    <w:p w:rsidR="00B85B60" w:rsidRDefault="00595028">
      <w:pPr>
        <w:pStyle w:val="BodyText"/>
      </w:pPr>
      <w:r>
        <w:t xml:space="preserve">UIF included </w:t>
      </w:r>
      <w:r w:rsidR="00C35854">
        <w:t>a working capital allowance of $7,118 for Pasco County Phase II. This amount represents 1/8</w:t>
      </w:r>
      <w:r w:rsidR="00C35854" w:rsidRPr="00C35854">
        <w:rPr>
          <w:vertAlign w:val="superscript"/>
        </w:rPr>
        <w:t>th</w:t>
      </w:r>
      <w:r w:rsidR="00C35854">
        <w:t xml:space="preserve"> of the O&amp;M expense increase of $56,941. However, staff has made several </w:t>
      </w:r>
      <w:r w:rsidR="00755181">
        <w:t>adjustments to O&amp;M expense</w:t>
      </w:r>
      <w:r w:rsidR="00C35854">
        <w:t xml:space="preserve"> that increased the O&amp;M expense to $62,484 as explained in the </w:t>
      </w:r>
      <w:r w:rsidR="00CF65B9">
        <w:t>“</w:t>
      </w:r>
      <w:r w:rsidR="00C35854">
        <w:t>O&amp;M Expense</w:t>
      </w:r>
      <w:r w:rsidR="00CF65B9">
        <w:t>”</w:t>
      </w:r>
      <w:r w:rsidR="0055070D">
        <w:t xml:space="preserve"> section. As a result, </w:t>
      </w:r>
      <w:r w:rsidR="00C35854">
        <w:t xml:space="preserve">staff recommends that the appropriate amount of </w:t>
      </w:r>
      <w:r w:rsidR="00755181">
        <w:t xml:space="preserve">incremental </w:t>
      </w:r>
      <w:r w:rsidR="00B85B60">
        <w:t>working capital is $7,811 ($62,484</w:t>
      </w:r>
      <w:r w:rsidR="00B85B60">
        <w:rPr>
          <w:rFonts w:ascii="Calibri" w:hAnsi="Calibri"/>
        </w:rPr>
        <w:t>÷</w:t>
      </w:r>
      <w:r w:rsidR="00B85B60">
        <w:t>8)</w:t>
      </w:r>
      <w:r w:rsidR="00C1615E">
        <w:t>, or $693 higher than the amount included by UIF</w:t>
      </w:r>
      <w:r w:rsidR="00B85B60">
        <w:t xml:space="preserve">. </w:t>
      </w:r>
    </w:p>
    <w:p w:rsidR="00BA625B" w:rsidRDefault="00B85B60">
      <w:pPr>
        <w:pStyle w:val="BodyText"/>
      </w:pPr>
      <w:r>
        <w:t xml:space="preserve">After reviewing UIF’s requested rate base decrease of $356,579, staff recommends that </w:t>
      </w:r>
      <w:r w:rsidR="0055070D">
        <w:t xml:space="preserve">rate base be </w:t>
      </w:r>
      <w:r>
        <w:t>decrease</w:t>
      </w:r>
      <w:r w:rsidR="0055070D">
        <w:t>d by</w:t>
      </w:r>
      <w:r w:rsidR="005C1ED9">
        <w:t xml:space="preserve"> $355,886</w:t>
      </w:r>
      <w:r>
        <w:t xml:space="preserve"> for Pasco County Phase II</w:t>
      </w:r>
      <w:r w:rsidR="005D79B0">
        <w:t xml:space="preserve"> as shown on Schedule No. 1</w:t>
      </w:r>
      <w:r>
        <w:t>.</w:t>
      </w:r>
      <w:r w:rsidR="008E3064">
        <w:t xml:space="preserve"> </w:t>
      </w:r>
      <w:r w:rsidR="00C1615E">
        <w:t>The $693 difference reflects the change in working capital.</w:t>
      </w:r>
    </w:p>
    <w:p w:rsidR="009629E5" w:rsidRDefault="009629E5">
      <w:pPr>
        <w:pStyle w:val="BodyText"/>
      </w:pPr>
    </w:p>
    <w:p w:rsidR="00BA625B" w:rsidRDefault="00BA625B" w:rsidP="00BA625B">
      <w:pPr>
        <w:pStyle w:val="First-LevelSubheading"/>
      </w:pPr>
      <w:r>
        <w:t>Rate of Return</w:t>
      </w:r>
    </w:p>
    <w:p w:rsidR="00BA625B" w:rsidRDefault="00952AC5">
      <w:pPr>
        <w:pStyle w:val="BodyText"/>
      </w:pPr>
      <w:r w:rsidRPr="00952AC5">
        <w:t>Per Sch</w:t>
      </w:r>
      <w:r>
        <w:t>edule No. 11 of its filing</w:t>
      </w:r>
      <w:r w:rsidRPr="00952AC5">
        <w:t>, UIF calculated an 8.03 percent rate of return (ROR). This ROR was based on a capital structure ended December 31, 2014, that only included long-term debt with a cost rate of 6.65 percent and common equity with a return on equity of 9.38 percent</w:t>
      </w:r>
      <w:r w:rsidR="00C1615E">
        <w:t>. The</w:t>
      </w:r>
      <w:r w:rsidR="00233881">
        <w:t xml:space="preserve"> capital structure </w:t>
      </w:r>
      <w:r w:rsidR="00C1615E">
        <w:t xml:space="preserve">used by UIF </w:t>
      </w:r>
      <w:r w:rsidR="00233881">
        <w:t>is in</w:t>
      </w:r>
      <w:r w:rsidRPr="00952AC5">
        <w:t xml:space="preserve">consistent with the capital structure used in the Utility’s last rate case </w:t>
      </w:r>
      <w:r w:rsidR="005D4DB3">
        <w:t>for Pasco County</w:t>
      </w:r>
      <w:r w:rsidRPr="00952AC5">
        <w:t>.</w:t>
      </w:r>
      <w:r w:rsidRPr="00952AC5">
        <w:rPr>
          <w:vertAlign w:val="superscript"/>
        </w:rPr>
        <w:footnoteReference w:id="15"/>
      </w:r>
      <w:r w:rsidRPr="00952AC5">
        <w:t xml:space="preserve"> In addition, Rule 25-30.445(4)(e), F.A.C., requires that the weighte</w:t>
      </w:r>
      <w:r w:rsidR="00586D15">
        <w:t xml:space="preserve">d average cost of capital </w:t>
      </w:r>
      <w:r w:rsidRPr="00952AC5">
        <w:t>be calculated based on the most recent 12-month period and</w:t>
      </w:r>
      <w:r w:rsidR="00586D15">
        <w:t xml:space="preserve"> include</w:t>
      </w:r>
      <w:r w:rsidRPr="00952AC5">
        <w:t xml:space="preserve"> all of the appropriate capital structure components. In this instance, the most recent period available is the 12 months ended December 31, 2015. UIF calculated a December 2015 ROR of 7.85 percent on Schedule F-5 of its 2015 Annual Report. However, UIF did not use the </w:t>
      </w:r>
      <w:r w:rsidR="00586D15">
        <w:t>appropriate</w:t>
      </w:r>
      <w:r w:rsidR="0055070D">
        <w:t xml:space="preserve"> equity cost rate of 9</w:t>
      </w:r>
      <w:r w:rsidRPr="00952AC5">
        <w:t>.38 percent or the minimum 2.00 percent cost rate for customer deposits pursuant to Rule 25-30.311(4)(a), F.A.C. Based on the foregoing, staff recalculated a December 201</w:t>
      </w:r>
      <w:r w:rsidR="00233881">
        <w:t>5 ROR of 7.22</w:t>
      </w:r>
      <w:r w:rsidR="00AA5161">
        <w:t xml:space="preserve"> percent as shown i</w:t>
      </w:r>
      <w:r w:rsidRPr="00952AC5">
        <w:t xml:space="preserve">n Schedule No. </w:t>
      </w:r>
      <w:r w:rsidR="00505B83">
        <w:t>2</w:t>
      </w:r>
      <w:r>
        <w:t>.</w:t>
      </w:r>
    </w:p>
    <w:p w:rsidR="00952AC5" w:rsidRDefault="00952AC5" w:rsidP="00952AC5">
      <w:pPr>
        <w:pStyle w:val="First-LevelSubheading"/>
      </w:pPr>
      <w:r>
        <w:t>Operating Expense</w:t>
      </w:r>
    </w:p>
    <w:p w:rsidR="00952AC5" w:rsidRDefault="00637082">
      <w:pPr>
        <w:pStyle w:val="BodyText"/>
      </w:pPr>
      <w:r>
        <w:t xml:space="preserve">UIF requested </w:t>
      </w:r>
      <w:r w:rsidR="00154474">
        <w:t>an increase to operating expense</w:t>
      </w:r>
      <w:r>
        <w:t xml:space="preserve">, excluding income taxes, of $89,692 </w:t>
      </w:r>
      <w:r w:rsidR="00154474">
        <w:t xml:space="preserve">for Pasco County Phase II. The increase is based on </w:t>
      </w:r>
      <w:r>
        <w:t xml:space="preserve">increases for the abandoned well amortization, purchased water expense, and rate case expense that are partially offset by decreases in depreciation expense, O&amp;M expense, </w:t>
      </w:r>
      <w:r w:rsidR="00154474">
        <w:t>and taxes other than income.</w:t>
      </w:r>
      <w:r>
        <w:t xml:space="preserve"> </w:t>
      </w:r>
    </w:p>
    <w:p w:rsidR="008571D2" w:rsidRDefault="008571D2" w:rsidP="008571D2">
      <w:pPr>
        <w:pStyle w:val="Second-LevelSubheading"/>
      </w:pPr>
      <w:r>
        <w:t>Depreciation Expense</w:t>
      </w:r>
    </w:p>
    <w:p w:rsidR="008571D2" w:rsidRDefault="008571D2">
      <w:pPr>
        <w:pStyle w:val="BodyText"/>
      </w:pPr>
      <w:r>
        <w:t>UIF</w:t>
      </w:r>
      <w:r w:rsidR="00C241C6">
        <w:t xml:space="preserve"> </w:t>
      </w:r>
      <w:r w:rsidR="005D79B0">
        <w:t>decreased its depreciation expense by $22,778 as a result of the abandonment of the water wells. In staff’s review of the Utility’s filing, it was no</w:t>
      </w:r>
      <w:r w:rsidR="00CD4FE1">
        <w:t>ted that an $804 contributions in aid of construction</w:t>
      </w:r>
      <w:r w:rsidR="008004F6">
        <w:t xml:space="preserve"> component of the depreciation expense was not included in the total amount. Otherwise, the </w:t>
      </w:r>
      <w:r w:rsidR="00643E11">
        <w:t>calculation of the depreciation e</w:t>
      </w:r>
      <w:r w:rsidR="00233881">
        <w:t xml:space="preserve">xpense reduction is </w:t>
      </w:r>
      <w:r w:rsidR="00643E11">
        <w:t xml:space="preserve">in accordance with Rule 25-30.140, F.A.C. </w:t>
      </w:r>
      <w:r w:rsidR="008004F6">
        <w:t>The inclusion of the $804 CIAC component lowers the total depreciation expense reduction to $21,974.</w:t>
      </w:r>
    </w:p>
    <w:p w:rsidR="008571D2" w:rsidRDefault="008571D2" w:rsidP="008571D2">
      <w:pPr>
        <w:pStyle w:val="Second-LevelSubheading"/>
      </w:pPr>
      <w:r>
        <w:t>Abandoned Wells</w:t>
      </w:r>
      <w:r w:rsidR="00680777">
        <w:t xml:space="preserve"> </w:t>
      </w:r>
      <w:r w:rsidR="00864B88">
        <w:t>Amortization</w:t>
      </w:r>
      <w:r w:rsidR="00680777">
        <w:t xml:space="preserve"> Expense</w:t>
      </w:r>
    </w:p>
    <w:p w:rsidR="00AD7106" w:rsidRDefault="008571D2">
      <w:pPr>
        <w:pStyle w:val="BodyText"/>
      </w:pPr>
      <w:r>
        <w:t>UIF</w:t>
      </w:r>
      <w:r w:rsidR="00235F15">
        <w:t xml:space="preserve"> calculated an annual amortization expense of $65,022 for th</w:t>
      </w:r>
      <w:r w:rsidR="00200434">
        <w:t>e recovery of the $563,697 related to the</w:t>
      </w:r>
      <w:r w:rsidR="00235F15">
        <w:t xml:space="preserve"> retire</w:t>
      </w:r>
      <w:r w:rsidR="00200434">
        <w:t>ment of</w:t>
      </w:r>
      <w:r w:rsidR="00235F15">
        <w:t xml:space="preserve"> the abandoned wells. This represents an 8.67 year amortization period. </w:t>
      </w:r>
      <w:r w:rsidR="00200434">
        <w:t xml:space="preserve">The $563,697 is the sum of the $363,697 net book value and the $200,000 net cost to retire the abandoned wells. </w:t>
      </w:r>
      <w:r w:rsidR="00A6415A" w:rsidRPr="0066438F">
        <w:t xml:space="preserve">On Schedule No. 16 of its filing, UIF estimated that the gross cost to retire the abandoned wells was $220,000. </w:t>
      </w:r>
      <w:r w:rsidR="00AD7106" w:rsidRPr="0066438F">
        <w:t>T</w:t>
      </w:r>
      <w:r w:rsidR="00A6415A" w:rsidRPr="0066438F">
        <w:t>he Utility reduce</w:t>
      </w:r>
      <w:r w:rsidR="00D567A1">
        <w:t>d the gross amount by $20,000 for</w:t>
      </w:r>
      <w:r w:rsidR="001230A7">
        <w:t xml:space="preserve"> anticipated SWFWMD </w:t>
      </w:r>
      <w:r w:rsidR="00A6415A" w:rsidRPr="0066438F">
        <w:t>funding resulting in a net retirement cost of $200,000.</w:t>
      </w:r>
      <w:r w:rsidR="00A6415A">
        <w:t xml:space="preserve"> </w:t>
      </w:r>
      <w:r w:rsidR="000D2B4C">
        <w:t xml:space="preserve">These amounts have been reviewed by staff and appear to be appropriate. </w:t>
      </w:r>
      <w:r w:rsidR="00AD7106" w:rsidRPr="0066438F">
        <w:t>Because the $220,000 gross retirement cost and the $20,000 of anticipated State funding are only estimates, staff believes that these amounts should be reviewed in the upcoming consolidated rate case and be adjusted if needed.</w:t>
      </w:r>
      <w:r w:rsidR="00AD7106">
        <w:t xml:space="preserve"> </w:t>
      </w:r>
    </w:p>
    <w:p w:rsidR="0084015A" w:rsidRDefault="00D57CA0">
      <w:pPr>
        <w:pStyle w:val="BodyText"/>
      </w:pPr>
      <w:r>
        <w:t xml:space="preserve">Rule 25-30.433(9), F.A.C., </w:t>
      </w:r>
      <w:r w:rsidR="00D567A1">
        <w:t>pre</w:t>
      </w:r>
      <w:r w:rsidR="00624384">
        <w:t>scribes</w:t>
      </w:r>
      <w:r w:rsidR="001608F7">
        <w:t xml:space="preserve"> the calculation for determining the appropriate amortization period for forced abandonment or the prudent retirement </w:t>
      </w:r>
      <w:r w:rsidR="00624384">
        <w:t>of plant assets prior to the end of thei</w:t>
      </w:r>
      <w:r w:rsidR="00B04FD0">
        <w:t xml:space="preserve">r depreciable life. Based on the amounts in its filing, </w:t>
      </w:r>
      <w:r w:rsidR="00624384">
        <w:t xml:space="preserve">UIF </w:t>
      </w:r>
      <w:r w:rsidR="00B04FD0">
        <w:t xml:space="preserve">followed the specified calculation except for </w:t>
      </w:r>
      <w:r w:rsidR="0084015A">
        <w:t xml:space="preserve">the </w:t>
      </w:r>
      <w:r w:rsidR="00B04FD0">
        <w:t>return on net book value amoun</w:t>
      </w:r>
      <w:r w:rsidR="0066438F">
        <w:t>t. The Utility applied the 8.03 percent</w:t>
      </w:r>
      <w:r w:rsidR="00B04FD0">
        <w:t xml:space="preserve"> rate of return to the total cost of $563,697 rather than just the net book value of $363,697. Rule 25-30.433(9), F.A.C., specifically states that the amount should be </w:t>
      </w:r>
      <w:r w:rsidR="0084015A">
        <w:t>“</w:t>
      </w:r>
      <w:r w:rsidR="00B04FD0">
        <w:t xml:space="preserve">equal to the rate of return </w:t>
      </w:r>
      <w:r w:rsidR="0084015A">
        <w:t>that would have been allowed on the net invested plant that would have been included in rate base before the abandonment or retirement.”</w:t>
      </w:r>
    </w:p>
    <w:p w:rsidR="008571D2" w:rsidRDefault="0084015A">
      <w:pPr>
        <w:pStyle w:val="BodyText"/>
      </w:pPr>
      <w:r>
        <w:t xml:space="preserve">In its calculation, </w:t>
      </w:r>
      <w:r w:rsidR="00B3695D">
        <w:t>s</w:t>
      </w:r>
      <w:r w:rsidR="00D567A1">
        <w:t>taff used its recommended 7.22</w:t>
      </w:r>
      <w:r w:rsidR="0066438F">
        <w:t xml:space="preserve"> percent</w:t>
      </w:r>
      <w:r>
        <w:t xml:space="preserve"> rate of return and applied it against the net book value of $363,697. </w:t>
      </w:r>
      <w:r w:rsidR="00B3695D">
        <w:t>This results in an annual</w:t>
      </w:r>
      <w:r w:rsidR="00D567A1">
        <w:t xml:space="preserve"> amortization expense of $45,994</w:t>
      </w:r>
      <w:r w:rsidR="00B3695D">
        <w:t xml:space="preserve"> and</w:t>
      </w:r>
      <w:r w:rsidR="00D567A1">
        <w:t xml:space="preserve"> an amortization period of 12.26</w:t>
      </w:r>
      <w:r w:rsidR="00CD4FE1">
        <w:t xml:space="preserve"> years. </w:t>
      </w:r>
      <w:r w:rsidR="00B3695D">
        <w:t>UIF and staff</w:t>
      </w:r>
      <w:r w:rsidR="00CD4FE1">
        <w:t>’s</w:t>
      </w:r>
      <w:r w:rsidR="00B3695D">
        <w:t xml:space="preserve"> calculations are summarized in Table 1-1 below.</w:t>
      </w:r>
    </w:p>
    <w:p w:rsidR="00AA7E62" w:rsidRDefault="00AA7E62" w:rsidP="00AA7E62">
      <w:pPr>
        <w:pStyle w:val="TableNumber"/>
        <w:keepNext/>
      </w:pPr>
      <w:r>
        <w:t xml:space="preserve">Table </w:t>
      </w:r>
      <w:fldSimple w:instr=" SEQ Issue \c ">
        <w:r w:rsidR="00AF2F30">
          <w:rPr>
            <w:noProof/>
          </w:rPr>
          <w:t>1</w:t>
        </w:r>
      </w:fldSimple>
      <w:r>
        <w:t>-1</w:t>
      </w:r>
    </w:p>
    <w:p w:rsidR="00AA7E62" w:rsidRDefault="00AA7538" w:rsidP="00AA7E62">
      <w:pPr>
        <w:pStyle w:val="TableTitle"/>
        <w:keepNext/>
      </w:pPr>
      <w:r>
        <w:t>A</w:t>
      </w:r>
      <w:r w:rsidR="00F420B4">
        <w:t>bandoned Wells</w:t>
      </w:r>
      <w:r>
        <w:t xml:space="preserve"> Amortization</w:t>
      </w:r>
      <w:r w:rsidR="00F420B4">
        <w:t xml:space="preserve"> Expense</w:t>
      </w:r>
      <w:r w:rsidR="002A092F">
        <w:t xml:space="preserve"> Increase</w:t>
      </w:r>
    </w:p>
    <w:tbl>
      <w:tblPr>
        <w:tblStyle w:val="TableColumns1"/>
        <w:tblW w:w="0" w:type="auto"/>
        <w:tblInd w:w="936" w:type="dxa"/>
        <w:tblLook w:val="04A0" w:firstRow="1" w:lastRow="0" w:firstColumn="1" w:lastColumn="0" w:noHBand="0" w:noVBand="1"/>
      </w:tblPr>
      <w:tblGrid>
        <w:gridCol w:w="3888"/>
        <w:gridCol w:w="1800"/>
        <w:gridCol w:w="1800"/>
      </w:tblGrid>
      <w:tr w:rsidR="00AA7E62" w:rsidTr="00F42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AA7E62" w:rsidRDefault="00AA7E62" w:rsidP="00AA7E62"/>
        </w:tc>
        <w:tc>
          <w:tcPr>
            <w:tcW w:w="1800" w:type="dxa"/>
          </w:tcPr>
          <w:p w:rsidR="00AA7E62" w:rsidRDefault="0094344A" w:rsidP="00F420B4">
            <w:pPr>
              <w:jc w:val="center"/>
              <w:cnfStyle w:val="100000000000" w:firstRow="1" w:lastRow="0" w:firstColumn="0" w:lastColumn="0" w:oddVBand="0" w:evenVBand="0" w:oddHBand="0" w:evenHBand="0" w:firstRowFirstColumn="0" w:firstRowLastColumn="0" w:lastRowFirstColumn="0" w:lastRowLastColumn="0"/>
            </w:pPr>
            <w:r>
              <w:t xml:space="preserve">           </w:t>
            </w:r>
            <w:r w:rsidR="00F420B4">
              <w:t>UIF</w:t>
            </w:r>
          </w:p>
        </w:tc>
        <w:tc>
          <w:tcPr>
            <w:tcW w:w="1800" w:type="dxa"/>
          </w:tcPr>
          <w:p w:rsidR="00AA7E62" w:rsidRDefault="0094344A" w:rsidP="00F420B4">
            <w:pPr>
              <w:jc w:val="center"/>
              <w:cnfStyle w:val="100000000000" w:firstRow="1" w:lastRow="0" w:firstColumn="0" w:lastColumn="0" w:oddVBand="0" w:evenVBand="0" w:oddHBand="0" w:evenHBand="0" w:firstRowFirstColumn="0" w:firstRowLastColumn="0" w:lastRowFirstColumn="0" w:lastRowLastColumn="0"/>
            </w:pPr>
            <w:r>
              <w:t xml:space="preserve">           </w:t>
            </w:r>
            <w:r w:rsidR="00F420B4">
              <w:t>STAFF</w:t>
            </w:r>
          </w:p>
        </w:tc>
      </w:tr>
      <w:tr w:rsidR="00AA7E62" w:rsidTr="00F420B4">
        <w:tc>
          <w:tcPr>
            <w:cnfStyle w:val="001000000000" w:firstRow="0" w:lastRow="0" w:firstColumn="1" w:lastColumn="0" w:oddVBand="0" w:evenVBand="0" w:oddHBand="0" w:evenHBand="0" w:firstRowFirstColumn="0" w:firstRowLastColumn="0" w:lastRowFirstColumn="0" w:lastRowLastColumn="0"/>
            <w:tcW w:w="3888" w:type="dxa"/>
          </w:tcPr>
          <w:p w:rsidR="00AA7E62" w:rsidRDefault="00AA7538" w:rsidP="00AA7E62">
            <w:r>
              <w:t>Net Book Value</w:t>
            </w:r>
          </w:p>
        </w:tc>
        <w:tc>
          <w:tcPr>
            <w:tcW w:w="1800" w:type="dxa"/>
          </w:tcPr>
          <w:p w:rsidR="00AA7E62"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rPr>
            </w:pPr>
            <w:r w:rsidRPr="00F420B4">
              <w:rPr>
                <w:b w:val="0"/>
              </w:rPr>
              <w:t>$363,697</w:t>
            </w:r>
          </w:p>
        </w:tc>
        <w:tc>
          <w:tcPr>
            <w:tcW w:w="1800" w:type="dxa"/>
          </w:tcPr>
          <w:p w:rsidR="00AA7E62" w:rsidRPr="00F420B4" w:rsidRDefault="00AA7538" w:rsidP="00F420B4">
            <w:pPr>
              <w:jc w:val="right"/>
              <w:cnfStyle w:val="000000000000" w:firstRow="0" w:lastRow="0" w:firstColumn="0" w:lastColumn="0" w:oddVBand="0" w:evenVBand="0" w:oddHBand="0" w:evenHBand="0" w:firstRowFirstColumn="0" w:firstRowLastColumn="0" w:lastRowFirstColumn="0" w:lastRowLastColumn="0"/>
              <w:rPr>
                <w:b w:val="0"/>
              </w:rPr>
            </w:pPr>
            <w:r w:rsidRPr="00F420B4">
              <w:rPr>
                <w:b w:val="0"/>
              </w:rPr>
              <w:t>$363,697</w:t>
            </w:r>
          </w:p>
        </w:tc>
      </w:tr>
      <w:tr w:rsidR="00AA7E62" w:rsidTr="00F420B4">
        <w:tc>
          <w:tcPr>
            <w:cnfStyle w:val="001000000000" w:firstRow="0" w:lastRow="0" w:firstColumn="1" w:lastColumn="0" w:oddVBand="0" w:evenVBand="0" w:oddHBand="0" w:evenHBand="0" w:firstRowFirstColumn="0" w:firstRowLastColumn="0" w:lastRowFirstColumn="0" w:lastRowLastColumn="0"/>
            <w:tcW w:w="3888" w:type="dxa"/>
          </w:tcPr>
          <w:p w:rsidR="00AA7E62" w:rsidRDefault="00AA7538" w:rsidP="00AA7E62">
            <w:r>
              <w:t>Net Cost to Retire</w:t>
            </w:r>
          </w:p>
        </w:tc>
        <w:tc>
          <w:tcPr>
            <w:tcW w:w="1800" w:type="dxa"/>
          </w:tcPr>
          <w:p w:rsidR="00AA7E62"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u w:val="single"/>
              </w:rPr>
            </w:pPr>
            <w:r w:rsidRPr="00F420B4">
              <w:rPr>
                <w:b w:val="0"/>
                <w:u w:val="single"/>
              </w:rPr>
              <w:t>200,000</w:t>
            </w:r>
          </w:p>
        </w:tc>
        <w:tc>
          <w:tcPr>
            <w:tcW w:w="1800" w:type="dxa"/>
          </w:tcPr>
          <w:p w:rsidR="00AA7E62" w:rsidRPr="00F420B4" w:rsidRDefault="00AA7538" w:rsidP="00F420B4">
            <w:pPr>
              <w:jc w:val="right"/>
              <w:cnfStyle w:val="000000000000" w:firstRow="0" w:lastRow="0" w:firstColumn="0" w:lastColumn="0" w:oddVBand="0" w:evenVBand="0" w:oddHBand="0" w:evenHBand="0" w:firstRowFirstColumn="0" w:firstRowLastColumn="0" w:lastRowFirstColumn="0" w:lastRowLastColumn="0"/>
              <w:rPr>
                <w:b w:val="0"/>
                <w:u w:val="single"/>
              </w:rPr>
            </w:pPr>
            <w:r w:rsidRPr="00F420B4">
              <w:rPr>
                <w:b w:val="0"/>
                <w:u w:val="single"/>
              </w:rPr>
              <w:t>200,000</w:t>
            </w:r>
          </w:p>
        </w:tc>
      </w:tr>
      <w:tr w:rsidR="00AA7E62" w:rsidTr="00F420B4">
        <w:tc>
          <w:tcPr>
            <w:cnfStyle w:val="001000000000" w:firstRow="0" w:lastRow="0" w:firstColumn="1" w:lastColumn="0" w:oddVBand="0" w:evenVBand="0" w:oddHBand="0" w:evenHBand="0" w:firstRowFirstColumn="0" w:firstRowLastColumn="0" w:lastRowFirstColumn="0" w:lastRowLastColumn="0"/>
            <w:tcW w:w="3888" w:type="dxa"/>
          </w:tcPr>
          <w:p w:rsidR="00AA7E62" w:rsidRDefault="00AA7538" w:rsidP="00AA7E62">
            <w:r>
              <w:t>Total Cost</w:t>
            </w:r>
          </w:p>
        </w:tc>
        <w:tc>
          <w:tcPr>
            <w:tcW w:w="1800" w:type="dxa"/>
          </w:tcPr>
          <w:p w:rsidR="00AA7E62"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rPr>
            </w:pPr>
            <w:r w:rsidRPr="0066438F">
              <w:rPr>
                <w:b w:val="0"/>
                <w:u w:val="double"/>
              </w:rPr>
              <w:t>$</w:t>
            </w:r>
            <w:r w:rsidRPr="00F420B4">
              <w:rPr>
                <w:b w:val="0"/>
                <w:u w:val="double"/>
              </w:rPr>
              <w:t>563,697</w:t>
            </w:r>
          </w:p>
        </w:tc>
        <w:tc>
          <w:tcPr>
            <w:tcW w:w="1800" w:type="dxa"/>
          </w:tcPr>
          <w:p w:rsidR="00AA7E62" w:rsidRPr="00F420B4" w:rsidRDefault="00AA7538" w:rsidP="00F420B4">
            <w:pPr>
              <w:jc w:val="right"/>
              <w:cnfStyle w:val="000000000000" w:firstRow="0" w:lastRow="0" w:firstColumn="0" w:lastColumn="0" w:oddVBand="0" w:evenVBand="0" w:oddHBand="0" w:evenHBand="0" w:firstRowFirstColumn="0" w:firstRowLastColumn="0" w:lastRowFirstColumn="0" w:lastRowLastColumn="0"/>
              <w:rPr>
                <w:b w:val="0"/>
              </w:rPr>
            </w:pPr>
            <w:r w:rsidRPr="0066438F">
              <w:rPr>
                <w:b w:val="0"/>
                <w:u w:val="double"/>
              </w:rPr>
              <w:t>$</w:t>
            </w:r>
            <w:r w:rsidRPr="00F420B4">
              <w:rPr>
                <w:b w:val="0"/>
                <w:u w:val="double"/>
              </w:rPr>
              <w:t>563,697</w:t>
            </w:r>
          </w:p>
        </w:tc>
      </w:tr>
      <w:tr w:rsidR="00AA7538" w:rsidTr="00F420B4">
        <w:tc>
          <w:tcPr>
            <w:cnfStyle w:val="001000000000" w:firstRow="0" w:lastRow="0" w:firstColumn="1" w:lastColumn="0" w:oddVBand="0" w:evenVBand="0" w:oddHBand="0" w:evenHBand="0" w:firstRowFirstColumn="0" w:firstRowLastColumn="0" w:lastRowFirstColumn="0" w:lastRowLastColumn="0"/>
            <w:tcW w:w="3888" w:type="dxa"/>
          </w:tcPr>
          <w:p w:rsidR="00AA7538" w:rsidRDefault="00AA7538" w:rsidP="00AA7E62"/>
        </w:tc>
        <w:tc>
          <w:tcPr>
            <w:tcW w:w="1800" w:type="dxa"/>
          </w:tcPr>
          <w:p w:rsidR="00AA7538"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rPr>
            </w:pPr>
          </w:p>
        </w:tc>
        <w:tc>
          <w:tcPr>
            <w:tcW w:w="1800" w:type="dxa"/>
          </w:tcPr>
          <w:p w:rsidR="00AA7538" w:rsidRPr="00F420B4" w:rsidRDefault="00AA7538" w:rsidP="00F420B4">
            <w:pPr>
              <w:jc w:val="right"/>
              <w:cnfStyle w:val="000000000000" w:firstRow="0" w:lastRow="0" w:firstColumn="0" w:lastColumn="0" w:oddVBand="0" w:evenVBand="0" w:oddHBand="0" w:evenHBand="0" w:firstRowFirstColumn="0" w:firstRowLastColumn="0" w:lastRowFirstColumn="0" w:lastRowLastColumn="0"/>
              <w:rPr>
                <w:b w:val="0"/>
              </w:rPr>
            </w:pPr>
          </w:p>
        </w:tc>
      </w:tr>
      <w:tr w:rsidR="00AA7538" w:rsidTr="00F420B4">
        <w:tc>
          <w:tcPr>
            <w:cnfStyle w:val="001000000000" w:firstRow="0" w:lastRow="0" w:firstColumn="1" w:lastColumn="0" w:oddVBand="0" w:evenVBand="0" w:oddHBand="0" w:evenHBand="0" w:firstRowFirstColumn="0" w:firstRowLastColumn="0" w:lastRowFirstColumn="0" w:lastRowLastColumn="0"/>
            <w:tcW w:w="3888" w:type="dxa"/>
          </w:tcPr>
          <w:p w:rsidR="00AA7538" w:rsidRDefault="00AA7538" w:rsidP="00AA7E62">
            <w:r>
              <w:t>Rate of Return</w:t>
            </w:r>
          </w:p>
        </w:tc>
        <w:tc>
          <w:tcPr>
            <w:tcW w:w="1800" w:type="dxa"/>
          </w:tcPr>
          <w:p w:rsidR="00AA7538" w:rsidRPr="00C9718A" w:rsidRDefault="00AA7538" w:rsidP="00AA7538">
            <w:pPr>
              <w:jc w:val="right"/>
              <w:cnfStyle w:val="000000000000" w:firstRow="0" w:lastRow="0" w:firstColumn="0" w:lastColumn="0" w:oddVBand="0" w:evenVBand="0" w:oddHBand="0" w:evenHBand="0" w:firstRowFirstColumn="0" w:firstRowLastColumn="0" w:lastRowFirstColumn="0" w:lastRowLastColumn="0"/>
              <w:rPr>
                <w:b w:val="0"/>
                <w:u w:val="double"/>
              </w:rPr>
            </w:pPr>
            <w:r w:rsidRPr="00C9718A">
              <w:rPr>
                <w:b w:val="0"/>
                <w:u w:val="double"/>
              </w:rPr>
              <w:t>8.03%</w:t>
            </w:r>
          </w:p>
        </w:tc>
        <w:tc>
          <w:tcPr>
            <w:tcW w:w="1800" w:type="dxa"/>
          </w:tcPr>
          <w:p w:rsidR="00AA7538" w:rsidRPr="00C9718A" w:rsidRDefault="00D567A1" w:rsidP="00F420B4">
            <w:pPr>
              <w:jc w:val="right"/>
              <w:cnfStyle w:val="000000000000" w:firstRow="0" w:lastRow="0" w:firstColumn="0" w:lastColumn="0" w:oddVBand="0" w:evenVBand="0" w:oddHBand="0" w:evenHBand="0" w:firstRowFirstColumn="0" w:firstRowLastColumn="0" w:lastRowFirstColumn="0" w:lastRowLastColumn="0"/>
              <w:rPr>
                <w:b w:val="0"/>
                <w:u w:val="double"/>
              </w:rPr>
            </w:pPr>
            <w:r>
              <w:rPr>
                <w:b w:val="0"/>
                <w:u w:val="double"/>
              </w:rPr>
              <w:t>7.22</w:t>
            </w:r>
            <w:r w:rsidR="00F420B4" w:rsidRPr="00C9718A">
              <w:rPr>
                <w:b w:val="0"/>
                <w:u w:val="double"/>
              </w:rPr>
              <w:t>%</w:t>
            </w:r>
          </w:p>
        </w:tc>
      </w:tr>
      <w:tr w:rsidR="00AA7538" w:rsidTr="00F420B4">
        <w:tc>
          <w:tcPr>
            <w:cnfStyle w:val="001000000000" w:firstRow="0" w:lastRow="0" w:firstColumn="1" w:lastColumn="0" w:oddVBand="0" w:evenVBand="0" w:oddHBand="0" w:evenHBand="0" w:firstRowFirstColumn="0" w:firstRowLastColumn="0" w:lastRowFirstColumn="0" w:lastRowLastColumn="0"/>
            <w:tcW w:w="3888" w:type="dxa"/>
          </w:tcPr>
          <w:p w:rsidR="00AA7538" w:rsidRDefault="00AA7538" w:rsidP="00AA7E62"/>
        </w:tc>
        <w:tc>
          <w:tcPr>
            <w:tcW w:w="1800" w:type="dxa"/>
          </w:tcPr>
          <w:p w:rsidR="00AA7538"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rPr>
            </w:pPr>
          </w:p>
        </w:tc>
        <w:tc>
          <w:tcPr>
            <w:tcW w:w="1800" w:type="dxa"/>
          </w:tcPr>
          <w:p w:rsidR="00AA7538" w:rsidRPr="00F420B4" w:rsidRDefault="00AA7538" w:rsidP="00F420B4">
            <w:pPr>
              <w:jc w:val="right"/>
              <w:cnfStyle w:val="000000000000" w:firstRow="0" w:lastRow="0" w:firstColumn="0" w:lastColumn="0" w:oddVBand="0" w:evenVBand="0" w:oddHBand="0" w:evenHBand="0" w:firstRowFirstColumn="0" w:firstRowLastColumn="0" w:lastRowFirstColumn="0" w:lastRowLastColumn="0"/>
              <w:rPr>
                <w:b w:val="0"/>
              </w:rPr>
            </w:pPr>
          </w:p>
        </w:tc>
      </w:tr>
      <w:tr w:rsidR="00AA7E62" w:rsidTr="00F420B4">
        <w:tc>
          <w:tcPr>
            <w:cnfStyle w:val="001000000000" w:firstRow="0" w:lastRow="0" w:firstColumn="1" w:lastColumn="0" w:oddVBand="0" w:evenVBand="0" w:oddHBand="0" w:evenHBand="0" w:firstRowFirstColumn="0" w:firstRowLastColumn="0" w:lastRowFirstColumn="0" w:lastRowLastColumn="0"/>
            <w:tcW w:w="3888" w:type="dxa"/>
          </w:tcPr>
          <w:p w:rsidR="00AA7E62" w:rsidRDefault="00AA7538" w:rsidP="00AA7E62">
            <w:r>
              <w:t>Return on Net Book Value</w:t>
            </w:r>
          </w:p>
        </w:tc>
        <w:tc>
          <w:tcPr>
            <w:tcW w:w="1800" w:type="dxa"/>
          </w:tcPr>
          <w:p w:rsidR="00AA7E62"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rPr>
            </w:pPr>
            <w:r w:rsidRPr="00F420B4">
              <w:rPr>
                <w:b w:val="0"/>
              </w:rPr>
              <w:t>$45,287</w:t>
            </w:r>
          </w:p>
        </w:tc>
        <w:tc>
          <w:tcPr>
            <w:tcW w:w="1800" w:type="dxa"/>
          </w:tcPr>
          <w:p w:rsidR="00AA7E62" w:rsidRPr="00F420B4" w:rsidRDefault="00D567A1" w:rsidP="00F420B4">
            <w:pPr>
              <w:jc w:val="right"/>
              <w:cnfStyle w:val="000000000000" w:firstRow="0" w:lastRow="0" w:firstColumn="0" w:lastColumn="0" w:oddVBand="0" w:evenVBand="0" w:oddHBand="0" w:evenHBand="0" w:firstRowFirstColumn="0" w:firstRowLastColumn="0" w:lastRowFirstColumn="0" w:lastRowLastColumn="0"/>
              <w:rPr>
                <w:b w:val="0"/>
              </w:rPr>
            </w:pPr>
            <w:r>
              <w:rPr>
                <w:b w:val="0"/>
              </w:rPr>
              <w:t>$26,259</w:t>
            </w:r>
          </w:p>
        </w:tc>
      </w:tr>
      <w:tr w:rsidR="00AA7E62" w:rsidTr="00F420B4">
        <w:tc>
          <w:tcPr>
            <w:cnfStyle w:val="001000000000" w:firstRow="0" w:lastRow="0" w:firstColumn="1" w:lastColumn="0" w:oddVBand="0" w:evenVBand="0" w:oddHBand="0" w:evenHBand="0" w:firstRowFirstColumn="0" w:firstRowLastColumn="0" w:lastRowFirstColumn="0" w:lastRowLastColumn="0"/>
            <w:tcW w:w="3888" w:type="dxa"/>
          </w:tcPr>
          <w:p w:rsidR="00AA7E62" w:rsidRDefault="00AA7538" w:rsidP="00AA7E62">
            <w:r>
              <w:t>Depreciation Expense</w:t>
            </w:r>
          </w:p>
        </w:tc>
        <w:tc>
          <w:tcPr>
            <w:tcW w:w="1800" w:type="dxa"/>
          </w:tcPr>
          <w:p w:rsidR="00AA7E62"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u w:val="single"/>
              </w:rPr>
            </w:pPr>
            <w:r w:rsidRPr="00F420B4">
              <w:rPr>
                <w:b w:val="0"/>
                <w:u w:val="single"/>
              </w:rPr>
              <w:t>19,735</w:t>
            </w:r>
          </w:p>
        </w:tc>
        <w:tc>
          <w:tcPr>
            <w:tcW w:w="1800" w:type="dxa"/>
          </w:tcPr>
          <w:p w:rsidR="00AA7E62" w:rsidRPr="00F420B4" w:rsidRDefault="00F420B4" w:rsidP="00F420B4">
            <w:pPr>
              <w:jc w:val="right"/>
              <w:cnfStyle w:val="000000000000" w:firstRow="0" w:lastRow="0" w:firstColumn="0" w:lastColumn="0" w:oddVBand="0" w:evenVBand="0" w:oddHBand="0" w:evenHBand="0" w:firstRowFirstColumn="0" w:firstRowLastColumn="0" w:lastRowFirstColumn="0" w:lastRowLastColumn="0"/>
              <w:rPr>
                <w:b w:val="0"/>
                <w:u w:val="single"/>
              </w:rPr>
            </w:pPr>
            <w:r w:rsidRPr="00F420B4">
              <w:rPr>
                <w:b w:val="0"/>
                <w:u w:val="single"/>
              </w:rPr>
              <w:t>19,735</w:t>
            </w:r>
          </w:p>
        </w:tc>
      </w:tr>
      <w:tr w:rsidR="00AA7E62" w:rsidTr="00F420B4">
        <w:tc>
          <w:tcPr>
            <w:cnfStyle w:val="001000000000" w:firstRow="0" w:lastRow="0" w:firstColumn="1" w:lastColumn="0" w:oddVBand="0" w:evenVBand="0" w:oddHBand="0" w:evenHBand="0" w:firstRowFirstColumn="0" w:firstRowLastColumn="0" w:lastRowFirstColumn="0" w:lastRowLastColumn="0"/>
            <w:tcW w:w="3888" w:type="dxa"/>
          </w:tcPr>
          <w:p w:rsidR="00AA7E62" w:rsidRDefault="00AA7538" w:rsidP="00AA7E62">
            <w:r>
              <w:t>Annual Amortization Expense</w:t>
            </w:r>
          </w:p>
        </w:tc>
        <w:tc>
          <w:tcPr>
            <w:tcW w:w="1800" w:type="dxa"/>
          </w:tcPr>
          <w:p w:rsidR="00AA7E62"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rPr>
            </w:pPr>
            <w:r w:rsidRPr="0066438F">
              <w:rPr>
                <w:b w:val="0"/>
                <w:u w:val="double"/>
              </w:rPr>
              <w:t>$</w:t>
            </w:r>
            <w:r w:rsidRPr="00F420B4">
              <w:rPr>
                <w:b w:val="0"/>
                <w:u w:val="double"/>
              </w:rPr>
              <w:t>65,022</w:t>
            </w:r>
          </w:p>
        </w:tc>
        <w:tc>
          <w:tcPr>
            <w:tcW w:w="1800" w:type="dxa"/>
          </w:tcPr>
          <w:p w:rsidR="00AA7E62" w:rsidRPr="00F420B4" w:rsidRDefault="00F420B4" w:rsidP="00F420B4">
            <w:pPr>
              <w:jc w:val="right"/>
              <w:cnfStyle w:val="000000000000" w:firstRow="0" w:lastRow="0" w:firstColumn="0" w:lastColumn="0" w:oddVBand="0" w:evenVBand="0" w:oddHBand="0" w:evenHBand="0" w:firstRowFirstColumn="0" w:firstRowLastColumn="0" w:lastRowFirstColumn="0" w:lastRowLastColumn="0"/>
              <w:rPr>
                <w:b w:val="0"/>
              </w:rPr>
            </w:pPr>
            <w:r w:rsidRPr="0066438F">
              <w:rPr>
                <w:b w:val="0"/>
                <w:u w:val="double"/>
              </w:rPr>
              <w:t>$</w:t>
            </w:r>
            <w:r w:rsidR="00D567A1">
              <w:rPr>
                <w:b w:val="0"/>
                <w:u w:val="double"/>
              </w:rPr>
              <w:t>45,994</w:t>
            </w:r>
          </w:p>
        </w:tc>
      </w:tr>
      <w:tr w:rsidR="00AA7E62" w:rsidTr="00F420B4">
        <w:tc>
          <w:tcPr>
            <w:cnfStyle w:val="001000000000" w:firstRow="0" w:lastRow="0" w:firstColumn="1" w:lastColumn="0" w:oddVBand="0" w:evenVBand="0" w:oddHBand="0" w:evenHBand="0" w:firstRowFirstColumn="0" w:firstRowLastColumn="0" w:lastRowFirstColumn="0" w:lastRowLastColumn="0"/>
            <w:tcW w:w="3888" w:type="dxa"/>
          </w:tcPr>
          <w:p w:rsidR="00AA7E62" w:rsidRDefault="00AA7E62" w:rsidP="00AA7E62"/>
        </w:tc>
        <w:tc>
          <w:tcPr>
            <w:tcW w:w="1800" w:type="dxa"/>
          </w:tcPr>
          <w:p w:rsidR="00AA7E62" w:rsidRPr="00F420B4" w:rsidRDefault="00AA7E62" w:rsidP="00AA7538">
            <w:pPr>
              <w:jc w:val="right"/>
              <w:cnfStyle w:val="000000000000" w:firstRow="0" w:lastRow="0" w:firstColumn="0" w:lastColumn="0" w:oddVBand="0" w:evenVBand="0" w:oddHBand="0" w:evenHBand="0" w:firstRowFirstColumn="0" w:firstRowLastColumn="0" w:lastRowFirstColumn="0" w:lastRowLastColumn="0"/>
              <w:rPr>
                <w:b w:val="0"/>
              </w:rPr>
            </w:pPr>
          </w:p>
        </w:tc>
        <w:tc>
          <w:tcPr>
            <w:tcW w:w="1800" w:type="dxa"/>
          </w:tcPr>
          <w:p w:rsidR="00AA7E62" w:rsidRPr="00F420B4" w:rsidRDefault="00AA7E62" w:rsidP="00F420B4">
            <w:pPr>
              <w:jc w:val="right"/>
              <w:cnfStyle w:val="000000000000" w:firstRow="0" w:lastRow="0" w:firstColumn="0" w:lastColumn="0" w:oddVBand="0" w:evenVBand="0" w:oddHBand="0" w:evenHBand="0" w:firstRowFirstColumn="0" w:firstRowLastColumn="0" w:lastRowFirstColumn="0" w:lastRowLastColumn="0"/>
              <w:rPr>
                <w:b w:val="0"/>
              </w:rPr>
            </w:pPr>
          </w:p>
        </w:tc>
      </w:tr>
      <w:tr w:rsidR="00AA7E62" w:rsidTr="00F420B4">
        <w:tc>
          <w:tcPr>
            <w:cnfStyle w:val="001000000000" w:firstRow="0" w:lastRow="0" w:firstColumn="1" w:lastColumn="0" w:oddVBand="0" w:evenVBand="0" w:oddHBand="0" w:evenHBand="0" w:firstRowFirstColumn="0" w:firstRowLastColumn="0" w:lastRowFirstColumn="0" w:lastRowLastColumn="0"/>
            <w:tcW w:w="3888" w:type="dxa"/>
          </w:tcPr>
          <w:p w:rsidR="00AA7E62" w:rsidRDefault="00AA7538" w:rsidP="00AA7E62">
            <w:r>
              <w:t xml:space="preserve">Amortization Period </w:t>
            </w:r>
          </w:p>
        </w:tc>
        <w:tc>
          <w:tcPr>
            <w:tcW w:w="1800" w:type="dxa"/>
          </w:tcPr>
          <w:p w:rsidR="00AA7E62" w:rsidRPr="00F420B4" w:rsidRDefault="00AA7538" w:rsidP="00AA7538">
            <w:pPr>
              <w:jc w:val="right"/>
              <w:cnfStyle w:val="000000000000" w:firstRow="0" w:lastRow="0" w:firstColumn="0" w:lastColumn="0" w:oddVBand="0" w:evenVBand="0" w:oddHBand="0" w:evenHBand="0" w:firstRowFirstColumn="0" w:firstRowLastColumn="0" w:lastRowFirstColumn="0" w:lastRowLastColumn="0"/>
              <w:rPr>
                <w:b w:val="0"/>
              </w:rPr>
            </w:pPr>
            <w:r w:rsidRPr="00F420B4">
              <w:rPr>
                <w:b w:val="0"/>
              </w:rPr>
              <w:t>8.67 Years</w:t>
            </w:r>
          </w:p>
        </w:tc>
        <w:tc>
          <w:tcPr>
            <w:tcW w:w="1800" w:type="dxa"/>
          </w:tcPr>
          <w:p w:rsidR="00AA7E62" w:rsidRPr="00F420B4" w:rsidRDefault="00D567A1" w:rsidP="00F420B4">
            <w:pPr>
              <w:jc w:val="right"/>
              <w:cnfStyle w:val="000000000000" w:firstRow="0" w:lastRow="0" w:firstColumn="0" w:lastColumn="0" w:oddVBand="0" w:evenVBand="0" w:oddHBand="0" w:evenHBand="0" w:firstRowFirstColumn="0" w:firstRowLastColumn="0" w:lastRowFirstColumn="0" w:lastRowLastColumn="0"/>
              <w:rPr>
                <w:b w:val="0"/>
              </w:rPr>
            </w:pPr>
            <w:r>
              <w:rPr>
                <w:b w:val="0"/>
              </w:rPr>
              <w:t>12.26</w:t>
            </w:r>
            <w:r w:rsidR="00F420B4" w:rsidRPr="00F420B4">
              <w:rPr>
                <w:b w:val="0"/>
              </w:rPr>
              <w:t xml:space="preserve"> Years</w:t>
            </w:r>
          </w:p>
        </w:tc>
      </w:tr>
    </w:tbl>
    <w:p w:rsidR="00AA7E62" w:rsidRDefault="00AA7E62">
      <w:pPr>
        <w:pStyle w:val="BodyText"/>
      </w:pPr>
    </w:p>
    <w:p w:rsidR="008571D2" w:rsidRDefault="008571D2" w:rsidP="008571D2">
      <w:pPr>
        <w:pStyle w:val="Second-LevelSubheading"/>
      </w:pPr>
      <w:r>
        <w:t>O&amp;M Expense</w:t>
      </w:r>
    </w:p>
    <w:p w:rsidR="008571D2" w:rsidRDefault="00341DB1">
      <w:pPr>
        <w:pStyle w:val="BodyText"/>
      </w:pPr>
      <w:r>
        <w:t>UIF requested an increase of $56,941 to O&amp;M expense. The increase is based on increases for purchased water expense and rate case expense that are partially offset by a decrease in O&amp;M expense related to the abandoned wells.</w:t>
      </w:r>
    </w:p>
    <w:p w:rsidR="00F65585" w:rsidRDefault="00F65585" w:rsidP="00F65585">
      <w:pPr>
        <w:pStyle w:val="Third-LevelSubheading"/>
      </w:pPr>
      <w:r>
        <w:t>Well Abandonment</w:t>
      </w:r>
      <w:r w:rsidR="00341DB1">
        <w:t xml:space="preserve"> O&amp;M</w:t>
      </w:r>
      <w:r w:rsidR="00A00748">
        <w:t xml:space="preserve"> Expense</w:t>
      </w:r>
    </w:p>
    <w:p w:rsidR="00F65585" w:rsidRDefault="00BD106F">
      <w:pPr>
        <w:pStyle w:val="BodyText"/>
      </w:pPr>
      <w:r>
        <w:t>UIF included an O&amp;M expense decrease of $46,245 related to the well abandonments</w:t>
      </w:r>
      <w:r w:rsidR="00EC3257">
        <w:t>.</w:t>
      </w:r>
      <w:r w:rsidR="00CF4B65">
        <w:rPr>
          <w:rStyle w:val="FootnoteReference"/>
        </w:rPr>
        <w:footnoteReference w:id="16"/>
      </w:r>
      <w:r>
        <w:t xml:space="preserve"> This</w:t>
      </w:r>
      <w:r w:rsidR="00CF4B65">
        <w:t xml:space="preserve"> was an annualized amount</w:t>
      </w:r>
      <w:r>
        <w:t xml:space="preserve"> based on actual O&amp;M expenses for the 11 months ended </w:t>
      </w:r>
      <w:r w:rsidR="005A1534">
        <w:t>November</w:t>
      </w:r>
      <w:r>
        <w:t xml:space="preserve"> 30, 2015. </w:t>
      </w:r>
      <w:r w:rsidR="00DA41EC">
        <w:t xml:space="preserve">In response to a staff data request, the Utility updated the amounts to include the actual amounts for the 12 months ended December 31, 2015. </w:t>
      </w:r>
      <w:r w:rsidR="00632071">
        <w:t>This resulted in a $48,609 decrease in O&amp;M expenses.</w:t>
      </w:r>
      <w:r w:rsidR="00632071">
        <w:rPr>
          <w:rStyle w:val="FootnoteReference"/>
        </w:rPr>
        <w:footnoteReference w:id="17"/>
      </w:r>
      <w:r w:rsidR="00632071">
        <w:t xml:space="preserve"> </w:t>
      </w:r>
      <w:r w:rsidR="00B05805">
        <w:t>Staff has reviewed the items included in the O&amp;M expense reduction and they appear to be appropriate. The calculation of the $48,609 O&amp;M expense reduction is shown in Table 1-2 below.</w:t>
      </w:r>
    </w:p>
    <w:p w:rsidR="00841BA1" w:rsidRDefault="00841BA1">
      <w:pPr>
        <w:pStyle w:val="BodyText"/>
      </w:pPr>
    </w:p>
    <w:p w:rsidR="00632071" w:rsidRDefault="00632071" w:rsidP="00632071">
      <w:pPr>
        <w:pStyle w:val="TableNumber"/>
        <w:keepNext/>
      </w:pPr>
      <w:r>
        <w:t xml:space="preserve">Table </w:t>
      </w:r>
      <w:fldSimple w:instr=" SEQ Issue \c ">
        <w:r w:rsidR="00AF2F30">
          <w:rPr>
            <w:noProof/>
          </w:rPr>
          <w:t>1</w:t>
        </w:r>
      </w:fldSimple>
      <w:r>
        <w:t>-2</w:t>
      </w:r>
    </w:p>
    <w:p w:rsidR="00632071" w:rsidRDefault="00632071" w:rsidP="00632071">
      <w:pPr>
        <w:pStyle w:val="TableTitle"/>
        <w:keepNext/>
      </w:pPr>
      <w:r>
        <w:t xml:space="preserve">Well </w:t>
      </w:r>
      <w:r w:rsidR="005A1534">
        <w:t>Abandonment</w:t>
      </w:r>
      <w:r w:rsidR="00586D15">
        <w:t xml:space="preserve"> O&amp;M Expense</w:t>
      </w:r>
    </w:p>
    <w:tbl>
      <w:tblPr>
        <w:tblStyle w:val="TableColumns1"/>
        <w:tblW w:w="0" w:type="auto"/>
        <w:tblInd w:w="1248" w:type="dxa"/>
        <w:tblLook w:val="04A0" w:firstRow="1" w:lastRow="0" w:firstColumn="1" w:lastColumn="0" w:noHBand="0" w:noVBand="1"/>
      </w:tblPr>
      <w:tblGrid>
        <w:gridCol w:w="4788"/>
        <w:gridCol w:w="2070"/>
      </w:tblGrid>
      <w:tr w:rsidR="00632071" w:rsidTr="00592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vAlign w:val="center"/>
          </w:tcPr>
          <w:p w:rsidR="00632071" w:rsidRPr="006C36E1" w:rsidRDefault="002B2114" w:rsidP="00592AEC">
            <w:pPr>
              <w:jc w:val="center"/>
            </w:pPr>
            <w:r w:rsidRPr="006C36E1">
              <w:t>Expense Category</w:t>
            </w:r>
          </w:p>
        </w:tc>
        <w:tc>
          <w:tcPr>
            <w:tcW w:w="2070" w:type="dxa"/>
          </w:tcPr>
          <w:p w:rsidR="00632071" w:rsidRPr="006C36E1" w:rsidRDefault="00586D15" w:rsidP="00632071">
            <w:pPr>
              <w:cnfStyle w:val="100000000000" w:firstRow="1" w:lastRow="0" w:firstColumn="0" w:lastColumn="0" w:oddVBand="0" w:evenVBand="0" w:oddHBand="0" w:evenHBand="0" w:firstRowFirstColumn="0" w:firstRowLastColumn="0" w:lastRowFirstColumn="0" w:lastRowLastColumn="0"/>
            </w:pPr>
            <w:r>
              <w:t xml:space="preserve">        </w:t>
            </w:r>
            <w:r w:rsidR="002B2114" w:rsidRPr="006C36E1">
              <w:t>Amount</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r>
              <w:t>Electric Power – Water System</w:t>
            </w:r>
          </w:p>
        </w:tc>
        <w:tc>
          <w:tcPr>
            <w:tcW w:w="2070" w:type="dxa"/>
          </w:tcPr>
          <w:p w:rsidR="00632071" w:rsidRPr="006C36E1" w:rsidRDefault="002B2114" w:rsidP="00632071">
            <w:pPr>
              <w:cnfStyle w:val="000000000000" w:firstRow="0" w:lastRow="0" w:firstColumn="0" w:lastColumn="0" w:oddVBand="0" w:evenVBand="0" w:oddHBand="0" w:evenHBand="0" w:firstRowFirstColumn="0" w:firstRowLastColumn="0" w:lastRowFirstColumn="0" w:lastRowLastColumn="0"/>
              <w:rPr>
                <w:b w:val="0"/>
              </w:rPr>
            </w:pPr>
            <w:r w:rsidRPr="006C36E1">
              <w:rPr>
                <w:b w:val="0"/>
              </w:rPr>
              <w:t xml:space="preserve">       $10,453</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r>
              <w:t>Chemicals</w:t>
            </w:r>
          </w:p>
        </w:tc>
        <w:tc>
          <w:tcPr>
            <w:tcW w:w="2070" w:type="dxa"/>
          </w:tcPr>
          <w:p w:rsidR="00632071" w:rsidRPr="006C36E1" w:rsidRDefault="002B2114" w:rsidP="00632071">
            <w:pPr>
              <w:cnfStyle w:val="000000000000" w:firstRow="0" w:lastRow="0" w:firstColumn="0" w:lastColumn="0" w:oddVBand="0" w:evenVBand="0" w:oddHBand="0" w:evenHBand="0" w:firstRowFirstColumn="0" w:firstRowLastColumn="0" w:lastRowFirstColumn="0" w:lastRowLastColumn="0"/>
              <w:rPr>
                <w:b w:val="0"/>
              </w:rPr>
            </w:pPr>
            <w:r w:rsidRPr="006C36E1">
              <w:rPr>
                <w:b w:val="0"/>
              </w:rPr>
              <w:t xml:space="preserve">         11,769</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r>
              <w:t>Outside Service Expense</w:t>
            </w:r>
          </w:p>
        </w:tc>
        <w:tc>
          <w:tcPr>
            <w:tcW w:w="2070" w:type="dxa"/>
          </w:tcPr>
          <w:p w:rsidR="00632071" w:rsidRPr="006C36E1" w:rsidRDefault="002B2114" w:rsidP="00632071">
            <w:pPr>
              <w:cnfStyle w:val="000000000000" w:firstRow="0" w:lastRow="0" w:firstColumn="0" w:lastColumn="0" w:oddVBand="0" w:evenVBand="0" w:oddHBand="0" w:evenHBand="0" w:firstRowFirstColumn="0" w:firstRowLastColumn="0" w:lastRowFirstColumn="0" w:lastRowLastColumn="0"/>
              <w:rPr>
                <w:b w:val="0"/>
              </w:rPr>
            </w:pPr>
            <w:r w:rsidRPr="006C36E1">
              <w:rPr>
                <w:b w:val="0"/>
              </w:rPr>
              <w:t xml:space="preserve">           1,260</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r>
              <w:t>Salaries and Wages</w:t>
            </w:r>
          </w:p>
        </w:tc>
        <w:tc>
          <w:tcPr>
            <w:tcW w:w="2070" w:type="dxa"/>
          </w:tcPr>
          <w:p w:rsidR="00632071" w:rsidRPr="006C36E1" w:rsidRDefault="002B2114" w:rsidP="00632071">
            <w:pPr>
              <w:cnfStyle w:val="000000000000" w:firstRow="0" w:lastRow="0" w:firstColumn="0" w:lastColumn="0" w:oddVBand="0" w:evenVBand="0" w:oddHBand="0" w:evenHBand="0" w:firstRowFirstColumn="0" w:firstRowLastColumn="0" w:lastRowFirstColumn="0" w:lastRowLastColumn="0"/>
              <w:rPr>
                <w:b w:val="0"/>
              </w:rPr>
            </w:pPr>
            <w:r w:rsidRPr="006C36E1">
              <w:rPr>
                <w:b w:val="0"/>
              </w:rPr>
              <w:t xml:space="preserve">           3,000</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r>
              <w:t>Fleet Transportation Expense</w:t>
            </w:r>
          </w:p>
        </w:tc>
        <w:tc>
          <w:tcPr>
            <w:tcW w:w="2070" w:type="dxa"/>
          </w:tcPr>
          <w:p w:rsidR="00632071" w:rsidRPr="006C36E1" w:rsidRDefault="002B2114" w:rsidP="00632071">
            <w:pPr>
              <w:cnfStyle w:val="000000000000" w:firstRow="0" w:lastRow="0" w:firstColumn="0" w:lastColumn="0" w:oddVBand="0" w:evenVBand="0" w:oddHBand="0" w:evenHBand="0" w:firstRowFirstColumn="0" w:firstRowLastColumn="0" w:lastRowFirstColumn="0" w:lastRowLastColumn="0"/>
              <w:rPr>
                <w:b w:val="0"/>
              </w:rPr>
            </w:pPr>
            <w:r w:rsidRPr="006C36E1">
              <w:rPr>
                <w:b w:val="0"/>
              </w:rPr>
              <w:t xml:space="preserve">           1,000</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r>
              <w:t>Maintenance Testing</w:t>
            </w:r>
          </w:p>
        </w:tc>
        <w:tc>
          <w:tcPr>
            <w:tcW w:w="2070" w:type="dxa"/>
          </w:tcPr>
          <w:p w:rsidR="00632071" w:rsidRPr="006C36E1" w:rsidRDefault="002B2114" w:rsidP="00632071">
            <w:pPr>
              <w:cnfStyle w:val="000000000000" w:firstRow="0" w:lastRow="0" w:firstColumn="0" w:lastColumn="0" w:oddVBand="0" w:evenVBand="0" w:oddHBand="0" w:evenHBand="0" w:firstRowFirstColumn="0" w:firstRowLastColumn="0" w:lastRowFirstColumn="0" w:lastRowLastColumn="0"/>
              <w:rPr>
                <w:b w:val="0"/>
              </w:rPr>
            </w:pPr>
            <w:r w:rsidRPr="006C36E1">
              <w:rPr>
                <w:b w:val="0"/>
              </w:rPr>
              <w:t xml:space="preserve">           6,000</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r>
              <w:t>Maintenance – Water Plant</w:t>
            </w:r>
          </w:p>
        </w:tc>
        <w:tc>
          <w:tcPr>
            <w:tcW w:w="2070" w:type="dxa"/>
          </w:tcPr>
          <w:p w:rsidR="00632071" w:rsidRPr="006C36E1" w:rsidRDefault="002B2114" w:rsidP="00632071">
            <w:pPr>
              <w:cnfStyle w:val="000000000000" w:firstRow="0" w:lastRow="0" w:firstColumn="0" w:lastColumn="0" w:oddVBand="0" w:evenVBand="0" w:oddHBand="0" w:evenHBand="0" w:firstRowFirstColumn="0" w:firstRowLastColumn="0" w:lastRowFirstColumn="0" w:lastRowLastColumn="0"/>
              <w:rPr>
                <w:b w:val="0"/>
                <w:u w:val="single"/>
              </w:rPr>
            </w:pPr>
            <w:r w:rsidRPr="006C36E1">
              <w:rPr>
                <w:b w:val="0"/>
              </w:rPr>
              <w:t xml:space="preserve">         </w:t>
            </w:r>
            <w:r w:rsidRPr="006C36E1">
              <w:rPr>
                <w:b w:val="0"/>
                <w:u w:val="single"/>
              </w:rPr>
              <w:t>15,127</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r>
              <w:t>Total</w:t>
            </w:r>
            <w:r w:rsidR="002B2114">
              <w:t xml:space="preserve"> O&amp;M Decrease </w:t>
            </w:r>
          </w:p>
        </w:tc>
        <w:tc>
          <w:tcPr>
            <w:tcW w:w="2070" w:type="dxa"/>
          </w:tcPr>
          <w:p w:rsidR="00632071" w:rsidRPr="006C36E1" w:rsidRDefault="002B2114" w:rsidP="00FD75B2">
            <w:pPr>
              <w:cnfStyle w:val="000000000000" w:firstRow="0" w:lastRow="0" w:firstColumn="0" w:lastColumn="0" w:oddVBand="0" w:evenVBand="0" w:oddHBand="0" w:evenHBand="0" w:firstRowFirstColumn="0" w:firstRowLastColumn="0" w:lastRowFirstColumn="0" w:lastRowLastColumn="0"/>
              <w:rPr>
                <w:b w:val="0"/>
              </w:rPr>
            </w:pPr>
            <w:r w:rsidRPr="006C36E1">
              <w:rPr>
                <w:b w:val="0"/>
              </w:rPr>
              <w:t xml:space="preserve">       </w:t>
            </w:r>
            <w:r w:rsidR="00FD75B2" w:rsidRPr="00FD75B2">
              <w:rPr>
                <w:b w:val="0"/>
                <w:u w:val="double"/>
              </w:rPr>
              <w:t>$</w:t>
            </w:r>
            <w:r w:rsidRPr="006C36E1">
              <w:rPr>
                <w:b w:val="0"/>
                <w:u w:val="double"/>
              </w:rPr>
              <w:t>48,609</w:t>
            </w:r>
          </w:p>
        </w:tc>
      </w:tr>
      <w:tr w:rsidR="00632071" w:rsidTr="006C36E1">
        <w:tc>
          <w:tcPr>
            <w:cnfStyle w:val="001000000000" w:firstRow="0" w:lastRow="0" w:firstColumn="1" w:lastColumn="0" w:oddVBand="0" w:evenVBand="0" w:oddHBand="0" w:evenHBand="0" w:firstRowFirstColumn="0" w:firstRowLastColumn="0" w:lastRowFirstColumn="0" w:lastRowLastColumn="0"/>
            <w:tcW w:w="4788" w:type="dxa"/>
          </w:tcPr>
          <w:p w:rsidR="00632071" w:rsidRDefault="00632071" w:rsidP="00632071"/>
        </w:tc>
        <w:tc>
          <w:tcPr>
            <w:tcW w:w="2070" w:type="dxa"/>
          </w:tcPr>
          <w:p w:rsidR="00632071" w:rsidRDefault="00632071" w:rsidP="00632071">
            <w:pPr>
              <w:cnfStyle w:val="000000000000" w:firstRow="0" w:lastRow="0" w:firstColumn="0" w:lastColumn="0" w:oddVBand="0" w:evenVBand="0" w:oddHBand="0" w:evenHBand="0" w:firstRowFirstColumn="0" w:firstRowLastColumn="0" w:lastRowFirstColumn="0" w:lastRowLastColumn="0"/>
            </w:pPr>
          </w:p>
        </w:tc>
      </w:tr>
    </w:tbl>
    <w:p w:rsidR="00841BA1" w:rsidRDefault="00841BA1" w:rsidP="008571D2">
      <w:pPr>
        <w:pStyle w:val="Third-LevelSubheading"/>
      </w:pPr>
    </w:p>
    <w:p w:rsidR="008571D2" w:rsidRDefault="008571D2" w:rsidP="008571D2">
      <w:pPr>
        <w:pStyle w:val="Third-LevelSubheading"/>
      </w:pPr>
      <w:r>
        <w:t>Purchased Water Expense</w:t>
      </w:r>
    </w:p>
    <w:p w:rsidR="00AB0827" w:rsidRDefault="00593151" w:rsidP="008571D2">
      <w:pPr>
        <w:pStyle w:val="BodyText"/>
      </w:pPr>
      <w:r>
        <w:t xml:space="preserve">UIF sold 55.5 million gallons of water in the Summertree subdivision during 2014. In calculating the purchased water expense necessary to replace the water </w:t>
      </w:r>
      <w:r w:rsidR="00D264FB">
        <w:t xml:space="preserve">previously </w:t>
      </w:r>
      <w:r>
        <w:t xml:space="preserve">produced by its abandoned wells, the Utility reduced the gallons sold by 32.4 million gallons to reflect the reduction in irrigation-related sales. In determining the total gallons of water to be purchased, UIF </w:t>
      </w:r>
      <w:r w:rsidR="00D264FB">
        <w:t xml:space="preserve">added 2.3 million gallons (10 percent) for flushing and another 2.3 million gallons (10 percent) for other losses. </w:t>
      </w:r>
      <w:r w:rsidR="008F1EF2" w:rsidRPr="006F22D4">
        <w:t>Per Rule 25-30.4325(1)(e), F.A.C., excessive unaccounted for water (EUW) is unaccounted water in excess of 10 percent of the amount of water produced. In rate cases, it is Commission practice to only make EUW adjustments if the 10 percent threshold is exceeded.</w:t>
      </w:r>
      <w:r w:rsidR="008F1EF2" w:rsidRPr="006F22D4">
        <w:rPr>
          <w:rStyle w:val="FootnoteReference"/>
        </w:rPr>
        <w:footnoteReference w:id="18"/>
      </w:r>
      <w:r w:rsidR="008F1EF2" w:rsidRPr="006F22D4">
        <w:t xml:space="preserve"> In staff’s opinion, UIF’s estimated 10 percent factor for “other losses” appears to be reasonable.</w:t>
      </w:r>
      <w:r w:rsidR="00AB0827">
        <w:t xml:space="preserve"> </w:t>
      </w:r>
      <w:r w:rsidR="008571D2">
        <w:t>UIF</w:t>
      </w:r>
      <w:r w:rsidR="00E65CEC">
        <w:t xml:space="preserve"> </w:t>
      </w:r>
      <w:r w:rsidR="00D264FB">
        <w:t xml:space="preserve">then </w:t>
      </w:r>
      <w:r w:rsidR="00E65CEC">
        <w:t>calculated an estimated purchased water expense of $99,101 based on the purchase of 27.8 million gallon</w:t>
      </w:r>
      <w:r w:rsidR="00D264FB">
        <w:t>s from Pasco County at a bulk water rate of $3.57/Kgal.</w:t>
      </w:r>
      <w:r w:rsidR="00AB0827">
        <w:t xml:space="preserve"> Staff has reviewed the Utility’s calculation methodology and agrees that it is appropriate.</w:t>
      </w:r>
    </w:p>
    <w:p w:rsidR="009514CD" w:rsidRDefault="009514CD" w:rsidP="008571D2">
      <w:pPr>
        <w:pStyle w:val="BodyText"/>
      </w:pPr>
      <w:r>
        <w:t>In response to a staff data request</w:t>
      </w:r>
      <w:r w:rsidR="00AC496E">
        <w:t xml:space="preserve"> concerning the possible inclusion</w:t>
      </w:r>
      <w:r w:rsidR="00DA2DA3">
        <w:t xml:space="preserve"> of duplicate bills in its calculation</w:t>
      </w:r>
      <w:r w:rsidR="00B90709">
        <w:t xml:space="preserve"> on Schedule No. 15 of its filing</w:t>
      </w:r>
      <w:r>
        <w:t xml:space="preserve">, UIF </w:t>
      </w:r>
      <w:r w:rsidR="00DA2DA3">
        <w:t>updated the amount of the reduced irrigation gallons to 30.7 million.</w:t>
      </w:r>
      <w:r w:rsidR="00DA2DA3">
        <w:rPr>
          <w:rStyle w:val="FootnoteReference"/>
        </w:rPr>
        <w:footnoteReference w:id="19"/>
      </w:r>
      <w:r w:rsidR="00DA2DA3">
        <w:t xml:space="preserve"> </w:t>
      </w:r>
      <w:r w:rsidR="00AB0827">
        <w:t>Using UIF’s methodology and the updated amount of reduced irrigation gallons, staff has calculated a purchased water expense of $106,398. A comparison of the Utility’s calculation and staff’s calcu</w:t>
      </w:r>
      <w:r w:rsidR="000B15D3">
        <w:t>lation is presented in Table 1-3</w:t>
      </w:r>
      <w:r w:rsidR="00AB0827">
        <w:t xml:space="preserve"> below.</w:t>
      </w:r>
    </w:p>
    <w:p w:rsidR="00841BA1" w:rsidRDefault="00841BA1" w:rsidP="008571D2">
      <w:pPr>
        <w:pStyle w:val="BodyText"/>
      </w:pPr>
    </w:p>
    <w:p w:rsidR="00841BA1" w:rsidRDefault="00841BA1" w:rsidP="008571D2">
      <w:pPr>
        <w:pStyle w:val="BodyText"/>
      </w:pPr>
    </w:p>
    <w:p w:rsidR="00841BA1" w:rsidRDefault="00841BA1" w:rsidP="008571D2">
      <w:pPr>
        <w:pStyle w:val="BodyText"/>
      </w:pPr>
    </w:p>
    <w:p w:rsidR="00EC3892" w:rsidRDefault="00EC3892" w:rsidP="00EC3892">
      <w:pPr>
        <w:pStyle w:val="TableNumber"/>
        <w:keepNext/>
      </w:pPr>
      <w:r>
        <w:t xml:space="preserve">Table </w:t>
      </w:r>
      <w:fldSimple w:instr=" SEQ Issue \c ">
        <w:r w:rsidR="00AF2F30">
          <w:rPr>
            <w:noProof/>
          </w:rPr>
          <w:t>1</w:t>
        </w:r>
      </w:fldSimple>
      <w:r w:rsidR="00632071">
        <w:t>-3</w:t>
      </w:r>
    </w:p>
    <w:p w:rsidR="00EC3892" w:rsidRDefault="003B1454" w:rsidP="00EC3892">
      <w:pPr>
        <w:pStyle w:val="TableTitle"/>
        <w:keepNext/>
      </w:pPr>
      <w:r>
        <w:t>Pasco Coun</w:t>
      </w:r>
      <w:r w:rsidR="00E65CEC">
        <w:t>ty Phase II Purchased Water Expense</w:t>
      </w:r>
      <w:r>
        <w:t xml:space="preserve"> Calculation</w:t>
      </w:r>
    </w:p>
    <w:tbl>
      <w:tblPr>
        <w:tblStyle w:val="TableColumns1"/>
        <w:tblW w:w="0" w:type="auto"/>
        <w:tblInd w:w="918" w:type="dxa"/>
        <w:tblLook w:val="04A0" w:firstRow="1" w:lastRow="0" w:firstColumn="1" w:lastColumn="0" w:noHBand="0" w:noVBand="1"/>
      </w:tblPr>
      <w:tblGrid>
        <w:gridCol w:w="4392"/>
        <w:gridCol w:w="1456"/>
        <w:gridCol w:w="432"/>
        <w:gridCol w:w="1456"/>
      </w:tblGrid>
      <w:tr w:rsidR="00F57275" w:rsidTr="00852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tc>
        <w:tc>
          <w:tcPr>
            <w:tcW w:w="1456" w:type="dxa"/>
          </w:tcPr>
          <w:p w:rsidR="00F57275" w:rsidRDefault="00F57275" w:rsidP="00E311A3">
            <w:pPr>
              <w:jc w:val="center"/>
              <w:cnfStyle w:val="100000000000" w:firstRow="1" w:lastRow="0" w:firstColumn="0" w:lastColumn="0" w:oddVBand="0" w:evenVBand="0" w:oddHBand="0" w:evenHBand="0" w:firstRowFirstColumn="0" w:firstRowLastColumn="0" w:lastRowFirstColumn="0" w:lastRowLastColumn="0"/>
            </w:pPr>
            <w:r>
              <w:t>UIF</w:t>
            </w:r>
          </w:p>
        </w:tc>
        <w:tc>
          <w:tcPr>
            <w:tcW w:w="432" w:type="dxa"/>
          </w:tcPr>
          <w:p w:rsidR="00F57275" w:rsidRDefault="00F57275" w:rsidP="00E311A3">
            <w:pPr>
              <w:jc w:val="center"/>
              <w:cnfStyle w:val="100000000000" w:firstRow="1" w:lastRow="0" w:firstColumn="0" w:lastColumn="0" w:oddVBand="0" w:evenVBand="0" w:oddHBand="0" w:evenHBand="0" w:firstRowFirstColumn="0" w:firstRowLastColumn="0" w:lastRowFirstColumn="0" w:lastRowLastColumn="0"/>
            </w:pPr>
          </w:p>
        </w:tc>
        <w:tc>
          <w:tcPr>
            <w:tcW w:w="1456" w:type="dxa"/>
          </w:tcPr>
          <w:p w:rsidR="00F57275" w:rsidRDefault="00586D15" w:rsidP="00E311A3">
            <w:pPr>
              <w:jc w:val="center"/>
              <w:cnfStyle w:val="100000000000" w:firstRow="1" w:lastRow="0" w:firstColumn="0" w:lastColumn="0" w:oddVBand="0" w:evenVBand="0" w:oddHBand="0" w:evenHBand="0" w:firstRowFirstColumn="0" w:firstRowLastColumn="0" w:lastRowFirstColumn="0" w:lastRowLastColumn="0"/>
            </w:pPr>
            <w:r>
              <w:t>Staff</w:t>
            </w:r>
          </w:p>
        </w:tc>
      </w:tr>
      <w:tr w:rsidR="00852B34"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r>
              <w:t>Total Gallons Sold – Summertree (2014)</w:t>
            </w:r>
          </w:p>
        </w:tc>
        <w:tc>
          <w:tcPr>
            <w:tcW w:w="1456" w:type="dxa"/>
            <w:tcBorders>
              <w:bottom w:val="nil"/>
            </w:tcBorders>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E311A3">
              <w:rPr>
                <w:b w:val="0"/>
              </w:rPr>
              <w:t>55,541,000</w:t>
            </w:r>
          </w:p>
        </w:tc>
        <w:tc>
          <w:tcPr>
            <w:tcW w:w="432" w:type="dxa"/>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pPr>
          </w:p>
        </w:tc>
        <w:tc>
          <w:tcPr>
            <w:tcW w:w="1456" w:type="dxa"/>
            <w:tcBorders>
              <w:bottom w:val="nil"/>
            </w:tcBorders>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E311A3">
              <w:rPr>
                <w:b w:val="0"/>
              </w:rPr>
              <w:t>55,541,000</w:t>
            </w:r>
          </w:p>
        </w:tc>
      </w:tr>
      <w:tr w:rsidR="00F57275"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r>
              <w:t>Irrigation Gallons Reduction</w:t>
            </w:r>
          </w:p>
        </w:tc>
        <w:tc>
          <w:tcPr>
            <w:tcW w:w="1456" w:type="dxa"/>
            <w:tcBorders>
              <w:top w:val="nil"/>
              <w:bottom w:val="single" w:sz="4" w:space="0" w:color="auto"/>
            </w:tcBorders>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F57275">
              <w:rPr>
                <w:b w:val="0"/>
              </w:rPr>
              <w:t>(32,408,260)</w:t>
            </w:r>
          </w:p>
        </w:tc>
        <w:tc>
          <w:tcPr>
            <w:tcW w:w="432" w:type="dxa"/>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pPr>
          </w:p>
        </w:tc>
        <w:tc>
          <w:tcPr>
            <w:tcW w:w="1456" w:type="dxa"/>
            <w:tcBorders>
              <w:top w:val="nil"/>
              <w:bottom w:val="single" w:sz="4" w:space="0" w:color="auto"/>
            </w:tcBorders>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F57275">
              <w:rPr>
                <w:b w:val="0"/>
              </w:rPr>
              <w:t>(30,704,830)</w:t>
            </w:r>
          </w:p>
        </w:tc>
      </w:tr>
      <w:tr w:rsidR="00852B34"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r>
              <w:t>Gallons Difference</w:t>
            </w:r>
          </w:p>
        </w:tc>
        <w:tc>
          <w:tcPr>
            <w:tcW w:w="1456" w:type="dxa"/>
            <w:tcBorders>
              <w:top w:val="single" w:sz="4" w:space="0" w:color="auto"/>
            </w:tcBorders>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E311A3">
              <w:rPr>
                <w:b w:val="0"/>
              </w:rPr>
              <w:t>23,132,740</w:t>
            </w:r>
          </w:p>
        </w:tc>
        <w:tc>
          <w:tcPr>
            <w:tcW w:w="432" w:type="dxa"/>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pPr>
          </w:p>
        </w:tc>
        <w:tc>
          <w:tcPr>
            <w:tcW w:w="1456" w:type="dxa"/>
            <w:tcBorders>
              <w:top w:val="single" w:sz="4" w:space="0" w:color="auto"/>
            </w:tcBorders>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E311A3">
              <w:rPr>
                <w:b w:val="0"/>
              </w:rPr>
              <w:t>24,836,170</w:t>
            </w:r>
          </w:p>
        </w:tc>
      </w:tr>
      <w:tr w:rsidR="00852B34"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r>
              <w:t>Water Gallons Needed for Flushing (10%)</w:t>
            </w:r>
          </w:p>
        </w:tc>
        <w:tc>
          <w:tcPr>
            <w:tcW w:w="1456" w:type="dxa"/>
            <w:tcBorders>
              <w:bottom w:val="nil"/>
            </w:tcBorders>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E311A3">
              <w:rPr>
                <w:b w:val="0"/>
              </w:rPr>
              <w:t>2,313,274</w:t>
            </w:r>
          </w:p>
        </w:tc>
        <w:tc>
          <w:tcPr>
            <w:tcW w:w="432" w:type="dxa"/>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pPr>
          </w:p>
        </w:tc>
        <w:tc>
          <w:tcPr>
            <w:tcW w:w="1456" w:type="dxa"/>
            <w:tcBorders>
              <w:bottom w:val="nil"/>
            </w:tcBorders>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E311A3">
              <w:rPr>
                <w:b w:val="0"/>
              </w:rPr>
              <w:t>2,483,617</w:t>
            </w:r>
          </w:p>
        </w:tc>
      </w:tr>
      <w:tr w:rsidR="00F57275"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r>
              <w:t>Other Losses (10%)</w:t>
            </w:r>
          </w:p>
        </w:tc>
        <w:tc>
          <w:tcPr>
            <w:tcW w:w="1456" w:type="dxa"/>
            <w:tcBorders>
              <w:top w:val="nil"/>
              <w:bottom w:val="single" w:sz="4" w:space="0" w:color="auto"/>
            </w:tcBorders>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F57275">
              <w:rPr>
                <w:b w:val="0"/>
              </w:rPr>
              <w:t>2,313,274</w:t>
            </w:r>
          </w:p>
        </w:tc>
        <w:tc>
          <w:tcPr>
            <w:tcW w:w="432" w:type="dxa"/>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pPr>
          </w:p>
        </w:tc>
        <w:tc>
          <w:tcPr>
            <w:tcW w:w="1456" w:type="dxa"/>
            <w:tcBorders>
              <w:top w:val="nil"/>
              <w:bottom w:val="single" w:sz="4" w:space="0" w:color="auto"/>
            </w:tcBorders>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F57275">
              <w:rPr>
                <w:b w:val="0"/>
              </w:rPr>
              <w:t>2,483,617</w:t>
            </w:r>
          </w:p>
        </w:tc>
      </w:tr>
      <w:tr w:rsidR="00F57275"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r>
              <w:t>Total Water Needed From Pasco County</w:t>
            </w:r>
          </w:p>
        </w:tc>
        <w:tc>
          <w:tcPr>
            <w:tcW w:w="1456" w:type="dxa"/>
            <w:tcBorders>
              <w:top w:val="single" w:sz="4" w:space="0" w:color="auto"/>
              <w:bottom w:val="nil"/>
            </w:tcBorders>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E311A3">
              <w:rPr>
                <w:b w:val="0"/>
              </w:rPr>
              <w:t>27,759,288</w:t>
            </w:r>
          </w:p>
        </w:tc>
        <w:tc>
          <w:tcPr>
            <w:tcW w:w="432" w:type="dxa"/>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pPr>
          </w:p>
        </w:tc>
        <w:tc>
          <w:tcPr>
            <w:tcW w:w="1456" w:type="dxa"/>
            <w:tcBorders>
              <w:top w:val="single" w:sz="4" w:space="0" w:color="auto"/>
              <w:bottom w:val="nil"/>
            </w:tcBorders>
          </w:tcPr>
          <w:p w:rsidR="00F57275" w:rsidRPr="00E311A3"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E311A3">
              <w:rPr>
                <w:b w:val="0"/>
              </w:rPr>
              <w:t>29,803,404</w:t>
            </w:r>
          </w:p>
        </w:tc>
      </w:tr>
      <w:tr w:rsidR="00F57275"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r>
              <w:t>Bulk Water Rate ($/Kgal)</w:t>
            </w:r>
          </w:p>
        </w:tc>
        <w:tc>
          <w:tcPr>
            <w:tcW w:w="1456" w:type="dxa"/>
            <w:tcBorders>
              <w:top w:val="nil"/>
              <w:bottom w:val="single" w:sz="4" w:space="0" w:color="auto"/>
            </w:tcBorders>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F57275">
              <w:rPr>
                <w:b w:val="0"/>
              </w:rPr>
              <w:t>$3.57</w:t>
            </w:r>
          </w:p>
        </w:tc>
        <w:tc>
          <w:tcPr>
            <w:tcW w:w="432" w:type="dxa"/>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pPr>
          </w:p>
        </w:tc>
        <w:tc>
          <w:tcPr>
            <w:tcW w:w="1456" w:type="dxa"/>
            <w:tcBorders>
              <w:top w:val="nil"/>
              <w:bottom w:val="single" w:sz="4" w:space="0" w:color="auto"/>
            </w:tcBorders>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F57275">
              <w:rPr>
                <w:b w:val="0"/>
              </w:rPr>
              <w:t>$3.57</w:t>
            </w:r>
          </w:p>
        </w:tc>
      </w:tr>
      <w:tr w:rsidR="00F57275"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r>
              <w:t>Total Cost of Purchased Water</w:t>
            </w:r>
          </w:p>
        </w:tc>
        <w:tc>
          <w:tcPr>
            <w:tcW w:w="1456" w:type="dxa"/>
            <w:tcBorders>
              <w:top w:val="single" w:sz="4" w:space="0" w:color="auto"/>
              <w:bottom w:val="double" w:sz="4" w:space="0" w:color="auto"/>
            </w:tcBorders>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F57275">
              <w:rPr>
                <w:b w:val="0"/>
              </w:rPr>
              <w:t>$99,101</w:t>
            </w:r>
          </w:p>
        </w:tc>
        <w:tc>
          <w:tcPr>
            <w:tcW w:w="432" w:type="dxa"/>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pPr>
          </w:p>
        </w:tc>
        <w:tc>
          <w:tcPr>
            <w:tcW w:w="1456" w:type="dxa"/>
            <w:tcBorders>
              <w:top w:val="single" w:sz="4" w:space="0" w:color="auto"/>
              <w:bottom w:val="double" w:sz="4" w:space="0" w:color="auto"/>
            </w:tcBorders>
          </w:tcPr>
          <w:p w:rsidR="00F57275" w:rsidRPr="00F57275" w:rsidRDefault="00F57275" w:rsidP="00E46187">
            <w:pPr>
              <w:jc w:val="right"/>
              <w:cnfStyle w:val="000000000000" w:firstRow="0" w:lastRow="0" w:firstColumn="0" w:lastColumn="0" w:oddVBand="0" w:evenVBand="0" w:oddHBand="0" w:evenHBand="0" w:firstRowFirstColumn="0" w:firstRowLastColumn="0" w:lastRowFirstColumn="0" w:lastRowLastColumn="0"/>
              <w:rPr>
                <w:b w:val="0"/>
              </w:rPr>
            </w:pPr>
            <w:r w:rsidRPr="00F57275">
              <w:rPr>
                <w:b w:val="0"/>
              </w:rPr>
              <w:t>$106,398</w:t>
            </w:r>
          </w:p>
        </w:tc>
      </w:tr>
      <w:tr w:rsidR="00852B34" w:rsidTr="00852B34">
        <w:tc>
          <w:tcPr>
            <w:cnfStyle w:val="001000000000" w:firstRow="0" w:lastRow="0" w:firstColumn="1" w:lastColumn="0" w:oddVBand="0" w:evenVBand="0" w:oddHBand="0" w:evenHBand="0" w:firstRowFirstColumn="0" w:firstRowLastColumn="0" w:lastRowFirstColumn="0" w:lastRowLastColumn="0"/>
            <w:tcW w:w="4392" w:type="dxa"/>
          </w:tcPr>
          <w:p w:rsidR="00F57275" w:rsidRDefault="00F57275" w:rsidP="00EC3892"/>
        </w:tc>
        <w:tc>
          <w:tcPr>
            <w:tcW w:w="1456" w:type="dxa"/>
            <w:tcBorders>
              <w:top w:val="double" w:sz="4" w:space="0" w:color="auto"/>
            </w:tcBorders>
          </w:tcPr>
          <w:p w:rsidR="00F57275" w:rsidRDefault="00F57275" w:rsidP="00EC3892">
            <w:pPr>
              <w:cnfStyle w:val="000000000000" w:firstRow="0" w:lastRow="0" w:firstColumn="0" w:lastColumn="0" w:oddVBand="0" w:evenVBand="0" w:oddHBand="0" w:evenHBand="0" w:firstRowFirstColumn="0" w:firstRowLastColumn="0" w:lastRowFirstColumn="0" w:lastRowLastColumn="0"/>
            </w:pPr>
          </w:p>
        </w:tc>
        <w:tc>
          <w:tcPr>
            <w:tcW w:w="432" w:type="dxa"/>
          </w:tcPr>
          <w:p w:rsidR="00F57275" w:rsidRDefault="00F57275" w:rsidP="00EC3892">
            <w:pPr>
              <w:cnfStyle w:val="000000000000" w:firstRow="0" w:lastRow="0" w:firstColumn="0" w:lastColumn="0" w:oddVBand="0" w:evenVBand="0" w:oddHBand="0" w:evenHBand="0" w:firstRowFirstColumn="0" w:firstRowLastColumn="0" w:lastRowFirstColumn="0" w:lastRowLastColumn="0"/>
            </w:pPr>
          </w:p>
        </w:tc>
        <w:tc>
          <w:tcPr>
            <w:tcW w:w="1456" w:type="dxa"/>
            <w:tcBorders>
              <w:top w:val="double" w:sz="4" w:space="0" w:color="auto"/>
            </w:tcBorders>
          </w:tcPr>
          <w:p w:rsidR="00F57275" w:rsidRDefault="00F57275" w:rsidP="00EC3892">
            <w:pPr>
              <w:cnfStyle w:val="000000000000" w:firstRow="0" w:lastRow="0" w:firstColumn="0" w:lastColumn="0" w:oddVBand="0" w:evenVBand="0" w:oddHBand="0" w:evenHBand="0" w:firstRowFirstColumn="0" w:firstRowLastColumn="0" w:lastRowFirstColumn="0" w:lastRowLastColumn="0"/>
            </w:pPr>
          </w:p>
        </w:tc>
      </w:tr>
    </w:tbl>
    <w:p w:rsidR="00EC3892" w:rsidRDefault="00EC3892" w:rsidP="008571D2">
      <w:pPr>
        <w:pStyle w:val="BodyText"/>
      </w:pPr>
    </w:p>
    <w:p w:rsidR="00341DB1" w:rsidRDefault="00A00748" w:rsidP="00341DB1">
      <w:pPr>
        <w:pStyle w:val="Third-LevelSubheading"/>
      </w:pPr>
      <w:r>
        <w:t>Rate Case Expense</w:t>
      </w:r>
    </w:p>
    <w:p w:rsidR="008571D2" w:rsidRDefault="00AA5E48" w:rsidP="008571D2">
      <w:pPr>
        <w:pStyle w:val="BodyText"/>
      </w:pPr>
      <w:r>
        <w:t>UIF estim</w:t>
      </w:r>
      <w:r w:rsidR="00ED23EC">
        <w:t xml:space="preserve">ated that </w:t>
      </w:r>
      <w:r>
        <w:t>rate case expense would be $16,338, resulting in a 4-year amortization of $4,085.</w:t>
      </w:r>
      <w:r w:rsidRPr="00AA5E48">
        <w:t xml:space="preserve"> </w:t>
      </w:r>
      <w:r>
        <w:t>In its petition, UIF included all of the rate c</w:t>
      </w:r>
      <w:r w:rsidR="0072545D">
        <w:t xml:space="preserve">ase expense </w:t>
      </w:r>
      <w:r w:rsidR="00ED23EC">
        <w:t xml:space="preserve">associated with the Pasco County portion of the filing </w:t>
      </w:r>
      <w:r w:rsidR="0072545D">
        <w:t xml:space="preserve">in the </w:t>
      </w:r>
      <w:r>
        <w:t xml:space="preserve">Phase I portion of its filing. </w:t>
      </w:r>
      <w:r w:rsidR="0072545D">
        <w:t xml:space="preserve">Staff has included the rate case expense </w:t>
      </w:r>
      <w:r w:rsidR="00ED23EC">
        <w:t xml:space="preserve">related to Pasco County </w:t>
      </w:r>
      <w:r w:rsidR="0072545D">
        <w:t>in Phase II because the primary focus of Phase I was to calculate the gallonage reduction related to the loss of irrigation customers. This information is required to calculate the appropriate purchased water expense for Phase II.</w:t>
      </w:r>
      <w:r w:rsidR="001821A3">
        <w:t xml:space="preserve"> Based on the decision in Order No. PSC-16-0296-PAA-WS</w:t>
      </w:r>
      <w:r w:rsidR="00ED23EC">
        <w:t>,</w:t>
      </w:r>
      <w:r w:rsidR="001821A3">
        <w:rPr>
          <w:rStyle w:val="FootnoteReference"/>
        </w:rPr>
        <w:footnoteReference w:id="20"/>
      </w:r>
      <w:r w:rsidR="001821A3">
        <w:t xml:space="preserve"> </w:t>
      </w:r>
      <w:r w:rsidR="00ED23EC">
        <w:t xml:space="preserve">which addressed the amount of rate case expense related to </w:t>
      </w:r>
      <w:r w:rsidR="00561DD6">
        <w:t>Marion and Seminole Counties</w:t>
      </w:r>
      <w:r w:rsidR="00ED23EC">
        <w:t>,</w:t>
      </w:r>
      <w:r w:rsidR="00561DD6">
        <w:t xml:space="preserve"> </w:t>
      </w:r>
      <w:r w:rsidR="001821A3">
        <w:t xml:space="preserve">and </w:t>
      </w:r>
      <w:r w:rsidR="00561DD6">
        <w:t xml:space="preserve">updated amounts </w:t>
      </w:r>
      <w:r w:rsidR="00ED23EC">
        <w:t xml:space="preserve">for Pasco County </w:t>
      </w:r>
      <w:r w:rsidR="00561DD6">
        <w:t>from the Utility,</w:t>
      </w:r>
      <w:r w:rsidR="00561DD6">
        <w:rPr>
          <w:rStyle w:val="FootnoteReference"/>
        </w:rPr>
        <w:footnoteReference w:id="21"/>
      </w:r>
      <w:r w:rsidR="00561DD6">
        <w:t xml:space="preserve"> staff </w:t>
      </w:r>
      <w:r w:rsidR="00ED23EC">
        <w:t xml:space="preserve">has calculated a </w:t>
      </w:r>
      <w:r w:rsidR="00371BF7">
        <w:t xml:space="preserve">rate case expense </w:t>
      </w:r>
      <w:r w:rsidR="00ED23EC">
        <w:t xml:space="preserve">for Pasco County </w:t>
      </w:r>
      <w:r w:rsidR="00371BF7">
        <w:t>of $18,780, resulting in a 4-year amortization of $4,695 as shown on Schedule No. 3.</w:t>
      </w:r>
      <w:r w:rsidR="00D334B3">
        <w:t xml:space="preserve"> The 4-year rate reduction for rate case expense is $4,906.</w:t>
      </w:r>
      <w:r w:rsidR="00371BF7">
        <w:t xml:space="preserve"> </w:t>
      </w:r>
    </w:p>
    <w:p w:rsidR="00F44C69" w:rsidRDefault="00F44C69" w:rsidP="008571D2">
      <w:pPr>
        <w:pStyle w:val="BodyText"/>
      </w:pPr>
      <w:r>
        <w:t xml:space="preserve">Based on staff’s adjustments, the recommended </w:t>
      </w:r>
      <w:r w:rsidR="008561C4">
        <w:t xml:space="preserve">net increase in O&amp;M expense </w:t>
      </w:r>
      <w:r>
        <w:t>is $62,484.</w:t>
      </w:r>
    </w:p>
    <w:p w:rsidR="008571D2" w:rsidRDefault="008571D2" w:rsidP="008571D2">
      <w:pPr>
        <w:pStyle w:val="Second-LevelSubheading"/>
      </w:pPr>
      <w:r>
        <w:t>Taxes Other Than Income</w:t>
      </w:r>
    </w:p>
    <w:p w:rsidR="008571D2" w:rsidRDefault="00371BF7" w:rsidP="008571D2">
      <w:pPr>
        <w:pStyle w:val="BodyText"/>
      </w:pPr>
      <w:r>
        <w:t>The Utility included decreased taxes other than income</w:t>
      </w:r>
      <w:r w:rsidR="007D71C3">
        <w:t xml:space="preserve"> (TOTI) of $9,493. The reduction was due to a decrease in property taxes as a result of the retirement</w:t>
      </w:r>
      <w:r w:rsidR="002376ED">
        <w:t xml:space="preserve"> of the wells. Staff has made an</w:t>
      </w:r>
      <w:r w:rsidR="007D71C3">
        <w:t xml:space="preserve"> adjustment to recognize the effect on payroll taxes from the </w:t>
      </w:r>
      <w:r w:rsidR="00FD75B2">
        <w:t xml:space="preserve">$3,000 </w:t>
      </w:r>
      <w:r w:rsidR="002376ED">
        <w:t>reduction in</w:t>
      </w:r>
      <w:r w:rsidR="007D71C3">
        <w:t xml:space="preserve"> </w:t>
      </w:r>
      <w:r w:rsidR="002376ED">
        <w:t>O&amp;M salary expense. The FICA,</w:t>
      </w:r>
      <w:r w:rsidR="00031C8C">
        <w:rPr>
          <w:rStyle w:val="FootnoteReference"/>
        </w:rPr>
        <w:footnoteReference w:id="22"/>
      </w:r>
      <w:r w:rsidR="002376ED">
        <w:t xml:space="preserve"> FUTA</w:t>
      </w:r>
      <w:r w:rsidR="00031C8C">
        <w:rPr>
          <w:rStyle w:val="FootnoteReference"/>
        </w:rPr>
        <w:footnoteReference w:id="23"/>
      </w:r>
      <w:r w:rsidR="002376ED">
        <w:t xml:space="preserve"> and SUTA</w:t>
      </w:r>
      <w:r w:rsidR="00031C8C">
        <w:rPr>
          <w:rStyle w:val="FootnoteReference"/>
        </w:rPr>
        <w:footnoteReference w:id="24"/>
      </w:r>
      <w:r w:rsidR="002376ED">
        <w:t xml:space="preserve"> composite rate is 14.67 percent. The resulting adjustment is a reduction of $440 ($3,000 x 14.67 percent). The adjusted total TOTI reduction is $9,933.</w:t>
      </w:r>
    </w:p>
    <w:p w:rsidR="002376ED" w:rsidRDefault="002376ED" w:rsidP="008571D2">
      <w:pPr>
        <w:pStyle w:val="BodyText"/>
      </w:pPr>
      <w:r>
        <w:t>Based on staff’</w:t>
      </w:r>
      <w:r w:rsidR="00542332">
        <w:t>s review, the a</w:t>
      </w:r>
      <w:r>
        <w:t>ppropr</w:t>
      </w:r>
      <w:r w:rsidR="008561C4">
        <w:t>iate operating expense increase</w:t>
      </w:r>
      <w:r>
        <w:t>, exc</w:t>
      </w:r>
      <w:r w:rsidR="008561C4">
        <w:t>luding income taxes, is</w:t>
      </w:r>
      <w:r w:rsidR="008E4E04">
        <w:t xml:space="preserve"> $76,571</w:t>
      </w:r>
      <w:r w:rsidR="008A2273">
        <w:t xml:space="preserve"> as shown in Schedule No. 1</w:t>
      </w:r>
      <w:r w:rsidR="00CD4FE1">
        <w:t xml:space="preserve"> attached to this recommendation</w:t>
      </w:r>
      <w:r>
        <w:t>.</w:t>
      </w:r>
    </w:p>
    <w:p w:rsidR="00841BA1" w:rsidRDefault="00841BA1" w:rsidP="008571D2">
      <w:pPr>
        <w:pStyle w:val="BodyText"/>
      </w:pPr>
    </w:p>
    <w:p w:rsidR="008571D2" w:rsidRDefault="008571D2" w:rsidP="008571D2">
      <w:pPr>
        <w:pStyle w:val="First-LevelSubheading"/>
      </w:pPr>
      <w:r>
        <w:t>Calculation of Water Rate Increase</w:t>
      </w:r>
    </w:p>
    <w:p w:rsidR="003D5D10" w:rsidRPr="009C4836" w:rsidRDefault="00A00748" w:rsidP="003D5D10">
      <w:pPr>
        <w:pStyle w:val="BodyText"/>
      </w:pPr>
      <w:r>
        <w:t xml:space="preserve">UIF calculated a </w:t>
      </w:r>
      <w:r w:rsidR="003D5D10">
        <w:t xml:space="preserve">rate increase </w:t>
      </w:r>
      <w:r>
        <w:t xml:space="preserve">of </w:t>
      </w:r>
      <w:r w:rsidR="003D5D10">
        <w:t>$52,547 (or 6.05 percent) for Pasco County Phase</w:t>
      </w:r>
      <w:r w:rsidR="008369BF">
        <w:t xml:space="preserve"> II. </w:t>
      </w:r>
      <w:r w:rsidR="00A23BC8">
        <w:t>Based on the</w:t>
      </w:r>
      <w:r w:rsidR="003D5D10">
        <w:t xml:space="preserve"> adjustments</w:t>
      </w:r>
      <w:r w:rsidR="00A23BC8">
        <w:t xml:space="preserve"> discussed above</w:t>
      </w:r>
      <w:r w:rsidR="003D5D10">
        <w:t xml:space="preserve">, staff has calculated </w:t>
      </w:r>
      <w:r w:rsidR="00E14A31">
        <w:t>a water rate increase</w:t>
      </w:r>
      <w:bookmarkStart w:id="16" w:name="_GoBack"/>
      <w:bookmarkEnd w:id="16"/>
      <w:r w:rsidR="003D5D10">
        <w:t xml:space="preserve"> of </w:t>
      </w:r>
      <w:r>
        <w:t>$46,994</w:t>
      </w:r>
      <w:r w:rsidR="003D5D10">
        <w:t xml:space="preserve"> (or </w:t>
      </w:r>
      <w:r>
        <w:t>5.35</w:t>
      </w:r>
      <w:r w:rsidR="003D5D10">
        <w:t xml:space="preserve"> percent) for</w:t>
      </w:r>
      <w:r w:rsidR="00E14A31">
        <w:t xml:space="preserve"> Pasco County Phase II</w:t>
      </w:r>
      <w:r>
        <w:t xml:space="preserve"> as shown in Schedule No</w:t>
      </w:r>
      <w:r w:rsidR="003D5D10">
        <w:t>. 1.</w:t>
      </w:r>
    </w:p>
    <w:p w:rsidR="00001E17" w:rsidRDefault="00001E17">
      <w:pPr>
        <w:pStyle w:val="IssueHeading"/>
        <w:rPr>
          <w:vanish/>
          <w:specVanish/>
        </w:rPr>
      </w:pPr>
      <w:r w:rsidRPr="004C3641">
        <w:rPr>
          <w:b w:val="0"/>
          <w:i w:val="0"/>
        </w:rPr>
        <w:br w:type="page"/>
      </w:r>
      <w:r w:rsidRPr="004C3641">
        <w:t xml:space="preserve">Issue </w:t>
      </w:r>
      <w:fldSimple w:instr=" SEQ Issue \* MERGEFORMAT ">
        <w:r w:rsidR="00AF2F3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F2F30">
        <w:rPr>
          <w:noProof/>
        </w:rPr>
        <w:instrText>2</w:instrText>
      </w:r>
      <w:r>
        <w:fldChar w:fldCharType="end"/>
      </w:r>
      <w:r>
        <w:tab/>
        <w:instrText xml:space="preserve">(Johnson)" \l 1 </w:instrText>
      </w:r>
      <w:r>
        <w:fldChar w:fldCharType="end"/>
      </w:r>
      <w:r>
        <w:t> </w:t>
      </w:r>
    </w:p>
    <w:p w:rsidR="00001E17" w:rsidRDefault="00001E17">
      <w:pPr>
        <w:pStyle w:val="BodyText"/>
      </w:pPr>
      <w:r>
        <w:t xml:space="preserve"> What </w:t>
      </w:r>
      <w:r w:rsidR="008A20F1">
        <w:t>is</w:t>
      </w:r>
      <w:r>
        <w:t xml:space="preserve"> the appropriate </w:t>
      </w:r>
      <w:r w:rsidR="008A20F1">
        <w:t>application of the recommended rate increase and the effective date and implementation date</w:t>
      </w:r>
      <w:r>
        <w:t>?</w:t>
      </w:r>
    </w:p>
    <w:p w:rsidR="00001E17" w:rsidRPr="004C3641" w:rsidRDefault="00001E17">
      <w:pPr>
        <w:pStyle w:val="IssueSubsectionHeading"/>
        <w:rPr>
          <w:vanish/>
          <w:specVanish/>
        </w:rPr>
      </w:pPr>
      <w:r w:rsidRPr="004C3641">
        <w:t>Recommendation: </w:t>
      </w:r>
    </w:p>
    <w:p w:rsidR="008A20F1" w:rsidRDefault="00001E17">
      <w:pPr>
        <w:pStyle w:val="BodyText"/>
      </w:pPr>
      <w:r>
        <w:t> </w:t>
      </w:r>
    </w:p>
    <w:p w:rsidR="008A20F1" w:rsidRDefault="00CD4FE1" w:rsidP="008A20F1">
      <w:pPr>
        <w:pStyle w:val="BodyText"/>
        <w:numPr>
          <w:ilvl w:val="0"/>
          <w:numId w:val="13"/>
        </w:numPr>
      </w:pPr>
      <w:r>
        <w:t>Staff’s</w:t>
      </w:r>
      <w:r w:rsidR="00FE0A4D" w:rsidRPr="00FE0A4D">
        <w:t xml:space="preserve"> r</w:t>
      </w:r>
      <w:r w:rsidR="00EE1446">
        <w:t>ecommended rate increase of 5.35</w:t>
      </w:r>
      <w:r w:rsidR="00FE0A4D" w:rsidRPr="00FE0A4D">
        <w:t xml:space="preserve"> percent for Pasco County should be applied as an across-the-board increase to existing service rates</w:t>
      </w:r>
      <w:r w:rsidR="00640171">
        <w:t xml:space="preserve"> </w:t>
      </w:r>
      <w:r w:rsidR="00640171" w:rsidRPr="00E77711">
        <w:t>for the Orangewood and Summertree systems</w:t>
      </w:r>
      <w:r w:rsidR="00FE0A4D" w:rsidRPr="00E77711">
        <w:t>.</w:t>
      </w:r>
      <w:r w:rsidR="00FE0A4D" w:rsidRPr="00FE0A4D">
        <w:t xml:space="preserve"> </w:t>
      </w:r>
    </w:p>
    <w:p w:rsidR="008A20F1" w:rsidRDefault="00FE0A4D" w:rsidP="008A20F1">
      <w:pPr>
        <w:pStyle w:val="BodyText"/>
        <w:numPr>
          <w:ilvl w:val="0"/>
          <w:numId w:val="13"/>
        </w:numPr>
      </w:pPr>
      <w:r w:rsidRPr="00FE0A4D">
        <w:t>The rates, as shown on Schedule No. 4, should be effective for service rendered on or after the stamped approval date on the tariff sheets pursuant to</w:t>
      </w:r>
      <w:r>
        <w:t xml:space="preserve"> Rule 25-30.475(1), F.A.C. The U</w:t>
      </w:r>
      <w:r w:rsidRPr="00FE0A4D">
        <w:t xml:space="preserve">tility should file revised tariff sheets and a proposed customer notice to reflect the Commission-approved rates. </w:t>
      </w:r>
    </w:p>
    <w:p w:rsidR="008A20F1" w:rsidRDefault="00FE0A4D" w:rsidP="008A20F1">
      <w:pPr>
        <w:pStyle w:val="BodyText"/>
        <w:numPr>
          <w:ilvl w:val="0"/>
          <w:numId w:val="13"/>
        </w:numPr>
      </w:pPr>
      <w:r w:rsidRPr="00FE0A4D">
        <w:t xml:space="preserve">In addition, the approved rates should not be implemented until </w:t>
      </w:r>
      <w:r w:rsidR="00E9283C" w:rsidRPr="00A736F6">
        <w:t xml:space="preserve">the interconnection is in-service and </w:t>
      </w:r>
      <w:r w:rsidRPr="00A736F6">
        <w:t>staff has approved the proposed customer notice and the notice has been received by the customers. The Utility should provide proof of the date notice was given within 10 days of the date of the notice.</w:t>
      </w:r>
      <w:r w:rsidR="009A6B9C" w:rsidRPr="00A736F6">
        <w:t xml:space="preserve"> </w:t>
      </w:r>
    </w:p>
    <w:p w:rsidR="00001E17" w:rsidRPr="00A736F6" w:rsidRDefault="009A6B9C" w:rsidP="008A20F1">
      <w:pPr>
        <w:pStyle w:val="BodyText"/>
      </w:pPr>
      <w:r w:rsidRPr="00A736F6">
        <w:t>The rates should be reduced as shown on Schedule No. 4, to remove rate case expense grossed up for regulatory assessmen</w:t>
      </w:r>
      <w:r w:rsidR="001E72AD">
        <w:t>t fees and amortized over a 4</w:t>
      </w:r>
      <w:r w:rsidRPr="00A736F6">
        <w:t>-year period. The decrease in rates should become effective immediately following the expiration of the four-year rate case expense recovery period, pursuant to Section 367.0816, F.S. (Johnson)</w:t>
      </w:r>
    </w:p>
    <w:p w:rsidR="00001E17" w:rsidRPr="00A736F6" w:rsidRDefault="00001E17">
      <w:pPr>
        <w:pStyle w:val="IssueSubsectionHeading"/>
        <w:rPr>
          <w:vanish/>
          <w:specVanish/>
        </w:rPr>
      </w:pPr>
      <w:r w:rsidRPr="00A736F6">
        <w:t>Staff Analysis: </w:t>
      </w:r>
    </w:p>
    <w:p w:rsidR="00FE0A4D" w:rsidRPr="00A736F6" w:rsidRDefault="00001E17" w:rsidP="00FE0A4D">
      <w:pPr>
        <w:pStyle w:val="BodyText"/>
      </w:pPr>
      <w:r w:rsidRPr="00A736F6">
        <w:t> </w:t>
      </w:r>
      <w:r w:rsidR="00FE0A4D" w:rsidRPr="00A736F6">
        <w:t>Staff recommends that service rate</w:t>
      </w:r>
      <w:r w:rsidR="00FD75B2" w:rsidRPr="00A736F6">
        <w:t>s for UIF</w:t>
      </w:r>
      <w:r w:rsidR="00FE0A4D" w:rsidRPr="00A736F6">
        <w:t xml:space="preserve"> be designed to allow the Utility the opportunity to generate ann</w:t>
      </w:r>
      <w:r w:rsidR="00EE1446" w:rsidRPr="00A736F6">
        <w:t>ual service revenues of $924,616</w:t>
      </w:r>
      <w:r w:rsidR="00FE0A4D" w:rsidRPr="00A736F6">
        <w:t xml:space="preserve"> for Pasco County. The</w:t>
      </w:r>
      <w:r w:rsidR="00F15B86" w:rsidRPr="00A736F6">
        <w:t xml:space="preserve"> </w:t>
      </w:r>
      <w:r w:rsidR="00FE0A4D" w:rsidRPr="00A736F6">
        <w:t>annualize</w:t>
      </w:r>
      <w:r w:rsidR="00E9283C" w:rsidRPr="00A736F6">
        <w:t>d</w:t>
      </w:r>
      <w:r w:rsidR="00FE0A4D" w:rsidRPr="00A736F6">
        <w:t xml:space="preserve"> service revenues</w:t>
      </w:r>
      <w:r w:rsidR="009A6B9C" w:rsidRPr="00A736F6">
        <w:t xml:space="preserve"> before the rate increase </w:t>
      </w:r>
      <w:r w:rsidR="00334D5A" w:rsidRPr="00A736F6">
        <w:t>are</w:t>
      </w:r>
      <w:r w:rsidR="00FE0A4D" w:rsidRPr="00A736F6">
        <w:t xml:space="preserve"> $87</w:t>
      </w:r>
      <w:r w:rsidR="009A6B9C" w:rsidRPr="00A736F6">
        <w:t>7,622,</w:t>
      </w:r>
      <w:r w:rsidR="00FD75B2" w:rsidRPr="00A736F6">
        <w:rPr>
          <w:rStyle w:val="FootnoteReference"/>
        </w:rPr>
        <w:footnoteReference w:id="25"/>
      </w:r>
      <w:r w:rsidR="00EE1446" w:rsidRPr="00A736F6">
        <w:t xml:space="preserve"> </w:t>
      </w:r>
      <w:r w:rsidR="009A6B9C" w:rsidRPr="00A736F6">
        <w:t xml:space="preserve">resulting </w:t>
      </w:r>
      <w:r w:rsidR="00EE1446" w:rsidRPr="00A736F6">
        <w:t>in a $46,994</w:t>
      </w:r>
      <w:r w:rsidR="00FE0A4D" w:rsidRPr="00A736F6">
        <w:t xml:space="preserve"> increase to services revenues. The correspon</w:t>
      </w:r>
      <w:r w:rsidR="00EE1446" w:rsidRPr="00A736F6">
        <w:t>ding percentage increase of 5.35</w:t>
      </w:r>
      <w:r w:rsidR="00FE0A4D" w:rsidRPr="00A736F6">
        <w:t xml:space="preserve"> percent should be applied as an across-the-board increase to existing service rates.</w:t>
      </w:r>
    </w:p>
    <w:p w:rsidR="00001E17" w:rsidRDefault="00FE0A4D" w:rsidP="00FE0A4D">
      <w:pPr>
        <w:pStyle w:val="BodyText"/>
      </w:pPr>
      <w:r w:rsidRPr="00A736F6">
        <w:t>Staff recommend</w:t>
      </w:r>
      <w:r w:rsidR="00EE1446" w:rsidRPr="00A736F6">
        <w:t>s that the rate increase of 5.35</w:t>
      </w:r>
      <w:r w:rsidRPr="00A736F6">
        <w:t xml:space="preserve"> </w:t>
      </w:r>
      <w:r w:rsidR="00E9283C" w:rsidRPr="00A736F6">
        <w:t xml:space="preserve">percent for Pasco County </w:t>
      </w:r>
      <w:r w:rsidRPr="00A736F6">
        <w:t>be applied as an across-the-board increase to existing service rates</w:t>
      </w:r>
      <w:r w:rsidR="00640171">
        <w:t xml:space="preserve"> </w:t>
      </w:r>
      <w:r w:rsidR="00640171" w:rsidRPr="00E77711">
        <w:t>for the Orangewood and Summertree systems</w:t>
      </w:r>
      <w:r w:rsidRPr="00E77711">
        <w:t>.</w:t>
      </w:r>
      <w:r w:rsidRPr="00A736F6">
        <w:t xml:space="preserve"> The rates, as shown on Schedule No. 4,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w:t>
      </w:r>
      <w:r w:rsidR="00E9283C" w:rsidRPr="00A736F6">
        <w:t xml:space="preserve">the interconnection is in-service and </w:t>
      </w:r>
      <w:r w:rsidRPr="00A736F6">
        <w:t>staff has approved the proposed customer notice and the notice has been received by the customers. The Utility should provide proof of the date notice was given within 10 days of the date of the notice.</w:t>
      </w:r>
      <w:r w:rsidR="009A6B9C" w:rsidRPr="00A736F6">
        <w:t xml:space="preserve"> The rates should be reduced as shown on Schedule Nos. 5 &amp; 6, to remove rate case expense grossed up for regulatory assessmen</w:t>
      </w:r>
      <w:r w:rsidR="001E72AD">
        <w:t>t fees and amortized over a 4</w:t>
      </w:r>
      <w:r w:rsidR="009A6B9C" w:rsidRPr="00A736F6">
        <w:t xml:space="preserve">-year period. The decrease in rates should become effective immediately following the expiration of the four-year rate case expense recovery period, pursuant to Section 367.0816, F.S. </w:t>
      </w:r>
    </w:p>
    <w:p w:rsidR="00C47797" w:rsidRDefault="00C47797">
      <w:pPr>
        <w:pStyle w:val="IssueHeading"/>
        <w:rPr>
          <w:vanish/>
          <w:specVanish/>
        </w:rPr>
      </w:pPr>
      <w:r w:rsidRPr="004C3641">
        <w:rPr>
          <w:b w:val="0"/>
          <w:i w:val="0"/>
        </w:rPr>
        <w:br w:type="page"/>
      </w:r>
      <w:r w:rsidRPr="004C3641">
        <w:t xml:space="preserve">Issue </w:t>
      </w:r>
      <w:fldSimple w:instr=" SEQ Issue \* MERGEFORMAT ">
        <w:r w:rsidR="00AF2F30">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AF2F30">
        <w:rPr>
          <w:noProof/>
        </w:rPr>
        <w:instrText>3</w:instrText>
      </w:r>
      <w:r>
        <w:fldChar w:fldCharType="end"/>
      </w:r>
      <w:r>
        <w:tab/>
        <w:instrText xml:space="preserve">(Mouring, Slemkewicz, D. Buys, Mapp)" \l 1 </w:instrText>
      </w:r>
      <w:r>
        <w:fldChar w:fldCharType="end"/>
      </w:r>
      <w:r>
        <w:t> </w:t>
      </w:r>
    </w:p>
    <w:p w:rsidR="00C47797" w:rsidRDefault="00C47797">
      <w:pPr>
        <w:pStyle w:val="BodyText"/>
      </w:pPr>
      <w:r>
        <w:t> Should the recomme</w:t>
      </w:r>
      <w:r w:rsidR="00574C4E">
        <w:t>nded rates be approved for the U</w:t>
      </w:r>
      <w:r>
        <w:t xml:space="preserve">tility on a temporary basis, subject to refund with interest, in the event of a protest filed by a party </w:t>
      </w:r>
      <w:r w:rsidR="00CD4FE1">
        <w:t xml:space="preserve">whose interests are substantially </w:t>
      </w:r>
      <w:r w:rsidR="0049160B">
        <w:t xml:space="preserve">affected </w:t>
      </w:r>
      <w:r>
        <w:t xml:space="preserve">other than the </w:t>
      </w:r>
      <w:r w:rsidR="00574C4E">
        <w:t>U</w:t>
      </w:r>
      <w:r>
        <w:t>tility?</w:t>
      </w:r>
    </w:p>
    <w:p w:rsidR="00C47797" w:rsidRPr="004C3641" w:rsidRDefault="00C47797">
      <w:pPr>
        <w:pStyle w:val="IssueSubsectionHeading"/>
        <w:rPr>
          <w:vanish/>
          <w:specVanish/>
        </w:rPr>
      </w:pPr>
      <w:r w:rsidRPr="004C3641">
        <w:t>Recommendation: </w:t>
      </w:r>
    </w:p>
    <w:p w:rsidR="00C47797" w:rsidRDefault="00C47797">
      <w:pPr>
        <w:pStyle w:val="BodyText"/>
      </w:pPr>
      <w:r>
        <w:t> </w:t>
      </w:r>
      <w:r w:rsidR="00574C4E" w:rsidRPr="00FE4806">
        <w:t xml:space="preserve">Yes. </w:t>
      </w:r>
      <w:r w:rsidR="00574C4E">
        <w:t>T</w:t>
      </w:r>
      <w:r w:rsidR="00574C4E" w:rsidRPr="00FE4806">
        <w:t xml:space="preserve">he recommended rates should be approved for the </w:t>
      </w:r>
      <w:r w:rsidR="00574C4E">
        <w:t>U</w:t>
      </w:r>
      <w:r w:rsidR="00574C4E" w:rsidRPr="00FE4806">
        <w:t>tility on a temporary basis, subject to refund, in the event of a protest f</w:t>
      </w:r>
      <w:r w:rsidR="00574C4E">
        <w:t xml:space="preserve">iled by a party </w:t>
      </w:r>
      <w:r w:rsidR="0049160B">
        <w:t xml:space="preserve">whose interests are substantially affected </w:t>
      </w:r>
      <w:r w:rsidR="00574C4E">
        <w:t>other than the U</w:t>
      </w:r>
      <w:r w:rsidR="00574C4E" w:rsidRPr="00FE4806">
        <w:t xml:space="preserve">tility. UIF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w:t>
      </w:r>
      <w:r w:rsidR="00C83800">
        <w:t>after the interconnection is in-servic</w:t>
      </w:r>
      <w:r w:rsidR="002A43C6">
        <w:t>e,</w:t>
      </w:r>
      <w:r w:rsidR="00C83800">
        <w:t xml:space="preserve"> </w:t>
      </w:r>
      <w:r w:rsidR="00574C4E" w:rsidRPr="00FE4806">
        <w:t>staff has approved the proposed notice, the notice has been received by the customers</w:t>
      </w:r>
      <w:r w:rsidR="002A43C6">
        <w:t>, and</w:t>
      </w:r>
      <w:r w:rsidR="00574C4E" w:rsidRPr="00FE4806">
        <w:t xml:space="preserve"> only after the </w:t>
      </w:r>
      <w:r w:rsidR="00574C4E">
        <w:t>U</w:t>
      </w:r>
      <w:r w:rsidR="00574C4E" w:rsidRPr="00FE4806">
        <w:t>tility has provided written guarantee of its corporate undertaking i</w:t>
      </w:r>
      <w:r w:rsidR="00574C4E">
        <w:t xml:space="preserve">n a cumulative amount of </w:t>
      </w:r>
      <w:r w:rsidR="00AA161E">
        <w:t>$72,846.</w:t>
      </w:r>
      <w:r w:rsidR="00574C4E" w:rsidRPr="00FE4806">
        <w:t xml:space="preserve"> If the recommended rates are approved on a temporary basis, the rates collected by the </w:t>
      </w:r>
      <w:r w:rsidR="00574C4E">
        <w:t>U</w:t>
      </w:r>
      <w:r w:rsidR="00574C4E" w:rsidRPr="00FE4806">
        <w:t xml:space="preserve">tility should be subject to the refund provisions discussed in the staff analysis. In addition, after the increased rates are in effect, pursuant to Rule 25-30.360(6), F.A.C., the </w:t>
      </w:r>
      <w:r w:rsidR="00574C4E">
        <w:t>U</w:t>
      </w:r>
      <w:r w:rsidR="00574C4E" w:rsidRPr="00FE4806">
        <w:t>tility should file reports with the Commission Clerk’s office no later than the 20th of each month indicating the monthly and total amount of money subject to refund at</w:t>
      </w:r>
      <w:r w:rsidR="00574C4E">
        <w:t xml:space="preserve"> the end of the preceding month</w:t>
      </w:r>
      <w:r w:rsidR="00574C4E" w:rsidRPr="00DF5C6C">
        <w:t>.</w:t>
      </w:r>
      <w:r>
        <w:t xml:space="preserve"> (Mouring, Slemkewicz, D. Buys, Mapp)</w:t>
      </w:r>
    </w:p>
    <w:p w:rsidR="00C47797" w:rsidRPr="004C3641" w:rsidRDefault="00C47797">
      <w:pPr>
        <w:pStyle w:val="IssueSubsectionHeading"/>
        <w:rPr>
          <w:vanish/>
          <w:specVanish/>
        </w:rPr>
      </w:pPr>
      <w:r w:rsidRPr="004C3641">
        <w:t>Staff Analysis: </w:t>
      </w:r>
    </w:p>
    <w:p w:rsidR="00574C4E" w:rsidRDefault="00C47797" w:rsidP="00574C4E">
      <w:pPr>
        <w:pStyle w:val="BodyText"/>
      </w:pPr>
      <w:r>
        <w:t> </w:t>
      </w:r>
      <w:r w:rsidR="00574C4E">
        <w:t xml:space="preserve">This recommendation proposes an increase in rates. A timely protest might delay what may be a justified rate increase resulting in an unrecoverable loss of revenue to the Utility. As a result, staff recommends that the recommended rates be approved as temporary rates. </w:t>
      </w:r>
    </w:p>
    <w:p w:rsidR="00574C4E" w:rsidRDefault="00574C4E" w:rsidP="00574C4E">
      <w:pPr>
        <w:pStyle w:val="BodyText"/>
      </w:pPr>
      <w:r>
        <w:t>Section 367.0822(1), F.S., provides</w:t>
      </w:r>
    </w:p>
    <w:p w:rsidR="00574C4E" w:rsidRDefault="00574C4E" w:rsidP="00574C4E">
      <w:pPr>
        <w:pStyle w:val="BodyText"/>
        <w:ind w:left="720" w:right="720"/>
      </w:pPr>
      <w:r>
        <w:t>Upon petition or by its own motion, the commission may conduct limited proceedings to consider, and action upon, any matter within its jurisdiction, including any matter the resolution of which requires a utility to adjust its rates. The commission shall determine the issues to be considered during such a proceeding and may grant or deny any request to expand the scope of the proceeding to include other related matters. However, unless the issue of rate of return is specifically address in the limited proceeding, the commission shall not adjust rates if the effect of the adjustment would be to change the last authorized rate of return.</w:t>
      </w:r>
    </w:p>
    <w:p w:rsidR="00574C4E" w:rsidRDefault="00574C4E" w:rsidP="00574C4E">
      <w:pPr>
        <w:pStyle w:val="BodyText"/>
      </w:pPr>
      <w:r>
        <w:t>While Section 367.0822(1), F.S. does not expressly provide for the granting of temporary rates, it is well settled Commission precedent that temporary rates in the event of a protest may be approved on a case-by-case basis.</w:t>
      </w:r>
      <w:r>
        <w:rPr>
          <w:rStyle w:val="FootnoteReference"/>
        </w:rPr>
        <w:footnoteReference w:id="26"/>
      </w:r>
      <w:r>
        <w:t xml:space="preserve"> </w:t>
      </w:r>
    </w:p>
    <w:p w:rsidR="00574C4E" w:rsidRDefault="00574C4E" w:rsidP="00574C4E">
      <w:pPr>
        <w:pStyle w:val="BodyText"/>
      </w:pPr>
      <w:r>
        <w:t>Further, Section 367.081(2), F.S., provides that this Commission must fix rates that are just, reasonable, compensatory, and not unfairly discriminatory. Pursuant to its authority to grant just and reasonable rates, the Commission has granted emergency and temporary rates in limited proceedings where a timely protest might delay what may be a justified rate increase resulting in an unrecoverable loss of revenue to the Utility. Similarly, in the instant case, staff believes that the granting of temporary rates is warranted because a timely protest of the PAA Order may delay a justified rate increase for several months while the matter is adjudicated at hearing. Moreover, staff believes that the ratepayers are adequately protected because all rates collected by the Utility will be subject to the corporate undertaking as discussed below.</w:t>
      </w:r>
    </w:p>
    <w:p w:rsidR="00574C4E" w:rsidRDefault="00574C4E" w:rsidP="00574C4E">
      <w:pPr>
        <w:pStyle w:val="BodyText"/>
      </w:pPr>
      <w:r>
        <w:t>For the foregoing reasons, staff believes that the recommended rates should be approved for the Utility on a temporary basis, subject to the corporate undertaking discussed below. In order to ensure that the Utility may not unfairly benefit from the issuance of temporary rates and in order to comport with the granting of temporary rates in proceedings filed pursuant to Sections 367.081 and 367.0814, F.S., staff further recomme</w:t>
      </w:r>
      <w:r w:rsidR="00C83800">
        <w:t xml:space="preserve">nds that temporary rates </w:t>
      </w:r>
      <w:r>
        <w:t>only be allowed in the event of a protest filed by an entity or individual other than the Utility</w:t>
      </w:r>
    </w:p>
    <w:p w:rsidR="00574C4E" w:rsidRDefault="00574C4E" w:rsidP="00574C4E">
      <w:pPr>
        <w:pStyle w:val="Second-LevelSubheading"/>
      </w:pPr>
      <w:r>
        <w:t>Corporate Undertaking Memorandum</w:t>
      </w:r>
    </w:p>
    <w:p w:rsidR="00574C4E" w:rsidRDefault="00CF7C8D" w:rsidP="00574C4E">
      <w:pPr>
        <w:pStyle w:val="BodyText"/>
      </w:pPr>
      <w:r>
        <w:t>UIF</w:t>
      </w:r>
      <w:r w:rsidR="00574C4E">
        <w:t xml:space="preserve"> is a wholly-owned subsidiary of UI, which provides all investor capital to its subsidiaries. Based on the amount subject t</w:t>
      </w:r>
      <w:r w:rsidR="009D6D07">
        <w:t>o refund for Pasco County,</w:t>
      </w:r>
      <w:r w:rsidR="00574C4E">
        <w:t xml:space="preserve"> the incremental increase in UI’s corporate un</w:t>
      </w:r>
      <w:r w:rsidR="009D6D07">
        <w:t xml:space="preserve">dertaking is </w:t>
      </w:r>
      <w:r w:rsidR="00AA161E" w:rsidRPr="00AA161E">
        <w:t>$30,925. In Order No. PSC-16-0296-PAA-WS, the Commission approved UI’s request for a corporate undertaking for Marion and Seminole Counties of $30,961 and $10,960, respectively. The total corporate undertaking amount currently outstanding is $41,921. Based on the amount subject to refund for Pasco</w:t>
      </w:r>
      <w:r w:rsidR="00AA161E">
        <w:t xml:space="preserve"> County</w:t>
      </w:r>
      <w:r w:rsidR="00AA161E" w:rsidRPr="00AA161E">
        <w:t>, the total cumu</w:t>
      </w:r>
      <w:r w:rsidR="00104C55">
        <w:t>lative outstanding guarantee would increase</w:t>
      </w:r>
      <w:r w:rsidR="00AA161E" w:rsidRPr="00AA161E">
        <w:t xml:space="preserve"> to $72,846.</w:t>
      </w:r>
    </w:p>
    <w:p w:rsidR="00574C4E" w:rsidRDefault="00574C4E" w:rsidP="00574C4E">
      <w:pPr>
        <w:pStyle w:val="BodyText"/>
      </w:pPr>
      <w:r>
        <w:t>The criteria for a corporate undertaking include sufficient liquidity, ownership equity, profitability, and interest coverage to guarantee any potential refund. Staff reviewed UI’s 2013, 2014, and 2015 financial statements to determine if the company can support a corporate undertaking on behalf of its subsidiary. In its 2013 financial statements, UI reported an insufficient working capital amount and an inadequate current ratio and interest coverage ratio. In 2014, UI reported insufficient working capital and an inadequate current ratio; however, the interest coverage ratio improved to adequate. In 2015, UI had sufficient working capital, and both the current ratio and interest coverage ratio were adequate. In addition, UI achieved sufficient profitability and reported adequate ownership equity over the entire 3-year review period.</w:t>
      </w:r>
    </w:p>
    <w:p w:rsidR="00574C4E" w:rsidRDefault="00574C4E" w:rsidP="00574C4E">
      <w:pPr>
        <w:pStyle w:val="BodyText"/>
      </w:pPr>
      <w:r>
        <w:t>Based on staff’s review of the financial reports submitted by UI, staff believes UI has adequate resources to support a corporate undertaking in the amount requested. Based on this analysis, staff recommends that a cumulative corporate undertaking</w:t>
      </w:r>
      <w:r w:rsidR="009D6D07">
        <w:t xml:space="preserve"> of </w:t>
      </w:r>
      <w:r w:rsidR="00AA161E">
        <w:t>$72,846</w:t>
      </w:r>
      <w:r>
        <w:t xml:space="preserve"> is acceptable contingent upon receipt of the written guarantee of UI and written confirmation that the cumulative outstanding guarantees on behalf of UI-owned utilities in other states will not exceed $1.2 million (inclusive of all Florida utilities).</w:t>
      </w:r>
    </w:p>
    <w:p w:rsidR="00574C4E" w:rsidRDefault="00574C4E" w:rsidP="00574C4E">
      <w:pPr>
        <w:pStyle w:val="BodyText"/>
      </w:pPr>
      <w:r>
        <w:t>The brief financial analysis above is only appropriate for deciding if UI can support a corporate undertaking in the amount proposed and should not be considered a finding regarding staff’s position on other issues in this proceeding.</w:t>
      </w:r>
    </w:p>
    <w:p w:rsidR="00574C4E" w:rsidRDefault="00574C4E" w:rsidP="00574C4E">
      <w:pPr>
        <w:pStyle w:val="BodyText"/>
      </w:pPr>
      <w:r>
        <w:t>The Utility should maintain a record of the amount of the corporate undertaking memorandum, and the amount of revenues that are subject to refund. In addition, after the increased rates are in effect, pursuant to Rule 25-30.360(6), F.A.C., the Utility should file reports with the Commission Clerk’s office no later than the 20th of each month indicating the monthly and total amount of money subject to refund at the end of the preceding month.</w:t>
      </w:r>
    </w:p>
    <w:p w:rsidR="00574C4E" w:rsidRDefault="00574C4E" w:rsidP="00574C4E">
      <w:pPr>
        <w:pStyle w:val="BodyText"/>
      </w:pPr>
      <w:r>
        <w:t>Further, 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574C4E" w:rsidRPr="007460FE" w:rsidRDefault="00574C4E" w:rsidP="00574C4E">
      <w:pPr>
        <w:pStyle w:val="BodyText"/>
        <w:spacing w:after="0"/>
        <w:rPr>
          <w:rFonts w:ascii="Arial" w:hAnsi="Arial" w:cs="Arial"/>
          <w:b/>
          <w:bCs/>
          <w:i/>
          <w:iCs/>
          <w:szCs w:val="28"/>
        </w:rPr>
      </w:pPr>
      <w:r w:rsidRPr="007460FE">
        <w:rPr>
          <w:rFonts w:ascii="Arial" w:hAnsi="Arial" w:cs="Arial"/>
          <w:b/>
          <w:bCs/>
          <w:i/>
          <w:iCs/>
          <w:szCs w:val="28"/>
        </w:rPr>
        <w:t>Conclusion</w:t>
      </w:r>
    </w:p>
    <w:p w:rsidR="00C47797" w:rsidRDefault="00574C4E" w:rsidP="00574C4E">
      <w:pPr>
        <w:pStyle w:val="BodyText"/>
      </w:pPr>
      <w:r>
        <w:t>The recommended rates should be approved for the Utility on a temporary basis, subject to refund, in the event of a protest filed by a party other than the Utility. UIF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w:t>
      </w:r>
      <w:r w:rsidR="00C83800">
        <w:t xml:space="preserve"> after the interconnection is in-service and</w:t>
      </w:r>
      <w:r>
        <w:t xml:space="preserve"> staff has approved the proposed notice, and the notice has been received by the customers. The temporary rates should only be implemented after the Utility has provided written guarantee of its corporate undertaking </w:t>
      </w:r>
      <w:r w:rsidR="009D6D07">
        <w:t xml:space="preserve">in a cumulative amount of </w:t>
      </w:r>
      <w:r w:rsidR="00AA161E">
        <w:t>$72,846.</w:t>
      </w:r>
      <w:r>
        <w:t xml:space="preserve"> If the recommended rates are approved on a temporary basis, the rates collected by the Utility should be subject to the refund provisions discussed in staff’s analysis. In addition, after the increased rates are in effect, pursuant to Rule 25-30.360(6), F.A.C., the Utility should file reports with the Commission Clerk’s office no later than the 20th of each month indicating the monthly and total amount of money subject to refund at the end of the preceding month.</w:t>
      </w:r>
    </w:p>
    <w:p w:rsidR="00C47797" w:rsidRDefault="00C47797">
      <w:pPr>
        <w:pStyle w:val="IssueHeading"/>
        <w:rPr>
          <w:vanish/>
          <w:specVanish/>
        </w:rPr>
      </w:pPr>
      <w:r w:rsidRPr="004C3641">
        <w:rPr>
          <w:b w:val="0"/>
          <w:i w:val="0"/>
        </w:rPr>
        <w:br w:type="page"/>
      </w:r>
      <w:r w:rsidRPr="004C3641">
        <w:t xml:space="preserve">Issue </w:t>
      </w:r>
      <w:fldSimple w:instr=" SEQ Issue \* MERGEFORMAT ">
        <w:r w:rsidR="00AF2F30">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AF2F30">
        <w:rPr>
          <w:noProof/>
        </w:rPr>
        <w:instrText>4</w:instrText>
      </w:r>
      <w:r>
        <w:fldChar w:fldCharType="end"/>
      </w:r>
      <w:r>
        <w:tab/>
        <w:instrText xml:space="preserve">(Mapp)" \l 1 </w:instrText>
      </w:r>
      <w:r>
        <w:fldChar w:fldCharType="end"/>
      </w:r>
      <w:r>
        <w:t> </w:t>
      </w:r>
    </w:p>
    <w:p w:rsidR="00C47797" w:rsidRDefault="00C47797">
      <w:pPr>
        <w:pStyle w:val="BodyText"/>
      </w:pPr>
      <w:r>
        <w:t> Should this docket be closed?</w:t>
      </w:r>
    </w:p>
    <w:p w:rsidR="00C47797" w:rsidRPr="004C3641" w:rsidRDefault="00C47797">
      <w:pPr>
        <w:pStyle w:val="IssueSubsectionHeading"/>
        <w:rPr>
          <w:vanish/>
          <w:specVanish/>
        </w:rPr>
      </w:pPr>
      <w:r w:rsidRPr="004C3641">
        <w:t>Recommendation: </w:t>
      </w:r>
    </w:p>
    <w:p w:rsidR="00C47797" w:rsidRDefault="00C47797">
      <w:pPr>
        <w:pStyle w:val="BodyText"/>
      </w:pPr>
      <w:r>
        <w:t> </w:t>
      </w:r>
      <w:r w:rsidR="00556D31" w:rsidRPr="00562B3E">
        <w:t>If no person whose substantial interests are affected by the proposed agency action files a protest within 21 days of the issuance of the order, a consum</w:t>
      </w:r>
      <w:r w:rsidR="00556D31">
        <w:t xml:space="preserve">mating order should be issued. </w:t>
      </w:r>
      <w:r w:rsidR="00556D31" w:rsidRPr="00562B3E">
        <w:t>The docket should remain open for staff’s verification that the revised tariff sheets and customer notice have been filed by the Utility and approved by staff.</w:t>
      </w:r>
      <w:r w:rsidR="00556D31">
        <w:t xml:space="preserve"> </w:t>
      </w:r>
      <w:r w:rsidR="00556D31" w:rsidRPr="00562B3E">
        <w:t>Once these actions are complete, this docket s</w:t>
      </w:r>
      <w:r w:rsidR="00556D31">
        <w:t xml:space="preserve">hould </w:t>
      </w:r>
      <w:r w:rsidR="00A1096C">
        <w:t>be closed</w:t>
      </w:r>
      <w:r w:rsidR="00CD4FE1">
        <w:t xml:space="preserve"> administratively</w:t>
      </w:r>
      <w:r w:rsidR="00A1096C">
        <w:t>.</w:t>
      </w:r>
      <w:r>
        <w:t xml:space="preserve"> (Mapp)</w:t>
      </w:r>
    </w:p>
    <w:p w:rsidR="00C47797" w:rsidRPr="004C3641" w:rsidRDefault="00C47797">
      <w:pPr>
        <w:pStyle w:val="IssueSubsectionHeading"/>
        <w:rPr>
          <w:vanish/>
          <w:specVanish/>
        </w:rPr>
      </w:pPr>
      <w:r w:rsidRPr="004C3641">
        <w:t>Staff Analysis: </w:t>
      </w:r>
    </w:p>
    <w:p w:rsidR="005E41B1" w:rsidRDefault="00C47797" w:rsidP="008472B2">
      <w:pPr>
        <w:pStyle w:val="BodyText"/>
      </w:pPr>
      <w:r>
        <w:t> </w:t>
      </w:r>
      <w:r w:rsidR="00556D31">
        <w:t xml:space="preserve">If </w:t>
      </w:r>
      <w:r w:rsidR="00556D31" w:rsidRPr="00562B3E">
        <w:t>no person whose substantial interests are affected by the proposed agency action files a protest within 21 days of the issuance of the order, a consu</w:t>
      </w:r>
      <w:r w:rsidR="00556D31">
        <w:t>mmating order should be issued.</w:t>
      </w:r>
      <w:r w:rsidR="00556D31" w:rsidRPr="00562B3E">
        <w:t xml:space="preserve"> The docket should remain open for staff’s verification that the revised tariff sheets and customer notice have been filed by the </w:t>
      </w:r>
      <w:r w:rsidR="00556D31">
        <w:t xml:space="preserve">Utility and approved by staff. </w:t>
      </w:r>
      <w:r w:rsidR="00556D31" w:rsidRPr="00562B3E">
        <w:t xml:space="preserve">Once these actions are complete, this docket should </w:t>
      </w:r>
      <w:r w:rsidR="00A1096C">
        <w:t>be closed</w:t>
      </w:r>
      <w:r w:rsidR="00CD4FE1">
        <w:t xml:space="preserve"> administratively</w:t>
      </w:r>
      <w:r w:rsidR="00A1096C">
        <w:t>.</w:t>
      </w:r>
    </w:p>
    <w:p w:rsidR="005E41B1" w:rsidRDefault="005E41B1" w:rsidP="008472B2">
      <w:pPr>
        <w:pStyle w:val="BodyText"/>
      </w:pPr>
    </w:p>
    <w:p w:rsidR="005E41B1" w:rsidRDefault="005E41B1" w:rsidP="008472B2">
      <w:pPr>
        <w:pStyle w:val="BodyText"/>
        <w:sectPr w:rsidR="005E41B1" w:rsidSect="0068481F">
          <w:headerReference w:type="even" r:id="rId13"/>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tbl>
      <w:tblPr>
        <w:tblW w:w="10254" w:type="dxa"/>
        <w:jc w:val="center"/>
        <w:tblLook w:val="04A0" w:firstRow="1" w:lastRow="0" w:firstColumn="1" w:lastColumn="0" w:noHBand="0" w:noVBand="1"/>
      </w:tblPr>
      <w:tblGrid>
        <w:gridCol w:w="1005"/>
        <w:gridCol w:w="5094"/>
        <w:gridCol w:w="1506"/>
        <w:gridCol w:w="660"/>
        <w:gridCol w:w="2046"/>
      </w:tblGrid>
      <w:tr w:rsidR="005E41B1" w:rsidTr="00990460">
        <w:trPr>
          <w:trHeight w:val="289"/>
          <w:jc w:val="center"/>
        </w:trPr>
        <w:tc>
          <w:tcPr>
            <w:tcW w:w="6099" w:type="dxa"/>
            <w:gridSpan w:val="2"/>
            <w:tcBorders>
              <w:top w:val="single" w:sz="4" w:space="0" w:color="auto"/>
              <w:left w:val="single" w:sz="4" w:space="0" w:color="auto"/>
              <w:right w:val="nil"/>
            </w:tcBorders>
            <w:shd w:val="clear" w:color="auto" w:fill="auto"/>
            <w:noWrap/>
            <w:vAlign w:val="bottom"/>
            <w:hideMark/>
          </w:tcPr>
          <w:p w:rsidR="005E41B1" w:rsidRPr="00A6596D" w:rsidRDefault="005E41B1">
            <w:pPr>
              <w:rPr>
                <w:b/>
                <w:bCs/>
                <w:color w:val="000000"/>
                <w:sz w:val="18"/>
                <w:szCs w:val="18"/>
              </w:rPr>
            </w:pPr>
            <w:r w:rsidRPr="00A6596D">
              <w:rPr>
                <w:b/>
                <w:bCs/>
                <w:color w:val="000000"/>
                <w:sz w:val="18"/>
                <w:szCs w:val="18"/>
              </w:rPr>
              <w:t>UTILITIES, INC. OF FLORIDA - PASCO COUNTY - PHASE II</w:t>
            </w:r>
          </w:p>
        </w:tc>
        <w:tc>
          <w:tcPr>
            <w:tcW w:w="1506" w:type="dxa"/>
            <w:tcBorders>
              <w:top w:val="single" w:sz="4" w:space="0" w:color="auto"/>
              <w:left w:val="nil"/>
              <w:right w:val="nil"/>
            </w:tcBorders>
            <w:shd w:val="clear" w:color="auto" w:fill="auto"/>
            <w:noWrap/>
            <w:vAlign w:val="bottom"/>
            <w:hideMark/>
          </w:tcPr>
          <w:p w:rsidR="005E41B1" w:rsidRPr="00A6596D" w:rsidRDefault="005E41B1">
            <w:pPr>
              <w:jc w:val="center"/>
              <w:rPr>
                <w:b/>
                <w:bCs/>
                <w:color w:val="000000"/>
                <w:sz w:val="18"/>
                <w:szCs w:val="18"/>
              </w:rPr>
            </w:pPr>
            <w:r w:rsidRPr="00A6596D">
              <w:rPr>
                <w:b/>
                <w:bCs/>
                <w:color w:val="000000"/>
                <w:sz w:val="18"/>
                <w:szCs w:val="18"/>
              </w:rPr>
              <w:t> </w:t>
            </w:r>
          </w:p>
        </w:tc>
        <w:tc>
          <w:tcPr>
            <w:tcW w:w="660" w:type="dxa"/>
            <w:tcBorders>
              <w:top w:val="single" w:sz="4" w:space="0" w:color="auto"/>
              <w:left w:val="nil"/>
              <w:right w:val="nil"/>
            </w:tcBorders>
            <w:shd w:val="clear" w:color="auto" w:fill="auto"/>
            <w:noWrap/>
            <w:vAlign w:val="bottom"/>
            <w:hideMark/>
          </w:tcPr>
          <w:p w:rsidR="005E41B1" w:rsidRPr="00A6596D" w:rsidRDefault="005E41B1">
            <w:pPr>
              <w:jc w:val="center"/>
              <w:rPr>
                <w:b/>
                <w:bCs/>
                <w:color w:val="000000"/>
                <w:sz w:val="18"/>
                <w:szCs w:val="18"/>
              </w:rPr>
            </w:pPr>
            <w:r w:rsidRPr="00A6596D">
              <w:rPr>
                <w:b/>
                <w:bCs/>
                <w:color w:val="000000"/>
                <w:sz w:val="18"/>
                <w:szCs w:val="18"/>
              </w:rPr>
              <w:t> </w:t>
            </w:r>
          </w:p>
        </w:tc>
        <w:tc>
          <w:tcPr>
            <w:tcW w:w="1989" w:type="dxa"/>
            <w:tcBorders>
              <w:top w:val="single" w:sz="4" w:space="0" w:color="auto"/>
              <w:left w:val="nil"/>
              <w:right w:val="single" w:sz="4" w:space="0" w:color="auto"/>
            </w:tcBorders>
            <w:shd w:val="clear" w:color="auto" w:fill="auto"/>
            <w:noWrap/>
            <w:vAlign w:val="bottom"/>
            <w:hideMark/>
          </w:tcPr>
          <w:p w:rsidR="005E41B1" w:rsidRPr="00A6596D" w:rsidRDefault="005E41B1">
            <w:pPr>
              <w:jc w:val="right"/>
              <w:rPr>
                <w:b/>
                <w:bCs/>
                <w:color w:val="000000"/>
                <w:sz w:val="18"/>
                <w:szCs w:val="18"/>
              </w:rPr>
            </w:pPr>
            <w:r w:rsidRPr="00A6596D">
              <w:rPr>
                <w:b/>
                <w:bCs/>
                <w:color w:val="000000"/>
                <w:sz w:val="18"/>
                <w:szCs w:val="18"/>
              </w:rPr>
              <w:t>SCHEDULE NO. 1</w:t>
            </w:r>
          </w:p>
        </w:tc>
      </w:tr>
      <w:tr w:rsidR="005E41B1" w:rsidTr="00990460">
        <w:trPr>
          <w:trHeight w:val="289"/>
          <w:jc w:val="center"/>
        </w:trPr>
        <w:tc>
          <w:tcPr>
            <w:tcW w:w="6099" w:type="dxa"/>
            <w:gridSpan w:val="2"/>
            <w:tcBorders>
              <w:top w:val="nil"/>
              <w:left w:val="single" w:sz="4" w:space="0" w:color="auto"/>
              <w:bottom w:val="single" w:sz="4" w:space="0" w:color="auto"/>
              <w:right w:val="nil"/>
            </w:tcBorders>
            <w:shd w:val="clear" w:color="auto" w:fill="auto"/>
            <w:noWrap/>
            <w:vAlign w:val="bottom"/>
            <w:hideMark/>
          </w:tcPr>
          <w:p w:rsidR="005E41B1" w:rsidRPr="00A6596D" w:rsidRDefault="005E41B1">
            <w:pPr>
              <w:rPr>
                <w:b/>
                <w:bCs/>
                <w:color w:val="000000"/>
                <w:sz w:val="18"/>
                <w:szCs w:val="18"/>
              </w:rPr>
            </w:pPr>
            <w:r w:rsidRPr="00A6596D">
              <w:rPr>
                <w:b/>
                <w:bCs/>
                <w:color w:val="000000"/>
                <w:sz w:val="18"/>
                <w:szCs w:val="18"/>
              </w:rPr>
              <w:t>WATER REVENUE REQUIREMENTS INCREASE</w:t>
            </w:r>
          </w:p>
        </w:tc>
        <w:tc>
          <w:tcPr>
            <w:tcW w:w="1506" w:type="dxa"/>
            <w:tcBorders>
              <w:top w:val="nil"/>
              <w:left w:val="nil"/>
              <w:bottom w:val="single" w:sz="4" w:space="0" w:color="auto"/>
              <w:right w:val="nil"/>
            </w:tcBorders>
            <w:shd w:val="clear" w:color="auto" w:fill="auto"/>
            <w:noWrap/>
            <w:vAlign w:val="bottom"/>
            <w:hideMark/>
          </w:tcPr>
          <w:p w:rsidR="005E41B1" w:rsidRPr="00A6596D" w:rsidRDefault="005E41B1">
            <w:pPr>
              <w:jc w:val="center"/>
              <w:rPr>
                <w:b/>
                <w:bCs/>
                <w:color w:val="000000"/>
                <w:sz w:val="18"/>
                <w:szCs w:val="18"/>
              </w:rPr>
            </w:pPr>
            <w:r w:rsidRPr="00A6596D">
              <w:rPr>
                <w:b/>
                <w:bCs/>
                <w:color w:val="000000"/>
                <w:sz w:val="18"/>
                <w:szCs w:val="18"/>
              </w:rPr>
              <w:t> </w:t>
            </w:r>
          </w:p>
        </w:tc>
        <w:tc>
          <w:tcPr>
            <w:tcW w:w="2649" w:type="dxa"/>
            <w:gridSpan w:val="2"/>
            <w:tcBorders>
              <w:top w:val="nil"/>
              <w:left w:val="nil"/>
              <w:bottom w:val="single" w:sz="4" w:space="0" w:color="auto"/>
              <w:right w:val="single" w:sz="4" w:space="0" w:color="auto"/>
            </w:tcBorders>
            <w:shd w:val="clear" w:color="auto" w:fill="auto"/>
            <w:noWrap/>
            <w:vAlign w:val="bottom"/>
            <w:hideMark/>
          </w:tcPr>
          <w:p w:rsidR="005E41B1" w:rsidRPr="00A6596D" w:rsidRDefault="005E41B1" w:rsidP="00ED4074">
            <w:pPr>
              <w:jc w:val="right"/>
              <w:rPr>
                <w:b/>
                <w:bCs/>
                <w:color w:val="000000"/>
                <w:sz w:val="18"/>
                <w:szCs w:val="18"/>
              </w:rPr>
            </w:pPr>
            <w:r w:rsidRPr="00A6596D">
              <w:rPr>
                <w:b/>
                <w:bCs/>
                <w:color w:val="000000"/>
                <w:sz w:val="18"/>
                <w:szCs w:val="18"/>
              </w:rPr>
              <w:t> DOCKET NO. 150269-WS</w:t>
            </w:r>
          </w:p>
        </w:tc>
      </w:tr>
      <w:tr w:rsidR="005E41B1" w:rsidTr="00990460">
        <w:trPr>
          <w:trHeight w:val="386"/>
          <w:jc w:val="center"/>
        </w:trPr>
        <w:tc>
          <w:tcPr>
            <w:tcW w:w="1005" w:type="dxa"/>
            <w:tcBorders>
              <w:top w:val="single" w:sz="4" w:space="0" w:color="auto"/>
              <w:left w:val="single" w:sz="4" w:space="0" w:color="auto"/>
              <w:bottom w:val="single" w:sz="4" w:space="0" w:color="auto"/>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c>
          <w:tcPr>
            <w:tcW w:w="5094" w:type="dxa"/>
            <w:tcBorders>
              <w:top w:val="single" w:sz="4" w:space="0" w:color="auto"/>
              <w:left w:val="nil"/>
              <w:bottom w:val="single" w:sz="4" w:space="0" w:color="auto"/>
              <w:right w:val="nil"/>
            </w:tcBorders>
            <w:shd w:val="clear" w:color="auto" w:fill="auto"/>
            <w:noWrap/>
            <w:vAlign w:val="bottom"/>
            <w:hideMark/>
          </w:tcPr>
          <w:p w:rsidR="005E41B1" w:rsidRPr="00A6596D" w:rsidRDefault="005E41B1">
            <w:pPr>
              <w:rPr>
                <w:sz w:val="18"/>
                <w:szCs w:val="18"/>
              </w:rPr>
            </w:pPr>
            <w:r w:rsidRPr="00A6596D">
              <w:rPr>
                <w:sz w:val="18"/>
                <w:szCs w:val="18"/>
              </w:rPr>
              <w:t> </w:t>
            </w:r>
          </w:p>
        </w:tc>
        <w:tc>
          <w:tcPr>
            <w:tcW w:w="1506" w:type="dxa"/>
            <w:tcBorders>
              <w:top w:val="single" w:sz="4" w:space="0" w:color="auto"/>
              <w:left w:val="nil"/>
              <w:bottom w:val="single" w:sz="4" w:space="0" w:color="auto"/>
              <w:right w:val="nil"/>
            </w:tcBorders>
            <w:shd w:val="clear" w:color="auto" w:fill="auto"/>
            <w:noWrap/>
            <w:vAlign w:val="bottom"/>
            <w:hideMark/>
          </w:tcPr>
          <w:p w:rsidR="005E41B1" w:rsidRPr="00A6596D" w:rsidRDefault="005E41B1">
            <w:pPr>
              <w:jc w:val="center"/>
              <w:rPr>
                <w:b/>
                <w:bCs/>
                <w:sz w:val="18"/>
                <w:szCs w:val="18"/>
              </w:rPr>
            </w:pPr>
            <w:r w:rsidRPr="00A6596D">
              <w:rPr>
                <w:b/>
                <w:bCs/>
                <w:sz w:val="18"/>
                <w:szCs w:val="18"/>
              </w:rPr>
              <w:t>MODIFIED UTILITY</w:t>
            </w:r>
            <w:r w:rsidR="003B3CEC" w:rsidRPr="00A6596D">
              <w:rPr>
                <w:b/>
                <w:bCs/>
                <w:sz w:val="18"/>
                <w:szCs w:val="18"/>
              </w:rPr>
              <w:t xml:space="preserve"> FILING (a)(b)(c)</w:t>
            </w:r>
          </w:p>
        </w:tc>
        <w:tc>
          <w:tcPr>
            <w:tcW w:w="660" w:type="dxa"/>
            <w:tcBorders>
              <w:top w:val="single" w:sz="4" w:space="0" w:color="auto"/>
              <w:left w:val="nil"/>
              <w:bottom w:val="single" w:sz="4" w:space="0" w:color="auto"/>
              <w:right w:val="nil"/>
            </w:tcBorders>
            <w:shd w:val="clear" w:color="auto" w:fill="auto"/>
            <w:noWrap/>
            <w:vAlign w:val="bottom"/>
            <w:hideMark/>
          </w:tcPr>
          <w:p w:rsidR="005E41B1" w:rsidRPr="00A6596D" w:rsidRDefault="005E41B1">
            <w:pPr>
              <w:jc w:val="center"/>
              <w:rPr>
                <w:b/>
                <w:bCs/>
                <w:sz w:val="18"/>
                <w:szCs w:val="18"/>
              </w:rPr>
            </w:pPr>
            <w:r w:rsidRPr="00A6596D">
              <w:rPr>
                <w:b/>
                <w:bCs/>
                <w:sz w:val="18"/>
                <w:szCs w:val="18"/>
              </w:rPr>
              <w:t> </w:t>
            </w:r>
          </w:p>
        </w:tc>
        <w:tc>
          <w:tcPr>
            <w:tcW w:w="1989" w:type="dxa"/>
            <w:tcBorders>
              <w:top w:val="single" w:sz="4" w:space="0" w:color="auto"/>
              <w:left w:val="nil"/>
              <w:bottom w:val="single" w:sz="4" w:space="0" w:color="auto"/>
              <w:right w:val="single" w:sz="4" w:space="0" w:color="auto"/>
            </w:tcBorders>
            <w:shd w:val="clear" w:color="auto" w:fill="auto"/>
            <w:noWrap/>
            <w:hideMark/>
          </w:tcPr>
          <w:p w:rsidR="005E41B1" w:rsidRPr="00A6596D" w:rsidRDefault="005E41B1" w:rsidP="003B3CEC">
            <w:pPr>
              <w:jc w:val="center"/>
              <w:rPr>
                <w:b/>
                <w:bCs/>
                <w:color w:val="000000"/>
                <w:sz w:val="18"/>
                <w:szCs w:val="18"/>
              </w:rPr>
            </w:pPr>
            <w:r w:rsidRPr="00A6596D">
              <w:rPr>
                <w:b/>
                <w:bCs/>
                <w:color w:val="000000"/>
                <w:sz w:val="18"/>
                <w:szCs w:val="18"/>
              </w:rPr>
              <w:t>STAFF</w:t>
            </w:r>
            <w:r w:rsidR="003B3CEC" w:rsidRPr="00A6596D">
              <w:rPr>
                <w:b/>
                <w:bCs/>
                <w:color w:val="000000"/>
                <w:sz w:val="18"/>
                <w:szCs w:val="18"/>
              </w:rPr>
              <w:t xml:space="preserve"> RECOMMENDATION</w:t>
            </w:r>
          </w:p>
        </w:tc>
      </w:tr>
      <w:tr w:rsidR="005E41B1" w:rsidTr="003B3CEC">
        <w:trPr>
          <w:trHeight w:val="289"/>
          <w:jc w:val="center"/>
        </w:trPr>
        <w:tc>
          <w:tcPr>
            <w:tcW w:w="1005" w:type="dxa"/>
            <w:tcBorders>
              <w:top w:val="single" w:sz="4" w:space="0" w:color="auto"/>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u w:val="single"/>
              </w:rPr>
            </w:pPr>
            <w:r w:rsidRPr="00A6596D">
              <w:rPr>
                <w:color w:val="000000"/>
                <w:sz w:val="18"/>
                <w:szCs w:val="18"/>
                <w:u w:val="single"/>
              </w:rPr>
              <w:t>Line No.</w:t>
            </w:r>
          </w:p>
        </w:tc>
        <w:tc>
          <w:tcPr>
            <w:tcW w:w="5094" w:type="dxa"/>
            <w:tcBorders>
              <w:top w:val="single" w:sz="4" w:space="0" w:color="auto"/>
              <w:left w:val="nil"/>
              <w:bottom w:val="nil"/>
              <w:right w:val="nil"/>
            </w:tcBorders>
            <w:shd w:val="clear" w:color="auto" w:fill="auto"/>
            <w:noWrap/>
            <w:vAlign w:val="bottom"/>
            <w:hideMark/>
          </w:tcPr>
          <w:p w:rsidR="005E41B1" w:rsidRPr="00A6596D" w:rsidRDefault="005E41B1">
            <w:pPr>
              <w:jc w:val="center"/>
              <w:rPr>
                <w:sz w:val="18"/>
                <w:szCs w:val="18"/>
                <w:u w:val="single"/>
              </w:rPr>
            </w:pPr>
          </w:p>
        </w:tc>
        <w:tc>
          <w:tcPr>
            <w:tcW w:w="1506" w:type="dxa"/>
            <w:tcBorders>
              <w:top w:val="single" w:sz="4" w:space="0" w:color="auto"/>
              <w:left w:val="nil"/>
              <w:bottom w:val="nil"/>
              <w:right w:val="nil"/>
            </w:tcBorders>
            <w:shd w:val="clear" w:color="auto" w:fill="auto"/>
            <w:noWrap/>
            <w:vAlign w:val="bottom"/>
            <w:hideMark/>
          </w:tcPr>
          <w:p w:rsidR="005E41B1" w:rsidRPr="00A6596D" w:rsidRDefault="005E41B1" w:rsidP="008F6BCC">
            <w:pPr>
              <w:jc w:val="right"/>
              <w:rPr>
                <w:sz w:val="18"/>
                <w:szCs w:val="18"/>
                <w:u w:val="single"/>
              </w:rPr>
            </w:pPr>
          </w:p>
        </w:tc>
        <w:tc>
          <w:tcPr>
            <w:tcW w:w="660" w:type="dxa"/>
            <w:tcBorders>
              <w:top w:val="single" w:sz="4" w:space="0" w:color="auto"/>
              <w:left w:val="nil"/>
              <w:bottom w:val="nil"/>
              <w:right w:val="nil"/>
            </w:tcBorders>
            <w:shd w:val="clear" w:color="auto" w:fill="auto"/>
            <w:noWrap/>
            <w:vAlign w:val="bottom"/>
            <w:hideMark/>
          </w:tcPr>
          <w:p w:rsidR="005E41B1" w:rsidRPr="00A6596D" w:rsidRDefault="005E41B1" w:rsidP="008F6BCC">
            <w:pPr>
              <w:jc w:val="right"/>
              <w:rPr>
                <w:sz w:val="18"/>
                <w:szCs w:val="18"/>
                <w:u w:val="single"/>
              </w:rPr>
            </w:pPr>
          </w:p>
        </w:tc>
        <w:tc>
          <w:tcPr>
            <w:tcW w:w="1989" w:type="dxa"/>
            <w:tcBorders>
              <w:top w:val="single" w:sz="4" w:space="0" w:color="auto"/>
              <w:left w:val="nil"/>
              <w:bottom w:val="nil"/>
              <w:right w:val="single" w:sz="4" w:space="0" w:color="auto"/>
            </w:tcBorders>
            <w:shd w:val="clear" w:color="auto" w:fill="auto"/>
            <w:noWrap/>
            <w:vAlign w:val="bottom"/>
            <w:hideMark/>
          </w:tcPr>
          <w:p w:rsidR="005E41B1" w:rsidRPr="00A6596D" w:rsidRDefault="005E41B1" w:rsidP="008F6BCC">
            <w:pPr>
              <w:jc w:val="right"/>
              <w:rPr>
                <w:color w:val="000000"/>
                <w:sz w:val="18"/>
                <w:szCs w:val="18"/>
              </w:rPr>
            </w:pPr>
            <w:r w:rsidRPr="00A6596D">
              <w:rPr>
                <w:color w:val="000000"/>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Utility Plant in Service (UPIS)</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Retirements</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($363,697)</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($363,697)</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3</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Accumulated Depreciation</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4</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Contributions in Aid of Construction (CIAC)</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5</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Accumulated Amortization of CIAC</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6</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Cash Working Capital</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7,118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7,811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7</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Total Increase in Rate Base</w:t>
            </w:r>
          </w:p>
        </w:tc>
        <w:tc>
          <w:tcPr>
            <w:tcW w:w="1506" w:type="dxa"/>
            <w:tcBorders>
              <w:top w:val="single" w:sz="4" w:space="0" w:color="auto"/>
              <w:left w:val="nil"/>
              <w:bottom w:val="single" w:sz="4" w:space="0" w:color="auto"/>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($356,579)</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single" w:sz="4" w:space="0" w:color="auto"/>
              <w:left w:val="nil"/>
              <w:bottom w:val="single" w:sz="4" w:space="0" w:color="auto"/>
              <w:right w:val="single" w:sz="4" w:space="0" w:color="auto"/>
            </w:tcBorders>
            <w:shd w:val="clear" w:color="000000" w:fill="FFFFFF"/>
            <w:noWrap/>
            <w:vAlign w:val="bottom"/>
            <w:hideMark/>
          </w:tcPr>
          <w:p w:rsidR="005E41B1" w:rsidRPr="00A6596D" w:rsidRDefault="00672916" w:rsidP="008F6BCC">
            <w:pPr>
              <w:jc w:val="right"/>
              <w:rPr>
                <w:sz w:val="18"/>
                <w:szCs w:val="18"/>
              </w:rPr>
            </w:pPr>
            <w:r w:rsidRPr="00A6596D">
              <w:rPr>
                <w:sz w:val="18"/>
                <w:szCs w:val="18"/>
              </w:rPr>
              <w:t>($355,886</w:t>
            </w:r>
            <w:r w:rsidR="005E41B1" w:rsidRPr="00A6596D">
              <w:rPr>
                <w:sz w:val="18"/>
                <w:szCs w:val="18"/>
              </w:rPr>
              <w:t>)</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8</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Weighted Cost of Capital</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8.03%</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7.22%</w:t>
            </w:r>
          </w:p>
        </w:tc>
      </w:tr>
      <w:tr w:rsidR="005E41B1" w:rsidTr="006E0BBD">
        <w:trPr>
          <w:trHeight w:val="162"/>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rsidP="00A6596D">
            <w:pPr>
              <w:ind w:firstLineChars="100" w:firstLine="180"/>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9</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Return Required</w:t>
            </w:r>
          </w:p>
        </w:tc>
        <w:tc>
          <w:tcPr>
            <w:tcW w:w="1506" w:type="dxa"/>
            <w:tcBorders>
              <w:top w:val="single" w:sz="4" w:space="0" w:color="auto"/>
              <w:left w:val="nil"/>
              <w:bottom w:val="single" w:sz="4" w:space="0" w:color="auto"/>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($28,633)</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single" w:sz="4" w:space="0" w:color="auto"/>
              <w:left w:val="nil"/>
              <w:bottom w:val="single" w:sz="4" w:space="0" w:color="auto"/>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($25,695)</w:t>
            </w:r>
          </w:p>
        </w:tc>
      </w:tr>
      <w:tr w:rsidR="005E41B1" w:rsidTr="006E0BBD">
        <w:trPr>
          <w:trHeight w:val="152"/>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rsidP="00A6596D">
            <w:pPr>
              <w:ind w:firstLineChars="100" w:firstLine="180"/>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10</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Decrease in Depreciation Expense Due to Retirements</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($22,778)</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($21,974)</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11</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Increase in Recovery of Abandoned Wells</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65,022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45,994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12</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Increase in CIAC Amortization</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13</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Decrease in O&amp;M from Well Abandonments</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(46,245)</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(48,609)</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14</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Increase In O&amp;M for Purchased Water Expense</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99,101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106,398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15</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Increase in Rate Case Expense</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4,085 </w:t>
            </w:r>
          </w:p>
        </w:tc>
        <w:tc>
          <w:tcPr>
            <w:tcW w:w="660" w:type="dxa"/>
            <w:tcBorders>
              <w:top w:val="nil"/>
              <w:left w:val="nil"/>
              <w:bottom w:val="nil"/>
              <w:right w:val="nil"/>
            </w:tcBorders>
            <w:shd w:val="clear" w:color="auto" w:fill="auto"/>
            <w:noWrap/>
            <w:vAlign w:val="bottom"/>
            <w:hideMark/>
          </w:tcPr>
          <w:p w:rsidR="005E41B1" w:rsidRPr="00A6596D" w:rsidRDefault="005E41B1" w:rsidP="003D41D7">
            <w:pPr>
              <w:jc w:val="center"/>
              <w:rPr>
                <w:sz w:val="18"/>
                <w:szCs w:val="18"/>
              </w:rPr>
            </w:pPr>
            <w:r w:rsidRPr="00A6596D">
              <w:rPr>
                <w:sz w:val="18"/>
                <w:szCs w:val="18"/>
              </w:rPr>
              <w:t>(c)</w:t>
            </w: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4,695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16</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Decrease in Taxes Other Than Income Taxes</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(9,493)</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(9,933)</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17</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Total Increase in Operating Expenses Before Income Taxes</w:t>
            </w:r>
          </w:p>
        </w:tc>
        <w:tc>
          <w:tcPr>
            <w:tcW w:w="1506" w:type="dxa"/>
            <w:tcBorders>
              <w:top w:val="single" w:sz="4" w:space="0" w:color="auto"/>
              <w:left w:val="nil"/>
              <w:bottom w:val="single" w:sz="4" w:space="0" w:color="auto"/>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$89,692 </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$76,571 </w:t>
            </w:r>
          </w:p>
        </w:tc>
      </w:tr>
      <w:tr w:rsidR="005E41B1" w:rsidTr="006E0BBD">
        <w:trPr>
          <w:trHeight w:val="17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rsidP="00A6596D">
            <w:pPr>
              <w:ind w:firstLineChars="100" w:firstLine="180"/>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18</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Total Taxable Income</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($28,633)</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($15,695)</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19</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Multiply by State Income Tax (5.5%)</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(1,575)</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xml:space="preserve">                           (863)</w:t>
            </w:r>
          </w:p>
        </w:tc>
      </w:tr>
      <w:tr w:rsidR="005E41B1" w:rsidTr="006E0BBD">
        <w:trPr>
          <w:trHeight w:val="171"/>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rsidP="00A6596D">
            <w:pPr>
              <w:ind w:firstLineChars="100" w:firstLine="180"/>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20</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Total Federal Taxable Income</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($27,058)</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($14,831)</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21</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Multiply by Federal Income Tax (34%)</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(9,200)</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xml:space="preserve">                        (5,043)</w:t>
            </w:r>
          </w:p>
        </w:tc>
      </w:tr>
      <w:tr w:rsidR="005E41B1" w:rsidTr="006E0BBD">
        <w:trPr>
          <w:trHeight w:val="162"/>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22</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Total Revenue Increase Before RAF (L9 + L17 + L19 + L21)</w:t>
            </w:r>
          </w:p>
        </w:tc>
        <w:tc>
          <w:tcPr>
            <w:tcW w:w="1506" w:type="dxa"/>
            <w:tcBorders>
              <w:top w:val="single" w:sz="4" w:space="0" w:color="auto"/>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$50,284 </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single" w:sz="4" w:space="0" w:color="auto"/>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xml:space="preserve">$44,970 </w:t>
            </w:r>
          </w:p>
        </w:tc>
      </w:tr>
      <w:tr w:rsidR="005E41B1" w:rsidTr="006E0BBD">
        <w:trPr>
          <w:trHeight w:val="162"/>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23</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Multiply by RAF (4.5%)</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                  2,263 </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xml:space="preserve">                          2,024 </w:t>
            </w:r>
          </w:p>
        </w:tc>
      </w:tr>
      <w:tr w:rsidR="005E41B1" w:rsidTr="006E0BBD">
        <w:trPr>
          <w:trHeight w:val="162"/>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289"/>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24</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Total Water Revenue Increase</w:t>
            </w:r>
          </w:p>
        </w:tc>
        <w:tc>
          <w:tcPr>
            <w:tcW w:w="1506" w:type="dxa"/>
            <w:tcBorders>
              <w:top w:val="single" w:sz="4" w:space="0" w:color="auto"/>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$52,547 </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single" w:sz="4" w:space="0" w:color="auto"/>
              <w:left w:val="nil"/>
              <w:bottom w:val="nil"/>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xml:space="preserve">$46,994 </w:t>
            </w:r>
          </w:p>
        </w:tc>
      </w:tr>
      <w:tr w:rsidR="005E41B1" w:rsidTr="006E0BBD">
        <w:trPr>
          <w:trHeight w:val="162"/>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300"/>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25</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Annualized Revenues</w:t>
            </w:r>
          </w:p>
        </w:tc>
        <w:tc>
          <w:tcPr>
            <w:tcW w:w="1506" w:type="dxa"/>
            <w:tcBorders>
              <w:top w:val="nil"/>
              <w:left w:val="nil"/>
              <w:bottom w:val="single" w:sz="4" w:space="0" w:color="auto"/>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$868,816 </w:t>
            </w: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(a)(b)</w:t>
            </w:r>
          </w:p>
        </w:tc>
        <w:tc>
          <w:tcPr>
            <w:tcW w:w="1989" w:type="dxa"/>
            <w:tcBorders>
              <w:top w:val="nil"/>
              <w:left w:val="nil"/>
              <w:bottom w:val="single" w:sz="4" w:space="0" w:color="auto"/>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xml:space="preserve">$877,622 </w:t>
            </w:r>
          </w:p>
        </w:tc>
      </w:tr>
      <w:tr w:rsidR="005E41B1" w:rsidTr="006E0BBD">
        <w:trPr>
          <w:trHeight w:val="152"/>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sz w:val="18"/>
                <w:szCs w:val="18"/>
              </w:rPr>
            </w:pPr>
            <w:r w:rsidRPr="00A6596D">
              <w:rPr>
                <w:sz w:val="18"/>
                <w:szCs w:val="18"/>
              </w:rPr>
              <w:t> </w:t>
            </w:r>
          </w:p>
        </w:tc>
      </w:tr>
      <w:tr w:rsidR="005E41B1" w:rsidTr="005E41B1">
        <w:trPr>
          <w:trHeight w:val="315"/>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26</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Percentage Increase in Rates</w:t>
            </w:r>
          </w:p>
        </w:tc>
        <w:tc>
          <w:tcPr>
            <w:tcW w:w="1506" w:type="dxa"/>
            <w:tcBorders>
              <w:top w:val="nil"/>
              <w:left w:val="nil"/>
              <w:bottom w:val="double" w:sz="6" w:space="0" w:color="auto"/>
              <w:right w:val="nil"/>
            </w:tcBorders>
            <w:shd w:val="clear" w:color="auto" w:fill="auto"/>
            <w:noWrap/>
            <w:vAlign w:val="bottom"/>
            <w:hideMark/>
          </w:tcPr>
          <w:p w:rsidR="005E41B1" w:rsidRPr="00A6596D" w:rsidRDefault="005E41B1" w:rsidP="008F6BCC">
            <w:pPr>
              <w:jc w:val="right"/>
              <w:rPr>
                <w:sz w:val="18"/>
                <w:szCs w:val="18"/>
              </w:rPr>
            </w:pPr>
            <w:r w:rsidRPr="00A6596D">
              <w:rPr>
                <w:sz w:val="18"/>
                <w:szCs w:val="18"/>
              </w:rPr>
              <w:t>6.05%</w:t>
            </w:r>
          </w:p>
        </w:tc>
        <w:tc>
          <w:tcPr>
            <w:tcW w:w="660" w:type="dxa"/>
            <w:tcBorders>
              <w:top w:val="nil"/>
              <w:left w:val="nil"/>
              <w:bottom w:val="nil"/>
              <w:right w:val="nil"/>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w:t>
            </w:r>
          </w:p>
        </w:tc>
        <w:tc>
          <w:tcPr>
            <w:tcW w:w="1989" w:type="dxa"/>
            <w:tcBorders>
              <w:top w:val="nil"/>
              <w:left w:val="nil"/>
              <w:bottom w:val="double" w:sz="6" w:space="0" w:color="auto"/>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5.35%</w:t>
            </w:r>
          </w:p>
        </w:tc>
      </w:tr>
      <w:tr w:rsidR="005E41B1" w:rsidTr="006E0BBD">
        <w:trPr>
          <w:trHeight w:val="171"/>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 </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nil"/>
              <w:right w:val="single" w:sz="4" w:space="0" w:color="auto"/>
            </w:tcBorders>
            <w:shd w:val="clear" w:color="auto" w:fill="auto"/>
            <w:noWrap/>
            <w:vAlign w:val="bottom"/>
            <w:hideMark/>
          </w:tcPr>
          <w:p w:rsidR="005E41B1" w:rsidRPr="00A6596D" w:rsidRDefault="005E41B1" w:rsidP="008F6BCC">
            <w:pPr>
              <w:jc w:val="right"/>
              <w:rPr>
                <w:color w:val="000000"/>
                <w:sz w:val="18"/>
                <w:szCs w:val="18"/>
              </w:rPr>
            </w:pPr>
            <w:r w:rsidRPr="00A6596D">
              <w:rPr>
                <w:color w:val="000000"/>
                <w:sz w:val="18"/>
                <w:szCs w:val="18"/>
              </w:rPr>
              <w:t> </w:t>
            </w:r>
          </w:p>
        </w:tc>
      </w:tr>
      <w:tr w:rsidR="005E41B1" w:rsidTr="005E41B1">
        <w:trPr>
          <w:trHeight w:val="315"/>
          <w:jc w:val="center"/>
        </w:trPr>
        <w:tc>
          <w:tcPr>
            <w:tcW w:w="1005" w:type="dxa"/>
            <w:tcBorders>
              <w:top w:val="nil"/>
              <w:left w:val="single" w:sz="4" w:space="0" w:color="auto"/>
              <w:bottom w:val="nil"/>
              <w:right w:val="nil"/>
            </w:tcBorders>
            <w:shd w:val="clear" w:color="auto" w:fill="auto"/>
            <w:noWrap/>
            <w:vAlign w:val="bottom"/>
            <w:hideMark/>
          </w:tcPr>
          <w:p w:rsidR="005E41B1" w:rsidRPr="00A6596D" w:rsidRDefault="005E41B1">
            <w:pPr>
              <w:jc w:val="center"/>
              <w:rPr>
                <w:color w:val="000000"/>
                <w:sz w:val="18"/>
                <w:szCs w:val="18"/>
              </w:rPr>
            </w:pPr>
            <w:r w:rsidRPr="00A6596D">
              <w:rPr>
                <w:color w:val="000000"/>
                <w:sz w:val="18"/>
                <w:szCs w:val="18"/>
              </w:rPr>
              <w:t>27</w:t>
            </w:r>
          </w:p>
        </w:tc>
        <w:tc>
          <w:tcPr>
            <w:tcW w:w="5094" w:type="dxa"/>
            <w:tcBorders>
              <w:top w:val="nil"/>
              <w:left w:val="nil"/>
              <w:bottom w:val="nil"/>
              <w:right w:val="nil"/>
            </w:tcBorders>
            <w:shd w:val="clear" w:color="auto" w:fill="auto"/>
            <w:noWrap/>
            <w:vAlign w:val="bottom"/>
            <w:hideMark/>
          </w:tcPr>
          <w:p w:rsidR="005E41B1" w:rsidRPr="00A6596D" w:rsidRDefault="005E41B1">
            <w:pPr>
              <w:rPr>
                <w:sz w:val="18"/>
                <w:szCs w:val="18"/>
              </w:rPr>
            </w:pPr>
            <w:r w:rsidRPr="00A6596D">
              <w:rPr>
                <w:sz w:val="18"/>
                <w:szCs w:val="18"/>
              </w:rPr>
              <w:t>4-Year Rate Reduction (Rate Case Expense)</w:t>
            </w:r>
          </w:p>
        </w:tc>
        <w:tc>
          <w:tcPr>
            <w:tcW w:w="1506"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rsidP="008F6BCC">
            <w:pPr>
              <w:jc w:val="right"/>
              <w:rPr>
                <w:sz w:val="18"/>
                <w:szCs w:val="18"/>
              </w:rPr>
            </w:pPr>
          </w:p>
        </w:tc>
        <w:tc>
          <w:tcPr>
            <w:tcW w:w="1989" w:type="dxa"/>
            <w:tcBorders>
              <w:top w:val="nil"/>
              <w:left w:val="nil"/>
              <w:bottom w:val="double" w:sz="6" w:space="0" w:color="auto"/>
              <w:right w:val="single" w:sz="4" w:space="0" w:color="auto"/>
            </w:tcBorders>
            <w:shd w:val="clear" w:color="000000" w:fill="FFFFFF"/>
            <w:noWrap/>
            <w:vAlign w:val="bottom"/>
            <w:hideMark/>
          </w:tcPr>
          <w:p w:rsidR="005E41B1" w:rsidRPr="00A6596D" w:rsidRDefault="005E41B1" w:rsidP="008F6BCC">
            <w:pPr>
              <w:jc w:val="right"/>
              <w:rPr>
                <w:sz w:val="18"/>
                <w:szCs w:val="18"/>
              </w:rPr>
            </w:pPr>
            <w:r w:rsidRPr="00A6596D">
              <w:rPr>
                <w:sz w:val="18"/>
                <w:szCs w:val="18"/>
              </w:rPr>
              <w:t xml:space="preserve">$4,906 </w:t>
            </w:r>
          </w:p>
        </w:tc>
      </w:tr>
      <w:tr w:rsidR="005E41B1" w:rsidTr="007D5D10">
        <w:trPr>
          <w:trHeight w:hRule="exact" w:val="216"/>
          <w:jc w:val="center"/>
        </w:trPr>
        <w:tc>
          <w:tcPr>
            <w:tcW w:w="1005" w:type="dxa"/>
            <w:tcBorders>
              <w:top w:val="nil"/>
              <w:left w:val="single" w:sz="4" w:space="0" w:color="auto"/>
              <w:bottom w:val="single" w:sz="4" w:space="0" w:color="auto"/>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c>
          <w:tcPr>
            <w:tcW w:w="5094" w:type="dxa"/>
            <w:tcBorders>
              <w:top w:val="nil"/>
              <w:left w:val="nil"/>
              <w:bottom w:val="single" w:sz="4" w:space="0" w:color="auto"/>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c>
          <w:tcPr>
            <w:tcW w:w="1506" w:type="dxa"/>
            <w:tcBorders>
              <w:top w:val="nil"/>
              <w:left w:val="nil"/>
              <w:bottom w:val="single" w:sz="4" w:space="0" w:color="auto"/>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c>
          <w:tcPr>
            <w:tcW w:w="660" w:type="dxa"/>
            <w:tcBorders>
              <w:top w:val="nil"/>
              <w:left w:val="nil"/>
              <w:bottom w:val="single" w:sz="4" w:space="0" w:color="auto"/>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c>
          <w:tcPr>
            <w:tcW w:w="1989" w:type="dxa"/>
            <w:tcBorders>
              <w:top w:val="nil"/>
              <w:left w:val="nil"/>
              <w:bottom w:val="single" w:sz="4" w:space="0" w:color="auto"/>
              <w:right w:val="single" w:sz="4" w:space="0" w:color="auto"/>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 </w:t>
            </w:r>
          </w:p>
        </w:tc>
      </w:tr>
      <w:tr w:rsidR="005E41B1" w:rsidRPr="00180BB0" w:rsidTr="00990460">
        <w:trPr>
          <w:trHeight w:val="161"/>
          <w:jc w:val="center"/>
        </w:trPr>
        <w:tc>
          <w:tcPr>
            <w:tcW w:w="6099" w:type="dxa"/>
            <w:gridSpan w:val="2"/>
            <w:tcBorders>
              <w:top w:val="nil"/>
              <w:left w:val="nil"/>
              <w:bottom w:val="nil"/>
              <w:right w:val="nil"/>
            </w:tcBorders>
            <w:shd w:val="clear" w:color="auto" w:fill="auto"/>
            <w:noWrap/>
            <w:vAlign w:val="bottom"/>
            <w:hideMark/>
          </w:tcPr>
          <w:p w:rsidR="005E41B1" w:rsidRPr="00A6596D" w:rsidRDefault="005E41B1">
            <w:pPr>
              <w:rPr>
                <w:color w:val="000000"/>
                <w:sz w:val="18"/>
                <w:szCs w:val="18"/>
                <w:u w:val="single"/>
              </w:rPr>
            </w:pPr>
            <w:r w:rsidRPr="00A6596D">
              <w:rPr>
                <w:color w:val="000000"/>
                <w:sz w:val="18"/>
                <w:szCs w:val="18"/>
                <w:u w:val="single"/>
              </w:rPr>
              <w:t>NOTES:</w:t>
            </w:r>
          </w:p>
        </w:tc>
        <w:tc>
          <w:tcPr>
            <w:tcW w:w="1506" w:type="dxa"/>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p>
        </w:tc>
        <w:tc>
          <w:tcPr>
            <w:tcW w:w="1989" w:type="dxa"/>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p>
        </w:tc>
      </w:tr>
      <w:tr w:rsidR="005E41B1" w:rsidRPr="00180BB0" w:rsidTr="00990460">
        <w:trPr>
          <w:trHeight w:val="207"/>
          <w:jc w:val="center"/>
        </w:trPr>
        <w:tc>
          <w:tcPr>
            <w:tcW w:w="7605" w:type="dxa"/>
            <w:gridSpan w:val="3"/>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(a) Adjusted by staff to exclude the Pasco County - Phase I increase</w:t>
            </w:r>
          </w:p>
        </w:tc>
        <w:tc>
          <w:tcPr>
            <w:tcW w:w="660" w:type="dxa"/>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p>
        </w:tc>
        <w:tc>
          <w:tcPr>
            <w:tcW w:w="1989" w:type="dxa"/>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p>
        </w:tc>
      </w:tr>
      <w:tr w:rsidR="005E41B1" w:rsidRPr="00180BB0" w:rsidTr="00990460">
        <w:trPr>
          <w:trHeight w:val="216"/>
          <w:jc w:val="center"/>
        </w:trPr>
        <w:tc>
          <w:tcPr>
            <w:tcW w:w="10254" w:type="dxa"/>
            <w:gridSpan w:val="5"/>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(b) Adjusted by staff to exclude revenues for reduced irrigation customer volumes</w:t>
            </w:r>
          </w:p>
        </w:tc>
      </w:tr>
      <w:tr w:rsidR="005E41B1" w:rsidRPr="00180BB0" w:rsidTr="00990460">
        <w:trPr>
          <w:trHeight w:val="162"/>
          <w:jc w:val="center"/>
        </w:trPr>
        <w:tc>
          <w:tcPr>
            <w:tcW w:w="6099" w:type="dxa"/>
            <w:gridSpan w:val="2"/>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r w:rsidRPr="00A6596D">
              <w:rPr>
                <w:color w:val="000000"/>
                <w:sz w:val="18"/>
                <w:szCs w:val="18"/>
              </w:rPr>
              <w:t>(c) Adjusted by staff to include rate case expense</w:t>
            </w:r>
          </w:p>
        </w:tc>
        <w:tc>
          <w:tcPr>
            <w:tcW w:w="1506" w:type="dxa"/>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p>
        </w:tc>
        <w:tc>
          <w:tcPr>
            <w:tcW w:w="660" w:type="dxa"/>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p>
        </w:tc>
        <w:tc>
          <w:tcPr>
            <w:tcW w:w="1989" w:type="dxa"/>
            <w:tcBorders>
              <w:top w:val="nil"/>
              <w:left w:val="nil"/>
              <w:bottom w:val="nil"/>
              <w:right w:val="nil"/>
            </w:tcBorders>
            <w:shd w:val="clear" w:color="auto" w:fill="auto"/>
            <w:noWrap/>
            <w:vAlign w:val="bottom"/>
            <w:hideMark/>
          </w:tcPr>
          <w:p w:rsidR="005E41B1" w:rsidRPr="00A6596D" w:rsidRDefault="005E41B1">
            <w:pPr>
              <w:rPr>
                <w:color w:val="000000"/>
                <w:sz w:val="18"/>
                <w:szCs w:val="18"/>
              </w:rPr>
            </w:pPr>
          </w:p>
        </w:tc>
      </w:tr>
    </w:tbl>
    <w:p w:rsidR="005E41B1" w:rsidRDefault="005E41B1" w:rsidP="008472B2">
      <w:pPr>
        <w:pStyle w:val="BodyText"/>
        <w:sectPr w:rsidR="005E41B1" w:rsidSect="006E0BBD">
          <w:headerReference w:type="default" r:id="rId17"/>
          <w:pgSz w:w="12240" w:h="15840" w:code="1"/>
          <w:pgMar w:top="1170" w:right="1440" w:bottom="990" w:left="1440" w:header="450" w:footer="450" w:gutter="0"/>
          <w:cols w:space="720"/>
          <w:formProt w:val="0"/>
          <w:docGrid w:linePitch="360"/>
        </w:sectPr>
      </w:pPr>
    </w:p>
    <w:tbl>
      <w:tblPr>
        <w:tblW w:w="7575" w:type="dxa"/>
        <w:jc w:val="center"/>
        <w:tblLook w:val="04A0" w:firstRow="1" w:lastRow="0" w:firstColumn="1" w:lastColumn="0" w:noHBand="0" w:noVBand="1"/>
      </w:tblPr>
      <w:tblGrid>
        <w:gridCol w:w="2660"/>
        <w:gridCol w:w="1330"/>
        <w:gridCol w:w="1120"/>
        <w:gridCol w:w="1032"/>
        <w:gridCol w:w="1433"/>
      </w:tblGrid>
      <w:tr w:rsidR="006F36D5" w:rsidTr="003B1A5F">
        <w:trPr>
          <w:trHeight w:val="289"/>
          <w:jc w:val="center"/>
        </w:trPr>
        <w:tc>
          <w:tcPr>
            <w:tcW w:w="3990" w:type="dxa"/>
            <w:gridSpan w:val="2"/>
            <w:tcBorders>
              <w:top w:val="single" w:sz="4" w:space="0" w:color="auto"/>
              <w:left w:val="single" w:sz="4" w:space="0" w:color="auto"/>
              <w:bottom w:val="nil"/>
              <w:right w:val="nil"/>
            </w:tcBorders>
            <w:shd w:val="clear" w:color="auto" w:fill="auto"/>
            <w:noWrap/>
            <w:vAlign w:val="bottom"/>
            <w:hideMark/>
          </w:tcPr>
          <w:p w:rsidR="006F36D5" w:rsidRPr="008F6BCC" w:rsidRDefault="006F36D5">
            <w:pPr>
              <w:rPr>
                <w:b/>
                <w:bCs/>
                <w:color w:val="000000"/>
                <w:sz w:val="18"/>
                <w:szCs w:val="18"/>
              </w:rPr>
            </w:pPr>
            <w:r w:rsidRPr="008F6BCC">
              <w:rPr>
                <w:b/>
                <w:bCs/>
                <w:color w:val="000000"/>
                <w:sz w:val="18"/>
                <w:szCs w:val="18"/>
              </w:rPr>
              <w:t>UTILITIES, INC. OF FLORIDA</w:t>
            </w:r>
          </w:p>
        </w:tc>
        <w:tc>
          <w:tcPr>
            <w:tcW w:w="1120" w:type="dxa"/>
            <w:tcBorders>
              <w:top w:val="single" w:sz="4" w:space="0" w:color="auto"/>
              <w:left w:val="nil"/>
              <w:bottom w:val="nil"/>
              <w:right w:val="nil"/>
            </w:tcBorders>
            <w:shd w:val="clear" w:color="auto" w:fill="auto"/>
            <w:noWrap/>
            <w:vAlign w:val="bottom"/>
            <w:hideMark/>
          </w:tcPr>
          <w:p w:rsidR="006F36D5" w:rsidRPr="008F6BCC" w:rsidRDefault="006F36D5">
            <w:pPr>
              <w:rPr>
                <w:b/>
                <w:bCs/>
                <w:color w:val="000000"/>
                <w:sz w:val="18"/>
                <w:szCs w:val="18"/>
              </w:rPr>
            </w:pPr>
            <w:r w:rsidRPr="008F6BCC">
              <w:rPr>
                <w:b/>
                <w:bCs/>
                <w:color w:val="000000"/>
                <w:sz w:val="18"/>
                <w:szCs w:val="18"/>
              </w:rPr>
              <w:t> </w:t>
            </w:r>
          </w:p>
        </w:tc>
        <w:tc>
          <w:tcPr>
            <w:tcW w:w="2465" w:type="dxa"/>
            <w:gridSpan w:val="2"/>
            <w:tcBorders>
              <w:top w:val="single" w:sz="4" w:space="0" w:color="auto"/>
              <w:left w:val="nil"/>
              <w:bottom w:val="nil"/>
              <w:right w:val="single" w:sz="4" w:space="0" w:color="000000"/>
            </w:tcBorders>
            <w:shd w:val="clear" w:color="auto" w:fill="auto"/>
            <w:noWrap/>
            <w:vAlign w:val="bottom"/>
            <w:hideMark/>
          </w:tcPr>
          <w:p w:rsidR="006F36D5" w:rsidRPr="008F6BCC" w:rsidRDefault="006F36D5">
            <w:pPr>
              <w:jc w:val="right"/>
              <w:rPr>
                <w:b/>
                <w:bCs/>
                <w:color w:val="000000"/>
                <w:sz w:val="18"/>
                <w:szCs w:val="18"/>
              </w:rPr>
            </w:pPr>
            <w:r w:rsidRPr="008F6BCC">
              <w:rPr>
                <w:b/>
                <w:bCs/>
                <w:color w:val="000000"/>
                <w:sz w:val="18"/>
                <w:szCs w:val="18"/>
              </w:rPr>
              <w:t>SCHEDULE NO. 2</w:t>
            </w:r>
          </w:p>
        </w:tc>
      </w:tr>
      <w:tr w:rsidR="006F36D5"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6F36D5" w:rsidRPr="008F6BCC" w:rsidRDefault="006F36D5">
            <w:pPr>
              <w:rPr>
                <w:b/>
                <w:bCs/>
                <w:color w:val="000000"/>
                <w:sz w:val="18"/>
                <w:szCs w:val="18"/>
              </w:rPr>
            </w:pPr>
            <w:r w:rsidRPr="008F6BCC">
              <w:rPr>
                <w:b/>
                <w:bCs/>
                <w:color w:val="000000"/>
                <w:sz w:val="18"/>
                <w:szCs w:val="18"/>
              </w:rPr>
              <w:t>CAPITAL STRUCTURE</w:t>
            </w:r>
          </w:p>
        </w:tc>
        <w:tc>
          <w:tcPr>
            <w:tcW w:w="1330" w:type="dxa"/>
            <w:tcBorders>
              <w:top w:val="nil"/>
              <w:left w:val="nil"/>
              <w:bottom w:val="nil"/>
              <w:right w:val="nil"/>
            </w:tcBorders>
            <w:shd w:val="clear" w:color="auto" w:fill="auto"/>
            <w:noWrap/>
            <w:vAlign w:val="bottom"/>
            <w:hideMark/>
          </w:tcPr>
          <w:p w:rsidR="006F36D5" w:rsidRPr="008F6BCC" w:rsidRDefault="006F36D5">
            <w:pPr>
              <w:rPr>
                <w:b/>
                <w:bCs/>
                <w:color w:val="000000"/>
                <w:sz w:val="18"/>
                <w:szCs w:val="18"/>
              </w:rPr>
            </w:pPr>
          </w:p>
        </w:tc>
        <w:tc>
          <w:tcPr>
            <w:tcW w:w="1120" w:type="dxa"/>
            <w:tcBorders>
              <w:top w:val="nil"/>
              <w:left w:val="nil"/>
              <w:bottom w:val="nil"/>
              <w:right w:val="nil"/>
            </w:tcBorders>
            <w:shd w:val="clear" w:color="auto" w:fill="auto"/>
            <w:noWrap/>
            <w:vAlign w:val="bottom"/>
            <w:hideMark/>
          </w:tcPr>
          <w:p w:rsidR="006F36D5" w:rsidRPr="008F6BCC" w:rsidRDefault="006F36D5">
            <w:pPr>
              <w:rPr>
                <w:b/>
                <w:bCs/>
                <w:color w:val="000000"/>
                <w:sz w:val="18"/>
                <w:szCs w:val="18"/>
              </w:rPr>
            </w:pPr>
          </w:p>
        </w:tc>
        <w:tc>
          <w:tcPr>
            <w:tcW w:w="2465" w:type="dxa"/>
            <w:gridSpan w:val="2"/>
            <w:tcBorders>
              <w:top w:val="nil"/>
              <w:left w:val="nil"/>
              <w:bottom w:val="nil"/>
              <w:right w:val="single" w:sz="4" w:space="0" w:color="auto"/>
            </w:tcBorders>
            <w:shd w:val="clear" w:color="auto" w:fill="auto"/>
            <w:noWrap/>
            <w:vAlign w:val="bottom"/>
            <w:hideMark/>
          </w:tcPr>
          <w:p w:rsidR="006F36D5" w:rsidRPr="008F6BCC" w:rsidRDefault="006F36D5">
            <w:pPr>
              <w:jc w:val="right"/>
              <w:rPr>
                <w:b/>
                <w:bCs/>
                <w:color w:val="000000"/>
                <w:sz w:val="18"/>
                <w:szCs w:val="18"/>
              </w:rPr>
            </w:pPr>
            <w:r w:rsidRPr="008F6BCC">
              <w:rPr>
                <w:b/>
                <w:bCs/>
                <w:color w:val="000000"/>
                <w:sz w:val="18"/>
                <w:szCs w:val="18"/>
              </w:rPr>
              <w:t>DOCKET NO. 150269-WS</w:t>
            </w:r>
          </w:p>
        </w:tc>
      </w:tr>
      <w:tr w:rsidR="008E7BEC" w:rsidTr="003B1A5F">
        <w:trPr>
          <w:trHeight w:val="289"/>
          <w:jc w:val="center"/>
        </w:trPr>
        <w:tc>
          <w:tcPr>
            <w:tcW w:w="2660" w:type="dxa"/>
            <w:tcBorders>
              <w:top w:val="nil"/>
              <w:left w:val="single" w:sz="4" w:space="0" w:color="auto"/>
              <w:bottom w:val="single" w:sz="4" w:space="0" w:color="auto"/>
              <w:right w:val="nil"/>
            </w:tcBorders>
            <w:shd w:val="clear" w:color="auto" w:fill="auto"/>
            <w:noWrap/>
            <w:vAlign w:val="bottom"/>
            <w:hideMark/>
          </w:tcPr>
          <w:p w:rsidR="008E7BEC" w:rsidRPr="008F6BCC" w:rsidRDefault="008E7BEC">
            <w:pPr>
              <w:rPr>
                <w:b/>
                <w:bCs/>
                <w:color w:val="000000"/>
                <w:sz w:val="18"/>
                <w:szCs w:val="18"/>
              </w:rPr>
            </w:pPr>
            <w:r w:rsidRPr="008F6BCC">
              <w:rPr>
                <w:b/>
                <w:bCs/>
                <w:color w:val="000000"/>
                <w:sz w:val="18"/>
                <w:szCs w:val="18"/>
              </w:rPr>
              <w:t>DECEMBER 31, 2015</w:t>
            </w:r>
          </w:p>
        </w:tc>
        <w:tc>
          <w:tcPr>
            <w:tcW w:w="1330" w:type="dxa"/>
            <w:tcBorders>
              <w:top w:val="nil"/>
              <w:left w:val="nil"/>
              <w:bottom w:val="single" w:sz="4" w:space="0" w:color="auto"/>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120" w:type="dxa"/>
            <w:tcBorders>
              <w:top w:val="nil"/>
              <w:left w:val="nil"/>
              <w:bottom w:val="single" w:sz="4" w:space="0" w:color="auto"/>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032" w:type="dxa"/>
            <w:tcBorders>
              <w:top w:val="nil"/>
              <w:left w:val="nil"/>
              <w:bottom w:val="single" w:sz="4" w:space="0" w:color="auto"/>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433" w:type="dxa"/>
            <w:tcBorders>
              <w:top w:val="nil"/>
              <w:left w:val="nil"/>
              <w:bottom w:val="single" w:sz="4" w:space="0" w:color="auto"/>
              <w:right w:val="single" w:sz="4" w:space="0" w:color="auto"/>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r>
      <w:tr w:rsidR="008E7BEC" w:rsidTr="003B1A5F">
        <w:trPr>
          <w:trHeight w:val="289"/>
          <w:jc w:val="center"/>
        </w:trPr>
        <w:tc>
          <w:tcPr>
            <w:tcW w:w="2660" w:type="dxa"/>
            <w:tcBorders>
              <w:top w:val="nil"/>
              <w:left w:val="single" w:sz="4" w:space="0" w:color="auto"/>
              <w:bottom w:val="single" w:sz="4" w:space="0" w:color="auto"/>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330" w:type="dxa"/>
            <w:tcBorders>
              <w:top w:val="nil"/>
              <w:left w:val="nil"/>
              <w:bottom w:val="single" w:sz="4" w:space="0" w:color="auto"/>
              <w:right w:val="nil"/>
            </w:tcBorders>
            <w:shd w:val="clear" w:color="auto" w:fill="auto"/>
            <w:noWrap/>
            <w:vAlign w:val="bottom"/>
            <w:hideMark/>
          </w:tcPr>
          <w:p w:rsidR="008E7BEC" w:rsidRPr="008F6BCC" w:rsidRDefault="008E7BEC">
            <w:pPr>
              <w:jc w:val="center"/>
              <w:rPr>
                <w:b/>
                <w:bCs/>
                <w:color w:val="000000"/>
                <w:sz w:val="18"/>
                <w:szCs w:val="18"/>
              </w:rPr>
            </w:pPr>
            <w:r w:rsidRPr="008F6BCC">
              <w:rPr>
                <w:b/>
                <w:bCs/>
                <w:color w:val="000000"/>
                <w:sz w:val="18"/>
                <w:szCs w:val="18"/>
              </w:rPr>
              <w:t>AMOUNT</w:t>
            </w:r>
          </w:p>
        </w:tc>
        <w:tc>
          <w:tcPr>
            <w:tcW w:w="1120" w:type="dxa"/>
            <w:tcBorders>
              <w:top w:val="nil"/>
              <w:left w:val="nil"/>
              <w:bottom w:val="single" w:sz="4" w:space="0" w:color="auto"/>
              <w:right w:val="nil"/>
            </w:tcBorders>
            <w:shd w:val="clear" w:color="auto" w:fill="auto"/>
            <w:noWrap/>
            <w:vAlign w:val="bottom"/>
            <w:hideMark/>
          </w:tcPr>
          <w:p w:rsidR="008E7BEC" w:rsidRPr="008F6BCC" w:rsidRDefault="008E7BEC">
            <w:pPr>
              <w:jc w:val="center"/>
              <w:rPr>
                <w:b/>
                <w:bCs/>
                <w:color w:val="000000"/>
                <w:sz w:val="18"/>
                <w:szCs w:val="18"/>
              </w:rPr>
            </w:pPr>
            <w:r w:rsidRPr="008F6BCC">
              <w:rPr>
                <w:b/>
                <w:bCs/>
                <w:color w:val="000000"/>
                <w:sz w:val="18"/>
                <w:szCs w:val="18"/>
              </w:rPr>
              <w:t>RATIO</w:t>
            </w:r>
          </w:p>
        </w:tc>
        <w:tc>
          <w:tcPr>
            <w:tcW w:w="1032" w:type="dxa"/>
            <w:tcBorders>
              <w:top w:val="nil"/>
              <w:left w:val="nil"/>
              <w:bottom w:val="single" w:sz="4" w:space="0" w:color="auto"/>
              <w:right w:val="nil"/>
            </w:tcBorders>
            <w:shd w:val="clear" w:color="auto" w:fill="auto"/>
            <w:noWrap/>
            <w:vAlign w:val="bottom"/>
            <w:hideMark/>
          </w:tcPr>
          <w:p w:rsidR="008E7BEC" w:rsidRPr="008F6BCC" w:rsidRDefault="008E7BEC">
            <w:pPr>
              <w:jc w:val="center"/>
              <w:rPr>
                <w:b/>
                <w:bCs/>
                <w:color w:val="000000"/>
                <w:sz w:val="18"/>
                <w:szCs w:val="18"/>
              </w:rPr>
            </w:pPr>
            <w:r w:rsidRPr="008F6BCC">
              <w:rPr>
                <w:b/>
                <w:bCs/>
                <w:color w:val="000000"/>
                <w:sz w:val="18"/>
                <w:szCs w:val="18"/>
              </w:rPr>
              <w:t>COST RATE</w:t>
            </w:r>
          </w:p>
        </w:tc>
        <w:tc>
          <w:tcPr>
            <w:tcW w:w="1433" w:type="dxa"/>
            <w:tcBorders>
              <w:top w:val="nil"/>
              <w:left w:val="nil"/>
              <w:bottom w:val="single" w:sz="4" w:space="0" w:color="auto"/>
              <w:right w:val="single" w:sz="4" w:space="0" w:color="auto"/>
            </w:tcBorders>
            <w:shd w:val="clear" w:color="auto" w:fill="auto"/>
            <w:noWrap/>
            <w:vAlign w:val="bottom"/>
            <w:hideMark/>
          </w:tcPr>
          <w:p w:rsidR="008E7BEC" w:rsidRPr="008F6BCC" w:rsidRDefault="006F36D5">
            <w:pPr>
              <w:jc w:val="center"/>
              <w:rPr>
                <w:b/>
                <w:bCs/>
                <w:color w:val="000000"/>
                <w:sz w:val="18"/>
                <w:szCs w:val="18"/>
              </w:rPr>
            </w:pPr>
            <w:r w:rsidRPr="008F6BCC">
              <w:rPr>
                <w:b/>
                <w:bCs/>
                <w:color w:val="000000"/>
                <w:sz w:val="18"/>
                <w:szCs w:val="18"/>
              </w:rPr>
              <w:t xml:space="preserve">WEIGHTED            </w:t>
            </w:r>
            <w:r w:rsidR="008E7BEC" w:rsidRPr="008F6BCC">
              <w:rPr>
                <w:b/>
                <w:bCs/>
                <w:color w:val="000000"/>
                <w:sz w:val="18"/>
                <w:szCs w:val="18"/>
              </w:rPr>
              <w:t>COST</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330" w:type="dxa"/>
            <w:tcBorders>
              <w:top w:val="nil"/>
              <w:left w:val="nil"/>
              <w:bottom w:val="nil"/>
              <w:right w:val="nil"/>
            </w:tcBorders>
            <w:shd w:val="clear" w:color="auto" w:fill="auto"/>
            <w:noWrap/>
            <w:vAlign w:val="bottom"/>
            <w:hideMark/>
          </w:tcPr>
          <w:p w:rsidR="008E7BEC" w:rsidRPr="008F6BCC" w:rsidRDefault="008E7BEC">
            <w:pPr>
              <w:jc w:val="center"/>
              <w:rPr>
                <w:b/>
                <w:bCs/>
                <w:color w:val="000000"/>
                <w:sz w:val="18"/>
                <w:szCs w:val="18"/>
              </w:rPr>
            </w:pPr>
          </w:p>
        </w:tc>
        <w:tc>
          <w:tcPr>
            <w:tcW w:w="1120" w:type="dxa"/>
            <w:tcBorders>
              <w:top w:val="nil"/>
              <w:left w:val="nil"/>
              <w:bottom w:val="nil"/>
              <w:right w:val="nil"/>
            </w:tcBorders>
            <w:shd w:val="clear" w:color="auto" w:fill="auto"/>
            <w:noWrap/>
            <w:vAlign w:val="bottom"/>
            <w:hideMark/>
          </w:tcPr>
          <w:p w:rsidR="008E7BEC" w:rsidRPr="008F6BCC" w:rsidRDefault="008E7BEC">
            <w:pPr>
              <w:jc w:val="center"/>
              <w:rPr>
                <w:b/>
                <w:bCs/>
                <w:color w:val="000000"/>
                <w:sz w:val="18"/>
                <w:szCs w:val="18"/>
              </w:rPr>
            </w:pPr>
          </w:p>
        </w:tc>
        <w:tc>
          <w:tcPr>
            <w:tcW w:w="1032" w:type="dxa"/>
            <w:tcBorders>
              <w:top w:val="nil"/>
              <w:left w:val="nil"/>
              <w:bottom w:val="nil"/>
              <w:right w:val="nil"/>
            </w:tcBorders>
            <w:shd w:val="clear" w:color="auto" w:fill="auto"/>
            <w:noWrap/>
            <w:vAlign w:val="bottom"/>
            <w:hideMark/>
          </w:tcPr>
          <w:p w:rsidR="008E7BEC" w:rsidRPr="008F6BCC" w:rsidRDefault="008E7BEC">
            <w:pPr>
              <w:jc w:val="center"/>
              <w:rPr>
                <w:b/>
                <w:bCs/>
                <w:color w:val="000000"/>
                <w:sz w:val="18"/>
                <w:szCs w:val="18"/>
              </w:rPr>
            </w:pP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center"/>
              <w:rPr>
                <w:b/>
                <w:bCs/>
                <w:color w:val="000000"/>
                <w:sz w:val="18"/>
                <w:szCs w:val="18"/>
              </w:rPr>
            </w:pPr>
            <w:r w:rsidRPr="008F6BCC">
              <w:rPr>
                <w:b/>
                <w:bCs/>
                <w:color w:val="000000"/>
                <w:sz w:val="18"/>
                <w:szCs w:val="18"/>
              </w:rPr>
              <w:t> </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b/>
                <w:bCs/>
                <w:color w:val="000000"/>
                <w:sz w:val="18"/>
                <w:szCs w:val="18"/>
                <w:u w:val="single"/>
              </w:rPr>
            </w:pPr>
            <w:r w:rsidRPr="008F6BCC">
              <w:rPr>
                <w:b/>
                <w:bCs/>
                <w:color w:val="000000"/>
                <w:sz w:val="18"/>
                <w:szCs w:val="18"/>
                <w:u w:val="single"/>
              </w:rPr>
              <w:t>PER 2015 ANNUAL REPORT</w:t>
            </w:r>
          </w:p>
        </w:tc>
        <w:tc>
          <w:tcPr>
            <w:tcW w:w="1330" w:type="dxa"/>
            <w:tcBorders>
              <w:top w:val="nil"/>
              <w:left w:val="nil"/>
              <w:bottom w:val="nil"/>
              <w:right w:val="nil"/>
            </w:tcBorders>
            <w:shd w:val="clear" w:color="auto" w:fill="auto"/>
            <w:noWrap/>
            <w:vAlign w:val="bottom"/>
            <w:hideMark/>
          </w:tcPr>
          <w:p w:rsidR="008E7BEC" w:rsidRPr="008F6BCC" w:rsidRDefault="008E7BEC">
            <w:pPr>
              <w:jc w:val="center"/>
              <w:rPr>
                <w:color w:val="000000"/>
                <w:sz w:val="18"/>
                <w:szCs w:val="18"/>
              </w:rPr>
            </w:pPr>
          </w:p>
        </w:tc>
        <w:tc>
          <w:tcPr>
            <w:tcW w:w="1120" w:type="dxa"/>
            <w:tcBorders>
              <w:top w:val="nil"/>
              <w:left w:val="nil"/>
              <w:bottom w:val="nil"/>
              <w:right w:val="nil"/>
            </w:tcBorders>
            <w:shd w:val="clear" w:color="auto" w:fill="auto"/>
            <w:noWrap/>
            <w:vAlign w:val="bottom"/>
            <w:hideMark/>
          </w:tcPr>
          <w:p w:rsidR="008E7BEC" w:rsidRPr="008F6BCC" w:rsidRDefault="008E7BEC">
            <w:pPr>
              <w:jc w:val="center"/>
              <w:rPr>
                <w:color w:val="000000"/>
                <w:sz w:val="18"/>
                <w:szCs w:val="18"/>
              </w:rPr>
            </w:pPr>
          </w:p>
        </w:tc>
        <w:tc>
          <w:tcPr>
            <w:tcW w:w="1032" w:type="dxa"/>
            <w:tcBorders>
              <w:top w:val="nil"/>
              <w:left w:val="nil"/>
              <w:bottom w:val="nil"/>
              <w:right w:val="nil"/>
            </w:tcBorders>
            <w:shd w:val="clear" w:color="auto" w:fill="auto"/>
            <w:noWrap/>
            <w:vAlign w:val="bottom"/>
            <w:hideMark/>
          </w:tcPr>
          <w:p w:rsidR="008E7BEC" w:rsidRPr="008F6BCC" w:rsidRDefault="008E7BEC">
            <w:pPr>
              <w:jc w:val="center"/>
              <w:rPr>
                <w:color w:val="000000"/>
                <w:sz w:val="18"/>
                <w:szCs w:val="18"/>
              </w:rPr>
            </w:pP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center"/>
              <w:rPr>
                <w:color w:val="000000"/>
                <w:sz w:val="18"/>
                <w:szCs w:val="18"/>
              </w:rPr>
            </w:pPr>
            <w:r w:rsidRPr="008F6BCC">
              <w:rPr>
                <w:color w:val="000000"/>
                <w:sz w:val="18"/>
                <w:szCs w:val="18"/>
              </w:rPr>
              <w:t> </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Common Equity</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$5,330,494</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46.96%</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10.69%</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5.02%</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Preferred Stock</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Long Term Debt</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4,751,261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41.86%</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6.66%</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2.79%</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Short Term Debt</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14,899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0.13%</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10.08%</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0.01%</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Customer Deposits</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53,988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0.48%</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6.00%</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0.03%</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Tax Credits - Wtd. Cost</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Deferred Income Taxes</w:t>
            </w:r>
          </w:p>
        </w:tc>
        <w:tc>
          <w:tcPr>
            <w:tcW w:w="1330" w:type="dxa"/>
            <w:tcBorders>
              <w:top w:val="nil"/>
              <w:left w:val="nil"/>
              <w:bottom w:val="single" w:sz="4" w:space="0" w:color="auto"/>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1,199,429 </w:t>
            </w:r>
          </w:p>
        </w:tc>
        <w:tc>
          <w:tcPr>
            <w:tcW w:w="1120" w:type="dxa"/>
            <w:tcBorders>
              <w:top w:val="nil"/>
              <w:left w:val="nil"/>
              <w:bottom w:val="single" w:sz="4" w:space="0" w:color="auto"/>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10.57%</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433" w:type="dxa"/>
            <w:tcBorders>
              <w:top w:val="nil"/>
              <w:left w:val="nil"/>
              <w:bottom w:val="single" w:sz="4" w:space="0" w:color="auto"/>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r>
      <w:tr w:rsidR="008E7BEC" w:rsidTr="003B1A5F">
        <w:trPr>
          <w:trHeight w:val="300"/>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xml:space="preserve">   Total</w:t>
            </w:r>
          </w:p>
        </w:tc>
        <w:tc>
          <w:tcPr>
            <w:tcW w:w="1330" w:type="dxa"/>
            <w:tcBorders>
              <w:top w:val="nil"/>
              <w:left w:val="nil"/>
              <w:bottom w:val="double" w:sz="6" w:space="0" w:color="auto"/>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$11,350,071</w:t>
            </w:r>
          </w:p>
        </w:tc>
        <w:tc>
          <w:tcPr>
            <w:tcW w:w="1120" w:type="dxa"/>
            <w:tcBorders>
              <w:top w:val="nil"/>
              <w:left w:val="nil"/>
              <w:bottom w:val="double" w:sz="6" w:space="0" w:color="auto"/>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100.00%</w:t>
            </w:r>
          </w:p>
        </w:tc>
        <w:tc>
          <w:tcPr>
            <w:tcW w:w="1032" w:type="dxa"/>
            <w:tcBorders>
              <w:top w:val="nil"/>
              <w:left w:val="nil"/>
              <w:bottom w:val="nil"/>
              <w:right w:val="nil"/>
            </w:tcBorders>
            <w:shd w:val="clear" w:color="auto" w:fill="auto"/>
            <w:noWrap/>
            <w:vAlign w:val="bottom"/>
            <w:hideMark/>
          </w:tcPr>
          <w:p w:rsidR="008E7BEC" w:rsidRPr="008F6BCC" w:rsidRDefault="008E7BEC">
            <w:pPr>
              <w:rPr>
                <w:color w:val="000000"/>
                <w:sz w:val="18"/>
                <w:szCs w:val="18"/>
              </w:rPr>
            </w:pPr>
          </w:p>
        </w:tc>
        <w:tc>
          <w:tcPr>
            <w:tcW w:w="1433" w:type="dxa"/>
            <w:tcBorders>
              <w:top w:val="nil"/>
              <w:left w:val="nil"/>
              <w:bottom w:val="double" w:sz="6" w:space="0" w:color="auto"/>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7.85%</w:t>
            </w:r>
          </w:p>
        </w:tc>
      </w:tr>
      <w:tr w:rsidR="008E7BEC" w:rsidTr="003B1A5F">
        <w:trPr>
          <w:trHeight w:val="300"/>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p>
        </w:tc>
        <w:tc>
          <w:tcPr>
            <w:tcW w:w="1120" w:type="dxa"/>
            <w:tcBorders>
              <w:top w:val="nil"/>
              <w:left w:val="nil"/>
              <w:bottom w:val="nil"/>
              <w:right w:val="nil"/>
            </w:tcBorders>
            <w:shd w:val="clear" w:color="auto" w:fill="auto"/>
            <w:noWrap/>
            <w:vAlign w:val="bottom"/>
            <w:hideMark/>
          </w:tcPr>
          <w:p w:rsidR="008E7BEC" w:rsidRPr="008F6BCC" w:rsidRDefault="008E7BEC">
            <w:pPr>
              <w:rPr>
                <w:color w:val="000000"/>
                <w:sz w:val="18"/>
                <w:szCs w:val="18"/>
              </w:rPr>
            </w:pPr>
          </w:p>
        </w:tc>
        <w:tc>
          <w:tcPr>
            <w:tcW w:w="1032" w:type="dxa"/>
            <w:tcBorders>
              <w:top w:val="nil"/>
              <w:left w:val="nil"/>
              <w:bottom w:val="nil"/>
              <w:right w:val="nil"/>
            </w:tcBorders>
            <w:shd w:val="clear" w:color="auto" w:fill="auto"/>
            <w:noWrap/>
            <w:vAlign w:val="bottom"/>
            <w:hideMark/>
          </w:tcPr>
          <w:p w:rsidR="008E7BEC" w:rsidRPr="008F6BCC" w:rsidRDefault="008E7BEC">
            <w:pPr>
              <w:rPr>
                <w:color w:val="000000"/>
                <w:sz w:val="18"/>
                <w:szCs w:val="18"/>
              </w:rPr>
            </w:pP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p>
        </w:tc>
        <w:tc>
          <w:tcPr>
            <w:tcW w:w="1120" w:type="dxa"/>
            <w:tcBorders>
              <w:top w:val="nil"/>
              <w:left w:val="nil"/>
              <w:bottom w:val="nil"/>
              <w:right w:val="nil"/>
            </w:tcBorders>
            <w:shd w:val="clear" w:color="auto" w:fill="auto"/>
            <w:noWrap/>
            <w:vAlign w:val="bottom"/>
            <w:hideMark/>
          </w:tcPr>
          <w:p w:rsidR="008E7BEC" w:rsidRPr="008F6BCC" w:rsidRDefault="008E7BEC">
            <w:pPr>
              <w:rPr>
                <w:color w:val="000000"/>
                <w:sz w:val="18"/>
                <w:szCs w:val="18"/>
              </w:rPr>
            </w:pPr>
          </w:p>
        </w:tc>
        <w:tc>
          <w:tcPr>
            <w:tcW w:w="1032" w:type="dxa"/>
            <w:tcBorders>
              <w:top w:val="nil"/>
              <w:left w:val="nil"/>
              <w:bottom w:val="nil"/>
              <w:right w:val="nil"/>
            </w:tcBorders>
            <w:shd w:val="clear" w:color="auto" w:fill="auto"/>
            <w:noWrap/>
            <w:vAlign w:val="bottom"/>
            <w:hideMark/>
          </w:tcPr>
          <w:p w:rsidR="008E7BEC" w:rsidRPr="008F6BCC" w:rsidRDefault="008E7BEC">
            <w:pPr>
              <w:rPr>
                <w:color w:val="000000"/>
                <w:sz w:val="18"/>
                <w:szCs w:val="18"/>
              </w:rPr>
            </w:pP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b/>
                <w:bCs/>
                <w:color w:val="000000"/>
                <w:sz w:val="18"/>
                <w:szCs w:val="18"/>
                <w:u w:val="single"/>
              </w:rPr>
            </w:pPr>
            <w:r w:rsidRPr="008F6BCC">
              <w:rPr>
                <w:b/>
                <w:bCs/>
                <w:color w:val="000000"/>
                <w:sz w:val="18"/>
                <w:szCs w:val="18"/>
                <w:u w:val="single"/>
              </w:rPr>
              <w:t>STAFF RECOMMENDATION</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p>
        </w:tc>
        <w:tc>
          <w:tcPr>
            <w:tcW w:w="1120" w:type="dxa"/>
            <w:tcBorders>
              <w:top w:val="nil"/>
              <w:left w:val="nil"/>
              <w:bottom w:val="nil"/>
              <w:right w:val="nil"/>
            </w:tcBorders>
            <w:shd w:val="clear" w:color="auto" w:fill="auto"/>
            <w:noWrap/>
            <w:vAlign w:val="bottom"/>
            <w:hideMark/>
          </w:tcPr>
          <w:p w:rsidR="008E7BEC" w:rsidRPr="008F6BCC" w:rsidRDefault="008E7BEC">
            <w:pPr>
              <w:rPr>
                <w:color w:val="000000"/>
                <w:sz w:val="18"/>
                <w:szCs w:val="18"/>
              </w:rPr>
            </w:pPr>
          </w:p>
        </w:tc>
        <w:tc>
          <w:tcPr>
            <w:tcW w:w="1032" w:type="dxa"/>
            <w:tcBorders>
              <w:top w:val="nil"/>
              <w:left w:val="nil"/>
              <w:bottom w:val="nil"/>
              <w:right w:val="nil"/>
            </w:tcBorders>
            <w:shd w:val="clear" w:color="auto" w:fill="auto"/>
            <w:noWrap/>
            <w:vAlign w:val="bottom"/>
            <w:hideMark/>
          </w:tcPr>
          <w:p w:rsidR="008E7BEC" w:rsidRPr="008F6BCC" w:rsidRDefault="008E7BEC">
            <w:pPr>
              <w:rPr>
                <w:color w:val="000000"/>
                <w:sz w:val="18"/>
                <w:szCs w:val="18"/>
              </w:rPr>
            </w:pP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Common Equity</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$5,330,494</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46.96%</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9.38%</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4.41%</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Preferred Stock</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Long Term Debt</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4,751,261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41.86%</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6.66%</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2.79%</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Short Term Debt</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14,899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0.13%</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10.08%</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0.01%</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Customer Deposits</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53,988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0.48%</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2.00%</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0.01%</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Tax Credits - Wtd. Cost</w:t>
            </w:r>
          </w:p>
        </w:tc>
        <w:tc>
          <w:tcPr>
            <w:tcW w:w="1330" w:type="dxa"/>
            <w:tcBorders>
              <w:top w:val="nil"/>
              <w:left w:val="nil"/>
              <w:bottom w:val="nil"/>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   </w:t>
            </w:r>
          </w:p>
        </w:tc>
        <w:tc>
          <w:tcPr>
            <w:tcW w:w="1120"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433" w:type="dxa"/>
            <w:tcBorders>
              <w:top w:val="nil"/>
              <w:left w:val="nil"/>
              <w:bottom w:val="nil"/>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r>
      <w:tr w:rsidR="008E7BEC" w:rsidTr="003B1A5F">
        <w:trPr>
          <w:trHeight w:val="289"/>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Deferred Income Taxes</w:t>
            </w:r>
          </w:p>
        </w:tc>
        <w:tc>
          <w:tcPr>
            <w:tcW w:w="1330" w:type="dxa"/>
            <w:tcBorders>
              <w:top w:val="nil"/>
              <w:left w:val="nil"/>
              <w:bottom w:val="single" w:sz="4" w:space="0" w:color="auto"/>
              <w:right w:val="nil"/>
            </w:tcBorders>
            <w:shd w:val="clear" w:color="auto" w:fill="auto"/>
            <w:noWrap/>
            <w:vAlign w:val="bottom"/>
            <w:hideMark/>
          </w:tcPr>
          <w:p w:rsidR="008E7BEC" w:rsidRPr="008F6BCC" w:rsidRDefault="008E7BEC" w:rsidP="00990460">
            <w:pPr>
              <w:jc w:val="right"/>
              <w:rPr>
                <w:color w:val="000000"/>
                <w:sz w:val="18"/>
                <w:szCs w:val="18"/>
              </w:rPr>
            </w:pPr>
            <w:r w:rsidRPr="008F6BCC">
              <w:rPr>
                <w:color w:val="000000"/>
                <w:sz w:val="18"/>
                <w:szCs w:val="18"/>
              </w:rPr>
              <w:t xml:space="preserve">    1,199,429 </w:t>
            </w:r>
          </w:p>
        </w:tc>
        <w:tc>
          <w:tcPr>
            <w:tcW w:w="1120" w:type="dxa"/>
            <w:tcBorders>
              <w:top w:val="nil"/>
              <w:left w:val="nil"/>
              <w:bottom w:val="single" w:sz="4" w:space="0" w:color="auto"/>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10.57%</w:t>
            </w:r>
          </w:p>
        </w:tc>
        <w:tc>
          <w:tcPr>
            <w:tcW w:w="1032" w:type="dxa"/>
            <w:tcBorders>
              <w:top w:val="nil"/>
              <w:left w:val="nil"/>
              <w:bottom w:val="nil"/>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c>
          <w:tcPr>
            <w:tcW w:w="1433" w:type="dxa"/>
            <w:tcBorders>
              <w:top w:val="nil"/>
              <w:left w:val="nil"/>
              <w:bottom w:val="single" w:sz="4" w:space="0" w:color="auto"/>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0.00%</w:t>
            </w:r>
          </w:p>
        </w:tc>
      </w:tr>
      <w:tr w:rsidR="008E7BEC" w:rsidTr="003B1A5F">
        <w:trPr>
          <w:trHeight w:val="300"/>
          <w:jc w:val="center"/>
        </w:trPr>
        <w:tc>
          <w:tcPr>
            <w:tcW w:w="2660" w:type="dxa"/>
            <w:tcBorders>
              <w:top w:val="nil"/>
              <w:left w:val="single" w:sz="4" w:space="0" w:color="auto"/>
              <w:bottom w:val="nil"/>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xml:space="preserve">   Total</w:t>
            </w:r>
          </w:p>
        </w:tc>
        <w:tc>
          <w:tcPr>
            <w:tcW w:w="1330" w:type="dxa"/>
            <w:tcBorders>
              <w:top w:val="nil"/>
              <w:left w:val="nil"/>
              <w:bottom w:val="double" w:sz="6" w:space="0" w:color="auto"/>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$11,350,071</w:t>
            </w:r>
          </w:p>
        </w:tc>
        <w:tc>
          <w:tcPr>
            <w:tcW w:w="1120" w:type="dxa"/>
            <w:tcBorders>
              <w:top w:val="nil"/>
              <w:left w:val="nil"/>
              <w:bottom w:val="double" w:sz="6" w:space="0" w:color="auto"/>
              <w:right w:val="nil"/>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100.00%</w:t>
            </w:r>
          </w:p>
        </w:tc>
        <w:tc>
          <w:tcPr>
            <w:tcW w:w="1032" w:type="dxa"/>
            <w:tcBorders>
              <w:top w:val="nil"/>
              <w:left w:val="nil"/>
              <w:bottom w:val="nil"/>
              <w:right w:val="nil"/>
            </w:tcBorders>
            <w:shd w:val="clear" w:color="auto" w:fill="auto"/>
            <w:noWrap/>
            <w:vAlign w:val="bottom"/>
            <w:hideMark/>
          </w:tcPr>
          <w:p w:rsidR="008E7BEC" w:rsidRPr="008F6BCC" w:rsidRDefault="008E7BEC">
            <w:pPr>
              <w:rPr>
                <w:color w:val="000000"/>
                <w:sz w:val="18"/>
                <w:szCs w:val="18"/>
              </w:rPr>
            </w:pPr>
          </w:p>
        </w:tc>
        <w:tc>
          <w:tcPr>
            <w:tcW w:w="1433" w:type="dxa"/>
            <w:tcBorders>
              <w:top w:val="nil"/>
              <w:left w:val="nil"/>
              <w:bottom w:val="double" w:sz="6" w:space="0" w:color="auto"/>
              <w:right w:val="single" w:sz="4" w:space="0" w:color="auto"/>
            </w:tcBorders>
            <w:shd w:val="clear" w:color="auto" w:fill="auto"/>
            <w:noWrap/>
            <w:vAlign w:val="bottom"/>
            <w:hideMark/>
          </w:tcPr>
          <w:p w:rsidR="008E7BEC" w:rsidRPr="008F6BCC" w:rsidRDefault="008E7BEC">
            <w:pPr>
              <w:jc w:val="right"/>
              <w:rPr>
                <w:color w:val="000000"/>
                <w:sz w:val="18"/>
                <w:szCs w:val="18"/>
              </w:rPr>
            </w:pPr>
            <w:r w:rsidRPr="008F6BCC">
              <w:rPr>
                <w:color w:val="000000"/>
                <w:sz w:val="18"/>
                <w:szCs w:val="18"/>
              </w:rPr>
              <w:t>7.22%</w:t>
            </w:r>
          </w:p>
        </w:tc>
      </w:tr>
      <w:tr w:rsidR="008E7BEC" w:rsidTr="003B1A5F">
        <w:trPr>
          <w:trHeight w:val="300"/>
          <w:jc w:val="center"/>
        </w:trPr>
        <w:tc>
          <w:tcPr>
            <w:tcW w:w="2660" w:type="dxa"/>
            <w:tcBorders>
              <w:top w:val="nil"/>
              <w:left w:val="single" w:sz="4" w:space="0" w:color="auto"/>
              <w:bottom w:val="single" w:sz="4" w:space="0" w:color="auto"/>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330" w:type="dxa"/>
            <w:tcBorders>
              <w:top w:val="nil"/>
              <w:left w:val="nil"/>
              <w:bottom w:val="single" w:sz="4" w:space="0" w:color="auto"/>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120" w:type="dxa"/>
            <w:tcBorders>
              <w:top w:val="nil"/>
              <w:left w:val="nil"/>
              <w:bottom w:val="single" w:sz="4" w:space="0" w:color="auto"/>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032" w:type="dxa"/>
            <w:tcBorders>
              <w:top w:val="nil"/>
              <w:left w:val="nil"/>
              <w:bottom w:val="single" w:sz="4" w:space="0" w:color="auto"/>
              <w:right w:val="nil"/>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c>
          <w:tcPr>
            <w:tcW w:w="1433" w:type="dxa"/>
            <w:tcBorders>
              <w:top w:val="nil"/>
              <w:left w:val="nil"/>
              <w:bottom w:val="single" w:sz="4" w:space="0" w:color="auto"/>
              <w:right w:val="single" w:sz="4" w:space="0" w:color="auto"/>
            </w:tcBorders>
            <w:shd w:val="clear" w:color="auto" w:fill="auto"/>
            <w:noWrap/>
            <w:vAlign w:val="bottom"/>
            <w:hideMark/>
          </w:tcPr>
          <w:p w:rsidR="008E7BEC" w:rsidRPr="008F6BCC" w:rsidRDefault="008E7BEC">
            <w:pPr>
              <w:rPr>
                <w:color w:val="000000"/>
                <w:sz w:val="18"/>
                <w:szCs w:val="18"/>
              </w:rPr>
            </w:pPr>
            <w:r w:rsidRPr="008F6BCC">
              <w:rPr>
                <w:color w:val="000000"/>
                <w:sz w:val="18"/>
                <w:szCs w:val="18"/>
              </w:rPr>
              <w:t> </w:t>
            </w:r>
          </w:p>
        </w:tc>
      </w:tr>
    </w:tbl>
    <w:p w:rsidR="005E41B1" w:rsidRDefault="005E41B1" w:rsidP="008472B2">
      <w:pPr>
        <w:pStyle w:val="BodyText"/>
        <w:sectPr w:rsidR="005E41B1" w:rsidSect="0068481F">
          <w:headerReference w:type="default" r:id="rId18"/>
          <w:pgSz w:w="12240" w:h="15840" w:code="1"/>
          <w:pgMar w:top="1584" w:right="1440" w:bottom="1440" w:left="1440" w:header="720" w:footer="720" w:gutter="0"/>
          <w:cols w:space="720"/>
          <w:formProt w:val="0"/>
          <w:docGrid w:linePitch="360"/>
        </w:sectPr>
      </w:pPr>
    </w:p>
    <w:tbl>
      <w:tblPr>
        <w:tblW w:w="9285" w:type="dxa"/>
        <w:tblInd w:w="93" w:type="dxa"/>
        <w:tblLook w:val="04A0" w:firstRow="1" w:lastRow="0" w:firstColumn="1" w:lastColumn="0" w:noHBand="0" w:noVBand="1"/>
      </w:tblPr>
      <w:tblGrid>
        <w:gridCol w:w="2467"/>
        <w:gridCol w:w="1332"/>
        <w:gridCol w:w="266"/>
        <w:gridCol w:w="1440"/>
        <w:gridCol w:w="361"/>
        <w:gridCol w:w="1529"/>
        <w:gridCol w:w="361"/>
        <w:gridCol w:w="1529"/>
      </w:tblGrid>
      <w:tr w:rsidR="005E41B1" w:rsidTr="006F36D5">
        <w:trPr>
          <w:trHeight w:val="289"/>
        </w:trPr>
        <w:tc>
          <w:tcPr>
            <w:tcW w:w="5505" w:type="dxa"/>
            <w:gridSpan w:val="4"/>
            <w:tcBorders>
              <w:top w:val="single" w:sz="4" w:space="0" w:color="auto"/>
              <w:left w:val="single" w:sz="4" w:space="0" w:color="auto"/>
              <w:bottom w:val="nil"/>
              <w:right w:val="nil"/>
            </w:tcBorders>
            <w:shd w:val="clear" w:color="auto" w:fill="auto"/>
            <w:noWrap/>
            <w:vAlign w:val="bottom"/>
            <w:hideMark/>
          </w:tcPr>
          <w:p w:rsidR="005E41B1" w:rsidRPr="008F6BCC" w:rsidRDefault="005E41B1" w:rsidP="006F36D5">
            <w:pPr>
              <w:rPr>
                <w:b/>
                <w:bCs/>
                <w:color w:val="000000"/>
                <w:sz w:val="18"/>
                <w:szCs w:val="18"/>
              </w:rPr>
            </w:pPr>
            <w:r w:rsidRPr="008F6BCC">
              <w:rPr>
                <w:b/>
                <w:bCs/>
                <w:color w:val="000000"/>
                <w:sz w:val="18"/>
                <w:szCs w:val="18"/>
              </w:rPr>
              <w:t>UTILITIES, INC. OF FLORIDA - PASCO COUNTY - PHASE II</w:t>
            </w:r>
          </w:p>
        </w:tc>
        <w:tc>
          <w:tcPr>
            <w:tcW w:w="361" w:type="dxa"/>
            <w:tcBorders>
              <w:top w:val="single" w:sz="4" w:space="0" w:color="auto"/>
              <w:left w:val="nil"/>
              <w:bottom w:val="nil"/>
              <w:right w:val="nil"/>
            </w:tcBorders>
            <w:shd w:val="clear" w:color="auto" w:fill="auto"/>
            <w:noWrap/>
            <w:vAlign w:val="bottom"/>
            <w:hideMark/>
          </w:tcPr>
          <w:p w:rsidR="005E41B1" w:rsidRPr="008F6BCC" w:rsidRDefault="005E41B1" w:rsidP="006F36D5">
            <w:pPr>
              <w:rPr>
                <w:b/>
                <w:bCs/>
                <w:color w:val="000000"/>
                <w:sz w:val="18"/>
                <w:szCs w:val="18"/>
              </w:rPr>
            </w:pPr>
            <w:r w:rsidRPr="008F6BCC">
              <w:rPr>
                <w:b/>
                <w:bCs/>
                <w:color w:val="000000"/>
                <w:sz w:val="18"/>
                <w:szCs w:val="18"/>
              </w:rPr>
              <w:t> </w:t>
            </w:r>
          </w:p>
        </w:tc>
        <w:tc>
          <w:tcPr>
            <w:tcW w:w="1529" w:type="dxa"/>
            <w:tcBorders>
              <w:top w:val="single" w:sz="4" w:space="0" w:color="auto"/>
              <w:left w:val="nil"/>
              <w:right w:val="nil"/>
            </w:tcBorders>
            <w:shd w:val="clear" w:color="auto" w:fill="auto"/>
            <w:noWrap/>
            <w:vAlign w:val="bottom"/>
            <w:hideMark/>
          </w:tcPr>
          <w:p w:rsidR="005E41B1" w:rsidRPr="008F6BCC" w:rsidRDefault="005E41B1" w:rsidP="006F36D5">
            <w:pPr>
              <w:rPr>
                <w:b/>
                <w:bCs/>
                <w:color w:val="000000"/>
                <w:sz w:val="18"/>
                <w:szCs w:val="18"/>
              </w:rPr>
            </w:pPr>
            <w:r w:rsidRPr="008F6BCC">
              <w:rPr>
                <w:b/>
                <w:bCs/>
                <w:color w:val="000000"/>
                <w:sz w:val="18"/>
                <w:szCs w:val="18"/>
              </w:rPr>
              <w:t> </w:t>
            </w:r>
          </w:p>
        </w:tc>
        <w:tc>
          <w:tcPr>
            <w:tcW w:w="1890" w:type="dxa"/>
            <w:gridSpan w:val="2"/>
            <w:tcBorders>
              <w:top w:val="single" w:sz="4" w:space="0" w:color="auto"/>
              <w:left w:val="nil"/>
              <w:right w:val="single" w:sz="4" w:space="0" w:color="auto"/>
            </w:tcBorders>
            <w:shd w:val="clear" w:color="auto" w:fill="auto"/>
            <w:noWrap/>
            <w:vAlign w:val="bottom"/>
            <w:hideMark/>
          </w:tcPr>
          <w:p w:rsidR="005E41B1" w:rsidRPr="008F6BCC" w:rsidRDefault="005E41B1" w:rsidP="006F36D5">
            <w:pPr>
              <w:jc w:val="right"/>
              <w:rPr>
                <w:b/>
                <w:bCs/>
                <w:color w:val="000000"/>
                <w:sz w:val="18"/>
                <w:szCs w:val="18"/>
              </w:rPr>
            </w:pPr>
            <w:r w:rsidRPr="008F6BCC">
              <w:rPr>
                <w:b/>
                <w:bCs/>
                <w:color w:val="000000"/>
                <w:sz w:val="18"/>
                <w:szCs w:val="18"/>
              </w:rPr>
              <w:t> SCHEDULE NO. 3</w:t>
            </w:r>
          </w:p>
        </w:tc>
      </w:tr>
      <w:tr w:rsidR="005E41B1" w:rsidTr="006F36D5">
        <w:trPr>
          <w:trHeight w:val="289"/>
        </w:trPr>
        <w:tc>
          <w:tcPr>
            <w:tcW w:w="2467" w:type="dxa"/>
            <w:tcBorders>
              <w:top w:val="nil"/>
              <w:left w:val="single" w:sz="4" w:space="0" w:color="auto"/>
              <w:bottom w:val="single" w:sz="4" w:space="0" w:color="auto"/>
              <w:right w:val="nil"/>
            </w:tcBorders>
            <w:shd w:val="clear" w:color="auto" w:fill="auto"/>
            <w:noWrap/>
            <w:vAlign w:val="bottom"/>
            <w:hideMark/>
          </w:tcPr>
          <w:p w:rsidR="005E41B1" w:rsidRPr="008F6BCC" w:rsidRDefault="005E41B1" w:rsidP="006F36D5">
            <w:pPr>
              <w:rPr>
                <w:b/>
                <w:bCs/>
                <w:color w:val="000000"/>
                <w:sz w:val="18"/>
                <w:szCs w:val="18"/>
              </w:rPr>
            </w:pPr>
            <w:r w:rsidRPr="008F6BCC">
              <w:rPr>
                <w:b/>
                <w:bCs/>
                <w:color w:val="000000"/>
                <w:sz w:val="18"/>
                <w:szCs w:val="18"/>
              </w:rPr>
              <w:t>RATE CASE EXPENSE</w:t>
            </w:r>
          </w:p>
        </w:tc>
        <w:tc>
          <w:tcPr>
            <w:tcW w:w="1332" w:type="dxa"/>
            <w:tcBorders>
              <w:top w:val="nil"/>
              <w:left w:val="nil"/>
              <w:bottom w:val="single" w:sz="4" w:space="0" w:color="auto"/>
              <w:right w:val="nil"/>
            </w:tcBorders>
            <w:shd w:val="clear" w:color="auto" w:fill="auto"/>
            <w:noWrap/>
            <w:vAlign w:val="bottom"/>
            <w:hideMark/>
          </w:tcPr>
          <w:p w:rsidR="005E41B1" w:rsidRPr="008F6BCC" w:rsidRDefault="005E41B1" w:rsidP="006F36D5">
            <w:pPr>
              <w:rPr>
                <w:b/>
                <w:bCs/>
                <w:color w:val="000000"/>
                <w:sz w:val="18"/>
                <w:szCs w:val="18"/>
              </w:rPr>
            </w:pPr>
            <w:r w:rsidRPr="008F6BCC">
              <w:rPr>
                <w:b/>
                <w:bCs/>
                <w:color w:val="000000"/>
                <w:sz w:val="18"/>
                <w:szCs w:val="18"/>
              </w:rPr>
              <w:t> </w:t>
            </w:r>
          </w:p>
        </w:tc>
        <w:tc>
          <w:tcPr>
            <w:tcW w:w="266" w:type="dxa"/>
            <w:tcBorders>
              <w:top w:val="nil"/>
              <w:left w:val="nil"/>
              <w:bottom w:val="single" w:sz="4" w:space="0" w:color="auto"/>
              <w:right w:val="nil"/>
            </w:tcBorders>
            <w:shd w:val="clear" w:color="auto" w:fill="auto"/>
            <w:noWrap/>
            <w:vAlign w:val="bottom"/>
            <w:hideMark/>
          </w:tcPr>
          <w:p w:rsidR="005E41B1" w:rsidRPr="008F6BCC" w:rsidRDefault="005E41B1" w:rsidP="006F36D5">
            <w:pPr>
              <w:rPr>
                <w:b/>
                <w:bCs/>
                <w:color w:val="000000"/>
                <w:sz w:val="18"/>
                <w:szCs w:val="18"/>
              </w:rPr>
            </w:pPr>
            <w:r w:rsidRPr="008F6BCC">
              <w:rPr>
                <w:b/>
                <w:bCs/>
                <w:color w:val="000000"/>
                <w:sz w:val="18"/>
                <w:szCs w:val="18"/>
              </w:rPr>
              <w:t> </w:t>
            </w:r>
          </w:p>
        </w:tc>
        <w:tc>
          <w:tcPr>
            <w:tcW w:w="1440" w:type="dxa"/>
            <w:tcBorders>
              <w:top w:val="nil"/>
              <w:left w:val="nil"/>
              <w:bottom w:val="single" w:sz="4" w:space="0" w:color="auto"/>
              <w:right w:val="nil"/>
            </w:tcBorders>
            <w:shd w:val="clear" w:color="auto" w:fill="auto"/>
            <w:noWrap/>
            <w:vAlign w:val="bottom"/>
            <w:hideMark/>
          </w:tcPr>
          <w:p w:rsidR="005E41B1" w:rsidRPr="008F6BCC" w:rsidRDefault="005E41B1" w:rsidP="006F36D5">
            <w:pPr>
              <w:rPr>
                <w:b/>
                <w:bCs/>
                <w:color w:val="000000"/>
                <w:sz w:val="18"/>
                <w:szCs w:val="18"/>
              </w:rPr>
            </w:pPr>
            <w:r w:rsidRPr="008F6BCC">
              <w:rPr>
                <w:b/>
                <w:bCs/>
                <w:color w:val="000000"/>
                <w:sz w:val="18"/>
                <w:szCs w:val="18"/>
              </w:rPr>
              <w:t>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rPr>
                <w:b/>
                <w:bCs/>
                <w:color w:val="000000"/>
                <w:sz w:val="18"/>
                <w:szCs w:val="18"/>
              </w:rPr>
            </w:pPr>
          </w:p>
        </w:tc>
        <w:tc>
          <w:tcPr>
            <w:tcW w:w="3419" w:type="dxa"/>
            <w:gridSpan w:val="3"/>
            <w:tcBorders>
              <w:top w:val="nil"/>
              <w:left w:val="nil"/>
              <w:bottom w:val="single" w:sz="4" w:space="0" w:color="auto"/>
              <w:right w:val="single" w:sz="4" w:space="0" w:color="auto"/>
            </w:tcBorders>
            <w:shd w:val="clear" w:color="auto" w:fill="auto"/>
            <w:noWrap/>
            <w:vAlign w:val="bottom"/>
            <w:hideMark/>
          </w:tcPr>
          <w:p w:rsidR="005E41B1" w:rsidRPr="008F6BCC" w:rsidRDefault="005E41B1" w:rsidP="006F36D5">
            <w:pPr>
              <w:jc w:val="right"/>
              <w:rPr>
                <w:b/>
                <w:bCs/>
                <w:color w:val="000000"/>
                <w:sz w:val="18"/>
                <w:szCs w:val="18"/>
              </w:rPr>
            </w:pPr>
            <w:r w:rsidRPr="008F6BCC">
              <w:rPr>
                <w:b/>
                <w:bCs/>
                <w:color w:val="000000"/>
                <w:sz w:val="18"/>
                <w:szCs w:val="18"/>
              </w:rPr>
              <w:t>DOCKET NO. 150269-WS</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UIF FILING</w:t>
            </w:r>
          </w:p>
        </w:tc>
        <w:tc>
          <w:tcPr>
            <w:tcW w:w="266" w:type="dxa"/>
            <w:tcBorders>
              <w:top w:val="single" w:sz="4" w:space="0" w:color="auto"/>
              <w:left w:val="nil"/>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440" w:type="dxa"/>
            <w:tcBorders>
              <w:top w:val="single" w:sz="4" w:space="0" w:color="auto"/>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EXPENSES (a)</w:t>
            </w:r>
          </w:p>
        </w:tc>
        <w:tc>
          <w:tcPr>
            <w:tcW w:w="361" w:type="dxa"/>
            <w:tcBorders>
              <w:top w:val="single" w:sz="4" w:space="0" w:color="auto"/>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 </w:t>
            </w:r>
          </w:p>
        </w:tc>
        <w:tc>
          <w:tcPr>
            <w:tcW w:w="1529" w:type="dxa"/>
            <w:tcBorders>
              <w:top w:val="single" w:sz="4" w:space="0" w:color="auto"/>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ADDITIONAL</w:t>
            </w:r>
          </w:p>
        </w:tc>
        <w:tc>
          <w:tcPr>
            <w:tcW w:w="361" w:type="dxa"/>
            <w:tcBorders>
              <w:top w:val="single" w:sz="4" w:space="0" w:color="auto"/>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u w:val="single"/>
              </w:rPr>
            </w:pPr>
          </w:p>
        </w:tc>
        <w:tc>
          <w:tcPr>
            <w:tcW w:w="1529" w:type="dxa"/>
            <w:tcBorders>
              <w:top w:val="single" w:sz="4" w:space="0" w:color="auto"/>
              <w:left w:val="nil"/>
              <w:bottom w:val="nil"/>
              <w:right w:val="single" w:sz="4" w:space="0" w:color="auto"/>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UPDATED</w:t>
            </w:r>
          </w:p>
        </w:tc>
      </w:tr>
      <w:tr w:rsidR="005E41B1" w:rsidTr="006F36D5">
        <w:trPr>
          <w:trHeight w:val="289"/>
        </w:trPr>
        <w:tc>
          <w:tcPr>
            <w:tcW w:w="2467" w:type="dxa"/>
            <w:tcBorders>
              <w:top w:val="nil"/>
              <w:left w:val="single" w:sz="4" w:space="0" w:color="auto"/>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332" w:type="dxa"/>
            <w:tcBorders>
              <w:top w:val="nil"/>
              <w:left w:val="nil"/>
              <w:bottom w:val="single" w:sz="4" w:space="0" w:color="auto"/>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PHASE I</w:t>
            </w:r>
          </w:p>
        </w:tc>
        <w:tc>
          <w:tcPr>
            <w:tcW w:w="266" w:type="dxa"/>
            <w:tcBorders>
              <w:top w:val="nil"/>
              <w:left w:val="nil"/>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440" w:type="dxa"/>
            <w:tcBorders>
              <w:top w:val="nil"/>
              <w:left w:val="nil"/>
              <w:bottom w:val="single" w:sz="4" w:space="0" w:color="auto"/>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AS OF 7/7/16</w:t>
            </w:r>
          </w:p>
        </w:tc>
        <w:tc>
          <w:tcPr>
            <w:tcW w:w="361" w:type="dxa"/>
            <w:tcBorders>
              <w:top w:val="nil"/>
              <w:left w:val="nil"/>
              <w:bottom w:val="single" w:sz="4" w:space="0" w:color="auto"/>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 </w:t>
            </w:r>
          </w:p>
        </w:tc>
        <w:tc>
          <w:tcPr>
            <w:tcW w:w="1529" w:type="dxa"/>
            <w:tcBorders>
              <w:top w:val="nil"/>
              <w:left w:val="nil"/>
              <w:bottom w:val="single" w:sz="4" w:space="0" w:color="auto"/>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EXPENSES (b)</w:t>
            </w:r>
          </w:p>
        </w:tc>
        <w:tc>
          <w:tcPr>
            <w:tcW w:w="361" w:type="dxa"/>
            <w:tcBorders>
              <w:top w:val="nil"/>
              <w:left w:val="nil"/>
              <w:bottom w:val="single" w:sz="4" w:space="0" w:color="auto"/>
              <w:right w:val="nil"/>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 </w:t>
            </w:r>
          </w:p>
        </w:tc>
        <w:tc>
          <w:tcPr>
            <w:tcW w:w="1529" w:type="dxa"/>
            <w:tcBorders>
              <w:top w:val="nil"/>
              <w:left w:val="nil"/>
              <w:bottom w:val="single" w:sz="4" w:space="0" w:color="auto"/>
              <w:right w:val="single" w:sz="4" w:space="0" w:color="auto"/>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TOTAL</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266"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center"/>
              <w:rPr>
                <w:b/>
                <w:bCs/>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center"/>
              <w:rPr>
                <w:b/>
                <w:bCs/>
                <w:color w:val="000000"/>
                <w:sz w:val="18"/>
                <w:szCs w:val="18"/>
              </w:rPr>
            </w:pPr>
            <w:r w:rsidRPr="008F6BCC">
              <w:rPr>
                <w:b/>
                <w:bCs/>
                <w:color w:val="000000"/>
                <w:sz w:val="18"/>
                <w:szCs w:val="18"/>
              </w:rPr>
              <w:t>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Filing Fee</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$750 </w:t>
            </w: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$750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$0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$750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Legal Fees</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12,000 </w:t>
            </w: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7,152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7,020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14,172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Legal Expenses</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0 </w:t>
            </w: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843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515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1,358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Customer Notices</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2,840 </w:t>
            </w: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1,963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0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1,963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FedEx</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0 </w:t>
            </w: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103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0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103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UIF Travel Costs</w:t>
            </w:r>
          </w:p>
        </w:tc>
        <w:tc>
          <w:tcPr>
            <w:tcW w:w="1332" w:type="dxa"/>
            <w:tcBorders>
              <w:top w:val="nil"/>
              <w:left w:val="nil"/>
              <w:bottom w:val="single" w:sz="4" w:space="0" w:color="auto"/>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749 </w:t>
            </w: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single" w:sz="4" w:space="0" w:color="auto"/>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0</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single" w:sz="4" w:space="0" w:color="auto"/>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434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single" w:sz="4" w:space="0" w:color="auto"/>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                   434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w:t>
            </w:r>
          </w:p>
        </w:tc>
      </w:tr>
      <w:tr w:rsidR="005E41B1" w:rsidTr="006F36D5">
        <w:trPr>
          <w:trHeight w:val="300"/>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Total Rate Case Expense</w:t>
            </w:r>
          </w:p>
        </w:tc>
        <w:tc>
          <w:tcPr>
            <w:tcW w:w="1332" w:type="dxa"/>
            <w:tcBorders>
              <w:top w:val="nil"/>
              <w:left w:val="nil"/>
              <w:bottom w:val="double" w:sz="6" w:space="0" w:color="auto"/>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$16,339 </w:t>
            </w: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double" w:sz="6" w:space="0" w:color="auto"/>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$10,811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double" w:sz="6" w:space="0" w:color="auto"/>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$7,969 </w:t>
            </w: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double" w:sz="6" w:space="0" w:color="auto"/>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$18,780 </w:t>
            </w:r>
          </w:p>
        </w:tc>
      </w:tr>
      <w:tr w:rsidR="005E41B1" w:rsidTr="006F36D5">
        <w:trPr>
          <w:trHeight w:val="300"/>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w:t>
            </w:r>
          </w:p>
        </w:tc>
      </w:tr>
      <w:tr w:rsidR="005E41B1" w:rsidTr="006F36D5">
        <w:trPr>
          <w:trHeight w:val="300"/>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4-Year Amortization</w:t>
            </w:r>
          </w:p>
        </w:tc>
        <w:tc>
          <w:tcPr>
            <w:tcW w:w="1332" w:type="dxa"/>
            <w:tcBorders>
              <w:top w:val="nil"/>
              <w:left w:val="nil"/>
              <w:bottom w:val="double" w:sz="6" w:space="0" w:color="auto"/>
              <w:right w:val="nil"/>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$4,085 </w:t>
            </w: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double" w:sz="6" w:space="0" w:color="auto"/>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xml:space="preserve">$4,695 </w:t>
            </w:r>
          </w:p>
        </w:tc>
      </w:tr>
      <w:tr w:rsidR="005E41B1" w:rsidTr="006F36D5">
        <w:trPr>
          <w:trHeight w:val="300"/>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266"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jc w:val="right"/>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jc w:val="right"/>
              <w:rPr>
                <w:color w:val="000000"/>
                <w:sz w:val="18"/>
                <w:szCs w:val="18"/>
              </w:rPr>
            </w:pPr>
            <w:r w:rsidRPr="008F6BCC">
              <w:rPr>
                <w:color w:val="000000"/>
                <w:sz w:val="18"/>
                <w:szCs w:val="18"/>
              </w:rPr>
              <w:t>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u w:val="single"/>
              </w:rPr>
            </w:pPr>
            <w:r w:rsidRPr="008F6BCC">
              <w:rPr>
                <w:color w:val="000000"/>
                <w:sz w:val="18"/>
                <w:szCs w:val="18"/>
                <w:u w:val="single"/>
              </w:rPr>
              <w:t>Notes:</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266"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r>
      <w:tr w:rsidR="005E41B1" w:rsidTr="006F36D5">
        <w:trPr>
          <w:trHeight w:val="289"/>
        </w:trPr>
        <w:tc>
          <w:tcPr>
            <w:tcW w:w="2467" w:type="dxa"/>
            <w:tcBorders>
              <w:top w:val="nil"/>
              <w:left w:val="single" w:sz="4" w:space="0" w:color="auto"/>
              <w:bottom w:val="nil"/>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(a) Document No. 04394-16</w:t>
            </w:r>
          </w:p>
        </w:tc>
        <w:tc>
          <w:tcPr>
            <w:tcW w:w="1332"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266"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1440"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1529"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361" w:type="dxa"/>
            <w:tcBorders>
              <w:top w:val="nil"/>
              <w:left w:val="nil"/>
              <w:bottom w:val="nil"/>
              <w:right w:val="nil"/>
            </w:tcBorders>
            <w:shd w:val="clear" w:color="auto" w:fill="auto"/>
            <w:noWrap/>
            <w:vAlign w:val="bottom"/>
            <w:hideMark/>
          </w:tcPr>
          <w:p w:rsidR="005E41B1" w:rsidRPr="008F6BCC" w:rsidRDefault="005E41B1" w:rsidP="006F36D5">
            <w:pPr>
              <w:rPr>
                <w:color w:val="000000"/>
                <w:sz w:val="18"/>
                <w:szCs w:val="18"/>
              </w:rPr>
            </w:pPr>
          </w:p>
        </w:tc>
        <w:tc>
          <w:tcPr>
            <w:tcW w:w="1529" w:type="dxa"/>
            <w:tcBorders>
              <w:top w:val="nil"/>
              <w:left w:val="nil"/>
              <w:bottom w:val="nil"/>
              <w:right w:val="single" w:sz="4" w:space="0" w:color="auto"/>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r>
      <w:tr w:rsidR="005E41B1" w:rsidTr="006F36D5">
        <w:trPr>
          <w:trHeight w:val="289"/>
        </w:trPr>
        <w:tc>
          <w:tcPr>
            <w:tcW w:w="2467" w:type="dxa"/>
            <w:tcBorders>
              <w:top w:val="nil"/>
              <w:left w:val="single" w:sz="4" w:space="0" w:color="auto"/>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(b) Document No. 05631-16</w:t>
            </w:r>
          </w:p>
        </w:tc>
        <w:tc>
          <w:tcPr>
            <w:tcW w:w="1332" w:type="dxa"/>
            <w:tcBorders>
              <w:top w:val="nil"/>
              <w:left w:val="nil"/>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266" w:type="dxa"/>
            <w:tcBorders>
              <w:top w:val="nil"/>
              <w:left w:val="nil"/>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440" w:type="dxa"/>
            <w:tcBorders>
              <w:top w:val="nil"/>
              <w:left w:val="nil"/>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361" w:type="dxa"/>
            <w:tcBorders>
              <w:top w:val="nil"/>
              <w:left w:val="nil"/>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529" w:type="dxa"/>
            <w:tcBorders>
              <w:top w:val="nil"/>
              <w:left w:val="nil"/>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361" w:type="dxa"/>
            <w:tcBorders>
              <w:top w:val="nil"/>
              <w:left w:val="nil"/>
              <w:bottom w:val="single" w:sz="4" w:space="0" w:color="auto"/>
              <w:right w:val="nil"/>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c>
          <w:tcPr>
            <w:tcW w:w="1529" w:type="dxa"/>
            <w:tcBorders>
              <w:top w:val="nil"/>
              <w:left w:val="nil"/>
              <w:bottom w:val="single" w:sz="4" w:space="0" w:color="auto"/>
              <w:right w:val="single" w:sz="4" w:space="0" w:color="auto"/>
            </w:tcBorders>
            <w:shd w:val="clear" w:color="auto" w:fill="auto"/>
            <w:noWrap/>
            <w:vAlign w:val="bottom"/>
            <w:hideMark/>
          </w:tcPr>
          <w:p w:rsidR="005E41B1" w:rsidRPr="008F6BCC" w:rsidRDefault="005E41B1" w:rsidP="006F36D5">
            <w:pPr>
              <w:rPr>
                <w:color w:val="000000"/>
                <w:sz w:val="18"/>
                <w:szCs w:val="18"/>
              </w:rPr>
            </w:pPr>
            <w:r w:rsidRPr="008F6BCC">
              <w:rPr>
                <w:color w:val="000000"/>
                <w:sz w:val="18"/>
                <w:szCs w:val="18"/>
              </w:rPr>
              <w:t> </w:t>
            </w:r>
          </w:p>
        </w:tc>
      </w:tr>
    </w:tbl>
    <w:p w:rsidR="0034131F" w:rsidRDefault="0034131F" w:rsidP="008472B2">
      <w:pPr>
        <w:pStyle w:val="BodyText"/>
      </w:pPr>
    </w:p>
    <w:p w:rsidR="005E41B1" w:rsidRDefault="005E41B1" w:rsidP="008472B2">
      <w:pPr>
        <w:pStyle w:val="BodyText"/>
      </w:pPr>
    </w:p>
    <w:p w:rsidR="005E41B1" w:rsidRDefault="005E41B1" w:rsidP="008472B2">
      <w:pPr>
        <w:pStyle w:val="BodyText"/>
        <w:sectPr w:rsidR="005E41B1" w:rsidSect="0068481F">
          <w:headerReference w:type="default" r:id="rId19"/>
          <w:pgSz w:w="12240" w:h="15840" w:code="1"/>
          <w:pgMar w:top="1584" w:right="1440" w:bottom="1440" w:left="1440" w:header="720" w:footer="720" w:gutter="0"/>
          <w:cols w:space="720"/>
          <w:formProt w:val="0"/>
          <w:docGrid w:linePitch="360"/>
        </w:sectPr>
      </w:pPr>
    </w:p>
    <w:p w:rsidR="005E41B1" w:rsidRPr="008472B2" w:rsidRDefault="005E41B1" w:rsidP="008472B2">
      <w:pPr>
        <w:pStyle w:val="BodyText"/>
      </w:pPr>
      <w:r w:rsidRPr="00685F75">
        <w:rPr>
          <w:noProof/>
        </w:rPr>
        <w:drawing>
          <wp:inline distT="0" distB="0" distL="0" distR="0" wp14:anchorId="234BC380" wp14:editId="2C97D2AD">
            <wp:extent cx="5943600" cy="7130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130415"/>
                    </a:xfrm>
                    <a:prstGeom prst="rect">
                      <a:avLst/>
                    </a:prstGeom>
                    <a:noFill/>
                    <a:ln>
                      <a:noFill/>
                    </a:ln>
                  </pic:spPr>
                </pic:pic>
              </a:graphicData>
            </a:graphic>
          </wp:inline>
        </w:drawing>
      </w:r>
    </w:p>
    <w:sectPr w:rsidR="005E41B1" w:rsidRPr="008472B2"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83D" w:rsidRDefault="0003183D">
      <w:r>
        <w:separator/>
      </w:r>
    </w:p>
  </w:endnote>
  <w:endnote w:type="continuationSeparator" w:id="0">
    <w:p w:rsidR="0003183D" w:rsidRDefault="0003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76DFC">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83D" w:rsidRDefault="0003183D">
      <w:r>
        <w:separator/>
      </w:r>
    </w:p>
  </w:footnote>
  <w:footnote w:type="continuationSeparator" w:id="0">
    <w:p w:rsidR="0003183D" w:rsidRDefault="0003183D">
      <w:r>
        <w:continuationSeparator/>
      </w:r>
    </w:p>
  </w:footnote>
  <w:footnote w:id="1">
    <w:p w:rsidR="0003183D" w:rsidRDefault="0003183D" w:rsidP="00B40EF5">
      <w:pPr>
        <w:pStyle w:val="FootnoteText"/>
      </w:pPr>
      <w:r>
        <w:rPr>
          <w:rStyle w:val="FootnoteReference"/>
        </w:rPr>
        <w:footnoteRef/>
      </w:r>
      <w:r>
        <w:t xml:space="preserve"> Order No. PSC-14-0025-PAA-WS, issued January 10, 2014, in Docket No. 120209-WS, </w:t>
      </w:r>
      <w:r w:rsidRPr="00B814D5">
        <w:rPr>
          <w:i/>
        </w:rPr>
        <w:t>In re: Application for increase in water and wastewater rates in Marion, Orange, Pasco, Pinellas, and Seminole Counties by Utilities, Inc. of Florida.</w:t>
      </w:r>
    </w:p>
  </w:footnote>
  <w:footnote w:id="2">
    <w:p w:rsidR="0003183D" w:rsidRDefault="0003183D" w:rsidP="00907AD5">
      <w:pPr>
        <w:pStyle w:val="FootnoteText"/>
      </w:pPr>
      <w:r>
        <w:rPr>
          <w:rStyle w:val="FootnoteReference"/>
        </w:rPr>
        <w:footnoteRef/>
      </w:r>
      <w:r>
        <w:t xml:space="preserve"> On April 12, 2016, the Commission acknowledged the reorganization and name change of UI’s systems in Florida. The instant docket applies only to the former Utilities, Inc. of Florida systems, and does not include </w:t>
      </w:r>
      <w:r w:rsidRPr="00EE0D4A">
        <w:t>Labrador</w:t>
      </w:r>
      <w:r>
        <w:t xml:space="preserve"> Utilities, Inc. in </w:t>
      </w:r>
      <w:r w:rsidRPr="00EE0D4A">
        <w:t xml:space="preserve">Pasco </w:t>
      </w:r>
      <w:r>
        <w:t xml:space="preserve">County. Order No. PSC-16-0143-FOF-WS, issued April 12, 2016, in Docket No. 150235-WS, </w:t>
      </w:r>
      <w:r w:rsidRPr="00846BD7">
        <w:rPr>
          <w:i/>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Sandalhaven in Charlotte County; Sanlando Utilities Corporation in Seminole County; and Tierra Verde Utilities, Inc. in Pinellas County, to Utilities, Inc. of Florida.</w:t>
      </w:r>
    </w:p>
  </w:footnote>
  <w:footnote w:id="3">
    <w:p w:rsidR="0003183D" w:rsidRDefault="0003183D" w:rsidP="00B40EF5">
      <w:pPr>
        <w:pStyle w:val="FootnoteText"/>
      </w:pPr>
      <w:r>
        <w:rPr>
          <w:rStyle w:val="FootnoteReference"/>
        </w:rPr>
        <w:footnoteRef/>
      </w:r>
      <w:r>
        <w:t xml:space="preserve"> Order No. PSC-16-0135-PCO-WS</w:t>
      </w:r>
    </w:p>
  </w:footnote>
  <w:footnote w:id="4">
    <w:p w:rsidR="0003183D" w:rsidRDefault="0003183D" w:rsidP="00B40EF5">
      <w:pPr>
        <w:pStyle w:val="FootnoteText"/>
      </w:pPr>
      <w:r>
        <w:rPr>
          <w:rStyle w:val="FootnoteReference"/>
        </w:rPr>
        <w:footnoteRef/>
      </w:r>
      <w:r>
        <w:t xml:space="preserve"> Document No. 00669-16</w:t>
      </w:r>
    </w:p>
  </w:footnote>
  <w:footnote w:id="5">
    <w:p w:rsidR="0003183D" w:rsidRDefault="0003183D">
      <w:pPr>
        <w:pStyle w:val="FootnoteText"/>
      </w:pPr>
      <w:r>
        <w:rPr>
          <w:rStyle w:val="FootnoteReference"/>
        </w:rPr>
        <w:footnoteRef/>
      </w:r>
      <w:r>
        <w:t xml:space="preserve"> Document No. 01120-16</w:t>
      </w:r>
    </w:p>
  </w:footnote>
  <w:footnote w:id="6">
    <w:p w:rsidR="0003183D" w:rsidRDefault="0003183D">
      <w:pPr>
        <w:pStyle w:val="FootnoteText"/>
      </w:pPr>
      <w:r>
        <w:rPr>
          <w:rStyle w:val="FootnoteReference"/>
        </w:rPr>
        <w:footnoteRef/>
      </w:r>
      <w:r>
        <w:t xml:space="preserve"> Docket No. 160101-WS, </w:t>
      </w:r>
      <w:r w:rsidRPr="00443581">
        <w:rPr>
          <w:i/>
        </w:rPr>
        <w:t>In re: Application for increase in water and wastewater rates in Charlotte, Highlands, Lake, Lee, Marion, Orange, Pasco, Pinellas, Polk, and Seminole Counties by Utilities, Inc. of Florida.</w:t>
      </w:r>
    </w:p>
  </w:footnote>
  <w:footnote w:id="7">
    <w:p w:rsidR="0003183D" w:rsidRDefault="0003183D" w:rsidP="00B40EF5">
      <w:pPr>
        <w:pStyle w:val="FootnoteText"/>
      </w:pPr>
      <w:r>
        <w:rPr>
          <w:rStyle w:val="FootnoteReference"/>
        </w:rPr>
        <w:footnoteRef/>
      </w:r>
      <w:r>
        <w:t xml:space="preserve"> Document No. 03459-16</w:t>
      </w:r>
    </w:p>
  </w:footnote>
  <w:footnote w:id="8">
    <w:p w:rsidR="0003183D" w:rsidRDefault="0003183D" w:rsidP="00B40EF5">
      <w:pPr>
        <w:pStyle w:val="FootnoteText"/>
      </w:pPr>
      <w:r>
        <w:rPr>
          <w:rStyle w:val="FootnoteReference"/>
        </w:rPr>
        <w:footnoteRef/>
      </w:r>
      <w:r>
        <w:t xml:space="preserve"> Document No. 03641-16</w:t>
      </w:r>
    </w:p>
  </w:footnote>
  <w:footnote w:id="9">
    <w:p w:rsidR="0003183D" w:rsidRDefault="0003183D">
      <w:pPr>
        <w:pStyle w:val="FootnoteText"/>
      </w:pPr>
      <w:r>
        <w:rPr>
          <w:rStyle w:val="FootnoteReference"/>
        </w:rPr>
        <w:footnoteRef/>
      </w:r>
      <w:r>
        <w:t xml:space="preserve"> Document No. </w:t>
      </w:r>
      <w:r w:rsidRPr="00307D96">
        <w:t>06480-16</w:t>
      </w:r>
      <w:r>
        <w:t xml:space="preserve"> </w:t>
      </w:r>
    </w:p>
  </w:footnote>
  <w:footnote w:id="10">
    <w:p w:rsidR="0003183D" w:rsidRDefault="0003183D">
      <w:pPr>
        <w:pStyle w:val="FootnoteText"/>
      </w:pPr>
      <w:r w:rsidRPr="006F22D4">
        <w:rPr>
          <w:rStyle w:val="FootnoteReference"/>
        </w:rPr>
        <w:footnoteRef/>
      </w:r>
      <w:r w:rsidRPr="006F22D4">
        <w:t xml:space="preserve"> Document No. 06823-16</w:t>
      </w:r>
    </w:p>
  </w:footnote>
  <w:footnote w:id="11">
    <w:p w:rsidR="0003183D" w:rsidRDefault="0003183D" w:rsidP="00C87019">
      <w:pPr>
        <w:pStyle w:val="FootnoteText"/>
      </w:pPr>
      <w:r>
        <w:rPr>
          <w:rStyle w:val="FootnoteReference"/>
        </w:rPr>
        <w:footnoteRef/>
      </w:r>
      <w:r>
        <w:t xml:space="preserve">Order No. PSC-14-0025-PAA-WS, issued January 10, 2014, in Docket 120209-WS, </w:t>
      </w:r>
      <w:r w:rsidRPr="006F22D4">
        <w:rPr>
          <w:i/>
        </w:rPr>
        <w:t>In re: Application for increase in water and wastewater rates in Marion, Orange, Pasco, Pinellas, and Seminole Counties by Utilities Inc. of Florida</w:t>
      </w:r>
      <w:r>
        <w:rPr>
          <w:i/>
        </w:rPr>
        <w:t xml:space="preserve">, </w:t>
      </w:r>
      <w:r>
        <w:t>pp.4-8</w:t>
      </w:r>
      <w:r w:rsidRPr="006F22D4">
        <w:rPr>
          <w:i/>
        </w:rPr>
        <w:t>.</w:t>
      </w:r>
      <w:r>
        <w:t xml:space="preserve"> </w:t>
      </w:r>
    </w:p>
  </w:footnote>
  <w:footnote w:id="12">
    <w:p w:rsidR="0003183D" w:rsidRDefault="0003183D" w:rsidP="00C87019">
      <w:pPr>
        <w:pStyle w:val="FootnoteText"/>
      </w:pPr>
      <w:r>
        <w:rPr>
          <w:rStyle w:val="FootnoteReference"/>
        </w:rPr>
        <w:footnoteRef/>
      </w:r>
      <w:r>
        <w:t xml:space="preserve"> Document No. 05631-16 </w:t>
      </w:r>
    </w:p>
  </w:footnote>
  <w:footnote w:id="13">
    <w:p w:rsidR="0003183D" w:rsidRDefault="0003183D">
      <w:pPr>
        <w:pStyle w:val="FootnoteText"/>
      </w:pPr>
      <w:r>
        <w:rPr>
          <w:rStyle w:val="FootnoteReference"/>
        </w:rPr>
        <w:footnoteRef/>
      </w:r>
      <w:r>
        <w:t xml:space="preserve"> Document No. 07078</w:t>
      </w:r>
      <w:r w:rsidRPr="002A42C7">
        <w:t>-16, p.4</w:t>
      </w:r>
    </w:p>
  </w:footnote>
  <w:footnote w:id="14">
    <w:p w:rsidR="0003183D" w:rsidRDefault="0003183D" w:rsidP="000F219A">
      <w:pPr>
        <w:pStyle w:val="FootnoteText"/>
      </w:pPr>
      <w:r>
        <w:rPr>
          <w:rStyle w:val="FootnoteReference"/>
        </w:rPr>
        <w:footnoteRef/>
      </w:r>
      <w:r>
        <w:t xml:space="preserve"> Document No. 06923-16</w:t>
      </w:r>
    </w:p>
  </w:footnote>
  <w:footnote w:id="15">
    <w:p w:rsidR="0003183D" w:rsidRDefault="0003183D" w:rsidP="00952AC5">
      <w:pPr>
        <w:pStyle w:val="FootnoteText"/>
      </w:pPr>
      <w:r>
        <w:rPr>
          <w:rStyle w:val="FootnoteReference"/>
        </w:rPr>
        <w:footnoteRef/>
      </w:r>
      <w:r>
        <w:t xml:space="preserve"> Order No. PSC-14-0025-PAA-WS, issued January 10, 2014, in Docket No. 120209-WS, </w:t>
      </w:r>
      <w:r w:rsidRPr="003846A8">
        <w:rPr>
          <w:i/>
        </w:rPr>
        <w:t>In re: Application for increase in water and wastewater rates in Marion, Orange, Pasco, Pinellas, and Seminole Counties by Utilities, Inc. of Florida</w:t>
      </w:r>
      <w:r>
        <w:rPr>
          <w:i/>
        </w:rPr>
        <w:t xml:space="preserve">, </w:t>
      </w:r>
      <w:r w:rsidRPr="00586D15">
        <w:t>p.65.</w:t>
      </w:r>
    </w:p>
  </w:footnote>
  <w:footnote w:id="16">
    <w:p w:rsidR="0003183D" w:rsidRDefault="0003183D">
      <w:pPr>
        <w:pStyle w:val="FootnoteText"/>
      </w:pPr>
      <w:r>
        <w:rPr>
          <w:rStyle w:val="FootnoteReference"/>
        </w:rPr>
        <w:footnoteRef/>
      </w:r>
      <w:r>
        <w:t xml:space="preserve"> UIF Petition, Schedule No. 17</w:t>
      </w:r>
    </w:p>
  </w:footnote>
  <w:footnote w:id="17">
    <w:p w:rsidR="0003183D" w:rsidRDefault="0003183D">
      <w:pPr>
        <w:pStyle w:val="FootnoteText"/>
      </w:pPr>
      <w:r>
        <w:rPr>
          <w:rStyle w:val="FootnoteReference"/>
        </w:rPr>
        <w:footnoteRef/>
      </w:r>
      <w:r>
        <w:t xml:space="preserve"> Document No. 00869-16, Staff’s First Data Request No. 3</w:t>
      </w:r>
    </w:p>
  </w:footnote>
  <w:footnote w:id="18">
    <w:p w:rsidR="0003183D" w:rsidRPr="00A00748" w:rsidRDefault="0003183D" w:rsidP="008F1EF2">
      <w:pPr>
        <w:pStyle w:val="FootnoteText"/>
      </w:pPr>
      <w:r w:rsidRPr="006F22D4">
        <w:rPr>
          <w:rStyle w:val="FootnoteReference"/>
        </w:rPr>
        <w:footnoteRef/>
      </w:r>
      <w:r w:rsidRPr="006F22D4">
        <w:t xml:space="preserve"> Order No. PSC-14-0025-PAA-WS, issued January 10, 2014,</w:t>
      </w:r>
      <w:r>
        <w:t xml:space="preserve"> </w:t>
      </w:r>
      <w:r w:rsidRPr="006F22D4">
        <w:t xml:space="preserve">in Docket No. 120209-WS, </w:t>
      </w:r>
      <w:r w:rsidRPr="006F22D4">
        <w:rPr>
          <w:i/>
        </w:rPr>
        <w:t>In re: Application for increase in water and wastewater rates in Marion, Orange, Pasco, Pinellas, and Seminole Counti</w:t>
      </w:r>
      <w:r>
        <w:rPr>
          <w:i/>
        </w:rPr>
        <w:t>es by Utilities, Inc. of Florida,</w:t>
      </w:r>
      <w:r w:rsidRPr="00A00748">
        <w:t xml:space="preserve"> p.8.</w:t>
      </w:r>
    </w:p>
  </w:footnote>
  <w:footnote w:id="19">
    <w:p w:rsidR="0003183D" w:rsidRDefault="0003183D">
      <w:pPr>
        <w:pStyle w:val="FootnoteText"/>
      </w:pPr>
      <w:r>
        <w:rPr>
          <w:rStyle w:val="FootnoteReference"/>
        </w:rPr>
        <w:footnoteRef/>
      </w:r>
      <w:r>
        <w:t xml:space="preserve"> Document No. 00869-16, Staff’s First Data Request No. 21.</w:t>
      </w:r>
    </w:p>
  </w:footnote>
  <w:footnote w:id="20">
    <w:p w:rsidR="0003183D" w:rsidRDefault="0003183D">
      <w:pPr>
        <w:pStyle w:val="FootnoteText"/>
      </w:pPr>
      <w:r>
        <w:rPr>
          <w:rStyle w:val="FootnoteReference"/>
        </w:rPr>
        <w:footnoteRef/>
      </w:r>
      <w:r>
        <w:t xml:space="preserve"> Order No. PSC-16-0296-PAA-WS, issued July 27, 2016. </w:t>
      </w:r>
    </w:p>
  </w:footnote>
  <w:footnote w:id="21">
    <w:p w:rsidR="0003183D" w:rsidRDefault="0003183D">
      <w:pPr>
        <w:pStyle w:val="FootnoteText"/>
      </w:pPr>
      <w:r>
        <w:rPr>
          <w:rStyle w:val="FootnoteReference"/>
        </w:rPr>
        <w:footnoteRef/>
      </w:r>
      <w:r>
        <w:t xml:space="preserve"> Document No. 05631-16</w:t>
      </w:r>
    </w:p>
  </w:footnote>
  <w:footnote w:id="22">
    <w:p w:rsidR="0003183D" w:rsidRDefault="0003183D">
      <w:pPr>
        <w:pStyle w:val="FootnoteText"/>
      </w:pPr>
      <w:r>
        <w:rPr>
          <w:rStyle w:val="FootnoteReference"/>
        </w:rPr>
        <w:footnoteRef/>
      </w:r>
      <w:r>
        <w:t xml:space="preserve"> Federal Insurance Contributions Act (7.65 percent)</w:t>
      </w:r>
    </w:p>
  </w:footnote>
  <w:footnote w:id="23">
    <w:p w:rsidR="0003183D" w:rsidRDefault="0003183D">
      <w:pPr>
        <w:pStyle w:val="FootnoteText"/>
      </w:pPr>
      <w:r>
        <w:rPr>
          <w:rStyle w:val="FootnoteReference"/>
        </w:rPr>
        <w:footnoteRef/>
      </w:r>
      <w:r>
        <w:t xml:space="preserve"> Federal Unemployment Tax Act (6.00 percent)</w:t>
      </w:r>
    </w:p>
  </w:footnote>
  <w:footnote w:id="24">
    <w:p w:rsidR="0003183D" w:rsidRDefault="0003183D">
      <w:pPr>
        <w:pStyle w:val="FootnoteText"/>
      </w:pPr>
      <w:r>
        <w:rPr>
          <w:rStyle w:val="FootnoteReference"/>
        </w:rPr>
        <w:footnoteRef/>
      </w:r>
      <w:r>
        <w:t xml:space="preserve"> State Unemployment Tax Act (1.02 percent)</w:t>
      </w:r>
    </w:p>
  </w:footnote>
  <w:footnote w:id="25">
    <w:p w:rsidR="0003183D" w:rsidRDefault="0003183D">
      <w:pPr>
        <w:pStyle w:val="FootnoteText"/>
      </w:pPr>
      <w:r>
        <w:rPr>
          <w:rStyle w:val="FootnoteReference"/>
        </w:rPr>
        <w:footnoteRef/>
      </w:r>
      <w:r>
        <w:t xml:space="preserve"> Document No.</w:t>
      </w:r>
      <w:r w:rsidRPr="00C31419">
        <w:t xml:space="preserve"> 06975-16</w:t>
      </w:r>
    </w:p>
  </w:footnote>
  <w:footnote w:id="26">
    <w:p w:rsidR="0003183D" w:rsidRDefault="0003183D" w:rsidP="00574C4E">
      <w:pPr>
        <w:pStyle w:val="FootnoteText"/>
      </w:pPr>
      <w:r>
        <w:rPr>
          <w:rStyle w:val="FootnoteReference"/>
        </w:rPr>
        <w:footnoteRef/>
      </w:r>
      <w:r>
        <w:t xml:space="preserve"> </w:t>
      </w:r>
      <w:r w:rsidRPr="00EA42A6">
        <w:t xml:space="preserve">Order No. PSC-09-0651-PAA-SU, issued September 28, 2009, in Docket No. 090121-SU, </w:t>
      </w:r>
      <w:r w:rsidRPr="00CD4FE1">
        <w:rPr>
          <w:i/>
        </w:rPr>
        <w:t>In re:</w:t>
      </w:r>
      <w:r>
        <w:t xml:space="preserve"> </w:t>
      </w:r>
      <w:r w:rsidRPr="00EA42A6">
        <w:rPr>
          <w:i/>
        </w:rPr>
        <w:t>Application for limited proceeding rate increase in Seminole County by Alafaya Utilities, Inc.</w:t>
      </w:r>
      <w:r w:rsidRPr="00EA42A6">
        <w:t>; and Order No. PSC-10-0682-PAA-WS, issued November 15, 2010, in Docket No. 090349-WS,</w:t>
      </w:r>
      <w:r w:rsidRPr="00CD4FE1">
        <w:rPr>
          <w:i/>
        </w:rPr>
        <w:t xml:space="preserve"> In re:</w:t>
      </w:r>
      <w:r>
        <w:t xml:space="preserve"> </w:t>
      </w:r>
      <w:r w:rsidRPr="00EA42A6">
        <w:rPr>
          <w:i/>
        </w:rPr>
        <w:t>Application for limited proceeding rate increase in Polk County by Cypress Lakes Utilities, Inc</w:t>
      </w:r>
      <w:r w:rsidRPr="00EA42A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rsidP="00220732">
    <w:pPr>
      <w:pStyle w:val="Header"/>
      <w:tabs>
        <w:tab w:val="clear" w:pos="4320"/>
        <w:tab w:val="clear" w:pos="8640"/>
        <w:tab w:val="right" w:pos="9360"/>
      </w:tabs>
    </w:pPr>
    <w:bookmarkStart w:id="13" w:name="DocketLabel"/>
    <w:r>
      <w:t>Docket No.</w:t>
    </w:r>
    <w:bookmarkEnd w:id="13"/>
    <w:r>
      <w:t xml:space="preserve"> </w:t>
    </w:r>
    <w:bookmarkStart w:id="14" w:name="DocketList"/>
    <w:r>
      <w:t>150269-WS</w:t>
    </w:r>
    <w:bookmarkEnd w:id="14"/>
  </w:p>
  <w:p w:rsidR="0003183D" w:rsidRDefault="0003183D">
    <w:pPr>
      <w:pStyle w:val="Header"/>
    </w:pPr>
    <w:r>
      <w:t xml:space="preserve">Date: </w:t>
    </w:r>
    <w:fldSimple w:instr=" REF FilingDate ">
      <w:r w:rsidR="00AF2F30">
        <w:t>August 31,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Pr="004E6554" w:rsidRDefault="0003183D" w:rsidP="000B15D3">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rsidP="00220732">
    <w:pPr>
      <w:pStyle w:val="Header"/>
      <w:tabs>
        <w:tab w:val="clear" w:pos="4320"/>
        <w:tab w:val="clear" w:pos="8640"/>
        <w:tab w:val="right" w:pos="9360"/>
      </w:tabs>
    </w:pPr>
    <w:r>
      <w:fldChar w:fldCharType="begin"/>
    </w:r>
    <w:r>
      <w:instrText xml:space="preserve"> REF DocketLabel</w:instrText>
    </w:r>
    <w:r>
      <w:fldChar w:fldCharType="separate"/>
    </w:r>
    <w:r w:rsidR="00AF2F30">
      <w:t>Docket No.</w:t>
    </w:r>
    <w:r>
      <w:fldChar w:fldCharType="end"/>
    </w:r>
    <w:r>
      <w:t xml:space="preserve"> </w:t>
    </w:r>
    <w:r>
      <w:fldChar w:fldCharType="begin"/>
    </w:r>
    <w:r>
      <w:instrText xml:space="preserve"> REF DocketList</w:instrText>
    </w:r>
    <w:r>
      <w:fldChar w:fldCharType="separate"/>
    </w:r>
    <w:r w:rsidR="00AF2F30">
      <w:t>150269-WS</w:t>
    </w:r>
    <w:r>
      <w:fldChar w:fldCharType="end"/>
    </w:r>
    <w:r>
      <w:tab/>
      <w:t xml:space="preserve">Issue </w:t>
    </w:r>
    <w:fldSimple w:instr=" Seq Issue \c \* Arabic ">
      <w:r w:rsidR="00876DFC">
        <w:rPr>
          <w:noProof/>
        </w:rPr>
        <w:t>1</w:t>
      </w:r>
    </w:fldSimple>
  </w:p>
  <w:p w:rsidR="0003183D" w:rsidRDefault="0003183D">
    <w:pPr>
      <w:pStyle w:val="Header"/>
    </w:pPr>
    <w:r>
      <w:t xml:space="preserve">Date: </w:t>
    </w:r>
    <w:fldSimple w:instr=" REF FilingDate ">
      <w:r w:rsidR="00AF2F30">
        <w:t>August 31, 2016</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rsidP="00220732">
    <w:pPr>
      <w:pStyle w:val="Header"/>
      <w:tabs>
        <w:tab w:val="clear" w:pos="4320"/>
        <w:tab w:val="clear" w:pos="8640"/>
        <w:tab w:val="right" w:pos="9360"/>
      </w:tabs>
    </w:pPr>
    <w:r>
      <w:fldChar w:fldCharType="begin"/>
    </w:r>
    <w:r>
      <w:instrText xml:space="preserve"> REF DocketLabel</w:instrText>
    </w:r>
    <w:r>
      <w:fldChar w:fldCharType="separate"/>
    </w:r>
    <w:r w:rsidR="00AF2F30">
      <w:t>Docket No.</w:t>
    </w:r>
    <w:r>
      <w:fldChar w:fldCharType="end"/>
    </w:r>
    <w:r>
      <w:t xml:space="preserve"> </w:t>
    </w:r>
    <w:r>
      <w:fldChar w:fldCharType="begin"/>
    </w:r>
    <w:r>
      <w:instrText xml:space="preserve"> REF DocketList</w:instrText>
    </w:r>
    <w:r>
      <w:fldChar w:fldCharType="separate"/>
    </w:r>
    <w:r w:rsidR="00AF2F30">
      <w:t>150269-WS</w:t>
    </w:r>
    <w:r>
      <w:fldChar w:fldCharType="end"/>
    </w:r>
    <w:r>
      <w:tab/>
      <w:t>Schedule No. 1</w:t>
    </w:r>
  </w:p>
  <w:p w:rsidR="0003183D" w:rsidRDefault="0003183D" w:rsidP="00990460">
    <w:pPr>
      <w:pStyle w:val="Header"/>
    </w:pPr>
    <w:r>
      <w:t xml:space="preserve">Date: </w:t>
    </w:r>
    <w:fldSimple w:instr=" REF FilingDate ">
      <w:r w:rsidR="00AF2F30">
        <w:t>August 31, 2016</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rsidP="00220732">
    <w:pPr>
      <w:pStyle w:val="Header"/>
      <w:tabs>
        <w:tab w:val="clear" w:pos="4320"/>
        <w:tab w:val="clear" w:pos="8640"/>
        <w:tab w:val="right" w:pos="9360"/>
      </w:tabs>
    </w:pPr>
    <w:r>
      <w:fldChar w:fldCharType="begin"/>
    </w:r>
    <w:r>
      <w:instrText xml:space="preserve"> REF DocketLabel</w:instrText>
    </w:r>
    <w:r>
      <w:fldChar w:fldCharType="separate"/>
    </w:r>
    <w:r w:rsidR="00AF2F30">
      <w:t>Docket No.</w:t>
    </w:r>
    <w:r>
      <w:fldChar w:fldCharType="end"/>
    </w:r>
    <w:r>
      <w:t xml:space="preserve"> </w:t>
    </w:r>
    <w:r>
      <w:fldChar w:fldCharType="begin"/>
    </w:r>
    <w:r>
      <w:instrText xml:space="preserve"> REF DocketList</w:instrText>
    </w:r>
    <w:r>
      <w:fldChar w:fldCharType="separate"/>
    </w:r>
    <w:r w:rsidR="00AF2F30">
      <w:t>150269-WS</w:t>
    </w:r>
    <w:r>
      <w:fldChar w:fldCharType="end"/>
    </w:r>
    <w:r>
      <w:tab/>
      <w:t>Schedule No. 2</w:t>
    </w:r>
  </w:p>
  <w:p w:rsidR="0003183D" w:rsidRDefault="0003183D">
    <w:pPr>
      <w:pStyle w:val="Header"/>
    </w:pPr>
    <w:r>
      <w:t xml:space="preserve">Date: </w:t>
    </w:r>
    <w:fldSimple w:instr=" REF FilingDate ">
      <w:r w:rsidR="00AF2F30">
        <w:t>August 31, 2016</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rsidP="00220732">
    <w:pPr>
      <w:pStyle w:val="Header"/>
      <w:tabs>
        <w:tab w:val="clear" w:pos="4320"/>
        <w:tab w:val="clear" w:pos="8640"/>
        <w:tab w:val="right" w:pos="9360"/>
      </w:tabs>
    </w:pPr>
    <w:r>
      <w:fldChar w:fldCharType="begin"/>
    </w:r>
    <w:r>
      <w:instrText xml:space="preserve"> REF DocketLabel</w:instrText>
    </w:r>
    <w:r>
      <w:fldChar w:fldCharType="separate"/>
    </w:r>
    <w:r w:rsidR="00AF2F30">
      <w:t>Docket No.</w:t>
    </w:r>
    <w:r>
      <w:fldChar w:fldCharType="end"/>
    </w:r>
    <w:r>
      <w:t xml:space="preserve"> </w:t>
    </w:r>
    <w:r>
      <w:fldChar w:fldCharType="begin"/>
    </w:r>
    <w:r>
      <w:instrText xml:space="preserve"> REF DocketList</w:instrText>
    </w:r>
    <w:r>
      <w:fldChar w:fldCharType="separate"/>
    </w:r>
    <w:r w:rsidR="00AF2F30">
      <w:t>150269-WS</w:t>
    </w:r>
    <w:r>
      <w:fldChar w:fldCharType="end"/>
    </w:r>
    <w:r>
      <w:tab/>
      <w:t>Schedule No. 3</w:t>
    </w:r>
  </w:p>
  <w:p w:rsidR="0003183D" w:rsidRDefault="0003183D">
    <w:pPr>
      <w:pStyle w:val="Header"/>
    </w:pPr>
    <w:r>
      <w:t xml:space="preserve">Date: </w:t>
    </w:r>
    <w:fldSimple w:instr=" REF FilingDate ">
      <w:r w:rsidR="00AF2F30">
        <w:t>August 31, 2016</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3D" w:rsidRDefault="0003183D" w:rsidP="00220732">
    <w:pPr>
      <w:pStyle w:val="Header"/>
      <w:tabs>
        <w:tab w:val="clear" w:pos="4320"/>
        <w:tab w:val="clear" w:pos="8640"/>
        <w:tab w:val="right" w:pos="9360"/>
      </w:tabs>
    </w:pPr>
    <w:r>
      <w:fldChar w:fldCharType="begin"/>
    </w:r>
    <w:r>
      <w:instrText xml:space="preserve"> REF DocketLabel</w:instrText>
    </w:r>
    <w:r>
      <w:fldChar w:fldCharType="separate"/>
    </w:r>
    <w:r w:rsidR="00AF2F30">
      <w:t>Docket No.</w:t>
    </w:r>
    <w:r>
      <w:fldChar w:fldCharType="end"/>
    </w:r>
    <w:r>
      <w:t xml:space="preserve"> </w:t>
    </w:r>
    <w:r>
      <w:fldChar w:fldCharType="begin"/>
    </w:r>
    <w:r>
      <w:instrText xml:space="preserve"> REF DocketList</w:instrText>
    </w:r>
    <w:r>
      <w:fldChar w:fldCharType="separate"/>
    </w:r>
    <w:r w:rsidR="00AF2F30">
      <w:t>150269-WS</w:t>
    </w:r>
    <w:r>
      <w:fldChar w:fldCharType="end"/>
    </w:r>
    <w:r>
      <w:tab/>
      <w:t>Schedule No. 4</w:t>
    </w:r>
  </w:p>
  <w:p w:rsidR="0003183D" w:rsidRDefault="0003183D">
    <w:pPr>
      <w:pStyle w:val="Header"/>
    </w:pPr>
    <w:r>
      <w:t xml:space="preserve">Date: </w:t>
    </w:r>
    <w:fldSimple w:instr=" REF FilingDate ">
      <w:r w:rsidR="00AF2F30">
        <w:t>August 31,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1822183"/>
    <w:multiLevelType w:val="hybridMultilevel"/>
    <w:tmpl w:val="9F7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75164"/>
    <w:multiLevelType w:val="hybridMultilevel"/>
    <w:tmpl w:val="463E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C4D3B"/>
    <w:multiLevelType w:val="hybridMultilevel"/>
    <w:tmpl w:val="684E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21923"/>
    <w:rsid w:val="00001E17"/>
    <w:rsid w:val="0000402E"/>
    <w:rsid w:val="00010E37"/>
    <w:rsid w:val="000247C5"/>
    <w:rsid w:val="000252D9"/>
    <w:rsid w:val="000277C2"/>
    <w:rsid w:val="00030E6A"/>
    <w:rsid w:val="0003183D"/>
    <w:rsid w:val="00031C8C"/>
    <w:rsid w:val="0003594D"/>
    <w:rsid w:val="00035B48"/>
    <w:rsid w:val="00036CE2"/>
    <w:rsid w:val="000437FE"/>
    <w:rsid w:val="0004383F"/>
    <w:rsid w:val="00045898"/>
    <w:rsid w:val="000513BE"/>
    <w:rsid w:val="00065A06"/>
    <w:rsid w:val="000666F3"/>
    <w:rsid w:val="0006782B"/>
    <w:rsid w:val="00070DCB"/>
    <w:rsid w:val="00073120"/>
    <w:rsid w:val="000764D0"/>
    <w:rsid w:val="000828D3"/>
    <w:rsid w:val="000900BC"/>
    <w:rsid w:val="00092D37"/>
    <w:rsid w:val="00093D27"/>
    <w:rsid w:val="000A2B57"/>
    <w:rsid w:val="000A418B"/>
    <w:rsid w:val="000B15D3"/>
    <w:rsid w:val="000C4431"/>
    <w:rsid w:val="000D2B4C"/>
    <w:rsid w:val="000D4319"/>
    <w:rsid w:val="000E1A9C"/>
    <w:rsid w:val="000F219A"/>
    <w:rsid w:val="000F2504"/>
    <w:rsid w:val="000F374A"/>
    <w:rsid w:val="00104C55"/>
    <w:rsid w:val="00112D38"/>
    <w:rsid w:val="0011545B"/>
    <w:rsid w:val="00117C8C"/>
    <w:rsid w:val="00120A5B"/>
    <w:rsid w:val="001230A7"/>
    <w:rsid w:val="00124E2E"/>
    <w:rsid w:val="0012504B"/>
    <w:rsid w:val="00125ED4"/>
    <w:rsid w:val="001304C6"/>
    <w:rsid w:val="001305E9"/>
    <w:rsid w:val="001307AF"/>
    <w:rsid w:val="00132EE3"/>
    <w:rsid w:val="00135687"/>
    <w:rsid w:val="00150136"/>
    <w:rsid w:val="00151E59"/>
    <w:rsid w:val="001522F0"/>
    <w:rsid w:val="00154474"/>
    <w:rsid w:val="001608F7"/>
    <w:rsid w:val="00163031"/>
    <w:rsid w:val="00171A90"/>
    <w:rsid w:val="0017265F"/>
    <w:rsid w:val="00175B97"/>
    <w:rsid w:val="00180254"/>
    <w:rsid w:val="00180BB0"/>
    <w:rsid w:val="001821A3"/>
    <w:rsid w:val="00185A3E"/>
    <w:rsid w:val="00191E1F"/>
    <w:rsid w:val="00192943"/>
    <w:rsid w:val="00192F38"/>
    <w:rsid w:val="001A7406"/>
    <w:rsid w:val="001B4FEE"/>
    <w:rsid w:val="001B51C5"/>
    <w:rsid w:val="001B6F3F"/>
    <w:rsid w:val="001B7CE6"/>
    <w:rsid w:val="001C02CD"/>
    <w:rsid w:val="001C52B5"/>
    <w:rsid w:val="001D0D3E"/>
    <w:rsid w:val="001E72AD"/>
    <w:rsid w:val="001F2245"/>
    <w:rsid w:val="001F6DA1"/>
    <w:rsid w:val="00200434"/>
    <w:rsid w:val="002044E6"/>
    <w:rsid w:val="00205C82"/>
    <w:rsid w:val="00205DC2"/>
    <w:rsid w:val="0021023A"/>
    <w:rsid w:val="002163B6"/>
    <w:rsid w:val="002174A9"/>
    <w:rsid w:val="00220732"/>
    <w:rsid w:val="00221D32"/>
    <w:rsid w:val="00225C3F"/>
    <w:rsid w:val="00233881"/>
    <w:rsid w:val="00235359"/>
    <w:rsid w:val="00235F15"/>
    <w:rsid w:val="002376ED"/>
    <w:rsid w:val="00263D44"/>
    <w:rsid w:val="002702AD"/>
    <w:rsid w:val="00270FEA"/>
    <w:rsid w:val="00280376"/>
    <w:rsid w:val="002816B8"/>
    <w:rsid w:val="00292D82"/>
    <w:rsid w:val="002963CB"/>
    <w:rsid w:val="002975E9"/>
    <w:rsid w:val="002A092F"/>
    <w:rsid w:val="002A42C7"/>
    <w:rsid w:val="002A43C6"/>
    <w:rsid w:val="002A47BC"/>
    <w:rsid w:val="002A6C5F"/>
    <w:rsid w:val="002B2114"/>
    <w:rsid w:val="002C341D"/>
    <w:rsid w:val="002D226D"/>
    <w:rsid w:val="002F6030"/>
    <w:rsid w:val="003037E1"/>
    <w:rsid w:val="003046BA"/>
    <w:rsid w:val="00305590"/>
    <w:rsid w:val="00307D96"/>
    <w:rsid w:val="00307E51"/>
    <w:rsid w:val="003103EC"/>
    <w:rsid w:val="003144EF"/>
    <w:rsid w:val="003147ED"/>
    <w:rsid w:val="00322F74"/>
    <w:rsid w:val="00323BD9"/>
    <w:rsid w:val="00334D5A"/>
    <w:rsid w:val="00340073"/>
    <w:rsid w:val="0034131F"/>
    <w:rsid w:val="00341DB1"/>
    <w:rsid w:val="003517E0"/>
    <w:rsid w:val="00355553"/>
    <w:rsid w:val="00357213"/>
    <w:rsid w:val="00371BF7"/>
    <w:rsid w:val="00372805"/>
    <w:rsid w:val="00373180"/>
    <w:rsid w:val="00375AB9"/>
    <w:rsid w:val="003821A0"/>
    <w:rsid w:val="00385B04"/>
    <w:rsid w:val="003864CF"/>
    <w:rsid w:val="0039287E"/>
    <w:rsid w:val="0039441B"/>
    <w:rsid w:val="00396D05"/>
    <w:rsid w:val="003A22A6"/>
    <w:rsid w:val="003A5494"/>
    <w:rsid w:val="003B1454"/>
    <w:rsid w:val="003B1A5F"/>
    <w:rsid w:val="003B2510"/>
    <w:rsid w:val="003B3CEC"/>
    <w:rsid w:val="003B5E6D"/>
    <w:rsid w:val="003C2CC4"/>
    <w:rsid w:val="003D41D7"/>
    <w:rsid w:val="003D5D10"/>
    <w:rsid w:val="003E0EFC"/>
    <w:rsid w:val="003E4A2B"/>
    <w:rsid w:val="003E76C2"/>
    <w:rsid w:val="003F1679"/>
    <w:rsid w:val="003F26F0"/>
    <w:rsid w:val="003F4A35"/>
    <w:rsid w:val="003F7FDD"/>
    <w:rsid w:val="00402481"/>
    <w:rsid w:val="004042B4"/>
    <w:rsid w:val="00406CCD"/>
    <w:rsid w:val="00412DAE"/>
    <w:rsid w:val="00431598"/>
    <w:rsid w:val="00436052"/>
    <w:rsid w:val="004426B8"/>
    <w:rsid w:val="00443581"/>
    <w:rsid w:val="00444432"/>
    <w:rsid w:val="00444546"/>
    <w:rsid w:val="0044516D"/>
    <w:rsid w:val="0045211B"/>
    <w:rsid w:val="00453C4C"/>
    <w:rsid w:val="00455B55"/>
    <w:rsid w:val="004601B7"/>
    <w:rsid w:val="00462580"/>
    <w:rsid w:val="00465499"/>
    <w:rsid w:val="00471860"/>
    <w:rsid w:val="0049160B"/>
    <w:rsid w:val="004A3654"/>
    <w:rsid w:val="004B5524"/>
    <w:rsid w:val="004B60BD"/>
    <w:rsid w:val="004C3150"/>
    <w:rsid w:val="004C32D4"/>
    <w:rsid w:val="004C3641"/>
    <w:rsid w:val="004C4390"/>
    <w:rsid w:val="004C4AF7"/>
    <w:rsid w:val="004D2881"/>
    <w:rsid w:val="004D385F"/>
    <w:rsid w:val="004D5B39"/>
    <w:rsid w:val="004D61DD"/>
    <w:rsid w:val="004E330D"/>
    <w:rsid w:val="004E4B2A"/>
    <w:rsid w:val="004E5147"/>
    <w:rsid w:val="004E6554"/>
    <w:rsid w:val="004F7AE9"/>
    <w:rsid w:val="00505B83"/>
    <w:rsid w:val="0050652D"/>
    <w:rsid w:val="00506C03"/>
    <w:rsid w:val="00512B6D"/>
    <w:rsid w:val="00516496"/>
    <w:rsid w:val="0052572A"/>
    <w:rsid w:val="00527E9E"/>
    <w:rsid w:val="00531CF6"/>
    <w:rsid w:val="00540612"/>
    <w:rsid w:val="00542332"/>
    <w:rsid w:val="00543CB3"/>
    <w:rsid w:val="00547019"/>
    <w:rsid w:val="0055070D"/>
    <w:rsid w:val="0055183C"/>
    <w:rsid w:val="005564FF"/>
    <w:rsid w:val="00556D31"/>
    <w:rsid w:val="00560FF0"/>
    <w:rsid w:val="005614BD"/>
    <w:rsid w:val="00561946"/>
    <w:rsid w:val="00561DD6"/>
    <w:rsid w:val="0057154F"/>
    <w:rsid w:val="00574C4E"/>
    <w:rsid w:val="00576454"/>
    <w:rsid w:val="00581CA3"/>
    <w:rsid w:val="00586D15"/>
    <w:rsid w:val="00587A44"/>
    <w:rsid w:val="00592AEC"/>
    <w:rsid w:val="00593151"/>
    <w:rsid w:val="00595028"/>
    <w:rsid w:val="00597730"/>
    <w:rsid w:val="005977EC"/>
    <w:rsid w:val="00597DE7"/>
    <w:rsid w:val="005A1534"/>
    <w:rsid w:val="005A4AA2"/>
    <w:rsid w:val="005B34B6"/>
    <w:rsid w:val="005B6C8F"/>
    <w:rsid w:val="005C1ED9"/>
    <w:rsid w:val="005D0F74"/>
    <w:rsid w:val="005D2E7D"/>
    <w:rsid w:val="005D4A8F"/>
    <w:rsid w:val="005D4DB3"/>
    <w:rsid w:val="005D561B"/>
    <w:rsid w:val="005D79B0"/>
    <w:rsid w:val="005E2A6A"/>
    <w:rsid w:val="005E41B1"/>
    <w:rsid w:val="005E766D"/>
    <w:rsid w:val="005F2F9B"/>
    <w:rsid w:val="005F468D"/>
    <w:rsid w:val="005F6911"/>
    <w:rsid w:val="005F69A3"/>
    <w:rsid w:val="00611591"/>
    <w:rsid w:val="00615423"/>
    <w:rsid w:val="006165B2"/>
    <w:rsid w:val="00617276"/>
    <w:rsid w:val="006174C1"/>
    <w:rsid w:val="0062037D"/>
    <w:rsid w:val="00624384"/>
    <w:rsid w:val="00625D97"/>
    <w:rsid w:val="00625F1C"/>
    <w:rsid w:val="00630CEB"/>
    <w:rsid w:val="00632071"/>
    <w:rsid w:val="00632264"/>
    <w:rsid w:val="00632418"/>
    <w:rsid w:val="006349A0"/>
    <w:rsid w:val="00634E74"/>
    <w:rsid w:val="00635C3C"/>
    <w:rsid w:val="00637082"/>
    <w:rsid w:val="00640171"/>
    <w:rsid w:val="00643E11"/>
    <w:rsid w:val="006470BC"/>
    <w:rsid w:val="006604A4"/>
    <w:rsid w:val="0066438F"/>
    <w:rsid w:val="00667036"/>
    <w:rsid w:val="00672916"/>
    <w:rsid w:val="00673BDB"/>
    <w:rsid w:val="006759E0"/>
    <w:rsid w:val="006771B8"/>
    <w:rsid w:val="00680777"/>
    <w:rsid w:val="00681C0E"/>
    <w:rsid w:val="0068481F"/>
    <w:rsid w:val="00692D77"/>
    <w:rsid w:val="00693582"/>
    <w:rsid w:val="00696F5D"/>
    <w:rsid w:val="00697249"/>
    <w:rsid w:val="006A641E"/>
    <w:rsid w:val="006B3947"/>
    <w:rsid w:val="006B4293"/>
    <w:rsid w:val="006B624F"/>
    <w:rsid w:val="006C31E3"/>
    <w:rsid w:val="006C36E1"/>
    <w:rsid w:val="006D36EC"/>
    <w:rsid w:val="006E08CB"/>
    <w:rsid w:val="006E0BBD"/>
    <w:rsid w:val="006E2253"/>
    <w:rsid w:val="006E2FDE"/>
    <w:rsid w:val="006E598D"/>
    <w:rsid w:val="006F22D4"/>
    <w:rsid w:val="006F36D5"/>
    <w:rsid w:val="007016AB"/>
    <w:rsid w:val="00702E0B"/>
    <w:rsid w:val="0070437D"/>
    <w:rsid w:val="00705B04"/>
    <w:rsid w:val="00706090"/>
    <w:rsid w:val="007077DF"/>
    <w:rsid w:val="00723727"/>
    <w:rsid w:val="0072545D"/>
    <w:rsid w:val="00726C8B"/>
    <w:rsid w:val="007318E1"/>
    <w:rsid w:val="00734820"/>
    <w:rsid w:val="007349DC"/>
    <w:rsid w:val="00735AAD"/>
    <w:rsid w:val="00741E17"/>
    <w:rsid w:val="0074365E"/>
    <w:rsid w:val="007515FD"/>
    <w:rsid w:val="00755181"/>
    <w:rsid w:val="00760D80"/>
    <w:rsid w:val="00765A18"/>
    <w:rsid w:val="00772EF5"/>
    <w:rsid w:val="0077432F"/>
    <w:rsid w:val="0077789F"/>
    <w:rsid w:val="00780C09"/>
    <w:rsid w:val="00780DDF"/>
    <w:rsid w:val="007834E9"/>
    <w:rsid w:val="00787DBC"/>
    <w:rsid w:val="00792935"/>
    <w:rsid w:val="007962F2"/>
    <w:rsid w:val="007966F6"/>
    <w:rsid w:val="007A04A1"/>
    <w:rsid w:val="007A1840"/>
    <w:rsid w:val="007A3558"/>
    <w:rsid w:val="007A6806"/>
    <w:rsid w:val="007B4C14"/>
    <w:rsid w:val="007C0528"/>
    <w:rsid w:val="007C0CE0"/>
    <w:rsid w:val="007C3D38"/>
    <w:rsid w:val="007D0F35"/>
    <w:rsid w:val="007D4FEB"/>
    <w:rsid w:val="007D5406"/>
    <w:rsid w:val="007D5D10"/>
    <w:rsid w:val="007D5DC9"/>
    <w:rsid w:val="007D6146"/>
    <w:rsid w:val="007D71C3"/>
    <w:rsid w:val="007E0CE7"/>
    <w:rsid w:val="007E1A39"/>
    <w:rsid w:val="007E5482"/>
    <w:rsid w:val="007F1193"/>
    <w:rsid w:val="007F3F3E"/>
    <w:rsid w:val="007F417F"/>
    <w:rsid w:val="007F5785"/>
    <w:rsid w:val="00800045"/>
    <w:rsid w:val="008004F6"/>
    <w:rsid w:val="008042BD"/>
    <w:rsid w:val="00816624"/>
    <w:rsid w:val="00822427"/>
    <w:rsid w:val="00822562"/>
    <w:rsid w:val="00823663"/>
    <w:rsid w:val="00824457"/>
    <w:rsid w:val="00832DDC"/>
    <w:rsid w:val="008369BF"/>
    <w:rsid w:val="0084015A"/>
    <w:rsid w:val="00841BA1"/>
    <w:rsid w:val="008427D4"/>
    <w:rsid w:val="008472B2"/>
    <w:rsid w:val="008509E0"/>
    <w:rsid w:val="00850BAC"/>
    <w:rsid w:val="00852B34"/>
    <w:rsid w:val="00854A3E"/>
    <w:rsid w:val="00855D08"/>
    <w:rsid w:val="008561C4"/>
    <w:rsid w:val="008571D2"/>
    <w:rsid w:val="008624F2"/>
    <w:rsid w:val="00864B88"/>
    <w:rsid w:val="008724E5"/>
    <w:rsid w:val="00874344"/>
    <w:rsid w:val="00876DFC"/>
    <w:rsid w:val="00880B20"/>
    <w:rsid w:val="00882155"/>
    <w:rsid w:val="0088233B"/>
    <w:rsid w:val="0088599E"/>
    <w:rsid w:val="00886C37"/>
    <w:rsid w:val="00892D99"/>
    <w:rsid w:val="008A020B"/>
    <w:rsid w:val="008A20F1"/>
    <w:rsid w:val="008A2273"/>
    <w:rsid w:val="008A2A9F"/>
    <w:rsid w:val="008B62AE"/>
    <w:rsid w:val="008C04B5"/>
    <w:rsid w:val="008C14FA"/>
    <w:rsid w:val="008C69C1"/>
    <w:rsid w:val="008D2D4A"/>
    <w:rsid w:val="008D4057"/>
    <w:rsid w:val="008D760E"/>
    <w:rsid w:val="008E1F19"/>
    <w:rsid w:val="008E3064"/>
    <w:rsid w:val="008E4E04"/>
    <w:rsid w:val="008E65C5"/>
    <w:rsid w:val="008E7BEC"/>
    <w:rsid w:val="008F1EF2"/>
    <w:rsid w:val="008F2262"/>
    <w:rsid w:val="008F6BCC"/>
    <w:rsid w:val="008F7736"/>
    <w:rsid w:val="0090019E"/>
    <w:rsid w:val="00901086"/>
    <w:rsid w:val="00901C8A"/>
    <w:rsid w:val="00904F67"/>
    <w:rsid w:val="00905886"/>
    <w:rsid w:val="009070D6"/>
    <w:rsid w:val="009076C6"/>
    <w:rsid w:val="00907AD5"/>
    <w:rsid w:val="0091019E"/>
    <w:rsid w:val="009106F1"/>
    <w:rsid w:val="009145D6"/>
    <w:rsid w:val="00920E64"/>
    <w:rsid w:val="00921C58"/>
    <w:rsid w:val="00922002"/>
    <w:rsid w:val="00924020"/>
    <w:rsid w:val="009271A7"/>
    <w:rsid w:val="009321B9"/>
    <w:rsid w:val="0093658B"/>
    <w:rsid w:val="00937E6D"/>
    <w:rsid w:val="009429FF"/>
    <w:rsid w:val="0094344A"/>
    <w:rsid w:val="00945BD6"/>
    <w:rsid w:val="009479FB"/>
    <w:rsid w:val="009514CD"/>
    <w:rsid w:val="00951C45"/>
    <w:rsid w:val="00952AC5"/>
    <w:rsid w:val="0095341C"/>
    <w:rsid w:val="00953A3D"/>
    <w:rsid w:val="0095460F"/>
    <w:rsid w:val="00956D05"/>
    <w:rsid w:val="009629E5"/>
    <w:rsid w:val="009656F2"/>
    <w:rsid w:val="00966A08"/>
    <w:rsid w:val="00967DF8"/>
    <w:rsid w:val="00971207"/>
    <w:rsid w:val="00973631"/>
    <w:rsid w:val="00975CB4"/>
    <w:rsid w:val="009863B0"/>
    <w:rsid w:val="00987DE1"/>
    <w:rsid w:val="00990460"/>
    <w:rsid w:val="00990571"/>
    <w:rsid w:val="009935E2"/>
    <w:rsid w:val="0099673A"/>
    <w:rsid w:val="00997B67"/>
    <w:rsid w:val="009A3330"/>
    <w:rsid w:val="009A6B9C"/>
    <w:rsid w:val="009A7C96"/>
    <w:rsid w:val="009B0BCA"/>
    <w:rsid w:val="009C3610"/>
    <w:rsid w:val="009C3C43"/>
    <w:rsid w:val="009C3DB9"/>
    <w:rsid w:val="009C4E26"/>
    <w:rsid w:val="009D1C03"/>
    <w:rsid w:val="009D46E5"/>
    <w:rsid w:val="009D4D48"/>
    <w:rsid w:val="009D568A"/>
    <w:rsid w:val="009D6D07"/>
    <w:rsid w:val="009D717F"/>
    <w:rsid w:val="009F04EC"/>
    <w:rsid w:val="009F3B36"/>
    <w:rsid w:val="00A00748"/>
    <w:rsid w:val="00A014FA"/>
    <w:rsid w:val="00A019B9"/>
    <w:rsid w:val="00A04DD6"/>
    <w:rsid w:val="00A1096C"/>
    <w:rsid w:val="00A12508"/>
    <w:rsid w:val="00A1282B"/>
    <w:rsid w:val="00A13A27"/>
    <w:rsid w:val="00A175B6"/>
    <w:rsid w:val="00A21835"/>
    <w:rsid w:val="00A21923"/>
    <w:rsid w:val="00A23BC8"/>
    <w:rsid w:val="00A27D6E"/>
    <w:rsid w:val="00A328EC"/>
    <w:rsid w:val="00A33A51"/>
    <w:rsid w:val="00A34D8B"/>
    <w:rsid w:val="00A41CA6"/>
    <w:rsid w:val="00A4389D"/>
    <w:rsid w:val="00A47927"/>
    <w:rsid w:val="00A47FFC"/>
    <w:rsid w:val="00A5442F"/>
    <w:rsid w:val="00A545BA"/>
    <w:rsid w:val="00A54FF9"/>
    <w:rsid w:val="00A56765"/>
    <w:rsid w:val="00A6415A"/>
    <w:rsid w:val="00A652E0"/>
    <w:rsid w:val="00A6596D"/>
    <w:rsid w:val="00A675AC"/>
    <w:rsid w:val="00A736F6"/>
    <w:rsid w:val="00A7581F"/>
    <w:rsid w:val="00A855E4"/>
    <w:rsid w:val="00A92FB1"/>
    <w:rsid w:val="00A95A0C"/>
    <w:rsid w:val="00AA161E"/>
    <w:rsid w:val="00AA2765"/>
    <w:rsid w:val="00AA5161"/>
    <w:rsid w:val="00AA5E48"/>
    <w:rsid w:val="00AA7538"/>
    <w:rsid w:val="00AA77B5"/>
    <w:rsid w:val="00AA7E62"/>
    <w:rsid w:val="00AB0827"/>
    <w:rsid w:val="00AB3C17"/>
    <w:rsid w:val="00AB6C5D"/>
    <w:rsid w:val="00AC0D89"/>
    <w:rsid w:val="00AC496E"/>
    <w:rsid w:val="00AC51A7"/>
    <w:rsid w:val="00AC598A"/>
    <w:rsid w:val="00AD444B"/>
    <w:rsid w:val="00AD6C78"/>
    <w:rsid w:val="00AD7106"/>
    <w:rsid w:val="00AE2EAB"/>
    <w:rsid w:val="00AF2F30"/>
    <w:rsid w:val="00AF5F89"/>
    <w:rsid w:val="00AF73CB"/>
    <w:rsid w:val="00B002D6"/>
    <w:rsid w:val="00B04FD0"/>
    <w:rsid w:val="00B05805"/>
    <w:rsid w:val="00B05B51"/>
    <w:rsid w:val="00B141C5"/>
    <w:rsid w:val="00B15370"/>
    <w:rsid w:val="00B17BEB"/>
    <w:rsid w:val="00B21A3C"/>
    <w:rsid w:val="00B2233E"/>
    <w:rsid w:val="00B223C0"/>
    <w:rsid w:val="00B234ED"/>
    <w:rsid w:val="00B25CA3"/>
    <w:rsid w:val="00B3695D"/>
    <w:rsid w:val="00B40EF5"/>
    <w:rsid w:val="00B52A2C"/>
    <w:rsid w:val="00B57A6A"/>
    <w:rsid w:val="00B760F1"/>
    <w:rsid w:val="00B7669E"/>
    <w:rsid w:val="00B77DA1"/>
    <w:rsid w:val="00B81D1C"/>
    <w:rsid w:val="00B85B60"/>
    <w:rsid w:val="00B90709"/>
    <w:rsid w:val="00B96646"/>
    <w:rsid w:val="00B97BB4"/>
    <w:rsid w:val="00BA0D55"/>
    <w:rsid w:val="00BA37B3"/>
    <w:rsid w:val="00BA4CC6"/>
    <w:rsid w:val="00BA625B"/>
    <w:rsid w:val="00BB3493"/>
    <w:rsid w:val="00BB7468"/>
    <w:rsid w:val="00BC12F3"/>
    <w:rsid w:val="00BC188A"/>
    <w:rsid w:val="00BD106F"/>
    <w:rsid w:val="00BD2C6C"/>
    <w:rsid w:val="00BF169E"/>
    <w:rsid w:val="00BF5010"/>
    <w:rsid w:val="00BF5847"/>
    <w:rsid w:val="00C07ABF"/>
    <w:rsid w:val="00C13791"/>
    <w:rsid w:val="00C1615E"/>
    <w:rsid w:val="00C241C6"/>
    <w:rsid w:val="00C31419"/>
    <w:rsid w:val="00C31BB3"/>
    <w:rsid w:val="00C321BB"/>
    <w:rsid w:val="00C35854"/>
    <w:rsid w:val="00C36977"/>
    <w:rsid w:val="00C40753"/>
    <w:rsid w:val="00C47797"/>
    <w:rsid w:val="00C477D9"/>
    <w:rsid w:val="00C5029E"/>
    <w:rsid w:val="00C608B5"/>
    <w:rsid w:val="00C60BA3"/>
    <w:rsid w:val="00C623F7"/>
    <w:rsid w:val="00C81670"/>
    <w:rsid w:val="00C81773"/>
    <w:rsid w:val="00C82861"/>
    <w:rsid w:val="00C83800"/>
    <w:rsid w:val="00C86896"/>
    <w:rsid w:val="00C87019"/>
    <w:rsid w:val="00C906E6"/>
    <w:rsid w:val="00C907A8"/>
    <w:rsid w:val="00C92094"/>
    <w:rsid w:val="00C93211"/>
    <w:rsid w:val="00C942EC"/>
    <w:rsid w:val="00C96047"/>
    <w:rsid w:val="00C9718A"/>
    <w:rsid w:val="00C979D0"/>
    <w:rsid w:val="00CA0818"/>
    <w:rsid w:val="00CA2C8F"/>
    <w:rsid w:val="00CA30DA"/>
    <w:rsid w:val="00CA3A24"/>
    <w:rsid w:val="00CA5BAC"/>
    <w:rsid w:val="00CB1777"/>
    <w:rsid w:val="00CB33E9"/>
    <w:rsid w:val="00CC10A9"/>
    <w:rsid w:val="00CC3398"/>
    <w:rsid w:val="00CC7F62"/>
    <w:rsid w:val="00CD07E9"/>
    <w:rsid w:val="00CD4FE1"/>
    <w:rsid w:val="00CE2B17"/>
    <w:rsid w:val="00CE2BF8"/>
    <w:rsid w:val="00CE484E"/>
    <w:rsid w:val="00CE4CE1"/>
    <w:rsid w:val="00CF0DA8"/>
    <w:rsid w:val="00CF2E25"/>
    <w:rsid w:val="00CF3C27"/>
    <w:rsid w:val="00CF4453"/>
    <w:rsid w:val="00CF4B65"/>
    <w:rsid w:val="00CF5D94"/>
    <w:rsid w:val="00CF65B9"/>
    <w:rsid w:val="00CF729B"/>
    <w:rsid w:val="00CF7C8D"/>
    <w:rsid w:val="00D034D7"/>
    <w:rsid w:val="00D04BE4"/>
    <w:rsid w:val="00D0786B"/>
    <w:rsid w:val="00D1215C"/>
    <w:rsid w:val="00D12565"/>
    <w:rsid w:val="00D14127"/>
    <w:rsid w:val="00D264FB"/>
    <w:rsid w:val="00D334B3"/>
    <w:rsid w:val="00D44D5E"/>
    <w:rsid w:val="00D51E47"/>
    <w:rsid w:val="00D52A69"/>
    <w:rsid w:val="00D567A1"/>
    <w:rsid w:val="00D57CA0"/>
    <w:rsid w:val="00D60F02"/>
    <w:rsid w:val="00D661A1"/>
    <w:rsid w:val="00D6686E"/>
    <w:rsid w:val="00D66E49"/>
    <w:rsid w:val="00D72F74"/>
    <w:rsid w:val="00D81563"/>
    <w:rsid w:val="00D85907"/>
    <w:rsid w:val="00D9073E"/>
    <w:rsid w:val="00D9221D"/>
    <w:rsid w:val="00D941B1"/>
    <w:rsid w:val="00D958DF"/>
    <w:rsid w:val="00D96DA1"/>
    <w:rsid w:val="00DA2DA3"/>
    <w:rsid w:val="00DA309A"/>
    <w:rsid w:val="00DA41EC"/>
    <w:rsid w:val="00DA51E7"/>
    <w:rsid w:val="00DA5C11"/>
    <w:rsid w:val="00DA7ADB"/>
    <w:rsid w:val="00DB1C78"/>
    <w:rsid w:val="00DB3A8E"/>
    <w:rsid w:val="00DB7D96"/>
    <w:rsid w:val="00DC23FE"/>
    <w:rsid w:val="00DC59E6"/>
    <w:rsid w:val="00DD150B"/>
    <w:rsid w:val="00DD41C9"/>
    <w:rsid w:val="00DD5025"/>
    <w:rsid w:val="00DE5BEB"/>
    <w:rsid w:val="00DF1510"/>
    <w:rsid w:val="00E06484"/>
    <w:rsid w:val="00E13C95"/>
    <w:rsid w:val="00E14A31"/>
    <w:rsid w:val="00E20A7D"/>
    <w:rsid w:val="00E2313C"/>
    <w:rsid w:val="00E275D8"/>
    <w:rsid w:val="00E311A3"/>
    <w:rsid w:val="00E349B6"/>
    <w:rsid w:val="00E375CA"/>
    <w:rsid w:val="00E46187"/>
    <w:rsid w:val="00E5397B"/>
    <w:rsid w:val="00E540E1"/>
    <w:rsid w:val="00E567E8"/>
    <w:rsid w:val="00E570EB"/>
    <w:rsid w:val="00E64679"/>
    <w:rsid w:val="00E65CEC"/>
    <w:rsid w:val="00E65EBC"/>
    <w:rsid w:val="00E73432"/>
    <w:rsid w:val="00E77711"/>
    <w:rsid w:val="00E77B0C"/>
    <w:rsid w:val="00E77FB8"/>
    <w:rsid w:val="00E838B0"/>
    <w:rsid w:val="00E86A7C"/>
    <w:rsid w:val="00E878E1"/>
    <w:rsid w:val="00E87F2C"/>
    <w:rsid w:val="00E9283C"/>
    <w:rsid w:val="00E95278"/>
    <w:rsid w:val="00EA2139"/>
    <w:rsid w:val="00EA2273"/>
    <w:rsid w:val="00EB2DB3"/>
    <w:rsid w:val="00EC3257"/>
    <w:rsid w:val="00EC3892"/>
    <w:rsid w:val="00EC3FBB"/>
    <w:rsid w:val="00EC6B7A"/>
    <w:rsid w:val="00ED23EC"/>
    <w:rsid w:val="00ED3A87"/>
    <w:rsid w:val="00ED4074"/>
    <w:rsid w:val="00ED5B67"/>
    <w:rsid w:val="00EE0D4A"/>
    <w:rsid w:val="00EE1446"/>
    <w:rsid w:val="00EF264C"/>
    <w:rsid w:val="00EF3FEE"/>
    <w:rsid w:val="00F04B59"/>
    <w:rsid w:val="00F11741"/>
    <w:rsid w:val="00F12B1C"/>
    <w:rsid w:val="00F13CF8"/>
    <w:rsid w:val="00F15855"/>
    <w:rsid w:val="00F15B86"/>
    <w:rsid w:val="00F2205C"/>
    <w:rsid w:val="00F32978"/>
    <w:rsid w:val="00F378E0"/>
    <w:rsid w:val="00F420B4"/>
    <w:rsid w:val="00F441D1"/>
    <w:rsid w:val="00F44C69"/>
    <w:rsid w:val="00F45CB2"/>
    <w:rsid w:val="00F50F30"/>
    <w:rsid w:val="00F52845"/>
    <w:rsid w:val="00F544C0"/>
    <w:rsid w:val="00F55332"/>
    <w:rsid w:val="00F56CF2"/>
    <w:rsid w:val="00F57275"/>
    <w:rsid w:val="00F65519"/>
    <w:rsid w:val="00F65585"/>
    <w:rsid w:val="00F70310"/>
    <w:rsid w:val="00F713C0"/>
    <w:rsid w:val="00F75DDC"/>
    <w:rsid w:val="00F7792F"/>
    <w:rsid w:val="00F842AA"/>
    <w:rsid w:val="00F8476F"/>
    <w:rsid w:val="00F853E1"/>
    <w:rsid w:val="00F854FA"/>
    <w:rsid w:val="00F94B7A"/>
    <w:rsid w:val="00FA17AC"/>
    <w:rsid w:val="00FA32DE"/>
    <w:rsid w:val="00FA3382"/>
    <w:rsid w:val="00FA59CD"/>
    <w:rsid w:val="00FB1740"/>
    <w:rsid w:val="00FB694C"/>
    <w:rsid w:val="00FC5469"/>
    <w:rsid w:val="00FC6D7D"/>
    <w:rsid w:val="00FD16B0"/>
    <w:rsid w:val="00FD1F17"/>
    <w:rsid w:val="00FD4FED"/>
    <w:rsid w:val="00FD75B2"/>
    <w:rsid w:val="00FE0577"/>
    <w:rsid w:val="00FE0A4D"/>
    <w:rsid w:val="00FE2213"/>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40EF5"/>
    <w:rPr>
      <w:vertAlign w:val="superscript"/>
    </w:rPr>
  </w:style>
  <w:style w:type="table" w:styleId="TableColumns1">
    <w:name w:val="Table Columns 1"/>
    <w:basedOn w:val="TableNormal"/>
    <w:rsid w:val="00E311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36E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8701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40EF5"/>
    <w:rPr>
      <w:vertAlign w:val="superscript"/>
    </w:rPr>
  </w:style>
  <w:style w:type="table" w:styleId="TableColumns1">
    <w:name w:val="Table Columns 1"/>
    <w:basedOn w:val="TableNormal"/>
    <w:rsid w:val="00E311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36E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8701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42783">
      <w:bodyDiv w:val="1"/>
      <w:marLeft w:val="0"/>
      <w:marRight w:val="0"/>
      <w:marTop w:val="0"/>
      <w:marBottom w:val="0"/>
      <w:divBdr>
        <w:top w:val="none" w:sz="0" w:space="0" w:color="auto"/>
        <w:left w:val="none" w:sz="0" w:space="0" w:color="auto"/>
        <w:bottom w:val="none" w:sz="0" w:space="0" w:color="auto"/>
        <w:right w:val="none" w:sz="0" w:space="0" w:color="auto"/>
      </w:divBdr>
    </w:div>
    <w:div w:id="605575622">
      <w:bodyDiv w:val="1"/>
      <w:marLeft w:val="0"/>
      <w:marRight w:val="0"/>
      <w:marTop w:val="0"/>
      <w:marBottom w:val="0"/>
      <w:divBdr>
        <w:top w:val="none" w:sz="0" w:space="0" w:color="auto"/>
        <w:left w:val="none" w:sz="0" w:space="0" w:color="auto"/>
        <w:bottom w:val="none" w:sz="0" w:space="0" w:color="auto"/>
        <w:right w:val="none" w:sz="0" w:space="0" w:color="auto"/>
      </w:divBdr>
    </w:div>
    <w:div w:id="698166181">
      <w:bodyDiv w:val="1"/>
      <w:marLeft w:val="0"/>
      <w:marRight w:val="0"/>
      <w:marTop w:val="0"/>
      <w:marBottom w:val="0"/>
      <w:divBdr>
        <w:top w:val="none" w:sz="0" w:space="0" w:color="auto"/>
        <w:left w:val="none" w:sz="0" w:space="0" w:color="auto"/>
        <w:bottom w:val="none" w:sz="0" w:space="0" w:color="auto"/>
        <w:right w:val="none" w:sz="0" w:space="0" w:color="auto"/>
      </w:divBdr>
    </w:div>
    <w:div w:id="1527476894">
      <w:bodyDiv w:val="1"/>
      <w:marLeft w:val="0"/>
      <w:marRight w:val="0"/>
      <w:marTop w:val="0"/>
      <w:marBottom w:val="0"/>
      <w:divBdr>
        <w:top w:val="none" w:sz="0" w:space="0" w:color="auto"/>
        <w:left w:val="none" w:sz="0" w:space="0" w:color="auto"/>
        <w:bottom w:val="none" w:sz="0" w:space="0" w:color="auto"/>
        <w:right w:val="none" w:sz="0" w:space="0" w:color="auto"/>
      </w:divBdr>
    </w:div>
    <w:div w:id="1956906928">
      <w:bodyDiv w:val="1"/>
      <w:marLeft w:val="0"/>
      <w:marRight w:val="0"/>
      <w:marTop w:val="0"/>
      <w:marBottom w:val="0"/>
      <w:divBdr>
        <w:top w:val="none" w:sz="0" w:space="0" w:color="auto"/>
        <w:left w:val="none" w:sz="0" w:space="0" w:color="auto"/>
        <w:bottom w:val="none" w:sz="0" w:space="0" w:color="auto"/>
        <w:right w:val="none" w:sz="0" w:space="0" w:color="auto"/>
      </w:divBdr>
    </w:div>
    <w:div w:id="20867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5C3A-26C9-4073-861A-5DE68D78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20</Pages>
  <Words>6024</Words>
  <Characters>34622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Slemkewicz</dc:creator>
  <cp:lastModifiedBy>Andrea Mick</cp:lastModifiedBy>
  <cp:revision>2</cp:revision>
  <cp:lastPrinted>2016-08-31T16:21:00Z</cp:lastPrinted>
  <dcterms:created xsi:type="dcterms:W3CDTF">2016-08-31T16:39:00Z</dcterms:created>
  <dcterms:modified xsi:type="dcterms:W3CDTF">2016-08-31T16:39:00Z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150269-WS</vt:lpwstr>
  </property>
  <property fmtid="{D5CDD505-2E9C-101B-9397-08002B2CF9AE}" pid="3" name="MasterDocument">
    <vt:bool>false</vt:bool>
  </property>
</Properties>
</file>