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E4862" w:rsidP="001E4862">
      <w:pPr>
        <w:pStyle w:val="OrderHeading"/>
      </w:pPr>
      <w:r>
        <w:t>BEFORE THE FLORIDA PUBLIC SERVICE COMMISSION</w:t>
      </w:r>
    </w:p>
    <w:p w:rsidR="001E4862" w:rsidRDefault="001E4862" w:rsidP="001E4862">
      <w:pPr>
        <w:pStyle w:val="OrderHeading"/>
      </w:pPr>
    </w:p>
    <w:p w:rsidR="001E4862" w:rsidRDefault="001E4862" w:rsidP="001E486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E4862" w:rsidRPr="00C63FCF" w:rsidTr="00C63FCF">
        <w:trPr>
          <w:trHeight w:val="828"/>
        </w:trPr>
        <w:tc>
          <w:tcPr>
            <w:tcW w:w="4788" w:type="dxa"/>
            <w:tcBorders>
              <w:bottom w:val="nil"/>
              <w:right w:val="double" w:sz="6" w:space="0" w:color="auto"/>
            </w:tcBorders>
            <w:shd w:val="clear" w:color="auto" w:fill="auto"/>
          </w:tcPr>
          <w:p w:rsidR="001E4862" w:rsidRDefault="001E4862" w:rsidP="00C63FCF">
            <w:pPr>
              <w:pStyle w:val="OrderBody"/>
              <w:tabs>
                <w:tab w:val="center" w:pos="4320"/>
                <w:tab w:val="right" w:pos="8640"/>
              </w:tabs>
              <w:jc w:val="left"/>
            </w:pPr>
            <w:r>
              <w:t xml:space="preserve">In re: </w:t>
            </w:r>
            <w:bookmarkStart w:id="0" w:name="SMInRe"/>
            <w:bookmarkEnd w:id="0"/>
            <w:r>
              <w:t>Petition for rate increase by Florida Power &amp; Light Company.</w:t>
            </w:r>
          </w:p>
          <w:p w:rsidR="001E4862" w:rsidRDefault="001E4862"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1E4862" w:rsidRDefault="001E4862" w:rsidP="00C63FCF">
            <w:pPr>
              <w:pStyle w:val="OrderBody"/>
              <w:tabs>
                <w:tab w:val="center" w:pos="4320"/>
                <w:tab w:val="right" w:pos="8640"/>
              </w:tabs>
              <w:jc w:val="left"/>
            </w:pPr>
            <w:r>
              <w:t xml:space="preserve">DOCKET NO. </w:t>
            </w:r>
            <w:bookmarkStart w:id="1" w:name="SMDocketNo"/>
            <w:bookmarkEnd w:id="1"/>
            <w:r>
              <w:t>160021-EI</w:t>
            </w:r>
          </w:p>
        </w:tc>
      </w:tr>
      <w:tr w:rsidR="001E4862" w:rsidRPr="00C63FCF" w:rsidTr="00C63FCF">
        <w:trPr>
          <w:trHeight w:val="828"/>
        </w:trPr>
        <w:tc>
          <w:tcPr>
            <w:tcW w:w="4788" w:type="dxa"/>
            <w:tcBorders>
              <w:bottom w:val="nil"/>
              <w:right w:val="double" w:sz="6" w:space="0" w:color="auto"/>
            </w:tcBorders>
            <w:shd w:val="clear" w:color="auto" w:fill="auto"/>
          </w:tcPr>
          <w:p w:rsidR="001E4862" w:rsidRDefault="001E4862" w:rsidP="00C63FCF">
            <w:pPr>
              <w:pStyle w:val="OrderBody"/>
              <w:tabs>
                <w:tab w:val="center" w:pos="4320"/>
                <w:tab w:val="right" w:pos="8640"/>
              </w:tabs>
              <w:jc w:val="left"/>
            </w:pPr>
            <w:r>
              <w:t>In re: Petition for approval of 2016-2018 storm hardening plan, by Florida Power &amp; Light Company.</w:t>
            </w:r>
          </w:p>
          <w:p w:rsidR="001E4862" w:rsidRDefault="001E4862"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1E4862" w:rsidRDefault="001E4862" w:rsidP="00C63FCF">
            <w:pPr>
              <w:pStyle w:val="OrderBody"/>
              <w:tabs>
                <w:tab w:val="center" w:pos="4320"/>
                <w:tab w:val="right" w:pos="8640"/>
              </w:tabs>
              <w:jc w:val="left"/>
            </w:pPr>
            <w:r>
              <w:t>DOCKET NO. 160061-EI</w:t>
            </w:r>
          </w:p>
          <w:p w:rsidR="001E4862" w:rsidRDefault="001E4862" w:rsidP="00C63FCF">
            <w:pPr>
              <w:pStyle w:val="OrderBody"/>
              <w:tabs>
                <w:tab w:val="center" w:pos="4320"/>
                <w:tab w:val="right" w:pos="8640"/>
              </w:tabs>
              <w:jc w:val="left"/>
            </w:pPr>
          </w:p>
        </w:tc>
      </w:tr>
      <w:tr w:rsidR="001E4862" w:rsidRPr="00C63FCF" w:rsidTr="00C63FCF">
        <w:trPr>
          <w:trHeight w:val="828"/>
        </w:trPr>
        <w:tc>
          <w:tcPr>
            <w:tcW w:w="4788" w:type="dxa"/>
            <w:tcBorders>
              <w:bottom w:val="nil"/>
              <w:right w:val="double" w:sz="6" w:space="0" w:color="auto"/>
            </w:tcBorders>
            <w:shd w:val="clear" w:color="auto" w:fill="auto"/>
          </w:tcPr>
          <w:p w:rsidR="001E4862" w:rsidRDefault="001E4862" w:rsidP="00C63FCF">
            <w:pPr>
              <w:pStyle w:val="OrderBody"/>
              <w:tabs>
                <w:tab w:val="center" w:pos="4320"/>
                <w:tab w:val="right" w:pos="8640"/>
              </w:tabs>
              <w:jc w:val="left"/>
            </w:pPr>
            <w:r>
              <w:t>In re: 2016 depreciation and dismantlement study by Florida Power &amp; Light Company.</w:t>
            </w:r>
          </w:p>
          <w:p w:rsidR="001E4862" w:rsidRDefault="001E4862"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1E4862" w:rsidRDefault="001E4862" w:rsidP="00C63FCF">
            <w:pPr>
              <w:pStyle w:val="OrderBody"/>
              <w:tabs>
                <w:tab w:val="center" w:pos="4320"/>
                <w:tab w:val="right" w:pos="8640"/>
              </w:tabs>
              <w:jc w:val="left"/>
            </w:pPr>
            <w:r>
              <w:t>DOCKET NO. 160062-EI</w:t>
            </w:r>
          </w:p>
          <w:p w:rsidR="001E4862" w:rsidRDefault="001E4862" w:rsidP="00C63FCF">
            <w:pPr>
              <w:pStyle w:val="OrderBody"/>
              <w:tabs>
                <w:tab w:val="center" w:pos="4320"/>
                <w:tab w:val="right" w:pos="8640"/>
              </w:tabs>
              <w:jc w:val="left"/>
            </w:pPr>
          </w:p>
        </w:tc>
      </w:tr>
      <w:tr w:rsidR="001E4862" w:rsidRPr="00C63FCF" w:rsidTr="00C63FCF">
        <w:trPr>
          <w:trHeight w:val="828"/>
        </w:trPr>
        <w:tc>
          <w:tcPr>
            <w:tcW w:w="4788" w:type="dxa"/>
            <w:tcBorders>
              <w:top w:val="nil"/>
              <w:bottom w:val="single" w:sz="8" w:space="0" w:color="auto"/>
              <w:right w:val="double" w:sz="6" w:space="0" w:color="auto"/>
            </w:tcBorders>
            <w:shd w:val="clear" w:color="auto" w:fill="auto"/>
          </w:tcPr>
          <w:p w:rsidR="001E4862" w:rsidRDefault="001E4862" w:rsidP="00C63FCF">
            <w:pPr>
              <w:pStyle w:val="OrderBody"/>
              <w:tabs>
                <w:tab w:val="center" w:pos="4320"/>
                <w:tab w:val="right" w:pos="8640"/>
              </w:tabs>
              <w:jc w:val="left"/>
            </w:pPr>
            <w:r>
              <w:t>In re: Petition for limited proceeding to modify and continue incentive mechanism, by Florida Power &amp; Light Company.</w:t>
            </w:r>
          </w:p>
        </w:tc>
        <w:tc>
          <w:tcPr>
            <w:tcW w:w="4788" w:type="dxa"/>
            <w:tcBorders>
              <w:left w:val="double" w:sz="6" w:space="0" w:color="auto"/>
            </w:tcBorders>
            <w:shd w:val="clear" w:color="auto" w:fill="auto"/>
          </w:tcPr>
          <w:p w:rsidR="001E4862" w:rsidRDefault="001E4862" w:rsidP="001E4862">
            <w:pPr>
              <w:pStyle w:val="OrderBody"/>
            </w:pPr>
            <w:r>
              <w:t xml:space="preserve">DOCKET NO. </w:t>
            </w:r>
            <w:bookmarkStart w:id="2" w:name="SMDocketNo2"/>
            <w:bookmarkEnd w:id="2"/>
            <w:r>
              <w:t>160088-EI</w:t>
            </w:r>
          </w:p>
          <w:p w:rsidR="001E4862" w:rsidRDefault="001E4862" w:rsidP="00C63FCF">
            <w:pPr>
              <w:pStyle w:val="OrderBody"/>
              <w:tabs>
                <w:tab w:val="center" w:pos="4320"/>
                <w:tab w:val="right" w:pos="8640"/>
              </w:tabs>
              <w:jc w:val="left"/>
            </w:pPr>
            <w:r>
              <w:t xml:space="preserve">ORDER NO. </w:t>
            </w:r>
            <w:bookmarkStart w:id="3" w:name="OrderNo0472"/>
            <w:r w:rsidR="00C47DA5">
              <w:t>PSC-16-0472-PCO-EI</w:t>
            </w:r>
            <w:bookmarkEnd w:id="3"/>
          </w:p>
          <w:p w:rsidR="001E4862" w:rsidRDefault="001E4862" w:rsidP="00C63FCF">
            <w:pPr>
              <w:pStyle w:val="OrderBody"/>
              <w:tabs>
                <w:tab w:val="center" w:pos="4320"/>
                <w:tab w:val="right" w:pos="8640"/>
              </w:tabs>
              <w:jc w:val="left"/>
            </w:pPr>
            <w:r>
              <w:t xml:space="preserve">ISSUED: </w:t>
            </w:r>
            <w:r w:rsidR="00C47DA5">
              <w:t>October 20, 2016</w:t>
            </w:r>
          </w:p>
          <w:p w:rsidR="001E4862" w:rsidRDefault="001E4862" w:rsidP="00C63FCF">
            <w:pPr>
              <w:pStyle w:val="OrderBody"/>
              <w:tabs>
                <w:tab w:val="center" w:pos="4320"/>
                <w:tab w:val="right" w:pos="8640"/>
              </w:tabs>
              <w:jc w:val="left"/>
            </w:pPr>
          </w:p>
        </w:tc>
      </w:tr>
    </w:tbl>
    <w:p w:rsidR="001E4862" w:rsidRDefault="001E4862" w:rsidP="001E4862"/>
    <w:p w:rsidR="001E4862" w:rsidRDefault="001E4862" w:rsidP="001E4862">
      <w:pPr>
        <w:pStyle w:val="CenterUnderline"/>
      </w:pPr>
      <w:bookmarkStart w:id="4" w:name="Commissioners"/>
      <w:bookmarkEnd w:id="4"/>
      <w:r>
        <w:t>ORDER</w:t>
      </w:r>
      <w:bookmarkStart w:id="5" w:name="OrderTitle"/>
      <w:r>
        <w:t xml:space="preserve"> DENYING AARP’S REQUEST TO EXTEND</w:t>
      </w:r>
    </w:p>
    <w:p w:rsidR="001E4862" w:rsidRDefault="001E4862" w:rsidP="001E4862">
      <w:pPr>
        <w:pStyle w:val="CenterUnderline"/>
      </w:pPr>
      <w:r>
        <w:t>HEARING DATE ON SETTLEMENT</w:t>
      </w:r>
    </w:p>
    <w:p w:rsidR="001E4862" w:rsidRDefault="001E4862" w:rsidP="001E4862">
      <w:pPr>
        <w:pStyle w:val="CenterUnderline"/>
      </w:pPr>
    </w:p>
    <w:bookmarkEnd w:id="5"/>
    <w:p w:rsidR="00CB3467" w:rsidRDefault="001E4862" w:rsidP="001E4862">
      <w:pPr>
        <w:pStyle w:val="CenterUnderline"/>
        <w:jc w:val="both"/>
        <w:rPr>
          <w:u w:val="none"/>
        </w:rPr>
      </w:pPr>
      <w:r>
        <w:rPr>
          <w:u w:val="none"/>
        </w:rPr>
        <w:tab/>
        <w:t xml:space="preserve">On October 13, 2016, the American Association of Retired Persons (AARP) filed its Objection to Non-Unanimous Stipulation and Request to Extend Hearing Date on Settlement (Request).  In its Request, AARP asked that the evidentiary hearing </w:t>
      </w:r>
      <w:r w:rsidR="003D1F92">
        <w:rPr>
          <w:u w:val="none"/>
        </w:rPr>
        <w:t xml:space="preserve">scheduled for October 27, 2016, </w:t>
      </w:r>
      <w:r>
        <w:rPr>
          <w:u w:val="none"/>
        </w:rPr>
        <w:t>on the terms and conditions of the Settlement Agreement</w:t>
      </w:r>
      <w:r w:rsidR="00216130">
        <w:rPr>
          <w:u w:val="none"/>
        </w:rPr>
        <w:t>,</w:t>
      </w:r>
      <w:r>
        <w:rPr>
          <w:u w:val="none"/>
        </w:rPr>
        <w:t xml:space="preserve"> dated October 6, 2016</w:t>
      </w:r>
      <w:r w:rsidR="003D1F92">
        <w:rPr>
          <w:u w:val="none"/>
        </w:rPr>
        <w:t xml:space="preserve"> (Settlement Agreement)</w:t>
      </w:r>
      <w:r>
        <w:rPr>
          <w:u w:val="none"/>
        </w:rPr>
        <w:t xml:space="preserve">, be extended for two weeks.  AARP argues </w:t>
      </w:r>
      <w:r w:rsidR="003D1F92">
        <w:rPr>
          <w:u w:val="none"/>
        </w:rPr>
        <w:t xml:space="preserve">in its Request that extending the date will </w:t>
      </w:r>
      <w:r>
        <w:rPr>
          <w:u w:val="none"/>
        </w:rPr>
        <w:t>allow its counsel</w:t>
      </w:r>
      <w:r w:rsidR="003D1F92">
        <w:rPr>
          <w:u w:val="none"/>
        </w:rPr>
        <w:t>,</w:t>
      </w:r>
      <w:r>
        <w:rPr>
          <w:u w:val="none"/>
        </w:rPr>
        <w:t xml:space="preserve"> John Coffman</w:t>
      </w:r>
      <w:r w:rsidR="003D1F92">
        <w:rPr>
          <w:u w:val="none"/>
        </w:rPr>
        <w:t>,</w:t>
      </w:r>
      <w:r>
        <w:rPr>
          <w:u w:val="none"/>
        </w:rPr>
        <w:t xml:space="preserve"> </w:t>
      </w:r>
      <w:r w:rsidR="006E5B83">
        <w:rPr>
          <w:u w:val="none"/>
        </w:rPr>
        <w:t xml:space="preserve">who has a conflict with the hearing dates before the Minnesota Public Utilities Commission on October 25-28, 2016, </w:t>
      </w:r>
      <w:r>
        <w:rPr>
          <w:u w:val="none"/>
        </w:rPr>
        <w:t xml:space="preserve">to attend </w:t>
      </w:r>
      <w:r w:rsidR="003D1F92">
        <w:rPr>
          <w:u w:val="none"/>
        </w:rPr>
        <w:t xml:space="preserve">the evidentiary hearing on the Settlement Agreement and it will also </w:t>
      </w:r>
      <w:r w:rsidR="00CB3467">
        <w:rPr>
          <w:u w:val="none"/>
        </w:rPr>
        <w:t xml:space="preserve">allow the parties adequate time to review the Settlement Agreement and prepare </w:t>
      </w:r>
      <w:r w:rsidR="007621A6">
        <w:rPr>
          <w:u w:val="none"/>
        </w:rPr>
        <w:t xml:space="preserve">for </w:t>
      </w:r>
      <w:r w:rsidR="003D1F92">
        <w:rPr>
          <w:u w:val="none"/>
        </w:rPr>
        <w:t xml:space="preserve">the evidentiary </w:t>
      </w:r>
      <w:r w:rsidR="007621A6">
        <w:rPr>
          <w:u w:val="none"/>
        </w:rPr>
        <w:t>hearing</w:t>
      </w:r>
      <w:r w:rsidR="00CB3467">
        <w:rPr>
          <w:u w:val="none"/>
        </w:rPr>
        <w:t>.</w:t>
      </w:r>
    </w:p>
    <w:p w:rsidR="00CB3467" w:rsidRDefault="00CB3467" w:rsidP="001E4862">
      <w:pPr>
        <w:pStyle w:val="CenterUnderline"/>
        <w:jc w:val="both"/>
        <w:rPr>
          <w:u w:val="none"/>
        </w:rPr>
      </w:pPr>
    </w:p>
    <w:p w:rsidR="0007583C" w:rsidRDefault="00CB3467" w:rsidP="001E4862">
      <w:pPr>
        <w:pStyle w:val="CenterUnderline"/>
        <w:jc w:val="both"/>
        <w:rPr>
          <w:u w:val="none"/>
        </w:rPr>
      </w:pPr>
      <w:r>
        <w:rPr>
          <w:u w:val="none"/>
        </w:rPr>
        <w:tab/>
        <w:t>On October 17, 2016, the signatories to the Settlement Agreement</w:t>
      </w:r>
      <w:r>
        <w:rPr>
          <w:rStyle w:val="FootnoteReference"/>
          <w:u w:val="none"/>
        </w:rPr>
        <w:footnoteReference w:id="1"/>
      </w:r>
      <w:r>
        <w:rPr>
          <w:u w:val="none"/>
        </w:rPr>
        <w:t xml:space="preserve"> filed a Joint Response in Opposition to AARP’s Request to Extend Hearing Date on Settlement (Response).  </w:t>
      </w:r>
      <w:r w:rsidR="003D1F92">
        <w:rPr>
          <w:u w:val="none"/>
        </w:rPr>
        <w:t>In its Response</w:t>
      </w:r>
      <w:r w:rsidR="00216130">
        <w:rPr>
          <w:u w:val="none"/>
        </w:rPr>
        <w:t>,</w:t>
      </w:r>
      <w:r w:rsidR="003D1F92">
        <w:rPr>
          <w:u w:val="none"/>
        </w:rPr>
        <w:t xml:space="preserve"> t</w:t>
      </w:r>
      <w:r>
        <w:rPr>
          <w:u w:val="none"/>
        </w:rPr>
        <w:t xml:space="preserve">he signatories note that </w:t>
      </w:r>
      <w:r w:rsidR="007621A6">
        <w:rPr>
          <w:u w:val="none"/>
        </w:rPr>
        <w:t>AARP has been a party and active participant in this proceeding since May</w:t>
      </w:r>
      <w:r w:rsidR="003D1F92">
        <w:rPr>
          <w:u w:val="none"/>
        </w:rPr>
        <w:t xml:space="preserve"> 2016</w:t>
      </w:r>
      <w:r w:rsidR="007621A6">
        <w:rPr>
          <w:u w:val="none"/>
        </w:rPr>
        <w:t xml:space="preserve">.  Further, </w:t>
      </w:r>
      <w:r>
        <w:rPr>
          <w:u w:val="none"/>
        </w:rPr>
        <w:t>October 27</w:t>
      </w:r>
      <w:r w:rsidR="003D1F92">
        <w:rPr>
          <w:u w:val="none"/>
        </w:rPr>
        <w:t>, 2016,</w:t>
      </w:r>
      <w:r w:rsidR="007621A6">
        <w:rPr>
          <w:u w:val="none"/>
        </w:rPr>
        <w:t xml:space="preserve"> was previously scheduled for a </w:t>
      </w:r>
      <w:r w:rsidR="004A68FE">
        <w:rPr>
          <w:u w:val="none"/>
        </w:rPr>
        <w:t>S</w:t>
      </w:r>
      <w:r w:rsidR="007621A6">
        <w:rPr>
          <w:u w:val="none"/>
        </w:rPr>
        <w:t xml:space="preserve">pecial </w:t>
      </w:r>
      <w:r w:rsidR="004A68FE">
        <w:rPr>
          <w:u w:val="none"/>
        </w:rPr>
        <w:t>A</w:t>
      </w:r>
      <w:r w:rsidR="007621A6">
        <w:rPr>
          <w:u w:val="none"/>
        </w:rPr>
        <w:t xml:space="preserve">genda </w:t>
      </w:r>
      <w:r w:rsidR="004A68FE">
        <w:rPr>
          <w:u w:val="none"/>
        </w:rPr>
        <w:t>C</w:t>
      </w:r>
      <w:r w:rsidR="007621A6">
        <w:rPr>
          <w:u w:val="none"/>
        </w:rPr>
        <w:t xml:space="preserve">onference to consider the revenue requirements in the rate case.  The signatories disagree that there is insufficient time to adequately prepare for </w:t>
      </w:r>
      <w:r w:rsidR="003D1F92">
        <w:rPr>
          <w:u w:val="none"/>
        </w:rPr>
        <w:t xml:space="preserve">the evidentiary </w:t>
      </w:r>
      <w:r w:rsidR="007621A6">
        <w:rPr>
          <w:u w:val="none"/>
        </w:rPr>
        <w:t xml:space="preserve">hearing </w:t>
      </w:r>
      <w:r w:rsidR="003D1F92">
        <w:rPr>
          <w:u w:val="none"/>
        </w:rPr>
        <w:t>on the Settlement Agreement</w:t>
      </w:r>
      <w:r w:rsidR="00216130">
        <w:rPr>
          <w:u w:val="none"/>
        </w:rPr>
        <w:t>,</w:t>
      </w:r>
      <w:r w:rsidR="003D1F92">
        <w:rPr>
          <w:u w:val="none"/>
        </w:rPr>
        <w:t xml:space="preserve"> </w:t>
      </w:r>
      <w:r w:rsidR="007621A6">
        <w:rPr>
          <w:u w:val="none"/>
        </w:rPr>
        <w:t xml:space="preserve">noting that </w:t>
      </w:r>
      <w:r w:rsidR="003D1F92">
        <w:rPr>
          <w:u w:val="none"/>
        </w:rPr>
        <w:t xml:space="preserve">the </w:t>
      </w:r>
      <w:r w:rsidR="007621A6">
        <w:rPr>
          <w:u w:val="none"/>
        </w:rPr>
        <w:t>parties have been given</w:t>
      </w:r>
      <w:r w:rsidR="0007583C">
        <w:rPr>
          <w:u w:val="none"/>
        </w:rPr>
        <w:t xml:space="preserve"> expedited discovery until October 25</w:t>
      </w:r>
      <w:r w:rsidR="003D1F92">
        <w:rPr>
          <w:u w:val="none"/>
        </w:rPr>
        <w:t xml:space="preserve">, 2016, as well as </w:t>
      </w:r>
      <w:r w:rsidR="0007583C">
        <w:rPr>
          <w:u w:val="none"/>
        </w:rPr>
        <w:t xml:space="preserve">the ability to present live testimony at the </w:t>
      </w:r>
      <w:r w:rsidR="003D1F92">
        <w:rPr>
          <w:u w:val="none"/>
        </w:rPr>
        <w:t xml:space="preserve">evidentiary </w:t>
      </w:r>
      <w:r w:rsidR="0007583C">
        <w:rPr>
          <w:u w:val="none"/>
        </w:rPr>
        <w:t>hearing simply by identifying any witness they wish to present and the general topic to be covered by October 21</w:t>
      </w:r>
      <w:r w:rsidR="003D1F92">
        <w:rPr>
          <w:u w:val="none"/>
        </w:rPr>
        <w:t>, 2016</w:t>
      </w:r>
      <w:r w:rsidR="0007583C">
        <w:rPr>
          <w:u w:val="none"/>
        </w:rPr>
        <w:t xml:space="preserve">.  Finally, the signatories note that Jack McRay also represents AARP in this proceeding and there has been no claim of </w:t>
      </w:r>
      <w:r w:rsidR="004A68FE">
        <w:rPr>
          <w:u w:val="none"/>
        </w:rPr>
        <w:t xml:space="preserve">a </w:t>
      </w:r>
      <w:r w:rsidR="0007583C">
        <w:rPr>
          <w:u w:val="none"/>
        </w:rPr>
        <w:t xml:space="preserve">scheduling conflict with regard to Mr. McRay.   </w:t>
      </w:r>
    </w:p>
    <w:p w:rsidR="00EA20E5" w:rsidRDefault="00EA20E5" w:rsidP="001E4862">
      <w:pPr>
        <w:pStyle w:val="CenterUnderline"/>
        <w:jc w:val="both"/>
        <w:rPr>
          <w:u w:val="none"/>
        </w:rPr>
      </w:pPr>
    </w:p>
    <w:p w:rsidR="00EA20E5" w:rsidRDefault="0007583C" w:rsidP="00EA20E5">
      <w:pPr>
        <w:pStyle w:val="CenterUnderline"/>
        <w:jc w:val="both"/>
        <w:rPr>
          <w:u w:val="none"/>
        </w:rPr>
      </w:pPr>
      <w:r>
        <w:rPr>
          <w:u w:val="none"/>
        </w:rPr>
        <w:lastRenderedPageBreak/>
        <w:tab/>
        <w:t xml:space="preserve">Having reviewed the pleadings of the parties, </w:t>
      </w:r>
      <w:r w:rsidR="003D1F92">
        <w:rPr>
          <w:u w:val="none"/>
        </w:rPr>
        <w:t xml:space="preserve">and </w:t>
      </w:r>
      <w:r>
        <w:rPr>
          <w:u w:val="none"/>
        </w:rPr>
        <w:t xml:space="preserve">given the very limited </w:t>
      </w:r>
      <w:r w:rsidR="003D1F92">
        <w:rPr>
          <w:u w:val="none"/>
        </w:rPr>
        <w:t xml:space="preserve">scope </w:t>
      </w:r>
      <w:r>
        <w:rPr>
          <w:u w:val="none"/>
        </w:rPr>
        <w:t xml:space="preserve">of the </w:t>
      </w:r>
      <w:r w:rsidR="00F321D1">
        <w:rPr>
          <w:u w:val="none"/>
        </w:rPr>
        <w:t>evidentiary hearing scheduled for October 27, 2016</w:t>
      </w:r>
      <w:r w:rsidR="00DF6021">
        <w:rPr>
          <w:u w:val="none"/>
        </w:rPr>
        <w:t xml:space="preserve">, the current schedule does provide </w:t>
      </w:r>
      <w:r w:rsidR="00F321D1">
        <w:rPr>
          <w:u w:val="none"/>
        </w:rPr>
        <w:t xml:space="preserve">an </w:t>
      </w:r>
      <w:r w:rsidR="00DF6021">
        <w:rPr>
          <w:u w:val="none"/>
        </w:rPr>
        <w:t xml:space="preserve">adequate opportunity for all parties to review the Settlement Agreement and prepare for the hearing.  Section 366.06(3), </w:t>
      </w:r>
      <w:r w:rsidR="00216130">
        <w:rPr>
          <w:u w:val="none"/>
        </w:rPr>
        <w:t>Florida Statutes (</w:t>
      </w:r>
      <w:r w:rsidR="00DF6021">
        <w:rPr>
          <w:u w:val="none"/>
        </w:rPr>
        <w:t>F.S.</w:t>
      </w:r>
      <w:r w:rsidR="00216130">
        <w:rPr>
          <w:u w:val="none"/>
        </w:rPr>
        <w:t>)</w:t>
      </w:r>
      <w:r w:rsidR="00DF6021">
        <w:rPr>
          <w:u w:val="none"/>
        </w:rPr>
        <w:t>, creates an eight</w:t>
      </w:r>
      <w:r w:rsidR="00F321D1">
        <w:rPr>
          <w:u w:val="none"/>
        </w:rPr>
        <w:t>-</w:t>
      </w:r>
      <w:r w:rsidR="00DF6021">
        <w:rPr>
          <w:u w:val="none"/>
        </w:rPr>
        <w:t>month clock during which the Commission can suspend proposed final rates.</w:t>
      </w:r>
      <w:r w:rsidR="007154BD">
        <w:rPr>
          <w:u w:val="none"/>
        </w:rPr>
        <w:t xml:space="preserve">  The Commission did so in this docket by Order No. PSC-16-0188-PCO-EI, issued on May 9, 2016.  At the end of this eight</w:t>
      </w:r>
      <w:r w:rsidR="00F321D1">
        <w:rPr>
          <w:u w:val="none"/>
        </w:rPr>
        <w:t>-</w:t>
      </w:r>
      <w:r w:rsidR="007154BD">
        <w:rPr>
          <w:u w:val="none"/>
        </w:rPr>
        <w:t xml:space="preserve">month period, </w:t>
      </w:r>
      <w:r w:rsidR="00F321D1">
        <w:rPr>
          <w:u w:val="none"/>
        </w:rPr>
        <w:t>pursuant to Section 366.06</w:t>
      </w:r>
      <w:r w:rsidR="00216130">
        <w:rPr>
          <w:u w:val="none"/>
        </w:rPr>
        <w:t>(3)</w:t>
      </w:r>
      <w:r w:rsidR="00F321D1">
        <w:rPr>
          <w:u w:val="none"/>
        </w:rPr>
        <w:t xml:space="preserve">, F.S., </w:t>
      </w:r>
      <w:r w:rsidR="007154BD">
        <w:rPr>
          <w:u w:val="none"/>
        </w:rPr>
        <w:t>FPL is entitled to place its proposed rates into effect</w:t>
      </w:r>
      <w:r w:rsidR="00216130">
        <w:rPr>
          <w:u w:val="none"/>
        </w:rPr>
        <w:t>,</w:t>
      </w:r>
      <w:r w:rsidR="007154BD">
        <w:rPr>
          <w:u w:val="none"/>
        </w:rPr>
        <w:t xml:space="preserve"> subject to refund.  It is in </w:t>
      </w:r>
      <w:r w:rsidR="00D622DC">
        <w:rPr>
          <w:u w:val="none"/>
        </w:rPr>
        <w:t>everyone’s best interest</w:t>
      </w:r>
      <w:r w:rsidR="00F321D1">
        <w:rPr>
          <w:u w:val="none"/>
        </w:rPr>
        <w:t>s</w:t>
      </w:r>
      <w:r w:rsidR="00D622DC">
        <w:rPr>
          <w:u w:val="none"/>
        </w:rPr>
        <w:t xml:space="preserve"> to resolve this issue within the eight</w:t>
      </w:r>
      <w:r w:rsidR="00F321D1">
        <w:rPr>
          <w:u w:val="none"/>
        </w:rPr>
        <w:t>-</w:t>
      </w:r>
      <w:r w:rsidR="00D622DC">
        <w:rPr>
          <w:u w:val="none"/>
        </w:rPr>
        <w:t xml:space="preserve">month </w:t>
      </w:r>
      <w:r w:rsidR="00EA20E5">
        <w:rPr>
          <w:u w:val="none"/>
        </w:rPr>
        <w:t xml:space="preserve">statutory </w:t>
      </w:r>
      <w:r w:rsidR="00D622DC">
        <w:rPr>
          <w:u w:val="none"/>
        </w:rPr>
        <w:t>period</w:t>
      </w:r>
      <w:r w:rsidR="00EA20E5">
        <w:rPr>
          <w:u w:val="none"/>
        </w:rPr>
        <w:t xml:space="preserve"> and avoid the possibility of FPL placing its proposed rates into effect on January 1, 2017, subject to refund.</w:t>
      </w:r>
      <w:r w:rsidR="00D622DC">
        <w:rPr>
          <w:u w:val="none"/>
        </w:rPr>
        <w:t xml:space="preserve"> </w:t>
      </w:r>
      <w:r w:rsidR="00EA20E5">
        <w:rPr>
          <w:u w:val="none"/>
        </w:rPr>
        <w:t xml:space="preserve">  Finally, it appears that AARP does have representation available for the </w:t>
      </w:r>
      <w:r w:rsidR="00F321D1">
        <w:rPr>
          <w:u w:val="none"/>
        </w:rPr>
        <w:t xml:space="preserve">evidentiary </w:t>
      </w:r>
      <w:r w:rsidR="00EA20E5">
        <w:rPr>
          <w:u w:val="none"/>
        </w:rPr>
        <w:t xml:space="preserve">hearing </w:t>
      </w:r>
      <w:r w:rsidR="00F321D1">
        <w:rPr>
          <w:u w:val="none"/>
        </w:rPr>
        <w:t xml:space="preserve">on October 27, 2016, </w:t>
      </w:r>
      <w:r w:rsidR="00EA20E5">
        <w:rPr>
          <w:u w:val="none"/>
        </w:rPr>
        <w:t xml:space="preserve">notwithstanding Mr. Coffman’s conflicting commitments.  </w:t>
      </w:r>
      <w:r w:rsidR="00A90D71">
        <w:rPr>
          <w:u w:val="none"/>
        </w:rPr>
        <w:t>Taking these facts and the statutory requirements into consideration, AARP’s Request</w:t>
      </w:r>
      <w:r w:rsidR="00F321D1">
        <w:rPr>
          <w:u w:val="none"/>
        </w:rPr>
        <w:t xml:space="preserve"> is hereby denied.</w:t>
      </w:r>
      <w:r w:rsidR="00A90D71">
        <w:rPr>
          <w:u w:val="none"/>
        </w:rPr>
        <w:t xml:space="preserve">  </w:t>
      </w:r>
    </w:p>
    <w:p w:rsidR="00EA20E5" w:rsidRDefault="00EA20E5" w:rsidP="001E4862">
      <w:pPr>
        <w:pStyle w:val="CenterUnderline"/>
        <w:jc w:val="both"/>
        <w:rPr>
          <w:u w:val="none"/>
        </w:rPr>
      </w:pPr>
    </w:p>
    <w:p w:rsidR="00EA20E5" w:rsidRDefault="00EA20E5" w:rsidP="001E4862">
      <w:pPr>
        <w:pStyle w:val="CenterUnderline"/>
        <w:jc w:val="both"/>
        <w:rPr>
          <w:u w:val="none"/>
        </w:rPr>
      </w:pPr>
      <w:r>
        <w:rPr>
          <w:u w:val="none"/>
        </w:rPr>
        <w:tab/>
      </w:r>
      <w:r w:rsidR="00A90D71">
        <w:rPr>
          <w:u w:val="none"/>
        </w:rPr>
        <w:t>Based on the foregoing, it is</w:t>
      </w:r>
    </w:p>
    <w:p w:rsidR="00A90D71" w:rsidRDefault="00A90D71" w:rsidP="001E4862">
      <w:pPr>
        <w:pStyle w:val="CenterUnderline"/>
        <w:jc w:val="both"/>
        <w:rPr>
          <w:u w:val="none"/>
        </w:rPr>
      </w:pPr>
    </w:p>
    <w:p w:rsidR="00A90D71" w:rsidRDefault="00A90D71" w:rsidP="001E4862">
      <w:pPr>
        <w:pStyle w:val="CenterUnderline"/>
        <w:jc w:val="both"/>
        <w:rPr>
          <w:u w:val="none"/>
        </w:rPr>
      </w:pPr>
      <w:r>
        <w:rPr>
          <w:u w:val="none"/>
        </w:rPr>
        <w:tab/>
        <w:t>ORDERED by Julie I. Brown, as Presiding Officer, that AARP’s Request to Extend Hearing Date on Settlement is hereby denied.</w:t>
      </w:r>
    </w:p>
    <w:p w:rsidR="00A90D71" w:rsidRDefault="00A90D71" w:rsidP="001E4862">
      <w:pPr>
        <w:pStyle w:val="CenterUnderline"/>
        <w:jc w:val="both"/>
        <w:rPr>
          <w:u w:val="none"/>
        </w:rPr>
      </w:pPr>
    </w:p>
    <w:p w:rsidR="00A90D71" w:rsidRDefault="00A90D71" w:rsidP="00A90D71">
      <w:pPr>
        <w:pStyle w:val="CenterUnderline"/>
        <w:keepNext/>
        <w:keepLines/>
        <w:jc w:val="both"/>
        <w:rPr>
          <w:u w:val="none"/>
        </w:rPr>
      </w:pPr>
      <w:r>
        <w:rPr>
          <w:u w:val="none"/>
        </w:rPr>
        <w:tab/>
        <w:t xml:space="preserve">By ORDER of Commissioner Julie I. Brown, as Presiding Officer, this </w:t>
      </w:r>
      <w:bookmarkStart w:id="6" w:name="replaceDate"/>
      <w:bookmarkEnd w:id="6"/>
      <w:r w:rsidR="00C47DA5">
        <w:t>20th</w:t>
      </w:r>
      <w:r w:rsidR="00C47DA5">
        <w:rPr>
          <w:u w:val="none"/>
        </w:rPr>
        <w:t xml:space="preserve"> day of </w:t>
      </w:r>
      <w:r w:rsidR="00C47DA5">
        <w:t>October</w:t>
      </w:r>
      <w:r w:rsidR="00C47DA5">
        <w:rPr>
          <w:u w:val="none"/>
        </w:rPr>
        <w:t xml:space="preserve">, </w:t>
      </w:r>
      <w:r w:rsidR="00C47DA5">
        <w:t>2016</w:t>
      </w:r>
      <w:r w:rsidR="00C47DA5">
        <w:rPr>
          <w:u w:val="none"/>
        </w:rPr>
        <w:t>.</w:t>
      </w:r>
    </w:p>
    <w:p w:rsidR="00C47DA5" w:rsidRPr="00C47DA5" w:rsidRDefault="00C47DA5" w:rsidP="00A90D71">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A90D71" w:rsidTr="00A90D71">
        <w:tc>
          <w:tcPr>
            <w:tcW w:w="720" w:type="dxa"/>
            <w:shd w:val="clear" w:color="auto" w:fill="auto"/>
          </w:tcPr>
          <w:p w:rsidR="00A90D71" w:rsidRDefault="00A90D71" w:rsidP="00A90D71">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A90D71" w:rsidRDefault="00C47DA5" w:rsidP="00A90D71">
            <w:pPr>
              <w:pStyle w:val="CenterUnderline"/>
              <w:keepNext/>
              <w:keepLines/>
              <w:jc w:val="both"/>
              <w:rPr>
                <w:u w:val="none"/>
              </w:rPr>
            </w:pPr>
            <w:r>
              <w:rPr>
                <w:u w:val="none"/>
              </w:rPr>
              <w:t>/s/ Julie I. Brown</w:t>
            </w:r>
            <w:bookmarkStart w:id="8" w:name="_GoBack"/>
            <w:bookmarkEnd w:id="8"/>
          </w:p>
        </w:tc>
      </w:tr>
      <w:bookmarkEnd w:id="7"/>
      <w:tr w:rsidR="00A90D71" w:rsidTr="00A90D71">
        <w:tc>
          <w:tcPr>
            <w:tcW w:w="720" w:type="dxa"/>
            <w:shd w:val="clear" w:color="auto" w:fill="auto"/>
          </w:tcPr>
          <w:p w:rsidR="00A90D71" w:rsidRDefault="00A90D71" w:rsidP="00A90D71">
            <w:pPr>
              <w:pStyle w:val="CenterUnderline"/>
              <w:keepNext/>
              <w:keepLines/>
              <w:jc w:val="both"/>
              <w:rPr>
                <w:u w:val="none"/>
              </w:rPr>
            </w:pPr>
          </w:p>
        </w:tc>
        <w:tc>
          <w:tcPr>
            <w:tcW w:w="4320" w:type="dxa"/>
            <w:tcBorders>
              <w:top w:val="single" w:sz="4" w:space="0" w:color="auto"/>
            </w:tcBorders>
            <w:shd w:val="clear" w:color="auto" w:fill="auto"/>
          </w:tcPr>
          <w:p w:rsidR="00A90D71" w:rsidRDefault="00A90D71" w:rsidP="00A90D71">
            <w:pPr>
              <w:pStyle w:val="CenterUnderline"/>
              <w:keepNext/>
              <w:keepLines/>
              <w:jc w:val="both"/>
              <w:rPr>
                <w:u w:val="none"/>
              </w:rPr>
            </w:pPr>
            <w:r>
              <w:rPr>
                <w:u w:val="none"/>
              </w:rPr>
              <w:t>JULIE I. BROWN</w:t>
            </w:r>
          </w:p>
          <w:p w:rsidR="00A90D71" w:rsidRDefault="00A90D71" w:rsidP="00A90D71">
            <w:pPr>
              <w:pStyle w:val="CenterUnderline"/>
              <w:keepNext/>
              <w:keepLines/>
              <w:jc w:val="both"/>
              <w:rPr>
                <w:u w:val="none"/>
              </w:rPr>
            </w:pPr>
            <w:r>
              <w:rPr>
                <w:u w:val="none"/>
              </w:rPr>
              <w:t>Chairman and Presiding Officer</w:t>
            </w:r>
          </w:p>
        </w:tc>
      </w:tr>
    </w:tbl>
    <w:p w:rsidR="00A90D71" w:rsidRDefault="00A90D71" w:rsidP="00A90D71">
      <w:pPr>
        <w:pStyle w:val="OrderSigInfo"/>
        <w:keepNext/>
        <w:keepLines/>
      </w:pPr>
      <w:r>
        <w:t>Florida Public Service Commission</w:t>
      </w:r>
    </w:p>
    <w:p w:rsidR="00A90D71" w:rsidRDefault="00A90D71" w:rsidP="00A90D71">
      <w:pPr>
        <w:pStyle w:val="OrderSigInfo"/>
        <w:keepNext/>
        <w:keepLines/>
      </w:pPr>
      <w:r>
        <w:t>2540 Shumard Oak Boulevard</w:t>
      </w:r>
    </w:p>
    <w:p w:rsidR="00A90D71" w:rsidRDefault="00A90D71" w:rsidP="00A90D71">
      <w:pPr>
        <w:pStyle w:val="OrderSigInfo"/>
        <w:keepNext/>
        <w:keepLines/>
      </w:pPr>
      <w:r>
        <w:t>Tallahassee, Florida  32399</w:t>
      </w:r>
    </w:p>
    <w:p w:rsidR="00A90D71" w:rsidRDefault="00A90D71" w:rsidP="00A90D71">
      <w:pPr>
        <w:pStyle w:val="OrderSigInfo"/>
        <w:keepNext/>
        <w:keepLines/>
      </w:pPr>
      <w:r>
        <w:t>(850) 413</w:t>
      </w:r>
      <w:r>
        <w:noBreakHyphen/>
        <w:t>6770</w:t>
      </w:r>
    </w:p>
    <w:p w:rsidR="00A90D71" w:rsidRDefault="00A90D71" w:rsidP="00A90D71">
      <w:pPr>
        <w:pStyle w:val="OrderSigInfo"/>
        <w:keepNext/>
        <w:keepLines/>
      </w:pPr>
      <w:r>
        <w:t>www.floridapsc.com</w:t>
      </w:r>
    </w:p>
    <w:p w:rsidR="00A90D71" w:rsidRDefault="00A90D71" w:rsidP="00A90D71">
      <w:pPr>
        <w:pStyle w:val="OrderSigInfo"/>
        <w:keepNext/>
        <w:keepLines/>
      </w:pPr>
    </w:p>
    <w:p w:rsidR="00A90D71" w:rsidRDefault="00A90D71" w:rsidP="00A90D71">
      <w:pPr>
        <w:pStyle w:val="OrderSigInfo"/>
        <w:keepNext/>
        <w:keepLines/>
      </w:pPr>
      <w:r>
        <w:t>Copies furnished:  A copy of this document is provided to the parties of record at the time of issuance and, if applicable, interested persons.</w:t>
      </w:r>
    </w:p>
    <w:p w:rsidR="00A90D71" w:rsidRDefault="00A90D71" w:rsidP="00A90D71">
      <w:pPr>
        <w:pStyle w:val="OrderBody"/>
        <w:keepNext/>
        <w:keepLines/>
      </w:pPr>
    </w:p>
    <w:p w:rsidR="00A90D71" w:rsidRDefault="00A90D71" w:rsidP="00A90D71">
      <w:pPr>
        <w:pStyle w:val="CenterUnderline"/>
        <w:keepNext/>
        <w:keepLines/>
        <w:jc w:val="both"/>
        <w:rPr>
          <w:u w:val="none"/>
        </w:rPr>
      </w:pPr>
    </w:p>
    <w:p w:rsidR="00A90D71" w:rsidRDefault="00A90D71" w:rsidP="00A90D71">
      <w:pPr>
        <w:pStyle w:val="CenterUnderline"/>
      </w:pPr>
      <w:r>
        <w:t>NOTICE OF FURTHER PROCEEDINGS OR JUDICIAL REVIEW</w:t>
      </w:r>
    </w:p>
    <w:p w:rsidR="00A90D71" w:rsidRDefault="00A90D71" w:rsidP="00A90D71">
      <w:pPr>
        <w:pStyle w:val="CenterUnderline"/>
      </w:pPr>
    </w:p>
    <w:p w:rsidR="00A90D71" w:rsidRDefault="00A90D71" w:rsidP="00A90D7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90D71" w:rsidRDefault="00A90D71" w:rsidP="00A90D71">
      <w:pPr>
        <w:pStyle w:val="OrderBody"/>
      </w:pPr>
    </w:p>
    <w:p w:rsidR="00A90D71" w:rsidRDefault="00A90D71" w:rsidP="00A90D71">
      <w:pPr>
        <w:pStyle w:val="OrderBody"/>
      </w:pPr>
      <w:r>
        <w:lastRenderedPageBreak/>
        <w:tab/>
        <w:t>Mediation may be available on a case-by-case basis.  If mediation is conducted, it does not affect a substantially interested person's right to a hearing.</w:t>
      </w:r>
    </w:p>
    <w:p w:rsidR="00A90D71" w:rsidRDefault="00A90D71" w:rsidP="00A90D71">
      <w:pPr>
        <w:pStyle w:val="OrderBody"/>
      </w:pPr>
    </w:p>
    <w:p w:rsidR="00A90D71" w:rsidRDefault="00A90D71" w:rsidP="00A90D7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90D71" w:rsidRDefault="00A90D71" w:rsidP="00A90D71">
      <w:pPr>
        <w:pStyle w:val="OrderBody"/>
      </w:pPr>
    </w:p>
    <w:p w:rsidR="00A90D71" w:rsidRDefault="00A90D71" w:rsidP="00A90D71">
      <w:pPr>
        <w:pStyle w:val="OrderBody"/>
      </w:pPr>
    </w:p>
    <w:p w:rsidR="00A90D71" w:rsidRDefault="00A90D71" w:rsidP="00A90D71">
      <w:pPr>
        <w:pStyle w:val="OrderBody"/>
      </w:pPr>
    </w:p>
    <w:sectPr w:rsidR="00A90D7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862" w:rsidRDefault="001E4862">
      <w:r>
        <w:separator/>
      </w:r>
    </w:p>
  </w:endnote>
  <w:endnote w:type="continuationSeparator" w:id="0">
    <w:p w:rsidR="001E4862" w:rsidRDefault="001E4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862" w:rsidRDefault="001E4862">
      <w:r>
        <w:separator/>
      </w:r>
    </w:p>
  </w:footnote>
  <w:footnote w:type="continuationSeparator" w:id="0">
    <w:p w:rsidR="001E4862" w:rsidRDefault="001E4862">
      <w:r>
        <w:continuationSeparator/>
      </w:r>
    </w:p>
  </w:footnote>
  <w:footnote w:id="1">
    <w:p w:rsidR="00CB3467" w:rsidRDefault="00CB3467">
      <w:pPr>
        <w:pStyle w:val="FootnoteText"/>
      </w:pPr>
      <w:r>
        <w:rPr>
          <w:rStyle w:val="FootnoteReference"/>
        </w:rPr>
        <w:footnoteRef/>
      </w:r>
      <w:r>
        <w:t xml:space="preserve"> Florida Power &amp; Light Company (FPL), South Florida Hospital and Healthcare Association (SFHHA), Florida Retail Federation (FRF) and Office of the Public Counsel (OPC).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72 ">
      <w:r w:rsidR="00C47DA5">
        <w:t>PSC-16-0472-PCO-EI</w:t>
      </w:r>
    </w:fldSimple>
  </w:p>
  <w:p w:rsidR="00FA6EFD" w:rsidRDefault="001E4862">
    <w:pPr>
      <w:pStyle w:val="OrderHeader"/>
    </w:pPr>
    <w:bookmarkStart w:id="9" w:name="HeaderDocketNo"/>
    <w:bookmarkEnd w:id="9"/>
    <w:r>
      <w:t>DOCKET NOS. 160021-EI, 160061-EI, 160062-EI, 160088-EI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47DA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1-EI, 160061-EI, 160062-EI, 160088-EI"/>
  </w:docVars>
  <w:rsids>
    <w:rsidRoot w:val="001E4862"/>
    <w:rsid w:val="000022B8"/>
    <w:rsid w:val="00053AB9"/>
    <w:rsid w:val="00056229"/>
    <w:rsid w:val="00065FC2"/>
    <w:rsid w:val="0007583C"/>
    <w:rsid w:val="00090AFC"/>
    <w:rsid w:val="0009619F"/>
    <w:rsid w:val="000D06E8"/>
    <w:rsid w:val="000E344D"/>
    <w:rsid w:val="000F3B2C"/>
    <w:rsid w:val="000F7BE3"/>
    <w:rsid w:val="00116AD3"/>
    <w:rsid w:val="00126593"/>
    <w:rsid w:val="00142A96"/>
    <w:rsid w:val="00187E32"/>
    <w:rsid w:val="00194E81"/>
    <w:rsid w:val="001A33C9"/>
    <w:rsid w:val="001D008A"/>
    <w:rsid w:val="001E4862"/>
    <w:rsid w:val="001E6BE7"/>
    <w:rsid w:val="002002ED"/>
    <w:rsid w:val="00216130"/>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1F92"/>
    <w:rsid w:val="003D4CCA"/>
    <w:rsid w:val="003D6416"/>
    <w:rsid w:val="003E1D48"/>
    <w:rsid w:val="0042527B"/>
    <w:rsid w:val="00457DC7"/>
    <w:rsid w:val="00472BCC"/>
    <w:rsid w:val="004A25CD"/>
    <w:rsid w:val="004A26CC"/>
    <w:rsid w:val="004A68FE"/>
    <w:rsid w:val="004B2108"/>
    <w:rsid w:val="004B3A2B"/>
    <w:rsid w:val="004D2D1B"/>
    <w:rsid w:val="004D4731"/>
    <w:rsid w:val="004F2DDE"/>
    <w:rsid w:val="0050097F"/>
    <w:rsid w:val="00514B1F"/>
    <w:rsid w:val="00556A10"/>
    <w:rsid w:val="005963C2"/>
    <w:rsid w:val="005B45F7"/>
    <w:rsid w:val="005B63EA"/>
    <w:rsid w:val="0062248C"/>
    <w:rsid w:val="00660774"/>
    <w:rsid w:val="00665CC7"/>
    <w:rsid w:val="006A0BF3"/>
    <w:rsid w:val="006B0DA6"/>
    <w:rsid w:val="006C547E"/>
    <w:rsid w:val="006E5B83"/>
    <w:rsid w:val="00704C5D"/>
    <w:rsid w:val="00715275"/>
    <w:rsid w:val="007154BD"/>
    <w:rsid w:val="00733B6B"/>
    <w:rsid w:val="0076170F"/>
    <w:rsid w:val="007621A6"/>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0D71"/>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47DA5"/>
    <w:rsid w:val="00C66692"/>
    <w:rsid w:val="00C91123"/>
    <w:rsid w:val="00CA71FF"/>
    <w:rsid w:val="00CB3467"/>
    <w:rsid w:val="00CB5276"/>
    <w:rsid w:val="00CB68D7"/>
    <w:rsid w:val="00CC7E68"/>
    <w:rsid w:val="00CD7132"/>
    <w:rsid w:val="00CE0E6F"/>
    <w:rsid w:val="00D30B48"/>
    <w:rsid w:val="00D46FAA"/>
    <w:rsid w:val="00D57BB2"/>
    <w:rsid w:val="00D622DC"/>
    <w:rsid w:val="00D8560E"/>
    <w:rsid w:val="00D8758F"/>
    <w:rsid w:val="00DC1D94"/>
    <w:rsid w:val="00DE057F"/>
    <w:rsid w:val="00DE2082"/>
    <w:rsid w:val="00DE2289"/>
    <w:rsid w:val="00DF6021"/>
    <w:rsid w:val="00E04410"/>
    <w:rsid w:val="00E11351"/>
    <w:rsid w:val="00EA172C"/>
    <w:rsid w:val="00EA20E5"/>
    <w:rsid w:val="00EA259B"/>
    <w:rsid w:val="00EA35A3"/>
    <w:rsid w:val="00EA3E6A"/>
    <w:rsid w:val="00EB18EF"/>
    <w:rsid w:val="00EE17DF"/>
    <w:rsid w:val="00EE5300"/>
    <w:rsid w:val="00EF4621"/>
    <w:rsid w:val="00F277B6"/>
    <w:rsid w:val="00F321D1"/>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875</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2016-10-20T13:20:00Z</dcterms:created>
  <dcterms:modified xsi:type="dcterms:W3CDTF">2016-10-20T14:28:00Z</dcterms:modified>
</cp:coreProperties>
</file>