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7237" w:rsidP="00EA7237">
      <w:pPr>
        <w:pStyle w:val="OrderHeading"/>
      </w:pPr>
      <w:r>
        <w:t>BEFORE THE FLORIDA PUBLIC SERVICE COMMISSION</w:t>
      </w:r>
    </w:p>
    <w:p w:rsidR="00EA7237" w:rsidRDefault="00EA7237" w:rsidP="00EA7237">
      <w:pPr>
        <w:pStyle w:val="OrderHeading"/>
      </w:pPr>
    </w:p>
    <w:p w:rsidR="00EA7237" w:rsidRDefault="00EA7237" w:rsidP="00EA72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7237" w:rsidRPr="00C63FCF" w:rsidTr="00C63FCF">
        <w:trPr>
          <w:trHeight w:val="828"/>
        </w:trPr>
        <w:tc>
          <w:tcPr>
            <w:tcW w:w="4788" w:type="dxa"/>
            <w:tcBorders>
              <w:bottom w:val="single" w:sz="8" w:space="0" w:color="auto"/>
              <w:right w:val="double" w:sz="6" w:space="0" w:color="auto"/>
            </w:tcBorders>
            <w:shd w:val="clear" w:color="auto" w:fill="auto"/>
          </w:tcPr>
          <w:p w:rsidR="00EA7237" w:rsidRDefault="00EA7237"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EA7237" w:rsidRDefault="00EA7237" w:rsidP="00EA7237">
            <w:pPr>
              <w:pStyle w:val="OrderBody"/>
            </w:pPr>
            <w:r>
              <w:t xml:space="preserve">DOCKET NO. </w:t>
            </w:r>
            <w:bookmarkStart w:id="1" w:name="SSDocketNo"/>
            <w:bookmarkEnd w:id="1"/>
            <w:r>
              <w:t>160186-EI</w:t>
            </w:r>
          </w:p>
          <w:p w:rsidR="00EA7237" w:rsidRDefault="00EA7237" w:rsidP="00C63FCF">
            <w:pPr>
              <w:pStyle w:val="OrderBody"/>
              <w:tabs>
                <w:tab w:val="center" w:pos="4320"/>
                <w:tab w:val="right" w:pos="8640"/>
              </w:tabs>
              <w:jc w:val="left"/>
            </w:pPr>
            <w:r>
              <w:t xml:space="preserve">ORDER NO. </w:t>
            </w:r>
            <w:bookmarkStart w:id="2" w:name="OrderNo0473"/>
            <w:r w:rsidR="007C4721">
              <w:t>PSC-16-0473-PCO-EI</w:t>
            </w:r>
            <w:bookmarkEnd w:id="2"/>
          </w:p>
          <w:p w:rsidR="00EA7237" w:rsidRDefault="00EA7237" w:rsidP="00C63FCF">
            <w:pPr>
              <w:pStyle w:val="OrderBody"/>
              <w:tabs>
                <w:tab w:val="center" w:pos="4320"/>
                <w:tab w:val="right" w:pos="8640"/>
              </w:tabs>
              <w:jc w:val="left"/>
            </w:pPr>
            <w:r>
              <w:t xml:space="preserve">ISSUED: </w:t>
            </w:r>
            <w:r w:rsidR="007C4721">
              <w:t>October 20, 2016</w:t>
            </w:r>
          </w:p>
        </w:tc>
      </w:tr>
    </w:tbl>
    <w:p w:rsidR="00EA7237" w:rsidRDefault="00EA7237" w:rsidP="00EA7237"/>
    <w:p w:rsidR="00EA7237" w:rsidRDefault="00EA7237" w:rsidP="00EA7237">
      <w:pPr>
        <w:pStyle w:val="OrderBody"/>
      </w:pPr>
      <w:bookmarkStart w:id="3" w:name="Commissioners"/>
      <w:bookmarkEnd w:id="3"/>
    </w:p>
    <w:p w:rsidR="00AE3776" w:rsidRPr="00AE3776" w:rsidRDefault="00AE3776" w:rsidP="00AE3776">
      <w:pPr>
        <w:pStyle w:val="CenterUnderline"/>
        <w:rPr>
          <w:b/>
        </w:rPr>
      </w:pPr>
      <w:bookmarkStart w:id="4" w:name="OrderText"/>
      <w:bookmarkEnd w:id="4"/>
      <w:r w:rsidRPr="00AE3776">
        <w:rPr>
          <w:b/>
        </w:rPr>
        <w:t>ORDER</w:t>
      </w:r>
      <w:bookmarkStart w:id="5" w:name="OrderTitle"/>
      <w:r w:rsidRPr="00AE3776">
        <w:rPr>
          <w:b/>
        </w:rPr>
        <w:t xml:space="preserve"> ESTABLISHING PROCEDURE </w:t>
      </w:r>
      <w:bookmarkEnd w:id="5"/>
    </w:p>
    <w:p w:rsidR="00AE3776" w:rsidRDefault="00AE3776" w:rsidP="00AE3776">
      <w:pPr>
        <w:pStyle w:val="CenterUnderline"/>
      </w:pPr>
    </w:p>
    <w:p w:rsidR="00AE3776" w:rsidRPr="00EA7237" w:rsidRDefault="00AE3776" w:rsidP="00AE3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EA7237">
        <w:rPr>
          <w:b/>
          <w:bCs/>
        </w:rPr>
        <w:t>I.</w:t>
      </w:r>
      <w:r w:rsidRPr="00EA7237">
        <w:rPr>
          <w:b/>
          <w:bCs/>
        </w:rPr>
        <w:tab/>
      </w:r>
      <w:r w:rsidRPr="00EA7237">
        <w:rPr>
          <w:b/>
          <w:bCs/>
          <w:u w:val="single"/>
        </w:rPr>
        <w:t>Case Background</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B6116F" w:rsidRDefault="00EA7237" w:rsidP="00B61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rsidR="00B6116F">
        <w:t xml:space="preserve">On October </w:t>
      </w:r>
      <w:r w:rsidR="001F77E9">
        <w:t>12</w:t>
      </w:r>
      <w:r w:rsidR="00B6116F">
        <w:t>, 2016, pursuant to Section 366.06, Florida Statutes (F.S.)</w:t>
      </w:r>
      <w:r w:rsidR="00C073EA">
        <w:t>,</w:t>
      </w:r>
      <w:r w:rsidR="00B6116F">
        <w:t xml:space="preserve"> and Rules 25-6.0</w:t>
      </w:r>
      <w:r w:rsidR="00DE7153">
        <w:t>4</w:t>
      </w:r>
      <w:r w:rsidR="00B6116F">
        <w:t xml:space="preserve">25 and 25-6.043, Florida Administrative Code (F.A.C.), Gulf Power Company (Gulf) filed </w:t>
      </w:r>
      <w:r w:rsidR="00C073EA">
        <w:t>its</w:t>
      </w:r>
      <w:r w:rsidR="00AB6817">
        <w:t xml:space="preserve"> </w:t>
      </w:r>
      <w:r w:rsidR="00B6116F">
        <w:t>Petition for permanent increase in its base rates and miscellaneous service charges</w:t>
      </w:r>
      <w:r w:rsidR="00C073EA">
        <w:t>, along with its Minimum Filing Requirements (MFRs)</w:t>
      </w:r>
      <w:r w:rsidR="00B6116F">
        <w:t xml:space="preserve">.   Accordingly, in compliance with Section 366.06(2), F.S., an administrative hearing has been scheduled for this matter </w:t>
      </w:r>
      <w:r w:rsidR="00C073EA">
        <w:t>from</w:t>
      </w:r>
      <w:r w:rsidR="00B6116F">
        <w:t xml:space="preserve"> </w:t>
      </w:r>
      <w:r w:rsidR="00265D3C">
        <w:t>March 20</w:t>
      </w:r>
      <w:r w:rsidR="000B6584">
        <w:t xml:space="preserve"> </w:t>
      </w:r>
      <w:r w:rsidR="00B6116F">
        <w:t>-</w:t>
      </w:r>
      <w:r w:rsidR="000B6584">
        <w:t xml:space="preserve"> </w:t>
      </w:r>
      <w:r w:rsidR="00265D3C">
        <w:t>24</w:t>
      </w:r>
      <w:r w:rsidR="000B6584">
        <w:t xml:space="preserve">, </w:t>
      </w:r>
      <w:r w:rsidR="00D042B3">
        <w:t>2017</w:t>
      </w:r>
      <w:r w:rsidR="00B6116F">
        <w:t>.</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This Order is issued pursuant to the authority granted by Rule 28-106.211, </w:t>
      </w:r>
      <w:r w:rsidR="003A543C">
        <w:t>F.A.C.</w:t>
      </w:r>
      <w:r w:rsidRPr="00EA7237">
        <w:t>, which provides that the presiding officer before whom a case is pending may issue any orders necessary to effectuate discovery, prevent delay, and promote the just, speedy, and inexpensive determination of all aspects of the case.</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b/>
          <w:bCs/>
        </w:rPr>
        <w:t>II.</w:t>
      </w:r>
      <w:r w:rsidRPr="00EA7237">
        <w:rPr>
          <w:b/>
          <w:bCs/>
        </w:rPr>
        <w:tab/>
      </w:r>
      <w:r w:rsidRPr="00EA7237">
        <w:rPr>
          <w:b/>
          <w:bCs/>
          <w:u w:val="single"/>
        </w:rPr>
        <w:t>General Filing Procedures</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3A543C">
          <w:rPr>
            <w:u w:val="single"/>
          </w:rPr>
          <w:t>www.floridapsc.com</w:t>
        </w:r>
      </w:hyperlink>
      <w:r w:rsidRPr="00EA7237">
        <w:t xml:space="preserve">.   If filing via mail, hand delivery, or courier service, the filing should </w:t>
      </w:r>
      <w:r w:rsidR="000B6584" w:rsidRPr="00EA7237">
        <w:t>be addressed</w:t>
      </w:r>
      <w:r w:rsidRPr="00EA7237">
        <w:t xml:space="preserve"> to:</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Office of Commission Clerk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Florida Public Service Commission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2540 Shumard Oak Boulevard</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Tallahassee, Florida  32399-0850</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w:t>
      </w:r>
      <w:r w:rsidR="00C073EA">
        <w:t xml:space="preserve"> </w:t>
      </w:r>
      <w:r w:rsidR="00C073EA" w:rsidRPr="00D2127F">
        <w:t xml:space="preserve">when making an </w:t>
      </w:r>
      <w:r w:rsidR="00644266" w:rsidRPr="00D2127F">
        <w:t>electronic</w:t>
      </w:r>
      <w:r w:rsidR="00C073EA" w:rsidRPr="00D2127F">
        <w:t xml:space="preserve"> filing</w:t>
      </w:r>
      <w:r w:rsidRPr="00EA7237">
        <w:t xml:space="preserve">, an electronic copy of all filings shall </w:t>
      </w:r>
      <w:r w:rsidR="00C073EA" w:rsidRPr="00D2127F">
        <w:t>also</w:t>
      </w:r>
      <w:r w:rsidR="00C073EA">
        <w:t xml:space="preserve"> </w:t>
      </w:r>
      <w:r w:rsidRPr="00EA7237">
        <w:t>be provided to parties and staff in Microsoft Word format and all schedules shall be provided in Microsoft Excel format with formulas intact and unlocked.</w:t>
      </w:r>
    </w:p>
    <w:p w:rsid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B6584" w:rsidRDefault="000B6584"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B6584" w:rsidRPr="00EA7237" w:rsidRDefault="000B6584"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b/>
        </w:rPr>
        <w:t>III.</w:t>
      </w:r>
      <w:r w:rsidRPr="00EA7237">
        <w:rPr>
          <w:b/>
        </w:rPr>
        <w:tab/>
      </w:r>
      <w:r w:rsidRPr="00EA7237">
        <w:rPr>
          <w:b/>
          <w:u w:val="single"/>
        </w:rPr>
        <w:t>Notice and Public Information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utility shall comply with the requirements of Rule</w:t>
      </w:r>
      <w:r w:rsidR="00B6116F">
        <w:t xml:space="preserve"> 25-22.0406, F.A.C.</w:t>
      </w:r>
      <w:r w:rsidR="00FA344E">
        <w:t xml:space="preserve"> </w:t>
      </w:r>
      <w:r w:rsidRPr="00EA7237">
        <w:t>The notice required by Rule</w:t>
      </w:r>
      <w:r w:rsidR="00B6116F">
        <w:t xml:space="preserve"> 25-22.0406</w:t>
      </w:r>
      <w:r w:rsidRPr="00EA7237">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addition to the requirements of Rule</w:t>
      </w:r>
      <w:r w:rsidR="00B6116F">
        <w:t xml:space="preserve"> 25-22.0406, </w:t>
      </w:r>
      <w:r w:rsidRPr="00EA7237">
        <w:t xml:space="preserve">F.A.C., the utility shall give written notice of the date, time, location, and purpose of the hearing to each of its customers no less than </w:t>
      </w:r>
      <w:r w:rsidR="00D042B3">
        <w:t>14</w:t>
      </w:r>
      <w:r w:rsidRPr="00EA7237">
        <w:t xml:space="preserve"> days prior to the first day of the hearing.  The utility shall utilize first class mail for notices sent to customers with out-of-town mailing addresses.</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A7237" w:rsidRPr="00EA7237" w:rsidRDefault="00E7315C"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A7237" w:rsidRPr="00EA7237">
        <w:rPr>
          <w:b/>
        </w:rPr>
        <w:t>V.</w:t>
      </w:r>
      <w:r w:rsidR="00EA7237" w:rsidRPr="00EA7237">
        <w:rPr>
          <w:b/>
        </w:rPr>
        <w:tab/>
      </w:r>
      <w:r w:rsidR="00EA7237" w:rsidRPr="00EA7237">
        <w:rPr>
          <w:b/>
          <w:u w:val="single"/>
        </w:rPr>
        <w:t>Prefiled Testimony and Exhibits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E06608">
        <w:rPr>
          <w:color w:val="000000" w:themeColor="text1"/>
        </w:rPr>
        <w:t xml:space="preserve"> </w:t>
      </w:r>
      <w:r w:rsidR="00B6116F" w:rsidRPr="00E06608">
        <w:rPr>
          <w:color w:val="000000" w:themeColor="text1"/>
        </w:rPr>
        <w:t>IX</w:t>
      </w:r>
      <w:r w:rsidRPr="00E06608">
        <w:rPr>
          <w:b/>
          <w:color w:val="000000" w:themeColor="text1"/>
        </w:rPr>
        <w:t xml:space="preserve"> </w:t>
      </w:r>
      <w:r w:rsidRPr="00E06608">
        <w:rPr>
          <w:color w:val="000000" w:themeColor="text1"/>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A7237" w:rsidRPr="00EA7237" w:rsidRDefault="00EA7237" w:rsidP="00EA72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EA7237" w:rsidRPr="00EA7237" w:rsidRDefault="00EA7237" w:rsidP="00EA72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EA7237" w:rsidRPr="00EA7237" w:rsidRDefault="00EA7237" w:rsidP="00EA72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EA7237" w:rsidRPr="00EA7237" w:rsidRDefault="00EA7237" w:rsidP="00EA72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EA7237" w:rsidRPr="00EA7237" w:rsidRDefault="00EA7237" w:rsidP="00EA72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E0331" w:rsidRPr="00EA7237" w:rsidRDefault="003E0331"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ab/>
        <w:t>An example of the information to appear in the upper right-hand corner of the exhibit is as follows: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EA7237" w:rsidRPr="00EA7237">
        <w:rPr>
          <w:b/>
        </w:rPr>
        <w:t>.</w:t>
      </w:r>
      <w:r w:rsidR="00EA7237" w:rsidRPr="00EA7237">
        <w:rPr>
          <w:b/>
        </w:rPr>
        <w:tab/>
      </w:r>
      <w:r w:rsidR="00EA7237" w:rsidRPr="00EA7237">
        <w:rPr>
          <w:b/>
          <w:u w:val="single"/>
        </w:rPr>
        <w:t>Discovery Procedures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rsidR="003A543C">
        <w:t xml:space="preserve"> Chapter 120, F.S.</w:t>
      </w:r>
      <w:r w:rsidRPr="00EA7237">
        <w:t xml:space="preserve">, and the relevant provisions of Chapter </w:t>
      </w:r>
      <w:r w:rsidR="00B6116F" w:rsidRPr="00B6116F">
        <w:t>366, F.S.,</w:t>
      </w:r>
      <w:r w:rsidRPr="00EA7237">
        <w:t xml:space="preserve"> Rules 25-22, 25-40, and 28-106, F.A.C., and the Florida Rules of Civil Procedure (as applicable), as modified herein or as may be subsequently modified by the Prehearing Officer.</w:t>
      </w:r>
    </w:p>
    <w:p w:rsidR="00EA7237" w:rsidRPr="00EA7237" w:rsidRDefault="00EA7237" w:rsidP="00EA7237">
      <w:pPr>
        <w:jc w:val="both"/>
        <w:rPr>
          <w:rFonts w:cs="Courier New"/>
        </w:rPr>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spacing w:line="2" w:lineRule="exact"/>
        <w:jc w:val="both"/>
      </w:pPr>
    </w:p>
    <w:p w:rsidR="00B6116F" w:rsidRPr="00B6116F"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Discovery shall be completed by</w:t>
      </w:r>
      <w:r w:rsidR="00B6116F">
        <w:t xml:space="preserve"> </w:t>
      </w:r>
      <w:r w:rsidR="00D042B3">
        <w:t>Tuesday</w:t>
      </w:r>
      <w:r w:rsidR="00B6116F">
        <w:t xml:space="preserve">, February </w:t>
      </w:r>
      <w:r w:rsidR="00D03805">
        <w:t>28</w:t>
      </w:r>
      <w:r w:rsidR="00B6116F">
        <w:t>, 2017.</w:t>
      </w:r>
      <w:r w:rsidRPr="00EA7237">
        <w:t xml:space="preserve"> </w:t>
      </w:r>
    </w:p>
    <w:p w:rsid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91207E" w:rsidRPr="00FA344E" w:rsidRDefault="0091207E"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A344E">
        <w:t xml:space="preserve">Each electronic discovery response should be given a separate </w:t>
      </w:r>
      <w:r w:rsidR="00FA344E" w:rsidRPr="00FA344E">
        <w:t xml:space="preserve">electronic </w:t>
      </w:r>
      <w:r w:rsidRPr="00FA344E">
        <w:t>file name that is no longer than 60 characters.</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Sets of interrogatories, requests for admissions, requests for production of documents, or other forms of discovery shall be numbered sequentially in order to facilitate identification.</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Within each set, discovery requests shall be numbered sequentially, and any discovery requests in subsequent sets shall continue the sequential numbering system.</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For discovery requests made prior to the filing of the utility’s rebuttal testimony, discovery responses shall be served within </w:t>
      </w:r>
      <w:r w:rsidR="00265D3C">
        <w:t>30</w:t>
      </w:r>
      <w:r w:rsidR="00BD228B" w:rsidRPr="00AB6817">
        <w:t xml:space="preserve"> </w:t>
      </w:r>
      <w:r w:rsidR="003A543C">
        <w:t>days</w:t>
      </w:r>
      <w:r w:rsidRPr="00EA7237">
        <w:t xml:space="preserve"> of receipt of the discovery request.  For discovery </w:t>
      </w:r>
      <w:r w:rsidRPr="000B6584">
        <w:t>requests</w:t>
      </w:r>
      <w:r w:rsidRPr="00EA7237">
        <w:t xml:space="preserve"> related to matters addressed in the utility’s rebuttal testimony, discovery responses shall be served within</w:t>
      </w:r>
      <w:r w:rsidRPr="00EA7237">
        <w:rPr>
          <w:b/>
        </w:rPr>
        <w:t xml:space="preserve"> </w:t>
      </w:r>
      <w:r w:rsidR="00BD228B" w:rsidRPr="00AB6817">
        <w:t>10</w:t>
      </w:r>
      <w:r w:rsidRPr="00AB6817">
        <w:t xml:space="preserve"> </w:t>
      </w:r>
      <w:r w:rsidRPr="00EA7237">
        <w:t>days of receipt of the discovery request.</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A7237">
        <w:lastRenderedPageBreak/>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EA7237">
              <w:t>Tallahassee</w:t>
            </w:r>
          </w:smartTag>
        </w:smartTag>
      </w:smartTag>
      <w:r w:rsidRPr="00EA7237">
        <w:t xml:space="preserve"> office unless otherwise agreed.</w:t>
      </w:r>
    </w:p>
    <w:p w:rsidR="00EA7237" w:rsidRPr="00EA7237" w:rsidRDefault="00EA7237" w:rsidP="00EA72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spacing w:line="2" w:lineRule="exact"/>
        <w:jc w:val="both"/>
      </w:pPr>
    </w:p>
    <w:p w:rsidR="00B6116F" w:rsidRPr="00B6116F" w:rsidRDefault="00EA7237" w:rsidP="00EA72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Interrogatories, including all subparts, shall be limited to </w:t>
      </w:r>
      <w:r w:rsidR="00001D59">
        <w:t>500</w:t>
      </w:r>
      <w:r w:rsidR="00B6116F" w:rsidRPr="00B6116F">
        <w:rPr>
          <w:b/>
          <w:i/>
          <w:color w:val="7030A0"/>
        </w:rPr>
        <w:t>.</w:t>
      </w:r>
    </w:p>
    <w:p w:rsidR="00EA7237" w:rsidRPr="00EA7237" w:rsidRDefault="00EA7237" w:rsidP="00EA72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00B6116F" w:rsidRPr="00AB6817">
        <w:t>500.</w:t>
      </w:r>
    </w:p>
    <w:p w:rsidR="00EA7237" w:rsidRPr="00EA7237" w:rsidRDefault="00EA7237" w:rsidP="00EA72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00001D59">
        <w:t>500</w:t>
      </w:r>
      <w:r w:rsidR="00B6116F" w:rsidRPr="00AB6817">
        <w:t>.</w:t>
      </w: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A7237" w:rsidRPr="00EA7237" w:rsidRDefault="00EA7237" w:rsidP="00EA7237">
      <w:pPr>
        <w:ind w:firstLine="720"/>
        <w:jc w:val="both"/>
        <w:rPr>
          <w:rFonts w:cs="Courier New"/>
        </w:rPr>
      </w:pPr>
      <w:r w:rsidRPr="00EA7237">
        <w:rPr>
          <w:rFonts w:cs="Courier New"/>
        </w:rPr>
        <w:t xml:space="preserve">When a discovery request is served and the respondent intends to seek clarification of any portion of the discovery request, the respondent shall request such clarification within </w:t>
      </w:r>
      <w:r w:rsidR="00D042B3">
        <w:rPr>
          <w:rFonts w:cs="Courier New"/>
        </w:rPr>
        <w:t>eight</w:t>
      </w:r>
      <w:r w:rsidR="00B6116F" w:rsidRPr="00AB6817">
        <w:rPr>
          <w:rFonts w:cs="Courier New"/>
        </w:rPr>
        <w:t xml:space="preserve"> </w:t>
      </w:r>
      <w:r w:rsidRPr="00EA7237">
        <w:rPr>
          <w:rFonts w:cs="Courier New"/>
        </w:rPr>
        <w:t>days of service of the discovery request.</w:t>
      </w:r>
      <w:r w:rsidRPr="00F55288">
        <w:rPr>
          <w:rFonts w:cs="Courier New"/>
        </w:rPr>
        <w:t xml:space="preserve">  For discovery requests served after the date for rebuttal testimony, such clarification must be requested within </w:t>
      </w:r>
      <w:r w:rsidR="00D042B3">
        <w:rPr>
          <w:rFonts w:cs="Courier New"/>
        </w:rPr>
        <w:t>four</w:t>
      </w:r>
      <w:r w:rsidRPr="00AB6817">
        <w:rPr>
          <w:rFonts w:cs="Courier New"/>
        </w:rPr>
        <w:t xml:space="preserve"> </w:t>
      </w:r>
      <w:r w:rsidRPr="00F55288">
        <w:rPr>
          <w:rFonts w:cs="Courier New"/>
        </w:rPr>
        <w:t xml:space="preserve">days.  </w:t>
      </w:r>
      <w:r w:rsidRPr="00EA7237">
        <w:rPr>
          <w:rFonts w:cs="Courier New"/>
        </w:rPr>
        <w:t>This procedure is intended to reduce delay in resolving discovery disputes.</w:t>
      </w: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B.</w:t>
      </w:r>
      <w:r w:rsidRPr="00EA7237">
        <w:tab/>
      </w:r>
      <w:r w:rsidRPr="00EA7237">
        <w:rPr>
          <w:u w:val="single"/>
        </w:rPr>
        <w:t>Confidential Information Provided Pursuant to Discovery</w:t>
      </w:r>
      <w:r w:rsidRPr="00EA7237">
        <w:tab/>
      </w:r>
    </w:p>
    <w:p w:rsidR="00EA7237" w:rsidRPr="00EA7237" w:rsidRDefault="00EA7237" w:rsidP="00EA7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00E7315C" w:rsidRPr="00F55288">
        <w:t>366.</w:t>
      </w:r>
      <w:r w:rsidR="00E7315C">
        <w:t>093</w:t>
      </w:r>
      <w:r w:rsidR="00E7315C" w:rsidRPr="00EA7237">
        <w:t xml:space="preserve"> </w:t>
      </w:r>
      <w:r w:rsidRPr="00EA7237">
        <w:t xml:space="preserve">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E7315C" w:rsidRPr="00F55288">
        <w:t>366.</w:t>
      </w:r>
      <w:r w:rsidR="00E7315C">
        <w:t>093</w:t>
      </w:r>
      <w:r w:rsidR="00F55288">
        <w:t xml:space="preserve">, </w:t>
      </w:r>
      <w:r w:rsidRPr="00EA7237">
        <w:t>F.S.  The Commission may determine that continued possession of the information is necessary for the Commission to conduct its business.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w:t>
      </w:r>
      <w:r w:rsidRPr="00EA7237">
        <w:lastRenderedPageBreak/>
        <w:t>Public Counsel or any other party, that party may request a temporary protective order pursuant to Rule 25-22.006(6)(c), F.A.C., exempting the information from Section 119.07(1), F.S.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00EA7237" w:rsidRPr="00EA7237">
        <w:rPr>
          <w:b/>
          <w:bCs/>
        </w:rPr>
        <w:t>.</w:t>
      </w:r>
      <w:r w:rsidR="00EA7237" w:rsidRPr="00EA7237">
        <w:tab/>
      </w:r>
      <w:r w:rsidR="00EA7237" w:rsidRPr="00EA7237">
        <w:rPr>
          <w:b/>
          <w:bCs/>
          <w:u w:val="single"/>
        </w:rPr>
        <w:t>Prehearing Procedures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00F55288" w:rsidRPr="00AB6817">
        <w:t>IX</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7D77" w:rsidRDefault="00327D7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27D77" w:rsidRPr="00FA344E"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r w:rsidR="00FA344E" w:rsidRPr="00FA344E">
        <w:t>:</w:t>
      </w:r>
    </w:p>
    <w:p w:rsidR="00327D77" w:rsidRP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27D77" w:rsidRP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327D77" w:rsidRP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700"/>
        <w:gridCol w:w="4680"/>
        <w:gridCol w:w="2184"/>
      </w:tblGrid>
      <w:tr w:rsidR="00327D77" w:rsidRPr="00327D77" w:rsidTr="00FA344E">
        <w:trPr>
          <w:cantSplit/>
          <w:trHeight w:val="362"/>
          <w:tblHeader/>
        </w:trPr>
        <w:tc>
          <w:tcPr>
            <w:tcW w:w="2700" w:type="dxa"/>
          </w:tcPr>
          <w:p w:rsidR="00327D77" w:rsidRPr="00327D77" w:rsidRDefault="00327D77" w:rsidP="00420D85">
            <w:pPr>
              <w:jc w:val="both"/>
            </w:pPr>
            <w:r w:rsidRPr="00327D77">
              <w:rPr>
                <w:u w:val="single"/>
              </w:rPr>
              <w:t>Witness</w:t>
            </w:r>
          </w:p>
        </w:tc>
        <w:tc>
          <w:tcPr>
            <w:tcW w:w="4680" w:type="dxa"/>
          </w:tcPr>
          <w:p w:rsidR="00327D77" w:rsidRPr="00327D77" w:rsidRDefault="00327D77" w:rsidP="00420D85">
            <w:pPr>
              <w:jc w:val="center"/>
            </w:pPr>
            <w:r w:rsidRPr="00327D77">
              <w:rPr>
                <w:u w:val="single"/>
              </w:rPr>
              <w:t>Subject Matter</w:t>
            </w:r>
          </w:p>
        </w:tc>
        <w:tc>
          <w:tcPr>
            <w:tcW w:w="2184" w:type="dxa"/>
          </w:tcPr>
          <w:p w:rsidR="00327D77" w:rsidRPr="00327D77" w:rsidRDefault="00327D77" w:rsidP="00420D85">
            <w:pPr>
              <w:jc w:val="both"/>
            </w:pPr>
            <w:r w:rsidRPr="00327D77">
              <w:rPr>
                <w:u w:val="single"/>
              </w:rPr>
              <w:t xml:space="preserve">Issues </w:t>
            </w:r>
            <w:r w:rsidR="00BA6389">
              <w:rPr>
                <w:u w:val="single"/>
              </w:rPr>
              <w:t>Numbers</w:t>
            </w:r>
          </w:p>
        </w:tc>
      </w:tr>
      <w:tr w:rsidR="00327D77" w:rsidRPr="00327D77" w:rsidTr="00FA344E">
        <w:trPr>
          <w:cantSplit/>
          <w:trHeight w:val="362"/>
        </w:trPr>
        <w:tc>
          <w:tcPr>
            <w:tcW w:w="2700" w:type="dxa"/>
          </w:tcPr>
          <w:p w:rsidR="00327D77" w:rsidRPr="00327D77" w:rsidRDefault="00327D77" w:rsidP="00420D85">
            <w:pPr>
              <w:jc w:val="both"/>
            </w:pPr>
            <w:r w:rsidRPr="00327D77">
              <w:tab/>
            </w:r>
            <w:r w:rsidRPr="00327D77">
              <w:rPr>
                <w:u w:val="single"/>
              </w:rPr>
              <w:t>Direct</w:t>
            </w:r>
          </w:p>
        </w:tc>
        <w:tc>
          <w:tcPr>
            <w:tcW w:w="4680" w:type="dxa"/>
          </w:tcPr>
          <w:p w:rsidR="00327D77" w:rsidRPr="00327D77" w:rsidRDefault="00327D77" w:rsidP="00420D85"/>
        </w:tc>
        <w:tc>
          <w:tcPr>
            <w:tcW w:w="2184" w:type="dxa"/>
          </w:tcPr>
          <w:p w:rsidR="00327D77" w:rsidRPr="00327D77" w:rsidRDefault="00327D77" w:rsidP="00420D85"/>
        </w:tc>
      </w:tr>
      <w:tr w:rsidR="00327D77" w:rsidRPr="00327D77" w:rsidTr="00FA344E">
        <w:trPr>
          <w:cantSplit/>
          <w:trHeight w:val="362"/>
        </w:trPr>
        <w:tc>
          <w:tcPr>
            <w:tcW w:w="2700" w:type="dxa"/>
          </w:tcPr>
          <w:p w:rsidR="00327D77" w:rsidRPr="00327D77" w:rsidRDefault="00327D77" w:rsidP="00420D85">
            <w:pPr>
              <w:jc w:val="both"/>
            </w:pPr>
            <w:r w:rsidRPr="00327D77">
              <w:t>John Smith</w:t>
            </w:r>
          </w:p>
        </w:tc>
        <w:tc>
          <w:tcPr>
            <w:tcW w:w="4680" w:type="dxa"/>
          </w:tcPr>
          <w:p w:rsidR="00327D77" w:rsidRPr="00327D77" w:rsidRDefault="00327D77" w:rsidP="00420D85">
            <w:r w:rsidRPr="00327D77">
              <w:t>Subject….</w:t>
            </w:r>
          </w:p>
        </w:tc>
        <w:tc>
          <w:tcPr>
            <w:tcW w:w="2184" w:type="dxa"/>
          </w:tcPr>
          <w:p w:rsidR="00327D77" w:rsidRPr="00327D77" w:rsidRDefault="00327D77" w:rsidP="00420D85">
            <w:r w:rsidRPr="00327D77">
              <w:t>1, 3-5</w:t>
            </w:r>
          </w:p>
        </w:tc>
      </w:tr>
      <w:tr w:rsidR="00327D77" w:rsidRPr="00CD0E09" w:rsidTr="00FA344E">
        <w:trPr>
          <w:cantSplit/>
          <w:trHeight w:val="382"/>
        </w:trPr>
        <w:tc>
          <w:tcPr>
            <w:tcW w:w="2700" w:type="dxa"/>
          </w:tcPr>
          <w:p w:rsidR="00327D77" w:rsidRPr="00CD0E09" w:rsidRDefault="00327D77" w:rsidP="00420D85">
            <w:pPr>
              <w:jc w:val="both"/>
              <w:rPr>
                <w:color w:val="FF0000"/>
              </w:rPr>
            </w:pPr>
          </w:p>
        </w:tc>
        <w:tc>
          <w:tcPr>
            <w:tcW w:w="4680" w:type="dxa"/>
          </w:tcPr>
          <w:p w:rsidR="00327D77" w:rsidRPr="00CD0E09" w:rsidRDefault="00327D77" w:rsidP="00420D85">
            <w:pPr>
              <w:rPr>
                <w:color w:val="FF0000"/>
              </w:rPr>
            </w:pPr>
          </w:p>
        </w:tc>
        <w:tc>
          <w:tcPr>
            <w:tcW w:w="2184" w:type="dxa"/>
          </w:tcPr>
          <w:p w:rsidR="00327D77" w:rsidRPr="00CD0E09" w:rsidRDefault="00327D77" w:rsidP="00420D85">
            <w:pPr>
              <w:rPr>
                <w:color w:val="FF0000"/>
              </w:rPr>
            </w:pPr>
          </w:p>
        </w:tc>
      </w:tr>
      <w:tr w:rsidR="00327D77" w:rsidRPr="00CD0E09" w:rsidTr="00FA344E">
        <w:trPr>
          <w:cantSplit/>
          <w:trHeight w:val="362"/>
        </w:trPr>
        <w:tc>
          <w:tcPr>
            <w:tcW w:w="2700" w:type="dxa"/>
          </w:tcPr>
          <w:p w:rsidR="00327D77" w:rsidRPr="00CD0E09" w:rsidRDefault="00327D77" w:rsidP="00420D85">
            <w:pPr>
              <w:jc w:val="both"/>
              <w:rPr>
                <w:color w:val="FF0000"/>
              </w:rPr>
            </w:pPr>
          </w:p>
        </w:tc>
        <w:tc>
          <w:tcPr>
            <w:tcW w:w="4680" w:type="dxa"/>
          </w:tcPr>
          <w:p w:rsidR="00327D77" w:rsidRPr="00CD0E09" w:rsidRDefault="00327D77" w:rsidP="00420D85">
            <w:pPr>
              <w:rPr>
                <w:color w:val="FF0000"/>
              </w:rPr>
            </w:pPr>
          </w:p>
        </w:tc>
        <w:tc>
          <w:tcPr>
            <w:tcW w:w="2184" w:type="dxa"/>
          </w:tcPr>
          <w:p w:rsidR="00327D77" w:rsidRPr="00CD0E09" w:rsidRDefault="00327D77" w:rsidP="00420D85">
            <w:pPr>
              <w:rPr>
                <w:color w:val="FF0000"/>
              </w:rPr>
            </w:pPr>
          </w:p>
        </w:tc>
      </w:tr>
    </w:tbl>
    <w:p w:rsid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27D77" w:rsidRPr="00FA344E"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w:t>
      </w:r>
      <w:r>
        <w:lastRenderedPageBreak/>
        <w:t xml:space="preserve">of a composite exhibit) and the witness sponsoring </w:t>
      </w:r>
      <w:r w:rsidRPr="00FA344E">
        <w:t>each in the following format</w:t>
      </w:r>
      <w:r w:rsidR="00FA344E" w:rsidRPr="00FA344E">
        <w:t>:</w:t>
      </w:r>
    </w:p>
    <w:p w:rsidR="00327D77" w:rsidRP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27D77" w:rsidRPr="00327D77" w:rsidRDefault="00327D77" w:rsidP="00327D77">
      <w:pPr>
        <w:jc w:val="both"/>
      </w:pPr>
      <w:r w:rsidRPr="00327D77">
        <w:rPr>
          <w:u w:val="single"/>
        </w:rPr>
        <w:t>All Known Exhibits</w:t>
      </w:r>
    </w:p>
    <w:p w:rsidR="00327D77" w:rsidRPr="00327D77" w:rsidRDefault="00327D77" w:rsidP="00327D77">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327D77" w:rsidRPr="00327D77" w:rsidTr="00420D85">
        <w:trPr>
          <w:cantSplit/>
          <w:trHeight w:val="373"/>
          <w:tblHeader/>
        </w:trPr>
        <w:tc>
          <w:tcPr>
            <w:tcW w:w="3198" w:type="dxa"/>
          </w:tcPr>
          <w:p w:rsidR="00327D77" w:rsidRPr="00327D77" w:rsidRDefault="00327D77" w:rsidP="00420D85">
            <w:pPr>
              <w:jc w:val="both"/>
            </w:pPr>
            <w:r w:rsidRPr="00327D77">
              <w:rPr>
                <w:u w:val="single"/>
              </w:rPr>
              <w:t>Witness</w:t>
            </w:r>
          </w:p>
        </w:tc>
        <w:tc>
          <w:tcPr>
            <w:tcW w:w="1680" w:type="dxa"/>
          </w:tcPr>
          <w:p w:rsidR="00327D77" w:rsidRPr="00327D77" w:rsidRDefault="00327D77" w:rsidP="00420D85">
            <w:pPr>
              <w:jc w:val="center"/>
            </w:pPr>
            <w:r w:rsidRPr="00327D77">
              <w:rPr>
                <w:u w:val="single"/>
              </w:rPr>
              <w:t>Proffered By</w:t>
            </w:r>
          </w:p>
        </w:tc>
        <w:tc>
          <w:tcPr>
            <w:tcW w:w="1482" w:type="dxa"/>
          </w:tcPr>
          <w:p w:rsidR="00327D77" w:rsidRPr="00327D77" w:rsidRDefault="00327D77" w:rsidP="00420D85">
            <w:pPr>
              <w:jc w:val="center"/>
              <w:rPr>
                <w:u w:val="single"/>
              </w:rPr>
            </w:pPr>
            <w:r w:rsidRPr="00327D77">
              <w:rPr>
                <w:u w:val="single"/>
              </w:rPr>
              <w:t>Exhibit #</w:t>
            </w:r>
          </w:p>
        </w:tc>
        <w:tc>
          <w:tcPr>
            <w:tcW w:w="3205" w:type="dxa"/>
          </w:tcPr>
          <w:p w:rsidR="00327D77" w:rsidRPr="00327D77" w:rsidRDefault="00327D77" w:rsidP="00420D85">
            <w:pPr>
              <w:jc w:val="both"/>
            </w:pPr>
            <w:r w:rsidRPr="00327D77">
              <w:rPr>
                <w:u w:val="single"/>
              </w:rPr>
              <w:t>Description</w:t>
            </w:r>
          </w:p>
        </w:tc>
      </w:tr>
      <w:tr w:rsidR="00327D77" w:rsidRPr="00327D77" w:rsidTr="00420D85">
        <w:trPr>
          <w:cantSplit/>
          <w:trHeight w:val="353"/>
        </w:trPr>
        <w:tc>
          <w:tcPr>
            <w:tcW w:w="3198" w:type="dxa"/>
          </w:tcPr>
          <w:p w:rsidR="00327D77" w:rsidRPr="00327D77" w:rsidRDefault="00327D77" w:rsidP="00420D85">
            <w:pPr>
              <w:jc w:val="both"/>
            </w:pPr>
            <w:r w:rsidRPr="00327D77">
              <w:tab/>
            </w:r>
            <w:r w:rsidRPr="00327D77">
              <w:rPr>
                <w:u w:val="single"/>
              </w:rPr>
              <w:t>Direct</w:t>
            </w:r>
          </w:p>
        </w:tc>
        <w:tc>
          <w:tcPr>
            <w:tcW w:w="1680" w:type="dxa"/>
          </w:tcPr>
          <w:p w:rsidR="00327D77" w:rsidRPr="00327D77" w:rsidRDefault="00327D77" w:rsidP="00420D85">
            <w:pPr>
              <w:jc w:val="center"/>
            </w:pPr>
          </w:p>
        </w:tc>
        <w:tc>
          <w:tcPr>
            <w:tcW w:w="1482" w:type="dxa"/>
          </w:tcPr>
          <w:p w:rsidR="00327D77" w:rsidRPr="00327D77" w:rsidRDefault="00327D77" w:rsidP="00420D85">
            <w:pPr>
              <w:jc w:val="center"/>
            </w:pPr>
          </w:p>
        </w:tc>
        <w:tc>
          <w:tcPr>
            <w:tcW w:w="3205" w:type="dxa"/>
          </w:tcPr>
          <w:p w:rsidR="00327D77" w:rsidRPr="00327D77" w:rsidRDefault="00327D77" w:rsidP="00420D85"/>
        </w:tc>
      </w:tr>
      <w:tr w:rsidR="00327D77" w:rsidRPr="00327D77" w:rsidTr="00420D85">
        <w:trPr>
          <w:cantSplit/>
          <w:trHeight w:val="726"/>
        </w:trPr>
        <w:tc>
          <w:tcPr>
            <w:tcW w:w="3198" w:type="dxa"/>
          </w:tcPr>
          <w:p w:rsidR="00327D77" w:rsidRPr="00327D77" w:rsidRDefault="00327D77" w:rsidP="00420D85">
            <w:pPr>
              <w:jc w:val="both"/>
            </w:pPr>
            <w:r w:rsidRPr="00327D77">
              <w:t>John Smith</w:t>
            </w:r>
          </w:p>
        </w:tc>
        <w:tc>
          <w:tcPr>
            <w:tcW w:w="1680" w:type="dxa"/>
          </w:tcPr>
          <w:p w:rsidR="00327D77" w:rsidRPr="00327D77" w:rsidRDefault="00327D77" w:rsidP="00420D85">
            <w:pPr>
              <w:jc w:val="center"/>
            </w:pPr>
            <w:r w:rsidRPr="00327D77">
              <w:t>Party/Utility Name</w:t>
            </w:r>
          </w:p>
        </w:tc>
        <w:tc>
          <w:tcPr>
            <w:tcW w:w="1482" w:type="dxa"/>
          </w:tcPr>
          <w:p w:rsidR="00327D77" w:rsidRPr="00327D77" w:rsidRDefault="00327D77" w:rsidP="00420D85">
            <w:pPr>
              <w:jc w:val="center"/>
            </w:pPr>
            <w:r w:rsidRPr="00327D77">
              <w:t>ABC-1</w:t>
            </w:r>
          </w:p>
        </w:tc>
        <w:tc>
          <w:tcPr>
            <w:tcW w:w="3205" w:type="dxa"/>
          </w:tcPr>
          <w:p w:rsidR="00327D77" w:rsidRPr="00327D77" w:rsidRDefault="00327D77" w:rsidP="00420D85">
            <w:r w:rsidRPr="00327D77">
              <w:t>Title……</w:t>
            </w:r>
          </w:p>
        </w:tc>
      </w:tr>
    </w:tbl>
    <w:p w:rsidR="00327D77" w:rsidRDefault="00327D77" w:rsidP="00327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327D77" w:rsidRDefault="00327D7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7A0D47" w:rsidRDefault="007A0D47" w:rsidP="007A0D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00EA7237" w:rsidRPr="00EA7237">
        <w:t>)</w:t>
      </w:r>
      <w:r w:rsidR="00EA7237" w:rsidRPr="00EA7237">
        <w:tab/>
      </w:r>
      <w:r w:rsidR="00C073EA"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rsidR="00FA344E">
        <w:t>or cross-examination at hearing;</w:t>
      </w:r>
      <w:r w:rsidR="00C073EA">
        <w:t xml:space="preserve"> </w:t>
      </w:r>
    </w:p>
    <w:p w:rsidR="004C00B7" w:rsidRPr="00FA344E" w:rsidRDefault="007A0D47" w:rsidP="007A0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004C00B7" w:rsidRPr="00FA344E">
        <w:t>A request for sequestration of witnesses</w:t>
      </w:r>
      <w:r w:rsidR="00FA344E" w:rsidRPr="00FA344E">
        <w:t xml:space="preserve">, </w:t>
      </w:r>
      <w:r w:rsidR="00BA6389">
        <w:t xml:space="preserve">so </w:t>
      </w:r>
      <w:r w:rsidR="00FA344E" w:rsidRPr="00FA344E">
        <w:t>any such request may be resolved by the prehearing officer prior to the hearing</w:t>
      </w:r>
      <w:r w:rsidR="004C00B7" w:rsidRPr="00FA344E">
        <w:t>.  Failure to make such a request shall constitute a waiver of the right to request sequestration of witnesses absent a showing of good cause; and</w:t>
      </w:r>
    </w:p>
    <w:p w:rsidR="00EA7237" w:rsidRPr="00EA7237" w:rsidRDefault="00EA7237" w:rsidP="00EA7237">
      <w:pPr>
        <w:spacing w:line="2" w:lineRule="exact"/>
        <w:jc w:val="both"/>
      </w:pPr>
    </w:p>
    <w:p w:rsidR="00EA7237" w:rsidRDefault="00EA7237" w:rsidP="00C073E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A7237">
        <w:t>A statement as to any requirement set forth in this order that cannot be complied with, and the reasons therefore.</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lastRenderedPageBreak/>
        <w:tab/>
        <w:t>B.</w:t>
      </w:r>
      <w:r w:rsidRPr="00EA7237">
        <w:tab/>
      </w:r>
      <w:r w:rsidRPr="00EA7237">
        <w:rPr>
          <w:u w:val="single"/>
        </w:rPr>
        <w:t>Attendance at Prehearing Conference</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rsidR="00FA344E">
        <w:t>March 6</w:t>
      </w:r>
      <w:r w:rsidR="00F55288">
        <w:t xml:space="preserve">, 2017, </w:t>
      </w:r>
      <w:r w:rsidRPr="00EA7237">
        <w:t xml:space="preserve">at the </w:t>
      </w:r>
      <w:smartTag w:uri="urn:schemas-microsoft-com:office:smarttags" w:element="PlaceName">
        <w:r w:rsidRPr="00EA7237">
          <w:t>Betty</w:t>
        </w:r>
      </w:smartTag>
      <w:r w:rsidRPr="00EA7237">
        <w:t xml:space="preserve"> </w:t>
      </w:r>
      <w:smartTag w:uri="urn:schemas-microsoft-com:office:smarttags" w:element="PlaceName">
        <w:r w:rsidRPr="00EA7237">
          <w:t>Easley</w:t>
        </w:r>
      </w:smartTag>
      <w:r w:rsidRPr="00EA7237">
        <w:t xml:space="preserve"> </w:t>
      </w:r>
      <w:smartTag w:uri="urn:schemas-microsoft-com:office:smarttags" w:element="PlaceName">
        <w:r w:rsidRPr="00EA7237">
          <w:t>Conference</w:t>
        </w:r>
      </w:smartTag>
      <w:r w:rsidRPr="00EA7237">
        <w:t xml:space="preserve"> </w:t>
      </w:r>
      <w:smartTag w:uri="urn:schemas-microsoft-com:office:smarttags" w:element="PlaceType">
        <w:r w:rsidRPr="00EA7237">
          <w:t>Center</w:t>
        </w:r>
      </w:smartTag>
      <w:r w:rsidRPr="00EA7237">
        <w:t xml:space="preserve">, 4075 Esplanade Way, </w:t>
      </w:r>
      <w:smartTag w:uri="urn:schemas-microsoft-com:office:smarttags" w:element="City">
        <w:r w:rsidRPr="00EA7237">
          <w:t>Tallahassee</w:t>
        </w:r>
      </w:smartTag>
      <w:r w:rsidRPr="00EA7237">
        <w:t xml:space="preserve">, </w:t>
      </w:r>
      <w:smartTag w:uri="urn:schemas-microsoft-com:office:smarttags" w:element="State">
        <w:smartTag w:uri="urn:schemas-microsoft-com:office:smarttags" w:element="place">
          <w:r w:rsidRPr="00EA7237">
            <w:t>Florida</w:t>
          </w:r>
        </w:smartTag>
      </w:smartTag>
      <w:r w:rsidRPr="00EA7237">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spacing w:line="2" w:lineRule="exact"/>
        <w:jc w:val="both"/>
      </w:pPr>
    </w:p>
    <w:p w:rsidR="00EA7237" w:rsidRPr="00EA7237" w:rsidRDefault="00EA7237" w:rsidP="00EA72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EA7237" w:rsidRPr="00EA7237" w:rsidRDefault="00EA7237" w:rsidP="00EA72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EA7237" w:rsidRPr="00EA7237" w:rsidRDefault="00EA7237" w:rsidP="00EA72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EA7237" w:rsidRPr="00EA7237" w:rsidRDefault="00EA7237" w:rsidP="00EA72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EA7237" w:rsidRPr="00EA7237" w:rsidRDefault="00EA7237" w:rsidP="00EA72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rsidR="00FA344E">
        <w:t>con</w:t>
      </w:r>
      <w:r w:rsidR="005E6106">
        <w:t xml:space="preserve">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006236A6" w:rsidRPr="005E6106">
        <w:t xml:space="preserve">If a party takes </w:t>
      </w:r>
      <w:r w:rsidR="005E6106" w:rsidRPr="005E6106">
        <w:t>“</w:t>
      </w:r>
      <w:r w:rsidR="006236A6" w:rsidRPr="005E6106">
        <w:t>no position</w:t>
      </w:r>
      <w:r w:rsidR="005E6106" w:rsidRPr="005E6106">
        <w:t>”</w:t>
      </w:r>
      <w:r w:rsidR="006236A6" w:rsidRPr="005E6106">
        <w:t xml:space="preserve">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0331" w:rsidRDefault="003E0331"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0331" w:rsidRPr="00EA7237" w:rsidRDefault="003E0331"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lastRenderedPageBreak/>
        <w:t>Motions to Strike Prefiled Testimony and Exhibits</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rsidR="00F55288">
        <w:t xml:space="preserve"> </w:t>
      </w:r>
      <w:r w:rsidR="0091207E">
        <w:t xml:space="preserve">two days </w:t>
      </w:r>
      <w:r w:rsidR="00F55288" w:rsidRPr="0091207E">
        <w:t xml:space="preserve"> </w:t>
      </w:r>
      <w:r w:rsidRPr="0091207E">
        <w:t>prior to the first scheduled hearing date</w:t>
      </w:r>
      <w:r w:rsidRPr="006236A6">
        <w:t>.  Such notific</w:t>
      </w:r>
      <w:r w:rsidRPr="00EA7237">
        <w:t xml:space="preserve">ation shall identify all materials for which the party seeks official recognition, </w:t>
      </w:r>
      <w:r w:rsidR="005E6106">
        <w:t>and</w:t>
      </w:r>
      <w:r w:rsidRPr="00EA7237">
        <w:t xml:space="preserve"> </w:t>
      </w:r>
      <w:r w:rsidR="005E6106">
        <w:t xml:space="preserve">copies of </w:t>
      </w:r>
      <w:r w:rsidRPr="00EA7237">
        <w:t xml:space="preserve">such materials shall be provided along with the notification.  </w:t>
      </w:r>
    </w:p>
    <w:p w:rsidR="00EA7237" w:rsidRPr="00EA7237" w:rsidRDefault="00EA7237" w:rsidP="00EA7237"/>
    <w:p w:rsidR="00EA7237" w:rsidRPr="00EA7237" w:rsidRDefault="00EA7237" w:rsidP="00EA7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3A543C" w:rsidRPr="003A543C">
        <w:rPr>
          <w:bCs/>
        </w:rPr>
        <w:t>IX</w:t>
      </w:r>
      <w:r w:rsidRPr="00EA7237">
        <w:t xml:space="preserve"> of this Order.   The Notice shall include the following information for each deposition:</w:t>
      </w:r>
    </w:p>
    <w:p w:rsidR="00EA7237" w:rsidRPr="00EA7237" w:rsidRDefault="00EA7237" w:rsidP="005E5AE9">
      <w:pPr>
        <w:contextualSpacing/>
        <w:jc w:val="both"/>
      </w:pPr>
    </w:p>
    <w:p w:rsidR="00EA7237" w:rsidRPr="00EA7237" w:rsidRDefault="00EA7237" w:rsidP="00EA7237">
      <w:pPr>
        <w:numPr>
          <w:ilvl w:val="0"/>
          <w:numId w:val="8"/>
        </w:numPr>
        <w:contextualSpacing/>
        <w:jc w:val="both"/>
      </w:pPr>
      <w:r w:rsidRPr="00EA7237">
        <w:t>Name of witness deposed;</w:t>
      </w:r>
    </w:p>
    <w:p w:rsidR="00EA7237" w:rsidRPr="00EA7237" w:rsidRDefault="00EA7237" w:rsidP="00EA7237">
      <w:pPr>
        <w:numPr>
          <w:ilvl w:val="0"/>
          <w:numId w:val="8"/>
        </w:numPr>
        <w:contextualSpacing/>
        <w:jc w:val="both"/>
      </w:pPr>
      <w:r w:rsidRPr="00EA7237">
        <w:t>Date deposition was taken; and</w:t>
      </w:r>
    </w:p>
    <w:p w:rsidR="00EA7237" w:rsidRPr="00EA7237" w:rsidRDefault="00EA7237" w:rsidP="00EA7237">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EA7237" w:rsidRPr="00EA7237" w:rsidRDefault="00EA7237" w:rsidP="00EA7237"/>
    <w:p w:rsidR="00EA7237" w:rsidRPr="00EA7237" w:rsidRDefault="00EA7237" w:rsidP="00EA7237">
      <w:pPr>
        <w:ind w:firstLine="720"/>
        <w:jc w:val="both"/>
      </w:pPr>
      <w:r w:rsidRPr="00EA7237">
        <w:t xml:space="preserve">Objection(s) to the entry into the record of a deposition or portion thereof at hearing for purposes other than impeachment must be made in writing within </w:t>
      </w:r>
      <w:r w:rsidR="00D042B3">
        <w:t>three</w:t>
      </w:r>
      <w:r w:rsidRPr="00EA7237">
        <w:t xml:space="preserve"> days of filing a Notice of Intent to use Deposition for resolution by the Prehearing Officer.</w:t>
      </w:r>
    </w:p>
    <w:p w:rsidR="000D0AB7" w:rsidRDefault="000D0AB7" w:rsidP="005E6106">
      <w:pPr>
        <w:jc w:val="both"/>
      </w:pPr>
    </w:p>
    <w:p w:rsidR="000D0AB7" w:rsidRDefault="000D0AB7" w:rsidP="005E5AE9">
      <w:pPr>
        <w:jc w:val="both"/>
      </w:pPr>
    </w:p>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A7237" w:rsidRPr="00EA7237">
        <w:rPr>
          <w:b/>
          <w:bCs/>
        </w:rPr>
        <w:t>.</w:t>
      </w:r>
      <w:r w:rsidR="00EA7237" w:rsidRPr="00EA7237">
        <w:rPr>
          <w:b/>
          <w:bCs/>
        </w:rPr>
        <w:tab/>
      </w:r>
      <w:r w:rsidR="00EA7237" w:rsidRPr="00EA7237">
        <w:rPr>
          <w:b/>
          <w:bCs/>
          <w:u w:val="single"/>
        </w:rPr>
        <w:t>Hearing Procedures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spacing w:line="2" w:lineRule="exact"/>
        <w:jc w:val="both"/>
      </w:pPr>
    </w:p>
    <w:p w:rsidR="00EA7237" w:rsidRPr="00EA7237" w:rsidRDefault="00EA7237" w:rsidP="00EA72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EA7237" w:rsidRPr="00EA7237" w:rsidRDefault="00EA7237" w:rsidP="00EA72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A7237" w:rsidRDefault="00EA7237" w:rsidP="00485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B2706" w:rsidRPr="000B2706" w:rsidRDefault="000B2706" w:rsidP="000B2706">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rsidR="005E5AE9">
        <w:t>e fully address the question.</w:t>
      </w:r>
    </w:p>
    <w:p w:rsidR="00485601" w:rsidRPr="00EA7237" w:rsidRDefault="00485601"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Use of Confidential Information at Hearing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00E7315C" w:rsidRPr="00F55288">
        <w:t>366.</w:t>
      </w:r>
      <w:r w:rsidR="00E7315C">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006236A6" w:rsidRPr="00AE4AB8">
        <w:t>at the hearing</w:t>
      </w:r>
      <w:r w:rsidR="006236A6">
        <w:t xml:space="preserve"> </w:t>
      </w:r>
      <w:r w:rsidRPr="00EA7237">
        <w:t xml:space="preserve">any proprietary confidential business information, as that term is defined in Section </w:t>
      </w:r>
      <w:r w:rsidR="00E7315C" w:rsidRPr="00F55288">
        <w:t>366.</w:t>
      </w:r>
      <w:r w:rsidR="00E7315C">
        <w:t>093</w:t>
      </w:r>
      <w:r w:rsidRPr="00EA7237">
        <w:t xml:space="preserve">, </w:t>
      </w:r>
      <w:smartTag w:uri="urn:schemas:contacts" w:element="GivenName">
        <w:r w:rsidRPr="00EA7237">
          <w:t>F.S.</w:t>
        </w:r>
      </w:smartTag>
      <w:r w:rsidRPr="00EA7237">
        <w:t>, shall adhere to the following: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spacing w:line="2" w:lineRule="exact"/>
        <w:jc w:val="both"/>
      </w:pPr>
    </w:p>
    <w:p w:rsidR="00EA7237" w:rsidRPr="00EA7237" w:rsidRDefault="00EA7237" w:rsidP="00EA72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EA7237" w:rsidRPr="00EA7237">
        <w:rPr>
          <w:b/>
          <w:bCs/>
        </w:rPr>
        <w:t>.</w:t>
      </w:r>
      <w:r w:rsidR="00EA7237" w:rsidRPr="00EA7237">
        <w:rPr>
          <w:b/>
          <w:bCs/>
        </w:rPr>
        <w:tab/>
      </w:r>
      <w:r w:rsidR="00EA7237" w:rsidRPr="00EA7237">
        <w:rPr>
          <w:b/>
          <w:bCs/>
          <w:u w:val="single"/>
        </w:rPr>
        <w:t>Post-Hearing Procedures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00E7315C" w:rsidRPr="00AB6817">
        <w:t>IX</w:t>
      </w:r>
      <w:r w:rsidRPr="00EA7237">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00E7315C" w:rsidRPr="003A543C">
        <w:t>50</w:t>
      </w:r>
      <w:r w:rsidRPr="003A543C">
        <w:t xml:space="preserve"> </w:t>
      </w:r>
      <w:r w:rsidRPr="00EA7237">
        <w:t xml:space="preserve">pages and shall be filed at the same time, unless modified by the Presiding Officer. </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EA7237" w:rsidRPr="00EA7237">
        <w:rPr>
          <w:b/>
          <w:bCs/>
        </w:rPr>
        <w:t>X.</w:t>
      </w:r>
      <w:r w:rsidR="00EA7237" w:rsidRPr="00EA7237">
        <w:rPr>
          <w:b/>
          <w:bCs/>
        </w:rPr>
        <w:tab/>
      </w:r>
      <w:r w:rsidR="00EA7237" w:rsidRPr="00EA7237">
        <w:rPr>
          <w:b/>
          <w:bCs/>
          <w:u w:val="single"/>
        </w:rPr>
        <w:t>Controlling Dates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following dates have been established to govern the key activities of this case:</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(1)</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Utility’s</w:t>
            </w:r>
            <w:r w:rsidRPr="00EA7237">
              <w:rPr>
                <w:b/>
                <w:i/>
              </w:rPr>
              <w:t xml:space="preserve"> </w:t>
            </w:r>
            <w:r w:rsidRPr="00EA7237">
              <w:t>testimony and exhibits</w:t>
            </w:r>
          </w:p>
        </w:tc>
        <w:tc>
          <w:tcPr>
            <w:tcW w:w="3420" w:type="dxa"/>
            <w:tcBorders>
              <w:top w:val="nil"/>
              <w:left w:val="nil"/>
              <w:bottom w:val="nil"/>
              <w:right w:val="nil"/>
            </w:tcBorders>
          </w:tcPr>
          <w:p w:rsidR="00EA7237" w:rsidRPr="00EA7237" w:rsidRDefault="00E7315C" w:rsidP="001F77E9">
            <w:pPr>
              <w:numPr>
                <w:ilvl w:val="12"/>
                <w:numId w:val="0"/>
              </w:numPr>
              <w:tabs>
                <w:tab w:val="left" w:pos="0"/>
                <w:tab w:val="left" w:pos="720"/>
                <w:tab w:val="left" w:pos="1440"/>
                <w:tab w:val="left" w:pos="2160"/>
                <w:tab w:val="left" w:pos="2880"/>
              </w:tabs>
              <w:spacing w:before="120" w:after="57"/>
              <w:jc w:val="both"/>
            </w:pPr>
            <w:r>
              <w:t>October 1</w:t>
            </w:r>
            <w:r w:rsidR="001F77E9">
              <w:t>2</w:t>
            </w:r>
            <w:r>
              <w:t>, 2016</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(2)</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Intervenors’ testimony and exhibits</w:t>
            </w:r>
          </w:p>
        </w:tc>
        <w:tc>
          <w:tcPr>
            <w:tcW w:w="3420" w:type="dxa"/>
            <w:tcBorders>
              <w:top w:val="nil"/>
              <w:left w:val="nil"/>
              <w:bottom w:val="nil"/>
              <w:right w:val="nil"/>
            </w:tcBorders>
          </w:tcPr>
          <w:p w:rsidR="00EA7237" w:rsidRPr="00EA7237" w:rsidRDefault="00E7315C" w:rsidP="00A01EA1">
            <w:pPr>
              <w:numPr>
                <w:ilvl w:val="12"/>
                <w:numId w:val="0"/>
              </w:numPr>
              <w:tabs>
                <w:tab w:val="left" w:pos="0"/>
                <w:tab w:val="left" w:pos="720"/>
                <w:tab w:val="left" w:pos="1440"/>
                <w:tab w:val="left" w:pos="2160"/>
                <w:tab w:val="left" w:pos="2880"/>
              </w:tabs>
              <w:spacing w:before="120" w:after="57"/>
              <w:jc w:val="both"/>
            </w:pPr>
            <w:r>
              <w:t xml:space="preserve">January </w:t>
            </w:r>
            <w:r w:rsidR="00A01EA1">
              <w:t>13</w:t>
            </w:r>
            <w:r>
              <w:t>, 201</w:t>
            </w:r>
            <w:r w:rsidR="008953D2">
              <w:t>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(3)</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Staff’s testimony and exhibits, if any</w:t>
            </w:r>
          </w:p>
        </w:tc>
        <w:tc>
          <w:tcPr>
            <w:tcW w:w="3420" w:type="dxa"/>
            <w:tcBorders>
              <w:top w:val="nil"/>
              <w:left w:val="nil"/>
              <w:bottom w:val="nil"/>
              <w:right w:val="nil"/>
            </w:tcBorders>
          </w:tcPr>
          <w:p w:rsidR="00EA7237" w:rsidRPr="00EA7237" w:rsidRDefault="00E7315C" w:rsidP="00A01EA1">
            <w:pPr>
              <w:numPr>
                <w:ilvl w:val="12"/>
                <w:numId w:val="0"/>
              </w:numPr>
              <w:tabs>
                <w:tab w:val="left" w:pos="0"/>
                <w:tab w:val="left" w:pos="720"/>
                <w:tab w:val="left" w:pos="1440"/>
                <w:tab w:val="left" w:pos="2160"/>
                <w:tab w:val="left" w:pos="2880"/>
              </w:tabs>
              <w:spacing w:before="120" w:after="57"/>
              <w:jc w:val="both"/>
            </w:pPr>
            <w:r>
              <w:t xml:space="preserve">January </w:t>
            </w:r>
            <w:r w:rsidR="00A01EA1">
              <w:t>13</w:t>
            </w:r>
            <w:r>
              <w:t>, 201</w:t>
            </w:r>
            <w:r w:rsidR="008953D2">
              <w:t>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(4)</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 xml:space="preserve">Rebuttal testimony and exhibits </w:t>
            </w:r>
          </w:p>
        </w:tc>
        <w:tc>
          <w:tcPr>
            <w:tcW w:w="3420" w:type="dxa"/>
            <w:tcBorders>
              <w:top w:val="nil"/>
              <w:left w:val="nil"/>
              <w:bottom w:val="nil"/>
              <w:right w:val="nil"/>
            </w:tcBorders>
          </w:tcPr>
          <w:p w:rsidR="00EA7237" w:rsidRPr="00EA7237" w:rsidRDefault="00265D3C" w:rsidP="008953D2">
            <w:pPr>
              <w:numPr>
                <w:ilvl w:val="12"/>
                <w:numId w:val="0"/>
              </w:numPr>
              <w:tabs>
                <w:tab w:val="left" w:pos="0"/>
                <w:tab w:val="left" w:pos="720"/>
                <w:tab w:val="left" w:pos="1440"/>
                <w:tab w:val="left" w:pos="2160"/>
                <w:tab w:val="left" w:pos="2880"/>
              </w:tabs>
              <w:spacing w:before="120" w:after="57"/>
              <w:jc w:val="both"/>
            </w:pPr>
            <w:r>
              <w:t>February 8</w:t>
            </w:r>
            <w:r w:rsidR="00E7315C">
              <w:t>, 201</w:t>
            </w:r>
            <w:r w:rsidR="008953D2">
              <w:t>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(5)</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Prehearing Statements</w:t>
            </w:r>
          </w:p>
        </w:tc>
        <w:tc>
          <w:tcPr>
            <w:tcW w:w="3420" w:type="dxa"/>
            <w:tcBorders>
              <w:top w:val="nil"/>
              <w:left w:val="nil"/>
              <w:bottom w:val="nil"/>
              <w:right w:val="nil"/>
            </w:tcBorders>
          </w:tcPr>
          <w:p w:rsidR="00EA7237" w:rsidRPr="00EA7237" w:rsidRDefault="00E7315C" w:rsidP="00265D3C">
            <w:pPr>
              <w:numPr>
                <w:ilvl w:val="12"/>
                <w:numId w:val="0"/>
              </w:numPr>
              <w:tabs>
                <w:tab w:val="left" w:pos="0"/>
                <w:tab w:val="left" w:pos="720"/>
                <w:tab w:val="left" w:pos="1440"/>
                <w:tab w:val="left" w:pos="2160"/>
                <w:tab w:val="left" w:pos="2880"/>
              </w:tabs>
              <w:spacing w:before="120" w:after="57"/>
              <w:jc w:val="both"/>
            </w:pPr>
            <w:r>
              <w:t xml:space="preserve">February </w:t>
            </w:r>
            <w:r w:rsidR="00265D3C">
              <w:t>21</w:t>
            </w:r>
            <w:r>
              <w:t>, 201</w:t>
            </w:r>
            <w:r w:rsidR="008953D2">
              <w:t>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(6)</w:t>
            </w:r>
          </w:p>
        </w:tc>
        <w:tc>
          <w:tcPr>
            <w:tcW w:w="5310" w:type="dxa"/>
            <w:tcBorders>
              <w:top w:val="nil"/>
              <w:left w:val="nil"/>
              <w:bottom w:val="nil"/>
              <w:right w:val="nil"/>
            </w:tcBorders>
          </w:tcPr>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Discovery deadline</w:t>
            </w:r>
          </w:p>
        </w:tc>
        <w:tc>
          <w:tcPr>
            <w:tcW w:w="3420" w:type="dxa"/>
            <w:tcBorders>
              <w:top w:val="nil"/>
              <w:left w:val="nil"/>
              <w:bottom w:val="nil"/>
              <w:right w:val="nil"/>
            </w:tcBorders>
          </w:tcPr>
          <w:p w:rsidR="00EA7237" w:rsidRPr="00EA7237" w:rsidRDefault="008953D2" w:rsidP="00265D3C">
            <w:pPr>
              <w:numPr>
                <w:ilvl w:val="12"/>
                <w:numId w:val="0"/>
              </w:numPr>
              <w:tabs>
                <w:tab w:val="left" w:pos="0"/>
                <w:tab w:val="left" w:pos="720"/>
                <w:tab w:val="left" w:pos="1440"/>
                <w:tab w:val="left" w:pos="2160"/>
                <w:tab w:val="left" w:pos="2880"/>
              </w:tabs>
              <w:spacing w:before="120" w:after="57"/>
              <w:jc w:val="both"/>
            </w:pPr>
            <w:r>
              <w:t xml:space="preserve">February </w:t>
            </w:r>
            <w:r w:rsidR="00265D3C">
              <w:t>28</w:t>
            </w:r>
            <w:r>
              <w:t>, 2017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(7)</w:t>
            </w:r>
          </w:p>
        </w:tc>
        <w:tc>
          <w:tcPr>
            <w:tcW w:w="5310" w:type="dxa"/>
            <w:tcBorders>
              <w:top w:val="nil"/>
              <w:left w:val="nil"/>
              <w:bottom w:val="nil"/>
              <w:right w:val="nil"/>
            </w:tcBorders>
          </w:tcPr>
          <w:p w:rsidR="00EA7237" w:rsidRPr="00EA7237" w:rsidRDefault="00E7315C"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Prehearing Conference</w:t>
            </w:r>
          </w:p>
        </w:tc>
        <w:tc>
          <w:tcPr>
            <w:tcW w:w="3420" w:type="dxa"/>
            <w:tcBorders>
              <w:top w:val="nil"/>
              <w:left w:val="nil"/>
              <w:bottom w:val="nil"/>
              <w:right w:val="nil"/>
            </w:tcBorders>
          </w:tcPr>
          <w:p w:rsidR="00EA7237" w:rsidRPr="00EA7237" w:rsidRDefault="00265D3C" w:rsidP="00EA7237">
            <w:pPr>
              <w:numPr>
                <w:ilvl w:val="12"/>
                <w:numId w:val="0"/>
              </w:numPr>
              <w:tabs>
                <w:tab w:val="left" w:pos="0"/>
                <w:tab w:val="left" w:pos="720"/>
                <w:tab w:val="left" w:pos="1440"/>
                <w:tab w:val="left" w:pos="2160"/>
                <w:tab w:val="left" w:pos="2880"/>
              </w:tabs>
              <w:spacing w:before="120" w:after="57"/>
              <w:jc w:val="both"/>
            </w:pPr>
            <w:r>
              <w:t>March 6</w:t>
            </w:r>
            <w:r w:rsidR="008953D2">
              <w:t>, 2017</w:t>
            </w:r>
          </w:p>
        </w:tc>
      </w:tr>
      <w:tr w:rsidR="00EA7237" w:rsidRPr="00EA7237" w:rsidTr="00686DC3">
        <w:trPr>
          <w:cantSplit/>
          <w:trHeight w:val="454"/>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(8)</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Hearing</w:t>
            </w:r>
          </w:p>
        </w:tc>
        <w:tc>
          <w:tcPr>
            <w:tcW w:w="3420" w:type="dxa"/>
            <w:tcBorders>
              <w:top w:val="nil"/>
              <w:left w:val="nil"/>
              <w:bottom w:val="nil"/>
              <w:right w:val="nil"/>
            </w:tcBorders>
          </w:tcPr>
          <w:p w:rsidR="00EA7237" w:rsidRPr="00EA7237" w:rsidRDefault="000B6584" w:rsidP="00265D3C">
            <w:pPr>
              <w:numPr>
                <w:ilvl w:val="12"/>
                <w:numId w:val="0"/>
              </w:numPr>
              <w:tabs>
                <w:tab w:val="left" w:pos="0"/>
                <w:tab w:val="left" w:pos="720"/>
                <w:tab w:val="left" w:pos="1440"/>
                <w:tab w:val="left" w:pos="2160"/>
                <w:tab w:val="left" w:pos="2880"/>
              </w:tabs>
              <w:spacing w:before="120" w:after="57"/>
              <w:jc w:val="both"/>
            </w:pPr>
            <w:r>
              <w:t xml:space="preserve">March </w:t>
            </w:r>
            <w:r w:rsidR="00265D3C">
              <w:t>20 - 24</w:t>
            </w:r>
            <w:r>
              <w:t>,</w:t>
            </w:r>
            <w:r w:rsidR="008953D2">
              <w:t xml:space="preserve"> 2017</w:t>
            </w:r>
          </w:p>
        </w:tc>
      </w:tr>
      <w:tr w:rsidR="00EA7237" w:rsidRPr="00EA7237" w:rsidTr="00686DC3">
        <w:trPr>
          <w:cantSplit/>
        </w:trPr>
        <w:tc>
          <w:tcPr>
            <w:tcW w:w="630" w:type="dxa"/>
            <w:tcBorders>
              <w:top w:val="nil"/>
              <w:left w:val="nil"/>
              <w:bottom w:val="nil"/>
              <w:right w:val="nil"/>
            </w:tcBorders>
          </w:tcPr>
          <w:p w:rsidR="00EA7237" w:rsidRPr="00EA7237" w:rsidRDefault="00EA7237" w:rsidP="00EA7237">
            <w:pPr>
              <w:numPr>
                <w:ilvl w:val="12"/>
                <w:numId w:val="0"/>
              </w:numPr>
              <w:tabs>
                <w:tab w:val="left" w:pos="0"/>
              </w:tabs>
              <w:spacing w:before="120" w:after="57"/>
              <w:jc w:val="both"/>
            </w:pPr>
            <w:r w:rsidRPr="00EA7237">
              <w:t>(9)</w:t>
            </w:r>
          </w:p>
        </w:tc>
        <w:tc>
          <w:tcPr>
            <w:tcW w:w="5310" w:type="dxa"/>
            <w:tcBorders>
              <w:top w:val="nil"/>
              <w:left w:val="nil"/>
              <w:bottom w:val="nil"/>
              <w:right w:val="nil"/>
            </w:tcBorders>
          </w:tcPr>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A7237">
              <w:t>Briefs</w:t>
            </w:r>
          </w:p>
        </w:tc>
        <w:tc>
          <w:tcPr>
            <w:tcW w:w="3420" w:type="dxa"/>
            <w:tcBorders>
              <w:top w:val="nil"/>
              <w:left w:val="nil"/>
              <w:bottom w:val="nil"/>
              <w:right w:val="nil"/>
            </w:tcBorders>
          </w:tcPr>
          <w:p w:rsidR="00EA7237" w:rsidRPr="00EA7237" w:rsidRDefault="008953D2" w:rsidP="00265D3C">
            <w:pPr>
              <w:numPr>
                <w:ilvl w:val="12"/>
                <w:numId w:val="0"/>
              </w:numPr>
              <w:tabs>
                <w:tab w:val="left" w:pos="0"/>
                <w:tab w:val="left" w:pos="720"/>
                <w:tab w:val="left" w:pos="1440"/>
                <w:tab w:val="left" w:pos="2160"/>
                <w:tab w:val="left" w:pos="2880"/>
              </w:tabs>
              <w:spacing w:before="120" w:after="57"/>
              <w:jc w:val="both"/>
            </w:pPr>
            <w:r>
              <w:t xml:space="preserve">March </w:t>
            </w:r>
            <w:r w:rsidR="00265D3C">
              <w:t>31</w:t>
            </w:r>
            <w:r>
              <w:t>, 2017</w:t>
            </w:r>
          </w:p>
        </w:tc>
      </w:tr>
    </w:tbl>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 xml:space="preserve">ORDERED by Commissioner </w:t>
      </w:r>
      <w:r w:rsidR="00F377C5">
        <w:t>Patronis</w:t>
      </w:r>
      <w:r w:rsidRPr="00EA7237">
        <w:t>, as Prehearing Officer, that the provisions of this Order shall govern this proceeding unless modified by the Commission.</w:t>
      </w:r>
    </w:p>
    <w:p w:rsidR="00EA7237" w:rsidRPr="00EA7237" w:rsidRDefault="00EA7237" w:rsidP="00EA7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7237" w:rsidRPr="00AB6817" w:rsidRDefault="00EA7237" w:rsidP="00EA7237">
      <w:pPr>
        <w:jc w:val="both"/>
      </w:pPr>
    </w:p>
    <w:p w:rsidR="00EA7237" w:rsidRDefault="00EA7237" w:rsidP="00EA7237">
      <w:pPr>
        <w:keepNext/>
        <w:keepLines/>
        <w:jc w:val="both"/>
      </w:pPr>
      <w:r w:rsidRPr="00AB6817">
        <w:tab/>
        <w:t xml:space="preserve">By ORDER of Commissioner Jimmy Patronis, as Prehearing Officer, this </w:t>
      </w:r>
      <w:bookmarkStart w:id="6" w:name="replaceDate"/>
      <w:bookmarkEnd w:id="6"/>
      <w:r w:rsidR="007C4721">
        <w:rPr>
          <w:u w:val="single"/>
        </w:rPr>
        <w:t>20th</w:t>
      </w:r>
      <w:r w:rsidR="007C4721">
        <w:t xml:space="preserve"> day of </w:t>
      </w:r>
      <w:r w:rsidR="007C4721">
        <w:rPr>
          <w:u w:val="single"/>
        </w:rPr>
        <w:t>October</w:t>
      </w:r>
      <w:r w:rsidR="007C4721">
        <w:t xml:space="preserve">, </w:t>
      </w:r>
      <w:r w:rsidR="007C4721">
        <w:rPr>
          <w:u w:val="single"/>
        </w:rPr>
        <w:t>2016</w:t>
      </w:r>
      <w:r w:rsidR="007C4721">
        <w:t>.</w:t>
      </w:r>
    </w:p>
    <w:p w:rsidR="007C4721" w:rsidRPr="007C4721" w:rsidRDefault="007C4721" w:rsidP="00EA7237">
      <w:pPr>
        <w:keepNext/>
        <w:keepLines/>
        <w:jc w:val="both"/>
      </w:pPr>
    </w:p>
    <w:p w:rsidR="00EA7237" w:rsidRPr="00AB6817" w:rsidRDefault="00EA7237" w:rsidP="00EA7237">
      <w:pPr>
        <w:keepNext/>
        <w:keepLines/>
        <w:jc w:val="both"/>
      </w:pPr>
    </w:p>
    <w:p w:rsidR="00EA7237" w:rsidRPr="00AB6817" w:rsidRDefault="00EA7237" w:rsidP="00EA72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B6817" w:rsidRPr="00AB6817" w:rsidTr="00EA7237">
        <w:tc>
          <w:tcPr>
            <w:tcW w:w="720" w:type="dxa"/>
            <w:shd w:val="clear" w:color="auto" w:fill="auto"/>
          </w:tcPr>
          <w:p w:rsidR="00EA7237" w:rsidRPr="00AB6817" w:rsidRDefault="00EA7237" w:rsidP="00EA7237">
            <w:pPr>
              <w:keepNext/>
              <w:keepLines/>
              <w:jc w:val="both"/>
            </w:pPr>
            <w:bookmarkStart w:id="7" w:name="bkmrkSignature" w:colFirst="0" w:colLast="0"/>
          </w:p>
        </w:tc>
        <w:tc>
          <w:tcPr>
            <w:tcW w:w="4320" w:type="dxa"/>
            <w:tcBorders>
              <w:bottom w:val="single" w:sz="4" w:space="0" w:color="auto"/>
            </w:tcBorders>
            <w:shd w:val="clear" w:color="auto" w:fill="auto"/>
          </w:tcPr>
          <w:p w:rsidR="00EA7237" w:rsidRPr="00AB6817" w:rsidRDefault="007C4721" w:rsidP="00EA7237">
            <w:pPr>
              <w:keepNext/>
              <w:keepLines/>
              <w:jc w:val="both"/>
            </w:pPr>
            <w:r>
              <w:t>/s/ Jimmy Patronis</w:t>
            </w:r>
            <w:bookmarkStart w:id="8" w:name="_GoBack"/>
            <w:bookmarkEnd w:id="8"/>
          </w:p>
        </w:tc>
      </w:tr>
      <w:bookmarkEnd w:id="7"/>
      <w:tr w:rsidR="00AB6817" w:rsidRPr="00AB6817" w:rsidTr="00EA7237">
        <w:tc>
          <w:tcPr>
            <w:tcW w:w="720" w:type="dxa"/>
            <w:shd w:val="clear" w:color="auto" w:fill="auto"/>
          </w:tcPr>
          <w:p w:rsidR="00EA7237" w:rsidRPr="00AB6817" w:rsidRDefault="00EA7237" w:rsidP="00EA7237">
            <w:pPr>
              <w:keepNext/>
              <w:keepLines/>
              <w:jc w:val="both"/>
            </w:pPr>
          </w:p>
        </w:tc>
        <w:tc>
          <w:tcPr>
            <w:tcW w:w="4320" w:type="dxa"/>
            <w:tcBorders>
              <w:top w:val="single" w:sz="4" w:space="0" w:color="auto"/>
            </w:tcBorders>
            <w:shd w:val="clear" w:color="auto" w:fill="auto"/>
          </w:tcPr>
          <w:p w:rsidR="00EA7237" w:rsidRPr="00AB6817" w:rsidRDefault="00EA7237" w:rsidP="00EA7237">
            <w:pPr>
              <w:keepNext/>
              <w:keepLines/>
              <w:jc w:val="both"/>
            </w:pPr>
            <w:r w:rsidRPr="00AB6817">
              <w:t>JIMMY PATRONIS</w:t>
            </w:r>
          </w:p>
          <w:p w:rsidR="00EA7237" w:rsidRPr="00AB6817" w:rsidRDefault="00F377C5" w:rsidP="00F377C5">
            <w:pPr>
              <w:keepNext/>
              <w:keepLines/>
            </w:pPr>
            <w:r w:rsidRPr="00AB6817">
              <w:t xml:space="preserve">Commissioner and Prehearing </w:t>
            </w:r>
            <w:r w:rsidR="00EA7237" w:rsidRPr="00AB6817">
              <w:t>Officer</w:t>
            </w:r>
          </w:p>
        </w:tc>
      </w:tr>
    </w:tbl>
    <w:p w:rsidR="00EA7237" w:rsidRDefault="00EA7237" w:rsidP="00EA7237">
      <w:pPr>
        <w:pStyle w:val="OrderSigInfo"/>
        <w:keepNext/>
        <w:keepLines/>
      </w:pPr>
      <w:r>
        <w:t>Florida Public Service Commission</w:t>
      </w:r>
    </w:p>
    <w:p w:rsidR="00EA7237" w:rsidRDefault="00EA7237" w:rsidP="00EA7237">
      <w:pPr>
        <w:pStyle w:val="OrderSigInfo"/>
        <w:keepNext/>
        <w:keepLines/>
      </w:pPr>
      <w:r>
        <w:t>2540 Shumard Oak Boulevard</w:t>
      </w:r>
    </w:p>
    <w:p w:rsidR="00EA7237" w:rsidRDefault="00EA7237" w:rsidP="00EA7237">
      <w:pPr>
        <w:pStyle w:val="OrderSigInfo"/>
        <w:keepNext/>
        <w:keepLines/>
      </w:pPr>
      <w:r>
        <w:t>Tallahassee, Florida  32399</w:t>
      </w:r>
    </w:p>
    <w:p w:rsidR="00EA7237" w:rsidRDefault="00EA7237" w:rsidP="00EA7237">
      <w:pPr>
        <w:pStyle w:val="OrderSigInfo"/>
        <w:keepNext/>
        <w:keepLines/>
      </w:pPr>
      <w:r>
        <w:t>(850) 413</w:t>
      </w:r>
      <w:r>
        <w:noBreakHyphen/>
        <w:t>6770</w:t>
      </w:r>
    </w:p>
    <w:p w:rsidR="00EA7237" w:rsidRDefault="00EA7237" w:rsidP="00EA7237">
      <w:pPr>
        <w:pStyle w:val="OrderSigInfo"/>
        <w:keepNext/>
        <w:keepLines/>
      </w:pPr>
      <w:r>
        <w:t>www.floridapsc.com</w:t>
      </w:r>
    </w:p>
    <w:p w:rsidR="00EA7237" w:rsidRDefault="00EA7237" w:rsidP="00EA7237">
      <w:pPr>
        <w:pStyle w:val="OrderSigInfo"/>
        <w:keepNext/>
        <w:keepLines/>
      </w:pPr>
    </w:p>
    <w:p w:rsidR="00EA7237" w:rsidRDefault="00EA7237" w:rsidP="00EA7237">
      <w:pPr>
        <w:pStyle w:val="OrderSigInfo"/>
        <w:keepNext/>
        <w:keepLines/>
      </w:pPr>
      <w:r>
        <w:t>Copies furnished:  A copy of this document is provided to the parties of record at the time of issuance and, if applicable, interested persons.</w:t>
      </w:r>
    </w:p>
    <w:p w:rsidR="00001D59" w:rsidRDefault="00001D59" w:rsidP="00001D59">
      <w:pPr>
        <w:pStyle w:val="OrderBody"/>
      </w:pPr>
    </w:p>
    <w:p w:rsidR="00A46EA6" w:rsidRDefault="00A46EA6" w:rsidP="00001D59">
      <w:pPr>
        <w:pStyle w:val="OrderBody"/>
      </w:pPr>
    </w:p>
    <w:p w:rsidR="00001D59" w:rsidRPr="00001D59" w:rsidRDefault="00001D59" w:rsidP="00001D59">
      <w:pPr>
        <w:pStyle w:val="OrderBody"/>
      </w:pPr>
      <w:r>
        <w:t>TLT</w:t>
      </w:r>
    </w:p>
    <w:p w:rsidR="00EA7237" w:rsidRDefault="00EA7237" w:rsidP="00EA7237">
      <w:pPr>
        <w:pStyle w:val="OrderBody"/>
      </w:pPr>
    </w:p>
    <w:p w:rsidR="00EA7237" w:rsidRPr="00EA7237" w:rsidRDefault="00EA7237" w:rsidP="00EA7237">
      <w:pPr>
        <w:pStyle w:val="OrderBody"/>
      </w:pPr>
    </w:p>
    <w:p w:rsidR="00EA7237" w:rsidRDefault="00EA7237" w:rsidP="00EA7237">
      <w:pPr>
        <w:pStyle w:val="CenterUnderline"/>
      </w:pPr>
      <w:r>
        <w:t>NOTICE OF FURTHER PROCEEDINGS OR JUDICIAL REVIEW</w:t>
      </w:r>
    </w:p>
    <w:p w:rsidR="00EA7237" w:rsidRDefault="00EA7237" w:rsidP="00EA7237">
      <w:pPr>
        <w:pStyle w:val="CenterUnderline"/>
      </w:pPr>
    </w:p>
    <w:p w:rsidR="00EA7237" w:rsidRDefault="00EA7237" w:rsidP="00EA72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7237" w:rsidRDefault="00EA7237" w:rsidP="00EA7237">
      <w:pPr>
        <w:pStyle w:val="OrderBody"/>
      </w:pPr>
    </w:p>
    <w:p w:rsidR="00EA7237" w:rsidRDefault="00EA7237" w:rsidP="00EA7237">
      <w:pPr>
        <w:pStyle w:val="OrderBody"/>
      </w:pPr>
      <w:r>
        <w:tab/>
        <w:t>Mediation may be available on a case-by-case basis.  If mediation is conducted, it does not affect a substantially interested person's right to a hearing.</w:t>
      </w:r>
    </w:p>
    <w:p w:rsidR="00EA7237" w:rsidRDefault="00EA7237" w:rsidP="00EA7237">
      <w:pPr>
        <w:pStyle w:val="OrderBody"/>
      </w:pPr>
    </w:p>
    <w:p w:rsidR="00EA7237" w:rsidRPr="00EA7237" w:rsidRDefault="00EA7237" w:rsidP="00001D59">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CB5276" w:rsidRDefault="00CB5276"/>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1A" w:rsidRDefault="00C4321A">
      <w:r>
        <w:separator/>
      </w:r>
    </w:p>
  </w:endnote>
  <w:endnote w:type="continuationSeparator" w:id="0">
    <w:p w:rsidR="00C4321A" w:rsidRDefault="00C4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1A" w:rsidRDefault="00C4321A">
      <w:r>
        <w:separator/>
      </w:r>
    </w:p>
  </w:footnote>
  <w:footnote w:type="continuationSeparator" w:id="0">
    <w:p w:rsidR="00C4321A" w:rsidRDefault="00C43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3 ">
      <w:r w:rsidR="007C4721">
        <w:t>PSC-16-0473-PCO-EI</w:t>
      </w:r>
    </w:fldSimple>
  </w:p>
  <w:p w:rsidR="00FA6EFD" w:rsidRDefault="00EA7237">
    <w:pPr>
      <w:pStyle w:val="OrderHeader"/>
    </w:pPr>
    <w:bookmarkStart w:id="9" w:name="HeaderDocketNo"/>
    <w:bookmarkEnd w:id="9"/>
    <w:r>
      <w:t>DOCKET NO. 160186-EI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721">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FC92661"/>
    <w:multiLevelType w:val="hybridMultilevel"/>
    <w:tmpl w:val="0B1C94F6"/>
    <w:lvl w:ilvl="0" w:tplc="0FBC140E">
      <w:start w:val="1"/>
      <w:numFmt w:val="decimal"/>
      <w:lvlText w:val="(%1)"/>
      <w:lvlJc w:val="left"/>
      <w:pPr>
        <w:ind w:left="1440" w:hanging="360"/>
      </w:pPr>
      <w:rPr>
        <w:rFonts w:ascii="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w:docVars>
  <w:rsids>
    <w:rsidRoot w:val="00EA7237"/>
    <w:rsid w:val="00001D59"/>
    <w:rsid w:val="000022B8"/>
    <w:rsid w:val="00053AB9"/>
    <w:rsid w:val="00056229"/>
    <w:rsid w:val="00065FC2"/>
    <w:rsid w:val="00090AFC"/>
    <w:rsid w:val="000B2706"/>
    <w:rsid w:val="000B6584"/>
    <w:rsid w:val="000D06E8"/>
    <w:rsid w:val="000D0AB7"/>
    <w:rsid w:val="000E344D"/>
    <w:rsid w:val="000F3B2C"/>
    <w:rsid w:val="000F7BE3"/>
    <w:rsid w:val="00116AD3"/>
    <w:rsid w:val="00126593"/>
    <w:rsid w:val="00142A96"/>
    <w:rsid w:val="00187E32"/>
    <w:rsid w:val="00194E81"/>
    <w:rsid w:val="001A33C9"/>
    <w:rsid w:val="001C3A8F"/>
    <w:rsid w:val="001D008A"/>
    <w:rsid w:val="001F77E9"/>
    <w:rsid w:val="002002ED"/>
    <w:rsid w:val="0022721A"/>
    <w:rsid w:val="00230BB9"/>
    <w:rsid w:val="00241CEF"/>
    <w:rsid w:val="00252B30"/>
    <w:rsid w:val="00265D3C"/>
    <w:rsid w:val="002A11AC"/>
    <w:rsid w:val="002A6F30"/>
    <w:rsid w:val="002D7D15"/>
    <w:rsid w:val="002E27EB"/>
    <w:rsid w:val="00303FDE"/>
    <w:rsid w:val="003140E8"/>
    <w:rsid w:val="00315DA2"/>
    <w:rsid w:val="003231C7"/>
    <w:rsid w:val="00327D77"/>
    <w:rsid w:val="00331ED0"/>
    <w:rsid w:val="0035495B"/>
    <w:rsid w:val="003744F5"/>
    <w:rsid w:val="00390DD8"/>
    <w:rsid w:val="00394DC6"/>
    <w:rsid w:val="00397C3E"/>
    <w:rsid w:val="003A543C"/>
    <w:rsid w:val="003D4CCA"/>
    <w:rsid w:val="003D6416"/>
    <w:rsid w:val="003E0331"/>
    <w:rsid w:val="003E1D48"/>
    <w:rsid w:val="0042527B"/>
    <w:rsid w:val="00432503"/>
    <w:rsid w:val="00457DC7"/>
    <w:rsid w:val="00472BCC"/>
    <w:rsid w:val="00485601"/>
    <w:rsid w:val="004A25CD"/>
    <w:rsid w:val="004A26CC"/>
    <w:rsid w:val="004B2108"/>
    <w:rsid w:val="004B3A2B"/>
    <w:rsid w:val="004C00B7"/>
    <w:rsid w:val="004D2D1B"/>
    <w:rsid w:val="004F2DDE"/>
    <w:rsid w:val="0050097F"/>
    <w:rsid w:val="00514B1F"/>
    <w:rsid w:val="00556A10"/>
    <w:rsid w:val="005963C2"/>
    <w:rsid w:val="005B45F7"/>
    <w:rsid w:val="005B463A"/>
    <w:rsid w:val="005B63EA"/>
    <w:rsid w:val="005E5AE9"/>
    <w:rsid w:val="005E6106"/>
    <w:rsid w:val="006236A6"/>
    <w:rsid w:val="00644266"/>
    <w:rsid w:val="00660774"/>
    <w:rsid w:val="00665CC7"/>
    <w:rsid w:val="006A0BF3"/>
    <w:rsid w:val="006B0DA6"/>
    <w:rsid w:val="006C547E"/>
    <w:rsid w:val="00704C5D"/>
    <w:rsid w:val="00715275"/>
    <w:rsid w:val="00733B6B"/>
    <w:rsid w:val="0076170F"/>
    <w:rsid w:val="0076669C"/>
    <w:rsid w:val="007865E9"/>
    <w:rsid w:val="00792383"/>
    <w:rsid w:val="007A060F"/>
    <w:rsid w:val="007A0D47"/>
    <w:rsid w:val="007C4721"/>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53D2"/>
    <w:rsid w:val="008C6A5B"/>
    <w:rsid w:val="008E26A5"/>
    <w:rsid w:val="008E42D2"/>
    <w:rsid w:val="009040EE"/>
    <w:rsid w:val="009057FD"/>
    <w:rsid w:val="0091207E"/>
    <w:rsid w:val="00922A7F"/>
    <w:rsid w:val="00923A5E"/>
    <w:rsid w:val="00987D08"/>
    <w:rsid w:val="009924CF"/>
    <w:rsid w:val="00994100"/>
    <w:rsid w:val="009D0D98"/>
    <w:rsid w:val="009D0FF3"/>
    <w:rsid w:val="009D4C29"/>
    <w:rsid w:val="00A01EA1"/>
    <w:rsid w:val="00A46EA6"/>
    <w:rsid w:val="00A62DAB"/>
    <w:rsid w:val="00A726A6"/>
    <w:rsid w:val="00A97535"/>
    <w:rsid w:val="00AA73F1"/>
    <w:rsid w:val="00AB0E1A"/>
    <w:rsid w:val="00AB1A30"/>
    <w:rsid w:val="00AB6817"/>
    <w:rsid w:val="00AD1ED3"/>
    <w:rsid w:val="00AE3776"/>
    <w:rsid w:val="00AE4AB8"/>
    <w:rsid w:val="00AF4B94"/>
    <w:rsid w:val="00B0777D"/>
    <w:rsid w:val="00B4057A"/>
    <w:rsid w:val="00B40894"/>
    <w:rsid w:val="00B45E75"/>
    <w:rsid w:val="00B50876"/>
    <w:rsid w:val="00B55EE5"/>
    <w:rsid w:val="00B6116F"/>
    <w:rsid w:val="00B73DE6"/>
    <w:rsid w:val="00B86EF0"/>
    <w:rsid w:val="00B97900"/>
    <w:rsid w:val="00BA44A8"/>
    <w:rsid w:val="00BA6389"/>
    <w:rsid w:val="00BD228B"/>
    <w:rsid w:val="00BF6691"/>
    <w:rsid w:val="00C028FC"/>
    <w:rsid w:val="00C073EA"/>
    <w:rsid w:val="00C4321A"/>
    <w:rsid w:val="00C66692"/>
    <w:rsid w:val="00C91123"/>
    <w:rsid w:val="00CA71FF"/>
    <w:rsid w:val="00CB5276"/>
    <w:rsid w:val="00CB68D7"/>
    <w:rsid w:val="00CC7E68"/>
    <w:rsid w:val="00CD7132"/>
    <w:rsid w:val="00CE0E6F"/>
    <w:rsid w:val="00D03805"/>
    <w:rsid w:val="00D042B3"/>
    <w:rsid w:val="00D2127F"/>
    <w:rsid w:val="00D30B48"/>
    <w:rsid w:val="00D46FAA"/>
    <w:rsid w:val="00D57BB2"/>
    <w:rsid w:val="00D84135"/>
    <w:rsid w:val="00D8560E"/>
    <w:rsid w:val="00D8758F"/>
    <w:rsid w:val="00DB4057"/>
    <w:rsid w:val="00DC1D94"/>
    <w:rsid w:val="00DE057F"/>
    <w:rsid w:val="00DE2082"/>
    <w:rsid w:val="00DE2289"/>
    <w:rsid w:val="00DE7153"/>
    <w:rsid w:val="00E04410"/>
    <w:rsid w:val="00E06608"/>
    <w:rsid w:val="00E11351"/>
    <w:rsid w:val="00E7315C"/>
    <w:rsid w:val="00E7360D"/>
    <w:rsid w:val="00EA172C"/>
    <w:rsid w:val="00EA259B"/>
    <w:rsid w:val="00EA35A3"/>
    <w:rsid w:val="00EA3E6A"/>
    <w:rsid w:val="00EA7237"/>
    <w:rsid w:val="00EB18EF"/>
    <w:rsid w:val="00EE17DF"/>
    <w:rsid w:val="00EF4621"/>
    <w:rsid w:val="00F277B6"/>
    <w:rsid w:val="00F377C5"/>
    <w:rsid w:val="00F54380"/>
    <w:rsid w:val="00F54B47"/>
    <w:rsid w:val="00F55288"/>
    <w:rsid w:val="00F70E84"/>
    <w:rsid w:val="00FA344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6817"/>
    <w:rPr>
      <w:rFonts w:ascii="Tahoma" w:hAnsi="Tahoma" w:cs="Tahoma"/>
      <w:sz w:val="16"/>
      <w:szCs w:val="16"/>
    </w:rPr>
  </w:style>
  <w:style w:type="character" w:customStyle="1" w:styleId="BalloonTextChar">
    <w:name w:val="Balloon Text Char"/>
    <w:basedOn w:val="DefaultParagraphFont"/>
    <w:link w:val="BalloonText"/>
    <w:rsid w:val="00AB6817"/>
    <w:rPr>
      <w:rFonts w:ascii="Tahoma" w:hAnsi="Tahoma" w:cs="Tahoma"/>
      <w:sz w:val="16"/>
      <w:szCs w:val="16"/>
    </w:rPr>
  </w:style>
  <w:style w:type="paragraph" w:styleId="ListParagraph">
    <w:name w:val="List Paragraph"/>
    <w:basedOn w:val="Normal"/>
    <w:uiPriority w:val="34"/>
    <w:qFormat/>
    <w:rsid w:val="00C07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6817"/>
    <w:rPr>
      <w:rFonts w:ascii="Tahoma" w:hAnsi="Tahoma" w:cs="Tahoma"/>
      <w:sz w:val="16"/>
      <w:szCs w:val="16"/>
    </w:rPr>
  </w:style>
  <w:style w:type="character" w:customStyle="1" w:styleId="BalloonTextChar">
    <w:name w:val="Balloon Text Char"/>
    <w:basedOn w:val="DefaultParagraphFont"/>
    <w:link w:val="BalloonText"/>
    <w:rsid w:val="00AB6817"/>
    <w:rPr>
      <w:rFonts w:ascii="Tahoma" w:hAnsi="Tahoma" w:cs="Tahoma"/>
      <w:sz w:val="16"/>
      <w:szCs w:val="16"/>
    </w:rPr>
  </w:style>
  <w:style w:type="paragraph" w:styleId="ListParagraph">
    <w:name w:val="List Paragraph"/>
    <w:basedOn w:val="Normal"/>
    <w:uiPriority w:val="34"/>
    <w:qFormat/>
    <w:rsid w:val="00C07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06399">
      <w:bodyDiv w:val="1"/>
      <w:marLeft w:val="0"/>
      <w:marRight w:val="0"/>
      <w:marTop w:val="0"/>
      <w:marBottom w:val="0"/>
      <w:divBdr>
        <w:top w:val="none" w:sz="0" w:space="0" w:color="auto"/>
        <w:left w:val="none" w:sz="0" w:space="0" w:color="auto"/>
        <w:bottom w:val="none" w:sz="0" w:space="0" w:color="auto"/>
        <w:right w:val="none" w:sz="0" w:space="0" w:color="auto"/>
      </w:divBdr>
    </w:div>
    <w:div w:id="1074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4199</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2016-10-20T14:46:00Z</dcterms:created>
  <dcterms:modified xsi:type="dcterms:W3CDTF">2016-10-20T14:54:00Z</dcterms:modified>
</cp:coreProperties>
</file>