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B116C8" w:rsidP="006E08CB">
            <w:pPr>
              <w:pStyle w:val="MastHeadState"/>
              <w:jc w:val="right"/>
            </w:pPr>
            <w:bookmarkStart w:id="0" w:name="_GoBack"/>
            <w:bookmarkEnd w:id="0"/>
            <w:r>
              <w:t>!</w:t>
            </w:r>
            <w:r w:rsidR="007C0528">
              <w:t>State of Florida</w:t>
            </w:r>
          </w:p>
          <w:p w:rsidR="007C0528" w:rsidRDefault="00B7633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6339" w:rsidP="00B76339">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6339" w:rsidRDefault="00B76339">
            <w:pPr>
              <w:pStyle w:val="MemoHeading"/>
            </w:pPr>
            <w:bookmarkStart w:id="2" w:name="From"/>
            <w:r>
              <w:t>Division of Engineering (</w:t>
            </w:r>
            <w:r w:rsidR="00CF1C5A">
              <w:t xml:space="preserve">M. </w:t>
            </w:r>
            <w:r>
              <w:t>Watts)</w:t>
            </w:r>
          </w:p>
          <w:p w:rsidR="00B76339" w:rsidRDefault="00B76339">
            <w:pPr>
              <w:pStyle w:val="MemoHeading"/>
            </w:pPr>
            <w:r>
              <w:t>Division of Accounting and Finance (Norris, Sewards)</w:t>
            </w:r>
          </w:p>
          <w:p w:rsidR="00B76339" w:rsidRDefault="00B76339">
            <w:pPr>
              <w:pStyle w:val="MemoHeading"/>
            </w:pPr>
            <w:r>
              <w:t>Division of Economics (Hudson, Johnson)</w:t>
            </w:r>
          </w:p>
          <w:p w:rsidR="007C0528" w:rsidRDefault="00B76339">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6339">
            <w:pPr>
              <w:pStyle w:val="MemoHeadingRe"/>
            </w:pPr>
            <w:bookmarkStart w:id="3" w:name="Re"/>
            <w:r>
              <w:t>Docket No. 160023-WU – Application for transfer of majority organizational control of Sunny Shores Water Company, Inc., holder of Certificate No. 578-W in Manatee County, from Jack E. Mason to Jack E. Mason, II and Debbie A. Mason.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6339">
            <w:pPr>
              <w:pStyle w:val="MemoHeading"/>
            </w:pPr>
            <w:bookmarkStart w:id="4" w:name="AgendaDate"/>
            <w:r>
              <w:t>11/1/16</w:t>
            </w:r>
            <w:bookmarkEnd w:id="4"/>
            <w:r w:rsidR="007C0528">
              <w:t xml:space="preserve"> – </w:t>
            </w:r>
            <w:bookmarkStart w:id="5" w:name="PermittedStatus"/>
            <w:r>
              <w:t>Regular Agenda</w:t>
            </w:r>
            <w:r w:rsidR="00320F9A">
              <w:t xml:space="preserve"> </w:t>
            </w:r>
            <w:r w:rsidR="00320F9A" w:rsidRPr="00320F9A">
              <w:t xml:space="preserve"> – Tariff Filing for Issue 2 </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633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633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20F9A">
            <w:pPr>
              <w:pStyle w:val="MemoHeading"/>
            </w:pPr>
            <w:r w:rsidRPr="00320F9A">
              <w:t>11/24/16 (8-Month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633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433B3" w:rsidRDefault="008433B3" w:rsidP="008433B3">
      <w:pPr>
        <w:pStyle w:val="BodyText"/>
      </w:pPr>
      <w:r>
        <w:t xml:space="preserve">Sunny Shores Water Company, Inc. (Sunny Shores or </w:t>
      </w:r>
      <w:r w:rsidR="001147AC">
        <w:t>U</w:t>
      </w:r>
      <w:r>
        <w:t xml:space="preserve">tility) is a Class C water utility serving approximately 262 customers in Manatee County. </w:t>
      </w:r>
      <w:r w:rsidR="000E1208" w:rsidRPr="0033307D">
        <w:t xml:space="preserve">Original Certificate No. </w:t>
      </w:r>
      <w:r w:rsidR="000E1208">
        <w:t>578</w:t>
      </w:r>
      <w:r w:rsidR="000E1208" w:rsidRPr="0033307D">
        <w:t>-W w</w:t>
      </w:r>
      <w:r w:rsidR="000E1208">
        <w:t>as</w:t>
      </w:r>
      <w:r w:rsidR="000E1208" w:rsidRPr="0033307D">
        <w:t xml:space="preserve"> approved by Order No. </w:t>
      </w:r>
      <w:r w:rsidR="000E2DF0" w:rsidRPr="000E2DF0">
        <w:t>PSC-96-0599-FOF-WS</w:t>
      </w:r>
      <w:r w:rsidR="000E1208" w:rsidRPr="0033307D">
        <w:t xml:space="preserve">, issued </w:t>
      </w:r>
      <w:r w:rsidR="000E2DF0">
        <w:t>on May</w:t>
      </w:r>
      <w:r w:rsidR="000E1208" w:rsidRPr="0033307D">
        <w:t xml:space="preserve"> </w:t>
      </w:r>
      <w:r w:rsidR="000E2DF0">
        <w:t>7</w:t>
      </w:r>
      <w:r w:rsidR="000E1208" w:rsidRPr="0033307D">
        <w:t xml:space="preserve">, </w:t>
      </w:r>
      <w:r w:rsidR="000E2DF0">
        <w:t>1996</w:t>
      </w:r>
      <w:r w:rsidR="000E1208" w:rsidRPr="0033307D">
        <w:t>.</w:t>
      </w:r>
      <w:r w:rsidR="000E2DF0">
        <w:rPr>
          <w:rStyle w:val="FootnoteReference"/>
        </w:rPr>
        <w:footnoteReference w:id="1"/>
      </w:r>
      <w:r w:rsidR="000E2DF0">
        <w:t xml:space="preserve"> </w:t>
      </w:r>
      <w:r w:rsidR="000D20BE">
        <w:t xml:space="preserve">The Utility provides water service to its customers through bulk water purchased from Manatee County. </w:t>
      </w:r>
      <w:r>
        <w:t>Sunny Shores’ 201</w:t>
      </w:r>
      <w:r w:rsidR="001147AC">
        <w:t>5</w:t>
      </w:r>
      <w:r>
        <w:t xml:space="preserve"> </w:t>
      </w:r>
      <w:r w:rsidR="00905069">
        <w:t>A</w:t>
      </w:r>
      <w:r>
        <w:t xml:space="preserve">nnual </w:t>
      </w:r>
      <w:r w:rsidR="00905069">
        <w:t>R</w:t>
      </w:r>
      <w:r>
        <w:t>eport shows gross revenue</w:t>
      </w:r>
      <w:r w:rsidR="004C23F3">
        <w:t>s</w:t>
      </w:r>
      <w:r>
        <w:t xml:space="preserve"> of $</w:t>
      </w:r>
      <w:r w:rsidR="001147AC">
        <w:t>83</w:t>
      </w:r>
      <w:r>
        <w:t>,</w:t>
      </w:r>
      <w:r w:rsidR="001147AC">
        <w:t>977</w:t>
      </w:r>
      <w:r>
        <w:t xml:space="preserve"> and a net operating income of $</w:t>
      </w:r>
      <w:r w:rsidR="001147AC">
        <w:t>1</w:t>
      </w:r>
      <w:r>
        <w:t>,</w:t>
      </w:r>
      <w:r w:rsidR="001147AC">
        <w:t>738</w:t>
      </w:r>
      <w:r>
        <w:t xml:space="preserve">. Sunny Shores’ service area lies in the Southwest Florida Water Management District. </w:t>
      </w:r>
    </w:p>
    <w:p w:rsidR="00997094" w:rsidRDefault="008433B3" w:rsidP="008433B3">
      <w:pPr>
        <w:pStyle w:val="BodyText"/>
      </w:pPr>
      <w:r>
        <w:lastRenderedPageBreak/>
        <w:t xml:space="preserve">On January 15, 2016, Sunny Shores filed an application for transfer of majority organizational control (TMOC). </w:t>
      </w:r>
      <w:r w:rsidR="000E2DF0" w:rsidRPr="0033307D">
        <w:t xml:space="preserve">Staff identified several deficiencies in a letter to </w:t>
      </w:r>
      <w:r w:rsidR="000E2DF0">
        <w:t>Sunny Shores</w:t>
      </w:r>
      <w:r w:rsidR="000E2DF0" w:rsidRPr="0033307D">
        <w:t xml:space="preserve"> on </w:t>
      </w:r>
      <w:r w:rsidR="000E2DF0">
        <w:t>February</w:t>
      </w:r>
      <w:r w:rsidR="000E2DF0" w:rsidRPr="0033307D">
        <w:t xml:space="preserve"> 1</w:t>
      </w:r>
      <w:r w:rsidR="000E2DF0">
        <w:t>5</w:t>
      </w:r>
      <w:r w:rsidR="000E2DF0" w:rsidRPr="0033307D">
        <w:t>, 201</w:t>
      </w:r>
      <w:r w:rsidR="000E2DF0">
        <w:t>6</w:t>
      </w:r>
      <w:r w:rsidR="000E2DF0" w:rsidRPr="0033307D">
        <w:t xml:space="preserve">. The Utility’s response on </w:t>
      </w:r>
      <w:r w:rsidR="00997094">
        <w:t>March</w:t>
      </w:r>
      <w:r w:rsidR="000E2DF0" w:rsidRPr="0033307D">
        <w:t xml:space="preserve"> </w:t>
      </w:r>
      <w:r w:rsidR="00997094">
        <w:t>14</w:t>
      </w:r>
      <w:r w:rsidR="000E2DF0" w:rsidRPr="0033307D">
        <w:t>, 201</w:t>
      </w:r>
      <w:r w:rsidR="00997094">
        <w:t>6</w:t>
      </w:r>
      <w:r w:rsidR="000E2DF0" w:rsidRPr="0033307D">
        <w:t xml:space="preserve">, satisfied </w:t>
      </w:r>
      <w:r w:rsidR="00997094">
        <w:t>all but one</w:t>
      </w:r>
      <w:r w:rsidR="000E2DF0" w:rsidRPr="0033307D">
        <w:t xml:space="preserve"> deficienc</w:t>
      </w:r>
      <w:r w:rsidR="00997094">
        <w:t>y</w:t>
      </w:r>
      <w:r w:rsidR="000E2DF0" w:rsidRPr="0033307D">
        <w:t>.</w:t>
      </w:r>
      <w:r w:rsidR="00997094">
        <w:t xml:space="preserve"> Staff advised the Utility of the outstanding deficiency in </w:t>
      </w:r>
      <w:r w:rsidR="00905069">
        <w:t>a letter dated</w:t>
      </w:r>
      <w:r w:rsidR="00997094">
        <w:t xml:space="preserve"> April 19, 2016. Sunny Shores’ June 3, 2016</w:t>
      </w:r>
      <w:r w:rsidR="00CB0579">
        <w:t>,</w:t>
      </w:r>
      <w:r w:rsidR="00997094">
        <w:t xml:space="preserve"> response satisfied the remaining deficiency.</w:t>
      </w:r>
    </w:p>
    <w:p w:rsidR="0068481F" w:rsidRDefault="008433B3" w:rsidP="008433B3">
      <w:pPr>
        <w:pStyle w:val="BodyText"/>
      </w:pPr>
      <w:r>
        <w:t xml:space="preserve">On March 24, 2016, Sunny Shores filed a request for a late payment charge. </w:t>
      </w:r>
      <w:r w:rsidR="005506FB">
        <w:t>At its May 5, 2016 Agenda Conference</w:t>
      </w:r>
      <w:r w:rsidR="000E1208">
        <w:t xml:space="preserve">, the Commission </w:t>
      </w:r>
      <w:r w:rsidR="005506FB">
        <w:t xml:space="preserve">voted to </w:t>
      </w:r>
      <w:r w:rsidR="000E1208">
        <w:t>suspend Sunny Shores</w:t>
      </w:r>
      <w:r w:rsidR="005506FB">
        <w:t>’</w:t>
      </w:r>
      <w:r w:rsidR="000E1208">
        <w:t xml:space="preserve"> request for </w:t>
      </w:r>
      <w:r w:rsidR="005506FB">
        <w:t xml:space="preserve">a </w:t>
      </w:r>
      <w:r w:rsidR="000E1208">
        <w:t>late payment charge pending final action in the instant docket.</w:t>
      </w:r>
      <w:r w:rsidR="00997094">
        <w:rPr>
          <w:rStyle w:val="FootnoteReference"/>
        </w:rPr>
        <w:footnoteReference w:id="2"/>
      </w:r>
      <w:r w:rsidR="000E1208">
        <w:t xml:space="preserve"> </w:t>
      </w:r>
      <w:r w:rsidR="00655F71">
        <w:t>It should also be noted that the Utility has applied for an original wastewater certificate.</w:t>
      </w:r>
      <w:r w:rsidR="00655F71">
        <w:rPr>
          <w:rStyle w:val="FootnoteReference"/>
        </w:rPr>
        <w:footnoteReference w:id="3"/>
      </w:r>
      <w:r w:rsidR="00655F71">
        <w:t xml:space="preserve"> </w:t>
      </w:r>
      <w:r>
        <w:t xml:space="preserve">This recommendation addresses the </w:t>
      </w:r>
      <w:r w:rsidR="000E1208">
        <w:t>U</w:t>
      </w:r>
      <w:r>
        <w:t xml:space="preserve">tility’s </w:t>
      </w:r>
      <w:r w:rsidR="000E1208">
        <w:t xml:space="preserve">application for a TMOC and </w:t>
      </w:r>
      <w:r>
        <w:t>request for a late payment charge. The Commission has jurisdiction pursuant to Section</w:t>
      </w:r>
      <w:r w:rsidR="000E1208">
        <w:t>s</w:t>
      </w:r>
      <w:r>
        <w:t xml:space="preserve"> </w:t>
      </w:r>
      <w:r w:rsidR="000E1208">
        <w:t xml:space="preserve">367.071 and </w:t>
      </w:r>
      <w:r>
        <w:t>367.091, Florida Statutes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76339" w:rsidRDefault="00B76339">
      <w:pPr>
        <w:pStyle w:val="IssueHeading"/>
        <w:rPr>
          <w:vanish/>
          <w:specVanish/>
        </w:rPr>
      </w:pPr>
      <w:r w:rsidRPr="004C3641">
        <w:t xml:space="preserve">Issue </w:t>
      </w:r>
      <w:r w:rsidR="00AC3617">
        <w:fldChar w:fldCharType="begin"/>
      </w:r>
      <w:r w:rsidR="00AC3617">
        <w:instrText xml:space="preserve"> SEQ Issue \* MERGEFORMAT </w:instrText>
      </w:r>
      <w:r w:rsidR="00AC3617">
        <w:fldChar w:fldCharType="separate"/>
      </w:r>
      <w:r w:rsidR="00C25C4F">
        <w:rPr>
          <w:noProof/>
        </w:rPr>
        <w:t>1</w:t>
      </w:r>
      <w:r w:rsidR="00AC361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25C4F">
        <w:rPr>
          <w:noProof/>
        </w:rPr>
        <w:instrText>1</w:instrText>
      </w:r>
      <w:r>
        <w:fldChar w:fldCharType="end"/>
      </w:r>
      <w:r>
        <w:tab/>
        <w:instrText xml:space="preserve">" \l 1 </w:instrText>
      </w:r>
      <w:r>
        <w:fldChar w:fldCharType="end"/>
      </w:r>
      <w:r>
        <w:t> </w:t>
      </w:r>
    </w:p>
    <w:p w:rsidR="00B76339" w:rsidRDefault="00B76339">
      <w:pPr>
        <w:pStyle w:val="BodyText"/>
      </w:pPr>
      <w:r>
        <w:t> </w:t>
      </w:r>
      <w:r w:rsidR="0085406B" w:rsidRPr="009F684F">
        <w:t xml:space="preserve"> Should the application for transfer of majority organizational control of Sunny Shores Water Company, Inc. in </w:t>
      </w:r>
      <w:r w:rsidR="0085406B">
        <w:t>Manatee</w:t>
      </w:r>
      <w:r w:rsidR="0085406B" w:rsidRPr="009F684F">
        <w:t xml:space="preserve"> County from Jack E. Mason to Jack E. Mason, II and Debbie A. Mason be approved</w:t>
      </w:r>
      <w:r w:rsidR="0085406B">
        <w:t>?</w:t>
      </w:r>
    </w:p>
    <w:p w:rsidR="00B76339" w:rsidRPr="004C3641" w:rsidRDefault="00B76339">
      <w:pPr>
        <w:pStyle w:val="IssueSubsectionHeading"/>
        <w:rPr>
          <w:vanish/>
          <w:specVanish/>
        </w:rPr>
      </w:pPr>
      <w:r w:rsidRPr="004C3641">
        <w:t>Recommendation: </w:t>
      </w:r>
    </w:p>
    <w:p w:rsidR="00B76339" w:rsidRDefault="00B76339">
      <w:pPr>
        <w:pStyle w:val="BodyText"/>
      </w:pPr>
      <w:r>
        <w:t> </w:t>
      </w:r>
      <w:r w:rsidR="00305AF1" w:rsidRPr="0033307D">
        <w:t xml:space="preserve">Yes. The transfer of majority organizational control from </w:t>
      </w:r>
      <w:r w:rsidR="00305AF1" w:rsidRPr="009F684F">
        <w:t>Jack E. Mason to Jack E. Mason, II and Debbie A. Mason</w:t>
      </w:r>
      <w:r w:rsidR="00CB0579">
        <w:t>,</w:t>
      </w:r>
      <w:r w:rsidR="00305AF1" w:rsidRPr="0033307D">
        <w:t xml:space="preserve"> is in the public interest and should be approved effective the date of the Commission vote. The resultant order should serve as the water certificate, with the territory described in Attachment A. </w:t>
      </w:r>
      <w:bookmarkStart w:id="16" w:name="OLE_LINK1"/>
      <w:bookmarkStart w:id="17" w:name="OLE_LINK2"/>
      <w:bookmarkStart w:id="18" w:name="OLE_LINK3"/>
      <w:bookmarkStart w:id="19" w:name="OLE_LINK4"/>
      <w:bookmarkStart w:id="20" w:name="OLE_LINK5"/>
      <w:bookmarkStart w:id="21" w:name="OLE_LINK6"/>
      <w:r w:rsidR="00F71A51" w:rsidRPr="00F71A51">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w:t>
      </w:r>
      <w:r w:rsidR="00305AF1" w:rsidRPr="00F3083A">
        <w:rPr>
          <w:i/>
        </w:rPr>
        <w:t>,</w:t>
      </w:r>
      <w:r w:rsidR="005506FB">
        <w:t xml:space="preserve"> Florida Administrative Code</w:t>
      </w:r>
      <w:r w:rsidR="00305AF1" w:rsidRPr="0033307D">
        <w:t xml:space="preserve"> (F.A.C.).</w:t>
      </w:r>
      <w:bookmarkEnd w:id="16"/>
      <w:bookmarkEnd w:id="17"/>
      <w:bookmarkEnd w:id="18"/>
      <w:bookmarkEnd w:id="19"/>
      <w:bookmarkEnd w:id="20"/>
      <w:bookmarkEnd w:id="21"/>
      <w:r w:rsidR="00305AF1" w:rsidRPr="0033307D">
        <w:t xml:space="preserve"> (</w:t>
      </w:r>
      <w:r w:rsidR="00305AF1">
        <w:t>M. Watts</w:t>
      </w:r>
      <w:r w:rsidR="00305AF1" w:rsidRPr="0033307D">
        <w:t xml:space="preserve">, </w:t>
      </w:r>
      <w:r w:rsidR="00305AF1">
        <w:t>Sewards</w:t>
      </w:r>
      <w:r w:rsidR="00305AF1" w:rsidRPr="0033307D">
        <w:t xml:space="preserve">, </w:t>
      </w:r>
      <w:r w:rsidR="00305AF1">
        <w:t>Johnson)</w:t>
      </w:r>
      <w:r>
        <w:t xml:space="preserve"> </w:t>
      </w:r>
    </w:p>
    <w:p w:rsidR="00B76339" w:rsidRPr="004C3641" w:rsidRDefault="00B76339">
      <w:pPr>
        <w:pStyle w:val="IssueSubsectionHeading"/>
        <w:rPr>
          <w:vanish/>
          <w:specVanish/>
        </w:rPr>
      </w:pPr>
      <w:r w:rsidRPr="004C3641">
        <w:t>Staff Analysis: </w:t>
      </w:r>
    </w:p>
    <w:p w:rsidR="00B76339" w:rsidRDefault="00B76339">
      <w:pPr>
        <w:pStyle w:val="BodyText"/>
      </w:pPr>
      <w:r>
        <w:t> </w:t>
      </w:r>
      <w:r w:rsidR="005E2BD0" w:rsidRPr="0033307D">
        <w:t xml:space="preserve">This application is for the transfer of majority organizational control of </w:t>
      </w:r>
      <w:r w:rsidR="00E80DE4" w:rsidRPr="009F684F">
        <w:t xml:space="preserve">Sunny Shores Water Company, Inc. in </w:t>
      </w:r>
      <w:r w:rsidR="00E80DE4">
        <w:t>Manatee</w:t>
      </w:r>
      <w:r w:rsidR="00E80DE4" w:rsidRPr="009F684F">
        <w:t xml:space="preserve"> County from Jack E. Mason to Jack E. Mason, II and Debbie A. Mason</w:t>
      </w:r>
      <w:r w:rsidR="005E2BD0" w:rsidRPr="0033307D">
        <w:t>. Based on staff’s review, the application is in compliance with the governing statu</w:t>
      </w:r>
      <w:r w:rsidR="00E80DE4">
        <w:t>t</w:t>
      </w:r>
      <w:r w:rsidR="005E2BD0" w:rsidRPr="0033307D">
        <w:t>e, Section 367.071, F.S., and Rule 25-30.037(</w:t>
      </w:r>
      <w:r w:rsidR="00F3083A">
        <w:t>4</w:t>
      </w:r>
      <w:r w:rsidR="005E2BD0" w:rsidRPr="0033307D">
        <w:t>), F.A.C., concerning applications for transfer of majority organizational control.</w:t>
      </w:r>
    </w:p>
    <w:p w:rsidR="005E2BD0" w:rsidRPr="003D6186" w:rsidRDefault="005E2BD0" w:rsidP="003D6186">
      <w:pPr>
        <w:pStyle w:val="SCparagraph"/>
        <w:spacing w:after="0"/>
        <w:ind w:firstLine="0"/>
        <w:rPr>
          <w:rFonts w:ascii="Arial" w:hAnsi="Arial" w:cs="Arial"/>
          <w:b/>
        </w:rPr>
      </w:pPr>
      <w:r w:rsidRPr="003D6186">
        <w:rPr>
          <w:rFonts w:ascii="Arial" w:hAnsi="Arial" w:cs="Arial"/>
          <w:b/>
        </w:rPr>
        <w:t>N</w:t>
      </w:r>
      <w:r w:rsidR="00F3083A" w:rsidRPr="003D6186">
        <w:rPr>
          <w:rFonts w:ascii="Arial" w:hAnsi="Arial" w:cs="Arial"/>
          <w:b/>
        </w:rPr>
        <w:t>oticing</w:t>
      </w:r>
      <w:r w:rsidRPr="003D6186">
        <w:rPr>
          <w:rFonts w:ascii="Arial" w:hAnsi="Arial" w:cs="Arial"/>
          <w:b/>
        </w:rPr>
        <w:t xml:space="preserve"> </w:t>
      </w:r>
      <w:r w:rsidR="00F3083A" w:rsidRPr="003D6186">
        <w:rPr>
          <w:rFonts w:ascii="Arial" w:hAnsi="Arial" w:cs="Arial"/>
          <w:b/>
        </w:rPr>
        <w:t xml:space="preserve">and </w:t>
      </w:r>
      <w:r w:rsidRPr="003D6186">
        <w:rPr>
          <w:rFonts w:ascii="Arial" w:hAnsi="Arial" w:cs="Arial"/>
          <w:b/>
        </w:rPr>
        <w:t>Territory</w:t>
      </w:r>
    </w:p>
    <w:p w:rsidR="005E2BD0" w:rsidRPr="0033307D" w:rsidRDefault="005506FB" w:rsidP="005E2BD0">
      <w:pPr>
        <w:pStyle w:val="BodyText"/>
      </w:pPr>
      <w:r>
        <w:t>Sunny Shores</w:t>
      </w:r>
      <w:r w:rsidR="005E2BD0" w:rsidRPr="0033307D">
        <w:t xml:space="preserve"> provided </w:t>
      </w:r>
      <w:r>
        <w:t xml:space="preserve">notice </w:t>
      </w:r>
      <w:r w:rsidR="004C23F3">
        <w:t>o</w:t>
      </w:r>
      <w:r>
        <w:t>f its application pursuant to</w:t>
      </w:r>
      <w:r w:rsidR="005E2BD0" w:rsidRPr="0033307D">
        <w:t xml:space="preserve"> Section 367.071, F.S., and Rule 25-30.030, F.A.C. No objections to the transfer were filed with the Commission, and the time for doing so has expired. The notice contains a description of the territory for </w:t>
      </w:r>
      <w:r w:rsidR="00F3083A">
        <w:t>Sunny Shores</w:t>
      </w:r>
      <w:r w:rsidR="005E2BD0" w:rsidRPr="0033307D">
        <w:t xml:space="preserve">, which is appended to this recommendation as Attachment A. </w:t>
      </w:r>
    </w:p>
    <w:p w:rsidR="005E2BD0" w:rsidRPr="003D6186" w:rsidRDefault="005E2BD0" w:rsidP="003D6186">
      <w:pPr>
        <w:pStyle w:val="SCparagraph"/>
        <w:spacing w:after="0"/>
        <w:ind w:firstLine="0"/>
        <w:rPr>
          <w:rFonts w:ascii="Arial" w:hAnsi="Arial" w:cs="Arial"/>
          <w:b/>
        </w:rPr>
      </w:pPr>
      <w:r w:rsidRPr="003D6186">
        <w:rPr>
          <w:rFonts w:ascii="Arial" w:hAnsi="Arial" w:cs="Arial"/>
          <w:b/>
        </w:rPr>
        <w:t>Technical and Financial Ability</w:t>
      </w:r>
    </w:p>
    <w:p w:rsidR="00B116C8" w:rsidRDefault="00F3083A" w:rsidP="005E2BD0">
      <w:pPr>
        <w:jc w:val="both"/>
        <w:rPr>
          <w:color w:val="000000"/>
        </w:rPr>
      </w:pPr>
      <w:r w:rsidRPr="00F3083A">
        <w:rPr>
          <w:color w:val="000000"/>
        </w:rPr>
        <w:t>Pursuant to Rule</w:t>
      </w:r>
      <w:r w:rsidR="005506FB">
        <w:rPr>
          <w:color w:val="000000"/>
        </w:rPr>
        <w:t>s</w:t>
      </w:r>
      <w:r w:rsidRPr="00F3083A">
        <w:rPr>
          <w:color w:val="000000"/>
        </w:rPr>
        <w:t xml:space="preserve"> 25-30.037(2)(l)</w:t>
      </w:r>
      <w:r w:rsidR="005506FB">
        <w:rPr>
          <w:color w:val="000000"/>
        </w:rPr>
        <w:t xml:space="preserve"> and (m)</w:t>
      </w:r>
      <w:r w:rsidRPr="00F3083A">
        <w:rPr>
          <w:color w:val="000000"/>
        </w:rPr>
        <w:t xml:space="preserve">, F.A.C., the application contains statements describing the technical and financial ability of the </w:t>
      </w:r>
      <w:r w:rsidR="005506FB">
        <w:rPr>
          <w:color w:val="000000"/>
        </w:rPr>
        <w:t>buyers</w:t>
      </w:r>
      <w:r w:rsidRPr="00F3083A">
        <w:rPr>
          <w:color w:val="000000"/>
        </w:rPr>
        <w:t xml:space="preserve"> to provide service. The transfer application states that the buyers have sufficient financial assets to ensure the continuing operation of the Utility. Staff reviewed the financial statements of the buyers</w:t>
      </w:r>
      <w:r w:rsidRPr="00F3083A">
        <w:rPr>
          <w:color w:val="000000"/>
          <w:vertAlign w:val="superscript"/>
        </w:rPr>
        <w:footnoteReference w:id="4"/>
      </w:r>
      <w:r w:rsidRPr="00F3083A">
        <w:rPr>
          <w:color w:val="000000"/>
        </w:rPr>
        <w:t xml:space="preserve"> and believes they have the financial capability to provide any necessary funding. </w:t>
      </w:r>
      <w:r w:rsidRPr="00F3083A">
        <w:rPr>
          <w:rFonts w:eastAsia="Calibri"/>
        </w:rPr>
        <w:t>According to the application, the public interest is served by the continuity of management in the Utility as the shares of the majority owner are purchased by buyers who have been the managers of the Utility since 2008.</w:t>
      </w:r>
      <w:r w:rsidRPr="00F3083A">
        <w:rPr>
          <w:color w:val="000000"/>
        </w:rPr>
        <w:t xml:space="preserve"> Based on the information above, staff believes the buyers have the technical and financial capability to provide service to the existing service territory.</w:t>
      </w: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B66228" w:rsidRDefault="00B66228" w:rsidP="005E2BD0">
      <w:pPr>
        <w:jc w:val="both"/>
        <w:rPr>
          <w:color w:val="000000"/>
        </w:rPr>
      </w:pPr>
    </w:p>
    <w:p w:rsidR="005E2BD0" w:rsidRPr="003D6186" w:rsidRDefault="005E2BD0" w:rsidP="005E2BD0">
      <w:pPr>
        <w:pStyle w:val="SCparagraph"/>
        <w:spacing w:after="0"/>
        <w:ind w:firstLine="0"/>
        <w:rPr>
          <w:rFonts w:ascii="Arial" w:hAnsi="Arial" w:cs="Arial"/>
          <w:b/>
        </w:rPr>
      </w:pPr>
      <w:r w:rsidRPr="003D6186">
        <w:rPr>
          <w:rFonts w:ascii="Arial" w:hAnsi="Arial" w:cs="Arial"/>
          <w:b/>
        </w:rPr>
        <w:lastRenderedPageBreak/>
        <w:t xml:space="preserve">Rates and Charges </w:t>
      </w:r>
    </w:p>
    <w:p w:rsidR="005E2BD0" w:rsidRPr="0033307D" w:rsidRDefault="005E2BD0" w:rsidP="005E2BD0">
      <w:pPr>
        <w:pStyle w:val="SCparagraph"/>
        <w:spacing w:after="0"/>
        <w:ind w:firstLine="0"/>
      </w:pPr>
      <w:r w:rsidRPr="0033307D">
        <w:t>The Utility</w:t>
      </w:r>
      <w:r w:rsidR="003D6186">
        <w:t>’</w:t>
      </w:r>
      <w:r w:rsidRPr="0033307D">
        <w:t xml:space="preserve">s rates and </w:t>
      </w:r>
      <w:r w:rsidR="00F71A51">
        <w:t>charges were last approved in a</w:t>
      </w:r>
      <w:r w:rsidRPr="0033307D">
        <w:t xml:space="preserve"> </w:t>
      </w:r>
      <w:r w:rsidR="00F71A51">
        <w:t>grandfather</w:t>
      </w:r>
      <w:r w:rsidR="00F71A51" w:rsidRPr="0033307D">
        <w:t xml:space="preserve"> </w:t>
      </w:r>
      <w:r w:rsidRPr="0033307D">
        <w:t>certificate</w:t>
      </w:r>
      <w:r w:rsidR="00F71A51">
        <w:t xml:space="preserve"> </w:t>
      </w:r>
      <w:r w:rsidRPr="0033307D">
        <w:t xml:space="preserve">docket in </w:t>
      </w:r>
      <w:r w:rsidR="00F3083A">
        <w:t>1996</w:t>
      </w:r>
      <w:r w:rsidRPr="0033307D">
        <w:t>.</w:t>
      </w:r>
      <w:r w:rsidRPr="0033307D">
        <w:rPr>
          <w:rStyle w:val="FootnoteReference"/>
        </w:rPr>
        <w:footnoteReference w:id="5"/>
      </w:r>
      <w:r w:rsidRPr="0033307D">
        <w:t xml:space="preserve"> </w:t>
      </w:r>
      <w:r w:rsidR="00F71A51" w:rsidRPr="00F71A51">
        <w:t>In 2010, the Commission approved a backflow maintenance charge.</w:t>
      </w:r>
      <w:r w:rsidR="00F71A51" w:rsidRPr="00F71A51">
        <w:rPr>
          <w:vertAlign w:val="superscript"/>
        </w:rPr>
        <w:footnoteReference w:id="6"/>
      </w:r>
      <w:r w:rsidR="00F71A51" w:rsidRPr="00F71A51">
        <w:t xml:space="preserve"> The Utility </w:t>
      </w:r>
      <w:r w:rsidR="000D20BE">
        <w:t xml:space="preserve">also </w:t>
      </w:r>
      <w:r w:rsidR="005B32AB">
        <w:t>applied for and received approval of</w:t>
      </w:r>
      <w:r w:rsidR="00F71A51" w:rsidRPr="00F71A51">
        <w:t xml:space="preserve"> numerous price indexes and pass-through rate adjustments. The Utility’s existing rates and charges are shown on Schedule No. </w:t>
      </w:r>
      <w:r w:rsidR="000D20BE">
        <w:t>1</w:t>
      </w:r>
      <w:r w:rsidR="00F71A51" w:rsidRPr="00F71A51">
        <w:t>, which is attached to this recommendation. 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authorized by this Commission in a subsequent proceeding.</w:t>
      </w:r>
    </w:p>
    <w:p w:rsidR="005E2BD0" w:rsidRPr="0033307D" w:rsidRDefault="005E2BD0" w:rsidP="005E2BD0">
      <w:pPr>
        <w:pStyle w:val="BodyText"/>
        <w:spacing w:after="0"/>
      </w:pPr>
    </w:p>
    <w:p w:rsidR="005E2BD0" w:rsidRPr="003D6186" w:rsidRDefault="005E2BD0" w:rsidP="005E2BD0">
      <w:pPr>
        <w:pStyle w:val="BodyText"/>
        <w:spacing w:after="0"/>
        <w:rPr>
          <w:rFonts w:ascii="Arial" w:hAnsi="Arial" w:cs="Arial"/>
          <w:b/>
        </w:rPr>
      </w:pPr>
      <w:r w:rsidRPr="003D6186">
        <w:rPr>
          <w:rFonts w:ascii="Arial" w:hAnsi="Arial" w:cs="Arial"/>
          <w:b/>
        </w:rPr>
        <w:t>Conclusion</w:t>
      </w:r>
    </w:p>
    <w:p w:rsidR="005E2BD0" w:rsidRDefault="005E2BD0" w:rsidP="005E2BD0">
      <w:pPr>
        <w:pStyle w:val="BodyText"/>
      </w:pPr>
      <w:r w:rsidRPr="0033307D">
        <w:t xml:space="preserve">Based on the above, staff recommends that the </w:t>
      </w:r>
      <w:r w:rsidR="00F3083A" w:rsidRPr="0033307D">
        <w:t xml:space="preserve">transfer of majority organizational control from </w:t>
      </w:r>
      <w:r w:rsidR="00F3083A" w:rsidRPr="009F684F">
        <w:t>Jack E. Mason to Jack E. Mason, II and Debbie A. Mason</w:t>
      </w:r>
      <w:r w:rsidR="005A01F9">
        <w:t>,</w:t>
      </w:r>
      <w:r w:rsidR="00F3083A" w:rsidRPr="0033307D">
        <w:t xml:space="preserve"> is in the public interest and should be approved effective the date of the Commission vote. The resultant order should serve as the water certificate, with the territory described in Attachment A. </w:t>
      </w:r>
      <w:r w:rsidR="00F71A51" w:rsidRPr="00F71A51">
        <w:t>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w:t>
      </w:r>
      <w:r w:rsidRPr="00F71A51">
        <w:t>, F.A.C</w:t>
      </w:r>
      <w:r w:rsidRPr="00F3083A">
        <w:rPr>
          <w:i/>
        </w:rPr>
        <w:t>.</w:t>
      </w:r>
    </w:p>
    <w:p w:rsidR="00B76339" w:rsidRDefault="00B76339">
      <w:pPr>
        <w:pStyle w:val="IssueHeading"/>
        <w:rPr>
          <w:vanish/>
          <w:specVanish/>
        </w:rPr>
      </w:pPr>
      <w:r w:rsidRPr="004C3641">
        <w:rPr>
          <w:b w:val="0"/>
          <w:i w:val="0"/>
        </w:rPr>
        <w:br w:type="page"/>
      </w:r>
      <w:r w:rsidRPr="004C3641">
        <w:lastRenderedPageBreak/>
        <w:t xml:space="preserve">Issue </w:t>
      </w:r>
      <w:r w:rsidR="00AC3617">
        <w:fldChar w:fldCharType="begin"/>
      </w:r>
      <w:r w:rsidR="00AC3617">
        <w:instrText xml:space="preserve"> SEQ Issue \* MERGEFORMAT </w:instrText>
      </w:r>
      <w:r w:rsidR="00AC3617">
        <w:fldChar w:fldCharType="separate"/>
      </w:r>
      <w:r w:rsidR="00C25C4F">
        <w:rPr>
          <w:noProof/>
        </w:rPr>
        <w:t>2</w:t>
      </w:r>
      <w:r w:rsidR="00AC361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25C4F">
        <w:rPr>
          <w:noProof/>
        </w:rPr>
        <w:instrText>2</w:instrText>
      </w:r>
      <w:r>
        <w:fldChar w:fldCharType="end"/>
      </w:r>
      <w:r>
        <w:tab/>
        <w:instrText xml:space="preserve">" \l 1 </w:instrText>
      </w:r>
      <w:r>
        <w:fldChar w:fldCharType="end"/>
      </w:r>
      <w:r>
        <w:t> </w:t>
      </w:r>
    </w:p>
    <w:p w:rsidR="00B76339" w:rsidRDefault="00B76339">
      <w:pPr>
        <w:pStyle w:val="BodyText"/>
      </w:pPr>
      <w:r>
        <w:t> </w:t>
      </w:r>
      <w:r w:rsidR="00F71A51" w:rsidRPr="008A02CE">
        <w:t>Should Sunny Shores</w:t>
      </w:r>
      <w:r w:rsidR="005506FB">
        <w:t>’</w:t>
      </w:r>
      <w:r w:rsidR="00F71A51" w:rsidRPr="008A02CE">
        <w:t xml:space="preserve"> re</w:t>
      </w:r>
      <w:r w:rsidR="00F71A51">
        <w:t>quest for a late payment charge of five percent of the total customer’s bill be approved</w:t>
      </w:r>
      <w:r w:rsidR="005B5C1B">
        <w:t>?</w:t>
      </w:r>
    </w:p>
    <w:p w:rsidR="00B76339" w:rsidRPr="004C3641" w:rsidRDefault="00B76339">
      <w:pPr>
        <w:pStyle w:val="IssueSubsectionHeading"/>
        <w:rPr>
          <w:vanish/>
          <w:specVanish/>
        </w:rPr>
      </w:pPr>
      <w:r w:rsidRPr="004C3641">
        <w:t>Recommendation: </w:t>
      </w:r>
    </w:p>
    <w:p w:rsidR="00B76339" w:rsidRDefault="00B76339">
      <w:pPr>
        <w:pStyle w:val="BodyText"/>
      </w:pPr>
      <w:r>
        <w:t> </w:t>
      </w:r>
      <w:r w:rsidR="00F71A51">
        <w:t>No. Sunny Shores</w:t>
      </w:r>
      <w:r w:rsidR="007501EF">
        <w:t>’</w:t>
      </w:r>
      <w:r w:rsidR="00F71A51">
        <w:t xml:space="preserve"> request to implement a late payment charge of five percent of the total customer’s bill should not be approved. </w:t>
      </w:r>
      <w:r w:rsidR="00F71A51" w:rsidRPr="00FA64FF">
        <w:t>However,</w:t>
      </w:r>
      <w:r w:rsidR="00F71A51">
        <w:t xml:space="preserve"> staff’s recommended late payment charge of $5 should be approved. </w:t>
      </w:r>
      <w:r w:rsidR="00F71A51" w:rsidRPr="00624FF0">
        <w:t xml:space="preserve">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w:t>
      </w:r>
      <w:r w:rsidR="00F71A51">
        <w:t>Sunny Shores</w:t>
      </w:r>
      <w:r w:rsidR="00F71A51" w:rsidRPr="00624FF0">
        <w:t xml:space="preserve"> should provide proof of the date that the notice was given within 10 days of the date of the notice.</w:t>
      </w:r>
      <w:r w:rsidR="00F71A51" w:rsidRPr="003F6E11">
        <w:t xml:space="preserve"> (</w:t>
      </w:r>
      <w:r w:rsidR="00F71A51">
        <w:t>Johnson)</w:t>
      </w:r>
      <w:r>
        <w:t xml:space="preserve"> </w:t>
      </w:r>
    </w:p>
    <w:p w:rsidR="00B76339" w:rsidRPr="004C3641" w:rsidRDefault="00B76339">
      <w:pPr>
        <w:pStyle w:val="IssueSubsectionHeading"/>
        <w:rPr>
          <w:vanish/>
          <w:specVanish/>
        </w:rPr>
      </w:pPr>
      <w:r w:rsidRPr="004C3641">
        <w:t>Staff Analysis: </w:t>
      </w:r>
    </w:p>
    <w:p w:rsidR="00CC39F1" w:rsidRPr="00CC39F1" w:rsidRDefault="00B76339" w:rsidP="00CC39F1">
      <w:pPr>
        <w:jc w:val="both"/>
        <w:rPr>
          <w:rFonts w:eastAsiaTheme="minorHAnsi"/>
        </w:rPr>
      </w:pPr>
      <w:r>
        <w:t> </w:t>
      </w:r>
      <w:r w:rsidR="00CC39F1" w:rsidRPr="00CC39F1">
        <w:rPr>
          <w:rFonts w:eastAsiaTheme="minorHAnsi"/>
        </w:rPr>
        <w:t>Section 367.091(6), F.S., authorizes the Commission to establish, increase, or change a rate or charge other than monthly rates or service availability charges. The Utility requested a late payment charge of five percent of the total customer bill</w:t>
      </w:r>
      <w:r w:rsidR="00CC39F1" w:rsidRPr="00CC39F1">
        <w:t xml:space="preserve"> </w:t>
      </w:r>
      <w:r w:rsidR="00CC39F1" w:rsidRPr="00CC39F1">
        <w:rPr>
          <w:rFonts w:eastAsiaTheme="minorHAnsi"/>
        </w:rPr>
        <w:t xml:space="preserve">to recover the cost of supplies and labor associated with processing late payment notices. Although the Utility prefers the percentage based late payment charge, it also proposed a cost-based late payment charge of $8.55. The Utility’s request for a late payment charge was accompanied by its reason for requesting the charge, as well as the cost justification required by Section 367.091, F.S. </w:t>
      </w:r>
    </w:p>
    <w:p w:rsidR="00CC39F1" w:rsidRPr="00CC39F1" w:rsidRDefault="00CC39F1" w:rsidP="00CC39F1">
      <w:pPr>
        <w:tabs>
          <w:tab w:val="left" w:pos="2850"/>
        </w:tabs>
        <w:jc w:val="both"/>
        <w:rPr>
          <w:rFonts w:eastAsiaTheme="minorHAnsi"/>
        </w:rPr>
      </w:pPr>
      <w:r w:rsidRPr="00CC39F1">
        <w:rPr>
          <w:rFonts w:eastAsiaTheme="minorHAnsi"/>
        </w:rPr>
        <w:tab/>
      </w:r>
    </w:p>
    <w:p w:rsidR="00CC39F1" w:rsidRPr="00CC39F1" w:rsidRDefault="00CC39F1" w:rsidP="00CC39F1">
      <w:pPr>
        <w:jc w:val="both"/>
        <w:rPr>
          <w:rFonts w:eastAsiaTheme="minorHAnsi"/>
        </w:rPr>
      </w:pPr>
      <w:r w:rsidRPr="00CC39F1">
        <w:rPr>
          <w:rFonts w:eastAsiaTheme="minorHAnsi"/>
        </w:rPr>
        <w:t>As mentioned above, the Utility provided cost justification for a late payment charge of $8.55</w:t>
      </w:r>
      <w:r w:rsidR="000D20BE">
        <w:rPr>
          <w:rFonts w:eastAsiaTheme="minorHAnsi"/>
        </w:rPr>
        <w:t>.</w:t>
      </w:r>
      <w:r w:rsidRPr="00CC39F1">
        <w:rPr>
          <w:rFonts w:eastAsiaTheme="minorHAnsi"/>
        </w:rPr>
        <w:t xml:space="preserve"> </w:t>
      </w:r>
      <w:r w:rsidR="000D20BE">
        <w:rPr>
          <w:rFonts w:eastAsiaTheme="minorHAnsi"/>
        </w:rPr>
        <w:t>T</w:t>
      </w:r>
      <w:r w:rsidR="005506FB">
        <w:rPr>
          <w:rFonts w:eastAsiaTheme="minorHAnsi"/>
        </w:rPr>
        <w:t xml:space="preserve">he Utility </w:t>
      </w:r>
      <w:r w:rsidRPr="00BC2CBB">
        <w:rPr>
          <w:rFonts w:eastAsiaTheme="minorHAnsi"/>
        </w:rPr>
        <w:t xml:space="preserve">stated that </w:t>
      </w:r>
      <w:r w:rsidR="00BC2CBB" w:rsidRPr="00BC2CBB">
        <w:rPr>
          <w:rFonts w:eastAsiaTheme="minorHAnsi"/>
        </w:rPr>
        <w:t>it believed</w:t>
      </w:r>
      <w:r w:rsidR="00BC2CBB">
        <w:rPr>
          <w:rFonts w:eastAsiaTheme="minorHAnsi"/>
        </w:rPr>
        <w:t xml:space="preserve"> </w:t>
      </w:r>
      <w:r w:rsidRPr="00CC39F1">
        <w:rPr>
          <w:rFonts w:eastAsiaTheme="minorHAnsi"/>
        </w:rPr>
        <w:t xml:space="preserve">a flat charge would be too high for customers with low bills. Instead, the Utility believes a late payment charge should be based on </w:t>
      </w:r>
      <w:r w:rsidR="000D20BE">
        <w:rPr>
          <w:rFonts w:eastAsiaTheme="minorHAnsi"/>
        </w:rPr>
        <w:t>a</w:t>
      </w:r>
      <w:r w:rsidRPr="00CC39F1">
        <w:rPr>
          <w:rFonts w:eastAsiaTheme="minorHAnsi"/>
        </w:rPr>
        <w:t xml:space="preserve"> percentage of a customer’s bill. The Utility</w:t>
      </w:r>
      <w:r w:rsidR="00BC2CBB">
        <w:rPr>
          <w:rFonts w:eastAsiaTheme="minorHAnsi"/>
        </w:rPr>
        <w:t>’s</w:t>
      </w:r>
      <w:r w:rsidRPr="00CC39F1">
        <w:rPr>
          <w:rFonts w:eastAsiaTheme="minorHAnsi"/>
        </w:rPr>
        <w:t xml:space="preserve"> approved service rates consist</w:t>
      </w:r>
      <w:r w:rsidR="00BC2CBB">
        <w:rPr>
          <w:rFonts w:eastAsiaTheme="minorHAnsi"/>
        </w:rPr>
        <w:t>s</w:t>
      </w:r>
      <w:r w:rsidRPr="00CC39F1">
        <w:rPr>
          <w:rFonts w:eastAsiaTheme="minorHAnsi"/>
        </w:rPr>
        <w:t xml:space="preserve"> of a $69.85 base facility charge, which includes usage up to 10,800 gallons. Based on the cost of a standard bill of $69.85, a late payment charge of five percent would result in a charge of $3.49. With a pending wastewater certificate</w:t>
      </w:r>
      <w:r w:rsidRPr="00CC39F1">
        <w:rPr>
          <w:rFonts w:eastAsiaTheme="minorHAnsi"/>
          <w:vertAlign w:val="superscript"/>
        </w:rPr>
        <w:footnoteReference w:id="7"/>
      </w:r>
      <w:r w:rsidRPr="00CC39F1">
        <w:rPr>
          <w:rFonts w:eastAsiaTheme="minorHAnsi"/>
        </w:rPr>
        <w:t xml:space="preserve"> and </w:t>
      </w:r>
      <w:r w:rsidR="005B32AB">
        <w:rPr>
          <w:rFonts w:eastAsiaTheme="minorHAnsi"/>
        </w:rPr>
        <w:t xml:space="preserve">with </w:t>
      </w:r>
      <w:r w:rsidRPr="00CC39F1">
        <w:rPr>
          <w:rFonts w:eastAsiaTheme="minorHAnsi"/>
        </w:rPr>
        <w:t xml:space="preserve">20 percent to 30 percent of customers using more than 10,800 gallons of water, staff believes a late payment charge of five percent of the total bill could potentially lead to an excessively high late payment charge. In addition, </w:t>
      </w:r>
      <w:r w:rsidR="005506FB">
        <w:rPr>
          <w:rFonts w:eastAsiaTheme="minorHAnsi"/>
        </w:rPr>
        <w:t>past</w:t>
      </w:r>
      <w:r w:rsidRPr="00CC39F1">
        <w:rPr>
          <w:rFonts w:eastAsiaTheme="minorHAnsi"/>
        </w:rPr>
        <w:t xml:space="preserve"> Commission practice </w:t>
      </w:r>
      <w:r w:rsidR="005506FB">
        <w:rPr>
          <w:rFonts w:eastAsiaTheme="minorHAnsi"/>
        </w:rPr>
        <w:t>indicates that</w:t>
      </w:r>
      <w:r w:rsidRPr="00CC39F1">
        <w:rPr>
          <w:rFonts w:eastAsiaTheme="minorHAnsi"/>
        </w:rPr>
        <w:t xml:space="preserve"> water and wastewater utilities</w:t>
      </w:r>
      <w:r w:rsidR="005506FB">
        <w:rPr>
          <w:rFonts w:eastAsiaTheme="minorHAnsi"/>
        </w:rPr>
        <w:t>’</w:t>
      </w:r>
      <w:r w:rsidR="00BC2CBB">
        <w:rPr>
          <w:rFonts w:eastAsiaTheme="minorHAnsi"/>
        </w:rPr>
        <w:t xml:space="preserve"> </w:t>
      </w:r>
      <w:r w:rsidRPr="00CC39F1">
        <w:rPr>
          <w:rFonts w:eastAsiaTheme="minorHAnsi"/>
        </w:rPr>
        <w:t xml:space="preserve">late payment charges are </w:t>
      </w:r>
      <w:r w:rsidR="005B32AB">
        <w:rPr>
          <w:rFonts w:eastAsiaTheme="minorHAnsi"/>
        </w:rPr>
        <w:t xml:space="preserve">to be </w:t>
      </w:r>
      <w:r w:rsidRPr="00CC39F1">
        <w:rPr>
          <w:rFonts w:eastAsiaTheme="minorHAnsi"/>
        </w:rPr>
        <w:t>cost</w:t>
      </w:r>
      <w:r w:rsidR="005506FB">
        <w:rPr>
          <w:rFonts w:eastAsiaTheme="minorHAnsi"/>
        </w:rPr>
        <w:t>-</w:t>
      </w:r>
      <w:r w:rsidRPr="00CC39F1">
        <w:rPr>
          <w:rFonts w:eastAsiaTheme="minorHAnsi"/>
        </w:rPr>
        <w:t>based.</w:t>
      </w:r>
      <w:r w:rsidR="00D356A7">
        <w:rPr>
          <w:rStyle w:val="FootnoteReference"/>
          <w:rFonts w:eastAsiaTheme="minorHAnsi"/>
        </w:rPr>
        <w:footnoteReference w:id="8"/>
      </w:r>
      <w:r w:rsidRPr="00CC39F1">
        <w:rPr>
          <w:rFonts w:eastAsiaTheme="minorHAnsi"/>
        </w:rPr>
        <w:t xml:space="preserve"> The cost of preparing and sending the late payment notice does not vary based on the amount of the bill. Therefore, staff believes the Utility’s late payment charge should be cost-based and not percentage-based. </w:t>
      </w:r>
    </w:p>
    <w:p w:rsidR="00CC39F1" w:rsidRPr="00CC39F1" w:rsidRDefault="00CC39F1" w:rsidP="00CC39F1">
      <w:pPr>
        <w:jc w:val="both"/>
        <w:rPr>
          <w:rFonts w:eastAsiaTheme="minorHAnsi"/>
        </w:rPr>
      </w:pPr>
    </w:p>
    <w:p w:rsidR="00CC39F1" w:rsidRDefault="00CC39F1" w:rsidP="00CC39F1">
      <w:pPr>
        <w:jc w:val="both"/>
        <w:rPr>
          <w:rFonts w:eastAsiaTheme="minorHAnsi"/>
        </w:rPr>
      </w:pPr>
      <w:r w:rsidRPr="00CC39F1">
        <w:rPr>
          <w:rFonts w:eastAsiaTheme="minorHAnsi"/>
        </w:rPr>
        <w:t>Based on historical data, the Utility anticipates it will prepare late payment notices for approximately 40 accounts per billing cycle. In the past, the Commission has allowed 10-15 minutes per account per month for clerical and administrative labor to research, review, and prepare the notice.</w:t>
      </w:r>
      <w:r w:rsidRPr="00CC39F1">
        <w:rPr>
          <w:rFonts w:eastAsiaTheme="minorHAnsi"/>
          <w:vertAlign w:val="superscript"/>
        </w:rPr>
        <w:footnoteReference w:id="9"/>
      </w:r>
      <w:r w:rsidRPr="00CC39F1">
        <w:rPr>
          <w:rFonts w:eastAsiaTheme="minorHAnsi"/>
        </w:rPr>
        <w:t xml:space="preserve"> The Utility indicated it will spend approximately 10 hours per billing cycle processing late payment notices, which results in an average of approximately 15 minutes per account (600 minutes/40 accounts) and is consistent with past Commission decisions. The Utility </w:t>
      </w:r>
      <w:r w:rsidRPr="00CC39F1">
        <w:rPr>
          <w:rFonts w:eastAsiaTheme="minorHAnsi"/>
        </w:rPr>
        <w:lastRenderedPageBreak/>
        <w:t xml:space="preserve">suggested a labor rate </w:t>
      </w:r>
      <w:r w:rsidR="00D356A7">
        <w:rPr>
          <w:rFonts w:eastAsiaTheme="minorHAnsi"/>
        </w:rPr>
        <w:t xml:space="preserve">of </w:t>
      </w:r>
      <w:r w:rsidRPr="00CC39F1">
        <w:rPr>
          <w:rFonts w:eastAsiaTheme="minorHAnsi"/>
        </w:rPr>
        <w:t>$7.50 (10</w:t>
      </w:r>
      <w:r w:rsidR="005B32AB">
        <w:rPr>
          <w:rFonts w:eastAsiaTheme="minorHAnsi"/>
        </w:rPr>
        <w:t xml:space="preserve"> hours</w:t>
      </w:r>
      <w:r w:rsidRPr="00CC39F1">
        <w:rPr>
          <w:rFonts w:eastAsiaTheme="minorHAnsi"/>
        </w:rPr>
        <w:t xml:space="preserve"> x $30.00</w:t>
      </w:r>
      <w:r w:rsidR="005B32AB">
        <w:rPr>
          <w:rFonts w:eastAsiaTheme="minorHAnsi"/>
        </w:rPr>
        <w:t xml:space="preserve"> labor cost</w:t>
      </w:r>
      <w:r w:rsidRPr="00CC39F1">
        <w:rPr>
          <w:rFonts w:eastAsiaTheme="minorHAnsi"/>
        </w:rPr>
        <w:t xml:space="preserve"> / 40), but </w:t>
      </w:r>
      <w:r w:rsidR="000D20BE">
        <w:rPr>
          <w:rFonts w:eastAsiaTheme="minorHAnsi"/>
        </w:rPr>
        <w:t>also initially</w:t>
      </w:r>
      <w:r w:rsidRPr="00CC39F1">
        <w:rPr>
          <w:rFonts w:eastAsiaTheme="minorHAnsi"/>
        </w:rPr>
        <w:t xml:space="preserve"> included labor costs for activities not involved in preparing and sending out late payment notices. </w:t>
      </w:r>
      <w:r w:rsidR="000D20BE">
        <w:rPr>
          <w:rFonts w:eastAsiaTheme="minorHAnsi"/>
        </w:rPr>
        <w:t>In response to a staff email inquiry, t</w:t>
      </w:r>
      <w:r w:rsidRPr="00CC39F1">
        <w:rPr>
          <w:rFonts w:eastAsiaTheme="minorHAnsi"/>
        </w:rPr>
        <w:t>he Utility indicated</w:t>
      </w:r>
      <w:r w:rsidR="000D20BE">
        <w:rPr>
          <w:rFonts w:eastAsiaTheme="minorHAnsi"/>
        </w:rPr>
        <w:t xml:space="preserve"> that</w:t>
      </w:r>
      <w:r w:rsidRPr="00CC39F1">
        <w:rPr>
          <w:rFonts w:eastAsiaTheme="minorHAnsi"/>
        </w:rPr>
        <w:t xml:space="preserve"> the appropriate labor cost is $15.00 per hour. This results in a labor rate of $3.75 (10</w:t>
      </w:r>
      <w:r w:rsidR="005B32AB">
        <w:rPr>
          <w:rFonts w:eastAsiaTheme="minorHAnsi"/>
        </w:rPr>
        <w:t xml:space="preserve"> hours</w:t>
      </w:r>
      <w:r w:rsidRPr="00CC39F1">
        <w:rPr>
          <w:rFonts w:eastAsiaTheme="minorHAnsi"/>
        </w:rPr>
        <w:t xml:space="preserve"> x $15.00</w:t>
      </w:r>
      <w:r w:rsidR="005B32AB">
        <w:rPr>
          <w:rFonts w:eastAsiaTheme="minorHAnsi"/>
        </w:rPr>
        <w:t xml:space="preserve"> labor cost</w:t>
      </w:r>
      <w:r w:rsidRPr="00CC39F1">
        <w:rPr>
          <w:rFonts w:eastAsiaTheme="minorHAnsi"/>
        </w:rPr>
        <w:t>/40) per late payment notice. Both the Utility’s and staff’s cost justification for the late payment charge are shown below</w:t>
      </w:r>
      <w:r w:rsidR="00833657">
        <w:rPr>
          <w:rFonts w:eastAsiaTheme="minorHAnsi"/>
        </w:rPr>
        <w:t xml:space="preserve"> in Table 2-1</w:t>
      </w:r>
      <w:r w:rsidRPr="00CC39F1">
        <w:rPr>
          <w:rFonts w:eastAsiaTheme="minorHAnsi"/>
        </w:rPr>
        <w:t>.</w:t>
      </w:r>
    </w:p>
    <w:p w:rsidR="00833657" w:rsidRPr="00CC39F1" w:rsidRDefault="00833657" w:rsidP="00CC39F1">
      <w:pPr>
        <w:jc w:val="both"/>
        <w:rPr>
          <w:rFonts w:eastAsiaTheme="minorHAnsi"/>
        </w:rPr>
      </w:pPr>
    </w:p>
    <w:p w:rsidR="00CC39F1" w:rsidRPr="00CC39F1" w:rsidRDefault="00CC39F1" w:rsidP="00CC39F1">
      <w:pPr>
        <w:jc w:val="both"/>
        <w:rPr>
          <w:rFonts w:eastAsiaTheme="minorHAnsi"/>
        </w:rPr>
      </w:pPr>
    </w:p>
    <w:p w:rsidR="00CC39F1" w:rsidRPr="003D6186" w:rsidRDefault="00CC39F1" w:rsidP="003D6186">
      <w:pPr>
        <w:pStyle w:val="SCparagraph"/>
        <w:spacing w:after="0"/>
        <w:ind w:firstLine="0"/>
        <w:jc w:val="center"/>
        <w:rPr>
          <w:rFonts w:ascii="Arial" w:hAnsi="Arial" w:cs="Arial"/>
          <w:b/>
        </w:rPr>
      </w:pPr>
      <w:r w:rsidRPr="003D6186">
        <w:rPr>
          <w:rFonts w:ascii="Arial" w:hAnsi="Arial" w:cs="Arial"/>
          <w:b/>
        </w:rPr>
        <w:t>Table 2-1</w:t>
      </w:r>
    </w:p>
    <w:p w:rsidR="00CC39F1" w:rsidRPr="003D6186" w:rsidRDefault="00CC39F1" w:rsidP="003D6186">
      <w:pPr>
        <w:pStyle w:val="SCparagraph"/>
        <w:spacing w:after="0"/>
        <w:ind w:firstLine="0"/>
        <w:jc w:val="center"/>
        <w:rPr>
          <w:rFonts w:ascii="Arial" w:hAnsi="Arial" w:cs="Arial"/>
          <w:b/>
        </w:rPr>
      </w:pPr>
      <w:r w:rsidRPr="003D6186">
        <w:rPr>
          <w:rFonts w:ascii="Arial" w:hAnsi="Arial" w:cs="Arial"/>
          <w:b/>
        </w:rPr>
        <w:t>Late Payment Charge Cost Justification</w:t>
      </w:r>
    </w:p>
    <w:tbl>
      <w:tblPr>
        <w:tblW w:w="7720"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917"/>
        <w:gridCol w:w="1744"/>
        <w:gridCol w:w="2004"/>
      </w:tblGrid>
      <w:tr w:rsidR="000D20BE" w:rsidRPr="00CC39F1" w:rsidTr="000D20BE">
        <w:trPr>
          <w:trHeight w:val="701"/>
          <w:jc w:val="center"/>
        </w:trPr>
        <w:tc>
          <w:tcPr>
            <w:tcW w:w="2055" w:type="dxa"/>
            <w:shd w:val="clear" w:color="auto" w:fill="auto"/>
            <w:noWrap/>
            <w:vAlign w:val="center"/>
          </w:tcPr>
          <w:p w:rsidR="000D20BE" w:rsidRPr="00CC39F1" w:rsidRDefault="000D20BE" w:rsidP="00CC39F1">
            <w:pPr>
              <w:jc w:val="center"/>
              <w:rPr>
                <w:b/>
                <w:color w:val="000000"/>
              </w:rPr>
            </w:pPr>
            <w:r w:rsidRPr="00CC39F1">
              <w:rPr>
                <w:b/>
                <w:color w:val="000000"/>
              </w:rPr>
              <w:t>Activity</w:t>
            </w:r>
          </w:p>
        </w:tc>
        <w:tc>
          <w:tcPr>
            <w:tcW w:w="1917" w:type="dxa"/>
            <w:shd w:val="clear" w:color="auto" w:fill="auto"/>
            <w:noWrap/>
            <w:vAlign w:val="center"/>
          </w:tcPr>
          <w:p w:rsidR="000D20BE" w:rsidRPr="00CC39F1" w:rsidRDefault="000D20BE" w:rsidP="00CC39F1">
            <w:pPr>
              <w:jc w:val="center"/>
              <w:rPr>
                <w:b/>
                <w:color w:val="000000"/>
              </w:rPr>
            </w:pPr>
            <w:r w:rsidRPr="00CC39F1">
              <w:rPr>
                <w:b/>
                <w:color w:val="000000"/>
              </w:rPr>
              <w:t>Utility Proposed</w:t>
            </w:r>
          </w:p>
        </w:tc>
        <w:tc>
          <w:tcPr>
            <w:tcW w:w="1744" w:type="dxa"/>
            <w:vAlign w:val="center"/>
          </w:tcPr>
          <w:p w:rsidR="000D20BE" w:rsidRPr="00CC39F1" w:rsidRDefault="000D20BE" w:rsidP="00CC39F1">
            <w:pPr>
              <w:jc w:val="center"/>
              <w:rPr>
                <w:b/>
                <w:color w:val="000000"/>
              </w:rPr>
            </w:pPr>
            <w:r w:rsidRPr="00CC39F1">
              <w:rPr>
                <w:b/>
                <w:color w:val="000000"/>
              </w:rPr>
              <w:t>Activity</w:t>
            </w:r>
          </w:p>
        </w:tc>
        <w:tc>
          <w:tcPr>
            <w:tcW w:w="2004" w:type="dxa"/>
            <w:vAlign w:val="center"/>
          </w:tcPr>
          <w:p w:rsidR="000D20BE" w:rsidRPr="00CC39F1" w:rsidRDefault="000D20BE" w:rsidP="00CC39F1">
            <w:pPr>
              <w:jc w:val="center"/>
              <w:rPr>
                <w:b/>
                <w:color w:val="000000"/>
              </w:rPr>
            </w:pPr>
            <w:r w:rsidRPr="00CC39F1">
              <w:rPr>
                <w:b/>
                <w:color w:val="000000"/>
              </w:rPr>
              <w:t xml:space="preserve">Staff </w:t>
            </w:r>
          </w:p>
          <w:p w:rsidR="000D20BE" w:rsidRPr="00CC39F1" w:rsidRDefault="000D20BE" w:rsidP="00CC39F1">
            <w:pPr>
              <w:jc w:val="center"/>
              <w:rPr>
                <w:b/>
                <w:color w:val="000000"/>
              </w:rPr>
            </w:pPr>
            <w:r w:rsidRPr="00CC39F1">
              <w:rPr>
                <w:b/>
                <w:color w:val="000000"/>
              </w:rPr>
              <w:t>Recommended</w:t>
            </w:r>
          </w:p>
        </w:tc>
      </w:tr>
      <w:tr w:rsidR="000D20BE" w:rsidRPr="00CC39F1" w:rsidTr="000D20BE">
        <w:trPr>
          <w:trHeight w:val="402"/>
          <w:jc w:val="center"/>
        </w:trPr>
        <w:tc>
          <w:tcPr>
            <w:tcW w:w="2055" w:type="dxa"/>
            <w:shd w:val="clear" w:color="auto" w:fill="auto"/>
            <w:noWrap/>
            <w:vAlign w:val="bottom"/>
            <w:hideMark/>
          </w:tcPr>
          <w:p w:rsidR="000D20BE" w:rsidRPr="00CC39F1" w:rsidRDefault="000D20BE" w:rsidP="00CC39F1">
            <w:pPr>
              <w:rPr>
                <w:color w:val="000000"/>
              </w:rPr>
            </w:pPr>
            <w:r w:rsidRPr="00CC39F1">
              <w:rPr>
                <w:color w:val="000000"/>
              </w:rPr>
              <w:t>Labor</w:t>
            </w:r>
          </w:p>
        </w:tc>
        <w:tc>
          <w:tcPr>
            <w:tcW w:w="1917" w:type="dxa"/>
            <w:shd w:val="clear" w:color="auto" w:fill="auto"/>
            <w:noWrap/>
            <w:vAlign w:val="bottom"/>
            <w:hideMark/>
          </w:tcPr>
          <w:p w:rsidR="000D20BE" w:rsidRPr="00CC39F1" w:rsidRDefault="000D20BE" w:rsidP="00CC39F1">
            <w:pPr>
              <w:jc w:val="right"/>
              <w:rPr>
                <w:color w:val="000000"/>
              </w:rPr>
            </w:pPr>
            <w:r w:rsidRPr="00CC39F1">
              <w:rPr>
                <w:color w:val="000000"/>
              </w:rPr>
              <w:t xml:space="preserve">$7.50 </w:t>
            </w:r>
          </w:p>
        </w:tc>
        <w:tc>
          <w:tcPr>
            <w:tcW w:w="1744" w:type="dxa"/>
            <w:vAlign w:val="bottom"/>
          </w:tcPr>
          <w:p w:rsidR="000D20BE" w:rsidRPr="00CC39F1" w:rsidRDefault="000D20BE" w:rsidP="00CC39F1">
            <w:pPr>
              <w:rPr>
                <w:color w:val="000000"/>
              </w:rPr>
            </w:pPr>
            <w:r w:rsidRPr="00CC39F1">
              <w:rPr>
                <w:color w:val="000000"/>
              </w:rPr>
              <w:t>Labor</w:t>
            </w:r>
          </w:p>
        </w:tc>
        <w:tc>
          <w:tcPr>
            <w:tcW w:w="2004" w:type="dxa"/>
            <w:vAlign w:val="bottom"/>
          </w:tcPr>
          <w:p w:rsidR="000D20BE" w:rsidRPr="00CC39F1" w:rsidRDefault="000D20BE" w:rsidP="00CC39F1">
            <w:pPr>
              <w:jc w:val="right"/>
              <w:rPr>
                <w:color w:val="000000"/>
              </w:rPr>
            </w:pPr>
            <w:r w:rsidRPr="00CC39F1">
              <w:rPr>
                <w:color w:val="000000"/>
              </w:rPr>
              <w:t>$3.75</w:t>
            </w:r>
          </w:p>
        </w:tc>
      </w:tr>
      <w:tr w:rsidR="000D20BE" w:rsidRPr="00CC39F1" w:rsidTr="000D20BE">
        <w:trPr>
          <w:trHeight w:val="402"/>
          <w:jc w:val="center"/>
        </w:trPr>
        <w:tc>
          <w:tcPr>
            <w:tcW w:w="2055" w:type="dxa"/>
            <w:shd w:val="clear" w:color="auto" w:fill="auto"/>
            <w:noWrap/>
            <w:vAlign w:val="bottom"/>
            <w:hideMark/>
          </w:tcPr>
          <w:p w:rsidR="000D20BE" w:rsidRPr="00CC39F1" w:rsidRDefault="000D20BE" w:rsidP="00CC39F1">
            <w:pPr>
              <w:rPr>
                <w:color w:val="000000"/>
              </w:rPr>
            </w:pPr>
            <w:r w:rsidRPr="00CC39F1">
              <w:rPr>
                <w:color w:val="000000"/>
              </w:rPr>
              <w:t>Printing</w:t>
            </w:r>
          </w:p>
        </w:tc>
        <w:tc>
          <w:tcPr>
            <w:tcW w:w="1917" w:type="dxa"/>
            <w:shd w:val="clear" w:color="auto" w:fill="auto"/>
            <w:noWrap/>
            <w:vAlign w:val="bottom"/>
            <w:hideMark/>
          </w:tcPr>
          <w:p w:rsidR="000D20BE" w:rsidRPr="00CC39F1" w:rsidRDefault="000D20BE" w:rsidP="00CC39F1">
            <w:pPr>
              <w:jc w:val="right"/>
              <w:rPr>
                <w:color w:val="000000"/>
              </w:rPr>
            </w:pPr>
            <w:r w:rsidRPr="00CC39F1">
              <w:rPr>
                <w:color w:val="000000"/>
              </w:rPr>
              <w:t xml:space="preserve">0.45 </w:t>
            </w:r>
          </w:p>
        </w:tc>
        <w:tc>
          <w:tcPr>
            <w:tcW w:w="1744" w:type="dxa"/>
            <w:vAlign w:val="bottom"/>
          </w:tcPr>
          <w:p w:rsidR="000D20BE" w:rsidRPr="00CC39F1" w:rsidRDefault="000D20BE" w:rsidP="00CC39F1">
            <w:pPr>
              <w:rPr>
                <w:color w:val="000000"/>
              </w:rPr>
            </w:pPr>
            <w:r w:rsidRPr="00CC39F1">
              <w:rPr>
                <w:color w:val="000000"/>
              </w:rPr>
              <w:t>Printing</w:t>
            </w:r>
          </w:p>
        </w:tc>
        <w:tc>
          <w:tcPr>
            <w:tcW w:w="2004" w:type="dxa"/>
            <w:vAlign w:val="bottom"/>
          </w:tcPr>
          <w:p w:rsidR="000D20BE" w:rsidRPr="00CC39F1" w:rsidRDefault="000D20BE" w:rsidP="00CC39F1">
            <w:pPr>
              <w:jc w:val="right"/>
              <w:rPr>
                <w:color w:val="000000"/>
              </w:rPr>
            </w:pPr>
            <w:r w:rsidRPr="00CC39F1">
              <w:rPr>
                <w:color w:val="000000"/>
              </w:rPr>
              <w:t>0.45</w:t>
            </w:r>
          </w:p>
        </w:tc>
      </w:tr>
      <w:tr w:rsidR="000D20BE" w:rsidRPr="00CC39F1" w:rsidTr="000D20BE">
        <w:trPr>
          <w:trHeight w:val="402"/>
          <w:jc w:val="center"/>
        </w:trPr>
        <w:tc>
          <w:tcPr>
            <w:tcW w:w="2055" w:type="dxa"/>
            <w:shd w:val="clear" w:color="auto" w:fill="auto"/>
            <w:noWrap/>
            <w:vAlign w:val="bottom"/>
            <w:hideMark/>
          </w:tcPr>
          <w:p w:rsidR="000D20BE" w:rsidRPr="00CC39F1" w:rsidRDefault="000D20BE" w:rsidP="00CC39F1">
            <w:pPr>
              <w:rPr>
                <w:color w:val="000000"/>
              </w:rPr>
            </w:pPr>
            <w:r w:rsidRPr="00CC39F1">
              <w:rPr>
                <w:color w:val="000000"/>
              </w:rPr>
              <w:t>Postage</w:t>
            </w:r>
          </w:p>
        </w:tc>
        <w:tc>
          <w:tcPr>
            <w:tcW w:w="1917" w:type="dxa"/>
            <w:shd w:val="clear" w:color="auto" w:fill="auto"/>
            <w:noWrap/>
            <w:vAlign w:val="bottom"/>
            <w:hideMark/>
          </w:tcPr>
          <w:p w:rsidR="000D20BE" w:rsidRPr="00CC39F1" w:rsidRDefault="000D20BE" w:rsidP="00CC39F1">
            <w:pPr>
              <w:jc w:val="right"/>
              <w:rPr>
                <w:color w:val="000000"/>
                <w:u w:val="single"/>
              </w:rPr>
            </w:pPr>
            <w:r w:rsidRPr="00CC39F1">
              <w:rPr>
                <w:color w:val="000000"/>
                <w:u w:val="single"/>
              </w:rPr>
              <w:t>0.60</w:t>
            </w:r>
          </w:p>
        </w:tc>
        <w:tc>
          <w:tcPr>
            <w:tcW w:w="1744" w:type="dxa"/>
            <w:vAlign w:val="bottom"/>
          </w:tcPr>
          <w:p w:rsidR="000D20BE" w:rsidRPr="00CC39F1" w:rsidRDefault="000D20BE" w:rsidP="00CC39F1">
            <w:pPr>
              <w:rPr>
                <w:color w:val="000000"/>
              </w:rPr>
            </w:pPr>
            <w:r w:rsidRPr="00CC39F1">
              <w:rPr>
                <w:color w:val="000000"/>
              </w:rPr>
              <w:t>Postage</w:t>
            </w:r>
          </w:p>
        </w:tc>
        <w:tc>
          <w:tcPr>
            <w:tcW w:w="2004" w:type="dxa"/>
            <w:vAlign w:val="bottom"/>
          </w:tcPr>
          <w:p w:rsidR="000D20BE" w:rsidRPr="00CC39F1" w:rsidRDefault="000D20BE" w:rsidP="00CC39F1">
            <w:pPr>
              <w:jc w:val="right"/>
              <w:rPr>
                <w:color w:val="000000"/>
                <w:u w:val="single"/>
              </w:rPr>
            </w:pPr>
            <w:r w:rsidRPr="00CC39F1">
              <w:rPr>
                <w:color w:val="000000"/>
                <w:u w:val="single"/>
              </w:rPr>
              <w:t>0.60</w:t>
            </w:r>
          </w:p>
        </w:tc>
      </w:tr>
      <w:tr w:rsidR="000D20BE" w:rsidRPr="00CC39F1" w:rsidTr="000D20BE">
        <w:trPr>
          <w:trHeight w:val="402"/>
          <w:jc w:val="center"/>
        </w:trPr>
        <w:tc>
          <w:tcPr>
            <w:tcW w:w="2055" w:type="dxa"/>
            <w:shd w:val="clear" w:color="auto" w:fill="auto"/>
            <w:noWrap/>
            <w:vAlign w:val="bottom"/>
            <w:hideMark/>
          </w:tcPr>
          <w:p w:rsidR="000D20BE" w:rsidRPr="00CC39F1" w:rsidRDefault="000D20BE" w:rsidP="00CC39F1">
            <w:pPr>
              <w:rPr>
                <w:color w:val="000000"/>
              </w:rPr>
            </w:pPr>
            <w:r w:rsidRPr="00CC39F1">
              <w:rPr>
                <w:color w:val="000000"/>
              </w:rPr>
              <w:t>Total Cost</w:t>
            </w:r>
          </w:p>
        </w:tc>
        <w:tc>
          <w:tcPr>
            <w:tcW w:w="1917" w:type="dxa"/>
            <w:shd w:val="clear" w:color="auto" w:fill="auto"/>
            <w:noWrap/>
            <w:vAlign w:val="bottom"/>
            <w:hideMark/>
          </w:tcPr>
          <w:p w:rsidR="000D20BE" w:rsidRPr="00CC39F1" w:rsidRDefault="000D20BE" w:rsidP="00CC39F1">
            <w:pPr>
              <w:jc w:val="right"/>
              <w:rPr>
                <w:color w:val="000000"/>
                <w:u w:val="double"/>
              </w:rPr>
            </w:pPr>
            <w:r w:rsidRPr="00CC39F1">
              <w:rPr>
                <w:color w:val="000000"/>
                <w:u w:val="double"/>
              </w:rPr>
              <w:t xml:space="preserve">$8.55 </w:t>
            </w:r>
          </w:p>
        </w:tc>
        <w:tc>
          <w:tcPr>
            <w:tcW w:w="1744" w:type="dxa"/>
            <w:vAlign w:val="bottom"/>
          </w:tcPr>
          <w:p w:rsidR="000D20BE" w:rsidRPr="00CC39F1" w:rsidRDefault="000D20BE" w:rsidP="00CC39F1">
            <w:pPr>
              <w:rPr>
                <w:color w:val="000000"/>
              </w:rPr>
            </w:pPr>
            <w:r w:rsidRPr="00CC39F1">
              <w:rPr>
                <w:color w:val="000000"/>
              </w:rPr>
              <w:t>Total Cost</w:t>
            </w:r>
          </w:p>
        </w:tc>
        <w:tc>
          <w:tcPr>
            <w:tcW w:w="2004" w:type="dxa"/>
            <w:vAlign w:val="bottom"/>
          </w:tcPr>
          <w:p w:rsidR="000D20BE" w:rsidRPr="00CC39F1" w:rsidRDefault="000D20BE" w:rsidP="00CC39F1">
            <w:pPr>
              <w:jc w:val="right"/>
              <w:rPr>
                <w:color w:val="000000"/>
                <w:u w:val="double"/>
              </w:rPr>
            </w:pPr>
            <w:r w:rsidRPr="00CC39F1">
              <w:rPr>
                <w:color w:val="000000"/>
                <w:u w:val="double"/>
              </w:rPr>
              <w:t>$4.80</w:t>
            </w:r>
          </w:p>
        </w:tc>
      </w:tr>
    </w:tbl>
    <w:p w:rsidR="00CC39F1" w:rsidRPr="003D6186" w:rsidRDefault="00A053CB" w:rsidP="003D6186">
      <w:pPr>
        <w:spacing w:after="480"/>
        <w:ind w:left="630"/>
        <w:outlineLvl w:val="1"/>
        <w:rPr>
          <w:sz w:val="20"/>
          <w:szCs w:val="20"/>
        </w:rPr>
      </w:pPr>
      <w:r>
        <w:rPr>
          <w:sz w:val="20"/>
          <w:szCs w:val="20"/>
        </w:rPr>
        <w:t xml:space="preserve">    </w:t>
      </w:r>
      <w:r w:rsidR="00CC39F1" w:rsidRPr="003D6186">
        <w:rPr>
          <w:sz w:val="20"/>
          <w:szCs w:val="20"/>
        </w:rPr>
        <w:t>Source: Utility correspondence</w:t>
      </w:r>
    </w:p>
    <w:p w:rsidR="00CC39F1" w:rsidRPr="00CC39F1" w:rsidRDefault="00CC39F1" w:rsidP="00CC39F1">
      <w:pPr>
        <w:jc w:val="both"/>
        <w:rPr>
          <w:rFonts w:eastAsiaTheme="minorHAnsi"/>
        </w:rPr>
      </w:pPr>
      <w:r w:rsidRPr="00CC39F1">
        <w:rPr>
          <w:rFonts w:eastAsiaTheme="minorHAnsi"/>
        </w:rPr>
        <w:t>Based on staff’s research, since the late 1990s, the Commission has approved late payment charges ranging from $2.00 to $7.00.</w:t>
      </w:r>
      <w:r w:rsidRPr="00CC39F1">
        <w:rPr>
          <w:rFonts w:eastAsiaTheme="minorHAnsi"/>
          <w:vertAlign w:val="superscript"/>
        </w:rPr>
        <w:footnoteReference w:id="10"/>
      </w:r>
      <w:r w:rsidRPr="00CC39F1">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w:t>
      </w:r>
      <w:r w:rsidR="00D356A7">
        <w:rPr>
          <w:rFonts w:eastAsiaTheme="minorHAnsi"/>
        </w:rPr>
        <w:t>-</w:t>
      </w:r>
      <w:r w:rsidRPr="00CC39F1">
        <w:rPr>
          <w:rFonts w:eastAsiaTheme="minorHAnsi"/>
        </w:rPr>
        <w:t>causers.</w:t>
      </w:r>
    </w:p>
    <w:p w:rsidR="00CC39F1" w:rsidRPr="00CC39F1" w:rsidRDefault="00CC39F1" w:rsidP="00CC39F1">
      <w:pPr>
        <w:jc w:val="both"/>
        <w:rPr>
          <w:rFonts w:eastAsiaTheme="minorHAnsi"/>
        </w:rPr>
      </w:pPr>
    </w:p>
    <w:p w:rsidR="00B76339" w:rsidRDefault="00CC39F1" w:rsidP="00CC39F1">
      <w:pPr>
        <w:pStyle w:val="BodyText"/>
      </w:pPr>
      <w:r w:rsidRPr="00CC39F1">
        <w:rPr>
          <w:rFonts w:eastAsiaTheme="minorHAnsi"/>
        </w:rPr>
        <w:t>Based on the above, Sunny Shores</w:t>
      </w:r>
      <w:r w:rsidR="00BC2CBB">
        <w:rPr>
          <w:rFonts w:eastAsiaTheme="minorHAnsi"/>
        </w:rPr>
        <w:t>’</w:t>
      </w:r>
      <w:r w:rsidRPr="00CC39F1">
        <w:rPr>
          <w:rFonts w:eastAsiaTheme="minorHAnsi"/>
        </w:rPr>
        <w:t xml:space="preserve"> request to implement a late payment charge of </w:t>
      </w:r>
      <w:r w:rsidR="00D356A7">
        <w:rPr>
          <w:rFonts w:eastAsiaTheme="minorHAnsi"/>
        </w:rPr>
        <w:t>five</w:t>
      </w:r>
      <w:r w:rsidRPr="00CC39F1">
        <w:rPr>
          <w:rFonts w:eastAsiaTheme="minorHAnsi"/>
        </w:rPr>
        <w:t xml:space="preserve"> percent of the total customer’s bill should not be approved. However, staff’s recommended late payment charge of $5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Sunny Shores should provide proof of the date that the notice was given within 10 days of the date of the notice</w:t>
      </w:r>
      <w:r>
        <w:rPr>
          <w:rFonts w:eastAsiaTheme="minorHAnsi"/>
        </w:rPr>
        <w:t>.</w:t>
      </w:r>
    </w:p>
    <w:p w:rsidR="00B76339" w:rsidRDefault="00B76339">
      <w:pPr>
        <w:pStyle w:val="IssueHeading"/>
        <w:rPr>
          <w:vanish/>
          <w:specVanish/>
        </w:rPr>
      </w:pPr>
      <w:r w:rsidRPr="004C3641">
        <w:rPr>
          <w:b w:val="0"/>
          <w:i w:val="0"/>
        </w:rPr>
        <w:br w:type="page"/>
      </w:r>
      <w:r w:rsidRPr="004C3641">
        <w:lastRenderedPageBreak/>
        <w:t xml:space="preserve">Issue </w:t>
      </w:r>
      <w:r w:rsidR="00AC3617">
        <w:fldChar w:fldCharType="begin"/>
      </w:r>
      <w:r w:rsidR="00AC3617">
        <w:instrText xml:space="preserve"> SEQ Issue \* MERGEFORMAT </w:instrText>
      </w:r>
      <w:r w:rsidR="00AC3617">
        <w:fldChar w:fldCharType="separate"/>
      </w:r>
      <w:r w:rsidR="00C25C4F">
        <w:rPr>
          <w:noProof/>
        </w:rPr>
        <w:t>3</w:t>
      </w:r>
      <w:r w:rsidR="00AC361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25C4F">
        <w:rPr>
          <w:noProof/>
        </w:rPr>
        <w:instrText>3</w:instrText>
      </w:r>
      <w:r>
        <w:fldChar w:fldCharType="end"/>
      </w:r>
      <w:r>
        <w:tab/>
        <w:instrText xml:space="preserve">" \l 1 </w:instrText>
      </w:r>
      <w:r>
        <w:fldChar w:fldCharType="end"/>
      </w:r>
      <w:r>
        <w:t> </w:t>
      </w:r>
    </w:p>
    <w:p w:rsidR="00B76339" w:rsidRDefault="00B76339">
      <w:pPr>
        <w:pStyle w:val="BodyText"/>
      </w:pPr>
      <w:r>
        <w:t> Should this docket be closed?</w:t>
      </w:r>
    </w:p>
    <w:p w:rsidR="00B76339" w:rsidRPr="004C3641" w:rsidRDefault="00B76339">
      <w:pPr>
        <w:pStyle w:val="IssueSubsectionHeading"/>
        <w:rPr>
          <w:vanish/>
          <w:specVanish/>
        </w:rPr>
      </w:pPr>
      <w:r w:rsidRPr="004C3641">
        <w:t>Recommendation: </w:t>
      </w:r>
      <w:r w:rsidR="00DB5507" w:rsidRPr="00DB5507">
        <w:rPr>
          <w:rFonts w:ascii="Times New Roman" w:hAnsi="Times New Roman" w:cs="Times New Roman"/>
          <w:b w:val="0"/>
          <w:i w:val="0"/>
        </w:rPr>
        <w:t>No</w:t>
      </w:r>
      <w:r w:rsidR="00DB5507">
        <w:t>.</w:t>
      </w:r>
    </w:p>
    <w:p w:rsidR="0026564F" w:rsidRDefault="00B76339" w:rsidP="0026564F">
      <w:pPr>
        <w:pStyle w:val="IssueSubsectionHeading"/>
      </w:pPr>
      <w:r>
        <w:t> </w:t>
      </w:r>
      <w:bookmarkStart w:id="23" w:name="IssueRecommendation"/>
      <w:r w:rsidR="0026564F">
        <w:rPr>
          <w:rFonts w:ascii="Times New Roman" w:hAnsi="Times New Roman" w:cs="Times New Roman"/>
          <w:b w:val="0"/>
          <w:i w:val="0"/>
        </w:rPr>
        <w:t>The docket should remain open pending staff’s verification that the revised tariff sheets and customer notice have been filed by Sunny Shores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 has been given to customers, the docket should be administratively closed. (Leathers)</w:t>
      </w:r>
    </w:p>
    <w:p w:rsidR="0026564F" w:rsidRPr="004C3641" w:rsidRDefault="0026564F" w:rsidP="0026564F">
      <w:pPr>
        <w:pStyle w:val="IssueSubsectionHeading"/>
        <w:rPr>
          <w:vanish/>
          <w:specVanish/>
        </w:rPr>
      </w:pPr>
      <w:r w:rsidRPr="004C3641">
        <w:t>Staff Analysis: </w:t>
      </w:r>
    </w:p>
    <w:p w:rsidR="00B76339" w:rsidRDefault="0026564F" w:rsidP="0026564F">
      <w:pPr>
        <w:pStyle w:val="BodyText"/>
        <w:sectPr w:rsidR="00B7633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The docket should remain open pending staff’s verification that the revised tariff sheets and customer notice have been filed by Sunny Shores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charges has been given to customers, the docket should be administratively closed</w:t>
      </w:r>
      <w:r w:rsidR="005E2BD0">
        <w:t>.</w:t>
      </w:r>
    </w:p>
    <w:bookmarkEnd w:id="23"/>
    <w:p w:rsidR="00F912D4" w:rsidRDefault="00F912D4" w:rsidP="00EE3FAE">
      <w:pPr>
        <w:jc w:val="center"/>
      </w:pPr>
    </w:p>
    <w:p w:rsidR="00EE3FAE" w:rsidRDefault="00EE3FAE" w:rsidP="00EE3FAE">
      <w:pPr>
        <w:jc w:val="center"/>
      </w:pPr>
      <w:r>
        <w:t>SUNNY SHORES WATER COMPANY, INC.</w:t>
      </w:r>
    </w:p>
    <w:p w:rsidR="00EE3FAE" w:rsidRDefault="00EE3FAE" w:rsidP="00EE3FAE">
      <w:pPr>
        <w:jc w:val="center"/>
      </w:pPr>
      <w:r>
        <w:t>WATER SERVICE AREA</w:t>
      </w:r>
    </w:p>
    <w:p w:rsidR="00EE3FAE" w:rsidRDefault="00EE3FAE" w:rsidP="00EE3FAE">
      <w:pPr>
        <w:jc w:val="center"/>
      </w:pPr>
      <w:r>
        <w:t>MANATEE COUNTY</w:t>
      </w:r>
    </w:p>
    <w:p w:rsidR="00DE2ECC" w:rsidRDefault="00DE2ECC" w:rsidP="00EE3FAE">
      <w:pPr>
        <w:jc w:val="center"/>
      </w:pPr>
    </w:p>
    <w:p w:rsidR="00EE3FAE" w:rsidRDefault="00EE3FAE" w:rsidP="00EE3FAE">
      <w:pPr>
        <w:jc w:val="both"/>
      </w:pPr>
      <w:r>
        <w:t>Located in a portion of Manatee County, Florida, situated entirely within the Northwest 1/4 of Section 2, Township 35 South, Range 16 East, described as follows:</w:t>
      </w:r>
    </w:p>
    <w:p w:rsidR="00CC39F1" w:rsidRDefault="00CC39F1" w:rsidP="00EE3FAE">
      <w:pPr>
        <w:jc w:val="both"/>
      </w:pPr>
    </w:p>
    <w:p w:rsidR="00B76339" w:rsidRDefault="00EE3FAE" w:rsidP="00EE3FAE">
      <w:pPr>
        <w:pStyle w:val="BodyText"/>
      </w:pPr>
      <w:r>
        <w:t>Commence at the northwest corner of Section 2, Township 35 South, Range 16 East; thence run S 00</w:t>
      </w:r>
      <w:r>
        <w:rPr>
          <w:rFonts w:cstheme="minorHAnsi"/>
        </w:rPr>
        <w:t>°</w:t>
      </w:r>
      <w:r>
        <w:t>00'00" E a distance of 1,444 feet to the northerly ROW line of 40th Avenue West; thence run S 64</w:t>
      </w:r>
      <w:r>
        <w:rPr>
          <w:rFonts w:cstheme="minorHAnsi"/>
        </w:rPr>
        <w:t>°</w:t>
      </w:r>
      <w:r>
        <w:t>00'00" E along said ROW line a distance of 881 feet to the Point of Beginning; thence run N 24</w:t>
      </w:r>
      <w:r>
        <w:rPr>
          <w:rFonts w:cstheme="minorHAnsi"/>
        </w:rPr>
        <w:t>°</w:t>
      </w:r>
      <w:r>
        <w:t>00'00" E a distance of 1,468 feet along the westerly bank of a canal; thence continuing along the westerly bank of said canal run N 16</w:t>
      </w:r>
      <w:r w:rsidRPr="00B56A88">
        <w:t>°</w:t>
      </w:r>
      <w:r>
        <w:t>00'00" E a distance of 131 feet; thence continuing along said canal run N 26</w:t>
      </w:r>
      <w:r>
        <w:rPr>
          <w:rFonts w:cstheme="minorHAnsi"/>
        </w:rPr>
        <w:t>°</w:t>
      </w:r>
      <w:r>
        <w:t>00'00" E to the shoreline of Palma Sola Bay; thence run easterly along the shoreline of Palma Sola Bay a distance of approximately 1,000 feet to the point where a bulkhead intersects said shoreline; thence run along said bulkhead N 26</w:t>
      </w:r>
      <w:r>
        <w:rPr>
          <w:rFonts w:cstheme="minorHAnsi"/>
        </w:rPr>
        <w:t>°</w:t>
      </w:r>
      <w:r>
        <w:t>56'00" E a distance of 302.14 feet; thence continuing along said bulkhead run S 62</w:t>
      </w:r>
      <w:r>
        <w:rPr>
          <w:rFonts w:cstheme="minorHAnsi"/>
        </w:rPr>
        <w:t>°</w:t>
      </w:r>
      <w:r>
        <w:t>30'11" E a distance of 160.67 feet to the easterly ROW line of 115th Street West; thence run S 24</w:t>
      </w:r>
      <w:r>
        <w:rPr>
          <w:rFonts w:cstheme="minorHAnsi"/>
        </w:rPr>
        <w:t>°</w:t>
      </w:r>
      <w:r>
        <w:t>46'00" W along said ROW line a distance of 1,875 feet to the northerly ROW line of 40th Avenue West; thence run N 64</w:t>
      </w:r>
      <w:r>
        <w:rPr>
          <w:rFonts w:cstheme="minorHAnsi"/>
        </w:rPr>
        <w:t>°</w:t>
      </w:r>
      <w:r>
        <w:t>00'00" W along said ROW line a distance of approximately 1,069 feet to the Point of Beginning</w:t>
      </w:r>
      <w:r w:rsidR="00F912D4">
        <w:t>.</w:t>
      </w:r>
      <w:r w:rsidR="00B76339">
        <w:t xml:space="preserve"> </w:t>
      </w:r>
    </w:p>
    <w:p w:rsidR="00B76339" w:rsidRDefault="00B76339" w:rsidP="00E275D8">
      <w:pPr>
        <w:pStyle w:val="BodyText"/>
        <w:sectPr w:rsidR="00B76339" w:rsidSect="0068481F">
          <w:headerReference w:type="default" r:id="rId15"/>
          <w:pgSz w:w="12240" w:h="15840" w:code="1"/>
          <w:pgMar w:top="1584" w:right="1440" w:bottom="1440" w:left="1440" w:header="720" w:footer="720" w:gutter="0"/>
          <w:cols w:space="720"/>
          <w:formProt w:val="0"/>
          <w:docGrid w:linePitch="360"/>
        </w:sectPr>
      </w:pPr>
    </w:p>
    <w:p w:rsidR="00066630" w:rsidRDefault="00066630" w:rsidP="00720E7E">
      <w:pPr>
        <w:jc w:val="center"/>
        <w:rPr>
          <w:b/>
        </w:rPr>
      </w:pPr>
    </w:p>
    <w:p w:rsidR="00720E7E" w:rsidRPr="00A30CA9" w:rsidRDefault="00720E7E" w:rsidP="00720E7E">
      <w:pPr>
        <w:jc w:val="center"/>
        <w:rPr>
          <w:b/>
        </w:rPr>
      </w:pPr>
      <w:r w:rsidRPr="00A30CA9">
        <w:rPr>
          <w:b/>
        </w:rPr>
        <w:t>FLORIDA PUBLIC SERVICE COMMISSION</w:t>
      </w:r>
    </w:p>
    <w:p w:rsidR="00720E7E" w:rsidRPr="00A30CA9" w:rsidRDefault="00720E7E" w:rsidP="00720E7E">
      <w:pPr>
        <w:jc w:val="center"/>
        <w:rPr>
          <w:b/>
        </w:rPr>
      </w:pPr>
      <w:r w:rsidRPr="00A30CA9">
        <w:rPr>
          <w:b/>
        </w:rPr>
        <w:t>Authorizes</w:t>
      </w:r>
    </w:p>
    <w:p w:rsidR="00720E7E" w:rsidRPr="00A30CA9" w:rsidRDefault="00720E7E" w:rsidP="00720E7E">
      <w:pPr>
        <w:jc w:val="center"/>
        <w:rPr>
          <w:b/>
        </w:rPr>
      </w:pPr>
    </w:p>
    <w:p w:rsidR="00720E7E" w:rsidRPr="00A30CA9" w:rsidRDefault="00720E7E" w:rsidP="00720E7E">
      <w:pPr>
        <w:jc w:val="center"/>
        <w:rPr>
          <w:b/>
        </w:rPr>
      </w:pPr>
      <w:r w:rsidRPr="00A30CA9">
        <w:rPr>
          <w:b/>
        </w:rPr>
        <w:t>Sunny Shores Water Company, Inc.</w:t>
      </w:r>
    </w:p>
    <w:p w:rsidR="00720E7E" w:rsidRPr="00A30CA9" w:rsidRDefault="00720E7E" w:rsidP="00720E7E">
      <w:pPr>
        <w:jc w:val="center"/>
        <w:rPr>
          <w:b/>
        </w:rPr>
      </w:pPr>
      <w:r w:rsidRPr="00A30CA9">
        <w:rPr>
          <w:b/>
        </w:rPr>
        <w:t>Pursuant to</w:t>
      </w:r>
    </w:p>
    <w:p w:rsidR="00720E7E" w:rsidRPr="00A30CA9" w:rsidRDefault="00720E7E" w:rsidP="00720E7E">
      <w:pPr>
        <w:jc w:val="center"/>
        <w:rPr>
          <w:b/>
        </w:rPr>
      </w:pPr>
      <w:r w:rsidRPr="00A30CA9">
        <w:rPr>
          <w:b/>
        </w:rPr>
        <w:t>Certificate Number 578-W</w:t>
      </w:r>
    </w:p>
    <w:p w:rsidR="00720E7E" w:rsidRDefault="00720E7E" w:rsidP="00720E7E">
      <w:pPr>
        <w:jc w:val="both"/>
      </w:pPr>
    </w:p>
    <w:p w:rsidR="00720E7E" w:rsidRDefault="00720E7E" w:rsidP="00720E7E">
      <w:pPr>
        <w:jc w:val="both"/>
      </w:pPr>
      <w:r>
        <w:t xml:space="preserve">to provide wastewater service in Manatee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20E7E" w:rsidRDefault="00720E7E" w:rsidP="00720E7E">
      <w:pPr>
        <w:jc w:val="both"/>
      </w:pPr>
    </w:p>
    <w:p w:rsidR="00720E7E" w:rsidRDefault="00720E7E" w:rsidP="00720E7E">
      <w:pPr>
        <w:jc w:val="both"/>
      </w:pPr>
      <w:r w:rsidRPr="00A30CA9">
        <w:rPr>
          <w:u w:val="single"/>
        </w:rPr>
        <w:t>Order Number</w:t>
      </w:r>
      <w:r>
        <w:tab/>
      </w:r>
      <w:r>
        <w:tab/>
      </w:r>
      <w:r>
        <w:tab/>
      </w:r>
      <w:r w:rsidRPr="00A30CA9">
        <w:rPr>
          <w:u w:val="single"/>
        </w:rPr>
        <w:t>Date Issued</w:t>
      </w:r>
      <w:r>
        <w:tab/>
      </w:r>
      <w:r w:rsidRPr="00A30CA9">
        <w:rPr>
          <w:u w:val="single"/>
        </w:rPr>
        <w:t>Docket Number</w:t>
      </w:r>
      <w:r>
        <w:tab/>
      </w:r>
      <w:r w:rsidRPr="00A30CA9">
        <w:rPr>
          <w:u w:val="single"/>
        </w:rPr>
        <w:t>Filing Type</w:t>
      </w:r>
    </w:p>
    <w:p w:rsidR="00720E7E" w:rsidRDefault="00720E7E" w:rsidP="00720E7E">
      <w:pPr>
        <w:jc w:val="both"/>
      </w:pPr>
    </w:p>
    <w:p w:rsidR="00720E7E" w:rsidRDefault="00720E7E" w:rsidP="00720E7E">
      <w:pPr>
        <w:jc w:val="both"/>
      </w:pPr>
      <w:r>
        <w:t>PSC-96-0599-FOF-WS</w:t>
      </w:r>
      <w:r>
        <w:tab/>
        <w:t>05/07/1996</w:t>
      </w:r>
      <w:r>
        <w:tab/>
        <w:t>960028-WS</w:t>
      </w:r>
      <w:r>
        <w:tab/>
      </w:r>
      <w:r>
        <w:tab/>
        <w:t>Original Certificate</w:t>
      </w:r>
    </w:p>
    <w:p w:rsidR="00720E7E" w:rsidRDefault="00720E7E" w:rsidP="00720E7E">
      <w:pPr>
        <w:jc w:val="both"/>
      </w:pPr>
      <w:r>
        <w:t>*</w:t>
      </w:r>
      <w:r>
        <w:tab/>
      </w:r>
      <w:r>
        <w:tab/>
      </w:r>
      <w:r>
        <w:tab/>
      </w:r>
      <w:r>
        <w:tab/>
        <w:t>*</w:t>
      </w:r>
      <w:r>
        <w:tab/>
      </w:r>
      <w:r>
        <w:tab/>
        <w:t>160023-WU</w:t>
      </w:r>
      <w:r>
        <w:tab/>
      </w:r>
      <w:r>
        <w:tab/>
        <w:t xml:space="preserve">Transfer Majority </w:t>
      </w:r>
    </w:p>
    <w:p w:rsidR="00720E7E" w:rsidRDefault="00720E7E" w:rsidP="00720E7E">
      <w:pPr>
        <w:ind w:left="5760" w:firstLine="720"/>
        <w:jc w:val="both"/>
      </w:pPr>
      <w:r>
        <w:t>Organizational Control</w:t>
      </w:r>
    </w:p>
    <w:p w:rsidR="00720E7E" w:rsidRDefault="00720E7E" w:rsidP="00720E7E">
      <w:pPr>
        <w:jc w:val="both"/>
      </w:pPr>
    </w:p>
    <w:p w:rsidR="00720E7E" w:rsidRDefault="00720E7E" w:rsidP="00720E7E">
      <w:pPr>
        <w:jc w:val="both"/>
      </w:pPr>
    </w:p>
    <w:p w:rsidR="00905069" w:rsidRDefault="00720E7E" w:rsidP="00720E7E">
      <w:pPr>
        <w:pStyle w:val="BodyText"/>
        <w:rPr>
          <w:b/>
        </w:rPr>
        <w:sectPr w:rsidR="00905069" w:rsidSect="0068481F">
          <w:headerReference w:type="default" r:id="rId16"/>
          <w:pgSz w:w="12240" w:h="15840" w:code="1"/>
          <w:pgMar w:top="1584" w:right="1440" w:bottom="1440" w:left="1440" w:header="720" w:footer="720" w:gutter="0"/>
          <w:cols w:space="720"/>
          <w:formProt w:val="0"/>
          <w:docGrid w:linePitch="360"/>
        </w:sectPr>
      </w:pPr>
      <w:r>
        <w:t>*</w:t>
      </w:r>
      <w:r w:rsidRPr="00A30CA9">
        <w:rPr>
          <w:b/>
        </w:rPr>
        <w:t>Order Number and date to be provided at time of issuance</w:t>
      </w:r>
    </w:p>
    <w:p w:rsidR="00905069" w:rsidRPr="00905069" w:rsidRDefault="00905069" w:rsidP="00905069">
      <w:pPr>
        <w:spacing w:after="200" w:line="276" w:lineRule="auto"/>
        <w:rPr>
          <w:rFonts w:eastAsiaTheme="minorHAnsi"/>
        </w:rPr>
      </w:pPr>
    </w:p>
    <w:tbl>
      <w:tblPr>
        <w:tblStyle w:val="TableGrid1"/>
        <w:tblW w:w="99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050"/>
      </w:tblGrid>
      <w:tr w:rsidR="00905069" w:rsidRPr="00905069" w:rsidTr="00571D08">
        <w:trPr>
          <w:trHeight w:val="567"/>
        </w:trPr>
        <w:tc>
          <w:tcPr>
            <w:tcW w:w="9900" w:type="dxa"/>
            <w:gridSpan w:val="2"/>
          </w:tcPr>
          <w:p w:rsidR="00905069" w:rsidRPr="00905069" w:rsidRDefault="00905069" w:rsidP="00905069">
            <w:pPr>
              <w:spacing w:after="200" w:line="276" w:lineRule="auto"/>
              <w:jc w:val="center"/>
              <w:rPr>
                <w:rFonts w:ascii="Arial" w:hAnsi="Arial" w:cs="Arial"/>
                <w:b/>
              </w:rPr>
            </w:pPr>
            <w:r w:rsidRPr="00905069">
              <w:rPr>
                <w:rFonts w:ascii="Arial" w:hAnsi="Arial" w:cs="Arial"/>
                <w:b/>
              </w:rPr>
              <w:t xml:space="preserve">Sunny Shores Water Company, Inc. </w:t>
            </w:r>
          </w:p>
          <w:p w:rsidR="00905069" w:rsidRPr="00905069" w:rsidRDefault="00905069" w:rsidP="00905069">
            <w:pPr>
              <w:spacing w:after="200" w:line="276" w:lineRule="auto"/>
              <w:jc w:val="center"/>
              <w:rPr>
                <w:rFonts w:ascii="Arial" w:hAnsi="Arial" w:cs="Arial"/>
              </w:rPr>
            </w:pPr>
            <w:r w:rsidRPr="00905069">
              <w:rPr>
                <w:rFonts w:ascii="Arial" w:hAnsi="Arial" w:cs="Arial"/>
                <w:b/>
              </w:rPr>
              <w:t>Quarterly Water Rates</w:t>
            </w:r>
          </w:p>
        </w:tc>
      </w:tr>
      <w:tr w:rsidR="00905069" w:rsidRPr="00905069" w:rsidTr="00571D08">
        <w:tc>
          <w:tcPr>
            <w:tcW w:w="5850" w:type="dxa"/>
          </w:tcPr>
          <w:p w:rsidR="00905069" w:rsidRPr="00905069" w:rsidRDefault="00905069" w:rsidP="00905069">
            <w:pPr>
              <w:spacing w:after="200" w:line="276" w:lineRule="auto"/>
              <w:rPr>
                <w:rFonts w:ascii="Arial" w:hAnsi="Arial" w:cs="Arial"/>
                <w:b/>
              </w:rPr>
            </w:pPr>
          </w:p>
        </w:tc>
        <w:tc>
          <w:tcPr>
            <w:tcW w:w="4050" w:type="dxa"/>
          </w:tcPr>
          <w:p w:rsidR="00905069" w:rsidRPr="00905069" w:rsidRDefault="00905069" w:rsidP="00905069">
            <w:pPr>
              <w:spacing w:after="200" w:line="276" w:lineRule="auto"/>
              <w:jc w:val="right"/>
              <w:rPr>
                <w:rFonts w:ascii="Arial" w:hAnsi="Arial" w:cs="Arial"/>
              </w:rPr>
            </w:pPr>
          </w:p>
        </w:tc>
      </w:tr>
    </w:tbl>
    <w:tbl>
      <w:tblPr>
        <w:tblW w:w="9965" w:type="dxa"/>
        <w:jc w:val="center"/>
        <w:tblLook w:val="0000" w:firstRow="0" w:lastRow="0" w:firstColumn="0" w:lastColumn="0" w:noHBand="0" w:noVBand="0"/>
      </w:tblPr>
      <w:tblGrid>
        <w:gridCol w:w="5239"/>
        <w:gridCol w:w="1958"/>
        <w:gridCol w:w="2768"/>
      </w:tblGrid>
      <w:tr w:rsidR="00905069" w:rsidRPr="00905069" w:rsidTr="00571D08">
        <w:trPr>
          <w:trHeight w:val="220"/>
          <w:jc w:val="center"/>
        </w:trPr>
        <w:tc>
          <w:tcPr>
            <w:tcW w:w="7197" w:type="dxa"/>
            <w:gridSpan w:val="2"/>
            <w:shd w:val="clear" w:color="auto" w:fill="auto"/>
            <w:noWrap/>
            <w:vAlign w:val="bottom"/>
          </w:tcPr>
          <w:p w:rsidR="00905069" w:rsidRPr="00905069" w:rsidRDefault="00905069" w:rsidP="00905069">
            <w:pPr>
              <w:rPr>
                <w:rFonts w:eastAsiaTheme="minorHAnsi"/>
              </w:rPr>
            </w:pPr>
            <w:r w:rsidRPr="00905069">
              <w:rPr>
                <w:rFonts w:ascii="Arial" w:eastAsiaTheme="minorHAnsi" w:hAnsi="Arial" w:cs="Arial"/>
                <w:b/>
              </w:rPr>
              <w:t>Residential and General Service</w:t>
            </w:r>
          </w:p>
        </w:tc>
        <w:tc>
          <w:tcPr>
            <w:tcW w:w="2768" w:type="dxa"/>
            <w:shd w:val="clear" w:color="auto" w:fill="auto"/>
            <w:noWrap/>
            <w:vAlign w:val="bottom"/>
          </w:tcPr>
          <w:p w:rsidR="00905069" w:rsidRPr="00905069" w:rsidRDefault="00905069" w:rsidP="00905069">
            <w:pPr>
              <w:jc w:val="right"/>
              <w:rPr>
                <w:rFonts w:eastAsiaTheme="minorHAnsi"/>
              </w:rPr>
            </w:pPr>
          </w:p>
        </w:tc>
      </w:tr>
      <w:tr w:rsidR="00905069" w:rsidRPr="00905069" w:rsidTr="00571D08">
        <w:trPr>
          <w:trHeight w:val="220"/>
          <w:jc w:val="center"/>
        </w:trPr>
        <w:tc>
          <w:tcPr>
            <w:tcW w:w="7197" w:type="dxa"/>
            <w:gridSpan w:val="2"/>
            <w:shd w:val="clear" w:color="auto" w:fill="auto"/>
            <w:noWrap/>
            <w:vAlign w:val="bottom"/>
          </w:tcPr>
          <w:p w:rsidR="00905069" w:rsidRPr="00905069" w:rsidRDefault="00905069" w:rsidP="00905069">
            <w:pPr>
              <w:rPr>
                <w:rFonts w:eastAsiaTheme="minorHAnsi"/>
              </w:rPr>
            </w:pPr>
            <w:r w:rsidRPr="00905069">
              <w:rPr>
                <w:rFonts w:eastAsiaTheme="minorHAnsi"/>
              </w:rPr>
              <w:t>Base Facility Charge - All Meter Sizes</w:t>
            </w:r>
          </w:p>
        </w:tc>
        <w:tc>
          <w:tcPr>
            <w:tcW w:w="2768" w:type="dxa"/>
            <w:shd w:val="clear" w:color="auto" w:fill="auto"/>
            <w:noWrap/>
            <w:vAlign w:val="bottom"/>
          </w:tcPr>
          <w:p w:rsidR="00905069" w:rsidRPr="00905069" w:rsidRDefault="00905069" w:rsidP="00905069">
            <w:pPr>
              <w:jc w:val="right"/>
              <w:rPr>
                <w:rFonts w:eastAsiaTheme="minorHAnsi"/>
              </w:rPr>
            </w:pPr>
            <w:r w:rsidRPr="00905069">
              <w:rPr>
                <w:rFonts w:eastAsiaTheme="minorHAnsi"/>
              </w:rPr>
              <w:t>$69.85</w:t>
            </w:r>
          </w:p>
        </w:tc>
      </w:tr>
      <w:tr w:rsidR="00905069" w:rsidRPr="00905069" w:rsidTr="00571D08">
        <w:trPr>
          <w:trHeight w:val="220"/>
          <w:jc w:val="center"/>
        </w:trPr>
        <w:tc>
          <w:tcPr>
            <w:tcW w:w="7197" w:type="dxa"/>
            <w:gridSpan w:val="2"/>
            <w:shd w:val="clear" w:color="auto" w:fill="auto"/>
            <w:noWrap/>
            <w:vAlign w:val="bottom"/>
          </w:tcPr>
          <w:p w:rsidR="00905069" w:rsidRPr="00905069" w:rsidRDefault="00905069" w:rsidP="00905069">
            <w:pPr>
              <w:rPr>
                <w:rFonts w:eastAsiaTheme="minorHAnsi"/>
              </w:rPr>
            </w:pPr>
          </w:p>
        </w:tc>
        <w:tc>
          <w:tcPr>
            <w:tcW w:w="2768" w:type="dxa"/>
            <w:shd w:val="clear" w:color="auto" w:fill="auto"/>
            <w:noWrap/>
            <w:vAlign w:val="bottom"/>
          </w:tcPr>
          <w:p w:rsidR="00905069" w:rsidRPr="00905069" w:rsidRDefault="00905069" w:rsidP="00905069">
            <w:pPr>
              <w:jc w:val="right"/>
              <w:rPr>
                <w:rFonts w:eastAsiaTheme="minorHAnsi"/>
              </w:rPr>
            </w:pPr>
          </w:p>
        </w:tc>
      </w:tr>
      <w:tr w:rsidR="00905069" w:rsidRPr="00905069" w:rsidTr="00571D08">
        <w:trPr>
          <w:trHeight w:val="220"/>
          <w:jc w:val="center"/>
        </w:trPr>
        <w:tc>
          <w:tcPr>
            <w:tcW w:w="7197" w:type="dxa"/>
            <w:gridSpan w:val="2"/>
            <w:shd w:val="clear" w:color="auto" w:fill="auto"/>
            <w:noWrap/>
            <w:vAlign w:val="bottom"/>
          </w:tcPr>
          <w:p w:rsidR="00905069" w:rsidRPr="00905069" w:rsidRDefault="00905069" w:rsidP="00905069">
            <w:pPr>
              <w:rPr>
                <w:rFonts w:eastAsiaTheme="minorHAnsi"/>
              </w:rPr>
            </w:pPr>
            <w:r w:rsidRPr="00905069">
              <w:rPr>
                <w:rFonts w:eastAsiaTheme="minorHAnsi"/>
              </w:rPr>
              <w:t>Charge per 1,000 gallons – Residential and General Service</w:t>
            </w:r>
          </w:p>
        </w:tc>
        <w:tc>
          <w:tcPr>
            <w:tcW w:w="2768" w:type="dxa"/>
            <w:shd w:val="clear" w:color="auto" w:fill="auto"/>
            <w:noWrap/>
            <w:vAlign w:val="bottom"/>
          </w:tcPr>
          <w:p w:rsidR="00905069" w:rsidRPr="00905069" w:rsidRDefault="00905069" w:rsidP="00905069">
            <w:pPr>
              <w:jc w:val="right"/>
              <w:rPr>
                <w:rFonts w:eastAsiaTheme="minorHAnsi"/>
              </w:rPr>
            </w:pPr>
          </w:p>
        </w:tc>
      </w:tr>
      <w:tr w:rsidR="00905069" w:rsidRPr="00905069" w:rsidTr="00571D08">
        <w:trPr>
          <w:trHeight w:val="220"/>
          <w:jc w:val="center"/>
        </w:trPr>
        <w:tc>
          <w:tcPr>
            <w:tcW w:w="5239" w:type="dxa"/>
            <w:shd w:val="clear" w:color="auto" w:fill="auto"/>
            <w:noWrap/>
            <w:vAlign w:val="bottom"/>
          </w:tcPr>
          <w:p w:rsidR="00905069" w:rsidRPr="00905069" w:rsidRDefault="00905069" w:rsidP="00905069">
            <w:pPr>
              <w:rPr>
                <w:rFonts w:eastAsiaTheme="minorHAnsi"/>
              </w:rPr>
            </w:pPr>
            <w:r w:rsidRPr="00905069">
              <w:rPr>
                <w:rFonts w:eastAsiaTheme="minorHAnsi"/>
              </w:rPr>
              <w:t>0 – 10,800 gallons</w:t>
            </w:r>
          </w:p>
        </w:tc>
        <w:tc>
          <w:tcPr>
            <w:tcW w:w="1958" w:type="dxa"/>
          </w:tcPr>
          <w:p w:rsidR="00905069" w:rsidRPr="00905069" w:rsidRDefault="00905069" w:rsidP="00905069">
            <w:pPr>
              <w:jc w:val="right"/>
              <w:rPr>
                <w:rFonts w:eastAsiaTheme="minorHAnsi"/>
              </w:rPr>
            </w:pPr>
          </w:p>
        </w:tc>
        <w:tc>
          <w:tcPr>
            <w:tcW w:w="2768" w:type="dxa"/>
            <w:shd w:val="clear" w:color="auto" w:fill="auto"/>
            <w:noWrap/>
            <w:vAlign w:val="bottom"/>
          </w:tcPr>
          <w:p w:rsidR="00905069" w:rsidRPr="00905069" w:rsidRDefault="00905069" w:rsidP="00905069">
            <w:pPr>
              <w:jc w:val="right"/>
              <w:rPr>
                <w:rFonts w:eastAsiaTheme="minorHAnsi"/>
              </w:rPr>
            </w:pPr>
            <w:r w:rsidRPr="00905069">
              <w:rPr>
                <w:rFonts w:eastAsiaTheme="minorHAnsi"/>
              </w:rPr>
              <w:t>$0.00</w:t>
            </w:r>
          </w:p>
        </w:tc>
      </w:tr>
      <w:tr w:rsidR="00905069" w:rsidRPr="00905069" w:rsidTr="00571D08">
        <w:trPr>
          <w:trHeight w:val="220"/>
          <w:jc w:val="center"/>
        </w:trPr>
        <w:tc>
          <w:tcPr>
            <w:tcW w:w="5239" w:type="dxa"/>
            <w:shd w:val="clear" w:color="auto" w:fill="auto"/>
            <w:noWrap/>
            <w:vAlign w:val="bottom"/>
          </w:tcPr>
          <w:p w:rsidR="00905069" w:rsidRPr="00905069" w:rsidRDefault="00905069" w:rsidP="00905069">
            <w:pPr>
              <w:rPr>
                <w:rFonts w:eastAsiaTheme="minorHAnsi"/>
              </w:rPr>
            </w:pPr>
            <w:r w:rsidRPr="00905069">
              <w:rPr>
                <w:rFonts w:eastAsiaTheme="minorHAnsi"/>
              </w:rPr>
              <w:t>Over 10,800 gallons</w:t>
            </w:r>
          </w:p>
        </w:tc>
        <w:tc>
          <w:tcPr>
            <w:tcW w:w="1958" w:type="dxa"/>
          </w:tcPr>
          <w:p w:rsidR="00905069" w:rsidRPr="00905069" w:rsidRDefault="00905069" w:rsidP="00905069">
            <w:pPr>
              <w:jc w:val="right"/>
              <w:rPr>
                <w:rFonts w:eastAsiaTheme="minorHAnsi"/>
              </w:rPr>
            </w:pPr>
          </w:p>
        </w:tc>
        <w:tc>
          <w:tcPr>
            <w:tcW w:w="2768" w:type="dxa"/>
            <w:shd w:val="clear" w:color="auto" w:fill="auto"/>
            <w:noWrap/>
            <w:vAlign w:val="bottom"/>
          </w:tcPr>
          <w:p w:rsidR="00905069" w:rsidRPr="00905069" w:rsidRDefault="00905069" w:rsidP="00905069">
            <w:pPr>
              <w:jc w:val="right"/>
              <w:rPr>
                <w:rFonts w:eastAsiaTheme="minorHAnsi"/>
              </w:rPr>
            </w:pPr>
            <w:r w:rsidRPr="00905069">
              <w:rPr>
                <w:rFonts w:eastAsiaTheme="minorHAnsi"/>
              </w:rPr>
              <w:t>$4.78</w:t>
            </w:r>
          </w:p>
        </w:tc>
      </w:tr>
      <w:tr w:rsidR="00905069" w:rsidRPr="00905069" w:rsidTr="00571D08">
        <w:trPr>
          <w:trHeight w:val="220"/>
          <w:jc w:val="center"/>
        </w:trPr>
        <w:tc>
          <w:tcPr>
            <w:tcW w:w="5239" w:type="dxa"/>
            <w:shd w:val="clear" w:color="auto" w:fill="auto"/>
            <w:noWrap/>
            <w:vAlign w:val="bottom"/>
          </w:tcPr>
          <w:p w:rsidR="00905069" w:rsidRPr="00905069" w:rsidRDefault="00905069" w:rsidP="00905069">
            <w:pPr>
              <w:rPr>
                <w:rFonts w:eastAsiaTheme="minorHAnsi"/>
              </w:rPr>
            </w:pPr>
          </w:p>
        </w:tc>
        <w:tc>
          <w:tcPr>
            <w:tcW w:w="1958" w:type="dxa"/>
          </w:tcPr>
          <w:p w:rsidR="00905069" w:rsidRPr="00905069" w:rsidRDefault="00905069" w:rsidP="00905069">
            <w:pPr>
              <w:jc w:val="right"/>
              <w:rPr>
                <w:rFonts w:eastAsiaTheme="minorHAnsi"/>
              </w:rPr>
            </w:pPr>
          </w:p>
        </w:tc>
        <w:tc>
          <w:tcPr>
            <w:tcW w:w="2768" w:type="dxa"/>
            <w:shd w:val="clear" w:color="auto" w:fill="auto"/>
            <w:noWrap/>
            <w:vAlign w:val="bottom"/>
          </w:tcPr>
          <w:p w:rsidR="00905069" w:rsidRPr="00905069" w:rsidRDefault="00905069" w:rsidP="00905069">
            <w:pPr>
              <w:jc w:val="right"/>
              <w:rPr>
                <w:rFonts w:eastAsiaTheme="minorHAnsi"/>
              </w:rPr>
            </w:pPr>
          </w:p>
        </w:tc>
      </w:tr>
    </w:tbl>
    <w:tbl>
      <w:tblPr>
        <w:tblStyle w:val="TableGrid1"/>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410"/>
      </w:tblGrid>
      <w:tr w:rsidR="00905069" w:rsidRPr="00905069" w:rsidTr="00571D08">
        <w:tc>
          <w:tcPr>
            <w:tcW w:w="5670" w:type="dxa"/>
          </w:tcPr>
          <w:p w:rsidR="00905069" w:rsidRPr="00905069" w:rsidRDefault="00905069" w:rsidP="00905069">
            <w:pPr>
              <w:spacing w:after="200" w:line="276" w:lineRule="auto"/>
              <w:rPr>
                <w:rFonts w:ascii="Arial" w:hAnsi="Arial" w:cs="Arial"/>
              </w:rPr>
            </w:pPr>
          </w:p>
        </w:tc>
        <w:tc>
          <w:tcPr>
            <w:tcW w:w="4410" w:type="dxa"/>
          </w:tcPr>
          <w:p w:rsidR="00905069" w:rsidRPr="00905069" w:rsidRDefault="00905069" w:rsidP="00905069">
            <w:pPr>
              <w:spacing w:after="200" w:line="276" w:lineRule="auto"/>
              <w:jc w:val="right"/>
              <w:rPr>
                <w:rFonts w:ascii="Arial" w:hAnsi="Arial" w:cs="Arial"/>
              </w:rPr>
            </w:pPr>
          </w:p>
        </w:tc>
      </w:tr>
      <w:tr w:rsidR="00905069" w:rsidRPr="00905069" w:rsidTr="00571D08">
        <w:tc>
          <w:tcPr>
            <w:tcW w:w="10080" w:type="dxa"/>
            <w:gridSpan w:val="2"/>
          </w:tcPr>
          <w:p w:rsidR="00905069" w:rsidRPr="00905069" w:rsidRDefault="00905069" w:rsidP="00905069">
            <w:pPr>
              <w:spacing w:after="200" w:line="276" w:lineRule="auto"/>
              <w:jc w:val="center"/>
              <w:rPr>
                <w:rFonts w:ascii="Arial" w:hAnsi="Arial" w:cs="Arial"/>
                <w:b/>
              </w:rPr>
            </w:pPr>
            <w:r w:rsidRPr="00905069">
              <w:rPr>
                <w:rFonts w:ascii="Arial" w:hAnsi="Arial" w:cs="Arial"/>
                <w:b/>
              </w:rPr>
              <w:t>Miscellaneous Service Charges</w:t>
            </w:r>
          </w:p>
        </w:tc>
      </w:tr>
      <w:tr w:rsidR="00905069" w:rsidRPr="00905069" w:rsidTr="00571D08">
        <w:trPr>
          <w:trHeight w:val="285"/>
        </w:trPr>
        <w:tc>
          <w:tcPr>
            <w:tcW w:w="5670" w:type="dxa"/>
          </w:tcPr>
          <w:p w:rsidR="00905069" w:rsidRPr="00905069" w:rsidRDefault="00905069" w:rsidP="00905069">
            <w:pPr>
              <w:spacing w:after="200" w:line="276" w:lineRule="auto"/>
              <w:rPr>
                <w:rFonts w:ascii="Arial" w:hAnsi="Arial" w:cs="Arial"/>
                <w:b/>
              </w:rPr>
            </w:pPr>
          </w:p>
        </w:tc>
        <w:tc>
          <w:tcPr>
            <w:tcW w:w="4410" w:type="dxa"/>
          </w:tcPr>
          <w:p w:rsidR="00905069" w:rsidRPr="00905069" w:rsidRDefault="00905069" w:rsidP="00905069">
            <w:pPr>
              <w:spacing w:after="200" w:line="276" w:lineRule="auto"/>
              <w:jc w:val="right"/>
              <w:rPr>
                <w:rFonts w:ascii="Arial" w:hAnsi="Arial" w:cs="Arial"/>
              </w:rPr>
            </w:pPr>
          </w:p>
        </w:tc>
      </w:tr>
      <w:tr w:rsidR="00905069" w:rsidRPr="00905069" w:rsidTr="00571D08">
        <w:trPr>
          <w:trHeight w:val="285"/>
        </w:trPr>
        <w:tc>
          <w:tcPr>
            <w:tcW w:w="5670" w:type="dxa"/>
          </w:tcPr>
          <w:p w:rsidR="00905069" w:rsidRPr="00905069" w:rsidRDefault="00905069" w:rsidP="00905069">
            <w:pPr>
              <w:spacing w:after="200" w:line="276" w:lineRule="auto"/>
            </w:pPr>
            <w:r w:rsidRPr="00905069">
              <w:t>Initial Connection Charge</w:t>
            </w:r>
          </w:p>
        </w:tc>
        <w:tc>
          <w:tcPr>
            <w:tcW w:w="4410" w:type="dxa"/>
          </w:tcPr>
          <w:p w:rsidR="00905069" w:rsidRPr="00905069" w:rsidRDefault="00905069" w:rsidP="00905069">
            <w:pPr>
              <w:spacing w:after="200" w:line="276" w:lineRule="auto"/>
              <w:jc w:val="right"/>
            </w:pPr>
            <w:r w:rsidRPr="00905069">
              <w:t>$18.19</w:t>
            </w:r>
          </w:p>
        </w:tc>
      </w:tr>
      <w:tr w:rsidR="00905069" w:rsidRPr="00905069" w:rsidTr="00571D08">
        <w:trPr>
          <w:trHeight w:val="285"/>
        </w:trPr>
        <w:tc>
          <w:tcPr>
            <w:tcW w:w="5670" w:type="dxa"/>
          </w:tcPr>
          <w:p w:rsidR="00905069" w:rsidRPr="00905069" w:rsidRDefault="00905069" w:rsidP="00905069">
            <w:pPr>
              <w:spacing w:after="200" w:line="276" w:lineRule="auto"/>
            </w:pPr>
            <w:r w:rsidRPr="00905069">
              <w:t>Normal Reconnection Charge</w:t>
            </w:r>
          </w:p>
        </w:tc>
        <w:tc>
          <w:tcPr>
            <w:tcW w:w="4410" w:type="dxa"/>
          </w:tcPr>
          <w:p w:rsidR="00905069" w:rsidRPr="00905069" w:rsidRDefault="00905069" w:rsidP="00905069">
            <w:pPr>
              <w:spacing w:after="200" w:line="276" w:lineRule="auto"/>
              <w:jc w:val="right"/>
            </w:pPr>
            <w:r w:rsidRPr="00905069">
              <w:t>$18.19</w:t>
            </w:r>
          </w:p>
        </w:tc>
      </w:tr>
      <w:tr w:rsidR="00905069" w:rsidRPr="00905069" w:rsidTr="00571D08">
        <w:trPr>
          <w:trHeight w:val="285"/>
        </w:trPr>
        <w:tc>
          <w:tcPr>
            <w:tcW w:w="5670" w:type="dxa"/>
          </w:tcPr>
          <w:p w:rsidR="00905069" w:rsidRPr="00905069" w:rsidRDefault="00905069" w:rsidP="00905069">
            <w:pPr>
              <w:spacing w:after="200" w:line="276" w:lineRule="auto"/>
            </w:pPr>
            <w:r w:rsidRPr="00905069">
              <w:t>Violation Reconnection Charge</w:t>
            </w:r>
          </w:p>
        </w:tc>
        <w:tc>
          <w:tcPr>
            <w:tcW w:w="4410" w:type="dxa"/>
          </w:tcPr>
          <w:p w:rsidR="00905069" w:rsidRPr="00905069" w:rsidRDefault="00905069" w:rsidP="00905069">
            <w:pPr>
              <w:spacing w:after="200" w:line="276" w:lineRule="auto"/>
              <w:jc w:val="right"/>
            </w:pPr>
            <w:r w:rsidRPr="00905069">
              <w:t>$18.19</w:t>
            </w:r>
          </w:p>
        </w:tc>
      </w:tr>
      <w:tr w:rsidR="00905069" w:rsidRPr="00905069" w:rsidTr="00571D08">
        <w:trPr>
          <w:trHeight w:val="285"/>
        </w:trPr>
        <w:tc>
          <w:tcPr>
            <w:tcW w:w="5670" w:type="dxa"/>
          </w:tcPr>
          <w:p w:rsidR="00905069" w:rsidRPr="00905069" w:rsidRDefault="00905069" w:rsidP="00905069">
            <w:pPr>
              <w:spacing w:after="200" w:line="276" w:lineRule="auto"/>
            </w:pPr>
            <w:r w:rsidRPr="00905069">
              <w:t>Premise Visit Charge (in lieu of disconnection)</w:t>
            </w:r>
          </w:p>
        </w:tc>
        <w:tc>
          <w:tcPr>
            <w:tcW w:w="4410" w:type="dxa"/>
          </w:tcPr>
          <w:p w:rsidR="00905069" w:rsidRPr="00905069" w:rsidRDefault="00905069" w:rsidP="00905069">
            <w:pPr>
              <w:spacing w:after="200" w:line="276" w:lineRule="auto"/>
              <w:jc w:val="right"/>
            </w:pPr>
            <w:r w:rsidRPr="00905069">
              <w:t>$11.87</w:t>
            </w:r>
          </w:p>
        </w:tc>
      </w:tr>
      <w:tr w:rsidR="00905069" w:rsidRPr="00905069" w:rsidTr="00571D08">
        <w:trPr>
          <w:trHeight w:val="285"/>
        </w:trPr>
        <w:tc>
          <w:tcPr>
            <w:tcW w:w="5670" w:type="dxa"/>
          </w:tcPr>
          <w:p w:rsidR="00905069" w:rsidRPr="00905069" w:rsidRDefault="00905069" w:rsidP="00905069">
            <w:pPr>
              <w:spacing w:after="200" w:line="276" w:lineRule="auto"/>
              <w:rPr>
                <w:rFonts w:ascii="Arial" w:hAnsi="Arial" w:cs="Arial"/>
              </w:rPr>
            </w:pPr>
          </w:p>
        </w:tc>
        <w:tc>
          <w:tcPr>
            <w:tcW w:w="4410" w:type="dxa"/>
          </w:tcPr>
          <w:p w:rsidR="00905069" w:rsidRPr="00905069" w:rsidRDefault="00905069" w:rsidP="00905069">
            <w:pPr>
              <w:spacing w:after="200" w:line="276" w:lineRule="auto"/>
              <w:jc w:val="right"/>
              <w:rPr>
                <w:rFonts w:ascii="Arial" w:hAnsi="Arial" w:cs="Arial"/>
              </w:rPr>
            </w:pPr>
          </w:p>
        </w:tc>
      </w:tr>
      <w:tr w:rsidR="00905069" w:rsidRPr="00905069" w:rsidTr="00571D08">
        <w:trPr>
          <w:trHeight w:val="285"/>
        </w:trPr>
        <w:tc>
          <w:tcPr>
            <w:tcW w:w="5670" w:type="dxa"/>
          </w:tcPr>
          <w:p w:rsidR="00905069" w:rsidRPr="00905069" w:rsidRDefault="00905069" w:rsidP="00905069">
            <w:pPr>
              <w:spacing w:after="200" w:line="276" w:lineRule="auto"/>
              <w:rPr>
                <w:rFonts w:ascii="Arial" w:hAnsi="Arial" w:cs="Arial"/>
              </w:rPr>
            </w:pPr>
          </w:p>
        </w:tc>
        <w:tc>
          <w:tcPr>
            <w:tcW w:w="4410" w:type="dxa"/>
          </w:tcPr>
          <w:p w:rsidR="00905069" w:rsidRPr="00905069" w:rsidRDefault="00905069" w:rsidP="00905069">
            <w:pPr>
              <w:spacing w:after="200" w:line="276" w:lineRule="auto"/>
              <w:jc w:val="right"/>
              <w:rPr>
                <w:rFonts w:ascii="Arial" w:hAnsi="Arial" w:cs="Arial"/>
              </w:rPr>
            </w:pPr>
          </w:p>
        </w:tc>
      </w:tr>
      <w:tr w:rsidR="00905069" w:rsidRPr="00905069" w:rsidTr="00571D08">
        <w:trPr>
          <w:trHeight w:val="285"/>
        </w:trPr>
        <w:tc>
          <w:tcPr>
            <w:tcW w:w="10080" w:type="dxa"/>
            <w:gridSpan w:val="2"/>
          </w:tcPr>
          <w:p w:rsidR="00905069" w:rsidRPr="00905069" w:rsidRDefault="00905069" w:rsidP="00905069">
            <w:pPr>
              <w:spacing w:after="200" w:line="276" w:lineRule="auto"/>
              <w:jc w:val="center"/>
              <w:rPr>
                <w:rFonts w:ascii="Arial" w:hAnsi="Arial" w:cs="Arial"/>
                <w:b/>
              </w:rPr>
            </w:pPr>
            <w:r w:rsidRPr="00905069">
              <w:rPr>
                <w:rFonts w:ascii="Arial" w:hAnsi="Arial" w:cs="Arial"/>
                <w:b/>
              </w:rPr>
              <w:t>Service Availability Charges</w:t>
            </w:r>
          </w:p>
        </w:tc>
      </w:tr>
      <w:tr w:rsidR="00905069" w:rsidRPr="00905069" w:rsidTr="00571D08">
        <w:trPr>
          <w:trHeight w:val="285"/>
        </w:trPr>
        <w:tc>
          <w:tcPr>
            <w:tcW w:w="5670" w:type="dxa"/>
          </w:tcPr>
          <w:p w:rsidR="00905069" w:rsidRPr="00905069" w:rsidRDefault="00905069" w:rsidP="00905069">
            <w:pPr>
              <w:spacing w:after="200" w:line="276" w:lineRule="auto"/>
              <w:rPr>
                <w:rFonts w:ascii="Arial" w:hAnsi="Arial" w:cs="Arial"/>
              </w:rPr>
            </w:pPr>
          </w:p>
        </w:tc>
        <w:tc>
          <w:tcPr>
            <w:tcW w:w="4410" w:type="dxa"/>
          </w:tcPr>
          <w:p w:rsidR="00905069" w:rsidRPr="00905069" w:rsidRDefault="00905069" w:rsidP="00905069">
            <w:pPr>
              <w:spacing w:after="200" w:line="276" w:lineRule="auto"/>
              <w:jc w:val="right"/>
              <w:rPr>
                <w:rFonts w:ascii="Arial" w:hAnsi="Arial" w:cs="Arial"/>
              </w:rPr>
            </w:pPr>
          </w:p>
        </w:tc>
      </w:tr>
      <w:tr w:rsidR="00905069" w:rsidRPr="00905069" w:rsidTr="00571D08">
        <w:trPr>
          <w:trHeight w:val="285"/>
        </w:trPr>
        <w:tc>
          <w:tcPr>
            <w:tcW w:w="5670" w:type="dxa"/>
          </w:tcPr>
          <w:p w:rsidR="00905069" w:rsidRPr="00905069" w:rsidRDefault="00905069" w:rsidP="00905069">
            <w:pPr>
              <w:spacing w:after="200" w:line="276" w:lineRule="auto"/>
            </w:pPr>
            <w:r w:rsidRPr="00905069">
              <w:t>Meter Installation Charge</w:t>
            </w:r>
          </w:p>
        </w:tc>
        <w:tc>
          <w:tcPr>
            <w:tcW w:w="4410" w:type="dxa"/>
          </w:tcPr>
          <w:p w:rsidR="00905069" w:rsidRPr="00905069" w:rsidRDefault="00905069" w:rsidP="00905069">
            <w:pPr>
              <w:spacing w:after="200" w:line="276" w:lineRule="auto"/>
              <w:jc w:val="right"/>
            </w:pPr>
          </w:p>
        </w:tc>
      </w:tr>
      <w:tr w:rsidR="00905069" w:rsidRPr="00905069" w:rsidTr="00571D08">
        <w:trPr>
          <w:trHeight w:val="285"/>
        </w:trPr>
        <w:tc>
          <w:tcPr>
            <w:tcW w:w="5670" w:type="dxa"/>
          </w:tcPr>
          <w:p w:rsidR="00905069" w:rsidRPr="00905069" w:rsidRDefault="00905069" w:rsidP="00905069">
            <w:pPr>
              <w:spacing w:after="200" w:line="276" w:lineRule="auto"/>
            </w:pPr>
            <w:r w:rsidRPr="00905069">
              <w:t>5/8” x 3/4"</w:t>
            </w:r>
          </w:p>
        </w:tc>
        <w:tc>
          <w:tcPr>
            <w:tcW w:w="4410" w:type="dxa"/>
          </w:tcPr>
          <w:p w:rsidR="00905069" w:rsidRPr="00905069" w:rsidRDefault="00905069" w:rsidP="00905069">
            <w:pPr>
              <w:spacing w:after="200" w:line="276" w:lineRule="auto"/>
              <w:jc w:val="right"/>
            </w:pPr>
            <w:r w:rsidRPr="00905069">
              <w:t>$115.00</w:t>
            </w:r>
          </w:p>
        </w:tc>
      </w:tr>
      <w:tr w:rsidR="00905069" w:rsidRPr="00905069" w:rsidTr="00571D08">
        <w:trPr>
          <w:trHeight w:val="285"/>
        </w:trPr>
        <w:tc>
          <w:tcPr>
            <w:tcW w:w="5670" w:type="dxa"/>
          </w:tcPr>
          <w:p w:rsidR="00905069" w:rsidRPr="00905069" w:rsidRDefault="00905069" w:rsidP="00905069">
            <w:pPr>
              <w:spacing w:after="200" w:line="276" w:lineRule="auto"/>
              <w:rPr>
                <w:rFonts w:ascii="Arial" w:hAnsi="Arial" w:cs="Arial"/>
              </w:rPr>
            </w:pPr>
          </w:p>
        </w:tc>
        <w:tc>
          <w:tcPr>
            <w:tcW w:w="4410" w:type="dxa"/>
          </w:tcPr>
          <w:p w:rsidR="00905069" w:rsidRPr="00905069" w:rsidRDefault="00905069" w:rsidP="00905069">
            <w:pPr>
              <w:spacing w:after="200" w:line="276" w:lineRule="auto"/>
              <w:jc w:val="right"/>
              <w:rPr>
                <w:rFonts w:ascii="Arial" w:hAnsi="Arial" w:cs="Arial"/>
              </w:rPr>
            </w:pPr>
          </w:p>
        </w:tc>
      </w:tr>
    </w:tbl>
    <w:p w:rsidR="00905069" w:rsidRPr="00905069" w:rsidRDefault="00905069" w:rsidP="00905069">
      <w:pPr>
        <w:spacing w:after="200" w:line="276" w:lineRule="auto"/>
        <w:jc w:val="both"/>
        <w:rPr>
          <w:rFonts w:eastAsiaTheme="minorHAnsi"/>
        </w:rPr>
      </w:pPr>
    </w:p>
    <w:p w:rsidR="00905069" w:rsidRDefault="00905069" w:rsidP="00720E7E">
      <w:pPr>
        <w:pStyle w:val="BodyText"/>
      </w:pPr>
    </w:p>
    <w:sectPr w:rsidR="00905069"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39" w:rsidRDefault="00B76339">
      <w:r>
        <w:separator/>
      </w:r>
    </w:p>
  </w:endnote>
  <w:endnote w:type="continuationSeparator" w:id="0">
    <w:p w:rsidR="00B76339" w:rsidRDefault="00B7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911A6">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39" w:rsidRDefault="00B76339">
      <w:r>
        <w:separator/>
      </w:r>
    </w:p>
  </w:footnote>
  <w:footnote w:type="continuationSeparator" w:id="0">
    <w:p w:rsidR="00B76339" w:rsidRDefault="00B76339">
      <w:r>
        <w:continuationSeparator/>
      </w:r>
    </w:p>
  </w:footnote>
  <w:footnote w:id="1">
    <w:p w:rsidR="000E2DF0" w:rsidRPr="000E2DF0" w:rsidRDefault="000E2DF0">
      <w:pPr>
        <w:pStyle w:val="FootnoteText"/>
        <w:rPr>
          <w:i/>
        </w:rPr>
      </w:pPr>
      <w:r>
        <w:rPr>
          <w:rStyle w:val="FootnoteReference"/>
        </w:rPr>
        <w:footnoteRef/>
      </w:r>
      <w:r w:rsidRPr="0033307D">
        <w:t xml:space="preserve">Order No. </w:t>
      </w:r>
      <w:r w:rsidRPr="000E2DF0">
        <w:t>PSC-96-0599-FOF-WS</w:t>
      </w:r>
      <w:r w:rsidRPr="0033307D">
        <w:t xml:space="preserve">, issued </w:t>
      </w:r>
      <w:r>
        <w:t>on May</w:t>
      </w:r>
      <w:r w:rsidRPr="0033307D">
        <w:t xml:space="preserve"> </w:t>
      </w:r>
      <w:r>
        <w:t>7</w:t>
      </w:r>
      <w:r w:rsidRPr="0033307D">
        <w:t xml:space="preserve">, </w:t>
      </w:r>
      <w:r>
        <w:t>1996, in Docket No. 960028-WS</w:t>
      </w:r>
      <w:r w:rsidR="00997094">
        <w:t>,</w:t>
      </w:r>
      <w:r>
        <w:t xml:space="preserve"> </w:t>
      </w:r>
      <w:r>
        <w:rPr>
          <w:i/>
        </w:rPr>
        <w:t xml:space="preserve">In re: </w:t>
      </w:r>
      <w:r w:rsidRPr="000E2DF0">
        <w:rPr>
          <w:i/>
        </w:rPr>
        <w:t>Application for certificates to provide water and wastewater service in Manatee County by Sunny Shores Water Co., Inc. under grandfather rights.</w:t>
      </w:r>
    </w:p>
  </w:footnote>
  <w:footnote w:id="2">
    <w:p w:rsidR="00997094" w:rsidRPr="00997094" w:rsidRDefault="00997094">
      <w:pPr>
        <w:pStyle w:val="FootnoteText"/>
        <w:rPr>
          <w:i/>
        </w:rPr>
      </w:pPr>
      <w:r>
        <w:rPr>
          <w:rStyle w:val="FootnoteReference"/>
        </w:rPr>
        <w:footnoteRef/>
      </w:r>
      <w:r>
        <w:t xml:space="preserve">Order No. </w:t>
      </w:r>
      <w:r w:rsidRPr="00997094">
        <w:t>PSC-16-0209-PCO-WU</w:t>
      </w:r>
      <w:r>
        <w:t xml:space="preserve">, issued on May 24, 2016, in Docket No. 160023-WU, </w:t>
      </w:r>
      <w:r>
        <w:rPr>
          <w:i/>
        </w:rPr>
        <w:t xml:space="preserve">In re: </w:t>
      </w:r>
      <w:r w:rsidRPr="00997094">
        <w:rPr>
          <w:i/>
        </w:rPr>
        <w:t>Application for transfer of majority organizational control of Sunny Shores Water Company, Inc., holder of Certificate No. 578-W in Manatee County, from Jack E. Mason to Jack E. Mason, II and Debbie A. Mason</w:t>
      </w:r>
      <w:r>
        <w:rPr>
          <w:i/>
        </w:rPr>
        <w:t>.</w:t>
      </w:r>
    </w:p>
  </w:footnote>
  <w:footnote w:id="3">
    <w:p w:rsidR="00655F71" w:rsidRPr="00655F71" w:rsidRDefault="00655F71">
      <w:pPr>
        <w:pStyle w:val="FootnoteText"/>
      </w:pPr>
      <w:r>
        <w:rPr>
          <w:rStyle w:val="FootnoteReference"/>
        </w:rPr>
        <w:footnoteRef/>
      </w:r>
      <w:r>
        <w:t xml:space="preserve">Docket No. 160219-SU, </w:t>
      </w:r>
      <w:r>
        <w:rPr>
          <w:i/>
        </w:rPr>
        <w:t xml:space="preserve"> In re: </w:t>
      </w:r>
      <w:r w:rsidRPr="00655F71">
        <w:rPr>
          <w:i/>
        </w:rPr>
        <w:t>Application for certificate to provide wastewater service in Manatee County by Sunny Shores Water Co.</w:t>
      </w:r>
      <w:r>
        <w:t>, filed on October 7, 2016.</w:t>
      </w:r>
    </w:p>
  </w:footnote>
  <w:footnote w:id="4">
    <w:p w:rsidR="00F3083A" w:rsidRDefault="00F3083A" w:rsidP="00F3083A">
      <w:pPr>
        <w:pStyle w:val="FootnoteText"/>
      </w:pPr>
      <w:r>
        <w:rPr>
          <w:rStyle w:val="FootnoteReference"/>
        </w:rPr>
        <w:footnoteRef/>
      </w:r>
      <w:r>
        <w:t>Document No. 03</w:t>
      </w:r>
      <w:r w:rsidR="005506FB">
        <w:t>356</w:t>
      </w:r>
      <w:r>
        <w:t>-1</w:t>
      </w:r>
      <w:r w:rsidR="005506FB">
        <w:t>6</w:t>
      </w:r>
      <w:r>
        <w:t>.</w:t>
      </w:r>
    </w:p>
  </w:footnote>
  <w:footnote w:id="5">
    <w:p w:rsidR="005E2BD0" w:rsidRPr="00552F17" w:rsidRDefault="005E2BD0" w:rsidP="005E2BD0">
      <w:pPr>
        <w:autoSpaceDE w:val="0"/>
        <w:autoSpaceDN w:val="0"/>
        <w:adjustRightInd w:val="0"/>
        <w:jc w:val="both"/>
        <w:rPr>
          <w:color w:val="212121"/>
          <w:sz w:val="23"/>
          <w:szCs w:val="23"/>
        </w:rPr>
      </w:pPr>
      <w:r>
        <w:rPr>
          <w:rStyle w:val="FootnoteReference"/>
        </w:rPr>
        <w:footnoteRef/>
      </w:r>
      <w:r w:rsidR="00F3083A" w:rsidRPr="00F3083A">
        <w:rPr>
          <w:sz w:val="20"/>
          <w:szCs w:val="20"/>
        </w:rPr>
        <w:t xml:space="preserve">Order No. PSC-96-0599-FOF-WS, issued on May 7, 1996, in Docket No. 960028-WS, </w:t>
      </w:r>
      <w:r w:rsidR="00F3083A" w:rsidRPr="00F3083A">
        <w:rPr>
          <w:i/>
          <w:sz w:val="20"/>
          <w:szCs w:val="20"/>
        </w:rPr>
        <w:t>In re: Application for certificates to provide water and wastewater service in Manatee County by Sunny Shores Water Co., Inc. under grandfather rights.</w:t>
      </w:r>
    </w:p>
  </w:footnote>
  <w:footnote w:id="6">
    <w:p w:rsidR="00F71A51" w:rsidRPr="00E876B0" w:rsidRDefault="00F71A51" w:rsidP="00F71A51">
      <w:pPr>
        <w:pStyle w:val="FootnoteText"/>
      </w:pPr>
      <w:r w:rsidRPr="00E876B0">
        <w:rPr>
          <w:rStyle w:val="FootnoteReference"/>
        </w:rPr>
        <w:footnoteRef/>
      </w:r>
      <w:r w:rsidRPr="00E876B0">
        <w:t>Order No. PSC-10-0553-TRF-WU</w:t>
      </w:r>
      <w:r>
        <w:t xml:space="preserve">, issued </w:t>
      </w:r>
      <w:r w:rsidR="00D356A7">
        <w:t xml:space="preserve">on </w:t>
      </w:r>
      <w:r w:rsidRPr="00E876B0">
        <w:t>September 3, 2010</w:t>
      </w:r>
      <w:r>
        <w:t xml:space="preserve">, in Docket No. 100038-WU, </w:t>
      </w:r>
      <w:r w:rsidRPr="00E876B0">
        <w:rPr>
          <w:i/>
        </w:rPr>
        <w:t xml:space="preserve">In </w:t>
      </w:r>
      <w:r w:rsidR="005506FB">
        <w:rPr>
          <w:i/>
        </w:rPr>
        <w:t>r</w:t>
      </w:r>
      <w:r w:rsidRPr="00E876B0">
        <w:rPr>
          <w:i/>
        </w:rPr>
        <w:t xml:space="preserve">e: Application to </w:t>
      </w:r>
      <w:r w:rsidR="005506FB">
        <w:rPr>
          <w:i/>
        </w:rPr>
        <w:t>i</w:t>
      </w:r>
      <w:r w:rsidRPr="00E876B0">
        <w:rPr>
          <w:i/>
        </w:rPr>
        <w:t>mplement a backflow maintenance program by Sunny Shores Water Co</w:t>
      </w:r>
      <w:r>
        <w:t>.</w:t>
      </w:r>
    </w:p>
  </w:footnote>
  <w:footnote w:id="7">
    <w:p w:rsidR="00CC39F1" w:rsidRPr="0057075E" w:rsidRDefault="00CC39F1" w:rsidP="00CC39F1">
      <w:pPr>
        <w:pStyle w:val="FootnoteText"/>
        <w:rPr>
          <w:i/>
        </w:rPr>
      </w:pPr>
      <w:r>
        <w:rPr>
          <w:rStyle w:val="FootnoteReference"/>
        </w:rPr>
        <w:footnoteRef/>
      </w:r>
      <w:r>
        <w:t>Docket No. 160219</w:t>
      </w:r>
      <w:r w:rsidR="008A2648">
        <w:t>-SU</w:t>
      </w:r>
      <w:r w:rsidRPr="0057075E">
        <w:rPr>
          <w:i/>
        </w:rPr>
        <w:t>.</w:t>
      </w:r>
    </w:p>
  </w:footnote>
  <w:footnote w:id="8">
    <w:p w:rsidR="00D356A7" w:rsidRPr="00D356A7" w:rsidRDefault="00D356A7">
      <w:pPr>
        <w:pStyle w:val="FootnoteText"/>
        <w:rPr>
          <w:i/>
        </w:rPr>
      </w:pPr>
      <w:r>
        <w:rPr>
          <w:rStyle w:val="FootnoteReference"/>
        </w:rPr>
        <w:footnoteRef/>
      </w:r>
      <w:r>
        <w:t xml:space="preserve">Order No. </w:t>
      </w:r>
      <w:r w:rsidRPr="00D356A7">
        <w:t>PSC-13-0177-PAA-WU</w:t>
      </w:r>
      <w:r>
        <w:t xml:space="preserve">, issued on April 29, 2013, in Docket No. 130052-WU, </w:t>
      </w:r>
      <w:r>
        <w:rPr>
          <w:i/>
        </w:rPr>
        <w:t xml:space="preserve">In re: </w:t>
      </w:r>
      <w:r w:rsidRPr="00D356A7">
        <w:rPr>
          <w:i/>
        </w:rPr>
        <w:t>Application for grandfather certificate to operate water utility in Charlotte County by Little Gasparilla Water Utility, Inc.</w:t>
      </w:r>
    </w:p>
  </w:footnote>
  <w:footnote w:id="9">
    <w:p w:rsidR="00CC39F1" w:rsidRPr="005C2663" w:rsidRDefault="00CC39F1" w:rsidP="00CC39F1">
      <w:pPr>
        <w:pStyle w:val="FootnoteText"/>
        <w:rPr>
          <w:i/>
        </w:rPr>
      </w:pPr>
      <w:r>
        <w:rPr>
          <w:rStyle w:val="FootnoteReference"/>
        </w:rPr>
        <w:footnoteRef/>
      </w:r>
      <w:r w:rsidRPr="005C7C85">
        <w:t xml:space="preserve">Order No. PSC-11-0204-TRF-SU, issued </w:t>
      </w:r>
      <w:r w:rsidR="00D356A7">
        <w:t xml:space="preserve">on </w:t>
      </w:r>
      <w:r w:rsidRPr="005C7C85">
        <w:t>April 25, 2011,</w:t>
      </w:r>
      <w:r w:rsidR="00D356A7">
        <w:t xml:space="preserve"> </w:t>
      </w:r>
      <w:r w:rsidR="00D356A7" w:rsidRPr="005C7C85">
        <w:t>in Docket No. 100413-SU,</w:t>
      </w:r>
      <w:r w:rsidRPr="005C7C85">
        <w:t xml:space="preserve"> </w:t>
      </w:r>
      <w:r w:rsidR="003D6186">
        <w:rPr>
          <w:i/>
        </w:rPr>
        <w:t>In re:</w:t>
      </w:r>
      <w:r w:rsidRPr="005C7C85">
        <w:rPr>
          <w:i/>
        </w:rPr>
        <w:t xml:space="preserve"> Request for approval of tariff amendment to include a late fee of $14.00 in Polk County by West Lakeland Wastewater.</w:t>
      </w:r>
      <w:r w:rsidRPr="005C7C85">
        <w:t xml:space="preserve">; Order No. PSC-08-0255-PAA-WS, issued </w:t>
      </w:r>
      <w:r w:rsidR="00D356A7">
        <w:t xml:space="preserve">on </w:t>
      </w:r>
      <w:r w:rsidRPr="005C7C85">
        <w:t xml:space="preserve">April 24, 2008, </w:t>
      </w:r>
      <w:r w:rsidR="00D356A7" w:rsidRPr="005C7C85">
        <w:t>in Docket No. 070391-WS,</w:t>
      </w:r>
      <w:r w:rsidR="00D356A7">
        <w:t xml:space="preserve"> </w:t>
      </w:r>
      <w:r w:rsidR="003D6186">
        <w:rPr>
          <w:i/>
        </w:rPr>
        <w:t>In re:</w:t>
      </w:r>
      <w:r w:rsidRPr="005C7C85">
        <w:rPr>
          <w:i/>
        </w:rPr>
        <w:t xml:space="preserve"> Application for certificates to provide water and wastewater service in Sumter County by Orange Blossom Utilities, Inc.</w:t>
      </w:r>
      <w:r w:rsidRPr="005C7C85">
        <w:t>; Order No. PSC-01-2101-TRF-WS, issued</w:t>
      </w:r>
      <w:r w:rsidR="00D356A7">
        <w:t xml:space="preserve"> on</w:t>
      </w:r>
      <w:r w:rsidRPr="005C7C85">
        <w:t xml:space="preserve"> October 22, 2001,</w:t>
      </w:r>
      <w:r w:rsidR="00D356A7" w:rsidRPr="00D356A7">
        <w:t xml:space="preserve"> </w:t>
      </w:r>
      <w:r w:rsidR="00D356A7" w:rsidRPr="005C7C85">
        <w:t>in Docket No. 011122-WS,</w:t>
      </w:r>
      <w:r w:rsidRPr="005C7C85">
        <w:t xml:space="preserve"> </w:t>
      </w:r>
      <w:r w:rsidRPr="005C7C85">
        <w:rPr>
          <w:i/>
        </w:rPr>
        <w:t>In re: Tariff filing to establish a late payment charge in Highlands County by Damon Utilities, Inc.</w:t>
      </w:r>
    </w:p>
  </w:footnote>
  <w:footnote w:id="10">
    <w:p w:rsidR="00CC39F1" w:rsidRPr="00645BAA" w:rsidRDefault="00CC39F1" w:rsidP="00CC39F1">
      <w:pPr>
        <w:pStyle w:val="FootnoteText"/>
      </w:pPr>
      <w:r>
        <w:rPr>
          <w:rStyle w:val="FootnoteReference"/>
        </w:rPr>
        <w:footnoteRef/>
      </w:r>
      <w:r w:rsidRPr="00645BAA">
        <w:t xml:space="preserve">Order No. PSC-01-2101-TRF-WS; Order No. PSC-08-0255-PAA-WS; Order No. PSC-09-0752-PAA-WU, issued </w:t>
      </w:r>
      <w:r w:rsidR="00D356A7">
        <w:t xml:space="preserve">on </w:t>
      </w:r>
      <w:r w:rsidRPr="00645BAA">
        <w:t>November 16, 2009,</w:t>
      </w:r>
      <w:r w:rsidR="00D356A7" w:rsidRPr="00D356A7">
        <w:t xml:space="preserve"> </w:t>
      </w:r>
      <w:r w:rsidR="00D356A7" w:rsidRPr="00645BAA">
        <w:t>in Docket No. 090185-WU,</w:t>
      </w:r>
      <w:r w:rsidRPr="00645BAA">
        <w:t xml:space="preserve"> </w:t>
      </w:r>
      <w:r w:rsidRPr="00645BAA">
        <w:rPr>
          <w:i/>
        </w:rPr>
        <w:t>In re: Application for grandfather certificate to operate water utility in St. Johns County by Camachee Island Company, Inc. d/b/a Camachee Cove Yacht Harbor Utility.</w:t>
      </w:r>
      <w:r w:rsidRPr="00645BAA">
        <w:t xml:space="preserve">; </w:t>
      </w:r>
      <w:r w:rsidR="00D356A7">
        <w:t xml:space="preserve">Order No. </w:t>
      </w:r>
      <w:r w:rsidRPr="00645BAA">
        <w:t xml:space="preserve">PSC-10-0257-TRF-WU, issued </w:t>
      </w:r>
      <w:r w:rsidR="00D356A7">
        <w:t xml:space="preserve">on </w:t>
      </w:r>
      <w:r w:rsidRPr="00645BAA">
        <w:t xml:space="preserve">April 26, 2010, </w:t>
      </w:r>
      <w:r w:rsidR="00D356A7" w:rsidRPr="00645BAA">
        <w:t>in Docket No. 090429-WU,</w:t>
      </w:r>
      <w:r w:rsidR="00D356A7">
        <w:t xml:space="preserve"> </w:t>
      </w:r>
      <w:r w:rsidRPr="00645BAA">
        <w:rPr>
          <w:i/>
        </w:rPr>
        <w:t>In re: Request for approval of imposition of miscellaneous service charges, delinquent payment charge and meter tampering charge in Lake County, by Pine Harbour Water Utilities, LLC.</w:t>
      </w:r>
      <w:r w:rsidRPr="00645BAA">
        <w:t>;</w:t>
      </w:r>
      <w:r>
        <w:t xml:space="preserve"> </w:t>
      </w:r>
      <w:r w:rsidR="00D356A7">
        <w:t xml:space="preserve">Order No. </w:t>
      </w:r>
      <w:r w:rsidRPr="00645BAA">
        <w:t>PSC-11-0204-TRF-SU</w:t>
      </w:r>
      <w:r w:rsidRPr="00645BAA">
        <w:rPr>
          <w:i/>
        </w:rPr>
        <w:t xml:space="preserve">; </w:t>
      </w:r>
      <w:r w:rsidRPr="00645BAA">
        <w:t xml:space="preserve">Order No. PSC-14-0105-TRF-WS, issued </w:t>
      </w:r>
      <w:r w:rsidR="00D356A7">
        <w:t xml:space="preserve">on </w:t>
      </w:r>
      <w:r w:rsidRPr="00645BAA">
        <w:t>February 20, 2014,</w:t>
      </w:r>
      <w:r w:rsidR="00D356A7" w:rsidRPr="00645BAA">
        <w:t xml:space="preserve"> in Docket No. 130288-WS,</w:t>
      </w:r>
      <w:r w:rsidRPr="00645BAA">
        <w:t xml:space="preserve"> </w:t>
      </w:r>
      <w:r w:rsidRPr="00645BAA">
        <w:rPr>
          <w:i/>
        </w:rPr>
        <w:t>In re: Request for approval of late payment charge in Brevard County by Aquarina Utilities, Inc.</w:t>
      </w:r>
      <w:r>
        <w:rPr>
          <w:i/>
        </w:rPr>
        <w:t xml:space="preserve">; </w:t>
      </w:r>
      <w:r>
        <w:t xml:space="preserve">and </w:t>
      </w:r>
      <w:bookmarkStart w:id="22" w:name="OrderNo0041"/>
      <w:r>
        <w:t xml:space="preserve">Order </w:t>
      </w:r>
      <w:r w:rsidR="00D356A7">
        <w:t xml:space="preserve">No. </w:t>
      </w:r>
      <w:r w:rsidRPr="00645BAA">
        <w:t>PSC-16-0041-TRF-WU</w:t>
      </w:r>
      <w:bookmarkEnd w:id="22"/>
      <w:r>
        <w:t xml:space="preserve">, issued </w:t>
      </w:r>
      <w:r w:rsidR="00DE2ECC">
        <w:t xml:space="preserve">on </w:t>
      </w:r>
      <w:r>
        <w:t xml:space="preserve">January 25, 2016, </w:t>
      </w:r>
      <w:r w:rsidR="00DE2ECC">
        <w:t xml:space="preserve">in Docket No. 150215-WU, </w:t>
      </w:r>
      <w:r w:rsidRPr="00B227DF">
        <w:rPr>
          <w:i/>
        </w:rPr>
        <w:t xml:space="preserve">In </w:t>
      </w:r>
      <w:r w:rsidR="00DE2ECC">
        <w:rPr>
          <w:i/>
        </w:rPr>
        <w:t>r</w:t>
      </w:r>
      <w:r w:rsidRPr="00B227DF">
        <w:rPr>
          <w:i/>
        </w:rPr>
        <w:t>e: Request for approval of tariff amendment to include miscellaneous service charges for the Earlene and Ray Keen Subdivisions, the Ellison Park Subdivision and the Lake Region Paradise Island Subdivision in Polk County, by Keen Sales, Rentals and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B76339"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160023-WU</w:t>
    </w:r>
    <w:bookmarkEnd w:id="14"/>
  </w:p>
  <w:p w:rsidR="00212B17" w:rsidRDefault="00212B17">
    <w:pPr>
      <w:pStyle w:val="Header"/>
    </w:pPr>
    <w:r>
      <w:t xml:space="preserve">Date: </w:t>
    </w:r>
    <w:r w:rsidR="00AC3617">
      <w:fldChar w:fldCharType="begin"/>
    </w:r>
    <w:r w:rsidR="00AC3617">
      <w:instrText xml:space="preserve"> REF FilingDate </w:instrText>
    </w:r>
    <w:r w:rsidR="00AC3617">
      <w:fldChar w:fldCharType="separate"/>
    </w:r>
    <w:r w:rsidR="00C25C4F">
      <w:t>October 20, 2016</w:t>
    </w:r>
    <w:r w:rsidR="00AC361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C25C4F">
      <w:t>Docket No.</w:t>
    </w:r>
    <w:r>
      <w:fldChar w:fldCharType="end"/>
    </w:r>
    <w:r>
      <w:t xml:space="preserve"> </w:t>
    </w:r>
    <w:r>
      <w:fldChar w:fldCharType="begin"/>
    </w:r>
    <w:r>
      <w:instrText xml:space="preserve"> REF DocketList</w:instrText>
    </w:r>
    <w:r>
      <w:fldChar w:fldCharType="separate"/>
    </w:r>
    <w:r w:rsidR="00C25C4F">
      <w:t>160023-WU</w:t>
    </w:r>
    <w:r>
      <w:fldChar w:fldCharType="end"/>
    </w:r>
    <w:r>
      <w:tab/>
      <w:t xml:space="preserve">Issue </w:t>
    </w:r>
    <w:r w:rsidR="00AC3617">
      <w:fldChar w:fldCharType="begin"/>
    </w:r>
    <w:r w:rsidR="00AC3617">
      <w:instrText xml:space="preserve"> Seq Issue \c \* Arabic </w:instrText>
    </w:r>
    <w:r w:rsidR="00AC3617">
      <w:fldChar w:fldCharType="separate"/>
    </w:r>
    <w:r w:rsidR="007911A6">
      <w:rPr>
        <w:noProof/>
      </w:rPr>
      <w:t>3</w:t>
    </w:r>
    <w:r w:rsidR="00AC3617">
      <w:rPr>
        <w:noProof/>
      </w:rPr>
      <w:fldChar w:fldCharType="end"/>
    </w:r>
  </w:p>
  <w:p w:rsidR="00212B17" w:rsidRDefault="00212B17">
    <w:pPr>
      <w:pStyle w:val="Header"/>
    </w:pPr>
    <w:r>
      <w:t xml:space="preserve">Date: </w:t>
    </w:r>
    <w:r w:rsidR="00AC3617">
      <w:fldChar w:fldCharType="begin"/>
    </w:r>
    <w:r w:rsidR="00AC3617">
      <w:instrText xml:space="preserve"> REF FilingDate </w:instrText>
    </w:r>
    <w:r w:rsidR="00AC3617">
      <w:fldChar w:fldCharType="separate"/>
    </w:r>
    <w:r w:rsidR="00C25C4F">
      <w:t>October 20, 2016</w:t>
    </w:r>
    <w:r w:rsidR="00AC361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39" w:rsidRDefault="00B76339" w:rsidP="00220732">
    <w:pPr>
      <w:pStyle w:val="Header"/>
      <w:tabs>
        <w:tab w:val="clear" w:pos="4320"/>
        <w:tab w:val="clear" w:pos="8640"/>
        <w:tab w:val="right" w:pos="9360"/>
      </w:tabs>
    </w:pPr>
    <w:r>
      <w:fldChar w:fldCharType="begin"/>
    </w:r>
    <w:r>
      <w:instrText xml:space="preserve"> REF DocketLabel</w:instrText>
    </w:r>
    <w:r>
      <w:fldChar w:fldCharType="separate"/>
    </w:r>
    <w:r w:rsidR="00C25C4F">
      <w:t>Docket No.</w:t>
    </w:r>
    <w:r>
      <w:fldChar w:fldCharType="end"/>
    </w:r>
    <w:r>
      <w:t xml:space="preserve"> </w:t>
    </w:r>
    <w:r>
      <w:fldChar w:fldCharType="begin"/>
    </w:r>
    <w:r>
      <w:instrText xml:space="preserve"> REF DocketList</w:instrText>
    </w:r>
    <w:r>
      <w:fldChar w:fldCharType="separate"/>
    </w:r>
    <w:r w:rsidR="00C25C4F">
      <w:t>160023-WU</w:t>
    </w:r>
    <w:r>
      <w:fldChar w:fldCharType="end"/>
    </w:r>
    <w:r>
      <w:tab/>
      <w:t>Attachment A</w:t>
    </w:r>
  </w:p>
  <w:p w:rsidR="00B76339" w:rsidRDefault="00B76339" w:rsidP="00DE23D9">
    <w:pPr>
      <w:pStyle w:val="Header"/>
      <w:tabs>
        <w:tab w:val="clear" w:pos="8640"/>
        <w:tab w:val="right" w:pos="9360"/>
      </w:tabs>
    </w:pPr>
    <w:r>
      <w:t xml:space="preserve">Date: </w:t>
    </w:r>
    <w:r w:rsidR="00AC3617">
      <w:fldChar w:fldCharType="begin"/>
    </w:r>
    <w:r w:rsidR="00AC3617">
      <w:instrText xml:space="preserve"> REF FilingDate </w:instrText>
    </w:r>
    <w:r w:rsidR="00AC3617">
      <w:fldChar w:fldCharType="separate"/>
    </w:r>
    <w:r w:rsidR="00C25C4F">
      <w:t>October 20, 2016</w:t>
    </w:r>
    <w:r w:rsidR="00AC3617">
      <w:fldChar w:fldCharType="end"/>
    </w:r>
    <w:r w:rsidR="00DE23D9">
      <w:tab/>
    </w:r>
    <w:r w:rsidR="00DE23D9">
      <w:tab/>
    </w:r>
    <w:r w:rsidR="00905069">
      <w:t xml:space="preserve">Page </w:t>
    </w:r>
    <w:r w:rsidR="00E9511D">
      <w:t>1</w:t>
    </w:r>
    <w:r w:rsidR="00DE23D9">
      <w:t xml:space="preserve">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1D" w:rsidRDefault="00E9511D" w:rsidP="00220732">
    <w:pPr>
      <w:pStyle w:val="Header"/>
      <w:tabs>
        <w:tab w:val="clear" w:pos="4320"/>
        <w:tab w:val="clear" w:pos="8640"/>
        <w:tab w:val="right" w:pos="9360"/>
      </w:tabs>
    </w:pPr>
    <w:r>
      <w:fldChar w:fldCharType="begin"/>
    </w:r>
    <w:r>
      <w:instrText xml:space="preserve"> REF DocketLabel</w:instrText>
    </w:r>
    <w:r>
      <w:fldChar w:fldCharType="separate"/>
    </w:r>
    <w:r w:rsidR="00C25C4F">
      <w:t>Docket No.</w:t>
    </w:r>
    <w:r>
      <w:fldChar w:fldCharType="end"/>
    </w:r>
    <w:r>
      <w:t xml:space="preserve"> </w:t>
    </w:r>
    <w:r>
      <w:fldChar w:fldCharType="begin"/>
    </w:r>
    <w:r>
      <w:instrText xml:space="preserve"> REF DocketList</w:instrText>
    </w:r>
    <w:r>
      <w:fldChar w:fldCharType="separate"/>
    </w:r>
    <w:r w:rsidR="00C25C4F">
      <w:t>160023-WU</w:t>
    </w:r>
    <w:r>
      <w:fldChar w:fldCharType="end"/>
    </w:r>
    <w:r>
      <w:tab/>
      <w:t>Attachment A</w:t>
    </w:r>
  </w:p>
  <w:p w:rsidR="00E9511D" w:rsidRDefault="00E9511D" w:rsidP="00DE23D9">
    <w:pPr>
      <w:pStyle w:val="Header"/>
      <w:tabs>
        <w:tab w:val="clear" w:pos="8640"/>
        <w:tab w:val="right" w:pos="9360"/>
      </w:tabs>
    </w:pPr>
    <w:r>
      <w:t xml:space="preserve">Date: </w:t>
    </w:r>
    <w:r w:rsidR="00AC3617">
      <w:fldChar w:fldCharType="begin"/>
    </w:r>
    <w:r w:rsidR="00AC3617">
      <w:instrText xml:space="preserve"> REF FilingDate </w:instrText>
    </w:r>
    <w:r w:rsidR="00AC3617">
      <w:fldChar w:fldCharType="separate"/>
    </w:r>
    <w:r w:rsidR="00C25C4F">
      <w:t>October 20, 2016</w:t>
    </w:r>
    <w:r w:rsidR="00AC3617">
      <w:fldChar w:fldCharType="end"/>
    </w:r>
    <w:r>
      <w:tab/>
    </w:r>
    <w:r>
      <w:tab/>
      <w:t xml:space="preserve">     </w:t>
    </w:r>
    <w:r w:rsidR="00905069">
      <w:t>Page</w:t>
    </w:r>
    <w:r>
      <w:t xml:space="preserve"> 2 of</w:t>
    </w:r>
    <w:r w:rsidR="00905069">
      <w:t xml:space="preserve"> </w:t>
    </w:r>
    <w:r>
      <w:t>2</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69" w:rsidRDefault="00905069" w:rsidP="00220732">
    <w:pPr>
      <w:pStyle w:val="Header"/>
      <w:tabs>
        <w:tab w:val="clear" w:pos="4320"/>
        <w:tab w:val="clear" w:pos="8640"/>
        <w:tab w:val="right" w:pos="9360"/>
      </w:tabs>
    </w:pPr>
    <w:r>
      <w:fldChar w:fldCharType="begin"/>
    </w:r>
    <w:r>
      <w:instrText xml:space="preserve"> REF DocketLabel</w:instrText>
    </w:r>
    <w:r>
      <w:fldChar w:fldCharType="separate"/>
    </w:r>
    <w:r w:rsidR="00C25C4F">
      <w:t>Docket No.</w:t>
    </w:r>
    <w:r>
      <w:fldChar w:fldCharType="end"/>
    </w:r>
    <w:r>
      <w:t xml:space="preserve"> </w:t>
    </w:r>
    <w:r>
      <w:fldChar w:fldCharType="begin"/>
    </w:r>
    <w:r>
      <w:instrText xml:space="preserve"> REF DocketList</w:instrText>
    </w:r>
    <w:r>
      <w:fldChar w:fldCharType="separate"/>
    </w:r>
    <w:r w:rsidR="00C25C4F">
      <w:t>160023-WU</w:t>
    </w:r>
    <w:r>
      <w:fldChar w:fldCharType="end"/>
    </w:r>
    <w:r>
      <w:tab/>
      <w:t xml:space="preserve">Schedule No. </w:t>
    </w:r>
    <w:r w:rsidR="000D20BE">
      <w:t>1</w:t>
    </w:r>
  </w:p>
  <w:p w:rsidR="00905069" w:rsidRDefault="00905069" w:rsidP="00DE23D9">
    <w:pPr>
      <w:pStyle w:val="Header"/>
      <w:tabs>
        <w:tab w:val="clear" w:pos="8640"/>
        <w:tab w:val="right" w:pos="9360"/>
      </w:tabs>
    </w:pPr>
    <w:r>
      <w:t xml:space="preserve">Date: </w:t>
    </w:r>
    <w:r w:rsidR="00AC3617">
      <w:fldChar w:fldCharType="begin"/>
    </w:r>
    <w:r w:rsidR="00AC3617">
      <w:instrText xml:space="preserve"> REF FilingDate </w:instrText>
    </w:r>
    <w:r w:rsidR="00AC3617">
      <w:fldChar w:fldCharType="separate"/>
    </w:r>
    <w:r w:rsidR="00C25C4F">
      <w:t>October 20, 2016</w:t>
    </w:r>
    <w:r w:rsidR="00AC3617">
      <w:fldChar w:fldCharType="end"/>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76339"/>
    <w:rsid w:val="00010E37"/>
    <w:rsid w:val="000247C5"/>
    <w:rsid w:val="000277C2"/>
    <w:rsid w:val="00035B48"/>
    <w:rsid w:val="00036CE2"/>
    <w:rsid w:val="000437FE"/>
    <w:rsid w:val="000513BE"/>
    <w:rsid w:val="00065A06"/>
    <w:rsid w:val="00066630"/>
    <w:rsid w:val="000666F3"/>
    <w:rsid w:val="00070DCB"/>
    <w:rsid w:val="00073120"/>
    <w:rsid w:val="000764D0"/>
    <w:rsid w:val="000828D3"/>
    <w:rsid w:val="000A2B57"/>
    <w:rsid w:val="000A418B"/>
    <w:rsid w:val="000C4431"/>
    <w:rsid w:val="000D20BE"/>
    <w:rsid w:val="000D4319"/>
    <w:rsid w:val="000E1208"/>
    <w:rsid w:val="000E2DF0"/>
    <w:rsid w:val="000F374A"/>
    <w:rsid w:val="00102EAE"/>
    <w:rsid w:val="001147AC"/>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C6940"/>
    <w:rsid w:val="001D0D3E"/>
    <w:rsid w:val="001F2245"/>
    <w:rsid w:val="001F6DA1"/>
    <w:rsid w:val="002044E6"/>
    <w:rsid w:val="00205C82"/>
    <w:rsid w:val="00205DC2"/>
    <w:rsid w:val="00212B17"/>
    <w:rsid w:val="002163B6"/>
    <w:rsid w:val="00220732"/>
    <w:rsid w:val="00221D32"/>
    <w:rsid w:val="00225C3F"/>
    <w:rsid w:val="00263D44"/>
    <w:rsid w:val="0026564F"/>
    <w:rsid w:val="002702AD"/>
    <w:rsid w:val="00292D82"/>
    <w:rsid w:val="002963CB"/>
    <w:rsid w:val="002D226D"/>
    <w:rsid w:val="002F6030"/>
    <w:rsid w:val="003037E1"/>
    <w:rsid w:val="00305AF1"/>
    <w:rsid w:val="00307E51"/>
    <w:rsid w:val="003103EC"/>
    <w:rsid w:val="003144EF"/>
    <w:rsid w:val="00320F9A"/>
    <w:rsid w:val="00322F74"/>
    <w:rsid w:val="00340073"/>
    <w:rsid w:val="00344F3F"/>
    <w:rsid w:val="0036569C"/>
    <w:rsid w:val="00372805"/>
    <w:rsid w:val="00373180"/>
    <w:rsid w:val="00375AB9"/>
    <w:rsid w:val="003821A0"/>
    <w:rsid w:val="00385B04"/>
    <w:rsid w:val="003864CF"/>
    <w:rsid w:val="003A22A6"/>
    <w:rsid w:val="003A5494"/>
    <w:rsid w:val="003B2510"/>
    <w:rsid w:val="003C2CC4"/>
    <w:rsid w:val="003D6186"/>
    <w:rsid w:val="003E0EFC"/>
    <w:rsid w:val="003E4A2B"/>
    <w:rsid w:val="003E76C2"/>
    <w:rsid w:val="003F1679"/>
    <w:rsid w:val="003F4A35"/>
    <w:rsid w:val="003F7FDD"/>
    <w:rsid w:val="00402481"/>
    <w:rsid w:val="004042B4"/>
    <w:rsid w:val="00412DAE"/>
    <w:rsid w:val="00431598"/>
    <w:rsid w:val="004426B8"/>
    <w:rsid w:val="00444432"/>
    <w:rsid w:val="00471860"/>
    <w:rsid w:val="004855AC"/>
    <w:rsid w:val="004B60BD"/>
    <w:rsid w:val="004C23F3"/>
    <w:rsid w:val="004C3150"/>
    <w:rsid w:val="004C3641"/>
    <w:rsid w:val="004C4390"/>
    <w:rsid w:val="004C4AF7"/>
    <w:rsid w:val="004D2881"/>
    <w:rsid w:val="004D385F"/>
    <w:rsid w:val="004D5B39"/>
    <w:rsid w:val="004E330D"/>
    <w:rsid w:val="004E5147"/>
    <w:rsid w:val="0050652D"/>
    <w:rsid w:val="00506C03"/>
    <w:rsid w:val="00516496"/>
    <w:rsid w:val="00522F72"/>
    <w:rsid w:val="0052572A"/>
    <w:rsid w:val="00543CB3"/>
    <w:rsid w:val="005506FB"/>
    <w:rsid w:val="00560FF0"/>
    <w:rsid w:val="005614BD"/>
    <w:rsid w:val="0057154F"/>
    <w:rsid w:val="00581CA3"/>
    <w:rsid w:val="00587A44"/>
    <w:rsid w:val="00594818"/>
    <w:rsid w:val="00597730"/>
    <w:rsid w:val="005977EC"/>
    <w:rsid w:val="00597DE7"/>
    <w:rsid w:val="005A01F9"/>
    <w:rsid w:val="005A4AA2"/>
    <w:rsid w:val="005B32AB"/>
    <w:rsid w:val="005B34B6"/>
    <w:rsid w:val="005B5C1B"/>
    <w:rsid w:val="005B6C8F"/>
    <w:rsid w:val="005D0F74"/>
    <w:rsid w:val="005D2E7D"/>
    <w:rsid w:val="005D4A8F"/>
    <w:rsid w:val="005D561B"/>
    <w:rsid w:val="005E2BD0"/>
    <w:rsid w:val="005F468D"/>
    <w:rsid w:val="005F69A3"/>
    <w:rsid w:val="00615423"/>
    <w:rsid w:val="006165B2"/>
    <w:rsid w:val="00617276"/>
    <w:rsid w:val="00625D97"/>
    <w:rsid w:val="00625F1C"/>
    <w:rsid w:val="00630CEB"/>
    <w:rsid w:val="00632264"/>
    <w:rsid w:val="00633884"/>
    <w:rsid w:val="006470BC"/>
    <w:rsid w:val="00655F71"/>
    <w:rsid w:val="00667036"/>
    <w:rsid w:val="00673BDB"/>
    <w:rsid w:val="006771B8"/>
    <w:rsid w:val="006843B6"/>
    <w:rsid w:val="0068481F"/>
    <w:rsid w:val="00696F5D"/>
    <w:rsid w:val="00697249"/>
    <w:rsid w:val="006B3947"/>
    <w:rsid w:val="006B4293"/>
    <w:rsid w:val="006B624F"/>
    <w:rsid w:val="006C31E3"/>
    <w:rsid w:val="006D18D3"/>
    <w:rsid w:val="006D7F70"/>
    <w:rsid w:val="006E08CB"/>
    <w:rsid w:val="006E598D"/>
    <w:rsid w:val="0070437D"/>
    <w:rsid w:val="00705B04"/>
    <w:rsid w:val="00720E7E"/>
    <w:rsid w:val="00734820"/>
    <w:rsid w:val="007349DC"/>
    <w:rsid w:val="0074365E"/>
    <w:rsid w:val="007501EF"/>
    <w:rsid w:val="007515FD"/>
    <w:rsid w:val="00760D80"/>
    <w:rsid w:val="00780C09"/>
    <w:rsid w:val="00780DDF"/>
    <w:rsid w:val="007834E9"/>
    <w:rsid w:val="00787DBC"/>
    <w:rsid w:val="007911A6"/>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33657"/>
    <w:rsid w:val="008433B3"/>
    <w:rsid w:val="00850BAC"/>
    <w:rsid w:val="0085406B"/>
    <w:rsid w:val="00854A3E"/>
    <w:rsid w:val="00855D08"/>
    <w:rsid w:val="00874344"/>
    <w:rsid w:val="00882155"/>
    <w:rsid w:val="0088233B"/>
    <w:rsid w:val="0088599E"/>
    <w:rsid w:val="00886C37"/>
    <w:rsid w:val="00892D99"/>
    <w:rsid w:val="008A2648"/>
    <w:rsid w:val="008B62AE"/>
    <w:rsid w:val="008C04B5"/>
    <w:rsid w:val="008C14FA"/>
    <w:rsid w:val="008D4057"/>
    <w:rsid w:val="008E1F19"/>
    <w:rsid w:val="008F2262"/>
    <w:rsid w:val="008F7736"/>
    <w:rsid w:val="0090019E"/>
    <w:rsid w:val="00901086"/>
    <w:rsid w:val="00901C8A"/>
    <w:rsid w:val="00905069"/>
    <w:rsid w:val="00905886"/>
    <w:rsid w:val="009070D6"/>
    <w:rsid w:val="009076C6"/>
    <w:rsid w:val="0091019E"/>
    <w:rsid w:val="009106F1"/>
    <w:rsid w:val="009145D6"/>
    <w:rsid w:val="00920E64"/>
    <w:rsid w:val="00922002"/>
    <w:rsid w:val="00924020"/>
    <w:rsid w:val="009271A7"/>
    <w:rsid w:val="0093658B"/>
    <w:rsid w:val="009402CB"/>
    <w:rsid w:val="009429FF"/>
    <w:rsid w:val="00945BD6"/>
    <w:rsid w:val="009479FB"/>
    <w:rsid w:val="00951C45"/>
    <w:rsid w:val="009656F2"/>
    <w:rsid w:val="00966A08"/>
    <w:rsid w:val="00971207"/>
    <w:rsid w:val="00975CB4"/>
    <w:rsid w:val="009863B0"/>
    <w:rsid w:val="00987DE1"/>
    <w:rsid w:val="00990571"/>
    <w:rsid w:val="0099673A"/>
    <w:rsid w:val="00997094"/>
    <w:rsid w:val="009A3330"/>
    <w:rsid w:val="009A7C96"/>
    <w:rsid w:val="009C3DB9"/>
    <w:rsid w:val="009D46E5"/>
    <w:rsid w:val="009D568A"/>
    <w:rsid w:val="009F04EC"/>
    <w:rsid w:val="009F3B36"/>
    <w:rsid w:val="00A019B9"/>
    <w:rsid w:val="00A053CB"/>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1F3"/>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16C8"/>
    <w:rsid w:val="00B14E5A"/>
    <w:rsid w:val="00B15370"/>
    <w:rsid w:val="00B17BEB"/>
    <w:rsid w:val="00B21A3C"/>
    <w:rsid w:val="00B223C0"/>
    <w:rsid w:val="00B234ED"/>
    <w:rsid w:val="00B249B2"/>
    <w:rsid w:val="00B25CA3"/>
    <w:rsid w:val="00B57A6A"/>
    <w:rsid w:val="00B66228"/>
    <w:rsid w:val="00B760F1"/>
    <w:rsid w:val="00B76339"/>
    <w:rsid w:val="00B7669E"/>
    <w:rsid w:val="00B77DA1"/>
    <w:rsid w:val="00BA0D55"/>
    <w:rsid w:val="00BA37B3"/>
    <w:rsid w:val="00BA4CC6"/>
    <w:rsid w:val="00BA74A0"/>
    <w:rsid w:val="00BB3493"/>
    <w:rsid w:val="00BB7468"/>
    <w:rsid w:val="00BC188A"/>
    <w:rsid w:val="00BC18FE"/>
    <w:rsid w:val="00BC2CBB"/>
    <w:rsid w:val="00BF5010"/>
    <w:rsid w:val="00C13791"/>
    <w:rsid w:val="00C25C4F"/>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0579"/>
    <w:rsid w:val="00CB1777"/>
    <w:rsid w:val="00CB33E9"/>
    <w:rsid w:val="00CC10A9"/>
    <w:rsid w:val="00CC39F1"/>
    <w:rsid w:val="00CE2BF8"/>
    <w:rsid w:val="00CE484E"/>
    <w:rsid w:val="00CF0DA8"/>
    <w:rsid w:val="00CF1C5A"/>
    <w:rsid w:val="00CF2E25"/>
    <w:rsid w:val="00CF4453"/>
    <w:rsid w:val="00CF5D94"/>
    <w:rsid w:val="00D034D7"/>
    <w:rsid w:val="00D04BE4"/>
    <w:rsid w:val="00D12565"/>
    <w:rsid w:val="00D14127"/>
    <w:rsid w:val="00D356A7"/>
    <w:rsid w:val="00D544DC"/>
    <w:rsid w:val="00D60F02"/>
    <w:rsid w:val="00D66E49"/>
    <w:rsid w:val="00D72F74"/>
    <w:rsid w:val="00D81563"/>
    <w:rsid w:val="00D85907"/>
    <w:rsid w:val="00D9073E"/>
    <w:rsid w:val="00D9221D"/>
    <w:rsid w:val="00D958DF"/>
    <w:rsid w:val="00D96DA1"/>
    <w:rsid w:val="00DA51E7"/>
    <w:rsid w:val="00DB1C78"/>
    <w:rsid w:val="00DB5507"/>
    <w:rsid w:val="00DB7D96"/>
    <w:rsid w:val="00DC23FE"/>
    <w:rsid w:val="00DC59E6"/>
    <w:rsid w:val="00DD150B"/>
    <w:rsid w:val="00DD5025"/>
    <w:rsid w:val="00DE23D9"/>
    <w:rsid w:val="00DE2ECC"/>
    <w:rsid w:val="00DF1510"/>
    <w:rsid w:val="00E06484"/>
    <w:rsid w:val="00E20A7D"/>
    <w:rsid w:val="00E275D8"/>
    <w:rsid w:val="00E375CA"/>
    <w:rsid w:val="00E567E8"/>
    <w:rsid w:val="00E64679"/>
    <w:rsid w:val="00E65EBC"/>
    <w:rsid w:val="00E73432"/>
    <w:rsid w:val="00E77B0C"/>
    <w:rsid w:val="00E77FB8"/>
    <w:rsid w:val="00E80DE4"/>
    <w:rsid w:val="00E838B0"/>
    <w:rsid w:val="00E86A7C"/>
    <w:rsid w:val="00E878E1"/>
    <w:rsid w:val="00E87F2C"/>
    <w:rsid w:val="00E9511D"/>
    <w:rsid w:val="00E95278"/>
    <w:rsid w:val="00EA2273"/>
    <w:rsid w:val="00EB2DB3"/>
    <w:rsid w:val="00EC3FBB"/>
    <w:rsid w:val="00EC6B7A"/>
    <w:rsid w:val="00ED3A87"/>
    <w:rsid w:val="00ED5B67"/>
    <w:rsid w:val="00EE3FAE"/>
    <w:rsid w:val="00EF264C"/>
    <w:rsid w:val="00EF3FEE"/>
    <w:rsid w:val="00F04B59"/>
    <w:rsid w:val="00F11741"/>
    <w:rsid w:val="00F12B1C"/>
    <w:rsid w:val="00F13CF8"/>
    <w:rsid w:val="00F15855"/>
    <w:rsid w:val="00F3083A"/>
    <w:rsid w:val="00F32978"/>
    <w:rsid w:val="00F45CB2"/>
    <w:rsid w:val="00F544C0"/>
    <w:rsid w:val="00F55332"/>
    <w:rsid w:val="00F65519"/>
    <w:rsid w:val="00F713C0"/>
    <w:rsid w:val="00F71A51"/>
    <w:rsid w:val="00F75DDC"/>
    <w:rsid w:val="00F7792F"/>
    <w:rsid w:val="00F842AA"/>
    <w:rsid w:val="00F8476F"/>
    <w:rsid w:val="00F853E1"/>
    <w:rsid w:val="00F912D4"/>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EE3FAE"/>
    <w:pPr>
      <w:numPr>
        <w:numId w:val="11"/>
      </w:numPr>
    </w:pPr>
  </w:style>
  <w:style w:type="character" w:styleId="FootnoteReference">
    <w:name w:val="footnote reference"/>
    <w:basedOn w:val="DefaultParagraphFont"/>
    <w:rsid w:val="000E2DF0"/>
    <w:rPr>
      <w:vertAlign w:val="superscript"/>
    </w:rPr>
  </w:style>
  <w:style w:type="character" w:customStyle="1" w:styleId="FootnoteTextChar">
    <w:name w:val="Footnote Text Char"/>
    <w:link w:val="FootnoteText"/>
    <w:rsid w:val="005E2BD0"/>
  </w:style>
  <w:style w:type="paragraph" w:customStyle="1" w:styleId="SCparagraph">
    <w:name w:val="SCparagraph"/>
    <w:basedOn w:val="Normal"/>
    <w:rsid w:val="005E2BD0"/>
    <w:pPr>
      <w:spacing w:after="240"/>
      <w:ind w:firstLine="720"/>
      <w:jc w:val="both"/>
    </w:pPr>
  </w:style>
  <w:style w:type="table" w:customStyle="1" w:styleId="TableGrid1">
    <w:name w:val="Table Grid1"/>
    <w:basedOn w:val="TableNormal"/>
    <w:next w:val="TableGrid"/>
    <w:uiPriority w:val="59"/>
    <w:rsid w:val="009050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EE3FAE"/>
    <w:pPr>
      <w:numPr>
        <w:numId w:val="11"/>
      </w:numPr>
    </w:pPr>
  </w:style>
  <w:style w:type="character" w:styleId="FootnoteReference">
    <w:name w:val="footnote reference"/>
    <w:basedOn w:val="DefaultParagraphFont"/>
    <w:rsid w:val="000E2DF0"/>
    <w:rPr>
      <w:vertAlign w:val="superscript"/>
    </w:rPr>
  </w:style>
  <w:style w:type="character" w:customStyle="1" w:styleId="FootnoteTextChar">
    <w:name w:val="Footnote Text Char"/>
    <w:link w:val="FootnoteText"/>
    <w:rsid w:val="005E2BD0"/>
  </w:style>
  <w:style w:type="paragraph" w:customStyle="1" w:styleId="SCparagraph">
    <w:name w:val="SCparagraph"/>
    <w:basedOn w:val="Normal"/>
    <w:rsid w:val="005E2BD0"/>
    <w:pPr>
      <w:spacing w:after="240"/>
      <w:ind w:firstLine="720"/>
      <w:jc w:val="both"/>
    </w:pPr>
  </w:style>
  <w:style w:type="table" w:customStyle="1" w:styleId="TableGrid1">
    <w:name w:val="Table Grid1"/>
    <w:basedOn w:val="TableNormal"/>
    <w:next w:val="TableGrid"/>
    <w:uiPriority w:val="59"/>
    <w:rsid w:val="009050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A8AB-963B-4919-AD4E-F96042E2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2384</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2016-10-20T14:45:00Z</cp:lastPrinted>
  <dcterms:created xsi:type="dcterms:W3CDTF">2016-10-20T15:20:00Z</dcterms:created>
  <dcterms:modified xsi:type="dcterms:W3CDTF">2016-10-20T15:20:00Z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160023-WU</vt:lpwstr>
  </property>
  <property fmtid="{D5CDD505-2E9C-101B-9397-08002B2CF9AE}" pid="3" name="MasterDocument">
    <vt:bool>false</vt:bool>
  </property>
</Properties>
</file>