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2.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5276" w:rsidRDefault="00757B83" w:rsidP="00757B83">
      <w:pPr>
        <w:pStyle w:val="OrderHeading"/>
      </w:pPr>
      <w:r>
        <w:t>BEFORE THE FLORIDA PUBLIC SERVICE COMMISSION</w:t>
      </w:r>
    </w:p>
    <w:p w:rsidR="00757B83" w:rsidRDefault="00757B83" w:rsidP="00757B83">
      <w:pPr>
        <w:pStyle w:val="OrderHeading"/>
      </w:pPr>
    </w:p>
    <w:p w:rsidR="00757B83" w:rsidRDefault="00757B83" w:rsidP="00757B83">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757B83" w:rsidRPr="00C63FCF" w:rsidTr="00C63FCF">
        <w:trPr>
          <w:trHeight w:val="828"/>
        </w:trPr>
        <w:tc>
          <w:tcPr>
            <w:tcW w:w="4788" w:type="dxa"/>
            <w:tcBorders>
              <w:bottom w:val="single" w:sz="8" w:space="0" w:color="auto"/>
              <w:right w:val="double" w:sz="6" w:space="0" w:color="auto"/>
            </w:tcBorders>
            <w:shd w:val="clear" w:color="auto" w:fill="auto"/>
          </w:tcPr>
          <w:p w:rsidR="00757B83" w:rsidRDefault="00757B83" w:rsidP="00C63FCF">
            <w:pPr>
              <w:pStyle w:val="OrderBody"/>
              <w:tabs>
                <w:tab w:val="center" w:pos="4320"/>
                <w:tab w:val="right" w:pos="8640"/>
              </w:tabs>
              <w:jc w:val="left"/>
            </w:pPr>
            <w:r>
              <w:t xml:space="preserve">In re: </w:t>
            </w:r>
            <w:bookmarkStart w:id="0" w:name="SSInRe"/>
            <w:bookmarkEnd w:id="0"/>
            <w:r>
              <w:t>Application for expansion of certificate (CIAC) (new wastewater line extension charge) by North Peninsula Utilities Corp.</w:t>
            </w:r>
          </w:p>
        </w:tc>
        <w:tc>
          <w:tcPr>
            <w:tcW w:w="4788" w:type="dxa"/>
            <w:tcBorders>
              <w:left w:val="double" w:sz="6" w:space="0" w:color="auto"/>
            </w:tcBorders>
            <w:shd w:val="clear" w:color="auto" w:fill="auto"/>
          </w:tcPr>
          <w:p w:rsidR="00757B83" w:rsidRDefault="00757B83" w:rsidP="00757B83">
            <w:pPr>
              <w:pStyle w:val="OrderBody"/>
            </w:pPr>
            <w:r>
              <w:t xml:space="preserve">DOCKET NO. </w:t>
            </w:r>
            <w:bookmarkStart w:id="1" w:name="SSDocketNo"/>
            <w:bookmarkEnd w:id="1"/>
            <w:r>
              <w:t>130209-SU</w:t>
            </w:r>
          </w:p>
          <w:p w:rsidR="00757B83" w:rsidRDefault="00757B83" w:rsidP="00C63FCF">
            <w:pPr>
              <w:pStyle w:val="OrderBody"/>
              <w:tabs>
                <w:tab w:val="center" w:pos="4320"/>
                <w:tab w:val="right" w:pos="8640"/>
              </w:tabs>
              <w:jc w:val="left"/>
            </w:pPr>
            <w:r>
              <w:t xml:space="preserve">ORDER NO. </w:t>
            </w:r>
            <w:bookmarkStart w:id="2" w:name="OrderNo0522"/>
            <w:r w:rsidR="00C111DD">
              <w:t>PSC-16-0522-PAA-SU</w:t>
            </w:r>
            <w:bookmarkEnd w:id="2"/>
          </w:p>
          <w:p w:rsidR="00757B83" w:rsidRDefault="00757B83" w:rsidP="00C63FCF">
            <w:pPr>
              <w:pStyle w:val="OrderBody"/>
              <w:tabs>
                <w:tab w:val="center" w:pos="4320"/>
                <w:tab w:val="right" w:pos="8640"/>
              </w:tabs>
              <w:jc w:val="left"/>
            </w:pPr>
            <w:r>
              <w:t xml:space="preserve">ISSUED: </w:t>
            </w:r>
            <w:r w:rsidR="00C111DD">
              <w:t>November 21, 2016</w:t>
            </w:r>
          </w:p>
        </w:tc>
      </w:tr>
    </w:tbl>
    <w:p w:rsidR="00757B83" w:rsidRDefault="00757B83" w:rsidP="00757B83"/>
    <w:p w:rsidR="00757B83" w:rsidRDefault="00757B83" w:rsidP="00757B83"/>
    <w:p w:rsidR="00757B83" w:rsidRPr="00E46E1F" w:rsidRDefault="00757B83">
      <w:pPr>
        <w:ind w:firstLine="720"/>
        <w:jc w:val="both"/>
      </w:pPr>
      <w:bookmarkStart w:id="3" w:name="Commissioners"/>
      <w:bookmarkEnd w:id="3"/>
      <w:r w:rsidRPr="00E46E1F">
        <w:t>The following Commissioners participated in the disposition of this matter:</w:t>
      </w:r>
    </w:p>
    <w:p w:rsidR="00757B83" w:rsidRPr="00E46E1F" w:rsidRDefault="00757B83"/>
    <w:p w:rsidR="00757B83" w:rsidRDefault="00757B83">
      <w:pPr>
        <w:jc w:val="center"/>
      </w:pPr>
      <w:r>
        <w:t>JULIE I. BROWN</w:t>
      </w:r>
      <w:r w:rsidRPr="00E46E1F">
        <w:t>, Chairman</w:t>
      </w:r>
    </w:p>
    <w:p w:rsidR="00757B83" w:rsidRPr="00E46E1F" w:rsidRDefault="00757B83">
      <w:pPr>
        <w:jc w:val="center"/>
      </w:pPr>
      <w:r w:rsidRPr="00E46E1F">
        <w:t>LISA POLAK EDGAR</w:t>
      </w:r>
    </w:p>
    <w:p w:rsidR="00757B83" w:rsidRDefault="00757B83">
      <w:pPr>
        <w:jc w:val="center"/>
      </w:pPr>
      <w:r>
        <w:t>ART GRAHAM</w:t>
      </w:r>
    </w:p>
    <w:p w:rsidR="00757B83" w:rsidRDefault="00757B83">
      <w:pPr>
        <w:jc w:val="center"/>
      </w:pPr>
      <w:r>
        <w:t>RONALD A. BRISÉ</w:t>
      </w:r>
    </w:p>
    <w:p w:rsidR="00757B83" w:rsidRDefault="00757B83">
      <w:pPr>
        <w:jc w:val="center"/>
      </w:pPr>
      <w:r>
        <w:t>JIMMY PATRONIS</w:t>
      </w:r>
    </w:p>
    <w:p w:rsidR="00CB5276" w:rsidRDefault="00CB5276">
      <w:pPr>
        <w:pStyle w:val="OrderBody"/>
      </w:pPr>
    </w:p>
    <w:p w:rsidR="00794204" w:rsidRDefault="00794204" w:rsidP="00E81255">
      <w:pPr>
        <w:pStyle w:val="CenterUnderline"/>
      </w:pPr>
      <w:r>
        <w:t>NOTICE OF PROPOSED AGENCY ACTION</w:t>
      </w:r>
    </w:p>
    <w:p w:rsidR="005C798B" w:rsidRDefault="00757B83" w:rsidP="00E81255">
      <w:pPr>
        <w:pStyle w:val="CenterUnderline"/>
      </w:pPr>
      <w:r>
        <w:t>ORDER</w:t>
      </w:r>
      <w:bookmarkStart w:id="4" w:name="OrderTitle"/>
      <w:r w:rsidR="00E81255">
        <w:t xml:space="preserve"> APPROVING IN PART AND DENYING IN PART NORTH PENINSULA UTILITIES CORPORATION’S PROPOSED TERRITORY AMENDMENT</w:t>
      </w:r>
      <w:r w:rsidR="005C798B">
        <w:t xml:space="preserve"> AND</w:t>
      </w:r>
    </w:p>
    <w:p w:rsidR="00757B83" w:rsidRDefault="005C798B" w:rsidP="00E81255">
      <w:pPr>
        <w:pStyle w:val="CenterUnderline"/>
      </w:pPr>
      <w:r>
        <w:t>APPROVING SERVICE AVAILABILITY CHARGES</w:t>
      </w:r>
      <w:r w:rsidR="00757B83">
        <w:t xml:space="preserve"> </w:t>
      </w:r>
      <w:bookmarkEnd w:id="4"/>
    </w:p>
    <w:p w:rsidR="00757B83" w:rsidRDefault="00757B83" w:rsidP="00757B83">
      <w:pPr>
        <w:pStyle w:val="CenterUnderline"/>
      </w:pPr>
    </w:p>
    <w:p w:rsidR="00757B83" w:rsidRDefault="00757B83" w:rsidP="00757B83">
      <w:pPr>
        <w:pStyle w:val="OrderBody"/>
      </w:pPr>
      <w:r>
        <w:t>BY THE COMMISSION:</w:t>
      </w:r>
    </w:p>
    <w:p w:rsidR="00757B83" w:rsidRDefault="00757B83" w:rsidP="00757B83">
      <w:pPr>
        <w:pStyle w:val="OrderBody"/>
      </w:pPr>
    </w:p>
    <w:p w:rsidR="00CB5276" w:rsidRDefault="00794204" w:rsidP="00794204">
      <w:pPr>
        <w:pStyle w:val="OrderBody"/>
        <w:ind w:firstLine="720"/>
      </w:pPr>
      <w:bookmarkStart w:id="5" w:name="OrderText"/>
      <w:bookmarkEnd w:id="5"/>
      <w:r>
        <w:t>NOTICE is hereby given by the Florida Public Service Commission t</w:t>
      </w:r>
      <w:r w:rsidR="005C798B">
        <w:t>hat the action discussed herein is</w:t>
      </w:r>
      <w:r>
        <w:t xml:space="preserve"> preliminary in nature and will become final unless a person whose interests are substantially affected files a petition for a formal proceeding, pursuant to Rule 25-22.029, Florida Administrative Code (F.A.C.).</w:t>
      </w:r>
    </w:p>
    <w:p w:rsidR="00757B83" w:rsidRPr="00E81255" w:rsidRDefault="00757B83" w:rsidP="00757B83">
      <w:pPr>
        <w:keepNext/>
        <w:spacing w:after="240"/>
        <w:jc w:val="center"/>
        <w:outlineLvl w:val="0"/>
        <w:rPr>
          <w:bCs/>
          <w:kern w:val="32"/>
          <w:szCs w:val="32"/>
          <w:u w:val="single"/>
        </w:rPr>
      </w:pPr>
      <w:bookmarkStart w:id="6" w:name="CaseBackground"/>
      <w:r w:rsidRPr="00E81255">
        <w:rPr>
          <w:bCs/>
          <w:kern w:val="32"/>
          <w:szCs w:val="32"/>
          <w:u w:val="single"/>
        </w:rPr>
        <w:t>Background</w:t>
      </w:r>
      <w:r w:rsidRPr="00E81255">
        <w:rPr>
          <w:bCs/>
          <w:kern w:val="32"/>
          <w:szCs w:val="32"/>
          <w:u w:val="single"/>
        </w:rPr>
        <w:fldChar w:fldCharType="begin"/>
      </w:r>
      <w:r w:rsidRPr="00E81255">
        <w:rPr>
          <w:bCs/>
          <w:kern w:val="32"/>
          <w:szCs w:val="32"/>
          <w:u w:val="single"/>
        </w:rPr>
        <w:instrText xml:space="preserve"> TC  "</w:instrText>
      </w:r>
      <w:r w:rsidRPr="00E81255">
        <w:rPr>
          <w:bCs/>
          <w:kern w:val="32"/>
          <w:szCs w:val="32"/>
          <w:u w:val="single"/>
        </w:rPr>
        <w:tab/>
      </w:r>
      <w:bookmarkStart w:id="7" w:name="_Toc94516455"/>
      <w:r w:rsidRPr="00E81255">
        <w:rPr>
          <w:bCs/>
          <w:kern w:val="32"/>
          <w:szCs w:val="32"/>
          <w:u w:val="single"/>
        </w:rPr>
        <w:instrText>Case Background</w:instrText>
      </w:r>
      <w:bookmarkEnd w:id="7"/>
      <w:r w:rsidRPr="00E81255">
        <w:rPr>
          <w:bCs/>
          <w:kern w:val="32"/>
          <w:szCs w:val="32"/>
          <w:u w:val="single"/>
        </w:rPr>
        <w:instrText xml:space="preserve">" \l 1 </w:instrText>
      </w:r>
      <w:r w:rsidRPr="00E81255">
        <w:rPr>
          <w:bCs/>
          <w:kern w:val="32"/>
          <w:szCs w:val="32"/>
          <w:u w:val="single"/>
        </w:rPr>
        <w:fldChar w:fldCharType="end"/>
      </w:r>
    </w:p>
    <w:p w:rsidR="00757B83" w:rsidRPr="00757B83" w:rsidRDefault="00757B83" w:rsidP="009C7AB5">
      <w:pPr>
        <w:ind w:firstLine="720"/>
        <w:jc w:val="both"/>
      </w:pPr>
      <w:r w:rsidRPr="00757B83">
        <w:t>North Peninsula Utilities Corporation (NPUC or Utility) is a Class B utility, which provides wastewater service to 569 customers in Volusia County. The City of Ormond Beach provides water to the area. NPUC’s 2015 Annual Report lists operating revenues of $221,963 and a net operating income of $3,600. NPUC bought the assets of Shore Utility Corp. in 1989</w:t>
      </w:r>
      <w:r w:rsidRPr="00757B83">
        <w:rPr>
          <w:vertAlign w:val="superscript"/>
        </w:rPr>
        <w:footnoteReference w:id="1"/>
      </w:r>
      <w:r w:rsidRPr="00757B83">
        <w:t xml:space="preserve"> and filed five subsequent territory amendments, which were all approved by </w:t>
      </w:r>
      <w:r w:rsidR="009C7AB5">
        <w:t>us</w:t>
      </w:r>
      <w:r w:rsidRPr="00757B83">
        <w:t xml:space="preserve">. On August 2, 2013, the Utility filed an application to amend its wastewater certificate, pursuant to Section 367.045, Florida Statutes (F.S.), and Rule 25-30.036, </w:t>
      </w:r>
      <w:r w:rsidR="005C798B">
        <w:t>F.A.C</w:t>
      </w:r>
      <w:r w:rsidRPr="00757B83">
        <w:t xml:space="preserve">. In addition, the Utility requested implementation of a main extension charge and a flat rate adjustment of three percent per year to monthly rates for five years. On November 4, 2013, NPUC withdrew its request for the flat rate adjustment. </w:t>
      </w:r>
      <w:r w:rsidR="009C7AB5">
        <w:t>Commission s</w:t>
      </w:r>
      <w:r w:rsidRPr="00757B83">
        <w:t xml:space="preserve">taff identified several deficiencies in the certificate amendment filing and met with the Utility’s representatives. At that meeting, it was disclosed that there were potential objections to the territory amendment by Volusia County and the City of Ormond Beach. As such, the processing of the application was put on hold. </w:t>
      </w:r>
    </w:p>
    <w:p w:rsidR="00757B83" w:rsidRPr="00757B83" w:rsidRDefault="00757B83" w:rsidP="00757B83">
      <w:pPr>
        <w:jc w:val="both"/>
      </w:pPr>
    </w:p>
    <w:p w:rsidR="00757B83" w:rsidRPr="00757B83" w:rsidRDefault="00757B83" w:rsidP="009C7AB5">
      <w:pPr>
        <w:ind w:firstLine="720"/>
        <w:jc w:val="both"/>
      </w:pPr>
      <w:r w:rsidRPr="00757B83">
        <w:lastRenderedPageBreak/>
        <w:t xml:space="preserve">On March 10, 2014, the Utility filed a revised application to amend its service territory based upon negotiations with the City of Ormond Beach and Volusia County. The revised application included less territory than its original filing and a proposed tariff for a $795 main extension charge. Pursuant to Order No. PSC-14-0273-PCO-SU, issued May 29, 2014, </w:t>
      </w:r>
      <w:r w:rsidR="009C7AB5">
        <w:t>we</w:t>
      </w:r>
      <w:r w:rsidRPr="00757B83">
        <w:t xml:space="preserve"> suspended the proposed tariff to allow staff sufficient time to review all pertinent information.</w:t>
      </w:r>
      <w:r w:rsidRPr="00757B83">
        <w:rPr>
          <w:vertAlign w:val="superscript"/>
        </w:rPr>
        <w:footnoteReference w:id="2"/>
      </w:r>
      <w:r w:rsidRPr="00757B83">
        <w:t xml:space="preserve"> On July 21, 2014, NPUC filed additional information to address the deficiencies previously identified by</w:t>
      </w:r>
      <w:r w:rsidR="009C7AB5">
        <w:t xml:space="preserve"> Commission</w:t>
      </w:r>
      <w:r w:rsidRPr="00757B83">
        <w:t xml:space="preserve"> staff. On October 20, 2014, NPUC representatives met with</w:t>
      </w:r>
      <w:r w:rsidR="009C7AB5">
        <w:t xml:space="preserve"> Commission</w:t>
      </w:r>
      <w:r w:rsidRPr="00757B83">
        <w:t xml:space="preserve"> staff to discuss the amended application and on January 13, 2015, NPUC fi</w:t>
      </w:r>
      <w:r w:rsidR="009C7AB5">
        <w:t xml:space="preserve">led supplemental information addressing the concerns raised. </w:t>
      </w:r>
    </w:p>
    <w:p w:rsidR="00757B83" w:rsidRPr="00757B83" w:rsidRDefault="00757B83" w:rsidP="00757B83">
      <w:pPr>
        <w:jc w:val="both"/>
      </w:pPr>
    </w:p>
    <w:p w:rsidR="009C7AB5" w:rsidRPr="00757B83" w:rsidRDefault="00757B83" w:rsidP="009C7AB5">
      <w:pPr>
        <w:ind w:firstLine="720"/>
        <w:jc w:val="both"/>
      </w:pPr>
      <w:r w:rsidRPr="00757B83">
        <w:t>On Ap</w:t>
      </w:r>
      <w:r w:rsidR="009C7AB5">
        <w:t>ril 2, 2015, Commission s</w:t>
      </w:r>
      <w:r w:rsidRPr="00757B83">
        <w:t xml:space="preserve">taff filed a written recommendation </w:t>
      </w:r>
      <w:r w:rsidR="009C7AB5">
        <w:t xml:space="preserve">denying NPUC’s revised application because the application failed to </w:t>
      </w:r>
      <w:r w:rsidRPr="00757B83">
        <w:t>demonstrate a need for service in the territory requested.</w:t>
      </w:r>
      <w:r w:rsidR="009C7AB5">
        <w:t xml:space="preserve">  </w:t>
      </w:r>
      <w:r w:rsidRPr="00757B83">
        <w:t>Denial of the application obviated the need for a main extension charge.</w:t>
      </w:r>
      <w:r w:rsidR="009C7AB5">
        <w:t xml:space="preserve"> It also noted that t</w:t>
      </w:r>
      <w:r w:rsidRPr="00757B83">
        <w:t>he service availability policy should be revised to reflect that there are no service availability charges because the plant is fully depreciated.</w:t>
      </w:r>
    </w:p>
    <w:p w:rsidR="00757B83" w:rsidRPr="00757B83" w:rsidRDefault="00757B83" w:rsidP="00757B83">
      <w:pPr>
        <w:ind w:left="1080"/>
        <w:contextualSpacing/>
        <w:jc w:val="both"/>
      </w:pPr>
    </w:p>
    <w:p w:rsidR="00757B83" w:rsidRPr="00757B83" w:rsidRDefault="00757B83" w:rsidP="009C7AB5">
      <w:pPr>
        <w:ind w:firstLine="720"/>
        <w:contextualSpacing/>
        <w:jc w:val="both"/>
      </w:pPr>
      <w:r w:rsidRPr="00757B83">
        <w:t xml:space="preserve">On April 3, 2015, NPUC requested that the item be deferred from the April 16, 2015 Commission Conference so that representatives of the Utility could again meet with </w:t>
      </w:r>
      <w:r w:rsidR="009C7AB5">
        <w:t xml:space="preserve">Commission </w:t>
      </w:r>
      <w:r w:rsidRPr="00757B83">
        <w:t xml:space="preserve">staff. The deferral was granted and a noticed informal meeting was convened on April 20, 2015. </w:t>
      </w:r>
      <w:r w:rsidR="009C7AB5">
        <w:t>At that meeting, NPUC informed Commission s</w:t>
      </w:r>
      <w:r w:rsidRPr="00757B83">
        <w:t xml:space="preserve">taff that it was removing certain areas from the previously filed request for territory expansion, abandoning its three-phased approach to expanding the territory, and withdrawing its request for a main extension charge. A map outlining the changes in territory was provided at the meeting, and on May 26, July 24, and August 27, 2015, additional data was filed by the Utility.  </w:t>
      </w:r>
    </w:p>
    <w:p w:rsidR="00757B83" w:rsidRPr="00757B83" w:rsidRDefault="00757B83" w:rsidP="00757B83">
      <w:pPr>
        <w:contextualSpacing/>
        <w:jc w:val="both"/>
      </w:pPr>
    </w:p>
    <w:p w:rsidR="00757B83" w:rsidRPr="00757B83" w:rsidRDefault="00757B83" w:rsidP="009C7AB5">
      <w:pPr>
        <w:ind w:firstLine="720"/>
        <w:jc w:val="both"/>
      </w:pPr>
      <w:r w:rsidRPr="00757B83">
        <w:t xml:space="preserve">On October 22, 2015, </w:t>
      </w:r>
      <w:r w:rsidR="009C7AB5">
        <w:t xml:space="preserve">Commission </w:t>
      </w:r>
      <w:r w:rsidRPr="00757B83">
        <w:t xml:space="preserve">staff filed a written recommendation </w:t>
      </w:r>
      <w:r w:rsidR="009C7AB5">
        <w:t>denying</w:t>
      </w:r>
      <w:r w:rsidRPr="00757B83">
        <w:t xml:space="preserve"> NPUC’s application for the same reasons described in the April 2, 2015 recommendation. On November 5, 2015, </w:t>
      </w:r>
      <w:r w:rsidR="009C7AB5">
        <w:t>we</w:t>
      </w:r>
      <w:r w:rsidRPr="00757B83">
        <w:t xml:space="preserve"> deferred</w:t>
      </w:r>
      <w:r w:rsidR="009C7AB5">
        <w:t xml:space="preserve"> Commission</w:t>
      </w:r>
      <w:r w:rsidRPr="00757B83">
        <w:t xml:space="preserve"> staff’s recommendation to allow the Utility to reevaluate its plan to provide service to the requested areas. On February 10, 2016, NPUC again revised its plan. The February 10, 2016, revision removed certain areas from its original request. The filing also contained cost estimates to serve the remaining areas for which the Utility seeks to serve. Accurate legal descriptions for the proposed annexed areas were provided to</w:t>
      </w:r>
      <w:r w:rsidR="009C7AB5">
        <w:t xml:space="preserve"> us </w:t>
      </w:r>
      <w:r w:rsidRPr="00757B83">
        <w:t xml:space="preserve">on June 28, 2016. This </w:t>
      </w:r>
      <w:r w:rsidR="009C7AB5">
        <w:t>Order</w:t>
      </w:r>
      <w:r w:rsidRPr="00757B83">
        <w:t xml:space="preserve"> addresses NPUC’s application as modified on February 10, 2016. </w:t>
      </w:r>
      <w:r w:rsidR="009C7AB5">
        <w:t>We have</w:t>
      </w:r>
      <w:r w:rsidRPr="00757B83">
        <w:t xml:space="preserve"> jurisdiction pursuant to Section 367.045, F.S.</w:t>
      </w:r>
    </w:p>
    <w:p w:rsidR="00757B83" w:rsidRDefault="00757B83" w:rsidP="00757B83"/>
    <w:bookmarkEnd w:id="6"/>
    <w:p w:rsidR="00757B83" w:rsidRPr="00757B83" w:rsidRDefault="00757B83" w:rsidP="00757B83">
      <w:pPr>
        <w:keepNext/>
        <w:spacing w:after="240"/>
        <w:jc w:val="center"/>
        <w:outlineLvl w:val="0"/>
        <w:rPr>
          <w:rFonts w:ascii="Arial" w:hAnsi="Arial" w:cs="Arial"/>
          <w:b/>
          <w:bCs/>
          <w:kern w:val="32"/>
          <w:szCs w:val="32"/>
        </w:rPr>
        <w:sectPr w:rsidR="00757B83" w:rsidRPr="00757B83" w:rsidSect="00757B83">
          <w:headerReference w:type="default" r:id="rId8"/>
          <w:pgSz w:w="12240" w:h="15840" w:code="1"/>
          <w:pgMar w:top="1584" w:right="1440" w:bottom="1440" w:left="1440" w:header="720" w:footer="720" w:gutter="0"/>
          <w:cols w:space="720"/>
          <w:formProt w:val="0"/>
          <w:titlePg/>
          <w:docGrid w:linePitch="360"/>
        </w:sectPr>
      </w:pPr>
    </w:p>
    <w:p w:rsidR="00757B83" w:rsidRPr="009C7AB5" w:rsidRDefault="009C7AB5" w:rsidP="00757B83">
      <w:pPr>
        <w:keepNext/>
        <w:spacing w:after="240"/>
        <w:jc w:val="center"/>
        <w:outlineLvl w:val="0"/>
        <w:rPr>
          <w:bCs/>
          <w:kern w:val="32"/>
          <w:szCs w:val="32"/>
          <w:u w:val="single"/>
        </w:rPr>
      </w:pPr>
      <w:bookmarkStart w:id="8" w:name="DiscussionOfIssues"/>
      <w:r w:rsidRPr="009C7AB5">
        <w:rPr>
          <w:bCs/>
          <w:kern w:val="32"/>
          <w:szCs w:val="32"/>
          <w:u w:val="single"/>
        </w:rPr>
        <w:lastRenderedPageBreak/>
        <w:t>NPUC’s Territory Amendment</w:t>
      </w:r>
    </w:p>
    <w:bookmarkEnd w:id="8"/>
    <w:p w:rsidR="00757B83" w:rsidRPr="00757B83" w:rsidRDefault="00757B83" w:rsidP="009C7AB5">
      <w:pPr>
        <w:spacing w:before="240" w:after="240"/>
        <w:ind w:firstLine="720"/>
        <w:jc w:val="both"/>
      </w:pPr>
      <w:r w:rsidRPr="00757B83">
        <w:t>Based on NPUC’s application to amend its authorized service territory as well as additional info</w:t>
      </w:r>
      <w:r w:rsidR="009C7AB5">
        <w:t xml:space="preserve">rmation provided by the Utility, we find </w:t>
      </w:r>
      <w:r w:rsidRPr="00757B83">
        <w:t>that NPUC is in compliance with the governing statute, Section 367</w:t>
      </w:r>
      <w:r w:rsidR="005C798B">
        <w:t>.045, F.S., and Rule 25-30.036, F.A.C.</w:t>
      </w:r>
      <w:r w:rsidRPr="00757B83">
        <w:t>, Application for Amendment to Certificate of Authorization to Extend or Delete Service Area. The application contains proof of compliance with the noticing provisions set forth in Rule 25-30.030, F.A.C, Notice of Application and of Customer Meeting. No objections to the application have been received and the time for filing such has expired. Adequate service territory maps and territory descriptions have also been provided.</w:t>
      </w:r>
    </w:p>
    <w:p w:rsidR="00757B83" w:rsidRPr="00757B83" w:rsidRDefault="00757B83" w:rsidP="009C7AB5">
      <w:pPr>
        <w:spacing w:before="240" w:after="240"/>
        <w:ind w:firstLine="720"/>
        <w:jc w:val="both"/>
      </w:pPr>
      <w:r w:rsidRPr="00757B83">
        <w:t xml:space="preserve">NPUC currently provides wastewater service in the north peninsula area of Volusia County pursuant to wastewater certificate number 249-S. NPUC’s 2016 Application identifies seven (7) distinct areas to be annexed. Service availability charges for each of the seven areas are discussed </w:t>
      </w:r>
      <w:r w:rsidR="009C7AB5">
        <w:t>below</w:t>
      </w:r>
      <w:r w:rsidRPr="00757B83">
        <w:t xml:space="preserve">. Attachment A to this </w:t>
      </w:r>
      <w:r w:rsidR="009C7AB5">
        <w:t>Order</w:t>
      </w:r>
      <w:r w:rsidRPr="00757B83">
        <w:t xml:space="preserve"> provides an illustration of NPUC’s proposed territory expansion.</w:t>
      </w:r>
    </w:p>
    <w:p w:rsidR="00757B83" w:rsidRPr="00757B83" w:rsidRDefault="00757B83" w:rsidP="009C7AB5">
      <w:pPr>
        <w:spacing w:before="240" w:after="240"/>
        <w:ind w:firstLine="720"/>
        <w:jc w:val="both"/>
      </w:pPr>
      <w:r w:rsidRPr="00757B83">
        <w:t>Rule 25-30.036, F.A.C., requires a utility to provide a statement showing the need for service in the area requested. All residences in the territory NPUC seeks to serve currently have wastewater treatment in place, either by privately owned and maintained septic tanks or existing wastewater treatment (package) plants.</w:t>
      </w:r>
    </w:p>
    <w:p w:rsidR="00757B83" w:rsidRPr="00757B83" w:rsidRDefault="009C7AB5" w:rsidP="009C7AB5">
      <w:pPr>
        <w:spacing w:before="240" w:after="240"/>
        <w:ind w:firstLine="720"/>
        <w:jc w:val="both"/>
      </w:pPr>
      <w:r>
        <w:t>Commission s</w:t>
      </w:r>
      <w:r w:rsidR="00757B83" w:rsidRPr="00757B83">
        <w:t xml:space="preserve">taff’s previously filed recommendations, addressing NPUC’s application, recommended that </w:t>
      </w:r>
      <w:r>
        <w:t>we</w:t>
      </w:r>
      <w:r w:rsidR="00757B83" w:rsidRPr="00757B83">
        <w:t xml:space="preserve"> deny the Utility’s application because the Utility failed to demonstrate a need for service in the territory requested. Specifically, </w:t>
      </w:r>
      <w:r>
        <w:t xml:space="preserve">Commission </w:t>
      </w:r>
      <w:r w:rsidR="00757B83" w:rsidRPr="00757B83">
        <w:t xml:space="preserve">staff was concerned that the existing residents, in the territory NPUC seeks to add, likely would not connect to NPUC’s system unless required by the county. </w:t>
      </w:r>
      <w:r>
        <w:t>Commission s</w:t>
      </w:r>
      <w:r w:rsidR="00757B83" w:rsidRPr="00757B83">
        <w:t>taff’s October 22, 2015, recommendation states:</w:t>
      </w:r>
    </w:p>
    <w:p w:rsidR="00757B83" w:rsidRPr="00757B83" w:rsidRDefault="00757B83" w:rsidP="004711AF">
      <w:pPr>
        <w:spacing w:before="240" w:after="240"/>
        <w:ind w:left="1440" w:right="720"/>
        <w:jc w:val="both"/>
      </w:pPr>
      <w:r w:rsidRPr="00757B83">
        <w:t>Staff believes that as long as the county continues to issue permits for replacement and repair of existing wastewater treatment systems and mandatory interconnection is not required, customers are highly unlikely to voluntarily connect to NPUC’s system....Without an enforced mandatory interconnection, a customer is unlikely to abandon a functioning septic system to connect to NPUC.</w:t>
      </w:r>
    </w:p>
    <w:p w:rsidR="00757B83" w:rsidRPr="00757B83" w:rsidRDefault="00757B83" w:rsidP="009C7AB5">
      <w:pPr>
        <w:spacing w:before="240" w:after="240"/>
        <w:ind w:firstLine="720"/>
        <w:jc w:val="both"/>
      </w:pPr>
      <w:r w:rsidRPr="00757B83">
        <w:t>On December 22, 2015, the Volusia County Commission revised its ordinances to mandate connection to a municipal or privately owned wastewater provider when the facilities become available.</w:t>
      </w:r>
      <w:r w:rsidRPr="00757B83">
        <w:rPr>
          <w:vertAlign w:val="superscript"/>
        </w:rPr>
        <w:footnoteReference w:id="3"/>
      </w:r>
      <w:r w:rsidRPr="00757B83">
        <w:t xml:space="preserve"> The ordinance further requires residents to connect within five years of installation of wastewater facilities. Giving consideration to the revised ordinance, </w:t>
      </w:r>
      <w:r w:rsidR="009C7AB5">
        <w:t xml:space="preserve">we find </w:t>
      </w:r>
      <w:r w:rsidRPr="00757B83">
        <w:t>NPUC has reasonably demonstrated a need for service in the areas requested.</w:t>
      </w:r>
    </w:p>
    <w:p w:rsidR="00757B83" w:rsidRPr="00757B83" w:rsidRDefault="005C798B" w:rsidP="009C7AB5">
      <w:pPr>
        <w:ind w:firstLine="720"/>
        <w:jc w:val="both"/>
      </w:pPr>
      <w:r>
        <w:t>Commission staff</w:t>
      </w:r>
      <w:r w:rsidR="00757B83" w:rsidRPr="00757B83">
        <w:t xml:space="preserve"> had concerns regarding the vague conditions for obtaining service in certain areas that NPUC was seeking to serve. The Utility was advocating that individual </w:t>
      </w:r>
      <w:r w:rsidR="00757B83" w:rsidRPr="00757B83">
        <w:lastRenderedPageBreak/>
        <w:t>customer service requests would be evaluated and the customer may or may not have to pay for the collection lines depending on the situation or facilities required. Another of staff’s concerns was that NPUC’s plan appeared to expect customers living along the interior streets between John Anderson Drive and Ocean Shores Blvd (A1A), wishing to connect, to pay for the construction of collection lines. NPUC’s request, as amended on February 10, 2016, no longer contains the areas discussed above. Therefore, the Utility’s amendment appears to mitigate</w:t>
      </w:r>
      <w:r w:rsidR="009C7AB5">
        <w:t xml:space="preserve"> </w:t>
      </w:r>
      <w:r>
        <w:t xml:space="preserve">these </w:t>
      </w:r>
      <w:r w:rsidR="00757B83" w:rsidRPr="00757B83">
        <w:t xml:space="preserve">prior concerns.  </w:t>
      </w:r>
    </w:p>
    <w:p w:rsidR="00757B83" w:rsidRPr="00757B83" w:rsidRDefault="00757B83" w:rsidP="009C7AB5">
      <w:pPr>
        <w:spacing w:before="240" w:after="240"/>
        <w:ind w:firstLine="720"/>
        <w:jc w:val="both"/>
      </w:pPr>
      <w:r w:rsidRPr="00757B83">
        <w:t xml:space="preserve">As previously discussed, NPUC is proposing service expansion in seven distinct areas. One of the areas that NPUC is proposing to serve consists of 55 homes/lots and is located on Capri Drive. This area is identified as Area 4 in Attachment A. Volusia County constructed a wastewater main along Capri Drive that is currently not in use. Upon confirmation of a service request within the specified area, NPUC proposed to install a new lift station with a grinder pump and connect it to the existing wastewater main. </w:t>
      </w:r>
    </w:p>
    <w:p w:rsidR="00757B83" w:rsidRPr="00757B83" w:rsidRDefault="009C7AB5" w:rsidP="009C7AB5">
      <w:pPr>
        <w:spacing w:before="240" w:after="240"/>
        <w:ind w:firstLine="720"/>
        <w:jc w:val="both"/>
      </w:pPr>
      <w:r>
        <w:t>We hereby deny</w:t>
      </w:r>
      <w:r w:rsidR="00757B83" w:rsidRPr="00757B83">
        <w:t xml:space="preserve"> the addition of Area 4 because NPUC has not provided documentation showing that Volusia County would permit NPUC access to the existing wastewater main on Capri Drive. NPUC states that an agreement concerning the Capri Drive facilities cannot be finalized until Capri Drive lies within the territory of NPUC. Approving extension to Area 4 could lead to a situation in which the Utility would be required to serve customers with infrastructure that it may not be permitted to access. Under such a scenario NPUC may not be able to adequately address customer concerns or quality of service issues that are associated with the wastewater main. Therefore, </w:t>
      </w:r>
      <w:r>
        <w:t xml:space="preserve">we </w:t>
      </w:r>
      <w:r w:rsidR="00757B83" w:rsidRPr="00757B83">
        <w:t>deny the addition of Area 4.</w:t>
      </w:r>
    </w:p>
    <w:p w:rsidR="00757B83" w:rsidRPr="00757B83" w:rsidRDefault="00757B83" w:rsidP="009C7AB5">
      <w:pPr>
        <w:spacing w:before="240" w:after="240"/>
        <w:ind w:firstLine="720"/>
        <w:jc w:val="both"/>
      </w:pPr>
      <w:r w:rsidRPr="00757B83">
        <w:t xml:space="preserve">The Utility provided analysis as well as an engineer’s statement to demonstrate that the Utility has adequate capacity to serve the additional territory. Based on the analysis provided, more than 60 percent of NPUC’s wastewater treatment plant is available to serve future customers. </w:t>
      </w:r>
      <w:r w:rsidR="009C7AB5">
        <w:t>We find</w:t>
      </w:r>
      <w:r w:rsidRPr="00757B83">
        <w:t xml:space="preserve"> that the documentation provided by the Utility adequately demonstrates that NPUC has sufficient plant capacity to serve the additional territory. Additionally, at this time there does not appear to be any outstanding Consent Orders or Notices of Violation from DEP associated with NPUC’s wastewater treatment plant.</w:t>
      </w:r>
    </w:p>
    <w:p w:rsidR="00757B83" w:rsidRPr="00757B83" w:rsidRDefault="00757B83" w:rsidP="009C7AB5">
      <w:pPr>
        <w:spacing w:after="240"/>
        <w:ind w:firstLine="720"/>
        <w:jc w:val="both"/>
      </w:pPr>
      <w:r w:rsidRPr="00757B83">
        <w:t xml:space="preserve">Based on the information above, </w:t>
      </w:r>
      <w:r w:rsidR="009C7AB5">
        <w:t>we find that</w:t>
      </w:r>
      <w:r w:rsidRPr="00757B83">
        <w:t xml:space="preserve"> it is in the public interest to amend wastewater certificate number 249-S to include the territory as described in Attachment A, with the exception of the addition identified as Area 4 (i.e., Capri Drive), effective the date of the </w:t>
      </w:r>
      <w:r w:rsidR="009C7AB5">
        <w:t>our</w:t>
      </w:r>
      <w:r w:rsidRPr="00757B83">
        <w:t xml:space="preserve"> vote.  Th</w:t>
      </w:r>
      <w:r w:rsidR="009C7AB5">
        <w:t>is Order shall</w:t>
      </w:r>
      <w:r w:rsidRPr="00757B83">
        <w:t xml:space="preserve"> serve as NPUC’s amended certificate and s</w:t>
      </w:r>
      <w:r w:rsidR="00AA3406">
        <w:t>hall</w:t>
      </w:r>
      <w:r w:rsidRPr="00757B83">
        <w:t xml:space="preserve"> be retained by the Utility. </w:t>
      </w:r>
      <w:r w:rsidR="00AA3406">
        <w:t>T</w:t>
      </w:r>
      <w:r w:rsidRPr="00757B83">
        <w:t xml:space="preserve">he Utility </w:t>
      </w:r>
      <w:r w:rsidR="00AA3406">
        <w:t>shall</w:t>
      </w:r>
      <w:r w:rsidRPr="00757B83">
        <w:t xml:space="preserve"> revise its territorial description to exclude Area 4 and file the revision within ten (10) days of </w:t>
      </w:r>
      <w:r w:rsidR="00AA3406">
        <w:t xml:space="preserve">our </w:t>
      </w:r>
      <w:r w:rsidRPr="00757B83">
        <w:t xml:space="preserve">vote. </w:t>
      </w:r>
    </w:p>
    <w:p w:rsidR="009C7AB5" w:rsidRDefault="009C7AB5" w:rsidP="00757B83">
      <w:pPr>
        <w:spacing w:after="240"/>
        <w:jc w:val="both"/>
        <w:outlineLvl w:val="0"/>
        <w:rPr>
          <w:rFonts w:ascii="Arial" w:hAnsi="Arial" w:cs="Arial"/>
          <w:bCs/>
          <w:kern w:val="32"/>
          <w:szCs w:val="32"/>
        </w:rPr>
      </w:pPr>
    </w:p>
    <w:p w:rsidR="00AA3406" w:rsidRDefault="00AA3406" w:rsidP="00757B83">
      <w:pPr>
        <w:spacing w:after="240"/>
        <w:jc w:val="both"/>
        <w:outlineLvl w:val="0"/>
        <w:rPr>
          <w:rFonts w:ascii="Arial" w:hAnsi="Arial" w:cs="Arial"/>
          <w:b/>
          <w:bCs/>
          <w:i/>
          <w:kern w:val="32"/>
          <w:szCs w:val="32"/>
        </w:rPr>
      </w:pPr>
    </w:p>
    <w:p w:rsidR="00AA3406" w:rsidRDefault="00AA3406" w:rsidP="00757B83">
      <w:pPr>
        <w:spacing w:after="240"/>
        <w:jc w:val="both"/>
        <w:outlineLvl w:val="0"/>
        <w:rPr>
          <w:rFonts w:ascii="Arial" w:hAnsi="Arial" w:cs="Arial"/>
          <w:b/>
          <w:bCs/>
          <w:i/>
          <w:kern w:val="32"/>
          <w:szCs w:val="32"/>
        </w:rPr>
      </w:pPr>
    </w:p>
    <w:p w:rsidR="00AA3406" w:rsidRDefault="00AA3406" w:rsidP="00757B83">
      <w:pPr>
        <w:spacing w:after="240"/>
        <w:jc w:val="both"/>
        <w:outlineLvl w:val="0"/>
        <w:rPr>
          <w:rFonts w:ascii="Arial" w:hAnsi="Arial" w:cs="Arial"/>
          <w:b/>
          <w:bCs/>
          <w:i/>
          <w:kern w:val="32"/>
          <w:szCs w:val="32"/>
        </w:rPr>
      </w:pPr>
    </w:p>
    <w:p w:rsidR="00AA3406" w:rsidRPr="00AA3406" w:rsidRDefault="00AA3406" w:rsidP="00AA3406">
      <w:pPr>
        <w:spacing w:after="240"/>
        <w:jc w:val="center"/>
        <w:outlineLvl w:val="0"/>
        <w:rPr>
          <w:rFonts w:ascii="Arial" w:hAnsi="Arial" w:cs="Arial"/>
          <w:b/>
          <w:bCs/>
          <w:i/>
          <w:kern w:val="32"/>
          <w:szCs w:val="32"/>
          <w:u w:val="single"/>
        </w:rPr>
      </w:pPr>
      <w:r>
        <w:rPr>
          <w:u w:val="single"/>
        </w:rPr>
        <w:lastRenderedPageBreak/>
        <w:t xml:space="preserve">Service Availability Charges </w:t>
      </w:r>
    </w:p>
    <w:p w:rsidR="00757B83" w:rsidRPr="00757B83" w:rsidRDefault="00AA3406" w:rsidP="00AA3406">
      <w:pPr>
        <w:ind w:firstLine="720"/>
        <w:jc w:val="both"/>
      </w:pPr>
      <w:r>
        <w:t>NPUC has requested</w:t>
      </w:r>
      <w:r w:rsidR="00757B83" w:rsidRPr="00757B83">
        <w:t xml:space="preserve"> authority to add seven service areas to its existing territory, which are referred to as proposed service areas 1, 2, 3A, 3B, 3C, 4, and 5.</w:t>
      </w:r>
      <w:r w:rsidRPr="00AA3406">
        <w:t xml:space="preserve"> </w:t>
      </w:r>
      <w:r w:rsidRPr="00757B83">
        <w:t>The proposed service areas include properties with small package plants, septic tanks, and vacant lots. In addition, the Utility’s existing service territory includes an undeveloped eight-acre parcel of land.</w:t>
      </w:r>
      <w:r w:rsidR="00757B83" w:rsidRPr="00757B83">
        <w:t xml:space="preserve"> However, as discussed </w:t>
      </w:r>
      <w:r>
        <w:t xml:space="preserve">earlier, we deny addition of service Area 4. </w:t>
      </w:r>
    </w:p>
    <w:p w:rsidR="00757B83" w:rsidRPr="00757B83" w:rsidRDefault="00757B83" w:rsidP="00757B83">
      <w:pPr>
        <w:jc w:val="both"/>
      </w:pPr>
    </w:p>
    <w:p w:rsidR="00757B83" w:rsidRPr="00757B83" w:rsidRDefault="00757B83" w:rsidP="00AA3406">
      <w:pPr>
        <w:ind w:firstLine="720"/>
        <w:jc w:val="both"/>
      </w:pPr>
      <w:r w:rsidRPr="00757B83">
        <w:t>Currently, the Utility does not have an approved plant capacity or main extension charge. The Utility’s plant capacity charge was eliminated in a prior docket, because continued collection would have resulted in a contribution level at build out in excess of the 75 percent maximum guideline, pursuant to Rule 25-30.580, F.A.C.</w:t>
      </w:r>
      <w:r w:rsidRPr="00757B83">
        <w:rPr>
          <w:vertAlign w:val="superscript"/>
        </w:rPr>
        <w:footnoteReference w:id="4"/>
      </w:r>
      <w:r w:rsidRPr="00757B83">
        <w:t xml:space="preserve"> All collection lines needed to serve the existing service territory are installed with the exception of the eight-acre parcel. In addition, all of the collection system is contributed property and is fully depreciated. The Utility’s existing service availability policy provides that in instances where the Utility undertakes the installation of collection lines, in lieu of the developer’s installation of such facilities, such installation will be at the cost and expense of the developer. The Utility will provide laterals for wastewater service to the developer’s lot line ready for a plumber’s “hook-up.” The Utility’s practice has been to connect new customers without charge for the installation of the service line to the Utility’s collection system when a vacant lot is developed. </w:t>
      </w:r>
    </w:p>
    <w:p w:rsidR="00757B83" w:rsidRPr="00757B83" w:rsidRDefault="00757B83" w:rsidP="00757B83">
      <w:pPr>
        <w:jc w:val="both"/>
      </w:pPr>
    </w:p>
    <w:p w:rsidR="00757B83" w:rsidRPr="00757B83" w:rsidRDefault="00757B83" w:rsidP="00AA3406">
      <w:pPr>
        <w:ind w:firstLine="720"/>
        <w:jc w:val="both"/>
      </w:pPr>
      <w:r w:rsidRPr="00757B83">
        <w:t xml:space="preserve">Rule 25-30.580, F.A.C., establishes guidelines for designing service availability charges. Pursuant to the rule, the maximum amount of contributions-in-aid-of construction (CIAC), net of amortization, should not exceed 75 percent of the total original cost, net of accumulated depreciation, of the Utility’s facilities and plant when the facilities and plant are at their designed capacity. The minimum amount of CIAC should not be less than the percentage of such facilities and plant that is represented by the water transmission and distribution system or wastewater collection system. </w:t>
      </w:r>
    </w:p>
    <w:p w:rsidR="00757B83" w:rsidRPr="00757B83" w:rsidRDefault="00757B83" w:rsidP="00757B83">
      <w:pPr>
        <w:jc w:val="both"/>
      </w:pPr>
    </w:p>
    <w:p w:rsidR="00757B83" w:rsidRPr="00757B83" w:rsidRDefault="00757B83" w:rsidP="004711AF">
      <w:pPr>
        <w:ind w:firstLine="720"/>
        <w:jc w:val="both"/>
      </w:pPr>
      <w:r w:rsidRPr="00757B83">
        <w:t>The Utility originally proposed a main extension charge of $795, but the request was withdrawn as a result of a revised filing. In the Utility’s recent filing, the Utility provided the incremental cost that would be incurred in order to provide service to each of the respective proposed service areas as shown be</w:t>
      </w:r>
      <w:r w:rsidR="005C798B">
        <w:t xml:space="preserve">low in Table </w:t>
      </w:r>
      <w:r w:rsidRPr="00757B83">
        <w:t xml:space="preserve">1. However, the Utility did not propose any service availability charges that correspond to the incremental cost. </w:t>
      </w:r>
    </w:p>
    <w:p w:rsidR="00757B83" w:rsidRPr="00757B83" w:rsidRDefault="00757B83" w:rsidP="00757B83">
      <w:pPr>
        <w:jc w:val="both"/>
      </w:pPr>
    </w:p>
    <w:p w:rsidR="00757B83" w:rsidRDefault="00757B83" w:rsidP="00757B83">
      <w:pPr>
        <w:jc w:val="both"/>
      </w:pPr>
    </w:p>
    <w:p w:rsidR="00AA3406" w:rsidRDefault="00AA3406" w:rsidP="00757B83">
      <w:pPr>
        <w:jc w:val="both"/>
      </w:pPr>
    </w:p>
    <w:p w:rsidR="00AA3406" w:rsidRDefault="00AA3406" w:rsidP="00757B83">
      <w:pPr>
        <w:jc w:val="both"/>
      </w:pPr>
    </w:p>
    <w:p w:rsidR="00AA3406" w:rsidRDefault="00AA3406" w:rsidP="00757B83">
      <w:pPr>
        <w:jc w:val="both"/>
      </w:pPr>
    </w:p>
    <w:p w:rsidR="00AA3406" w:rsidRDefault="00AA3406" w:rsidP="00757B83">
      <w:pPr>
        <w:jc w:val="both"/>
      </w:pPr>
    </w:p>
    <w:p w:rsidR="00AA3406" w:rsidRDefault="00AA3406" w:rsidP="00757B83">
      <w:pPr>
        <w:jc w:val="both"/>
      </w:pPr>
    </w:p>
    <w:p w:rsidR="00AA3406" w:rsidRDefault="00AA3406" w:rsidP="00757B83">
      <w:pPr>
        <w:jc w:val="both"/>
      </w:pPr>
    </w:p>
    <w:p w:rsidR="00AA3406" w:rsidRPr="00757B83" w:rsidRDefault="00AA3406" w:rsidP="00757B83">
      <w:pPr>
        <w:jc w:val="both"/>
      </w:pPr>
    </w:p>
    <w:p w:rsidR="00757B83" w:rsidRPr="00757B83" w:rsidRDefault="005C798B" w:rsidP="00757B83">
      <w:pPr>
        <w:jc w:val="center"/>
        <w:rPr>
          <w:b/>
        </w:rPr>
      </w:pPr>
      <w:r>
        <w:rPr>
          <w:b/>
        </w:rPr>
        <w:lastRenderedPageBreak/>
        <w:t xml:space="preserve">Table </w:t>
      </w:r>
      <w:r w:rsidR="00757B83" w:rsidRPr="00757B83">
        <w:rPr>
          <w:b/>
        </w:rPr>
        <w:t>1</w:t>
      </w:r>
    </w:p>
    <w:p w:rsidR="00757B83" w:rsidRPr="00757B83" w:rsidRDefault="00757B83" w:rsidP="00757B83">
      <w:pPr>
        <w:jc w:val="center"/>
        <w:rPr>
          <w:b/>
        </w:rPr>
      </w:pPr>
      <w:r w:rsidRPr="00757B83">
        <w:rPr>
          <w:b/>
        </w:rPr>
        <w:t>Estimated Main Extension Costs</w:t>
      </w:r>
    </w:p>
    <w:tbl>
      <w:tblPr>
        <w:tblW w:w="8246" w:type="dxa"/>
        <w:jc w:val="center"/>
        <w:tblInd w:w="453" w:type="dxa"/>
        <w:tblLook w:val="04A0" w:firstRow="1" w:lastRow="0" w:firstColumn="1" w:lastColumn="0" w:noHBand="0" w:noVBand="1"/>
      </w:tblPr>
      <w:tblGrid>
        <w:gridCol w:w="510"/>
        <w:gridCol w:w="4947"/>
        <w:gridCol w:w="1360"/>
        <w:gridCol w:w="1429"/>
      </w:tblGrid>
      <w:tr w:rsidR="00757B83" w:rsidRPr="00757B83" w:rsidTr="004B56FD">
        <w:trPr>
          <w:trHeight w:val="322"/>
          <w:jc w:val="center"/>
        </w:trPr>
        <w:tc>
          <w:tcPr>
            <w:tcW w:w="510" w:type="dxa"/>
            <w:tcBorders>
              <w:top w:val="single" w:sz="4" w:space="0" w:color="auto"/>
              <w:left w:val="single" w:sz="4" w:space="0" w:color="auto"/>
              <w:bottom w:val="single" w:sz="4" w:space="0" w:color="auto"/>
              <w:right w:val="single" w:sz="4" w:space="0" w:color="auto"/>
            </w:tcBorders>
            <w:noWrap/>
            <w:vAlign w:val="bottom"/>
            <w:hideMark/>
          </w:tcPr>
          <w:p w:rsidR="00757B83" w:rsidRPr="00757B83" w:rsidRDefault="00757B83" w:rsidP="00757B83">
            <w:pPr>
              <w:rPr>
                <w:color w:val="000000"/>
              </w:rPr>
            </w:pPr>
            <w:r w:rsidRPr="00757B83">
              <w:rPr>
                <w:color w:val="000000"/>
              </w:rPr>
              <w:t> </w:t>
            </w:r>
          </w:p>
        </w:tc>
        <w:tc>
          <w:tcPr>
            <w:tcW w:w="4947" w:type="dxa"/>
            <w:tcBorders>
              <w:top w:val="single" w:sz="4" w:space="0" w:color="auto"/>
              <w:left w:val="nil"/>
              <w:bottom w:val="single" w:sz="4" w:space="0" w:color="auto"/>
              <w:right w:val="single" w:sz="4" w:space="0" w:color="auto"/>
            </w:tcBorders>
            <w:noWrap/>
            <w:vAlign w:val="bottom"/>
            <w:hideMark/>
          </w:tcPr>
          <w:p w:rsidR="00757B83" w:rsidRPr="00757B83" w:rsidRDefault="00757B83" w:rsidP="00757B83">
            <w:pPr>
              <w:jc w:val="center"/>
              <w:rPr>
                <w:color w:val="000000"/>
              </w:rPr>
            </w:pPr>
            <w:r w:rsidRPr="00757B83">
              <w:rPr>
                <w:color w:val="000000"/>
              </w:rPr>
              <w:t>Service Area</w:t>
            </w:r>
          </w:p>
        </w:tc>
        <w:tc>
          <w:tcPr>
            <w:tcW w:w="1360" w:type="dxa"/>
            <w:tcBorders>
              <w:top w:val="single" w:sz="4" w:space="0" w:color="auto"/>
              <w:left w:val="nil"/>
              <w:bottom w:val="single" w:sz="4" w:space="0" w:color="auto"/>
              <w:right w:val="single" w:sz="4" w:space="0" w:color="auto"/>
            </w:tcBorders>
            <w:noWrap/>
            <w:vAlign w:val="bottom"/>
            <w:hideMark/>
          </w:tcPr>
          <w:p w:rsidR="00757B83" w:rsidRPr="00757B83" w:rsidRDefault="00757B83" w:rsidP="00757B83">
            <w:pPr>
              <w:jc w:val="center"/>
              <w:rPr>
                <w:color w:val="000000"/>
              </w:rPr>
            </w:pPr>
            <w:r w:rsidRPr="00757B83">
              <w:rPr>
                <w:color w:val="000000"/>
              </w:rPr>
              <w:t>Estimated Cost</w:t>
            </w:r>
          </w:p>
        </w:tc>
        <w:tc>
          <w:tcPr>
            <w:tcW w:w="1429" w:type="dxa"/>
            <w:tcBorders>
              <w:top w:val="single" w:sz="4" w:space="0" w:color="auto"/>
              <w:left w:val="nil"/>
              <w:bottom w:val="single" w:sz="4" w:space="0" w:color="auto"/>
              <w:right w:val="single" w:sz="4" w:space="0" w:color="auto"/>
            </w:tcBorders>
            <w:noWrap/>
            <w:vAlign w:val="bottom"/>
            <w:hideMark/>
          </w:tcPr>
          <w:p w:rsidR="00757B83" w:rsidRPr="00757B83" w:rsidRDefault="00757B83" w:rsidP="00757B83">
            <w:pPr>
              <w:jc w:val="center"/>
              <w:rPr>
                <w:color w:val="000000"/>
              </w:rPr>
            </w:pPr>
            <w:r w:rsidRPr="00757B83">
              <w:rPr>
                <w:color w:val="000000"/>
              </w:rPr>
              <w:t>Number Connections</w:t>
            </w:r>
          </w:p>
        </w:tc>
      </w:tr>
      <w:tr w:rsidR="00757B83" w:rsidRPr="00757B83" w:rsidTr="004B56FD">
        <w:trPr>
          <w:trHeight w:val="322"/>
          <w:jc w:val="center"/>
        </w:trPr>
        <w:tc>
          <w:tcPr>
            <w:tcW w:w="510" w:type="dxa"/>
            <w:tcBorders>
              <w:top w:val="nil"/>
              <w:left w:val="single" w:sz="4" w:space="0" w:color="auto"/>
              <w:bottom w:val="single" w:sz="4" w:space="0" w:color="auto"/>
              <w:right w:val="single" w:sz="4" w:space="0" w:color="auto"/>
            </w:tcBorders>
            <w:noWrap/>
            <w:vAlign w:val="bottom"/>
            <w:hideMark/>
          </w:tcPr>
          <w:p w:rsidR="00757B83" w:rsidRPr="00757B83" w:rsidRDefault="00757B83" w:rsidP="00757B83">
            <w:pPr>
              <w:rPr>
                <w:color w:val="000000"/>
              </w:rPr>
            </w:pPr>
            <w:r w:rsidRPr="00757B83">
              <w:rPr>
                <w:color w:val="000000"/>
              </w:rPr>
              <w:t>1</w:t>
            </w:r>
          </w:p>
        </w:tc>
        <w:tc>
          <w:tcPr>
            <w:tcW w:w="4947" w:type="dxa"/>
            <w:tcBorders>
              <w:top w:val="nil"/>
              <w:left w:val="nil"/>
              <w:bottom w:val="single" w:sz="4" w:space="0" w:color="auto"/>
              <w:right w:val="single" w:sz="4" w:space="0" w:color="auto"/>
            </w:tcBorders>
            <w:noWrap/>
            <w:vAlign w:val="bottom"/>
            <w:hideMark/>
          </w:tcPr>
          <w:p w:rsidR="00757B83" w:rsidRPr="00757B83" w:rsidRDefault="00757B83" w:rsidP="00757B83">
            <w:pPr>
              <w:rPr>
                <w:color w:val="000000"/>
              </w:rPr>
            </w:pPr>
            <w:r w:rsidRPr="00757B83">
              <w:rPr>
                <w:color w:val="000000"/>
              </w:rPr>
              <w:t>Kingston Shores Condominiums</w:t>
            </w:r>
          </w:p>
        </w:tc>
        <w:tc>
          <w:tcPr>
            <w:tcW w:w="1360" w:type="dxa"/>
            <w:tcBorders>
              <w:top w:val="nil"/>
              <w:left w:val="nil"/>
              <w:bottom w:val="single" w:sz="4" w:space="0" w:color="auto"/>
              <w:right w:val="single" w:sz="4" w:space="0" w:color="auto"/>
            </w:tcBorders>
            <w:noWrap/>
            <w:vAlign w:val="bottom"/>
            <w:hideMark/>
          </w:tcPr>
          <w:p w:rsidR="00757B83" w:rsidRPr="00757B83" w:rsidRDefault="00757B83" w:rsidP="00757B83">
            <w:pPr>
              <w:jc w:val="right"/>
              <w:rPr>
                <w:color w:val="000000"/>
              </w:rPr>
            </w:pPr>
            <w:r w:rsidRPr="00757B83">
              <w:rPr>
                <w:color w:val="000000"/>
              </w:rPr>
              <w:t xml:space="preserve">$150,000 </w:t>
            </w:r>
          </w:p>
        </w:tc>
        <w:tc>
          <w:tcPr>
            <w:tcW w:w="1429" w:type="dxa"/>
            <w:tcBorders>
              <w:top w:val="nil"/>
              <w:left w:val="nil"/>
              <w:bottom w:val="single" w:sz="4" w:space="0" w:color="auto"/>
              <w:right w:val="single" w:sz="4" w:space="0" w:color="auto"/>
            </w:tcBorders>
            <w:noWrap/>
            <w:vAlign w:val="bottom"/>
            <w:hideMark/>
          </w:tcPr>
          <w:p w:rsidR="00757B83" w:rsidRPr="00757B83" w:rsidRDefault="00757B83" w:rsidP="00757B83">
            <w:pPr>
              <w:jc w:val="right"/>
              <w:rPr>
                <w:color w:val="000000"/>
              </w:rPr>
            </w:pPr>
            <w:r w:rsidRPr="00757B83">
              <w:rPr>
                <w:color w:val="000000"/>
              </w:rPr>
              <w:t>106</w:t>
            </w:r>
          </w:p>
        </w:tc>
      </w:tr>
      <w:tr w:rsidR="00757B83" w:rsidRPr="00757B83" w:rsidTr="004B56FD">
        <w:trPr>
          <w:trHeight w:val="322"/>
          <w:jc w:val="center"/>
        </w:trPr>
        <w:tc>
          <w:tcPr>
            <w:tcW w:w="510" w:type="dxa"/>
            <w:tcBorders>
              <w:top w:val="nil"/>
              <w:left w:val="single" w:sz="4" w:space="0" w:color="auto"/>
              <w:bottom w:val="single" w:sz="4" w:space="0" w:color="auto"/>
              <w:right w:val="single" w:sz="4" w:space="0" w:color="auto"/>
            </w:tcBorders>
            <w:noWrap/>
            <w:vAlign w:val="bottom"/>
            <w:hideMark/>
          </w:tcPr>
          <w:p w:rsidR="00757B83" w:rsidRPr="00757B83" w:rsidRDefault="00757B83" w:rsidP="00757B83">
            <w:pPr>
              <w:rPr>
                <w:color w:val="000000"/>
              </w:rPr>
            </w:pPr>
            <w:r w:rsidRPr="00757B83">
              <w:rPr>
                <w:color w:val="000000"/>
              </w:rPr>
              <w:t>2</w:t>
            </w:r>
          </w:p>
        </w:tc>
        <w:tc>
          <w:tcPr>
            <w:tcW w:w="4947" w:type="dxa"/>
            <w:tcBorders>
              <w:top w:val="nil"/>
              <w:left w:val="nil"/>
              <w:bottom w:val="single" w:sz="4" w:space="0" w:color="auto"/>
              <w:right w:val="single" w:sz="4" w:space="0" w:color="auto"/>
            </w:tcBorders>
            <w:noWrap/>
            <w:vAlign w:val="bottom"/>
            <w:hideMark/>
          </w:tcPr>
          <w:p w:rsidR="00757B83" w:rsidRPr="00757B83" w:rsidRDefault="00757B83" w:rsidP="00757B83">
            <w:pPr>
              <w:rPr>
                <w:color w:val="000000"/>
              </w:rPr>
            </w:pPr>
            <w:r w:rsidRPr="00757B83">
              <w:rPr>
                <w:color w:val="000000"/>
              </w:rPr>
              <w:t>John Anderson Drive (Ormond Beach Plaza)</w:t>
            </w:r>
          </w:p>
        </w:tc>
        <w:tc>
          <w:tcPr>
            <w:tcW w:w="1360" w:type="dxa"/>
            <w:tcBorders>
              <w:top w:val="nil"/>
              <w:left w:val="nil"/>
              <w:bottom w:val="single" w:sz="4" w:space="0" w:color="auto"/>
              <w:right w:val="single" w:sz="4" w:space="0" w:color="auto"/>
            </w:tcBorders>
            <w:noWrap/>
            <w:vAlign w:val="bottom"/>
            <w:hideMark/>
          </w:tcPr>
          <w:p w:rsidR="00757B83" w:rsidRPr="00757B83" w:rsidRDefault="00757B83" w:rsidP="00757B83">
            <w:pPr>
              <w:jc w:val="right"/>
              <w:rPr>
                <w:color w:val="000000"/>
              </w:rPr>
            </w:pPr>
            <w:r w:rsidRPr="00757B83">
              <w:rPr>
                <w:color w:val="000000"/>
              </w:rPr>
              <w:t xml:space="preserve">$13,100 </w:t>
            </w:r>
          </w:p>
        </w:tc>
        <w:tc>
          <w:tcPr>
            <w:tcW w:w="1429" w:type="dxa"/>
            <w:tcBorders>
              <w:top w:val="nil"/>
              <w:left w:val="nil"/>
              <w:bottom w:val="single" w:sz="4" w:space="0" w:color="auto"/>
              <w:right w:val="single" w:sz="4" w:space="0" w:color="auto"/>
            </w:tcBorders>
            <w:noWrap/>
            <w:vAlign w:val="bottom"/>
            <w:hideMark/>
          </w:tcPr>
          <w:p w:rsidR="00757B83" w:rsidRPr="00757B83" w:rsidRDefault="00757B83" w:rsidP="00757B83">
            <w:pPr>
              <w:jc w:val="right"/>
              <w:rPr>
                <w:color w:val="000000"/>
              </w:rPr>
            </w:pPr>
            <w:r w:rsidRPr="00757B83">
              <w:rPr>
                <w:color w:val="000000"/>
              </w:rPr>
              <w:t>10</w:t>
            </w:r>
          </w:p>
        </w:tc>
      </w:tr>
      <w:tr w:rsidR="00757B83" w:rsidRPr="00757B83" w:rsidTr="004B56FD">
        <w:trPr>
          <w:trHeight w:val="322"/>
          <w:jc w:val="center"/>
        </w:trPr>
        <w:tc>
          <w:tcPr>
            <w:tcW w:w="510" w:type="dxa"/>
            <w:tcBorders>
              <w:top w:val="nil"/>
              <w:left w:val="single" w:sz="4" w:space="0" w:color="auto"/>
              <w:bottom w:val="single" w:sz="4" w:space="0" w:color="auto"/>
              <w:right w:val="single" w:sz="4" w:space="0" w:color="auto"/>
            </w:tcBorders>
            <w:noWrap/>
            <w:vAlign w:val="bottom"/>
            <w:hideMark/>
          </w:tcPr>
          <w:p w:rsidR="00757B83" w:rsidRPr="00757B83" w:rsidRDefault="00757B83" w:rsidP="00757B83">
            <w:pPr>
              <w:rPr>
                <w:color w:val="000000"/>
              </w:rPr>
            </w:pPr>
            <w:r w:rsidRPr="00757B83">
              <w:rPr>
                <w:color w:val="000000"/>
              </w:rPr>
              <w:t>3A</w:t>
            </w:r>
          </w:p>
        </w:tc>
        <w:tc>
          <w:tcPr>
            <w:tcW w:w="4947" w:type="dxa"/>
            <w:tcBorders>
              <w:top w:val="nil"/>
              <w:left w:val="nil"/>
              <w:bottom w:val="single" w:sz="4" w:space="0" w:color="auto"/>
              <w:right w:val="single" w:sz="4" w:space="0" w:color="auto"/>
            </w:tcBorders>
            <w:noWrap/>
            <w:vAlign w:val="bottom"/>
            <w:hideMark/>
          </w:tcPr>
          <w:p w:rsidR="00757B83" w:rsidRPr="00757B83" w:rsidRDefault="00757B83" w:rsidP="00757B83">
            <w:pPr>
              <w:rPr>
                <w:color w:val="000000"/>
              </w:rPr>
            </w:pPr>
            <w:r w:rsidRPr="00757B83">
              <w:rPr>
                <w:color w:val="000000"/>
              </w:rPr>
              <w:t>John Anderson Drive (Seabridge)</w:t>
            </w:r>
          </w:p>
        </w:tc>
        <w:tc>
          <w:tcPr>
            <w:tcW w:w="1360" w:type="dxa"/>
            <w:tcBorders>
              <w:top w:val="nil"/>
              <w:left w:val="nil"/>
              <w:bottom w:val="single" w:sz="4" w:space="0" w:color="auto"/>
              <w:right w:val="single" w:sz="4" w:space="0" w:color="auto"/>
            </w:tcBorders>
            <w:noWrap/>
            <w:vAlign w:val="bottom"/>
            <w:hideMark/>
          </w:tcPr>
          <w:p w:rsidR="00757B83" w:rsidRPr="00757B83" w:rsidRDefault="00757B83" w:rsidP="00757B83">
            <w:pPr>
              <w:jc w:val="right"/>
              <w:rPr>
                <w:color w:val="000000"/>
              </w:rPr>
            </w:pPr>
            <w:r w:rsidRPr="00757B83">
              <w:rPr>
                <w:color w:val="000000"/>
              </w:rPr>
              <w:t xml:space="preserve">$8,200 </w:t>
            </w:r>
          </w:p>
        </w:tc>
        <w:tc>
          <w:tcPr>
            <w:tcW w:w="1429" w:type="dxa"/>
            <w:tcBorders>
              <w:top w:val="nil"/>
              <w:left w:val="nil"/>
              <w:bottom w:val="single" w:sz="4" w:space="0" w:color="auto"/>
              <w:right w:val="single" w:sz="4" w:space="0" w:color="auto"/>
            </w:tcBorders>
            <w:noWrap/>
            <w:vAlign w:val="bottom"/>
            <w:hideMark/>
          </w:tcPr>
          <w:p w:rsidR="00757B83" w:rsidRPr="00757B83" w:rsidRDefault="00757B83" w:rsidP="00757B83">
            <w:pPr>
              <w:jc w:val="right"/>
              <w:rPr>
                <w:color w:val="000000"/>
              </w:rPr>
            </w:pPr>
            <w:r w:rsidRPr="00757B83">
              <w:rPr>
                <w:color w:val="000000"/>
              </w:rPr>
              <w:t>6</w:t>
            </w:r>
          </w:p>
        </w:tc>
      </w:tr>
      <w:tr w:rsidR="00757B83" w:rsidRPr="00757B83" w:rsidTr="004B56FD">
        <w:trPr>
          <w:trHeight w:val="322"/>
          <w:jc w:val="center"/>
        </w:trPr>
        <w:tc>
          <w:tcPr>
            <w:tcW w:w="510" w:type="dxa"/>
            <w:tcBorders>
              <w:top w:val="nil"/>
              <w:left w:val="single" w:sz="4" w:space="0" w:color="auto"/>
              <w:bottom w:val="single" w:sz="4" w:space="0" w:color="auto"/>
              <w:right w:val="single" w:sz="4" w:space="0" w:color="auto"/>
            </w:tcBorders>
            <w:noWrap/>
            <w:vAlign w:val="bottom"/>
            <w:hideMark/>
          </w:tcPr>
          <w:p w:rsidR="00757B83" w:rsidRPr="00757B83" w:rsidRDefault="00757B83" w:rsidP="00757B83">
            <w:pPr>
              <w:rPr>
                <w:color w:val="000000"/>
              </w:rPr>
            </w:pPr>
            <w:r w:rsidRPr="00757B83">
              <w:rPr>
                <w:color w:val="000000"/>
              </w:rPr>
              <w:t>3B</w:t>
            </w:r>
          </w:p>
        </w:tc>
        <w:tc>
          <w:tcPr>
            <w:tcW w:w="4947" w:type="dxa"/>
            <w:tcBorders>
              <w:top w:val="nil"/>
              <w:left w:val="nil"/>
              <w:bottom w:val="single" w:sz="4" w:space="0" w:color="auto"/>
              <w:right w:val="single" w:sz="4" w:space="0" w:color="auto"/>
            </w:tcBorders>
            <w:noWrap/>
            <w:vAlign w:val="bottom"/>
            <w:hideMark/>
          </w:tcPr>
          <w:p w:rsidR="00757B83" w:rsidRPr="00757B83" w:rsidRDefault="00757B83" w:rsidP="00757B83">
            <w:pPr>
              <w:rPr>
                <w:color w:val="000000"/>
              </w:rPr>
            </w:pPr>
            <w:r w:rsidRPr="00757B83">
              <w:rPr>
                <w:color w:val="000000"/>
              </w:rPr>
              <w:t>Mid John Anderson Drive</w:t>
            </w:r>
          </w:p>
        </w:tc>
        <w:tc>
          <w:tcPr>
            <w:tcW w:w="1360" w:type="dxa"/>
            <w:tcBorders>
              <w:top w:val="nil"/>
              <w:left w:val="nil"/>
              <w:bottom w:val="single" w:sz="4" w:space="0" w:color="auto"/>
              <w:right w:val="single" w:sz="4" w:space="0" w:color="auto"/>
            </w:tcBorders>
            <w:noWrap/>
            <w:vAlign w:val="bottom"/>
            <w:hideMark/>
          </w:tcPr>
          <w:p w:rsidR="00757B83" w:rsidRPr="00757B83" w:rsidRDefault="00757B83" w:rsidP="00757B83">
            <w:pPr>
              <w:jc w:val="right"/>
              <w:rPr>
                <w:color w:val="000000"/>
              </w:rPr>
            </w:pPr>
            <w:r w:rsidRPr="00757B83">
              <w:rPr>
                <w:color w:val="000000"/>
              </w:rPr>
              <w:t xml:space="preserve">$13,500 </w:t>
            </w:r>
          </w:p>
        </w:tc>
        <w:tc>
          <w:tcPr>
            <w:tcW w:w="1429" w:type="dxa"/>
            <w:tcBorders>
              <w:top w:val="nil"/>
              <w:left w:val="nil"/>
              <w:bottom w:val="single" w:sz="4" w:space="0" w:color="auto"/>
              <w:right w:val="single" w:sz="4" w:space="0" w:color="auto"/>
            </w:tcBorders>
            <w:noWrap/>
            <w:vAlign w:val="bottom"/>
            <w:hideMark/>
          </w:tcPr>
          <w:p w:rsidR="00757B83" w:rsidRPr="00757B83" w:rsidRDefault="00757B83" w:rsidP="00757B83">
            <w:pPr>
              <w:jc w:val="right"/>
              <w:rPr>
                <w:color w:val="000000"/>
              </w:rPr>
            </w:pPr>
            <w:r w:rsidRPr="00757B83">
              <w:rPr>
                <w:color w:val="000000"/>
              </w:rPr>
              <w:t>26</w:t>
            </w:r>
          </w:p>
        </w:tc>
      </w:tr>
      <w:tr w:rsidR="00757B83" w:rsidRPr="00757B83" w:rsidTr="004B56FD">
        <w:trPr>
          <w:trHeight w:val="322"/>
          <w:jc w:val="center"/>
        </w:trPr>
        <w:tc>
          <w:tcPr>
            <w:tcW w:w="510" w:type="dxa"/>
            <w:tcBorders>
              <w:top w:val="nil"/>
              <w:left w:val="single" w:sz="4" w:space="0" w:color="auto"/>
              <w:bottom w:val="single" w:sz="4" w:space="0" w:color="auto"/>
              <w:right w:val="single" w:sz="4" w:space="0" w:color="auto"/>
            </w:tcBorders>
            <w:noWrap/>
            <w:vAlign w:val="bottom"/>
            <w:hideMark/>
          </w:tcPr>
          <w:p w:rsidR="00757B83" w:rsidRPr="00757B83" w:rsidRDefault="00757B83" w:rsidP="00757B83">
            <w:pPr>
              <w:rPr>
                <w:color w:val="000000"/>
              </w:rPr>
            </w:pPr>
            <w:r w:rsidRPr="00757B83">
              <w:rPr>
                <w:color w:val="000000"/>
              </w:rPr>
              <w:t>3C</w:t>
            </w:r>
          </w:p>
        </w:tc>
        <w:tc>
          <w:tcPr>
            <w:tcW w:w="4947" w:type="dxa"/>
            <w:tcBorders>
              <w:top w:val="nil"/>
              <w:left w:val="nil"/>
              <w:bottom w:val="single" w:sz="4" w:space="0" w:color="auto"/>
              <w:right w:val="single" w:sz="4" w:space="0" w:color="auto"/>
            </w:tcBorders>
            <w:noWrap/>
            <w:vAlign w:val="bottom"/>
            <w:hideMark/>
          </w:tcPr>
          <w:p w:rsidR="00757B83" w:rsidRPr="00757B83" w:rsidRDefault="00757B83" w:rsidP="00757B83">
            <w:pPr>
              <w:rPr>
                <w:color w:val="000000"/>
              </w:rPr>
            </w:pPr>
            <w:r w:rsidRPr="00757B83">
              <w:rPr>
                <w:color w:val="000000"/>
              </w:rPr>
              <w:t>Southerly John Anderson Drive</w:t>
            </w:r>
          </w:p>
        </w:tc>
        <w:tc>
          <w:tcPr>
            <w:tcW w:w="1360" w:type="dxa"/>
            <w:tcBorders>
              <w:top w:val="nil"/>
              <w:left w:val="nil"/>
              <w:bottom w:val="single" w:sz="4" w:space="0" w:color="auto"/>
              <w:right w:val="single" w:sz="4" w:space="0" w:color="auto"/>
            </w:tcBorders>
            <w:noWrap/>
            <w:vAlign w:val="bottom"/>
            <w:hideMark/>
          </w:tcPr>
          <w:p w:rsidR="00757B83" w:rsidRPr="00757B83" w:rsidRDefault="00757B83" w:rsidP="00757B83">
            <w:pPr>
              <w:jc w:val="right"/>
              <w:rPr>
                <w:color w:val="000000"/>
              </w:rPr>
            </w:pPr>
            <w:r w:rsidRPr="00757B83">
              <w:rPr>
                <w:color w:val="000000"/>
              </w:rPr>
              <w:t xml:space="preserve">$13,800 </w:t>
            </w:r>
          </w:p>
        </w:tc>
        <w:tc>
          <w:tcPr>
            <w:tcW w:w="1429" w:type="dxa"/>
            <w:tcBorders>
              <w:top w:val="nil"/>
              <w:left w:val="nil"/>
              <w:bottom w:val="single" w:sz="4" w:space="0" w:color="auto"/>
              <w:right w:val="single" w:sz="4" w:space="0" w:color="auto"/>
            </w:tcBorders>
            <w:noWrap/>
            <w:vAlign w:val="bottom"/>
            <w:hideMark/>
          </w:tcPr>
          <w:p w:rsidR="00757B83" w:rsidRPr="00757B83" w:rsidRDefault="00757B83" w:rsidP="00757B83">
            <w:pPr>
              <w:jc w:val="right"/>
              <w:rPr>
                <w:color w:val="000000"/>
              </w:rPr>
            </w:pPr>
            <w:r w:rsidRPr="00757B83">
              <w:rPr>
                <w:color w:val="000000"/>
              </w:rPr>
              <w:t>18</w:t>
            </w:r>
          </w:p>
        </w:tc>
      </w:tr>
      <w:tr w:rsidR="00757B83" w:rsidRPr="00757B83" w:rsidTr="004B56FD">
        <w:trPr>
          <w:trHeight w:val="322"/>
          <w:jc w:val="center"/>
        </w:trPr>
        <w:tc>
          <w:tcPr>
            <w:tcW w:w="510" w:type="dxa"/>
            <w:tcBorders>
              <w:top w:val="nil"/>
              <w:left w:val="single" w:sz="4" w:space="0" w:color="auto"/>
              <w:bottom w:val="single" w:sz="4" w:space="0" w:color="auto"/>
              <w:right w:val="single" w:sz="4" w:space="0" w:color="auto"/>
            </w:tcBorders>
            <w:noWrap/>
            <w:vAlign w:val="bottom"/>
            <w:hideMark/>
          </w:tcPr>
          <w:p w:rsidR="00757B83" w:rsidRPr="00757B83" w:rsidRDefault="00757B83" w:rsidP="00757B83">
            <w:pPr>
              <w:rPr>
                <w:color w:val="000000"/>
              </w:rPr>
            </w:pPr>
            <w:r w:rsidRPr="00757B83">
              <w:rPr>
                <w:color w:val="000000"/>
              </w:rPr>
              <w:t>5</w:t>
            </w:r>
          </w:p>
        </w:tc>
        <w:tc>
          <w:tcPr>
            <w:tcW w:w="4947" w:type="dxa"/>
            <w:tcBorders>
              <w:top w:val="nil"/>
              <w:left w:val="nil"/>
              <w:bottom w:val="single" w:sz="4" w:space="0" w:color="auto"/>
              <w:right w:val="single" w:sz="4" w:space="0" w:color="auto"/>
            </w:tcBorders>
            <w:noWrap/>
            <w:vAlign w:val="bottom"/>
            <w:hideMark/>
          </w:tcPr>
          <w:p w:rsidR="00757B83" w:rsidRPr="00757B83" w:rsidRDefault="00757B83" w:rsidP="00757B83">
            <w:pPr>
              <w:rPr>
                <w:color w:val="000000"/>
              </w:rPr>
            </w:pPr>
            <w:r w:rsidRPr="00757B83">
              <w:rPr>
                <w:color w:val="000000"/>
              </w:rPr>
              <w:t>Fairwinds Shores Condominiums</w:t>
            </w:r>
          </w:p>
        </w:tc>
        <w:tc>
          <w:tcPr>
            <w:tcW w:w="1360" w:type="dxa"/>
            <w:tcBorders>
              <w:top w:val="nil"/>
              <w:left w:val="nil"/>
              <w:bottom w:val="single" w:sz="4" w:space="0" w:color="auto"/>
              <w:right w:val="single" w:sz="4" w:space="0" w:color="auto"/>
            </w:tcBorders>
            <w:noWrap/>
            <w:vAlign w:val="bottom"/>
            <w:hideMark/>
          </w:tcPr>
          <w:p w:rsidR="00757B83" w:rsidRPr="00757B83" w:rsidRDefault="00757B83" w:rsidP="00757B83">
            <w:pPr>
              <w:jc w:val="right"/>
              <w:rPr>
                <w:color w:val="000000"/>
              </w:rPr>
            </w:pPr>
            <w:r w:rsidRPr="00757B83">
              <w:rPr>
                <w:color w:val="000000"/>
              </w:rPr>
              <w:t xml:space="preserve">$72,000 </w:t>
            </w:r>
          </w:p>
        </w:tc>
        <w:tc>
          <w:tcPr>
            <w:tcW w:w="1429" w:type="dxa"/>
            <w:tcBorders>
              <w:top w:val="nil"/>
              <w:left w:val="nil"/>
              <w:bottom w:val="single" w:sz="4" w:space="0" w:color="auto"/>
              <w:right w:val="single" w:sz="4" w:space="0" w:color="auto"/>
            </w:tcBorders>
            <w:noWrap/>
            <w:vAlign w:val="bottom"/>
            <w:hideMark/>
          </w:tcPr>
          <w:p w:rsidR="00757B83" w:rsidRPr="00757B83" w:rsidRDefault="00757B83" w:rsidP="00757B83">
            <w:pPr>
              <w:jc w:val="right"/>
              <w:rPr>
                <w:color w:val="000000"/>
              </w:rPr>
            </w:pPr>
            <w:r w:rsidRPr="00757B83">
              <w:rPr>
                <w:color w:val="000000"/>
              </w:rPr>
              <w:t>102</w:t>
            </w:r>
          </w:p>
        </w:tc>
      </w:tr>
    </w:tbl>
    <w:p w:rsidR="00757B83" w:rsidRPr="00757B83" w:rsidRDefault="00757B83" w:rsidP="00757B83">
      <w:pPr>
        <w:jc w:val="both"/>
        <w:rPr>
          <w:rFonts w:ascii="Calibri" w:hAnsi="Calibri"/>
        </w:rPr>
      </w:pPr>
      <w:r w:rsidRPr="00757B83">
        <w:t xml:space="preserve">         Source: Document No. 008676-16  </w:t>
      </w:r>
    </w:p>
    <w:p w:rsidR="00757B83" w:rsidRPr="00757B83" w:rsidRDefault="00757B83" w:rsidP="00757B83">
      <w:pPr>
        <w:jc w:val="both"/>
      </w:pPr>
    </w:p>
    <w:p w:rsidR="00757B83" w:rsidRPr="00757B83" w:rsidRDefault="00757B83" w:rsidP="00757B83">
      <w:pPr>
        <w:jc w:val="both"/>
      </w:pPr>
    </w:p>
    <w:p w:rsidR="00757B83" w:rsidRPr="00757B83" w:rsidRDefault="00757B83" w:rsidP="00AA3406">
      <w:pPr>
        <w:ind w:firstLine="720"/>
        <w:jc w:val="both"/>
      </w:pPr>
      <w:r w:rsidRPr="00757B83">
        <w:t xml:space="preserve">Service to customers in the proposed service areas will require installation of force mains and laterals. In some areas, a single main extension is needed to connect a particular property; however, in areas where there are single family homes or duplexes, a main extension may serve multiple properties. In December of 2015, Volusia County enacted an ordinance that requires mandatory connection to municipal or investor owned wastewater facilities within five years when such facilities become available. At this time, the Utility is not investing in the proposed infrastructure until there is request for service. Requests for service may either not materialize in any particular proposed service area or come at varying times. </w:t>
      </w:r>
    </w:p>
    <w:p w:rsidR="00757B83" w:rsidRPr="00757B83" w:rsidRDefault="00757B83" w:rsidP="00757B83">
      <w:pPr>
        <w:jc w:val="both"/>
      </w:pPr>
    </w:p>
    <w:p w:rsidR="00757B83" w:rsidRPr="00757B83" w:rsidRDefault="00AA3406" w:rsidP="00AA3406">
      <w:pPr>
        <w:ind w:firstLine="720"/>
        <w:jc w:val="both"/>
      </w:pPr>
      <w:r>
        <w:t>We find that</w:t>
      </w:r>
      <w:r w:rsidR="00757B83" w:rsidRPr="00757B83">
        <w:t xml:space="preserve"> a main extension charge for future connections </w:t>
      </w:r>
      <w:r>
        <w:t xml:space="preserve">is appropriate </w:t>
      </w:r>
      <w:r w:rsidR="00757B83" w:rsidRPr="00757B83">
        <w:t xml:space="preserve">in areas where a single main extension may serve multiple properties. This will allow those customers to pay their pro rata share of the average cost of the infrastructure needed to provide service to their property. In order to determine the appropriate main extension charge, </w:t>
      </w:r>
      <w:r>
        <w:t xml:space="preserve">we </w:t>
      </w:r>
      <w:r w:rsidR="00757B83" w:rsidRPr="00757B83">
        <w:t xml:space="preserve">evaluated the Utility’s estimated costs to extend service. </w:t>
      </w:r>
      <w:r>
        <w:t>We</w:t>
      </w:r>
      <w:r w:rsidR="00757B83" w:rsidRPr="00757B83">
        <w:t xml:space="preserve"> determined that there are several scenarios under which service may be provided to the respective service areas. Service may be provided either with or without a road crossing to a force main. In some instances, the Utility may need to install an additional force main to provide service. As result, </w:t>
      </w:r>
      <w:r>
        <w:t>we</w:t>
      </w:r>
      <w:r w:rsidR="00757B83" w:rsidRPr="00757B83">
        <w:t xml:space="preserve"> determined the average cost of the main extension charge with a road crossing and one without a road crossing. In addition, staff calculated a per linear foot force main charge.  Typically, </w:t>
      </w:r>
      <w:r>
        <w:t>we</w:t>
      </w:r>
      <w:r w:rsidR="00757B83" w:rsidRPr="00757B83">
        <w:t xml:space="preserve"> would develop a single main extension charge per connection that would reflect the pro rata share of the cost of the lines.  However, the circumstances of the amendment are unique because of the uncertainty of the need for the service and the disparity in the cost to provide service to each distinct area. As a result, </w:t>
      </w:r>
      <w:r>
        <w:t>we find</w:t>
      </w:r>
      <w:r w:rsidR="00757B83" w:rsidRPr="00757B83">
        <w:t xml:space="preserve"> that a more reasonable approach is to design a main extension charge that would allow those customers to pay their pro rata share of the average cost of the infrastructure needed to provide service to their property.</w:t>
      </w:r>
    </w:p>
    <w:p w:rsidR="00757B83" w:rsidRPr="00757B83" w:rsidRDefault="00757B83" w:rsidP="00757B83">
      <w:pPr>
        <w:jc w:val="both"/>
      </w:pPr>
    </w:p>
    <w:p w:rsidR="00757B83" w:rsidRPr="00757B83" w:rsidRDefault="00757B83" w:rsidP="00AA3406">
      <w:pPr>
        <w:ind w:firstLine="720"/>
        <w:jc w:val="both"/>
      </w:pPr>
      <w:r w:rsidRPr="00757B83">
        <w:t xml:space="preserve">Based on the above, </w:t>
      </w:r>
      <w:r w:rsidR="00AA3406">
        <w:t>we find</w:t>
      </w:r>
      <w:r w:rsidRPr="00757B83">
        <w:t xml:space="preserve"> that, consistent with the guidelines in Rule 25-30.580, F.A.C., new customers requesting service s</w:t>
      </w:r>
      <w:r w:rsidR="00AA3406">
        <w:t>hall</w:t>
      </w:r>
      <w:r w:rsidRPr="00757B83">
        <w:t xml:space="preserve"> either install the mains necessary to connect to the Utility and donate those lines to the Utility or, the Utility may extend the required lines and collect a main extension charge based on whether a road crossing is required. A main extension charge associated with a road crossing of $762 per ERC and a main extension charge with no </w:t>
      </w:r>
      <w:r w:rsidRPr="00757B83">
        <w:lastRenderedPageBreak/>
        <w:t xml:space="preserve">road crossing of $444 per ERC </w:t>
      </w:r>
      <w:r w:rsidR="00AA3406">
        <w:t xml:space="preserve">is hereby </w:t>
      </w:r>
      <w:r w:rsidRPr="00757B83">
        <w:t xml:space="preserve">approved. </w:t>
      </w:r>
      <w:r w:rsidR="00AA3406">
        <w:t>M</w:t>
      </w:r>
      <w:r w:rsidRPr="00757B83">
        <w:t xml:space="preserve">ain extension charges </w:t>
      </w:r>
      <w:r w:rsidR="00AA3406">
        <w:t>shall</w:t>
      </w:r>
      <w:r w:rsidRPr="00757B83">
        <w:t xml:space="preserve"> be based on an estimated 250 gallons per day of treated wastewater demand. </w:t>
      </w:r>
      <w:r w:rsidR="00AA3406">
        <w:t>Also, a</w:t>
      </w:r>
      <w:r w:rsidRPr="00757B83">
        <w:t xml:space="preserve"> force main extension charge of $1.25 per linear foot</w:t>
      </w:r>
      <w:r w:rsidR="00AA3406">
        <w:t xml:space="preserve"> is appropriate</w:t>
      </w:r>
      <w:r w:rsidRPr="00757B83">
        <w:t xml:space="preserve">, based on the average cost per connection, where the Utility will need to extend its force main to provide service. </w:t>
      </w:r>
    </w:p>
    <w:p w:rsidR="00AA3406" w:rsidRDefault="00AA3406" w:rsidP="00757B83">
      <w:pPr>
        <w:jc w:val="both"/>
        <w:rPr>
          <w:rFonts w:ascii="Arial" w:hAnsi="Arial" w:cs="Arial"/>
          <w:b/>
        </w:rPr>
      </w:pPr>
    </w:p>
    <w:p w:rsidR="00757B83" w:rsidRDefault="00757B83" w:rsidP="00C832F3">
      <w:pPr>
        <w:ind w:firstLine="720"/>
        <w:jc w:val="both"/>
      </w:pPr>
      <w:r w:rsidRPr="00757B83">
        <w:t xml:space="preserve">The Utility </w:t>
      </w:r>
      <w:r w:rsidR="00AA3406">
        <w:t xml:space="preserve">must </w:t>
      </w:r>
      <w:r w:rsidRPr="00757B83">
        <w:t xml:space="preserve">file tariffs reflecting the revised service availability policy and charges. The approved service availability policy and charges </w:t>
      </w:r>
      <w:r w:rsidR="00AA3406">
        <w:t>shall</w:t>
      </w:r>
      <w:r w:rsidRPr="00757B83">
        <w:t xml:space="preserve"> be effective for connections made on or after the stamped approval date of the tariff pursuant to Rule 25-30.475, F.A.C .</w:t>
      </w:r>
    </w:p>
    <w:p w:rsidR="00C832F3" w:rsidRDefault="00C832F3" w:rsidP="00C832F3">
      <w:pPr>
        <w:ind w:firstLine="720"/>
        <w:jc w:val="both"/>
      </w:pPr>
    </w:p>
    <w:p w:rsidR="00794204" w:rsidRDefault="00794204" w:rsidP="00757B83">
      <w:pPr>
        <w:spacing w:after="240"/>
        <w:jc w:val="both"/>
      </w:pPr>
      <w:r>
        <w:tab/>
        <w:t xml:space="preserve">Based on the foregoing, it is </w:t>
      </w:r>
    </w:p>
    <w:p w:rsidR="00794204" w:rsidRDefault="00794204" w:rsidP="00757B83">
      <w:pPr>
        <w:spacing w:after="240"/>
        <w:jc w:val="both"/>
      </w:pPr>
      <w:r>
        <w:tab/>
        <w:t xml:space="preserve">ORDERED by the Florida Public Service Commission that </w:t>
      </w:r>
      <w:r w:rsidRPr="00757B83">
        <w:t>North Peninsula Utilities Corporation</w:t>
      </w:r>
      <w:r>
        <w:t>’s proposed territory amendment is granted in part and denied in part as set out in the body of this Order. It is further</w:t>
      </w:r>
    </w:p>
    <w:p w:rsidR="00794204" w:rsidRDefault="00794204" w:rsidP="00757B83">
      <w:pPr>
        <w:spacing w:after="240"/>
        <w:jc w:val="both"/>
      </w:pPr>
      <w:r>
        <w:tab/>
        <w:t xml:space="preserve">ORDERED that each of the findings made in the body of this Order is hereby approved in every respect. It is further </w:t>
      </w:r>
    </w:p>
    <w:p w:rsidR="00794204" w:rsidRDefault="00794204" w:rsidP="00757B83">
      <w:pPr>
        <w:spacing w:after="240"/>
        <w:jc w:val="both"/>
      </w:pPr>
      <w:r>
        <w:tab/>
        <w:t xml:space="preserve">ORDERED that this Order shall serve as </w:t>
      </w:r>
      <w:r w:rsidRPr="00757B83">
        <w:t>North Peninsula Utilities Corporation</w:t>
      </w:r>
      <w:r>
        <w:t xml:space="preserve">’s amended certificate and shall be retained by the Utility. It is further </w:t>
      </w:r>
    </w:p>
    <w:p w:rsidR="00AA3406" w:rsidRDefault="00794204" w:rsidP="005C798B">
      <w:pPr>
        <w:spacing w:after="240"/>
        <w:jc w:val="both"/>
      </w:pPr>
      <w:r>
        <w:tab/>
        <w:t xml:space="preserve">ORDERED that </w:t>
      </w:r>
      <w:r w:rsidRPr="00757B83">
        <w:t>North Peninsula Utilities Corporation</w:t>
      </w:r>
      <w:r>
        <w:t xml:space="preserve"> shall revise its </w:t>
      </w:r>
      <w:r w:rsidRPr="00757B83">
        <w:t xml:space="preserve">territorial description to exclude Area 4 and file the revision within ten (10) days of </w:t>
      </w:r>
      <w:r>
        <w:t xml:space="preserve">our </w:t>
      </w:r>
      <w:r w:rsidRPr="00757B83">
        <w:t>vote.</w:t>
      </w:r>
      <w:r>
        <w:t xml:space="preserve"> It is further </w:t>
      </w:r>
    </w:p>
    <w:p w:rsidR="00794204" w:rsidRDefault="00794204" w:rsidP="00794204">
      <w:pPr>
        <w:spacing w:after="240"/>
        <w:jc w:val="both"/>
      </w:pPr>
      <w:r>
        <w:tab/>
        <w:t xml:space="preserve">ORDERED that, </w:t>
      </w:r>
      <w:r w:rsidRPr="00757B83">
        <w:t>consistent with the guidelines in Rule 25-30.580, F.A.C., new customers requesting service s</w:t>
      </w:r>
      <w:r>
        <w:t>hall</w:t>
      </w:r>
      <w:r w:rsidRPr="00757B83">
        <w:t xml:space="preserve"> either install the mains necessary to connect to the Utility and donate those lines to the Utility or, the Utility may extend the required lines and collect a main extension charge based on whether a road crossing is required. A main extension charge associated with a road crossing of $762 per ERC and a main extension charge with no road crossing of $444 per ERC </w:t>
      </w:r>
      <w:r>
        <w:t xml:space="preserve">is hereby </w:t>
      </w:r>
      <w:r w:rsidRPr="00757B83">
        <w:t xml:space="preserve">approved. </w:t>
      </w:r>
      <w:r>
        <w:t>M</w:t>
      </w:r>
      <w:r w:rsidRPr="00757B83">
        <w:t xml:space="preserve">ain extension charges </w:t>
      </w:r>
      <w:r>
        <w:t>shall</w:t>
      </w:r>
      <w:r w:rsidRPr="00757B83">
        <w:t xml:space="preserve"> be based on an estimated 250 gallons per day of treated wastewater demand. </w:t>
      </w:r>
      <w:r>
        <w:t xml:space="preserve">It is further </w:t>
      </w:r>
    </w:p>
    <w:p w:rsidR="00794204" w:rsidRDefault="00794204" w:rsidP="00794204">
      <w:pPr>
        <w:spacing w:after="240"/>
        <w:ind w:firstLine="720"/>
        <w:jc w:val="both"/>
      </w:pPr>
      <w:r>
        <w:t xml:space="preserve">ORDERED </w:t>
      </w:r>
      <w:r w:rsidR="00C832F3">
        <w:t>that</w:t>
      </w:r>
      <w:r>
        <w:t xml:space="preserve"> a</w:t>
      </w:r>
      <w:r w:rsidRPr="00757B83">
        <w:t xml:space="preserve"> force main extension charge of $1.25 per linear foot</w:t>
      </w:r>
      <w:r>
        <w:t xml:space="preserve"> is appropriate</w:t>
      </w:r>
      <w:r w:rsidRPr="00757B83">
        <w:t xml:space="preserve">, based on the average cost per connection, where the Utility will need to extend its force main to provide service. </w:t>
      </w:r>
      <w:r w:rsidR="00C832F3">
        <w:t xml:space="preserve">It is further </w:t>
      </w:r>
    </w:p>
    <w:p w:rsidR="00794204" w:rsidRDefault="00C832F3" w:rsidP="00C832F3">
      <w:pPr>
        <w:spacing w:after="240"/>
        <w:ind w:firstLine="720"/>
        <w:jc w:val="both"/>
      </w:pPr>
      <w:r>
        <w:t>ORDERED that t</w:t>
      </w:r>
      <w:r w:rsidR="00794204" w:rsidRPr="00757B83">
        <w:t xml:space="preserve">he Utility </w:t>
      </w:r>
      <w:r w:rsidR="00794204">
        <w:t xml:space="preserve">must </w:t>
      </w:r>
      <w:r w:rsidR="00794204" w:rsidRPr="00757B83">
        <w:t xml:space="preserve">file tariffs reflecting the revised service availability policy and charges. The approved service availability policy and charges </w:t>
      </w:r>
      <w:r w:rsidR="00794204">
        <w:t>shall</w:t>
      </w:r>
      <w:r w:rsidR="00794204" w:rsidRPr="00757B83">
        <w:t xml:space="preserve"> be effective for connections made on or after the stamped approval date of the tariff pursuant to Rule 25-30.475, F.A.C .</w:t>
      </w:r>
      <w:r>
        <w:t xml:space="preserve"> It is further </w:t>
      </w:r>
    </w:p>
    <w:p w:rsidR="00C832F3" w:rsidRDefault="00C832F3" w:rsidP="004711AF">
      <w:pPr>
        <w:pStyle w:val="BodyText"/>
        <w:ind w:firstLine="720"/>
        <w:jc w:val="both"/>
      </w:pPr>
      <w:r>
        <w:t xml:space="preserve">ORDERED that if no person whose substantial interests are affected by the Proposed Agency Action issues files a protest within 21 days of the issuance of the order, a Consummating Order will be issued. </w:t>
      </w:r>
      <w:r w:rsidRPr="00757B83">
        <w:t>If a protest is filed within 21 days of the issuance of the Order, the tariff sh</w:t>
      </w:r>
      <w:r w:rsidR="005C798B">
        <w:t>all</w:t>
      </w:r>
      <w:r w:rsidRPr="00757B83">
        <w:t xml:space="preserve"> remain in effect subject to refund pending the resolution of the protest, and the docket sh</w:t>
      </w:r>
      <w:r w:rsidR="005C798B">
        <w:t>all</w:t>
      </w:r>
      <w:r w:rsidRPr="00757B83">
        <w:t xml:space="preserve"> remain open.</w:t>
      </w:r>
      <w:r>
        <w:t xml:space="preserve"> It is further</w:t>
      </w:r>
    </w:p>
    <w:p w:rsidR="005C798B" w:rsidRDefault="00C832F3" w:rsidP="005C798B">
      <w:pPr>
        <w:pStyle w:val="BodyText"/>
        <w:ind w:firstLine="720"/>
        <w:jc w:val="both"/>
      </w:pPr>
      <w:r>
        <w:lastRenderedPageBreak/>
        <w:t>ORDERED in the event no protest is filed, this docket shall remain open for our staff’s verification that the revised tariff sheets have been filed by the Utility and approved by our staff. Once these actions are complete, this docket shall be closed administratively.</w:t>
      </w:r>
    </w:p>
    <w:p w:rsidR="00AA3406" w:rsidRDefault="00AA3406" w:rsidP="00C111DD">
      <w:pPr>
        <w:pStyle w:val="BodyText"/>
        <w:spacing w:before="240" w:after="0"/>
        <w:ind w:firstLine="720"/>
        <w:jc w:val="both"/>
        <w:rPr>
          <w:bCs/>
          <w:kern w:val="32"/>
          <w:szCs w:val="32"/>
        </w:rPr>
      </w:pPr>
      <w:r w:rsidRPr="00AA3406">
        <w:rPr>
          <w:bCs/>
          <w:kern w:val="32"/>
          <w:szCs w:val="32"/>
        </w:rPr>
        <w:t xml:space="preserve">By ORDER of the Florida Public Service Commission this </w:t>
      </w:r>
      <w:bookmarkStart w:id="9" w:name="replaceDate"/>
      <w:bookmarkEnd w:id="9"/>
      <w:r w:rsidR="00C111DD">
        <w:rPr>
          <w:bCs/>
          <w:kern w:val="32"/>
          <w:szCs w:val="32"/>
          <w:u w:val="single"/>
        </w:rPr>
        <w:t>21st</w:t>
      </w:r>
      <w:r w:rsidR="00C111DD">
        <w:rPr>
          <w:bCs/>
          <w:kern w:val="32"/>
          <w:szCs w:val="32"/>
        </w:rPr>
        <w:t xml:space="preserve"> day of </w:t>
      </w:r>
      <w:r w:rsidR="00C111DD">
        <w:rPr>
          <w:bCs/>
          <w:kern w:val="32"/>
          <w:szCs w:val="32"/>
          <w:u w:val="single"/>
        </w:rPr>
        <w:t>November</w:t>
      </w:r>
      <w:r w:rsidR="00C111DD">
        <w:rPr>
          <w:bCs/>
          <w:kern w:val="32"/>
          <w:szCs w:val="32"/>
        </w:rPr>
        <w:t xml:space="preserve">, </w:t>
      </w:r>
      <w:r w:rsidR="00C111DD">
        <w:rPr>
          <w:bCs/>
          <w:kern w:val="32"/>
          <w:szCs w:val="32"/>
          <w:u w:val="single"/>
        </w:rPr>
        <w:t>2016</w:t>
      </w:r>
      <w:r w:rsidR="00C111DD">
        <w:rPr>
          <w:bCs/>
          <w:kern w:val="32"/>
          <w:szCs w:val="32"/>
        </w:rPr>
        <w:t>.</w:t>
      </w:r>
    </w:p>
    <w:p w:rsidR="00C111DD" w:rsidRPr="00C111DD" w:rsidRDefault="00C111DD" w:rsidP="00C111DD">
      <w:pPr>
        <w:pStyle w:val="BodyText"/>
        <w:spacing w:before="240" w:after="0"/>
        <w:ind w:firstLine="720"/>
        <w:jc w:val="both"/>
        <w:rPr>
          <w:rFonts w:ascii="Arial" w:hAnsi="Arial" w:cs="Arial"/>
          <w:bCs/>
          <w:kern w:val="32"/>
          <w:szCs w:val="32"/>
        </w:rPr>
      </w:pPr>
    </w:p>
    <w:tbl>
      <w:tblPr>
        <w:tblW w:w="4720" w:type="dxa"/>
        <w:tblInd w:w="3800" w:type="dxa"/>
        <w:tblLayout w:type="fixed"/>
        <w:tblLook w:val="0000" w:firstRow="0" w:lastRow="0" w:firstColumn="0" w:lastColumn="0" w:noHBand="0" w:noVBand="0"/>
      </w:tblPr>
      <w:tblGrid>
        <w:gridCol w:w="686"/>
        <w:gridCol w:w="4034"/>
      </w:tblGrid>
      <w:tr w:rsidR="00AA3406" w:rsidTr="00C111DD">
        <w:tc>
          <w:tcPr>
            <w:tcW w:w="686" w:type="dxa"/>
            <w:shd w:val="clear" w:color="auto" w:fill="auto"/>
          </w:tcPr>
          <w:p w:rsidR="00AA3406" w:rsidRDefault="00AA3406" w:rsidP="00AA3406">
            <w:pPr>
              <w:keepNext/>
              <w:keepLines/>
              <w:spacing w:after="240"/>
              <w:contextualSpacing/>
              <w:jc w:val="both"/>
              <w:outlineLvl w:val="0"/>
              <w:rPr>
                <w:rFonts w:ascii="Arial" w:hAnsi="Arial" w:cs="Arial"/>
                <w:bCs/>
                <w:kern w:val="32"/>
                <w:szCs w:val="32"/>
              </w:rPr>
            </w:pPr>
            <w:bookmarkStart w:id="10" w:name="bkmrkSignature" w:colFirst="0" w:colLast="0"/>
          </w:p>
        </w:tc>
        <w:tc>
          <w:tcPr>
            <w:tcW w:w="4034" w:type="dxa"/>
            <w:tcBorders>
              <w:bottom w:val="single" w:sz="4" w:space="0" w:color="auto"/>
            </w:tcBorders>
            <w:shd w:val="clear" w:color="auto" w:fill="auto"/>
          </w:tcPr>
          <w:p w:rsidR="00AA3406" w:rsidRPr="00CA7C4E" w:rsidRDefault="00CA7C4E" w:rsidP="00AA3406">
            <w:pPr>
              <w:keepNext/>
              <w:keepLines/>
              <w:spacing w:after="240"/>
              <w:contextualSpacing/>
              <w:jc w:val="both"/>
              <w:outlineLvl w:val="0"/>
              <w:rPr>
                <w:bCs/>
                <w:kern w:val="32"/>
                <w:szCs w:val="32"/>
              </w:rPr>
            </w:pPr>
            <w:r w:rsidRPr="00CA7C4E">
              <w:rPr>
                <w:bCs/>
                <w:kern w:val="32"/>
                <w:szCs w:val="32"/>
              </w:rPr>
              <w:t>/s/ Carlotta S. Stauffe</w:t>
            </w:r>
            <w:r>
              <w:rPr>
                <w:bCs/>
                <w:kern w:val="32"/>
                <w:szCs w:val="32"/>
              </w:rPr>
              <w:t>r</w:t>
            </w:r>
            <w:bookmarkStart w:id="11" w:name="_GoBack"/>
            <w:bookmarkEnd w:id="11"/>
          </w:p>
        </w:tc>
      </w:tr>
      <w:bookmarkEnd w:id="10"/>
      <w:tr w:rsidR="00AA3406" w:rsidTr="00C111DD">
        <w:tc>
          <w:tcPr>
            <w:tcW w:w="686" w:type="dxa"/>
            <w:shd w:val="clear" w:color="auto" w:fill="auto"/>
          </w:tcPr>
          <w:p w:rsidR="00AA3406" w:rsidRPr="00AA3406" w:rsidRDefault="00AA3406" w:rsidP="00AA3406">
            <w:pPr>
              <w:keepNext/>
              <w:keepLines/>
              <w:spacing w:after="240"/>
              <w:contextualSpacing/>
              <w:jc w:val="both"/>
              <w:outlineLvl w:val="0"/>
              <w:rPr>
                <w:bCs/>
                <w:kern w:val="32"/>
                <w:szCs w:val="32"/>
              </w:rPr>
            </w:pPr>
          </w:p>
        </w:tc>
        <w:tc>
          <w:tcPr>
            <w:tcW w:w="4034" w:type="dxa"/>
            <w:tcBorders>
              <w:top w:val="single" w:sz="4" w:space="0" w:color="auto"/>
            </w:tcBorders>
            <w:shd w:val="clear" w:color="auto" w:fill="auto"/>
          </w:tcPr>
          <w:p w:rsidR="00F72C40" w:rsidRDefault="00AA3406" w:rsidP="00AA3406">
            <w:pPr>
              <w:keepNext/>
              <w:keepLines/>
              <w:spacing w:after="240"/>
              <w:contextualSpacing/>
              <w:jc w:val="both"/>
              <w:outlineLvl w:val="0"/>
              <w:rPr>
                <w:bCs/>
                <w:kern w:val="32"/>
                <w:szCs w:val="32"/>
              </w:rPr>
            </w:pPr>
            <w:r w:rsidRPr="00AA3406">
              <w:rPr>
                <w:bCs/>
                <w:kern w:val="32"/>
                <w:szCs w:val="32"/>
              </w:rPr>
              <w:t>CARLOTTA S. STAUFFER</w:t>
            </w:r>
          </w:p>
          <w:p w:rsidR="00AA3406" w:rsidRPr="00AA3406" w:rsidRDefault="00AA3406" w:rsidP="00AA3406">
            <w:pPr>
              <w:keepNext/>
              <w:keepLines/>
              <w:spacing w:after="240"/>
              <w:contextualSpacing/>
              <w:jc w:val="both"/>
              <w:outlineLvl w:val="0"/>
              <w:rPr>
                <w:bCs/>
                <w:kern w:val="32"/>
                <w:szCs w:val="32"/>
              </w:rPr>
            </w:pPr>
            <w:r w:rsidRPr="00AA3406">
              <w:rPr>
                <w:bCs/>
                <w:kern w:val="32"/>
                <w:szCs w:val="32"/>
              </w:rPr>
              <w:t>Commission Clerk</w:t>
            </w:r>
          </w:p>
        </w:tc>
      </w:tr>
    </w:tbl>
    <w:p w:rsidR="00AA3406" w:rsidRDefault="00AA3406" w:rsidP="00F72C40">
      <w:pPr>
        <w:pStyle w:val="OrderSigInfo"/>
        <w:keepNext/>
        <w:keepLines/>
        <w:ind w:left="3744" w:firstLine="720"/>
        <w:contextualSpacing/>
      </w:pPr>
      <w:r>
        <w:t>Florida Public Service Commission</w:t>
      </w:r>
    </w:p>
    <w:p w:rsidR="00AA3406" w:rsidRDefault="00AA3406" w:rsidP="00AA3406">
      <w:pPr>
        <w:pStyle w:val="OrderSigInfo"/>
        <w:keepNext/>
        <w:keepLines/>
        <w:contextualSpacing/>
      </w:pPr>
      <w:r>
        <w:t>2540 Shumard Oak Boulevard</w:t>
      </w:r>
    </w:p>
    <w:p w:rsidR="00AA3406" w:rsidRDefault="00AA3406" w:rsidP="00AA3406">
      <w:pPr>
        <w:pStyle w:val="OrderSigInfo"/>
        <w:keepNext/>
        <w:keepLines/>
        <w:contextualSpacing/>
      </w:pPr>
      <w:r>
        <w:t>Tallahassee, Florida  32399</w:t>
      </w:r>
    </w:p>
    <w:p w:rsidR="00AA3406" w:rsidRDefault="00AA3406" w:rsidP="00AA3406">
      <w:pPr>
        <w:pStyle w:val="OrderSigInfo"/>
        <w:keepNext/>
        <w:keepLines/>
        <w:contextualSpacing/>
      </w:pPr>
      <w:r>
        <w:t>(850) 413</w:t>
      </w:r>
      <w:r>
        <w:noBreakHyphen/>
        <w:t>6770</w:t>
      </w:r>
    </w:p>
    <w:p w:rsidR="00AA3406" w:rsidRDefault="00AA3406" w:rsidP="00AA3406">
      <w:pPr>
        <w:pStyle w:val="OrderSigInfo"/>
        <w:keepNext/>
        <w:keepLines/>
        <w:contextualSpacing/>
      </w:pPr>
      <w:r>
        <w:t>www.floridapsc.com</w:t>
      </w:r>
    </w:p>
    <w:p w:rsidR="00AA3406" w:rsidRDefault="00AA3406" w:rsidP="00AA3406">
      <w:pPr>
        <w:pStyle w:val="OrderSigInfo"/>
        <w:keepNext/>
        <w:keepLines/>
      </w:pPr>
    </w:p>
    <w:p w:rsidR="00AA3406" w:rsidRDefault="00AA3406" w:rsidP="00AA3406">
      <w:pPr>
        <w:pStyle w:val="OrderSigInfo"/>
        <w:keepNext/>
        <w:keepLines/>
      </w:pPr>
      <w:r>
        <w:t>Copies furnished:  A copy of this document is provided to the parties of record at the time of issuance and, if applicable, interested persons.</w:t>
      </w:r>
    </w:p>
    <w:p w:rsidR="00AA3406" w:rsidRDefault="00AA3406" w:rsidP="00AA3406">
      <w:pPr>
        <w:pStyle w:val="OrderBody"/>
        <w:keepNext/>
        <w:keepLines/>
      </w:pPr>
    </w:p>
    <w:p w:rsidR="00AA3406" w:rsidRPr="00AA3406" w:rsidRDefault="00AA3406" w:rsidP="00AA3406">
      <w:pPr>
        <w:keepNext/>
        <w:keepLines/>
        <w:spacing w:after="240"/>
        <w:jc w:val="both"/>
        <w:outlineLvl w:val="0"/>
        <w:rPr>
          <w:bCs/>
          <w:kern w:val="32"/>
          <w:szCs w:val="32"/>
        </w:rPr>
      </w:pPr>
    </w:p>
    <w:p w:rsidR="00AA3406" w:rsidRPr="00AA3406" w:rsidRDefault="00AA3406" w:rsidP="00AA3406">
      <w:pPr>
        <w:keepNext/>
        <w:keepLines/>
        <w:spacing w:after="240"/>
        <w:jc w:val="both"/>
        <w:outlineLvl w:val="0"/>
        <w:rPr>
          <w:bCs/>
          <w:kern w:val="32"/>
          <w:szCs w:val="32"/>
        </w:rPr>
      </w:pPr>
      <w:r w:rsidRPr="00AA3406">
        <w:rPr>
          <w:bCs/>
          <w:kern w:val="32"/>
          <w:szCs w:val="32"/>
        </w:rPr>
        <w:t>DJ</w:t>
      </w:r>
    </w:p>
    <w:p w:rsidR="00AA3406" w:rsidRDefault="00AA3406" w:rsidP="00757B83">
      <w:pPr>
        <w:spacing w:after="240"/>
        <w:jc w:val="both"/>
        <w:outlineLvl w:val="0"/>
        <w:rPr>
          <w:rFonts w:ascii="Arial" w:hAnsi="Arial" w:cs="Arial"/>
          <w:bCs/>
          <w:kern w:val="32"/>
          <w:szCs w:val="32"/>
        </w:rPr>
      </w:pPr>
    </w:p>
    <w:p w:rsidR="00AA3406" w:rsidRDefault="00AA3406" w:rsidP="00757B83">
      <w:pPr>
        <w:spacing w:after="240"/>
        <w:jc w:val="both"/>
        <w:outlineLvl w:val="0"/>
        <w:rPr>
          <w:rFonts w:ascii="Arial" w:hAnsi="Arial" w:cs="Arial"/>
          <w:bCs/>
          <w:kern w:val="32"/>
          <w:szCs w:val="32"/>
        </w:rPr>
      </w:pPr>
    </w:p>
    <w:p w:rsidR="00AA3406" w:rsidRDefault="00AA3406" w:rsidP="00757B83">
      <w:pPr>
        <w:spacing w:after="240"/>
        <w:jc w:val="both"/>
        <w:outlineLvl w:val="0"/>
        <w:rPr>
          <w:rFonts w:ascii="Arial" w:hAnsi="Arial" w:cs="Arial"/>
          <w:bCs/>
          <w:kern w:val="32"/>
          <w:szCs w:val="32"/>
        </w:rPr>
      </w:pPr>
    </w:p>
    <w:p w:rsidR="00AA3406" w:rsidRDefault="00AA3406" w:rsidP="00757B83">
      <w:pPr>
        <w:spacing w:after="240"/>
        <w:jc w:val="both"/>
        <w:outlineLvl w:val="0"/>
        <w:rPr>
          <w:rFonts w:ascii="Arial" w:hAnsi="Arial" w:cs="Arial"/>
          <w:bCs/>
          <w:kern w:val="32"/>
          <w:szCs w:val="32"/>
        </w:rPr>
      </w:pPr>
    </w:p>
    <w:p w:rsidR="00C832F3" w:rsidRDefault="00C832F3" w:rsidP="00757B83">
      <w:pPr>
        <w:spacing w:after="240"/>
        <w:jc w:val="both"/>
        <w:outlineLvl w:val="0"/>
        <w:rPr>
          <w:rFonts w:ascii="Arial" w:hAnsi="Arial" w:cs="Arial"/>
          <w:bCs/>
          <w:kern w:val="32"/>
          <w:szCs w:val="32"/>
        </w:rPr>
      </w:pPr>
    </w:p>
    <w:p w:rsidR="005C798B" w:rsidRDefault="005C798B" w:rsidP="00757B83">
      <w:pPr>
        <w:spacing w:after="240"/>
        <w:jc w:val="both"/>
        <w:outlineLvl w:val="0"/>
        <w:rPr>
          <w:rFonts w:ascii="Arial" w:hAnsi="Arial" w:cs="Arial"/>
          <w:bCs/>
          <w:kern w:val="32"/>
          <w:szCs w:val="32"/>
        </w:rPr>
      </w:pPr>
    </w:p>
    <w:p w:rsidR="00C832F3" w:rsidRDefault="00C832F3" w:rsidP="00757B83">
      <w:pPr>
        <w:spacing w:after="240"/>
        <w:jc w:val="both"/>
        <w:outlineLvl w:val="0"/>
        <w:rPr>
          <w:rFonts w:ascii="Arial" w:hAnsi="Arial" w:cs="Arial"/>
          <w:bCs/>
          <w:kern w:val="32"/>
          <w:szCs w:val="32"/>
        </w:rPr>
      </w:pPr>
    </w:p>
    <w:p w:rsidR="00C111DD" w:rsidRDefault="00C111DD" w:rsidP="00AA3406">
      <w:pPr>
        <w:pStyle w:val="CenterUnderline"/>
      </w:pPr>
    </w:p>
    <w:p w:rsidR="00C111DD" w:rsidRDefault="00C111DD" w:rsidP="00AA3406">
      <w:pPr>
        <w:pStyle w:val="CenterUnderline"/>
      </w:pPr>
    </w:p>
    <w:p w:rsidR="00C111DD" w:rsidRDefault="00C111DD" w:rsidP="00AA3406">
      <w:pPr>
        <w:pStyle w:val="CenterUnderline"/>
      </w:pPr>
    </w:p>
    <w:p w:rsidR="00C111DD" w:rsidRDefault="00C111DD" w:rsidP="00AA3406">
      <w:pPr>
        <w:pStyle w:val="CenterUnderline"/>
      </w:pPr>
    </w:p>
    <w:p w:rsidR="00C111DD" w:rsidRDefault="00C111DD" w:rsidP="00AA3406">
      <w:pPr>
        <w:pStyle w:val="CenterUnderline"/>
      </w:pPr>
    </w:p>
    <w:p w:rsidR="00C111DD" w:rsidRDefault="00C111DD" w:rsidP="00AA3406">
      <w:pPr>
        <w:pStyle w:val="CenterUnderline"/>
      </w:pPr>
    </w:p>
    <w:p w:rsidR="00CA7C4E" w:rsidRDefault="00CA7C4E" w:rsidP="00AA3406">
      <w:pPr>
        <w:pStyle w:val="CenterUnderline"/>
      </w:pPr>
    </w:p>
    <w:p w:rsidR="00CA7C4E" w:rsidRDefault="00CA7C4E" w:rsidP="00AA3406">
      <w:pPr>
        <w:pStyle w:val="CenterUnderline"/>
      </w:pPr>
    </w:p>
    <w:p w:rsidR="00AA3406" w:rsidRDefault="00AA3406" w:rsidP="00AA3406">
      <w:pPr>
        <w:pStyle w:val="CenterUnderline"/>
      </w:pPr>
      <w:r>
        <w:lastRenderedPageBreak/>
        <w:t>NOTICE OF FURTHER PROCEEDINGS OR JUDICIAL REVIEW</w:t>
      </w:r>
    </w:p>
    <w:p w:rsidR="00AA3406" w:rsidRDefault="00AA3406" w:rsidP="00AA3406">
      <w:pPr>
        <w:pStyle w:val="CenterUnderline"/>
      </w:pPr>
    </w:p>
    <w:p w:rsidR="00AA3406" w:rsidRDefault="00AA3406" w:rsidP="00AA3406">
      <w:pPr>
        <w:pStyle w:val="OrderBody"/>
      </w:pPr>
      <w:r>
        <w:tab/>
        <w:t>The Florida Public Service Commission is required by Section 120.569(1), Florida Statutes, to notify parties of any administrative hearing that is available under Section 120.57, Florida Statutes, as well as the procedures and time limits that apply.  This notice should not be construed to mean all requests for an administrative hearing will be granted or result in the relief sought.</w:t>
      </w:r>
    </w:p>
    <w:p w:rsidR="00AA3406" w:rsidRDefault="00AA3406" w:rsidP="00AA3406">
      <w:pPr>
        <w:pStyle w:val="OrderBody"/>
      </w:pPr>
    </w:p>
    <w:p w:rsidR="00AA3406" w:rsidRDefault="00AA3406" w:rsidP="00AA3406">
      <w:pPr>
        <w:pStyle w:val="OrderBody"/>
      </w:pPr>
      <w:r>
        <w:tab/>
        <w:t>Mediation may be available on a case-by-case basis.  If mediation is conducted, it does not affect a substantially interested person's right to a hearing.</w:t>
      </w:r>
    </w:p>
    <w:p w:rsidR="00AA3406" w:rsidRDefault="00AA3406" w:rsidP="00AA3406">
      <w:pPr>
        <w:pStyle w:val="OrderBody"/>
      </w:pPr>
    </w:p>
    <w:p w:rsidR="00AA3406" w:rsidRDefault="00AA3406" w:rsidP="00AA3406">
      <w:pPr>
        <w:pStyle w:val="OrderBody"/>
      </w:pPr>
      <w:r>
        <w:tab/>
        <w:t xml:space="preserve">The action proposed herein is preliminary in nature. Any person whose substantial interests are affected by the action proposed by this order may file a petition for a formal proceeding, in the form provided by Rule 28-106.201, Florida Administrative Code.  This petition must be received by the Office of Commission Clerk, 2540 Shumard Oak Boulevard, Tallahassee, Florida 32399-0850, by the close of business on </w:t>
      </w:r>
      <w:r w:rsidR="00C111DD">
        <w:rPr>
          <w:u w:val="single"/>
        </w:rPr>
        <w:t>December 12, 2016</w:t>
      </w:r>
      <w:r>
        <w:t>.</w:t>
      </w:r>
    </w:p>
    <w:p w:rsidR="00AA3406" w:rsidRDefault="00AA3406" w:rsidP="00AA3406">
      <w:pPr>
        <w:pStyle w:val="OrderBody"/>
      </w:pPr>
    </w:p>
    <w:p w:rsidR="00AA3406" w:rsidRDefault="00AA3406" w:rsidP="00AA3406">
      <w:pPr>
        <w:pStyle w:val="OrderBody"/>
      </w:pPr>
      <w:r>
        <w:tab/>
        <w:t>In the absence of such a petition, this order shall become final and effective upon the issuance of a Consummating Order.</w:t>
      </w:r>
    </w:p>
    <w:p w:rsidR="00AA3406" w:rsidRDefault="00AA3406" w:rsidP="00AA3406">
      <w:pPr>
        <w:pStyle w:val="OrderBody"/>
      </w:pPr>
    </w:p>
    <w:p w:rsidR="00AA3406" w:rsidRDefault="00AA3406" w:rsidP="00AA3406">
      <w:pPr>
        <w:pStyle w:val="OrderBody"/>
      </w:pPr>
      <w:r>
        <w:tab/>
        <w:t>Any objection or protest filed in this/these docket(s) before the issuance date of this order is considered abandoned unless it satisfies the foregoing conditions and is renewed within the specified protest period.</w:t>
      </w:r>
    </w:p>
    <w:p w:rsidR="00AA3406" w:rsidRDefault="00AA3406" w:rsidP="00AA3406">
      <w:pPr>
        <w:pStyle w:val="OrderBody"/>
      </w:pPr>
    </w:p>
    <w:p w:rsidR="00AA3406" w:rsidRDefault="00AA3406" w:rsidP="00AA3406">
      <w:pPr>
        <w:pStyle w:val="OrderBody"/>
      </w:pPr>
    </w:p>
    <w:p w:rsidR="00757B83" w:rsidRPr="00757B83" w:rsidRDefault="00757B83" w:rsidP="00757B83">
      <w:pPr>
        <w:spacing w:after="240"/>
        <w:jc w:val="both"/>
        <w:sectPr w:rsidR="00757B83" w:rsidRPr="00757B83" w:rsidSect="0068481F">
          <w:headerReference w:type="default" r:id="rId9"/>
          <w:headerReference w:type="first" r:id="rId10"/>
          <w:footerReference w:type="first" r:id="rId11"/>
          <w:pgSz w:w="12240" w:h="15840" w:code="1"/>
          <w:pgMar w:top="1584" w:right="1440" w:bottom="1440" w:left="1440" w:header="720" w:footer="720" w:gutter="0"/>
          <w:cols w:space="720"/>
          <w:formProt w:val="0"/>
          <w:docGrid w:linePitch="360"/>
        </w:sectPr>
      </w:pPr>
    </w:p>
    <w:p w:rsidR="00757B83" w:rsidRPr="00757B83" w:rsidRDefault="00757B83" w:rsidP="00757B83">
      <w:pPr>
        <w:spacing w:after="240"/>
        <w:jc w:val="both"/>
        <w:sectPr w:rsidR="00757B83" w:rsidRPr="00757B83" w:rsidSect="0068481F">
          <w:headerReference w:type="default" r:id="rId12"/>
          <w:pgSz w:w="12240" w:h="15840" w:code="1"/>
          <w:pgMar w:top="1584" w:right="1440" w:bottom="1440" w:left="1440" w:header="720" w:footer="720" w:gutter="0"/>
          <w:cols w:space="720"/>
          <w:formProt w:val="0"/>
          <w:docGrid w:linePitch="360"/>
        </w:sectPr>
      </w:pPr>
      <w:r w:rsidRPr="00757B83">
        <w:object w:dxaOrig="9135" w:dyaOrig="118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7.8pt;height:594pt" o:ole="">
            <v:imagedata r:id="rId13" o:title=""/>
          </v:shape>
          <o:OLEObject Type="Embed" ProgID="AcroExch.Document.7" ShapeID="_x0000_i1025" DrawAspect="Content" ObjectID="_1541246527" r:id="rId14"/>
        </w:object>
      </w:r>
    </w:p>
    <w:p w:rsidR="00757B83" w:rsidRPr="00757B83" w:rsidRDefault="00E129FB" w:rsidP="00757B83">
      <w:pPr>
        <w:spacing w:after="240"/>
        <w:jc w:val="both"/>
        <w:sectPr w:rsidR="00757B83" w:rsidRPr="00757B83" w:rsidSect="0068481F">
          <w:headerReference w:type="default" r:id="rId15"/>
          <w:pgSz w:w="12240" w:h="15840" w:code="1"/>
          <w:pgMar w:top="1584" w:right="1440" w:bottom="1440" w:left="1440" w:header="720" w:footer="720" w:gutter="0"/>
          <w:cols w:space="720"/>
          <w:formProt w:val="0"/>
          <w:docGrid w:linePitch="360"/>
        </w:sectPr>
      </w:pPr>
      <w:r>
        <w:rPr>
          <w:noProof/>
        </w:rPr>
        <w:lastRenderedPageBreak/>
        <w:drawing>
          <wp:inline distT="0" distB="0" distL="0" distR="0">
            <wp:extent cx="5943600" cy="7715250"/>
            <wp:effectExtent l="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715250"/>
                    </a:xfrm>
                    <a:prstGeom prst="rect">
                      <a:avLst/>
                    </a:prstGeom>
                    <a:noFill/>
                    <a:ln>
                      <a:noFill/>
                    </a:ln>
                  </pic:spPr>
                </pic:pic>
              </a:graphicData>
            </a:graphic>
          </wp:inline>
        </w:drawing>
      </w:r>
    </w:p>
    <w:p w:rsidR="00840337" w:rsidRDefault="00E129FB" w:rsidP="00757B83">
      <w:pPr>
        <w:spacing w:after="240"/>
        <w:jc w:val="both"/>
        <w:sectPr w:rsidR="00840337">
          <w:headerReference w:type="default" r:id="rId17"/>
          <w:headerReference w:type="first" r:id="rId18"/>
          <w:footerReference w:type="first" r:id="rId19"/>
          <w:pgSz w:w="12240" w:h="15840" w:code="1"/>
          <w:pgMar w:top="1440" w:right="1440" w:bottom="1440" w:left="1440" w:header="720" w:footer="720" w:gutter="0"/>
          <w:cols w:space="720"/>
          <w:titlePg/>
          <w:docGrid w:linePitch="360"/>
        </w:sectPr>
      </w:pPr>
      <w:r>
        <w:rPr>
          <w:noProof/>
        </w:rPr>
        <w:lastRenderedPageBreak/>
        <w:drawing>
          <wp:inline distT="0" distB="0" distL="0" distR="0">
            <wp:extent cx="5694116" cy="7391400"/>
            <wp:effectExtent l="0" t="0" r="1905" b="0"/>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94116" cy="7391400"/>
                    </a:xfrm>
                    <a:prstGeom prst="rect">
                      <a:avLst/>
                    </a:prstGeom>
                    <a:noFill/>
                    <a:ln>
                      <a:noFill/>
                    </a:ln>
                  </pic:spPr>
                </pic:pic>
              </a:graphicData>
            </a:graphic>
          </wp:inline>
        </w:drawing>
      </w:r>
    </w:p>
    <w:p w:rsidR="00840337" w:rsidRDefault="00E129FB" w:rsidP="00E129FB">
      <w:pPr>
        <w:spacing w:after="240"/>
        <w:jc w:val="both"/>
        <w:sectPr w:rsidR="00840337">
          <w:headerReference w:type="first" r:id="rId21"/>
          <w:pgSz w:w="12240" w:h="15840" w:code="1"/>
          <w:pgMar w:top="1440" w:right="1440" w:bottom="1440" w:left="1440" w:header="720" w:footer="720" w:gutter="0"/>
          <w:cols w:space="720"/>
          <w:titlePg/>
          <w:docGrid w:linePitch="360"/>
        </w:sectPr>
      </w:pPr>
      <w:r>
        <w:rPr>
          <w:noProof/>
        </w:rPr>
        <w:lastRenderedPageBreak/>
        <w:drawing>
          <wp:inline distT="0" distB="0" distL="0" distR="0" wp14:anchorId="74F93F7C" wp14:editId="19057F12">
            <wp:extent cx="5767927" cy="7505700"/>
            <wp:effectExtent l="0" t="0" r="4445" b="0"/>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7927" cy="7505700"/>
                    </a:xfrm>
                    <a:prstGeom prst="rect">
                      <a:avLst/>
                    </a:prstGeom>
                    <a:noFill/>
                    <a:ln>
                      <a:noFill/>
                    </a:ln>
                  </pic:spPr>
                </pic:pic>
              </a:graphicData>
            </a:graphic>
          </wp:inline>
        </w:drawing>
      </w:r>
    </w:p>
    <w:p w:rsidR="00E129FB" w:rsidRDefault="00E129FB" w:rsidP="00E129FB">
      <w:pPr>
        <w:pStyle w:val="BodyText"/>
      </w:pPr>
      <w:r>
        <w:rPr>
          <w:noProof/>
        </w:rPr>
        <w:lastRenderedPageBreak/>
        <w:drawing>
          <wp:inline distT="0" distB="0" distL="0" distR="0" wp14:anchorId="19992573" wp14:editId="233E7BD4">
            <wp:extent cx="5709369" cy="7429500"/>
            <wp:effectExtent l="0" t="0" r="5715" b="0"/>
            <wp:docPr id="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09369" cy="7429500"/>
                    </a:xfrm>
                    <a:prstGeom prst="rect">
                      <a:avLst/>
                    </a:prstGeom>
                    <a:noFill/>
                    <a:ln>
                      <a:noFill/>
                    </a:ln>
                  </pic:spPr>
                </pic:pic>
              </a:graphicData>
            </a:graphic>
          </wp:inline>
        </w:drawing>
      </w:r>
    </w:p>
    <w:p w:rsidR="005A1000" w:rsidRDefault="005A1000" w:rsidP="00E129FB">
      <w:pPr>
        <w:sectPr w:rsidR="005A1000">
          <w:headerReference w:type="first" r:id="rId23"/>
          <w:pgSz w:w="12240" w:h="15840" w:code="1"/>
          <w:pgMar w:top="1440" w:right="1440" w:bottom="1440" w:left="1440" w:header="720" w:footer="720" w:gutter="0"/>
          <w:cols w:space="720"/>
          <w:titlePg/>
          <w:docGrid w:linePitch="360"/>
        </w:sectPr>
      </w:pPr>
    </w:p>
    <w:p w:rsidR="00E129FB" w:rsidRDefault="00E129FB" w:rsidP="00E129FB"/>
    <w:p w:rsidR="00E129FB" w:rsidRDefault="00E129FB" w:rsidP="00E129FB">
      <w:pPr>
        <w:pStyle w:val="BodyText"/>
      </w:pPr>
      <w:r>
        <w:rPr>
          <w:noProof/>
        </w:rPr>
        <w:drawing>
          <wp:inline distT="0" distB="0" distL="0" distR="0" wp14:anchorId="37ED765B" wp14:editId="2BE24698">
            <wp:extent cx="5753100" cy="7495625"/>
            <wp:effectExtent l="0" t="0" r="0" b="0"/>
            <wp:docPr id="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3100" cy="7495625"/>
                    </a:xfrm>
                    <a:prstGeom prst="rect">
                      <a:avLst/>
                    </a:prstGeom>
                    <a:noFill/>
                    <a:ln>
                      <a:noFill/>
                    </a:ln>
                  </pic:spPr>
                </pic:pic>
              </a:graphicData>
            </a:graphic>
          </wp:inline>
        </w:drawing>
      </w:r>
    </w:p>
    <w:p w:rsidR="005A1000" w:rsidRDefault="005A1000" w:rsidP="00E129FB">
      <w:pPr>
        <w:sectPr w:rsidR="005A1000">
          <w:headerReference w:type="first" r:id="rId25"/>
          <w:pgSz w:w="12240" w:h="15840" w:code="1"/>
          <w:pgMar w:top="1440" w:right="1440" w:bottom="1440" w:left="1440" w:header="720" w:footer="720" w:gutter="0"/>
          <w:cols w:space="720"/>
          <w:titlePg/>
          <w:docGrid w:linePitch="360"/>
        </w:sectPr>
      </w:pPr>
    </w:p>
    <w:p w:rsidR="00E129FB" w:rsidRDefault="00E129FB" w:rsidP="00E129FB"/>
    <w:p w:rsidR="00E129FB" w:rsidRDefault="00E129FB" w:rsidP="00E129FB">
      <w:pPr>
        <w:pStyle w:val="BodyText"/>
      </w:pPr>
      <w:r>
        <w:rPr>
          <w:noProof/>
        </w:rPr>
        <w:drawing>
          <wp:inline distT="0" distB="0" distL="0" distR="0" wp14:anchorId="380184FA" wp14:editId="2D573E5E">
            <wp:extent cx="5599574" cy="7286625"/>
            <wp:effectExtent l="0" t="0" r="1270" b="0"/>
            <wp:docPr id="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99574" cy="7286625"/>
                    </a:xfrm>
                    <a:prstGeom prst="rect">
                      <a:avLst/>
                    </a:prstGeom>
                    <a:noFill/>
                    <a:ln>
                      <a:noFill/>
                    </a:ln>
                  </pic:spPr>
                </pic:pic>
              </a:graphicData>
            </a:graphic>
          </wp:inline>
        </w:drawing>
      </w:r>
    </w:p>
    <w:p w:rsidR="005A1000" w:rsidRDefault="005A1000" w:rsidP="00E129FB">
      <w:pPr>
        <w:pStyle w:val="BodyText"/>
        <w:sectPr w:rsidR="005A1000">
          <w:headerReference w:type="first" r:id="rId27"/>
          <w:pgSz w:w="12240" w:h="15840" w:code="1"/>
          <w:pgMar w:top="1440" w:right="1440" w:bottom="1440" w:left="1440" w:header="720" w:footer="720" w:gutter="0"/>
          <w:cols w:space="720"/>
          <w:titlePg/>
          <w:docGrid w:linePitch="360"/>
        </w:sectPr>
      </w:pPr>
    </w:p>
    <w:p w:rsidR="00E129FB" w:rsidRDefault="00E129FB" w:rsidP="00E129FB">
      <w:pPr>
        <w:pStyle w:val="BodyText"/>
      </w:pPr>
      <w:r>
        <w:rPr>
          <w:noProof/>
        </w:rPr>
        <w:lastRenderedPageBreak/>
        <w:drawing>
          <wp:inline distT="0" distB="0" distL="0" distR="0" wp14:anchorId="33790C2A" wp14:editId="45D46659">
            <wp:extent cx="5526377" cy="7191375"/>
            <wp:effectExtent l="0" t="0" r="0" b="0"/>
            <wp:docPr id="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26377" cy="7191375"/>
                    </a:xfrm>
                    <a:prstGeom prst="rect">
                      <a:avLst/>
                    </a:prstGeom>
                    <a:noFill/>
                    <a:ln>
                      <a:noFill/>
                    </a:ln>
                  </pic:spPr>
                </pic:pic>
              </a:graphicData>
            </a:graphic>
          </wp:inline>
        </w:drawing>
      </w:r>
    </w:p>
    <w:p w:rsidR="00E129FB" w:rsidRDefault="00E129FB" w:rsidP="00E129FB"/>
    <w:p w:rsidR="002B57BC" w:rsidRDefault="00E129FB" w:rsidP="00E129FB">
      <w:pPr>
        <w:pStyle w:val="BodyText"/>
        <w:sectPr w:rsidR="002B57BC">
          <w:headerReference w:type="default" r:id="rId29"/>
          <w:headerReference w:type="first" r:id="rId30"/>
          <w:pgSz w:w="12240" w:h="15840" w:code="1"/>
          <w:pgMar w:top="1440" w:right="1440" w:bottom="1440" w:left="1440" w:header="720" w:footer="720" w:gutter="0"/>
          <w:cols w:space="720"/>
          <w:titlePg/>
          <w:docGrid w:linePitch="360"/>
        </w:sectPr>
      </w:pPr>
      <w:r>
        <w:rPr>
          <w:noProof/>
        </w:rPr>
        <w:lastRenderedPageBreak/>
        <w:drawing>
          <wp:inline distT="0" distB="0" distL="0" distR="0" wp14:anchorId="00673BED" wp14:editId="1372B38A">
            <wp:extent cx="5738648" cy="7467600"/>
            <wp:effectExtent l="0" t="0" r="0" b="0"/>
            <wp:docPr id="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8648" cy="7467600"/>
                    </a:xfrm>
                    <a:prstGeom prst="rect">
                      <a:avLst/>
                    </a:prstGeom>
                    <a:noFill/>
                    <a:ln>
                      <a:noFill/>
                    </a:ln>
                  </pic:spPr>
                </pic:pic>
              </a:graphicData>
            </a:graphic>
          </wp:inline>
        </w:drawing>
      </w:r>
    </w:p>
    <w:p w:rsidR="00E129FB" w:rsidRDefault="00E129FB" w:rsidP="00E129FB">
      <w:pPr>
        <w:pStyle w:val="BodyText"/>
      </w:pPr>
      <w:r>
        <w:rPr>
          <w:noProof/>
        </w:rPr>
        <w:lastRenderedPageBreak/>
        <w:drawing>
          <wp:inline distT="0" distB="0" distL="0" distR="0" wp14:anchorId="4747F406" wp14:editId="2E696B2D">
            <wp:extent cx="5680415" cy="7400925"/>
            <wp:effectExtent l="0" t="0" r="0" b="0"/>
            <wp:docPr id="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80415" cy="7400925"/>
                    </a:xfrm>
                    <a:prstGeom prst="rect">
                      <a:avLst/>
                    </a:prstGeom>
                    <a:noFill/>
                    <a:ln>
                      <a:noFill/>
                    </a:ln>
                  </pic:spPr>
                </pic:pic>
              </a:graphicData>
            </a:graphic>
          </wp:inline>
        </w:drawing>
      </w:r>
    </w:p>
    <w:p w:rsidR="002B57BC" w:rsidRDefault="002B57BC" w:rsidP="00E129FB">
      <w:pPr>
        <w:sectPr w:rsidR="002B57BC">
          <w:headerReference w:type="first" r:id="rId33"/>
          <w:pgSz w:w="12240" w:h="15840" w:code="1"/>
          <w:pgMar w:top="1440" w:right="1440" w:bottom="1440" w:left="1440" w:header="720" w:footer="720" w:gutter="0"/>
          <w:cols w:space="720"/>
          <w:titlePg/>
          <w:docGrid w:linePitch="360"/>
        </w:sectPr>
      </w:pPr>
    </w:p>
    <w:p w:rsidR="00E129FB" w:rsidRDefault="00E129FB" w:rsidP="00E129FB"/>
    <w:p w:rsidR="00E129FB" w:rsidRDefault="00E129FB" w:rsidP="00E129FB">
      <w:pPr>
        <w:pStyle w:val="BodyText"/>
      </w:pPr>
      <w:r>
        <w:rPr>
          <w:noProof/>
        </w:rPr>
        <w:drawing>
          <wp:inline distT="0" distB="0" distL="0" distR="0" wp14:anchorId="74A6839B" wp14:editId="3313C094">
            <wp:extent cx="5943600" cy="7743825"/>
            <wp:effectExtent l="0" t="0" r="0" b="9525"/>
            <wp:docPr id="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7743825"/>
                    </a:xfrm>
                    <a:prstGeom prst="rect">
                      <a:avLst/>
                    </a:prstGeom>
                    <a:noFill/>
                    <a:ln>
                      <a:noFill/>
                    </a:ln>
                  </pic:spPr>
                </pic:pic>
              </a:graphicData>
            </a:graphic>
          </wp:inline>
        </w:drawing>
      </w:r>
    </w:p>
    <w:p w:rsidR="00E129FB" w:rsidRDefault="00E129FB" w:rsidP="00E129FB"/>
    <w:p w:rsidR="00E129FB" w:rsidRDefault="00E129FB" w:rsidP="00E129FB">
      <w:pPr>
        <w:pStyle w:val="BodyText"/>
      </w:pPr>
      <w:r>
        <w:rPr>
          <w:noProof/>
        </w:rPr>
        <w:drawing>
          <wp:inline distT="0" distB="0" distL="0" distR="0" wp14:anchorId="17CFBD91" wp14:editId="17A82850">
            <wp:extent cx="5504958" cy="7172325"/>
            <wp:effectExtent l="0" t="0" r="635" b="0"/>
            <wp:docPr id="1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04958" cy="7172325"/>
                    </a:xfrm>
                    <a:prstGeom prst="rect">
                      <a:avLst/>
                    </a:prstGeom>
                    <a:noFill/>
                    <a:ln>
                      <a:noFill/>
                    </a:ln>
                  </pic:spPr>
                </pic:pic>
              </a:graphicData>
            </a:graphic>
          </wp:inline>
        </w:drawing>
      </w:r>
    </w:p>
    <w:p w:rsidR="005C343E" w:rsidRDefault="005C343E" w:rsidP="00E129FB">
      <w:pPr>
        <w:pStyle w:val="BodyText"/>
        <w:sectPr w:rsidR="005C343E">
          <w:headerReference w:type="default" r:id="rId36"/>
          <w:headerReference w:type="first" r:id="rId37"/>
          <w:pgSz w:w="12240" w:h="15840" w:code="1"/>
          <w:pgMar w:top="1440" w:right="1440" w:bottom="1440" w:left="1440" w:header="720" w:footer="720" w:gutter="0"/>
          <w:cols w:space="720"/>
          <w:titlePg/>
          <w:docGrid w:linePitch="360"/>
        </w:sectPr>
      </w:pPr>
    </w:p>
    <w:p w:rsidR="005C343E" w:rsidRDefault="005C343E" w:rsidP="00E129FB">
      <w:pPr>
        <w:pStyle w:val="BodyText"/>
      </w:pPr>
    </w:p>
    <w:p w:rsidR="00E129FB" w:rsidRDefault="00E129FB" w:rsidP="00E129FB">
      <w:pPr>
        <w:pStyle w:val="BodyText"/>
      </w:pPr>
      <w:r>
        <w:rPr>
          <w:noProof/>
        </w:rPr>
        <w:drawing>
          <wp:inline distT="0" distB="0" distL="0" distR="0" wp14:anchorId="46AC71C0" wp14:editId="6094A5FE">
            <wp:extent cx="5724279" cy="7458075"/>
            <wp:effectExtent l="0" t="0" r="0" b="0"/>
            <wp:docPr id="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24279" cy="7458075"/>
                    </a:xfrm>
                    <a:prstGeom prst="rect">
                      <a:avLst/>
                    </a:prstGeom>
                    <a:noFill/>
                    <a:ln>
                      <a:noFill/>
                    </a:ln>
                  </pic:spPr>
                </pic:pic>
              </a:graphicData>
            </a:graphic>
          </wp:inline>
        </w:drawing>
      </w:r>
    </w:p>
    <w:p w:rsidR="00E129FB" w:rsidRDefault="00E129FB" w:rsidP="00E129FB">
      <w:r>
        <w:br w:type="page"/>
      </w:r>
    </w:p>
    <w:p w:rsidR="005C343E" w:rsidRDefault="00E129FB" w:rsidP="00E129FB">
      <w:pPr>
        <w:pStyle w:val="BodyText"/>
        <w:sectPr w:rsidR="005C343E">
          <w:headerReference w:type="default" r:id="rId39"/>
          <w:headerReference w:type="first" r:id="rId40"/>
          <w:pgSz w:w="12240" w:h="15840" w:code="1"/>
          <w:pgMar w:top="1440" w:right="1440" w:bottom="1440" w:left="1440" w:header="720" w:footer="720" w:gutter="0"/>
          <w:cols w:space="720"/>
          <w:titlePg/>
          <w:docGrid w:linePitch="360"/>
        </w:sectPr>
      </w:pPr>
      <w:r>
        <w:rPr>
          <w:noProof/>
        </w:rPr>
        <w:lastRenderedPageBreak/>
        <w:drawing>
          <wp:inline distT="0" distB="0" distL="0" distR="0" wp14:anchorId="41B0F9E9" wp14:editId="3D70240E">
            <wp:extent cx="5943600" cy="7743825"/>
            <wp:effectExtent l="0" t="0" r="0" b="9525"/>
            <wp:docPr id="1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7743825"/>
                    </a:xfrm>
                    <a:prstGeom prst="rect">
                      <a:avLst/>
                    </a:prstGeom>
                    <a:noFill/>
                    <a:ln>
                      <a:noFill/>
                    </a:ln>
                  </pic:spPr>
                </pic:pic>
              </a:graphicData>
            </a:graphic>
          </wp:inline>
        </w:drawing>
      </w:r>
    </w:p>
    <w:p w:rsidR="00E129FB" w:rsidRDefault="00E129FB" w:rsidP="00E129FB">
      <w:pPr>
        <w:pStyle w:val="BodyText"/>
      </w:pPr>
    </w:p>
    <w:p w:rsidR="00E129FB" w:rsidRDefault="00E129FB" w:rsidP="005C343E">
      <w:pPr>
        <w:pStyle w:val="BodyText"/>
      </w:pPr>
      <w:r>
        <w:rPr>
          <w:noProof/>
        </w:rPr>
        <w:drawing>
          <wp:inline distT="0" distB="0" distL="0" distR="0" wp14:anchorId="107E22F1" wp14:editId="520F3D9C">
            <wp:extent cx="5610225" cy="7309476"/>
            <wp:effectExtent l="0" t="0" r="0" b="6350"/>
            <wp:docPr id="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610225" cy="7309476"/>
                    </a:xfrm>
                    <a:prstGeom prst="rect">
                      <a:avLst/>
                    </a:prstGeom>
                    <a:noFill/>
                    <a:ln>
                      <a:noFill/>
                    </a:ln>
                  </pic:spPr>
                </pic:pic>
              </a:graphicData>
            </a:graphic>
          </wp:inline>
        </w:drawing>
      </w:r>
    </w:p>
    <w:sectPr w:rsidR="00E129FB">
      <w:headerReference w:type="first" r:id="rId43"/>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57B83" w:rsidRDefault="00757B83">
      <w:r>
        <w:separator/>
      </w:r>
    </w:p>
  </w:endnote>
  <w:endnote w:type="continuationSeparator" w:id="0">
    <w:p w:rsidR="00757B83" w:rsidRDefault="00757B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7B83" w:rsidRDefault="00757B8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EFD" w:rsidRPr="00840337" w:rsidRDefault="00FA6EFD" w:rsidP="0084033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57B83" w:rsidRDefault="00757B83">
      <w:r>
        <w:separator/>
      </w:r>
    </w:p>
  </w:footnote>
  <w:footnote w:type="continuationSeparator" w:id="0">
    <w:p w:rsidR="00757B83" w:rsidRDefault="00757B83">
      <w:r>
        <w:continuationSeparator/>
      </w:r>
    </w:p>
  </w:footnote>
  <w:footnote w:id="1">
    <w:p w:rsidR="00757B83" w:rsidRPr="00E85786" w:rsidRDefault="00757B83" w:rsidP="00757B83">
      <w:pPr>
        <w:pStyle w:val="FootnoteText"/>
        <w:rPr>
          <w:i/>
        </w:rPr>
      </w:pPr>
      <w:r>
        <w:rPr>
          <w:rStyle w:val="FootnoteReference"/>
        </w:rPr>
        <w:footnoteRef/>
      </w:r>
      <w:r>
        <w:rPr>
          <w:color w:val="333333"/>
        </w:rPr>
        <w:t>Order No. 22445</w:t>
      </w:r>
      <w:r>
        <w:t xml:space="preserve">, issued October 6, 2008, in Docket No. 891016-SU, </w:t>
      </w:r>
      <w:r w:rsidRPr="009C7AB5">
        <w:rPr>
          <w:u w:val="single"/>
        </w:rPr>
        <w:t>In re: Application of North Peninsula Utilities Corporation for transfer of Certificate No. 249-S from Shore Utility Corporation in Volusia County</w:t>
      </w:r>
      <w:r w:rsidRPr="009C7AB5">
        <w:t>.</w:t>
      </w:r>
    </w:p>
  </w:footnote>
  <w:footnote w:id="2">
    <w:p w:rsidR="00757B83" w:rsidRPr="00C8171F" w:rsidRDefault="00757B83" w:rsidP="00757B83">
      <w:pPr>
        <w:pStyle w:val="FootnoteText"/>
        <w:rPr>
          <w:i/>
        </w:rPr>
      </w:pPr>
      <w:r>
        <w:rPr>
          <w:rStyle w:val="FootnoteReference"/>
        </w:rPr>
        <w:footnoteRef/>
      </w:r>
      <w:r>
        <w:t xml:space="preserve">Order No. PSC-14-0273-PCO-SU, issued May 29, 2014, in Docket No. 130209-SU, </w:t>
      </w:r>
      <w:r w:rsidRPr="009C7AB5">
        <w:rPr>
          <w:u w:val="single"/>
        </w:rPr>
        <w:t>In re: Application for expansion of certificate (CIAC) (new wastewater line extension charge) by North Peninsula Utilities Corp</w:t>
      </w:r>
      <w:r w:rsidRPr="009C7AB5">
        <w:t>.</w:t>
      </w:r>
    </w:p>
  </w:footnote>
  <w:footnote w:id="3">
    <w:p w:rsidR="00757B83" w:rsidRDefault="00757B83" w:rsidP="00757B83">
      <w:pPr>
        <w:pStyle w:val="FootnoteText"/>
      </w:pPr>
      <w:r>
        <w:rPr>
          <w:rStyle w:val="FootnoteReference"/>
        </w:rPr>
        <w:footnoteRef/>
      </w:r>
      <w:r>
        <w:t>See Document  No. 04082</w:t>
      </w:r>
      <w:r w:rsidRPr="00643037">
        <w:t xml:space="preserve">-16 </w:t>
      </w:r>
    </w:p>
  </w:footnote>
  <w:footnote w:id="4">
    <w:p w:rsidR="00757B83" w:rsidRPr="00757B83" w:rsidRDefault="00757B83" w:rsidP="00757B83">
      <w:pPr>
        <w:pStyle w:val="FootnoteText"/>
        <w:rPr>
          <w:rFonts w:ascii="Calibri" w:hAnsi="Calibri"/>
          <w:i/>
        </w:rPr>
      </w:pPr>
      <w:r>
        <w:rPr>
          <w:rStyle w:val="FootnoteReference"/>
        </w:rPr>
        <w:footnoteRef/>
      </w:r>
      <w:r>
        <w:t xml:space="preserve">Order No. 16184, issued June 4, 1986, in Docket No. 850121-SU, </w:t>
      </w:r>
      <w:r w:rsidRPr="00AA3406">
        <w:rPr>
          <w:u w:val="single"/>
        </w:rPr>
        <w:t>In re: Application of Shore Utility Corporation for a staff-assisted rate case in Volusia County, Florida</w:t>
      </w:r>
      <w:r w:rsidRPr="00AA3406">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7B83" w:rsidRDefault="00757B83" w:rsidP="00757B83">
    <w:pPr>
      <w:pStyle w:val="OrderHeader"/>
    </w:pPr>
    <w:r>
      <w:t xml:space="preserve">ORDER NO. </w:t>
    </w:r>
    <w:r w:rsidR="00C111DD">
      <w:t>PSC-16-0522-PAA-SU</w:t>
    </w:r>
  </w:p>
  <w:p w:rsidR="00757B83" w:rsidRDefault="00757B83" w:rsidP="00757B83">
    <w:pPr>
      <w:pStyle w:val="OrderHeader"/>
    </w:pPr>
    <w:r>
      <w:t>DOCKET NO. 130209-SU</w:t>
    </w:r>
  </w:p>
  <w:p w:rsidR="00757B83" w:rsidRDefault="00757B83" w:rsidP="00757B8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A7C4E">
      <w:rPr>
        <w:rStyle w:val="PageNumber"/>
        <w:noProof/>
      </w:rPr>
      <w:t>2</w:t>
    </w:r>
    <w:r>
      <w:rPr>
        <w:rStyle w:val="PageNumber"/>
      </w:rPr>
      <w:fldChar w:fldCharType="end"/>
    </w:r>
  </w:p>
  <w:p w:rsidR="00757B83" w:rsidRDefault="00757B83" w:rsidP="00757B83">
    <w:pPr>
      <w:pStyle w:val="Order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1000" w:rsidRDefault="005A1000" w:rsidP="00840337">
    <w:pPr>
      <w:pStyle w:val="OrderHeader"/>
    </w:pPr>
    <w:r>
      <w:t xml:space="preserve">ORDER NO. </w:t>
    </w:r>
    <w:r w:rsidR="00C111DD">
      <w:t>PSC-16-0522-PAA-SU</w:t>
    </w:r>
    <w:r>
      <w:tab/>
    </w:r>
    <w:r>
      <w:tab/>
      <w:t>Attachment B</w:t>
    </w:r>
  </w:p>
  <w:p w:rsidR="005A1000" w:rsidRDefault="005A1000" w:rsidP="00840337">
    <w:pPr>
      <w:pStyle w:val="OrderHeader"/>
    </w:pPr>
    <w:r>
      <w:t>DOCKET NO. 130209-SU</w:t>
    </w:r>
    <w:r>
      <w:tab/>
    </w:r>
    <w:r>
      <w:tab/>
      <w:t>4 of 13</w:t>
    </w:r>
  </w:p>
  <w:p w:rsidR="005A1000" w:rsidRDefault="005A1000" w:rsidP="0084033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A7C4E">
      <w:rPr>
        <w:rStyle w:val="PageNumber"/>
        <w:noProof/>
      </w:rPr>
      <w:t>15</w:t>
    </w:r>
    <w:r>
      <w:rPr>
        <w:rStyle w:val="PageNumber"/>
      </w:rPr>
      <w:fldChar w:fldCharType="end"/>
    </w:r>
  </w:p>
  <w:p w:rsidR="005A1000" w:rsidRDefault="005A1000">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1000" w:rsidRDefault="005A1000" w:rsidP="00840337">
    <w:pPr>
      <w:pStyle w:val="OrderHeader"/>
    </w:pPr>
    <w:r>
      <w:t xml:space="preserve">ORDER NO. </w:t>
    </w:r>
    <w:r w:rsidR="00C111DD">
      <w:t>PSC-16-0522-PAA-SU</w:t>
    </w:r>
    <w:r>
      <w:tab/>
    </w:r>
    <w:r>
      <w:tab/>
      <w:t>Attachment B</w:t>
    </w:r>
  </w:p>
  <w:p w:rsidR="005A1000" w:rsidRDefault="005A1000" w:rsidP="00840337">
    <w:pPr>
      <w:pStyle w:val="OrderHeader"/>
    </w:pPr>
    <w:r>
      <w:t>DOCKET NO. 130209-SU</w:t>
    </w:r>
    <w:r>
      <w:tab/>
    </w:r>
    <w:r>
      <w:tab/>
    </w:r>
    <w:r w:rsidR="005C343E">
      <w:t>5</w:t>
    </w:r>
    <w:r>
      <w:t xml:space="preserve"> of 13</w:t>
    </w:r>
  </w:p>
  <w:p w:rsidR="005A1000" w:rsidRDefault="005A1000" w:rsidP="0084033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A7C4E">
      <w:rPr>
        <w:rStyle w:val="PageNumber"/>
        <w:noProof/>
      </w:rPr>
      <w:t>16</w:t>
    </w:r>
    <w:r>
      <w:rPr>
        <w:rStyle w:val="PageNumber"/>
      </w:rPr>
      <w:fldChar w:fldCharType="end"/>
    </w:r>
  </w:p>
  <w:p w:rsidR="005A1000" w:rsidRDefault="005A1000">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343E" w:rsidRDefault="005C343E" w:rsidP="005A1000">
    <w:pPr>
      <w:pStyle w:val="OrderHeader"/>
    </w:pPr>
    <w:r>
      <w:t xml:space="preserve">ORDER NO. </w:t>
    </w:r>
    <w:r w:rsidR="00C111DD">
      <w:t>PSC-16-0522-PAA-SU</w:t>
    </w:r>
    <w:r>
      <w:tab/>
    </w:r>
    <w:r>
      <w:tab/>
      <w:t>Attachment B</w:t>
    </w:r>
  </w:p>
  <w:p w:rsidR="005C343E" w:rsidRDefault="005C343E" w:rsidP="005A1000">
    <w:pPr>
      <w:pStyle w:val="OrderHeader"/>
    </w:pPr>
    <w:r>
      <w:t>DOCKET NO. 130209-SU</w:t>
    </w:r>
    <w:r>
      <w:tab/>
    </w:r>
    <w:r>
      <w:tab/>
      <w:t>7 of 13</w:t>
    </w:r>
  </w:p>
  <w:p w:rsidR="005C343E" w:rsidRDefault="005C343E" w:rsidP="005A1000">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A7C4E">
      <w:rPr>
        <w:rStyle w:val="PageNumber"/>
        <w:noProof/>
      </w:rPr>
      <w:t>18</w:t>
    </w:r>
    <w:r>
      <w:rPr>
        <w:rStyle w:val="PageNumber"/>
      </w:rPr>
      <w:fldChar w:fldCharType="end"/>
    </w:r>
  </w:p>
  <w:p w:rsidR="005C343E" w:rsidRDefault="005C343E">
    <w:pPr>
      <w:pStyle w:val="Order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343E" w:rsidRDefault="005C343E" w:rsidP="00840337">
    <w:pPr>
      <w:pStyle w:val="OrderHeader"/>
    </w:pPr>
    <w:r>
      <w:t xml:space="preserve">ORDER NO. </w:t>
    </w:r>
    <w:r w:rsidR="00C111DD">
      <w:t>PSC-16-0522-PAA-SU</w:t>
    </w:r>
    <w:r>
      <w:tab/>
    </w:r>
    <w:r>
      <w:tab/>
      <w:t>Attachment B</w:t>
    </w:r>
  </w:p>
  <w:p w:rsidR="005C343E" w:rsidRDefault="005C343E" w:rsidP="00840337">
    <w:pPr>
      <w:pStyle w:val="OrderHeader"/>
    </w:pPr>
    <w:r>
      <w:t>DOCKET NO. 130209-SU</w:t>
    </w:r>
    <w:r>
      <w:tab/>
    </w:r>
    <w:r>
      <w:tab/>
      <w:t>6 of 13</w:t>
    </w:r>
  </w:p>
  <w:p w:rsidR="005C343E" w:rsidRDefault="005C343E" w:rsidP="0084033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A7C4E">
      <w:rPr>
        <w:rStyle w:val="PageNumber"/>
        <w:noProof/>
      </w:rPr>
      <w:t>17</w:t>
    </w:r>
    <w:r>
      <w:rPr>
        <w:rStyle w:val="PageNumber"/>
      </w:rPr>
      <w:fldChar w:fldCharType="end"/>
    </w:r>
  </w:p>
  <w:p w:rsidR="005C343E" w:rsidRDefault="005C343E">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343E" w:rsidRDefault="005C343E" w:rsidP="00840337">
    <w:pPr>
      <w:pStyle w:val="OrderHeader"/>
    </w:pPr>
    <w:r>
      <w:t xml:space="preserve">ORDER NO. </w:t>
    </w:r>
    <w:r w:rsidR="00C111DD">
      <w:t>PSC-16-0522-PAA-SU</w:t>
    </w:r>
    <w:r>
      <w:tab/>
    </w:r>
    <w:r>
      <w:tab/>
      <w:t>Attachment B</w:t>
    </w:r>
  </w:p>
  <w:p w:rsidR="005C343E" w:rsidRDefault="005C343E" w:rsidP="00840337">
    <w:pPr>
      <w:pStyle w:val="OrderHeader"/>
    </w:pPr>
    <w:r>
      <w:t>DOCKET NO. 130209-SU</w:t>
    </w:r>
    <w:r>
      <w:tab/>
    </w:r>
    <w:r>
      <w:tab/>
      <w:t>8 of 13</w:t>
    </w:r>
  </w:p>
  <w:p w:rsidR="005C343E" w:rsidRDefault="005C343E" w:rsidP="0084033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A7C4E">
      <w:rPr>
        <w:rStyle w:val="PageNumber"/>
        <w:noProof/>
      </w:rPr>
      <w:t>19</w:t>
    </w:r>
    <w:r>
      <w:rPr>
        <w:rStyle w:val="PageNumber"/>
      </w:rPr>
      <w:fldChar w:fldCharType="end"/>
    </w:r>
  </w:p>
  <w:p w:rsidR="005C343E" w:rsidRDefault="005C343E">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343E" w:rsidRDefault="005C343E" w:rsidP="005A1000">
    <w:pPr>
      <w:pStyle w:val="OrderHeader"/>
    </w:pPr>
    <w:r>
      <w:t xml:space="preserve">ORDER NO. </w:t>
    </w:r>
    <w:r w:rsidR="00C111DD">
      <w:t>PSC-16-0522-PAA-SU</w:t>
    </w:r>
    <w:r>
      <w:tab/>
    </w:r>
    <w:r>
      <w:tab/>
      <w:t>Attachment B</w:t>
    </w:r>
  </w:p>
  <w:p w:rsidR="005C343E" w:rsidRDefault="005C343E" w:rsidP="005A1000">
    <w:pPr>
      <w:pStyle w:val="OrderHeader"/>
    </w:pPr>
    <w:r>
      <w:t>DOCKET NO. 130209-SU</w:t>
    </w:r>
    <w:r>
      <w:tab/>
    </w:r>
    <w:r>
      <w:tab/>
      <w:t>10 of 13</w:t>
    </w:r>
  </w:p>
  <w:p w:rsidR="005C343E" w:rsidRDefault="005C343E" w:rsidP="005A1000">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A7C4E">
      <w:rPr>
        <w:rStyle w:val="PageNumber"/>
        <w:noProof/>
      </w:rPr>
      <w:t>21</w:t>
    </w:r>
    <w:r>
      <w:rPr>
        <w:rStyle w:val="PageNumber"/>
      </w:rPr>
      <w:fldChar w:fldCharType="end"/>
    </w:r>
  </w:p>
  <w:p w:rsidR="005C343E" w:rsidRDefault="005C343E">
    <w:pPr>
      <w:pStyle w:val="Order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343E" w:rsidRDefault="005C343E" w:rsidP="00840337">
    <w:pPr>
      <w:pStyle w:val="OrderHeader"/>
    </w:pPr>
    <w:r>
      <w:t xml:space="preserve">ORDER NO. </w:t>
    </w:r>
    <w:r w:rsidR="00C111DD">
      <w:t>PSC-16-0522-PAA-SU</w:t>
    </w:r>
    <w:r>
      <w:tab/>
    </w:r>
    <w:r>
      <w:tab/>
      <w:t>Attachment B</w:t>
    </w:r>
  </w:p>
  <w:p w:rsidR="005C343E" w:rsidRDefault="005C343E" w:rsidP="00840337">
    <w:pPr>
      <w:pStyle w:val="OrderHeader"/>
    </w:pPr>
    <w:r>
      <w:t>DOCKET NO. 130209-SU</w:t>
    </w:r>
    <w:r>
      <w:tab/>
    </w:r>
    <w:r>
      <w:tab/>
      <w:t>9 of 13</w:t>
    </w:r>
  </w:p>
  <w:p w:rsidR="005C343E" w:rsidRDefault="005C343E" w:rsidP="0084033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A7C4E">
      <w:rPr>
        <w:rStyle w:val="PageNumber"/>
        <w:noProof/>
      </w:rPr>
      <w:t>20</w:t>
    </w:r>
    <w:r>
      <w:rPr>
        <w:rStyle w:val="PageNumber"/>
      </w:rPr>
      <w:fldChar w:fldCharType="end"/>
    </w:r>
  </w:p>
  <w:p w:rsidR="005C343E" w:rsidRDefault="005C343E">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343E" w:rsidRDefault="005C343E" w:rsidP="005A1000">
    <w:pPr>
      <w:pStyle w:val="OrderHeader"/>
    </w:pPr>
    <w:r>
      <w:t xml:space="preserve">ORDER NO. </w:t>
    </w:r>
    <w:r w:rsidR="00C111DD">
      <w:t>PSC-16-0522-PAA-SU</w:t>
    </w:r>
    <w:r>
      <w:tab/>
    </w:r>
    <w:r>
      <w:tab/>
      <w:t>Attachment B</w:t>
    </w:r>
  </w:p>
  <w:p w:rsidR="005C343E" w:rsidRDefault="005C343E" w:rsidP="005A1000">
    <w:pPr>
      <w:pStyle w:val="OrderHeader"/>
    </w:pPr>
    <w:r>
      <w:t>DOCKET NO. 130209-SU</w:t>
    </w:r>
    <w:r>
      <w:tab/>
    </w:r>
    <w:r>
      <w:tab/>
      <w:t>12 of 13</w:t>
    </w:r>
  </w:p>
  <w:p w:rsidR="005C343E" w:rsidRDefault="005C343E" w:rsidP="005A1000">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A7C4E">
      <w:rPr>
        <w:rStyle w:val="PageNumber"/>
        <w:noProof/>
      </w:rPr>
      <w:t>23</w:t>
    </w:r>
    <w:r>
      <w:rPr>
        <w:rStyle w:val="PageNumber"/>
      </w:rPr>
      <w:fldChar w:fldCharType="end"/>
    </w:r>
  </w:p>
  <w:p w:rsidR="005C343E" w:rsidRDefault="005C343E">
    <w:pPr>
      <w:pStyle w:val="Order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343E" w:rsidRDefault="005C343E" w:rsidP="00840337">
    <w:pPr>
      <w:pStyle w:val="OrderHeader"/>
    </w:pPr>
    <w:r>
      <w:t xml:space="preserve">ORDER NO. </w:t>
    </w:r>
    <w:r w:rsidR="00C111DD">
      <w:t>PSC-16-0522-PAA-SU</w:t>
    </w:r>
    <w:r>
      <w:tab/>
    </w:r>
    <w:r>
      <w:tab/>
      <w:t>Attachment B</w:t>
    </w:r>
  </w:p>
  <w:p w:rsidR="005C343E" w:rsidRDefault="005C343E" w:rsidP="00840337">
    <w:pPr>
      <w:pStyle w:val="OrderHeader"/>
    </w:pPr>
    <w:r>
      <w:t>DOCKET NO. 130209-SU</w:t>
    </w:r>
    <w:r>
      <w:tab/>
    </w:r>
    <w:r>
      <w:tab/>
      <w:t>11 of 13</w:t>
    </w:r>
  </w:p>
  <w:p w:rsidR="005C343E" w:rsidRDefault="005C343E" w:rsidP="0084033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A7C4E">
      <w:rPr>
        <w:rStyle w:val="PageNumber"/>
        <w:noProof/>
      </w:rPr>
      <w:t>22</w:t>
    </w:r>
    <w:r>
      <w:rPr>
        <w:rStyle w:val="PageNumber"/>
      </w:rPr>
      <w:fldChar w:fldCharType="end"/>
    </w:r>
  </w:p>
  <w:p w:rsidR="005C343E" w:rsidRDefault="005C343E">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343E" w:rsidRDefault="005C343E" w:rsidP="00840337">
    <w:pPr>
      <w:pStyle w:val="OrderHeader"/>
    </w:pPr>
    <w:r>
      <w:t xml:space="preserve">ORDER NO. </w:t>
    </w:r>
    <w:r w:rsidR="00C111DD">
      <w:t>PSC-16-0522-PAA-SU</w:t>
    </w:r>
    <w:r>
      <w:tab/>
    </w:r>
    <w:r>
      <w:tab/>
      <w:t>Attachment B</w:t>
    </w:r>
  </w:p>
  <w:p w:rsidR="005C343E" w:rsidRDefault="005C343E" w:rsidP="00840337">
    <w:pPr>
      <w:pStyle w:val="OrderHeader"/>
    </w:pPr>
    <w:r>
      <w:t>DOCKET NO. 130209-SU</w:t>
    </w:r>
    <w:r>
      <w:tab/>
    </w:r>
    <w:r>
      <w:tab/>
      <w:t>13 of 13</w:t>
    </w:r>
  </w:p>
  <w:p w:rsidR="005C343E" w:rsidRDefault="005C343E" w:rsidP="0084033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A7C4E">
      <w:rPr>
        <w:rStyle w:val="PageNumber"/>
        <w:noProof/>
      </w:rPr>
      <w:t>24</w:t>
    </w:r>
    <w:r>
      <w:rPr>
        <w:rStyle w:val="PageNumber"/>
      </w:rPr>
      <w:fldChar w:fldCharType="end"/>
    </w:r>
  </w:p>
  <w:p w:rsidR="005C343E" w:rsidRDefault="005C343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0337" w:rsidRDefault="00840337" w:rsidP="00840337">
    <w:pPr>
      <w:pStyle w:val="OrderHeader"/>
    </w:pPr>
    <w:r>
      <w:t xml:space="preserve">ORDER NO. </w:t>
    </w:r>
    <w:r w:rsidR="00C111DD">
      <w:t>PSC-16-0522-PAA-SU</w:t>
    </w:r>
  </w:p>
  <w:p w:rsidR="00840337" w:rsidRDefault="00840337" w:rsidP="00840337">
    <w:pPr>
      <w:pStyle w:val="OrderHeader"/>
    </w:pPr>
    <w:r>
      <w:t>DOCKET NO. 130209-SU</w:t>
    </w:r>
  </w:p>
  <w:p w:rsidR="00840337" w:rsidRDefault="00840337" w:rsidP="0084033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A7C4E">
      <w:rPr>
        <w:rStyle w:val="PageNumber"/>
        <w:noProof/>
      </w:rPr>
      <w:t>8</w:t>
    </w:r>
    <w:r>
      <w:rPr>
        <w:rStyle w:val="PageNumber"/>
      </w:rPr>
      <w:fldChar w:fldCharType="end"/>
    </w:r>
  </w:p>
  <w:p w:rsidR="00840337" w:rsidRDefault="00840337" w:rsidP="00840337">
    <w:pPr>
      <w:pStyle w:val="Order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0337" w:rsidRDefault="00840337" w:rsidP="00840337">
    <w:pPr>
      <w:pStyle w:val="OrderHeader"/>
    </w:pPr>
    <w:r>
      <w:t xml:space="preserve">ORDER NO. </w:t>
    </w:r>
    <w:r>
      <w:tab/>
    </w:r>
    <w:r>
      <w:tab/>
      <w:t>Attachment B</w:t>
    </w:r>
  </w:p>
  <w:p w:rsidR="00840337" w:rsidRDefault="00840337" w:rsidP="00840337">
    <w:pPr>
      <w:pStyle w:val="OrderHeader"/>
    </w:pPr>
    <w:r>
      <w:t>DOCKET NO. 130209-SU</w:t>
    </w:r>
    <w:r>
      <w:tab/>
    </w:r>
    <w:r>
      <w:tab/>
      <w:t>2 of 13</w:t>
    </w:r>
  </w:p>
  <w:p w:rsidR="00840337" w:rsidRDefault="00840337" w:rsidP="0084033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12</w:t>
    </w:r>
    <w:r>
      <w:rPr>
        <w:rStyle w:val="PageNumber"/>
      </w:rPr>
      <w:fldChar w:fldCharType="end"/>
    </w:r>
  </w:p>
  <w:p w:rsidR="00757B83" w:rsidRDefault="00757B83">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0337" w:rsidRDefault="00840337" w:rsidP="00840337">
    <w:pPr>
      <w:pStyle w:val="OrderHeader"/>
    </w:pPr>
    <w:r>
      <w:t xml:space="preserve">ORDER NO. </w:t>
    </w:r>
    <w:r w:rsidR="00C111DD">
      <w:t>PSC-16-0522-PAA-SU</w:t>
    </w:r>
    <w:r>
      <w:tab/>
    </w:r>
    <w:r>
      <w:tab/>
      <w:t>Attachment A</w:t>
    </w:r>
  </w:p>
  <w:p w:rsidR="00840337" w:rsidRDefault="00840337" w:rsidP="00840337">
    <w:pPr>
      <w:pStyle w:val="OrderHeader"/>
    </w:pPr>
    <w:r>
      <w:t>DOCKET NO. 130209-SU</w:t>
    </w:r>
    <w:r>
      <w:tab/>
    </w:r>
    <w:r>
      <w:tab/>
      <w:t>1 of 2</w:t>
    </w:r>
  </w:p>
  <w:p w:rsidR="00840337" w:rsidRDefault="00840337" w:rsidP="0084033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A7C4E">
      <w:rPr>
        <w:rStyle w:val="PageNumber"/>
        <w:noProof/>
      </w:rPr>
      <w:t>10</w:t>
    </w:r>
    <w:r>
      <w:rPr>
        <w:rStyle w:val="PageNumber"/>
      </w:rPr>
      <w:fldChar w:fldCharType="end"/>
    </w:r>
  </w:p>
  <w:p w:rsidR="00840337" w:rsidRDefault="00840337" w:rsidP="00840337">
    <w:pPr>
      <w:pStyle w:val="OrderHeader"/>
      <w:rPr>
        <w:rStyle w:val="PageNumber"/>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0337" w:rsidRDefault="00840337" w:rsidP="00840337">
    <w:pPr>
      <w:pStyle w:val="OrderHeader"/>
    </w:pPr>
    <w:r>
      <w:t xml:space="preserve">ORDER NO. </w:t>
    </w:r>
    <w:r w:rsidR="00C111DD">
      <w:t>PSC-16-0522-PAA-SU</w:t>
    </w:r>
    <w:r>
      <w:tab/>
    </w:r>
    <w:r>
      <w:tab/>
      <w:t>Attachment A</w:t>
    </w:r>
  </w:p>
  <w:p w:rsidR="00840337" w:rsidRDefault="00840337" w:rsidP="00840337">
    <w:pPr>
      <w:pStyle w:val="OrderHeader"/>
    </w:pPr>
    <w:r>
      <w:t>DOCKET NO. 130209-SU</w:t>
    </w:r>
    <w:r>
      <w:tab/>
    </w:r>
    <w:r>
      <w:tab/>
      <w:t>2 of 2</w:t>
    </w:r>
  </w:p>
  <w:p w:rsidR="00840337" w:rsidRDefault="00840337" w:rsidP="0084033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A7C4E">
      <w:rPr>
        <w:rStyle w:val="PageNumber"/>
        <w:noProof/>
      </w:rPr>
      <w:t>11</w:t>
    </w:r>
    <w:r>
      <w:rPr>
        <w:rStyle w:val="PageNumber"/>
      </w:rPr>
      <w:fldChar w:fldCharType="end"/>
    </w:r>
  </w:p>
  <w:p w:rsidR="00840337" w:rsidRDefault="00840337" w:rsidP="00840337">
    <w:pPr>
      <w:pStyle w:val="Order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1000" w:rsidRDefault="005A1000" w:rsidP="005A1000">
    <w:pPr>
      <w:pStyle w:val="OrderHeader"/>
    </w:pPr>
    <w:r>
      <w:t xml:space="preserve">ORDER NO. </w:t>
    </w:r>
    <w:r>
      <w:tab/>
    </w:r>
    <w:r>
      <w:tab/>
      <w:t>Attachment B</w:t>
    </w:r>
  </w:p>
  <w:p w:rsidR="005A1000" w:rsidRDefault="005A1000" w:rsidP="005A1000">
    <w:pPr>
      <w:pStyle w:val="OrderHeader"/>
    </w:pPr>
    <w:r>
      <w:t>DOCKET NO. 130209-SU</w:t>
    </w:r>
    <w:r>
      <w:tab/>
    </w:r>
    <w:r>
      <w:tab/>
      <w:t>5 of 13</w:t>
    </w:r>
  </w:p>
  <w:p w:rsidR="005A1000" w:rsidRDefault="005A1000" w:rsidP="005A1000">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5C343E">
      <w:rPr>
        <w:rStyle w:val="PageNumber"/>
        <w:noProof/>
      </w:rPr>
      <w:t>18</w:t>
    </w:r>
    <w:r>
      <w:rPr>
        <w:rStyle w:val="PageNumber"/>
      </w:rPr>
      <w:fldChar w:fldCharType="end"/>
    </w:r>
  </w:p>
  <w:p w:rsidR="00FA6EFD" w:rsidRDefault="00FA6EFD">
    <w:pPr>
      <w:pStyle w:val="Order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0337" w:rsidRDefault="00840337" w:rsidP="00840337">
    <w:pPr>
      <w:pStyle w:val="OrderHeader"/>
    </w:pPr>
    <w:r>
      <w:t xml:space="preserve">ORDER NO. </w:t>
    </w:r>
    <w:r w:rsidR="00C111DD">
      <w:t>PSC-16-0522-PAA-SU</w:t>
    </w:r>
    <w:r>
      <w:tab/>
    </w:r>
    <w:r>
      <w:tab/>
      <w:t>Attachment B</w:t>
    </w:r>
  </w:p>
  <w:p w:rsidR="00840337" w:rsidRDefault="00840337" w:rsidP="00840337">
    <w:pPr>
      <w:pStyle w:val="OrderHeader"/>
    </w:pPr>
    <w:r>
      <w:t>DOCKET NO. 130209-SU</w:t>
    </w:r>
    <w:r>
      <w:tab/>
    </w:r>
    <w:r>
      <w:tab/>
      <w:t>1 of 13</w:t>
    </w:r>
  </w:p>
  <w:p w:rsidR="00840337" w:rsidRDefault="00840337" w:rsidP="0084033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A7C4E">
      <w:rPr>
        <w:rStyle w:val="PageNumber"/>
        <w:noProof/>
      </w:rPr>
      <w:t>12</w:t>
    </w:r>
    <w:r>
      <w:rPr>
        <w:rStyle w:val="PageNumber"/>
      </w:rPr>
      <w:fldChar w:fldCharType="end"/>
    </w:r>
  </w:p>
  <w:p w:rsidR="00840337" w:rsidRDefault="00840337">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0337" w:rsidRDefault="00840337" w:rsidP="00840337">
    <w:pPr>
      <w:pStyle w:val="OrderHeader"/>
    </w:pPr>
    <w:r>
      <w:t xml:space="preserve">ORDER NO. </w:t>
    </w:r>
    <w:r w:rsidR="00C111DD">
      <w:t>PSC-16-0522-PAA-SU</w:t>
    </w:r>
    <w:r>
      <w:tab/>
    </w:r>
    <w:r>
      <w:tab/>
      <w:t>Attachment B</w:t>
    </w:r>
  </w:p>
  <w:p w:rsidR="00840337" w:rsidRDefault="00840337" w:rsidP="00840337">
    <w:pPr>
      <w:pStyle w:val="OrderHeader"/>
    </w:pPr>
    <w:r>
      <w:t>DOCKET NO. 130209-SU</w:t>
    </w:r>
    <w:r>
      <w:tab/>
    </w:r>
    <w:r>
      <w:tab/>
    </w:r>
    <w:r w:rsidR="005A1000">
      <w:t>2</w:t>
    </w:r>
    <w:r>
      <w:t xml:space="preserve"> of 13</w:t>
    </w:r>
  </w:p>
  <w:p w:rsidR="00840337" w:rsidRDefault="00840337" w:rsidP="0084033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A7C4E">
      <w:rPr>
        <w:rStyle w:val="PageNumber"/>
        <w:noProof/>
      </w:rPr>
      <w:t>13</w:t>
    </w:r>
    <w:r>
      <w:rPr>
        <w:rStyle w:val="PageNumber"/>
      </w:rPr>
      <w:fldChar w:fldCharType="end"/>
    </w:r>
  </w:p>
  <w:p w:rsidR="00840337" w:rsidRDefault="00840337">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0337" w:rsidRDefault="00840337" w:rsidP="00840337">
    <w:pPr>
      <w:pStyle w:val="OrderHeader"/>
    </w:pPr>
    <w:r>
      <w:t xml:space="preserve">ORDER NO. </w:t>
    </w:r>
    <w:r w:rsidR="00C111DD">
      <w:t>PSC-16-0522-PAA-SU</w:t>
    </w:r>
    <w:r>
      <w:tab/>
    </w:r>
    <w:r>
      <w:tab/>
      <w:t>Attachment B</w:t>
    </w:r>
  </w:p>
  <w:p w:rsidR="00840337" w:rsidRDefault="00840337" w:rsidP="00840337">
    <w:pPr>
      <w:pStyle w:val="OrderHeader"/>
    </w:pPr>
    <w:r>
      <w:t>DOCKET NO. 130209-SU</w:t>
    </w:r>
    <w:r>
      <w:tab/>
    </w:r>
    <w:r>
      <w:tab/>
      <w:t>3 of 13</w:t>
    </w:r>
  </w:p>
  <w:p w:rsidR="00840337" w:rsidRDefault="00840337" w:rsidP="0084033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A7C4E">
      <w:rPr>
        <w:rStyle w:val="PageNumber"/>
        <w:noProof/>
      </w:rPr>
      <w:t>14</w:t>
    </w:r>
    <w:r>
      <w:rPr>
        <w:rStyle w:val="PageNumber"/>
      </w:rPr>
      <w:fldChar w:fldCharType="end"/>
    </w:r>
  </w:p>
  <w:p w:rsidR="00840337" w:rsidRDefault="0084033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D504DCD"/>
    <w:multiLevelType w:val="hybridMultilevel"/>
    <w:tmpl w:val="3AD8EC22"/>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130209-SU"/>
  </w:docVars>
  <w:rsids>
    <w:rsidRoot w:val="00757B83"/>
    <w:rsid w:val="000022B8"/>
    <w:rsid w:val="000130D5"/>
    <w:rsid w:val="00053AB9"/>
    <w:rsid w:val="00056229"/>
    <w:rsid w:val="00065FC2"/>
    <w:rsid w:val="00090AFC"/>
    <w:rsid w:val="000D06E8"/>
    <w:rsid w:val="000E344D"/>
    <w:rsid w:val="000F3B2C"/>
    <w:rsid w:val="000F7BE3"/>
    <w:rsid w:val="00116AD3"/>
    <w:rsid w:val="00126593"/>
    <w:rsid w:val="00142A96"/>
    <w:rsid w:val="00187E32"/>
    <w:rsid w:val="00194E81"/>
    <w:rsid w:val="001A33C9"/>
    <w:rsid w:val="001D008A"/>
    <w:rsid w:val="002002ED"/>
    <w:rsid w:val="0022721A"/>
    <w:rsid w:val="00230BB9"/>
    <w:rsid w:val="00241CEF"/>
    <w:rsid w:val="00252B30"/>
    <w:rsid w:val="002A11AC"/>
    <w:rsid w:val="002A6F30"/>
    <w:rsid w:val="002B57BC"/>
    <w:rsid w:val="002D7D15"/>
    <w:rsid w:val="002E27EB"/>
    <w:rsid w:val="00303FDE"/>
    <w:rsid w:val="003140E8"/>
    <w:rsid w:val="003231C7"/>
    <w:rsid w:val="00331ED0"/>
    <w:rsid w:val="0034594A"/>
    <w:rsid w:val="0035495B"/>
    <w:rsid w:val="003744F5"/>
    <w:rsid w:val="00390DD8"/>
    <w:rsid w:val="00394DC6"/>
    <w:rsid w:val="00397C3E"/>
    <w:rsid w:val="003D4CCA"/>
    <w:rsid w:val="003D6416"/>
    <w:rsid w:val="003E1D48"/>
    <w:rsid w:val="0042527B"/>
    <w:rsid w:val="00457DC7"/>
    <w:rsid w:val="004711AF"/>
    <w:rsid w:val="00472BCC"/>
    <w:rsid w:val="004A25CD"/>
    <w:rsid w:val="004A26CC"/>
    <w:rsid w:val="004B2108"/>
    <w:rsid w:val="004B3A2B"/>
    <w:rsid w:val="004D2D1B"/>
    <w:rsid w:val="004F2DDE"/>
    <w:rsid w:val="0050097F"/>
    <w:rsid w:val="00514B1F"/>
    <w:rsid w:val="00556A10"/>
    <w:rsid w:val="0056324A"/>
    <w:rsid w:val="005963C2"/>
    <w:rsid w:val="005A1000"/>
    <w:rsid w:val="005A22EF"/>
    <w:rsid w:val="005B45F7"/>
    <w:rsid w:val="005B63EA"/>
    <w:rsid w:val="005C343E"/>
    <w:rsid w:val="005C798B"/>
    <w:rsid w:val="00660774"/>
    <w:rsid w:val="00665CC7"/>
    <w:rsid w:val="006A0BF3"/>
    <w:rsid w:val="006B0DA6"/>
    <w:rsid w:val="006C547E"/>
    <w:rsid w:val="00704C5D"/>
    <w:rsid w:val="00715275"/>
    <w:rsid w:val="00733B6B"/>
    <w:rsid w:val="00757B83"/>
    <w:rsid w:val="0076170F"/>
    <w:rsid w:val="0076669C"/>
    <w:rsid w:val="007865E9"/>
    <w:rsid w:val="00792383"/>
    <w:rsid w:val="00794204"/>
    <w:rsid w:val="007A060F"/>
    <w:rsid w:val="007D3D20"/>
    <w:rsid w:val="007E3AFD"/>
    <w:rsid w:val="00803189"/>
    <w:rsid w:val="00804E7A"/>
    <w:rsid w:val="00805FBB"/>
    <w:rsid w:val="008169A4"/>
    <w:rsid w:val="008278FE"/>
    <w:rsid w:val="00832598"/>
    <w:rsid w:val="0083397E"/>
    <w:rsid w:val="0083534B"/>
    <w:rsid w:val="00840337"/>
    <w:rsid w:val="00863A66"/>
    <w:rsid w:val="00874429"/>
    <w:rsid w:val="00883D9A"/>
    <w:rsid w:val="008919EF"/>
    <w:rsid w:val="008C6A5B"/>
    <w:rsid w:val="008E26A5"/>
    <w:rsid w:val="008E42D2"/>
    <w:rsid w:val="009040EE"/>
    <w:rsid w:val="009057FD"/>
    <w:rsid w:val="00922A7F"/>
    <w:rsid w:val="00923A5E"/>
    <w:rsid w:val="009924CF"/>
    <w:rsid w:val="00993BAF"/>
    <w:rsid w:val="00994100"/>
    <w:rsid w:val="009C7AB5"/>
    <w:rsid w:val="009D4C29"/>
    <w:rsid w:val="00A62DAB"/>
    <w:rsid w:val="00A726A6"/>
    <w:rsid w:val="00A97535"/>
    <w:rsid w:val="00AA3406"/>
    <w:rsid w:val="00AA73F1"/>
    <w:rsid w:val="00AB0E1A"/>
    <w:rsid w:val="00AB1A30"/>
    <w:rsid w:val="00AD1ED3"/>
    <w:rsid w:val="00B0777D"/>
    <w:rsid w:val="00B4057A"/>
    <w:rsid w:val="00B40894"/>
    <w:rsid w:val="00B45E75"/>
    <w:rsid w:val="00B50876"/>
    <w:rsid w:val="00B55EE5"/>
    <w:rsid w:val="00B73DE6"/>
    <w:rsid w:val="00B86EF0"/>
    <w:rsid w:val="00B97900"/>
    <w:rsid w:val="00BA44A8"/>
    <w:rsid w:val="00BF6691"/>
    <w:rsid w:val="00C028FC"/>
    <w:rsid w:val="00C111DD"/>
    <w:rsid w:val="00C66692"/>
    <w:rsid w:val="00C832F3"/>
    <w:rsid w:val="00C91123"/>
    <w:rsid w:val="00CA71FF"/>
    <w:rsid w:val="00CA7C4E"/>
    <w:rsid w:val="00CB5276"/>
    <w:rsid w:val="00CB68D7"/>
    <w:rsid w:val="00CC7E68"/>
    <w:rsid w:val="00CD7132"/>
    <w:rsid w:val="00CE0E6F"/>
    <w:rsid w:val="00D30B48"/>
    <w:rsid w:val="00D46FAA"/>
    <w:rsid w:val="00D57BB2"/>
    <w:rsid w:val="00D8560E"/>
    <w:rsid w:val="00D8758F"/>
    <w:rsid w:val="00DC1D94"/>
    <w:rsid w:val="00DE057F"/>
    <w:rsid w:val="00DE2082"/>
    <w:rsid w:val="00DE2289"/>
    <w:rsid w:val="00E04410"/>
    <w:rsid w:val="00E11351"/>
    <w:rsid w:val="00E129FB"/>
    <w:rsid w:val="00E81255"/>
    <w:rsid w:val="00EA172C"/>
    <w:rsid w:val="00EA259B"/>
    <w:rsid w:val="00EA35A3"/>
    <w:rsid w:val="00EA3E6A"/>
    <w:rsid w:val="00EB18EF"/>
    <w:rsid w:val="00EE17DF"/>
    <w:rsid w:val="00EF4621"/>
    <w:rsid w:val="00F277B6"/>
    <w:rsid w:val="00F54380"/>
    <w:rsid w:val="00F54B47"/>
    <w:rsid w:val="00F70E84"/>
    <w:rsid w:val="00F72C40"/>
    <w:rsid w:val="00FA6EFD"/>
    <w:rsid w:val="00FB74EA"/>
    <w:rsid w:val="00FD2C9E"/>
    <w:rsid w:val="00FD4786"/>
    <w:rsid w:val="00FD616C"/>
    <w:rsid w:val="00FE53F2"/>
    <w:rsid w:val="00FF0A00"/>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note text"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rsid w:val="00CD7132"/>
    <w:rPr>
      <w:vertAlign w:val="superscript"/>
    </w:rPr>
  </w:style>
  <w:style w:type="paragraph" w:styleId="FootnoteText">
    <w:name w:val="footnote text"/>
    <w:basedOn w:val="Normal"/>
    <w:link w:val="FootnoteTextChar"/>
    <w:uiPriority w:val="99"/>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uiPriority w:val="99"/>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character" w:customStyle="1" w:styleId="FootnoteTextChar">
    <w:name w:val="Footnote Text Char"/>
    <w:link w:val="FootnoteText"/>
    <w:uiPriority w:val="99"/>
    <w:rsid w:val="00757B83"/>
  </w:style>
  <w:style w:type="paragraph" w:styleId="BalloonText">
    <w:name w:val="Balloon Text"/>
    <w:basedOn w:val="Normal"/>
    <w:link w:val="BalloonTextChar"/>
    <w:rsid w:val="00E129FB"/>
    <w:rPr>
      <w:rFonts w:ascii="Tahoma" w:hAnsi="Tahoma" w:cs="Tahoma"/>
      <w:sz w:val="16"/>
      <w:szCs w:val="16"/>
    </w:rPr>
  </w:style>
  <w:style w:type="character" w:customStyle="1" w:styleId="BalloonTextChar">
    <w:name w:val="Balloon Text Char"/>
    <w:basedOn w:val="DefaultParagraphFont"/>
    <w:link w:val="BalloonText"/>
    <w:rsid w:val="00E129F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note text"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rsid w:val="00CD7132"/>
    <w:rPr>
      <w:vertAlign w:val="superscript"/>
    </w:rPr>
  </w:style>
  <w:style w:type="paragraph" w:styleId="FootnoteText">
    <w:name w:val="footnote text"/>
    <w:basedOn w:val="Normal"/>
    <w:link w:val="FootnoteTextChar"/>
    <w:uiPriority w:val="99"/>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uiPriority w:val="99"/>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character" w:customStyle="1" w:styleId="FootnoteTextChar">
    <w:name w:val="Footnote Text Char"/>
    <w:link w:val="FootnoteText"/>
    <w:uiPriority w:val="99"/>
    <w:rsid w:val="00757B83"/>
  </w:style>
  <w:style w:type="paragraph" w:styleId="BalloonText">
    <w:name w:val="Balloon Text"/>
    <w:basedOn w:val="Normal"/>
    <w:link w:val="BalloonTextChar"/>
    <w:rsid w:val="00E129FB"/>
    <w:rPr>
      <w:rFonts w:ascii="Tahoma" w:hAnsi="Tahoma" w:cs="Tahoma"/>
      <w:sz w:val="16"/>
      <w:szCs w:val="16"/>
    </w:rPr>
  </w:style>
  <w:style w:type="character" w:customStyle="1" w:styleId="BalloonTextChar">
    <w:name w:val="Balloon Text Char"/>
    <w:basedOn w:val="DefaultParagraphFont"/>
    <w:link w:val="BalloonText"/>
    <w:rsid w:val="00E129F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1.emf"/><Relationship Id="rId18" Type="http://schemas.openxmlformats.org/officeDocument/2006/relationships/header" Target="header7.xml"/><Relationship Id="rId26" Type="http://schemas.openxmlformats.org/officeDocument/2006/relationships/image" Target="media/image6.jpeg"/><Relationship Id="rId39" Type="http://schemas.openxmlformats.org/officeDocument/2006/relationships/header" Target="header17.xml"/><Relationship Id="rId3" Type="http://schemas.microsoft.com/office/2007/relationships/stylesWithEffects" Target="stylesWithEffects.xml"/><Relationship Id="rId21" Type="http://schemas.openxmlformats.org/officeDocument/2006/relationships/header" Target="header8.xml"/><Relationship Id="rId34" Type="http://schemas.openxmlformats.org/officeDocument/2006/relationships/image" Target="media/image10.jpeg"/><Relationship Id="rId42"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header" Target="header4.xml"/><Relationship Id="rId17" Type="http://schemas.openxmlformats.org/officeDocument/2006/relationships/header" Target="header6.xml"/><Relationship Id="rId25" Type="http://schemas.openxmlformats.org/officeDocument/2006/relationships/header" Target="header10.xml"/><Relationship Id="rId33" Type="http://schemas.openxmlformats.org/officeDocument/2006/relationships/header" Target="header14.xml"/><Relationship Id="rId38" Type="http://schemas.openxmlformats.org/officeDocument/2006/relationships/image" Target="media/image12.jpeg"/><Relationship Id="rId2" Type="http://schemas.openxmlformats.org/officeDocument/2006/relationships/styles" Target="styles.xml"/><Relationship Id="rId16" Type="http://schemas.openxmlformats.org/officeDocument/2006/relationships/image" Target="media/image2.emf"/><Relationship Id="rId20" Type="http://schemas.openxmlformats.org/officeDocument/2006/relationships/image" Target="media/image3.jpeg"/><Relationship Id="rId29" Type="http://schemas.openxmlformats.org/officeDocument/2006/relationships/header" Target="header12.xml"/><Relationship Id="rId41"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5.jpeg"/><Relationship Id="rId32" Type="http://schemas.openxmlformats.org/officeDocument/2006/relationships/image" Target="media/image9.jpeg"/><Relationship Id="rId37" Type="http://schemas.openxmlformats.org/officeDocument/2006/relationships/header" Target="header16.xml"/><Relationship Id="rId40" Type="http://schemas.openxmlformats.org/officeDocument/2006/relationships/header" Target="header18.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eader" Target="header5.xml"/><Relationship Id="rId23" Type="http://schemas.openxmlformats.org/officeDocument/2006/relationships/header" Target="header9.xml"/><Relationship Id="rId28" Type="http://schemas.openxmlformats.org/officeDocument/2006/relationships/image" Target="media/image7.jpeg"/><Relationship Id="rId36" Type="http://schemas.openxmlformats.org/officeDocument/2006/relationships/header" Target="header15.xml"/><Relationship Id="rId10" Type="http://schemas.openxmlformats.org/officeDocument/2006/relationships/header" Target="header3.xml"/><Relationship Id="rId19" Type="http://schemas.openxmlformats.org/officeDocument/2006/relationships/footer" Target="footer2.xml"/><Relationship Id="rId31" Type="http://schemas.openxmlformats.org/officeDocument/2006/relationships/image" Target="media/image8.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oleObject" Target="embeddings/oleObject1.bin"/><Relationship Id="rId22" Type="http://schemas.openxmlformats.org/officeDocument/2006/relationships/image" Target="media/image4.jpeg"/><Relationship Id="rId27" Type="http://schemas.openxmlformats.org/officeDocument/2006/relationships/header" Target="header11.xml"/><Relationship Id="rId30" Type="http://schemas.openxmlformats.org/officeDocument/2006/relationships/header" Target="header13.xml"/><Relationship Id="rId35" Type="http://schemas.openxmlformats.org/officeDocument/2006/relationships/image" Target="media/image11.jpeg"/><Relationship Id="rId43" Type="http://schemas.openxmlformats.org/officeDocument/2006/relationships/header" Target="header19.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2002\Templates\PSC-GCL\Orders%20with%20Chairman%20Brown,%20Edgar,%20Graham,%20Bris&#233;,%20and%20Patronis.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Orders with Chairman Brown, Edgar, Graham, Brisé, and Patronis.dot</Template>
  <TotalTime>0</TotalTime>
  <Pages>24</Pages>
  <Words>3303</Words>
  <Characters>18049</Characters>
  <Application>Microsoft Office Word</Application>
  <DocSecurity>0</DocSecurity>
  <Lines>150</Lines>
  <Paragraphs>42</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21310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2016-11-21T19:39:00Z</dcterms:created>
  <dcterms:modified xsi:type="dcterms:W3CDTF">2016-11-21T20:15:00Z</dcterms:modified>
</cp:coreProperties>
</file>