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33" w:rsidRDefault="001D3B33" w:rsidP="00171263">
      <w:pPr>
        <w:pStyle w:val="OrderHeading"/>
      </w:pPr>
    </w:p>
    <w:p w:rsidR="00CB5276" w:rsidRDefault="00171263" w:rsidP="00171263">
      <w:pPr>
        <w:pStyle w:val="OrderHeading"/>
      </w:pPr>
      <w:r>
        <w:t>BEFORE THE FLORIDA PUBLIC SERVICE COMMISSION</w:t>
      </w:r>
    </w:p>
    <w:p w:rsidR="001D3B33" w:rsidRDefault="001D3B33" w:rsidP="00171263">
      <w:pPr>
        <w:pStyle w:val="OrderBody"/>
      </w:pPr>
    </w:p>
    <w:tbl>
      <w:tblPr>
        <w:tblW w:w="0" w:type="auto"/>
        <w:tblInd w:w="108" w:type="dxa"/>
        <w:tblBorders>
          <w:insideV w:val="double" w:sz="4" w:space="0" w:color="auto"/>
        </w:tblBorders>
        <w:tblLook w:val="01E0" w:firstRow="1" w:lastRow="1" w:firstColumn="1" w:lastColumn="1" w:noHBand="0" w:noVBand="0"/>
      </w:tblPr>
      <w:tblGrid>
        <w:gridCol w:w="4490"/>
        <w:gridCol w:w="4978"/>
      </w:tblGrid>
      <w:tr w:rsidR="00171263" w:rsidRPr="00C63FCF" w:rsidTr="00905D89">
        <w:trPr>
          <w:trHeight w:val="828"/>
        </w:trPr>
        <w:tc>
          <w:tcPr>
            <w:tcW w:w="4617" w:type="dxa"/>
            <w:tcBorders>
              <w:bottom w:val="nil"/>
              <w:right w:val="double" w:sz="6" w:space="0" w:color="auto"/>
            </w:tcBorders>
            <w:shd w:val="clear" w:color="auto" w:fill="auto"/>
          </w:tcPr>
          <w:p w:rsidR="00171263" w:rsidRDefault="00171263" w:rsidP="00CC7935">
            <w:pPr>
              <w:pStyle w:val="OrderBody"/>
              <w:tabs>
                <w:tab w:val="center" w:pos="4320"/>
                <w:tab w:val="right" w:pos="8640"/>
              </w:tabs>
            </w:pPr>
            <w:r>
              <w:t xml:space="preserve">In re: </w:t>
            </w:r>
            <w:bookmarkStart w:id="0" w:name="SMInRe"/>
            <w:bookmarkEnd w:id="0"/>
            <w:r>
              <w:t>Petition for rate increase by Gulf Power Company.</w:t>
            </w:r>
          </w:p>
          <w:p w:rsidR="00171263" w:rsidRDefault="00171263" w:rsidP="00CC7935">
            <w:pPr>
              <w:pStyle w:val="OrderBody"/>
              <w:tabs>
                <w:tab w:val="center" w:pos="4320"/>
                <w:tab w:val="right" w:pos="8640"/>
              </w:tabs>
            </w:pPr>
          </w:p>
        </w:tc>
        <w:tc>
          <w:tcPr>
            <w:tcW w:w="5139" w:type="dxa"/>
            <w:tcBorders>
              <w:left w:val="double" w:sz="6" w:space="0" w:color="auto"/>
              <w:bottom w:val="nil"/>
            </w:tcBorders>
            <w:shd w:val="clear" w:color="auto" w:fill="auto"/>
          </w:tcPr>
          <w:p w:rsidR="00171263" w:rsidRDefault="00171263" w:rsidP="00742660">
            <w:pPr>
              <w:pStyle w:val="OrderBody"/>
              <w:tabs>
                <w:tab w:val="center" w:pos="4320"/>
                <w:tab w:val="right" w:pos="8640"/>
              </w:tabs>
              <w:ind w:left="162"/>
            </w:pPr>
            <w:r>
              <w:t xml:space="preserve">DOCKET NO. </w:t>
            </w:r>
            <w:bookmarkStart w:id="1" w:name="SMDocketNo"/>
            <w:bookmarkEnd w:id="1"/>
            <w:r>
              <w:t>160186-EI</w:t>
            </w:r>
          </w:p>
        </w:tc>
      </w:tr>
      <w:tr w:rsidR="00171263" w:rsidRPr="00C63FCF" w:rsidTr="00905D89">
        <w:trPr>
          <w:trHeight w:val="828"/>
        </w:trPr>
        <w:tc>
          <w:tcPr>
            <w:tcW w:w="4617" w:type="dxa"/>
            <w:tcBorders>
              <w:top w:val="nil"/>
              <w:bottom w:val="single" w:sz="8" w:space="0" w:color="auto"/>
              <w:right w:val="double" w:sz="6" w:space="0" w:color="auto"/>
            </w:tcBorders>
            <w:shd w:val="clear" w:color="auto" w:fill="auto"/>
          </w:tcPr>
          <w:p w:rsidR="00171263" w:rsidRDefault="00171263" w:rsidP="00CC7935">
            <w:pPr>
              <w:pStyle w:val="OrderBody"/>
              <w:tabs>
                <w:tab w:val="center" w:pos="4320"/>
                <w:tab w:val="right" w:pos="8640"/>
              </w:tabs>
            </w:pPr>
            <w:r>
              <w:t>In re: Petition for approval of 2016 depreciation and dismantlement studies, approval of proposed depreciation rates and annual dismantlement accruals and Plant Smith Units 1 and 2 regulatory asset amortization, by Gulf Power Company.</w:t>
            </w:r>
          </w:p>
        </w:tc>
        <w:tc>
          <w:tcPr>
            <w:tcW w:w="5139" w:type="dxa"/>
            <w:tcBorders>
              <w:left w:val="double" w:sz="6" w:space="0" w:color="auto"/>
            </w:tcBorders>
            <w:shd w:val="clear" w:color="auto" w:fill="auto"/>
          </w:tcPr>
          <w:p w:rsidR="00171263" w:rsidRDefault="00171263" w:rsidP="00742660">
            <w:pPr>
              <w:pStyle w:val="OrderBody"/>
              <w:ind w:left="162"/>
            </w:pPr>
            <w:r>
              <w:t xml:space="preserve">DOCKET NO. </w:t>
            </w:r>
            <w:bookmarkStart w:id="2" w:name="SMDocketNo2"/>
            <w:bookmarkEnd w:id="2"/>
            <w:r>
              <w:t>160170-EI</w:t>
            </w:r>
          </w:p>
          <w:p w:rsidR="00171263" w:rsidRDefault="00171263" w:rsidP="00742660">
            <w:pPr>
              <w:pStyle w:val="OrderBody"/>
              <w:tabs>
                <w:tab w:val="center" w:pos="4320"/>
                <w:tab w:val="right" w:pos="8640"/>
              </w:tabs>
              <w:ind w:left="162"/>
            </w:pPr>
            <w:r>
              <w:t xml:space="preserve">ORDER NO. </w:t>
            </w:r>
            <w:bookmarkStart w:id="3" w:name="OrderNo0550"/>
            <w:r w:rsidR="00993FC9">
              <w:t>PSC-16-0550-PCO-EI</w:t>
            </w:r>
            <w:bookmarkEnd w:id="3"/>
          </w:p>
          <w:p w:rsidR="00171263" w:rsidRDefault="00171263" w:rsidP="00742660">
            <w:pPr>
              <w:pStyle w:val="OrderBody"/>
              <w:tabs>
                <w:tab w:val="center" w:pos="4320"/>
                <w:tab w:val="right" w:pos="8640"/>
              </w:tabs>
              <w:ind w:left="162"/>
            </w:pPr>
            <w:r>
              <w:t xml:space="preserve">ISSUED: </w:t>
            </w:r>
            <w:r w:rsidR="00993FC9">
              <w:t>December 8, 2016</w:t>
            </w:r>
          </w:p>
          <w:p w:rsidR="00171263" w:rsidRDefault="00171263" w:rsidP="00742660">
            <w:pPr>
              <w:pStyle w:val="OrderBody"/>
              <w:tabs>
                <w:tab w:val="center" w:pos="4320"/>
                <w:tab w:val="right" w:pos="8640"/>
              </w:tabs>
              <w:ind w:left="162"/>
            </w:pPr>
          </w:p>
        </w:tc>
      </w:tr>
    </w:tbl>
    <w:p w:rsidR="001D3B33" w:rsidRDefault="001D3B33" w:rsidP="00171263"/>
    <w:p w:rsidR="00F17BED" w:rsidRDefault="00171263" w:rsidP="00CC7935">
      <w:pPr>
        <w:pStyle w:val="CenterUnderline"/>
      </w:pPr>
      <w:bookmarkStart w:id="4" w:name="Commissioners"/>
      <w:bookmarkEnd w:id="4"/>
      <w:r>
        <w:t>ORDER</w:t>
      </w:r>
      <w:bookmarkStart w:id="5" w:name="OrderTitle"/>
      <w:r>
        <w:t xml:space="preserve"> GRANTING </w:t>
      </w:r>
      <w:r w:rsidR="00F17BED">
        <w:t>PETITION TO INTERVENE TO</w:t>
      </w:r>
    </w:p>
    <w:p w:rsidR="00CB5276" w:rsidRDefault="00F17BED" w:rsidP="00CC7935">
      <w:pPr>
        <w:pStyle w:val="CenterUnderline"/>
      </w:pPr>
      <w:r>
        <w:t>SOUTHERN ALLIANCE FOR CLEAN ENERGY</w:t>
      </w:r>
      <w:bookmarkEnd w:id="5"/>
    </w:p>
    <w:p w:rsidR="001D3B33" w:rsidRDefault="001D3B33" w:rsidP="00171263">
      <w:pPr>
        <w:pStyle w:val="CenterUnderline"/>
      </w:pPr>
    </w:p>
    <w:p w:rsidR="00B43A8B" w:rsidRPr="00B43A8B" w:rsidRDefault="00B43A8B" w:rsidP="00BE3803">
      <w:pPr>
        <w:pStyle w:val="CenterUnderline"/>
        <w:jc w:val="both"/>
        <w:rPr>
          <w:u w:val="none"/>
        </w:rPr>
      </w:pPr>
      <w:r w:rsidRPr="00B43A8B">
        <w:rPr>
          <w:u w:val="none"/>
        </w:rPr>
        <w:tab/>
      </w:r>
      <w:r w:rsidR="00EC5B38">
        <w:rPr>
          <w:u w:val="none"/>
        </w:rPr>
        <w:t>Pursuant to Rule 25-6.140, Florida Administrative Code (F.A.C), o</w:t>
      </w:r>
      <w:r w:rsidR="00FE2B51">
        <w:rPr>
          <w:u w:val="none"/>
        </w:rPr>
        <w:t xml:space="preserve">n </w:t>
      </w:r>
      <w:r w:rsidR="00754B81">
        <w:rPr>
          <w:u w:val="none"/>
        </w:rPr>
        <w:t>August</w:t>
      </w:r>
      <w:r>
        <w:rPr>
          <w:u w:val="none"/>
        </w:rPr>
        <w:t xml:space="preserve"> 12, 2016, Gulf Power Company (Gulf)</w:t>
      </w:r>
      <w:r w:rsidR="00754B81">
        <w:rPr>
          <w:u w:val="none"/>
        </w:rPr>
        <w:t xml:space="preserve"> filed a test year letter</w:t>
      </w:r>
      <w:r w:rsidR="00FE2B51">
        <w:rPr>
          <w:u w:val="none"/>
        </w:rPr>
        <w:t xml:space="preserve"> notifying this Commission of its intent to file a petition between October </w:t>
      </w:r>
      <w:r w:rsidR="00754B81">
        <w:rPr>
          <w:u w:val="none"/>
        </w:rPr>
        <w:t>11</w:t>
      </w:r>
      <w:r w:rsidR="00FE2B51">
        <w:rPr>
          <w:u w:val="none"/>
        </w:rPr>
        <w:t xml:space="preserve"> and October </w:t>
      </w:r>
      <w:r w:rsidR="00754B81">
        <w:rPr>
          <w:u w:val="none"/>
        </w:rPr>
        <w:t>28,</w:t>
      </w:r>
      <w:r w:rsidR="00FE2B51">
        <w:rPr>
          <w:u w:val="none"/>
        </w:rPr>
        <w:t xml:space="preserve"> 2016, for an increase in rates effective </w:t>
      </w:r>
      <w:r w:rsidR="00754B81">
        <w:rPr>
          <w:u w:val="none"/>
        </w:rPr>
        <w:t>2017.</w:t>
      </w:r>
      <w:r w:rsidR="00FE2B51">
        <w:rPr>
          <w:u w:val="none"/>
        </w:rPr>
        <w:t xml:space="preserve"> Pursuant to the provisions of Chapter 366, Florida Statutes (F.S.), and Rules 25-6.0425 and 25-6.043, F.A.C.</w:t>
      </w:r>
      <w:r w:rsidR="00754B81">
        <w:rPr>
          <w:u w:val="none"/>
        </w:rPr>
        <w:t>, Gulf filed its Minimum Filing Requirements and testimony on October 12, 2016.</w:t>
      </w:r>
      <w:r w:rsidR="00FE2B51">
        <w:rPr>
          <w:u w:val="none"/>
        </w:rPr>
        <w:t xml:space="preserve"> The hearing </w:t>
      </w:r>
      <w:r w:rsidR="00EC5B38">
        <w:rPr>
          <w:u w:val="none"/>
        </w:rPr>
        <w:t>on the</w:t>
      </w:r>
      <w:r w:rsidR="00370AF3">
        <w:rPr>
          <w:u w:val="none"/>
        </w:rPr>
        <w:t xml:space="preserve"> rate</w:t>
      </w:r>
      <w:r w:rsidR="00FE2B51">
        <w:rPr>
          <w:u w:val="none"/>
        </w:rPr>
        <w:t xml:space="preserve"> case is scheduled </w:t>
      </w:r>
      <w:r w:rsidR="00EC5B38">
        <w:rPr>
          <w:u w:val="none"/>
        </w:rPr>
        <w:t>for</w:t>
      </w:r>
      <w:r w:rsidR="00FE2B51">
        <w:rPr>
          <w:u w:val="none"/>
        </w:rPr>
        <w:t xml:space="preserve"> March </w:t>
      </w:r>
      <w:r w:rsidR="00754B81">
        <w:rPr>
          <w:u w:val="none"/>
        </w:rPr>
        <w:t>20</w:t>
      </w:r>
      <w:r w:rsidR="00FE2B51">
        <w:rPr>
          <w:u w:val="none"/>
        </w:rPr>
        <w:t xml:space="preserve"> through March </w:t>
      </w:r>
      <w:r w:rsidR="00754B81">
        <w:rPr>
          <w:u w:val="none"/>
        </w:rPr>
        <w:t>24,</w:t>
      </w:r>
      <w:r w:rsidR="00FE2B51">
        <w:rPr>
          <w:u w:val="none"/>
        </w:rPr>
        <w:t xml:space="preserve"> 2017. </w:t>
      </w:r>
    </w:p>
    <w:p w:rsidR="00171263" w:rsidRDefault="00171263" w:rsidP="00BE3803">
      <w:pPr>
        <w:pStyle w:val="CenterUnderline"/>
        <w:jc w:val="both"/>
      </w:pPr>
    </w:p>
    <w:p w:rsidR="00F8704F" w:rsidRPr="00F8704F" w:rsidRDefault="00F8704F" w:rsidP="00BE3803">
      <w:pPr>
        <w:jc w:val="both"/>
        <w:rPr>
          <w:u w:val="single"/>
        </w:rPr>
      </w:pPr>
      <w:bookmarkStart w:id="6" w:name="OrderText"/>
      <w:bookmarkEnd w:id="6"/>
      <w:r w:rsidRPr="00F8704F">
        <w:rPr>
          <w:u w:val="single"/>
        </w:rPr>
        <w:t xml:space="preserve">Petition </w:t>
      </w:r>
      <w:r w:rsidR="0075189D">
        <w:rPr>
          <w:u w:val="single"/>
        </w:rPr>
        <w:t>for</w:t>
      </w:r>
      <w:r w:rsidRPr="00F8704F">
        <w:rPr>
          <w:u w:val="single"/>
        </w:rPr>
        <w:t xml:space="preserve"> Intervention</w:t>
      </w:r>
    </w:p>
    <w:p w:rsidR="00B461B4" w:rsidRDefault="00F8704F" w:rsidP="00BE3803">
      <w:pPr>
        <w:jc w:val="both"/>
      </w:pPr>
      <w:r>
        <w:tab/>
      </w:r>
    </w:p>
    <w:p w:rsidR="00AC1AB3" w:rsidRDefault="00B461B4" w:rsidP="00BE3803">
      <w:pPr>
        <w:jc w:val="both"/>
      </w:pPr>
      <w:r>
        <w:tab/>
      </w:r>
      <w:r w:rsidR="00182122">
        <w:t xml:space="preserve">On </w:t>
      </w:r>
      <w:r w:rsidR="00171263" w:rsidRPr="00171263">
        <w:t xml:space="preserve">November 16, 2016, </w:t>
      </w:r>
      <w:r w:rsidR="00F8704F">
        <w:t>Southern Alliance for Clean Energy</w:t>
      </w:r>
      <w:r w:rsidR="00171263" w:rsidRPr="00171263">
        <w:t xml:space="preserve"> (SAC</w:t>
      </w:r>
      <w:r w:rsidR="00171263">
        <w:t>E</w:t>
      </w:r>
      <w:r w:rsidR="00171263" w:rsidRPr="00171263">
        <w:t xml:space="preserve">) </w:t>
      </w:r>
      <w:r w:rsidR="00182122">
        <w:t>filed a Petition for Intervention (Petition), requesting</w:t>
      </w:r>
      <w:r w:rsidR="007254B2">
        <w:t xml:space="preserve"> permission </w:t>
      </w:r>
      <w:r>
        <w:t>to intervene in this proceeding</w:t>
      </w:r>
      <w:r w:rsidR="00171263" w:rsidRPr="00171263">
        <w:t xml:space="preserve">.  </w:t>
      </w:r>
      <w:r w:rsidR="00141ECD">
        <w:t>S</w:t>
      </w:r>
      <w:r w:rsidR="00171263" w:rsidRPr="00171263">
        <w:t xml:space="preserve">ACE </w:t>
      </w:r>
      <w:r w:rsidR="00B43895">
        <w:t>is a</w:t>
      </w:r>
      <w:r w:rsidR="002522CE">
        <w:t xml:space="preserve"> non-</w:t>
      </w:r>
      <w:r w:rsidR="0024628A">
        <w:t>profit clean energy corporation that</w:t>
      </w:r>
      <w:r w:rsidR="0024628A" w:rsidRPr="00092B66">
        <w:t xml:space="preserve"> advocate</w:t>
      </w:r>
      <w:r w:rsidR="0024628A">
        <w:t>s</w:t>
      </w:r>
      <w:r w:rsidR="0024628A" w:rsidRPr="00092B66">
        <w:t xml:space="preserve"> for </w:t>
      </w:r>
      <w:r w:rsidR="00571538">
        <w:t xml:space="preserve">energy plans, policies, and systems that best serve the environmental, public health, and economic interest of communities in the Southeast, including Gulf Power’s service territory in Florida.  </w:t>
      </w:r>
      <w:r w:rsidR="00B43895">
        <w:t xml:space="preserve">SACE </w:t>
      </w:r>
      <w:r w:rsidR="00141ECD">
        <w:t xml:space="preserve">asserts that it </w:t>
      </w:r>
      <w:r w:rsidR="00B43895">
        <w:t xml:space="preserve">has a substantial number of Florida members </w:t>
      </w:r>
      <w:r>
        <w:t xml:space="preserve">that </w:t>
      </w:r>
      <w:r w:rsidR="00B43895">
        <w:t xml:space="preserve">reside in </w:t>
      </w:r>
      <w:r w:rsidR="00141ECD">
        <w:t xml:space="preserve">Gulf’s </w:t>
      </w:r>
      <w:r w:rsidR="00B43895">
        <w:t xml:space="preserve">service territory.  </w:t>
      </w:r>
      <w:r w:rsidR="007254B2">
        <w:rPr>
          <w:spacing w:val="-2"/>
        </w:rPr>
        <w:t>A</w:t>
      </w:r>
      <w:r w:rsidR="007254B2">
        <w:t xml:space="preserve">s </w:t>
      </w:r>
      <w:r w:rsidR="007254B2">
        <w:rPr>
          <w:spacing w:val="1"/>
        </w:rPr>
        <w:t>ratepayers</w:t>
      </w:r>
      <w:r w:rsidR="007254B2">
        <w:t xml:space="preserve">, </w:t>
      </w:r>
      <w:r w:rsidR="00141ECD">
        <w:t>SACE claims that its members would be</w:t>
      </w:r>
      <w:r w:rsidR="00AB5259">
        <w:t xml:space="preserve"> adversely affected by </w:t>
      </w:r>
      <w:r>
        <w:t>the</w:t>
      </w:r>
      <w:r w:rsidR="00AB5259">
        <w:rPr>
          <w:spacing w:val="15"/>
        </w:rPr>
        <w:t xml:space="preserve"> </w:t>
      </w:r>
      <w:r w:rsidR="00AB5259">
        <w:t>rate</w:t>
      </w:r>
      <w:r w:rsidR="00AB5259">
        <w:rPr>
          <w:spacing w:val="15"/>
        </w:rPr>
        <w:t xml:space="preserve"> </w:t>
      </w:r>
      <w:r w:rsidR="00AB5259">
        <w:t>restructure</w:t>
      </w:r>
      <w:r w:rsidR="00AB5259">
        <w:rPr>
          <w:spacing w:val="15"/>
        </w:rPr>
        <w:t xml:space="preserve"> </w:t>
      </w:r>
      <w:r w:rsidR="00AB5259">
        <w:t>proposed</w:t>
      </w:r>
      <w:r w:rsidR="00AB5259">
        <w:rPr>
          <w:spacing w:val="15"/>
        </w:rPr>
        <w:t xml:space="preserve"> </w:t>
      </w:r>
      <w:r w:rsidR="00AB5259">
        <w:t>by</w:t>
      </w:r>
      <w:r w:rsidR="00AB5259">
        <w:rPr>
          <w:spacing w:val="15"/>
        </w:rPr>
        <w:t xml:space="preserve"> </w:t>
      </w:r>
      <w:r w:rsidR="00AB5259">
        <w:t>Gulf</w:t>
      </w:r>
      <w:r w:rsidR="00AB5259">
        <w:rPr>
          <w:spacing w:val="15"/>
        </w:rPr>
        <w:t xml:space="preserve"> </w:t>
      </w:r>
      <w:r w:rsidR="00AB5259">
        <w:t>in</w:t>
      </w:r>
      <w:r w:rsidR="00AB5259">
        <w:rPr>
          <w:spacing w:val="15"/>
        </w:rPr>
        <w:t xml:space="preserve"> </w:t>
      </w:r>
      <w:r w:rsidR="00AB5259">
        <w:t>this</w:t>
      </w:r>
      <w:r w:rsidR="00AB5259">
        <w:rPr>
          <w:spacing w:val="15"/>
        </w:rPr>
        <w:t xml:space="preserve"> </w:t>
      </w:r>
      <w:r w:rsidR="00AB5259">
        <w:t>proceeding</w:t>
      </w:r>
      <w:r w:rsidR="00141ECD">
        <w:t>, because t</w:t>
      </w:r>
      <w:r w:rsidR="00171263">
        <w:t>he</w:t>
      </w:r>
      <w:r w:rsidR="00171263">
        <w:rPr>
          <w:spacing w:val="1"/>
        </w:rPr>
        <w:t xml:space="preserve"> </w:t>
      </w:r>
      <w:r w:rsidR="00171263">
        <w:t>proposed</w:t>
      </w:r>
      <w:r w:rsidR="00171263">
        <w:rPr>
          <w:spacing w:val="1"/>
        </w:rPr>
        <w:t xml:space="preserve"> </w:t>
      </w:r>
      <w:r w:rsidR="00171263">
        <w:t>rate</w:t>
      </w:r>
      <w:r w:rsidR="00171263">
        <w:rPr>
          <w:spacing w:val="1"/>
        </w:rPr>
        <w:t xml:space="preserve"> </w:t>
      </w:r>
      <w:r w:rsidR="00171263">
        <w:t>restructure</w:t>
      </w:r>
      <w:r w:rsidR="00171263">
        <w:rPr>
          <w:spacing w:val="1"/>
        </w:rPr>
        <w:t xml:space="preserve"> </w:t>
      </w:r>
      <w:r w:rsidR="00171263">
        <w:t>would</w:t>
      </w:r>
      <w:r w:rsidR="00171263">
        <w:rPr>
          <w:spacing w:val="1"/>
        </w:rPr>
        <w:t xml:space="preserve"> </w:t>
      </w:r>
      <w:r w:rsidR="00171263">
        <w:t>result</w:t>
      </w:r>
      <w:r w:rsidR="00171263">
        <w:rPr>
          <w:spacing w:val="1"/>
        </w:rPr>
        <w:t xml:space="preserve"> </w:t>
      </w:r>
      <w:r w:rsidR="00171263">
        <w:t>in a</w:t>
      </w:r>
      <w:r w:rsidR="00171263">
        <w:rPr>
          <w:spacing w:val="1"/>
        </w:rPr>
        <w:t xml:space="preserve"> </w:t>
      </w:r>
      <w:r w:rsidR="00171263">
        <w:t>substantial</w:t>
      </w:r>
      <w:r w:rsidR="00171263">
        <w:rPr>
          <w:spacing w:val="1"/>
        </w:rPr>
        <w:t xml:space="preserve"> </w:t>
      </w:r>
      <w:r w:rsidR="00171263">
        <w:t>increase</w:t>
      </w:r>
      <w:r w:rsidR="00171263">
        <w:rPr>
          <w:spacing w:val="1"/>
        </w:rPr>
        <w:t xml:space="preserve"> </w:t>
      </w:r>
      <w:r w:rsidR="00171263">
        <w:t>in</w:t>
      </w:r>
      <w:r w:rsidR="00171263">
        <w:rPr>
          <w:spacing w:val="1"/>
        </w:rPr>
        <w:t xml:space="preserve"> </w:t>
      </w:r>
      <w:r w:rsidR="00171263">
        <w:t>fixed</w:t>
      </w:r>
      <w:r w:rsidR="00171263">
        <w:rPr>
          <w:spacing w:val="1"/>
        </w:rPr>
        <w:t xml:space="preserve"> </w:t>
      </w:r>
      <w:r w:rsidR="00171263">
        <w:t xml:space="preserve">charges. </w:t>
      </w:r>
      <w:r w:rsidR="00141ECD">
        <w:t>SACE asserts that Gulf’s</w:t>
      </w:r>
      <w:r w:rsidR="00171263">
        <w:rPr>
          <w:spacing w:val="2"/>
        </w:rPr>
        <w:t xml:space="preserve"> </w:t>
      </w:r>
      <w:r w:rsidR="00141ECD">
        <w:rPr>
          <w:spacing w:val="2"/>
        </w:rPr>
        <w:t xml:space="preserve">proposed </w:t>
      </w:r>
      <w:r w:rsidR="00171263">
        <w:t>rate</w:t>
      </w:r>
      <w:r w:rsidR="00171263">
        <w:rPr>
          <w:spacing w:val="2"/>
        </w:rPr>
        <w:t xml:space="preserve"> </w:t>
      </w:r>
      <w:r w:rsidR="00171263">
        <w:t>increase</w:t>
      </w:r>
      <w:r w:rsidR="00171263">
        <w:rPr>
          <w:spacing w:val="2"/>
        </w:rPr>
        <w:t xml:space="preserve"> </w:t>
      </w:r>
      <w:r w:rsidR="00171263">
        <w:t>and</w:t>
      </w:r>
      <w:r w:rsidR="00171263">
        <w:rPr>
          <w:spacing w:val="2"/>
        </w:rPr>
        <w:t xml:space="preserve"> </w:t>
      </w:r>
      <w:r w:rsidR="00171263">
        <w:t>rate</w:t>
      </w:r>
      <w:r w:rsidR="00171263">
        <w:rPr>
          <w:spacing w:val="2"/>
        </w:rPr>
        <w:t xml:space="preserve"> </w:t>
      </w:r>
      <w:r w:rsidR="00171263">
        <w:t>re</w:t>
      </w:r>
      <w:r w:rsidR="00171263">
        <w:rPr>
          <w:spacing w:val="-1"/>
        </w:rPr>
        <w:t>s</w:t>
      </w:r>
      <w:r w:rsidR="00171263">
        <w:rPr>
          <w:spacing w:val="1"/>
        </w:rPr>
        <w:t>t</w:t>
      </w:r>
      <w:r w:rsidR="00171263">
        <w:t>ructure</w:t>
      </w:r>
      <w:r>
        <w:t xml:space="preserve"> </w:t>
      </w:r>
      <w:r w:rsidR="00171263">
        <w:t>will result</w:t>
      </w:r>
      <w:r w:rsidR="00171263">
        <w:rPr>
          <w:spacing w:val="1"/>
        </w:rPr>
        <w:t xml:space="preserve"> </w:t>
      </w:r>
      <w:r w:rsidR="00171263">
        <w:t>in</w:t>
      </w:r>
      <w:r w:rsidR="00171263">
        <w:rPr>
          <w:spacing w:val="1"/>
        </w:rPr>
        <w:t xml:space="preserve"> </w:t>
      </w:r>
      <w:r w:rsidR="00171263">
        <w:t>s</w:t>
      </w:r>
      <w:r w:rsidR="00171263">
        <w:rPr>
          <w:spacing w:val="-1"/>
        </w:rPr>
        <w:t>u</w:t>
      </w:r>
      <w:r w:rsidR="00171263">
        <w:t>bstantial</w:t>
      </w:r>
      <w:r w:rsidR="00171263">
        <w:rPr>
          <w:spacing w:val="1"/>
        </w:rPr>
        <w:t xml:space="preserve"> </w:t>
      </w:r>
      <w:r w:rsidR="00171263">
        <w:rPr>
          <w:spacing w:val="-1"/>
        </w:rPr>
        <w:t>b</w:t>
      </w:r>
      <w:r w:rsidR="00171263">
        <w:rPr>
          <w:spacing w:val="1"/>
        </w:rPr>
        <w:t>i</w:t>
      </w:r>
      <w:r w:rsidR="00171263">
        <w:t>ll</w:t>
      </w:r>
      <w:r w:rsidR="00171263">
        <w:rPr>
          <w:spacing w:val="1"/>
        </w:rPr>
        <w:t xml:space="preserve"> </w:t>
      </w:r>
      <w:r w:rsidR="00171263">
        <w:t>inc</w:t>
      </w:r>
      <w:r w:rsidR="00171263">
        <w:rPr>
          <w:spacing w:val="-1"/>
        </w:rPr>
        <w:t>r</w:t>
      </w:r>
      <w:r w:rsidR="00171263">
        <w:t>eases</w:t>
      </w:r>
      <w:r w:rsidR="00171263">
        <w:rPr>
          <w:spacing w:val="1"/>
        </w:rPr>
        <w:t xml:space="preserve"> </w:t>
      </w:r>
      <w:r w:rsidR="00171263">
        <w:t>to</w:t>
      </w:r>
      <w:r w:rsidR="00171263">
        <w:rPr>
          <w:spacing w:val="1"/>
        </w:rPr>
        <w:t xml:space="preserve"> </w:t>
      </w:r>
      <w:r w:rsidR="00171263">
        <w:t xml:space="preserve">SACE’s </w:t>
      </w:r>
      <w:r w:rsidR="00171263">
        <w:rPr>
          <w:spacing w:val="-2"/>
        </w:rPr>
        <w:t>m</w:t>
      </w:r>
      <w:r w:rsidR="00171263">
        <w:rPr>
          <w:spacing w:val="1"/>
        </w:rPr>
        <w:t>e</w:t>
      </w:r>
      <w:r>
        <w:t>mbers.</w:t>
      </w:r>
      <w:r w:rsidR="003C0EBB">
        <w:t xml:space="preserve"> </w:t>
      </w:r>
    </w:p>
    <w:p w:rsidR="00EC5B38" w:rsidRDefault="00EC5B38" w:rsidP="00BE3803">
      <w:pPr>
        <w:jc w:val="both"/>
      </w:pPr>
    </w:p>
    <w:p w:rsidR="00AC1AB3" w:rsidRPr="008934D8" w:rsidRDefault="00AC1AB3" w:rsidP="00BE3803">
      <w:pPr>
        <w:jc w:val="both"/>
        <w:rPr>
          <w:u w:val="single"/>
        </w:rPr>
      </w:pPr>
      <w:r w:rsidRPr="00571538">
        <w:rPr>
          <w:u w:val="single"/>
        </w:rPr>
        <w:t>Gulf</w:t>
      </w:r>
      <w:r w:rsidR="00141ECD" w:rsidRPr="00571538">
        <w:rPr>
          <w:u w:val="single"/>
        </w:rPr>
        <w:t xml:space="preserve">’s </w:t>
      </w:r>
      <w:r w:rsidRPr="00571538">
        <w:rPr>
          <w:u w:val="single"/>
        </w:rPr>
        <w:t xml:space="preserve">Response </w:t>
      </w:r>
      <w:r w:rsidR="00182122" w:rsidRPr="00571538">
        <w:rPr>
          <w:u w:val="single"/>
        </w:rPr>
        <w:t xml:space="preserve">in Opposition </w:t>
      </w:r>
      <w:r w:rsidRPr="00571538">
        <w:rPr>
          <w:u w:val="single"/>
        </w:rPr>
        <w:t xml:space="preserve">to </w:t>
      </w:r>
      <w:r w:rsidR="00182122" w:rsidRPr="00571538">
        <w:rPr>
          <w:u w:val="single"/>
        </w:rPr>
        <w:t xml:space="preserve">SACE’s </w:t>
      </w:r>
      <w:r w:rsidRPr="00571538">
        <w:rPr>
          <w:u w:val="single"/>
        </w:rPr>
        <w:t>Petition</w:t>
      </w:r>
      <w:r w:rsidR="00182122" w:rsidRPr="00571538">
        <w:rPr>
          <w:u w:val="single"/>
        </w:rPr>
        <w:t xml:space="preserve"> for Intervention</w:t>
      </w:r>
    </w:p>
    <w:p w:rsidR="00AC1AB3" w:rsidRDefault="00AC1AB3" w:rsidP="00BE3803">
      <w:pPr>
        <w:jc w:val="both"/>
      </w:pPr>
    </w:p>
    <w:p w:rsidR="00905D89" w:rsidRDefault="00AC1AB3" w:rsidP="00905D89">
      <w:pPr>
        <w:jc w:val="both"/>
      </w:pPr>
      <w:r>
        <w:tab/>
      </w:r>
      <w:r w:rsidR="00182122">
        <w:t>Pursuant to Rule 28-106.205, F.A.C., Gulf filed a R</w:t>
      </w:r>
      <w:r>
        <w:t xml:space="preserve">esponse </w:t>
      </w:r>
      <w:r w:rsidR="00182122">
        <w:t xml:space="preserve">in Opposition </w:t>
      </w:r>
      <w:r>
        <w:t xml:space="preserve">to SACE’s Petition </w:t>
      </w:r>
      <w:r w:rsidR="00182122">
        <w:t xml:space="preserve">on November </w:t>
      </w:r>
      <w:r w:rsidR="00182122" w:rsidRPr="000B63C2">
        <w:t>23</w:t>
      </w:r>
      <w:r w:rsidR="00182122">
        <w:t xml:space="preserve">, 2016.  In its Opposition, Gulf objects to SACE’s intervention, asserting that SACE (i) lacks standing to intervene </w:t>
      </w:r>
      <w:r w:rsidR="00AE6FAF">
        <w:t>in an electric rate proceeding</w:t>
      </w:r>
      <w:r w:rsidR="00182122">
        <w:t>; (ii) seeks to improperly expand the scope of the proceeding; and (iii) seeks to re-litigate issues already decided</w:t>
      </w:r>
      <w:r>
        <w:t xml:space="preserve">.  </w:t>
      </w:r>
      <w:r w:rsidR="006B5172">
        <w:t xml:space="preserve">Gulf asserts that it does not agree with, or concede, any of the facts alleged in SACE’s Petition, including any allegations of standing, and </w:t>
      </w:r>
      <w:r w:rsidR="00182122">
        <w:t>requests that SACE’s Petition be denied</w:t>
      </w:r>
      <w:r w:rsidR="006B5172">
        <w:t xml:space="preserve">. </w:t>
      </w:r>
      <w:r>
        <w:t xml:space="preserve">No other party filed an objection to SACE’s Petition, and the time for doing so has expired. </w:t>
      </w:r>
    </w:p>
    <w:p w:rsidR="00E733AC" w:rsidRDefault="00905D89">
      <w:r>
        <w:br w:type="page"/>
      </w:r>
    </w:p>
    <w:p w:rsidR="00514DED" w:rsidRDefault="007E5E8D" w:rsidP="001D3B33">
      <w:pPr>
        <w:ind w:firstLine="720"/>
        <w:jc w:val="both"/>
      </w:pPr>
      <w:r>
        <w:lastRenderedPageBreak/>
        <w:t xml:space="preserve">Gulf asserts that SACE </w:t>
      </w:r>
      <w:r w:rsidR="00697606">
        <w:t>failed to</w:t>
      </w:r>
      <w:r>
        <w:t xml:space="preserve"> demonstrate that it has standing to </w:t>
      </w:r>
      <w:r w:rsidR="00514DED">
        <w:t>intervene in an electric utility base rate proceeding</w:t>
      </w:r>
      <w:r>
        <w:t xml:space="preserve"> and cannot show that its substantial interests</w:t>
      </w:r>
      <w:r w:rsidR="00697606">
        <w:t xml:space="preserve"> or the </w:t>
      </w:r>
      <w:r w:rsidR="00543712">
        <w:t>interests</w:t>
      </w:r>
      <w:r w:rsidR="00697606">
        <w:t xml:space="preserve"> of its members</w:t>
      </w:r>
      <w:r>
        <w:t xml:space="preserve"> will be affected by the Commission’s </w:t>
      </w:r>
      <w:r w:rsidR="00697606">
        <w:t>determination</w:t>
      </w:r>
      <w:r>
        <w:t xml:space="preserve"> </w:t>
      </w:r>
      <w:r w:rsidR="00697606">
        <w:t>in the</w:t>
      </w:r>
      <w:r w:rsidR="00514DED">
        <w:t xml:space="preserve"> proceeding</w:t>
      </w:r>
      <w:r>
        <w:t xml:space="preserve">.  </w:t>
      </w:r>
      <w:r w:rsidR="00514DED">
        <w:t>Gulf</w:t>
      </w:r>
      <w:r>
        <w:t xml:space="preserve"> </w:t>
      </w:r>
      <w:r w:rsidR="00A64FDB">
        <w:t xml:space="preserve">disputes that SACE has a substantial number of members in its service </w:t>
      </w:r>
      <w:r w:rsidR="00AD3E54">
        <w:t>territory</w:t>
      </w:r>
      <w:r w:rsidR="00736C6B">
        <w:t xml:space="preserve"> and </w:t>
      </w:r>
      <w:r>
        <w:t xml:space="preserve">that </w:t>
      </w:r>
      <w:r w:rsidR="00736C6B">
        <w:t>a</w:t>
      </w:r>
      <w:r>
        <w:t xml:space="preserve"> Commission decision o</w:t>
      </w:r>
      <w:r w:rsidR="00EC5B38">
        <w:t>n</w:t>
      </w:r>
      <w:r>
        <w:t xml:space="preserve"> </w:t>
      </w:r>
      <w:r w:rsidR="00736C6B">
        <w:t xml:space="preserve">the </w:t>
      </w:r>
      <w:r w:rsidR="00514DED">
        <w:t xml:space="preserve">base rates </w:t>
      </w:r>
      <w:r w:rsidR="00736C6B">
        <w:t>of</w:t>
      </w:r>
      <w:r w:rsidR="00514DED">
        <w:t xml:space="preserve"> </w:t>
      </w:r>
      <w:r w:rsidR="00EC5B38">
        <w:t xml:space="preserve">an </w:t>
      </w:r>
      <w:r w:rsidR="00514DED">
        <w:t>electric utilit</w:t>
      </w:r>
      <w:r w:rsidR="00EC5B38">
        <w:t>y</w:t>
      </w:r>
      <w:r>
        <w:t xml:space="preserve"> will affect the interests </w:t>
      </w:r>
      <w:r w:rsidR="00697606">
        <w:t>of</w:t>
      </w:r>
      <w:r>
        <w:t xml:space="preserve"> SACE</w:t>
      </w:r>
      <w:r w:rsidR="00697606">
        <w:t xml:space="preserve"> or its members</w:t>
      </w:r>
      <w:r w:rsidR="00EC5B38">
        <w:t>. There</w:t>
      </w:r>
      <w:r>
        <w:t xml:space="preserve">fore, </w:t>
      </w:r>
      <w:r w:rsidR="00EC5B38">
        <w:t xml:space="preserve">Gulf claims </w:t>
      </w:r>
      <w:r>
        <w:t>SACE cannot prove it has associationa</w:t>
      </w:r>
      <w:r w:rsidR="00514DED">
        <w:t xml:space="preserve">l standing to </w:t>
      </w:r>
      <w:r w:rsidR="009A54E9">
        <w:t>intervene</w:t>
      </w:r>
      <w:r w:rsidR="00514DED">
        <w:t xml:space="preserve"> in a base rate proceeding</w:t>
      </w:r>
      <w:r>
        <w:t xml:space="preserve">.  </w:t>
      </w:r>
    </w:p>
    <w:p w:rsidR="009A54E9" w:rsidRDefault="009A54E9" w:rsidP="00BE3803">
      <w:pPr>
        <w:jc w:val="both"/>
      </w:pPr>
    </w:p>
    <w:p w:rsidR="007E5E8D" w:rsidRDefault="009A54E9" w:rsidP="00BE3803">
      <w:pPr>
        <w:jc w:val="both"/>
      </w:pPr>
      <w:r>
        <w:tab/>
      </w:r>
      <w:r w:rsidR="00EC5B38">
        <w:t xml:space="preserve">In addition, </w:t>
      </w:r>
      <w:r w:rsidR="006B5172">
        <w:t>Gulf requests that</w:t>
      </w:r>
      <w:r w:rsidR="00EC5B38">
        <w:t>, should SACE be granted intervention,</w:t>
      </w:r>
      <w:r w:rsidR="006B5172">
        <w:t xml:space="preserve"> SACE’s participation be limited to matters and issues properly within the scope of an electric rate proceeding, </w:t>
      </w:r>
      <w:r w:rsidR="00514DED">
        <w:t xml:space="preserve">and </w:t>
      </w:r>
      <w:r>
        <w:t>should</w:t>
      </w:r>
      <w:r w:rsidR="00514DED">
        <w:t xml:space="preserve"> be required to prove any allegations </w:t>
      </w:r>
      <w:r w:rsidR="00D40EC0">
        <w:t>that the Commission concludes would warrant intervention.</w:t>
      </w:r>
      <w:r w:rsidR="007E5E8D">
        <w:t xml:space="preserve"> </w:t>
      </w:r>
      <w:r w:rsidR="00697606" w:rsidRPr="00D3757A">
        <w:t xml:space="preserve">To the extent that SACE is allowed to participate in this proceeding based on its allegations of standing, </w:t>
      </w:r>
      <w:r w:rsidR="00697606">
        <w:t>Gulf</w:t>
      </w:r>
      <w:r w:rsidR="00697606" w:rsidRPr="00D3757A">
        <w:t xml:space="preserve"> reserves its right to challenge those allegations going forward.</w:t>
      </w:r>
    </w:p>
    <w:p w:rsidR="001C3A45" w:rsidRDefault="001C3A45" w:rsidP="00BE3803">
      <w:pPr>
        <w:jc w:val="both"/>
      </w:pPr>
    </w:p>
    <w:p w:rsidR="001C3A45" w:rsidRPr="00EF0CCB" w:rsidRDefault="001C3A45" w:rsidP="001C3A45">
      <w:pPr>
        <w:jc w:val="both"/>
        <w:rPr>
          <w:u w:val="single"/>
        </w:rPr>
      </w:pPr>
      <w:r w:rsidRPr="00EF0CCB">
        <w:rPr>
          <w:u w:val="single"/>
        </w:rPr>
        <w:t xml:space="preserve">Motion for Leave to Reply to Response in Opposition </w:t>
      </w:r>
    </w:p>
    <w:p w:rsidR="001C3A45" w:rsidRPr="00EF0CCB" w:rsidRDefault="001C3A45" w:rsidP="001C3A45">
      <w:pPr>
        <w:jc w:val="both"/>
        <w:rPr>
          <w:u w:val="single"/>
        </w:rPr>
      </w:pPr>
    </w:p>
    <w:p w:rsidR="001C3A45" w:rsidRPr="00EF0CCB" w:rsidRDefault="001C3A45" w:rsidP="001C3A45">
      <w:pPr>
        <w:jc w:val="both"/>
      </w:pPr>
      <w:r w:rsidRPr="00EF0CCB">
        <w:tab/>
        <w:t xml:space="preserve">On </w:t>
      </w:r>
      <w:r w:rsidR="00EE4620" w:rsidRPr="00EF0CCB">
        <w:t>November 30, 2016</w:t>
      </w:r>
      <w:r w:rsidRPr="00EF0CCB">
        <w:t xml:space="preserve">, </w:t>
      </w:r>
      <w:r w:rsidR="00EE4620" w:rsidRPr="00EF0CCB">
        <w:t>SACE</w:t>
      </w:r>
      <w:r w:rsidRPr="00EF0CCB">
        <w:t xml:space="preserve"> filed a Motion for Leave to Reply to Response </w:t>
      </w:r>
      <w:r w:rsidR="00EE4620" w:rsidRPr="00EF0CCB">
        <w:t xml:space="preserve">of Gulf Power Company </w:t>
      </w:r>
      <w:r w:rsidRPr="00EF0CCB">
        <w:t xml:space="preserve">in Opposition to </w:t>
      </w:r>
      <w:r w:rsidR="00EE4620" w:rsidRPr="00EF0CCB">
        <w:t>Petition to Intervene</w:t>
      </w:r>
      <w:r w:rsidR="00EF0CCB">
        <w:t xml:space="preserve"> (Motion) with </w:t>
      </w:r>
      <w:r w:rsidR="0006100D">
        <w:t xml:space="preserve">an </w:t>
      </w:r>
      <w:r w:rsidR="00EF0CCB">
        <w:t>attached proposed reply</w:t>
      </w:r>
      <w:r w:rsidRPr="00EF0CCB">
        <w:t xml:space="preserve">.  </w:t>
      </w:r>
      <w:r w:rsidR="00EE4620" w:rsidRPr="00EF0CCB">
        <w:t>SACE asserts</w:t>
      </w:r>
      <w:r w:rsidRPr="00EF0CCB">
        <w:t xml:space="preserve"> that </w:t>
      </w:r>
      <w:r w:rsidR="00EE4620" w:rsidRPr="00EF0CCB">
        <w:t xml:space="preserve">good cause exists to </w:t>
      </w:r>
      <w:r w:rsidRPr="00EF0CCB">
        <w:t xml:space="preserve">allow </w:t>
      </w:r>
      <w:r w:rsidR="00FD035B">
        <w:t xml:space="preserve">it to file </w:t>
      </w:r>
      <w:r w:rsidRPr="00EF0CCB">
        <w:t xml:space="preserve">a reply </w:t>
      </w:r>
      <w:r w:rsidR="00EF0CCB" w:rsidRPr="00EF0CCB">
        <w:t>to Gulf’</w:t>
      </w:r>
      <w:r w:rsidR="00EF0CCB">
        <w:t xml:space="preserve">s Opposition.  SACE disputes Gulf’s claim that SACE is attempting to re-litigate issues it has raised and lost in other proceedings, in the current electric rate proceeding. SACE asserts </w:t>
      </w:r>
      <w:r w:rsidR="00FD035B">
        <w:t xml:space="preserve">that </w:t>
      </w:r>
      <w:r w:rsidR="00EF0CCB">
        <w:t xml:space="preserve">it simply seeks to litigate the issues presented by Gulf in this proceeding, and </w:t>
      </w:r>
      <w:r w:rsidR="00FD035B">
        <w:t xml:space="preserve">those </w:t>
      </w:r>
      <w:r w:rsidR="00EF0CCB">
        <w:t xml:space="preserve">already identified by staff as likely issues.  Thus, </w:t>
      </w:r>
      <w:r w:rsidR="00FD035B">
        <w:t>SACE states that a</w:t>
      </w:r>
      <w:r w:rsidR="00EF0CCB" w:rsidRPr="00EF0CCB">
        <w:t xml:space="preserve"> reply will help clarify its intentions in this proceeding, and </w:t>
      </w:r>
      <w:r w:rsidRPr="00EF0CCB">
        <w:t xml:space="preserve">will </w:t>
      </w:r>
      <w:r w:rsidR="00EF0CCB" w:rsidRPr="00EF0CCB">
        <w:t>help correct misrepresentations and erroneous legal assertions contained in Gulf’s Opposition</w:t>
      </w:r>
      <w:r w:rsidRPr="00EF0CCB">
        <w:t xml:space="preserve">. </w:t>
      </w:r>
      <w:r w:rsidR="00EF0CCB" w:rsidRPr="00EF0CCB">
        <w:t>SACE conferred with OPC and Gulf on its motion and neither takes a position on SACE’s motion for leave to reply</w:t>
      </w:r>
      <w:r w:rsidRPr="00EF0CCB">
        <w:t xml:space="preserve">. </w:t>
      </w:r>
    </w:p>
    <w:p w:rsidR="001C3A45" w:rsidRPr="00EF0CCB" w:rsidRDefault="001C3A45" w:rsidP="001C3A45">
      <w:pPr>
        <w:jc w:val="both"/>
      </w:pPr>
    </w:p>
    <w:p w:rsidR="001C3A45" w:rsidRPr="00EF0CCB" w:rsidRDefault="001C3A45" w:rsidP="001C3A45">
      <w:pPr>
        <w:jc w:val="both"/>
        <w:rPr>
          <w:u w:val="single"/>
        </w:rPr>
      </w:pPr>
      <w:r w:rsidRPr="00EF0CCB">
        <w:rPr>
          <w:u w:val="single"/>
        </w:rPr>
        <w:t>Decision on Request to Provide a Reply</w:t>
      </w:r>
    </w:p>
    <w:p w:rsidR="001C3A45" w:rsidRPr="00EF0CCB" w:rsidRDefault="001C3A45" w:rsidP="001C3A45">
      <w:pPr>
        <w:jc w:val="both"/>
      </w:pPr>
    </w:p>
    <w:p w:rsidR="001C3A45" w:rsidRPr="004464A8" w:rsidRDefault="001C3A45" w:rsidP="001C3A45">
      <w:pPr>
        <w:jc w:val="both"/>
      </w:pPr>
      <w:r w:rsidRPr="00EF0CCB">
        <w:tab/>
        <w:t xml:space="preserve">A reply to a response to a motion is not contemplated by the Uniform Rules or Rule 28-106.204, F.A.C.  It is </w:t>
      </w:r>
      <w:r w:rsidR="00EF0CCB" w:rsidRPr="00EF0CCB">
        <w:t xml:space="preserve">generally </w:t>
      </w:r>
      <w:r w:rsidRPr="00EF0CCB">
        <w:t xml:space="preserve">not </w:t>
      </w:r>
      <w:r w:rsidR="00370AF3">
        <w:t xml:space="preserve">the </w:t>
      </w:r>
      <w:r w:rsidRPr="00EF0CCB">
        <w:t>Commission</w:t>
      </w:r>
      <w:r w:rsidR="00370AF3">
        <w:t>’s</w:t>
      </w:r>
      <w:r w:rsidRPr="00EF0CCB">
        <w:t xml:space="preserve"> practice to allow an additional pleading into the pleading cycle established by rule.  </w:t>
      </w:r>
      <w:r w:rsidR="00EF0CCB" w:rsidRPr="00EF0CCB">
        <w:t>Therefore, SACE’s M</w:t>
      </w:r>
      <w:r w:rsidRPr="00EF0CCB">
        <w:t>otion is denied.</w:t>
      </w:r>
      <w:r>
        <w:t xml:space="preserve">  </w:t>
      </w:r>
    </w:p>
    <w:p w:rsidR="00FB5CEE" w:rsidRDefault="00FB5CEE" w:rsidP="00BE3803">
      <w:pPr>
        <w:jc w:val="both"/>
      </w:pPr>
    </w:p>
    <w:p w:rsidR="00B43A8B" w:rsidRPr="00E15CBE" w:rsidRDefault="00B43A8B" w:rsidP="00BE3803">
      <w:pPr>
        <w:jc w:val="both"/>
        <w:rPr>
          <w:u w:val="single"/>
        </w:rPr>
      </w:pPr>
      <w:r w:rsidRPr="00E15CBE">
        <w:rPr>
          <w:u w:val="single"/>
        </w:rPr>
        <w:t>Standards for Intervention</w:t>
      </w:r>
    </w:p>
    <w:p w:rsidR="00B43A8B" w:rsidRPr="00E15CBE" w:rsidRDefault="00B43A8B" w:rsidP="00BE3803">
      <w:pPr>
        <w:jc w:val="both"/>
        <w:rPr>
          <w:u w:val="single"/>
        </w:rPr>
      </w:pPr>
    </w:p>
    <w:p w:rsidR="00B43A8B" w:rsidRPr="00E15CBE" w:rsidRDefault="00B43A8B" w:rsidP="00BE3803">
      <w:pPr>
        <w:jc w:val="both"/>
      </w:pPr>
      <w:r w:rsidRPr="00E15CBE">
        <w:tab/>
        <w:t>Rule 25-22.039, F.A.C.,</w:t>
      </w:r>
      <w:r w:rsidR="00EC5B38" w:rsidRPr="00E15CBE">
        <w:t xml:space="preserve"> provides:</w:t>
      </w:r>
    </w:p>
    <w:p w:rsidR="00B43A8B" w:rsidRPr="00E15CBE" w:rsidRDefault="00B43A8B" w:rsidP="00BE3803">
      <w:pPr>
        <w:jc w:val="both"/>
      </w:pPr>
    </w:p>
    <w:p w:rsidR="00B43A8B" w:rsidRPr="00E15CBE" w:rsidRDefault="00B43A8B" w:rsidP="00BE3803">
      <w:pPr>
        <w:ind w:left="720" w:right="720"/>
        <w:jc w:val="both"/>
        <w:rPr>
          <w:noProof/>
          <w:color w:val="000000"/>
        </w:rPr>
      </w:pPr>
      <w:r w:rsidRPr="00E15CBE">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w:t>
      </w:r>
      <w:r w:rsidRPr="00E15CBE">
        <w:rPr>
          <w:noProof/>
          <w:color w:val="000000"/>
        </w:rPr>
        <w:lastRenderedPageBreak/>
        <w:t>Commission rule, or that the substantial interests of the intervenor are subject to determination or will be a</w:t>
      </w:r>
      <w:r w:rsidR="00370AF3">
        <w:rPr>
          <w:noProof/>
          <w:color w:val="000000"/>
        </w:rPr>
        <w:t>ffected through the proceeding. Intervenors take the case as they find it.</w:t>
      </w:r>
    </w:p>
    <w:p w:rsidR="00FD035B" w:rsidRDefault="00FD035B" w:rsidP="00233A35">
      <w:pPr>
        <w:jc w:val="both"/>
      </w:pPr>
    </w:p>
    <w:p w:rsidR="00B43A8B" w:rsidRPr="00E15CBE" w:rsidRDefault="00B43A8B" w:rsidP="00BE3803">
      <w:pPr>
        <w:ind w:firstLine="720"/>
        <w:jc w:val="both"/>
      </w:pPr>
      <w:r w:rsidRPr="00E15CBE">
        <w:t>To have standing</w:t>
      </w:r>
      <w:r w:rsidR="00EC5B38" w:rsidRPr="00E15CBE">
        <w:t xml:space="preserve"> in an administrative proceeding</w:t>
      </w:r>
      <w:r w:rsidRPr="00E15CBE">
        <w:t xml:space="preserve">, </w:t>
      </w:r>
      <w:r w:rsidR="00EC5B38" w:rsidRPr="00E15CBE">
        <w:t>an</w:t>
      </w:r>
      <w:r w:rsidRPr="00E15CBE">
        <w:t xml:space="preserve"> intervenor must meet the two-prong standing test set forth in </w:t>
      </w:r>
      <w:r w:rsidRPr="00E15CBE">
        <w:rPr>
          <w:u w:val="single"/>
        </w:rPr>
        <w:t>Agrico Chemical Company v. Department of Environmental Regulation</w:t>
      </w:r>
      <w:r w:rsidRPr="00E15CBE">
        <w:t>, 406 So. 2</w:t>
      </w:r>
      <w:r w:rsidR="00FD035B">
        <w:t>d 478, 482 (Fla. 2nd DCA 1981).</w:t>
      </w:r>
      <w:r w:rsidRPr="00E15CBE">
        <w:t xml:space="preserve"> The intervenor must show that (1) he will suffer injury in fact</w:t>
      </w:r>
      <w:r w:rsidR="00EC5B38" w:rsidRPr="00E15CBE">
        <w:t>,</w:t>
      </w:r>
      <w:r w:rsidRPr="00E15CBE">
        <w:t xml:space="preserve"> which is of sufficient immediacy to entitle him to </w:t>
      </w:r>
      <w:r w:rsidR="00EC5B38" w:rsidRPr="00E15CBE">
        <w:t>a Section 120.57, F.S., hearing;</w:t>
      </w:r>
      <w:r w:rsidRPr="00E15CBE">
        <w:t xml:space="preserve"> and (2) th</w:t>
      </w:r>
      <w:r w:rsidR="00EC5B38" w:rsidRPr="00E15CBE">
        <w:t>e</w:t>
      </w:r>
      <w:r w:rsidRPr="00E15CBE">
        <w:t xml:space="preserve"> substantial injury is of a type or nature which the pro</w:t>
      </w:r>
      <w:r w:rsidR="00FD035B">
        <w:t>ceeding is designed to protect.</w:t>
      </w:r>
      <w:r w:rsidRPr="00E15CBE">
        <w:t xml:space="preserve"> The first prong of the test addresses the degree of injury. The second addre</w:t>
      </w:r>
      <w:r w:rsidR="00FD035B">
        <w:t xml:space="preserve">sses the nature of the injury. </w:t>
      </w:r>
      <w:r w:rsidRPr="00E15CBE">
        <w:t xml:space="preserve">The “injury in fact” must be both real and immediate and </w:t>
      </w:r>
      <w:r w:rsidR="00FD035B">
        <w:t>not speculative or conjectural.</w:t>
      </w:r>
      <w:r w:rsidRPr="00E15CBE">
        <w:t xml:space="preserve"> </w:t>
      </w:r>
      <w:r w:rsidRPr="00E15CBE">
        <w:rPr>
          <w:u w:val="single"/>
        </w:rPr>
        <w:t xml:space="preserve">International Jai-Alai Players Assn. v. </w:t>
      </w:r>
      <w:smartTag w:uri="urn:schemas-microsoft-com:office:smarttags" w:element="State">
        <w:smartTag w:uri="urn:schemas-microsoft-com:office:smarttags" w:element="place">
          <w:r w:rsidRPr="00E15CBE">
            <w:rPr>
              <w:u w:val="single"/>
            </w:rPr>
            <w:t>Florida</w:t>
          </w:r>
        </w:smartTag>
      </w:smartTag>
      <w:r w:rsidRPr="00E15CBE">
        <w:rPr>
          <w:u w:val="single"/>
        </w:rPr>
        <w:t xml:space="preserve"> Pari-Mutuel Commission</w:t>
      </w:r>
      <w:r w:rsidRPr="00E15CBE">
        <w:t>, 561 So. 2d 1224</w:t>
      </w:r>
      <w:r w:rsidR="00EC5B38" w:rsidRPr="00E15CBE">
        <w:t xml:space="preserve">, 1225-26 (Fla. 3rd DCA 1990); </w:t>
      </w:r>
      <w:r w:rsidRPr="00E15CBE">
        <w:rPr>
          <w:u w:val="single"/>
        </w:rPr>
        <w:t>Village Park Mobile Home Assn., Inc. v. State Dept. of Business Regulation</w:t>
      </w:r>
      <w:r w:rsidRPr="00E15CBE">
        <w:t xml:space="preserve">, 506 So. 2d 426, 434 (Fla. 1st DCA 1987), </w:t>
      </w:r>
      <w:r w:rsidRPr="00E15CBE">
        <w:rPr>
          <w:u w:val="single"/>
        </w:rPr>
        <w:t>rev. den.</w:t>
      </w:r>
      <w:r w:rsidRPr="00E15CBE">
        <w:t>, 513 So. 2d 1063 (</w:t>
      </w:r>
      <w:smartTag w:uri="urn:schemas-microsoft-com:office:smarttags" w:element="State">
        <w:smartTag w:uri="urn:schemas-microsoft-com:office:smarttags" w:element="place">
          <w:r w:rsidRPr="00E15CBE">
            <w:t>Fla.</w:t>
          </w:r>
        </w:smartTag>
      </w:smartTag>
      <w:r w:rsidRPr="00E15CBE">
        <w:t xml:space="preserve"> 1987) (speculation on the possible occurrence of injurious events is too remote).  </w:t>
      </w:r>
    </w:p>
    <w:p w:rsidR="00B43A8B" w:rsidRPr="00E15CBE" w:rsidRDefault="00B43A8B" w:rsidP="00233A35">
      <w:pPr>
        <w:jc w:val="both"/>
      </w:pPr>
    </w:p>
    <w:p w:rsidR="00B461B4" w:rsidRPr="00E15CBE" w:rsidRDefault="00B43A8B" w:rsidP="001D3B33">
      <w:pPr>
        <w:ind w:firstLine="720"/>
        <w:jc w:val="both"/>
      </w:pPr>
      <w:r w:rsidRPr="00E15CBE">
        <w:t xml:space="preserve">The test for associational standing was established in </w:t>
      </w:r>
      <w:r w:rsidRPr="00E15CBE">
        <w:rPr>
          <w:u w:val="single"/>
        </w:rPr>
        <w:t>Florida Home Builders v. Dept. of Labor and Employment Security</w:t>
      </w:r>
      <w:r w:rsidRPr="00E15CBE">
        <w:t>, 412 So. 2d 351 (</w:t>
      </w:r>
      <w:smartTag w:uri="urn:schemas-microsoft-com:office:smarttags" w:element="State">
        <w:smartTag w:uri="urn:schemas-microsoft-com:office:smarttags" w:element="place">
          <w:r w:rsidRPr="00E15CBE">
            <w:t>Fla.</w:t>
          </w:r>
        </w:smartTag>
      </w:smartTag>
      <w:r w:rsidRPr="00E15CBE">
        <w:t xml:space="preserve"> 1982), and </w:t>
      </w:r>
      <w:r w:rsidRPr="00E15CBE">
        <w:rPr>
          <w:u w:val="single"/>
        </w:rPr>
        <w:t>Farmworker Rights Organization, Inc. v. Dept. of Health and Rehabilitative Services</w:t>
      </w:r>
      <w:r w:rsidRPr="00E15CBE">
        <w:t xml:space="preserve">, 417 So. 2d 753 (Fla. 1st DCA 1982), which is also based on the basic standing principles established in </w:t>
      </w:r>
      <w:r w:rsidRPr="00E15CBE">
        <w:rPr>
          <w:u w:val="single"/>
        </w:rPr>
        <w:t>Agrico</w:t>
      </w:r>
      <w:r w:rsidR="00FD035B">
        <w:t xml:space="preserve">. </w:t>
      </w:r>
      <w:r w:rsidRPr="00E15CBE">
        <w:t>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1D3B33" w:rsidRPr="00E15CBE" w:rsidRDefault="001D3B33" w:rsidP="00233A35">
      <w:pPr>
        <w:jc w:val="both"/>
      </w:pPr>
    </w:p>
    <w:p w:rsidR="00B43A8B" w:rsidRPr="00E15CBE" w:rsidRDefault="00B43A8B" w:rsidP="00BE3803">
      <w:pPr>
        <w:jc w:val="both"/>
      </w:pPr>
      <w:r w:rsidRPr="00E15CBE">
        <w:rPr>
          <w:u w:val="single"/>
        </w:rPr>
        <w:t>Analysis &amp; Ruling</w:t>
      </w:r>
    </w:p>
    <w:p w:rsidR="00B461B4" w:rsidRPr="00E15CBE" w:rsidRDefault="00B461B4" w:rsidP="00233A35">
      <w:pPr>
        <w:jc w:val="both"/>
      </w:pPr>
    </w:p>
    <w:p w:rsidR="00B43A8B" w:rsidRPr="00E15CBE" w:rsidRDefault="00B461B4" w:rsidP="00BE3803">
      <w:pPr>
        <w:ind w:firstLine="720"/>
        <w:jc w:val="both"/>
      </w:pPr>
      <w:r w:rsidRPr="00E15CBE">
        <w:t>I</w:t>
      </w:r>
      <w:r w:rsidR="00B43A8B" w:rsidRPr="00E15CBE">
        <w:t xml:space="preserve">t appears that the SACE meets the two-prong standing test in </w:t>
      </w:r>
      <w:r w:rsidR="00B43A8B" w:rsidRPr="00E15CBE">
        <w:rPr>
          <w:u w:val="single"/>
        </w:rPr>
        <w:t>Agrico</w:t>
      </w:r>
      <w:r w:rsidR="00E15CBE">
        <w:t xml:space="preserve">, </w:t>
      </w:r>
      <w:r w:rsidR="00B43A8B" w:rsidRPr="00E15CBE">
        <w:t>as well as</w:t>
      </w:r>
      <w:r w:rsidR="00E15CBE">
        <w:t>,</w:t>
      </w:r>
      <w:r w:rsidR="00B43A8B" w:rsidRPr="00E15CBE">
        <w:t xml:space="preserve"> the three-prong associational standing test established in </w:t>
      </w:r>
      <w:r w:rsidR="00B43A8B" w:rsidRPr="00E15CBE">
        <w:rPr>
          <w:u w:val="single"/>
        </w:rPr>
        <w:t>Florida Home Builders</w:t>
      </w:r>
      <w:r w:rsidR="00FD035B">
        <w:t xml:space="preserve">. </w:t>
      </w:r>
      <w:r w:rsidR="00A64FDB" w:rsidRPr="00E15CBE">
        <w:t>Th</w:t>
      </w:r>
      <w:r w:rsidR="00370AF3">
        <w:t>e</w:t>
      </w:r>
      <w:r w:rsidR="00A64FDB" w:rsidRPr="00E15CBE">
        <w:t xml:space="preserve"> </w:t>
      </w:r>
      <w:r w:rsidR="00370AF3">
        <w:t xml:space="preserve">purpose of this </w:t>
      </w:r>
      <w:r w:rsidR="00A64FDB" w:rsidRPr="00E15CBE">
        <w:t xml:space="preserve">proceeding is to determine the </w:t>
      </w:r>
      <w:r w:rsidR="00DA27C0" w:rsidRPr="00E15CBE">
        <w:t xml:space="preserve">fair, </w:t>
      </w:r>
      <w:r w:rsidR="00A64FDB" w:rsidRPr="00E15CBE">
        <w:t>just and reasonable electri</w:t>
      </w:r>
      <w:r w:rsidR="00FD035B">
        <w:t xml:space="preserve">c rates to be charged by Gulf. </w:t>
      </w:r>
      <w:r w:rsidR="00EC5B38" w:rsidRPr="00E15CBE">
        <w:t xml:space="preserve">The substantial interests of </w:t>
      </w:r>
      <w:r w:rsidR="00B43A8B" w:rsidRPr="00E15CBE">
        <w:t>SACE’s members are affected</w:t>
      </w:r>
      <w:r w:rsidR="00EC5B38" w:rsidRPr="00E15CBE">
        <w:t xml:space="preserve"> by this proceeding,</w:t>
      </w:r>
      <w:r w:rsidR="00B43A8B" w:rsidRPr="00E15CBE">
        <w:t xml:space="preserve"> since increases in the cost of electricity directly affect</w:t>
      </w:r>
      <w:r w:rsidR="00A64FDB" w:rsidRPr="00E15CBE">
        <w:t xml:space="preserve"> their monthly electric bills. </w:t>
      </w:r>
      <w:r w:rsidR="00B43A8B" w:rsidRPr="00E15CBE">
        <w:rPr>
          <w:szCs w:val="32"/>
        </w:rPr>
        <w:t xml:space="preserve">Therefore, SACE’s members meet the two-prong standing test of </w:t>
      </w:r>
      <w:r w:rsidR="00B43A8B" w:rsidRPr="00E15CBE">
        <w:rPr>
          <w:szCs w:val="32"/>
          <w:u w:val="single"/>
        </w:rPr>
        <w:t>Agrico</w:t>
      </w:r>
      <w:r w:rsidR="00B43A8B" w:rsidRPr="00E15CBE">
        <w:t xml:space="preserve">.  </w:t>
      </w:r>
    </w:p>
    <w:p w:rsidR="00B43A8B" w:rsidRPr="00E15CBE" w:rsidRDefault="00B43A8B" w:rsidP="00BE3803">
      <w:pPr>
        <w:jc w:val="both"/>
      </w:pPr>
    </w:p>
    <w:p w:rsidR="00A57EF2" w:rsidRDefault="00B43A8B" w:rsidP="004A0E0F">
      <w:pPr>
        <w:autoSpaceDE w:val="0"/>
        <w:autoSpaceDN w:val="0"/>
        <w:adjustRightInd w:val="0"/>
        <w:ind w:firstLine="720"/>
        <w:jc w:val="both"/>
      </w:pPr>
      <w:r w:rsidRPr="00E15CBE">
        <w:t xml:space="preserve">With respect to the first prong of the associational standing test, </w:t>
      </w:r>
      <w:r w:rsidR="001C3A45">
        <w:rPr>
          <w:color w:val="000000"/>
        </w:rPr>
        <w:t>to have standing in an administrative proceeding, an</w:t>
      </w:r>
      <w:r w:rsidR="001C3A45" w:rsidRPr="00A57EF2">
        <w:rPr>
          <w:color w:val="000000"/>
        </w:rPr>
        <w:t xml:space="preserve"> association must</w:t>
      </w:r>
      <w:r w:rsidR="001C3A45">
        <w:rPr>
          <w:color w:val="000000"/>
        </w:rPr>
        <w:t xml:space="preserve"> </w:t>
      </w:r>
      <w:r w:rsidR="001C3A45" w:rsidRPr="00A57EF2">
        <w:rPr>
          <w:color w:val="000000"/>
        </w:rPr>
        <w:t>demonstrate that a su</w:t>
      </w:r>
      <w:r w:rsidR="001C3A45">
        <w:rPr>
          <w:color w:val="000000"/>
        </w:rPr>
        <w:t xml:space="preserve">bstantial number of its members </w:t>
      </w:r>
      <w:r w:rsidR="001C3A45" w:rsidRPr="00A57EF2">
        <w:rPr>
          <w:color w:val="000000"/>
        </w:rPr>
        <w:t>are substantially</w:t>
      </w:r>
      <w:r w:rsidR="001C3A45">
        <w:rPr>
          <w:color w:val="000000"/>
        </w:rPr>
        <w:t xml:space="preserve"> affected by the proceeding.</w:t>
      </w:r>
      <w:r w:rsidR="00DD7F91">
        <w:rPr>
          <w:color w:val="000000"/>
        </w:rPr>
        <w:t xml:space="preserve"> </w:t>
      </w:r>
      <w:r w:rsidR="00DD7F91" w:rsidRPr="00E15CBE">
        <w:rPr>
          <w:u w:val="single"/>
        </w:rPr>
        <w:t>Florida Home Builders</w:t>
      </w:r>
      <w:r w:rsidR="00DD7F91" w:rsidRPr="00E15CBE">
        <w:t xml:space="preserve">, 412 So. 2d </w:t>
      </w:r>
      <w:r w:rsidR="00DD7F91">
        <w:t>at 353.</w:t>
      </w:r>
      <w:r w:rsidR="001B4C4E">
        <w:rPr>
          <w:color w:val="000000"/>
        </w:rPr>
        <w:t xml:space="preserve"> Under Florida law, n</w:t>
      </w:r>
      <w:r w:rsidR="00DD7F91">
        <w:rPr>
          <w:color w:val="000000"/>
        </w:rPr>
        <w:t>either a</w:t>
      </w:r>
      <w:r w:rsidR="001C3A45">
        <w:rPr>
          <w:color w:val="000000"/>
        </w:rPr>
        <w:t xml:space="preserve"> specific number</w:t>
      </w:r>
      <w:r w:rsidR="00FD035B">
        <w:rPr>
          <w:color w:val="000000"/>
        </w:rPr>
        <w:t>,</w:t>
      </w:r>
      <w:r w:rsidR="001C3A45">
        <w:rPr>
          <w:color w:val="000000"/>
        </w:rPr>
        <w:t xml:space="preserve"> </w:t>
      </w:r>
      <w:r w:rsidR="00DD7F91">
        <w:rPr>
          <w:color w:val="000000"/>
        </w:rPr>
        <w:t>n</w:t>
      </w:r>
      <w:r w:rsidR="001C3A45">
        <w:rPr>
          <w:color w:val="000000"/>
        </w:rPr>
        <w:t xml:space="preserve">or percentage of </w:t>
      </w:r>
      <w:r w:rsidR="00DD7F91">
        <w:rPr>
          <w:color w:val="000000"/>
        </w:rPr>
        <w:t xml:space="preserve">association </w:t>
      </w:r>
      <w:r w:rsidR="001C3A45">
        <w:rPr>
          <w:color w:val="000000"/>
        </w:rPr>
        <w:t>members</w:t>
      </w:r>
      <w:r w:rsidR="00FD035B">
        <w:rPr>
          <w:color w:val="000000"/>
        </w:rPr>
        <w:t>,</w:t>
      </w:r>
      <w:r w:rsidR="001C3A45">
        <w:rPr>
          <w:color w:val="000000"/>
        </w:rPr>
        <w:t xml:space="preserve"> is </w:t>
      </w:r>
      <w:r w:rsidR="00DD7F91">
        <w:rPr>
          <w:color w:val="000000"/>
        </w:rPr>
        <w:t>required</w:t>
      </w:r>
      <w:r w:rsidR="001C3A45">
        <w:rPr>
          <w:color w:val="000000"/>
        </w:rPr>
        <w:t xml:space="preserve"> </w:t>
      </w:r>
      <w:r w:rsidR="00DD7F91">
        <w:rPr>
          <w:color w:val="000000"/>
        </w:rPr>
        <w:t>for standing</w:t>
      </w:r>
      <w:r w:rsidR="001B4C4E">
        <w:rPr>
          <w:color w:val="000000"/>
        </w:rPr>
        <w:t>.</w:t>
      </w:r>
      <w:r w:rsidR="00DD7F91">
        <w:rPr>
          <w:color w:val="000000"/>
        </w:rPr>
        <w:t xml:space="preserve"> </w:t>
      </w:r>
      <w:r w:rsidR="00DD7F91" w:rsidRPr="00DD7F91">
        <w:rPr>
          <w:color w:val="000000"/>
          <w:u w:val="single"/>
        </w:rPr>
        <w:t>Hillsborough County v. Florida Restaurant Ass’n, Inc.</w:t>
      </w:r>
      <w:r w:rsidR="00DD7F91">
        <w:rPr>
          <w:color w:val="000000"/>
        </w:rPr>
        <w:t>, 603 So. 2</w:t>
      </w:r>
      <w:r w:rsidR="00FD035B">
        <w:rPr>
          <w:color w:val="000000"/>
        </w:rPr>
        <w:t>d 587, 589 (Fla. 2nd DCA 1992)</w:t>
      </w:r>
      <w:r w:rsidR="00E733AC">
        <w:rPr>
          <w:color w:val="000000"/>
        </w:rPr>
        <w:t>(</w:t>
      </w:r>
      <w:r w:rsidR="00657789">
        <w:rPr>
          <w:color w:val="000000"/>
        </w:rPr>
        <w:t>court found standing where 37 of 2,766 members were affected, because a substantial number of the members residing in the county at issue were affected</w:t>
      </w:r>
      <w:r w:rsidR="00E733AC">
        <w:t>)</w:t>
      </w:r>
      <w:r w:rsidR="00FD035B">
        <w:rPr>
          <w:color w:val="000000"/>
        </w:rPr>
        <w:t>.</w:t>
      </w:r>
      <w:r w:rsidR="00DD7F91">
        <w:rPr>
          <w:color w:val="000000"/>
        </w:rPr>
        <w:t xml:space="preserve"> </w:t>
      </w:r>
      <w:r w:rsidR="00C85603">
        <w:rPr>
          <w:color w:val="000000"/>
        </w:rPr>
        <w:t xml:space="preserve"> </w:t>
      </w:r>
      <w:r w:rsidR="00DD7F91">
        <w:rPr>
          <w:color w:val="000000"/>
        </w:rPr>
        <w:t xml:space="preserve">Here </w:t>
      </w:r>
      <w:r w:rsidRPr="00E15CBE">
        <w:t xml:space="preserve">SACE asserts that </w:t>
      </w:r>
      <w:r w:rsidRPr="00E15CBE">
        <w:rPr>
          <w:szCs w:val="32"/>
        </w:rPr>
        <w:t xml:space="preserve">it </w:t>
      </w:r>
      <w:r w:rsidR="00A57EF2">
        <w:rPr>
          <w:szCs w:val="32"/>
        </w:rPr>
        <w:t xml:space="preserve">has </w:t>
      </w:r>
      <w:r w:rsidRPr="00E15CBE">
        <w:rPr>
          <w:szCs w:val="32"/>
        </w:rPr>
        <w:t xml:space="preserve">members located in Gulf’s service </w:t>
      </w:r>
      <w:r w:rsidR="00265B8C" w:rsidRPr="00E15CBE">
        <w:rPr>
          <w:szCs w:val="32"/>
        </w:rPr>
        <w:t>territory</w:t>
      </w:r>
      <w:r w:rsidRPr="00E15CBE">
        <w:rPr>
          <w:szCs w:val="32"/>
        </w:rPr>
        <w:t xml:space="preserve"> </w:t>
      </w:r>
      <w:r w:rsidR="00A57EF2">
        <w:rPr>
          <w:szCs w:val="32"/>
        </w:rPr>
        <w:t xml:space="preserve">that </w:t>
      </w:r>
      <w:r w:rsidRPr="00E15CBE">
        <w:rPr>
          <w:szCs w:val="32"/>
        </w:rPr>
        <w:t>receive electric service from Gulf, for which they are charged Gulf’s applicable service rates.</w:t>
      </w:r>
      <w:r w:rsidR="00FD035B">
        <w:rPr>
          <w:szCs w:val="32"/>
        </w:rPr>
        <w:t xml:space="preserve"> </w:t>
      </w:r>
      <w:r w:rsidRPr="00E15CBE">
        <w:rPr>
          <w:szCs w:val="32"/>
        </w:rPr>
        <w:t xml:space="preserve">Accordingly, SACE states that its members will be substantially affected by this Commission’s determination in this rate </w:t>
      </w:r>
      <w:r w:rsidRPr="00E15CBE">
        <w:rPr>
          <w:szCs w:val="32"/>
        </w:rPr>
        <w:lastRenderedPageBreak/>
        <w:t>proceeding</w:t>
      </w:r>
      <w:r w:rsidRPr="00E15CBE">
        <w:t>.</w:t>
      </w:r>
      <w:r w:rsidR="00A57EF2" w:rsidRPr="00A57EF2">
        <w:rPr>
          <w:color w:val="000000"/>
        </w:rPr>
        <w:t xml:space="preserve"> </w:t>
      </w:r>
      <w:r w:rsidR="004A0E0F" w:rsidRPr="00E15CBE">
        <w:t xml:space="preserve">Although SACE has not previously intervened in an electric rate case proceeding at this Commission, the Commission has recognized SACE’s standing in other proceedings in which Gulf was a party and </w:t>
      </w:r>
      <w:r w:rsidR="00657789">
        <w:t>there was no opposition by Gulf</w:t>
      </w:r>
      <w:r w:rsidR="004A0E0F" w:rsidRPr="00E15CBE">
        <w:t>.</w:t>
      </w:r>
      <w:r w:rsidR="004A0E0F" w:rsidRPr="00E15CBE">
        <w:rPr>
          <w:rStyle w:val="FootnoteReference"/>
        </w:rPr>
        <w:footnoteReference w:id="1"/>
      </w:r>
      <w:r w:rsidR="00FD035B">
        <w:t xml:space="preserve"> </w:t>
      </w:r>
      <w:r w:rsidR="00DD7F91">
        <w:t>Thus, I find that SACE meets the first prong of the associational standing test.</w:t>
      </w:r>
    </w:p>
    <w:p w:rsidR="00A57EF2" w:rsidRDefault="00A57EF2" w:rsidP="00233A35">
      <w:pPr>
        <w:jc w:val="both"/>
      </w:pPr>
    </w:p>
    <w:p w:rsidR="00DD7F91" w:rsidRPr="00A57EF2" w:rsidRDefault="00B43A8B" w:rsidP="00DD7F91">
      <w:pPr>
        <w:autoSpaceDE w:val="0"/>
        <w:autoSpaceDN w:val="0"/>
        <w:adjustRightInd w:val="0"/>
        <w:ind w:firstLine="720"/>
        <w:jc w:val="both"/>
      </w:pPr>
      <w:r w:rsidRPr="00E15CBE">
        <w:rPr>
          <w:szCs w:val="32"/>
        </w:rPr>
        <w:t xml:space="preserve">With respect to the second prong, </w:t>
      </w:r>
      <w:r w:rsidRPr="00E15CBE">
        <w:t xml:space="preserve">the subject matter of the proceeding appears to be </w:t>
      </w:r>
      <w:r w:rsidR="00A64FDB" w:rsidRPr="00E15CBE">
        <w:t xml:space="preserve">generally </w:t>
      </w:r>
      <w:r w:rsidRPr="00E15CBE">
        <w:t xml:space="preserve">within the SACE’s general scope of interest and activity.  SACE is an association organized with the purpose of advocating for the use of clean energy alternatives to </w:t>
      </w:r>
      <w:r w:rsidR="000040AB" w:rsidRPr="00E15CBE">
        <w:t>mitigate</w:t>
      </w:r>
      <w:r w:rsidRPr="00E15CBE">
        <w:t xml:space="preserve"> fossil fuel generation</w:t>
      </w:r>
      <w:r w:rsidR="000040AB" w:rsidRPr="00E15CBE">
        <w:t>,</w:t>
      </w:r>
      <w:r w:rsidRPr="00E15CBE">
        <w:t xml:space="preserve"> for which recovery is sought in this rate case.</w:t>
      </w:r>
      <w:r w:rsidR="00571538">
        <w:t xml:space="preserve"> </w:t>
      </w:r>
      <w:r w:rsidR="004A0E0F">
        <w:t>A</w:t>
      </w:r>
      <w:r w:rsidR="00A64FDB" w:rsidRPr="00E15CBE">
        <w:t xml:space="preserve">n electric utility’s rates and </w:t>
      </w:r>
      <w:r w:rsidR="002549EC" w:rsidRPr="00E15CBE">
        <w:t xml:space="preserve">rate structure impact all customers, including those that employ energy alternatives and/or conservation measures. </w:t>
      </w:r>
      <w:r w:rsidR="00DD7F91">
        <w:t xml:space="preserve"> Thus, I find that SACE meets the second prong of the associational standing test.</w:t>
      </w:r>
    </w:p>
    <w:p w:rsidR="004A0E0F" w:rsidRDefault="004A0E0F" w:rsidP="00233A35">
      <w:pPr>
        <w:jc w:val="both"/>
      </w:pPr>
    </w:p>
    <w:p w:rsidR="00EF5F9D" w:rsidRDefault="00B43A8B" w:rsidP="00EF5F9D">
      <w:pPr>
        <w:ind w:firstLine="720"/>
        <w:jc w:val="both"/>
      </w:pPr>
      <w:r w:rsidRPr="00E15CBE">
        <w:t>As for the third prong, SACE seeks intervention in this docket to represent the interests of its members before the Commission</w:t>
      </w:r>
      <w:r w:rsidR="00A64FDB" w:rsidRPr="00E15CBE">
        <w:t xml:space="preserve"> in this proceeding</w:t>
      </w:r>
      <w:r w:rsidRPr="00E15CBE">
        <w:t>.</w:t>
      </w:r>
      <w:r w:rsidR="00A64FDB" w:rsidRPr="00E15CBE">
        <w:t xml:space="preserve"> </w:t>
      </w:r>
      <w:r w:rsidR="004A0E0F" w:rsidRPr="00A57EF2">
        <w:t xml:space="preserve">A </w:t>
      </w:r>
      <w:r w:rsidR="004A0E0F" w:rsidRPr="00A57EF2">
        <w:rPr>
          <w:color w:val="000000"/>
        </w:rPr>
        <w:t>trade or professional</w:t>
      </w:r>
      <w:r w:rsidR="004A0E0F">
        <w:rPr>
          <w:color w:val="000000"/>
        </w:rPr>
        <w:t xml:space="preserve"> </w:t>
      </w:r>
      <w:r w:rsidR="004A0E0F" w:rsidRPr="00A57EF2">
        <w:rPr>
          <w:color w:val="000000"/>
        </w:rPr>
        <w:t>association has standing to participate in an administrative proceeding</w:t>
      </w:r>
      <w:r w:rsidR="004A0E0F">
        <w:rPr>
          <w:color w:val="000000"/>
        </w:rPr>
        <w:t>,</w:t>
      </w:r>
      <w:r w:rsidR="004A0E0F" w:rsidRPr="00A57EF2">
        <w:rPr>
          <w:color w:val="000000"/>
        </w:rPr>
        <w:t xml:space="preserve"> even though it is acting solely as the representative of its members.</w:t>
      </w:r>
      <w:r w:rsidR="009A6082">
        <w:rPr>
          <w:color w:val="000000"/>
        </w:rPr>
        <w:t xml:space="preserve"> </w:t>
      </w:r>
      <w:r w:rsidR="009A6082" w:rsidRPr="00E15CBE">
        <w:rPr>
          <w:u w:val="single"/>
        </w:rPr>
        <w:t>Florida Home Builders</w:t>
      </w:r>
      <w:r w:rsidR="009A6082" w:rsidRPr="00E15CBE">
        <w:t xml:space="preserve">, 412 So. 2d </w:t>
      </w:r>
      <w:r w:rsidR="009A6082">
        <w:t>at 353.</w:t>
      </w:r>
      <w:r w:rsidR="004A0E0F">
        <w:rPr>
          <w:color w:val="000000"/>
        </w:rPr>
        <w:t xml:space="preserve"> As stated above, SACE members will be substantially affected by this Commission’s determination in this proceeding and </w:t>
      </w:r>
      <w:r w:rsidR="004A0E0F" w:rsidRPr="00E15CBE">
        <w:t>the Commission has recognized SACE’s standing in other proceedings</w:t>
      </w:r>
      <w:r w:rsidR="004A0E0F">
        <w:t xml:space="preserve"> that affected SACE’s members. Finally</w:t>
      </w:r>
      <w:r w:rsidR="00571538">
        <w:t>, the Commission has granted intervention to other environmental groups in electric rate case proceedings.</w:t>
      </w:r>
      <w:r w:rsidR="00571538" w:rsidRPr="00E15CBE">
        <w:rPr>
          <w:rStyle w:val="FootnoteReference"/>
        </w:rPr>
        <w:footnoteReference w:id="2"/>
      </w:r>
      <w:r w:rsidR="00571538" w:rsidRPr="00E15CBE">
        <w:t xml:space="preserve"> </w:t>
      </w:r>
      <w:r w:rsidR="00EF5F9D">
        <w:t xml:space="preserve"> </w:t>
      </w:r>
      <w:r w:rsidR="00DD7F91">
        <w:t>Thus</w:t>
      </w:r>
      <w:r w:rsidR="00736C6B" w:rsidRPr="00E15CBE">
        <w:t>, I find t</w:t>
      </w:r>
      <w:r w:rsidRPr="00E15CBE">
        <w:t>he relief requested by SACE is of a type appropriate for an association to obtain on behalf of its members.</w:t>
      </w:r>
      <w:r w:rsidR="00E00BE1">
        <w:t xml:space="preserve"> </w:t>
      </w:r>
    </w:p>
    <w:p w:rsidR="00EF5F9D" w:rsidRDefault="00EF5F9D" w:rsidP="00233A35">
      <w:pPr>
        <w:jc w:val="both"/>
      </w:pPr>
    </w:p>
    <w:p w:rsidR="00714A2B" w:rsidRPr="00E00BE1" w:rsidRDefault="00BE12AA" w:rsidP="00EF5F9D">
      <w:pPr>
        <w:ind w:firstLine="720"/>
        <w:jc w:val="both"/>
      </w:pPr>
      <w:r w:rsidRPr="00E15CBE">
        <w:t>Finding that</w:t>
      </w:r>
      <w:r w:rsidR="00B43A8B" w:rsidRPr="00E15CBE">
        <w:t xml:space="preserve"> SACE meets the two-prong standing test established in </w:t>
      </w:r>
      <w:r w:rsidR="00B43A8B" w:rsidRPr="00E15CBE">
        <w:rPr>
          <w:u w:val="single"/>
        </w:rPr>
        <w:t>Agrico</w:t>
      </w:r>
      <w:r w:rsidR="00B43A8B" w:rsidRPr="00E15CBE">
        <w:t xml:space="preserve"> as well as the three-prong associational standing test established in </w:t>
      </w:r>
      <w:r w:rsidR="00B43A8B" w:rsidRPr="00E15CBE">
        <w:rPr>
          <w:u w:val="single"/>
        </w:rPr>
        <w:t>Florida Home Builders</w:t>
      </w:r>
      <w:r w:rsidR="00B43A8B" w:rsidRPr="00E15CBE">
        <w:t xml:space="preserve">, SACE’s petition for intervention shall be granted. </w:t>
      </w:r>
      <w:r w:rsidR="00F15601" w:rsidRPr="00E15CBE">
        <w:t xml:space="preserve"> </w:t>
      </w:r>
      <w:r w:rsidR="00BE3803" w:rsidRPr="00E15CBE">
        <w:t>P</w:t>
      </w:r>
      <w:r w:rsidRPr="00E15CBE">
        <w:t xml:space="preserve">ursuant to Chapter 120, F.S., SACE may offer testimony and provide evidence as to whether </w:t>
      </w:r>
      <w:r w:rsidR="00141ECD" w:rsidRPr="00E15CBE">
        <w:t xml:space="preserve">the </w:t>
      </w:r>
      <w:r w:rsidRPr="00E15CBE">
        <w:rPr>
          <w:rFonts w:eastAsiaTheme="minorHAnsi"/>
        </w:rPr>
        <w:t>rates</w:t>
      </w:r>
      <w:r w:rsidR="00141ECD" w:rsidRPr="00E15CBE">
        <w:rPr>
          <w:rFonts w:eastAsiaTheme="minorHAnsi"/>
        </w:rPr>
        <w:t>, rate-structure,</w:t>
      </w:r>
      <w:r w:rsidRPr="00E15CBE">
        <w:rPr>
          <w:rFonts w:eastAsiaTheme="minorHAnsi"/>
        </w:rPr>
        <w:t xml:space="preserve"> and charges </w:t>
      </w:r>
      <w:r w:rsidR="00141ECD" w:rsidRPr="00E15CBE">
        <w:rPr>
          <w:rFonts w:eastAsiaTheme="minorHAnsi"/>
        </w:rPr>
        <w:t xml:space="preserve">proposed by Gulf are </w:t>
      </w:r>
      <w:r w:rsidR="00265B8C" w:rsidRPr="00E15CBE">
        <w:rPr>
          <w:rFonts w:eastAsiaTheme="minorHAnsi"/>
        </w:rPr>
        <w:t xml:space="preserve">fair, </w:t>
      </w:r>
      <w:r w:rsidR="00141ECD" w:rsidRPr="00E15CBE">
        <w:rPr>
          <w:rFonts w:eastAsiaTheme="minorHAnsi"/>
        </w:rPr>
        <w:t>just and reasonable.</w:t>
      </w:r>
      <w:r w:rsidR="001D3B33" w:rsidRPr="00E15CBE">
        <w:rPr>
          <w:rFonts w:eastAsiaTheme="minorHAnsi"/>
        </w:rPr>
        <w:t xml:space="preserve"> </w:t>
      </w:r>
      <w:r w:rsidR="00141ECD" w:rsidRPr="00E15CBE">
        <w:t>Notwithstanding the granting of intervention, however, I remin</w:t>
      </w:r>
      <w:r w:rsidR="00BE3803" w:rsidRPr="00E15CBE">
        <w:t>d the parties that issues shall</w:t>
      </w:r>
      <w:r w:rsidR="00141ECD" w:rsidRPr="00E15CBE">
        <w:t xml:space="preserve"> be limited to those appropriate to the scope of </w:t>
      </w:r>
      <w:r w:rsidR="00BE3803" w:rsidRPr="00E15CBE">
        <w:t>an electric</w:t>
      </w:r>
      <w:r w:rsidR="00141ECD" w:rsidRPr="00E15CBE">
        <w:t xml:space="preserve"> rate </w:t>
      </w:r>
      <w:r w:rsidR="00BE3803" w:rsidRPr="00E15CBE">
        <w:t xml:space="preserve">case </w:t>
      </w:r>
      <w:r w:rsidR="00141ECD" w:rsidRPr="00E15CBE">
        <w:t xml:space="preserve">proceeding. While issue development is an ongoing process, all issues and testimony should be germane to this rate </w:t>
      </w:r>
      <w:r w:rsidR="00BE3803" w:rsidRPr="00E15CBE">
        <w:t xml:space="preserve">case </w:t>
      </w:r>
      <w:r w:rsidR="00141ECD" w:rsidRPr="00E15CBE">
        <w:t>proceeding.</w:t>
      </w:r>
      <w:r w:rsidR="00141ECD" w:rsidRPr="00E15CBE">
        <w:rPr>
          <w:rStyle w:val="FootnoteReference"/>
        </w:rPr>
        <w:footnoteReference w:id="3"/>
      </w:r>
      <w:r w:rsidR="00714A2B" w:rsidRPr="00E15CBE">
        <w:t xml:space="preserve"> </w:t>
      </w:r>
      <w:r w:rsidR="00141ECD" w:rsidRPr="00E15CBE">
        <w:t xml:space="preserve">Disagreement as to the inclusion, scope or wording of particular issues will ultimately be resolved at the Prehearing Conference.  </w:t>
      </w:r>
      <w:r w:rsidR="00F15601" w:rsidRPr="00E15CBE">
        <w:t xml:space="preserve"> </w:t>
      </w:r>
    </w:p>
    <w:p w:rsidR="00E733AC" w:rsidRDefault="00E733AC">
      <w:r>
        <w:br w:type="page"/>
      </w:r>
    </w:p>
    <w:p w:rsidR="00141ECD" w:rsidRPr="00BE3803" w:rsidRDefault="00F15601" w:rsidP="00714A2B">
      <w:pPr>
        <w:ind w:firstLine="720"/>
        <w:jc w:val="both"/>
        <w:rPr>
          <w:rFonts w:eastAsiaTheme="minorHAnsi"/>
        </w:rPr>
      </w:pPr>
      <w:r w:rsidRPr="00E15CBE">
        <w:lastRenderedPageBreak/>
        <w:t>P</w:t>
      </w:r>
      <w:r w:rsidR="00141ECD" w:rsidRPr="00E15CBE">
        <w:t>ursuant to Rule 25-22.039, F.A.C., SACE takes the case as it finds it.</w:t>
      </w:r>
      <w:r w:rsidRPr="00E15CBE">
        <w:t xml:space="preserve"> </w:t>
      </w:r>
    </w:p>
    <w:p w:rsidR="00E00BE1" w:rsidRDefault="00E00BE1" w:rsidP="00E00BE1"/>
    <w:p w:rsidR="00B43A8B" w:rsidRPr="00B43A8B" w:rsidRDefault="00B43A8B" w:rsidP="00E00BE1">
      <w:pPr>
        <w:ind w:firstLine="720"/>
      </w:pPr>
      <w:r w:rsidRPr="00B43A8B">
        <w:t>Based on the foregoing, it is</w:t>
      </w:r>
    </w:p>
    <w:p w:rsidR="00B43A8B" w:rsidRPr="00B43A8B" w:rsidRDefault="00B43A8B" w:rsidP="00BE3803">
      <w:pPr>
        <w:jc w:val="both"/>
      </w:pPr>
    </w:p>
    <w:p w:rsidR="00B43A8B" w:rsidRDefault="00B43A8B" w:rsidP="00BE3803">
      <w:pPr>
        <w:jc w:val="both"/>
      </w:pPr>
      <w:r w:rsidRPr="00B43A8B">
        <w:tab/>
        <w:t xml:space="preserve">ORDERED by Commissioner </w:t>
      </w:r>
      <w:r>
        <w:t>Jimmy Patronis</w:t>
      </w:r>
      <w:r w:rsidRPr="00B43A8B">
        <w:t xml:space="preserve">, as Prehearing Officer, that the Petition to Intervene filed by </w:t>
      </w:r>
      <w:r w:rsidR="00B461B4">
        <w:t>Southern Alliance for Clean Energy</w:t>
      </w:r>
      <w:r w:rsidRPr="00B43A8B">
        <w:t xml:space="preserve"> is hereby granted as set forth in the body of this Order.  It is further</w:t>
      </w:r>
    </w:p>
    <w:p w:rsidR="00BE3803" w:rsidRDefault="00BE3803" w:rsidP="00BE3803">
      <w:pPr>
        <w:jc w:val="both"/>
      </w:pPr>
    </w:p>
    <w:p w:rsidR="001C3A45" w:rsidRDefault="00BE3803" w:rsidP="00BE3803">
      <w:pPr>
        <w:jc w:val="both"/>
      </w:pPr>
      <w:r>
        <w:tab/>
        <w:t xml:space="preserve">ORDERED that </w:t>
      </w:r>
      <w:r w:rsidR="001C3A45">
        <w:t>Southern Alliance for Clean Energy’s Motion for Leave to File Reply to Response of Gulf Power Company in Opposition to Petition to Intervene is denied. It is further</w:t>
      </w:r>
    </w:p>
    <w:p w:rsidR="001C3A45" w:rsidRDefault="001C3A45" w:rsidP="00BE3803">
      <w:pPr>
        <w:jc w:val="both"/>
      </w:pPr>
    </w:p>
    <w:p w:rsidR="00BE3803" w:rsidRPr="00B43A8B" w:rsidRDefault="001C3A45" w:rsidP="001C3A45">
      <w:pPr>
        <w:ind w:firstLine="720"/>
        <w:jc w:val="both"/>
      </w:pPr>
      <w:r>
        <w:t xml:space="preserve">ORDERED that the </w:t>
      </w:r>
      <w:r w:rsidR="00BE3803" w:rsidRPr="00E15CBE">
        <w:t>issues and testimony shall be limited to those appropriate in scope and germane to an electric rate case proceeding. It</w:t>
      </w:r>
      <w:r w:rsidR="00BE3803">
        <w:t xml:space="preserve"> is further</w:t>
      </w:r>
    </w:p>
    <w:p w:rsidR="00B43A8B" w:rsidRPr="00B43A8B" w:rsidRDefault="00B43A8B" w:rsidP="00BE3803">
      <w:pPr>
        <w:jc w:val="both"/>
      </w:pPr>
    </w:p>
    <w:p w:rsidR="00B43A8B" w:rsidRPr="00B43A8B" w:rsidRDefault="00B43A8B" w:rsidP="00BE3803">
      <w:pPr>
        <w:ind w:firstLine="720"/>
        <w:jc w:val="both"/>
      </w:pPr>
      <w:r w:rsidRPr="00B43A8B">
        <w:t>ORDERED that all parties to this proceeding shall furnish copies of all testimony, exhibits, pleadings and other documents which may hereinafter be filed in this proceeding to:</w:t>
      </w:r>
    </w:p>
    <w:p w:rsidR="00171263" w:rsidRDefault="00B43A8B" w:rsidP="00BE3803">
      <w:pPr>
        <w:jc w:val="both"/>
      </w:pPr>
      <w:r>
        <w:t xml:space="preserve"> </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560"/>
      </w:tblGrid>
      <w:tr w:rsidR="00BE3803" w:rsidTr="002549EC">
        <w:tc>
          <w:tcPr>
            <w:tcW w:w="4458" w:type="dxa"/>
          </w:tcPr>
          <w:p w:rsidR="002549EC" w:rsidRDefault="002549EC" w:rsidP="00E00BE1">
            <w:pPr>
              <w:ind w:left="219"/>
              <w:jc w:val="both"/>
            </w:pPr>
            <w:r>
              <w:t>Southern Alliance for Clean Energy</w:t>
            </w:r>
          </w:p>
          <w:p w:rsidR="002549EC" w:rsidRDefault="002549EC" w:rsidP="00E00BE1">
            <w:pPr>
              <w:ind w:left="219"/>
              <w:jc w:val="both"/>
            </w:pPr>
            <w:r>
              <w:t>Bradley Marshall, Esq.</w:t>
            </w:r>
          </w:p>
          <w:p w:rsidR="002549EC" w:rsidRDefault="002549EC" w:rsidP="00E00BE1">
            <w:pPr>
              <w:ind w:left="219"/>
              <w:jc w:val="both"/>
            </w:pPr>
            <w:r>
              <w:t>Alisa Coe, Esq.</w:t>
            </w:r>
          </w:p>
          <w:p w:rsidR="002549EC" w:rsidRDefault="002549EC" w:rsidP="00E00BE1">
            <w:pPr>
              <w:ind w:left="219"/>
              <w:jc w:val="both"/>
            </w:pPr>
            <w:r>
              <w:t>Earthjustice</w:t>
            </w:r>
          </w:p>
          <w:p w:rsidR="002549EC" w:rsidRDefault="002549EC" w:rsidP="00E00BE1">
            <w:pPr>
              <w:ind w:left="219"/>
              <w:jc w:val="both"/>
            </w:pPr>
            <w:r>
              <w:t xml:space="preserve">111 S. Martin Luther King Jr. Blvd. </w:t>
            </w:r>
          </w:p>
          <w:p w:rsidR="002549EC" w:rsidRDefault="002549EC" w:rsidP="00E00BE1">
            <w:pPr>
              <w:ind w:left="219"/>
              <w:jc w:val="both"/>
            </w:pPr>
            <w:r>
              <w:t>Tallahassee, Florida 32301</w:t>
            </w:r>
          </w:p>
          <w:p w:rsidR="00BE3803" w:rsidRDefault="00BE3803" w:rsidP="00E00BE1">
            <w:pPr>
              <w:ind w:left="219"/>
              <w:jc w:val="both"/>
              <w:rPr>
                <w:sz w:val="12"/>
                <w:szCs w:val="12"/>
              </w:rPr>
            </w:pPr>
          </w:p>
          <w:p w:rsidR="00905D89" w:rsidRPr="00F93D35" w:rsidRDefault="00905D89" w:rsidP="00E00BE1">
            <w:pPr>
              <w:ind w:left="219"/>
              <w:jc w:val="both"/>
              <w:rPr>
                <w:sz w:val="12"/>
                <w:szCs w:val="12"/>
              </w:rPr>
            </w:pPr>
          </w:p>
        </w:tc>
        <w:tc>
          <w:tcPr>
            <w:tcW w:w="4560" w:type="dxa"/>
          </w:tcPr>
          <w:p w:rsidR="00E733AC" w:rsidRDefault="00E733AC" w:rsidP="00E733AC">
            <w:pPr>
              <w:ind w:left="219"/>
              <w:jc w:val="both"/>
            </w:pPr>
            <w:r>
              <w:t xml:space="preserve">Telephone: </w:t>
            </w:r>
            <w:r>
              <w:tab/>
              <w:t>(850) 681-003</w:t>
            </w:r>
          </w:p>
          <w:p w:rsidR="00E733AC" w:rsidRDefault="00E733AC" w:rsidP="00E733AC">
            <w:pPr>
              <w:ind w:left="219"/>
              <w:jc w:val="both"/>
            </w:pPr>
            <w:r>
              <w:t>Fax:</w:t>
            </w:r>
            <w:r>
              <w:tab/>
              <w:t xml:space="preserve">  (850) 681-0020</w:t>
            </w:r>
          </w:p>
          <w:p w:rsidR="00E733AC" w:rsidRDefault="00E733AC" w:rsidP="00E733AC">
            <w:pPr>
              <w:ind w:left="114"/>
              <w:jc w:val="both"/>
            </w:pPr>
            <w:r>
              <w:t xml:space="preserve">  Email:  </w:t>
            </w:r>
            <w:hyperlink r:id="rId8" w:history="1">
              <w:r w:rsidRPr="002454D4">
                <w:rPr>
                  <w:rStyle w:val="Hyperlink"/>
                </w:rPr>
                <w:t>bmarshall@earthjustice.org</w:t>
              </w:r>
            </w:hyperlink>
          </w:p>
          <w:p w:rsidR="00E733AC" w:rsidRDefault="00E733AC" w:rsidP="00E733AC">
            <w:pPr>
              <w:ind w:left="219"/>
              <w:jc w:val="both"/>
            </w:pPr>
            <w:r>
              <w:t xml:space="preserve">   </w:t>
            </w:r>
            <w:r>
              <w:tab/>
              <w:t xml:space="preserve">     </w:t>
            </w:r>
            <w:hyperlink r:id="rId9" w:history="1">
              <w:r w:rsidRPr="002454D4">
                <w:rPr>
                  <w:rStyle w:val="Hyperlink"/>
                </w:rPr>
                <w:t>acoe@earthjustice.org</w:t>
              </w:r>
            </w:hyperlink>
          </w:p>
          <w:p w:rsidR="00E00BE1" w:rsidRDefault="00E00BE1" w:rsidP="00E00BE1">
            <w:pPr>
              <w:ind w:left="219"/>
              <w:jc w:val="both"/>
            </w:pPr>
          </w:p>
          <w:p w:rsidR="00BE3803" w:rsidRDefault="00BE3803" w:rsidP="002549EC">
            <w:pPr>
              <w:ind w:left="114"/>
              <w:jc w:val="both"/>
              <w:rPr>
                <w:rStyle w:val="Hyperlink"/>
              </w:rPr>
            </w:pPr>
          </w:p>
          <w:p w:rsidR="00BE3803" w:rsidRDefault="00BE3803" w:rsidP="00BE3803">
            <w:pPr>
              <w:jc w:val="both"/>
            </w:pPr>
          </w:p>
        </w:tc>
      </w:tr>
    </w:tbl>
    <w:p w:rsidR="00BE3803" w:rsidRDefault="00BE3803" w:rsidP="00BE3803">
      <w:pPr>
        <w:ind w:left="681"/>
        <w:jc w:val="both"/>
        <w:rPr>
          <w:rStyle w:val="Hyperlink"/>
        </w:rPr>
      </w:pPr>
      <w:r>
        <w:tab/>
      </w:r>
    </w:p>
    <w:p w:rsidR="001D3B33" w:rsidRDefault="00171263" w:rsidP="00BE3803">
      <w:pPr>
        <w:keepNext/>
        <w:keepLines/>
        <w:jc w:val="both"/>
      </w:pPr>
      <w:r>
        <w:t xml:space="preserve">By ORDER of Commissioner Jimmy Patronis, as Prehearing Officer, this </w:t>
      </w:r>
      <w:bookmarkStart w:id="7" w:name="replaceDate"/>
      <w:bookmarkEnd w:id="7"/>
      <w:r w:rsidR="00993FC9">
        <w:rPr>
          <w:u w:val="single"/>
        </w:rPr>
        <w:t>8th</w:t>
      </w:r>
      <w:r w:rsidR="00993FC9">
        <w:t xml:space="preserve"> day of </w:t>
      </w:r>
      <w:r w:rsidR="00993FC9">
        <w:rPr>
          <w:u w:val="single"/>
        </w:rPr>
        <w:t>December</w:t>
      </w:r>
      <w:r w:rsidR="00993FC9">
        <w:t xml:space="preserve">, </w:t>
      </w:r>
      <w:r w:rsidR="00993FC9">
        <w:rPr>
          <w:u w:val="single"/>
        </w:rPr>
        <w:t>2016</w:t>
      </w:r>
      <w:r w:rsidR="00993FC9">
        <w:t>.</w:t>
      </w:r>
    </w:p>
    <w:p w:rsidR="00993FC9" w:rsidRPr="00993FC9" w:rsidRDefault="00993FC9" w:rsidP="00BE380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71263" w:rsidTr="00171263">
        <w:tc>
          <w:tcPr>
            <w:tcW w:w="720" w:type="dxa"/>
            <w:shd w:val="clear" w:color="auto" w:fill="auto"/>
          </w:tcPr>
          <w:p w:rsidR="00171263" w:rsidRDefault="00171263" w:rsidP="00BE3803">
            <w:pPr>
              <w:keepNext/>
              <w:keepLines/>
              <w:jc w:val="both"/>
            </w:pPr>
            <w:bookmarkStart w:id="8" w:name="bkmrkSignature" w:colFirst="0" w:colLast="0"/>
          </w:p>
        </w:tc>
        <w:tc>
          <w:tcPr>
            <w:tcW w:w="4320" w:type="dxa"/>
            <w:tcBorders>
              <w:bottom w:val="single" w:sz="4" w:space="0" w:color="auto"/>
            </w:tcBorders>
            <w:shd w:val="clear" w:color="auto" w:fill="auto"/>
          </w:tcPr>
          <w:p w:rsidR="00171263" w:rsidRDefault="00993FC9" w:rsidP="00BE3803">
            <w:pPr>
              <w:keepNext/>
              <w:keepLines/>
              <w:jc w:val="both"/>
            </w:pPr>
            <w:r>
              <w:t>/s/ Jimmy Patronis</w:t>
            </w:r>
            <w:bookmarkStart w:id="9" w:name="_GoBack"/>
            <w:bookmarkEnd w:id="9"/>
          </w:p>
        </w:tc>
      </w:tr>
      <w:bookmarkEnd w:id="8"/>
      <w:tr w:rsidR="00171263" w:rsidTr="00171263">
        <w:tc>
          <w:tcPr>
            <w:tcW w:w="720" w:type="dxa"/>
            <w:shd w:val="clear" w:color="auto" w:fill="auto"/>
          </w:tcPr>
          <w:p w:rsidR="00171263" w:rsidRDefault="00171263" w:rsidP="00BE3803">
            <w:pPr>
              <w:keepNext/>
              <w:keepLines/>
              <w:jc w:val="both"/>
            </w:pPr>
          </w:p>
        </w:tc>
        <w:tc>
          <w:tcPr>
            <w:tcW w:w="4320" w:type="dxa"/>
            <w:tcBorders>
              <w:top w:val="single" w:sz="4" w:space="0" w:color="auto"/>
            </w:tcBorders>
            <w:shd w:val="clear" w:color="auto" w:fill="auto"/>
          </w:tcPr>
          <w:p w:rsidR="00171263" w:rsidRDefault="00171263" w:rsidP="00BE3803">
            <w:pPr>
              <w:keepNext/>
              <w:keepLines/>
              <w:jc w:val="both"/>
            </w:pPr>
            <w:r>
              <w:t>JIMMY PATRONIS</w:t>
            </w:r>
          </w:p>
          <w:p w:rsidR="00171263" w:rsidRDefault="00171263" w:rsidP="00BE3803">
            <w:pPr>
              <w:keepNext/>
              <w:keepLines/>
              <w:jc w:val="both"/>
            </w:pPr>
            <w:r>
              <w:t>Commissioner and Prehearing Officer</w:t>
            </w:r>
          </w:p>
        </w:tc>
      </w:tr>
    </w:tbl>
    <w:p w:rsidR="00171263" w:rsidRDefault="00171263" w:rsidP="00BE3803">
      <w:pPr>
        <w:pStyle w:val="OrderSigInfo"/>
        <w:keepNext/>
        <w:keepLines/>
      </w:pPr>
      <w:r>
        <w:t>Florida Public Service Commission</w:t>
      </w:r>
    </w:p>
    <w:p w:rsidR="00171263" w:rsidRDefault="00171263" w:rsidP="00BE3803">
      <w:pPr>
        <w:pStyle w:val="OrderSigInfo"/>
        <w:keepNext/>
        <w:keepLines/>
      </w:pPr>
      <w:r>
        <w:t>2540 Shumard Oak Boulevard</w:t>
      </w:r>
    </w:p>
    <w:p w:rsidR="00171263" w:rsidRDefault="00171263" w:rsidP="00BE3803">
      <w:pPr>
        <w:pStyle w:val="OrderSigInfo"/>
        <w:keepNext/>
        <w:keepLines/>
      </w:pPr>
      <w:r>
        <w:t>Tallahassee, Florida  32399</w:t>
      </w:r>
    </w:p>
    <w:p w:rsidR="00171263" w:rsidRDefault="00171263" w:rsidP="00BE3803">
      <w:pPr>
        <w:pStyle w:val="OrderSigInfo"/>
        <w:keepNext/>
        <w:keepLines/>
      </w:pPr>
      <w:r>
        <w:t>(850) 413</w:t>
      </w:r>
      <w:r>
        <w:noBreakHyphen/>
        <w:t>6770</w:t>
      </w:r>
    </w:p>
    <w:p w:rsidR="00171263" w:rsidRDefault="00171263" w:rsidP="00BE3803">
      <w:pPr>
        <w:pStyle w:val="OrderSigInfo"/>
        <w:keepNext/>
        <w:keepLines/>
      </w:pPr>
      <w:r>
        <w:t>www.floridapsc.com</w:t>
      </w:r>
    </w:p>
    <w:p w:rsidR="00171263" w:rsidRDefault="00171263" w:rsidP="00BE3803">
      <w:pPr>
        <w:pStyle w:val="OrderSigInfo"/>
        <w:keepNext/>
        <w:keepLines/>
      </w:pPr>
    </w:p>
    <w:p w:rsidR="00171263" w:rsidRDefault="00171263" w:rsidP="002549EC">
      <w:pPr>
        <w:pStyle w:val="OrderSigInfo"/>
        <w:keepNext/>
        <w:keepLines/>
      </w:pPr>
      <w:r>
        <w:t>Copies furnished:  A copy of this document is provided to the parties of record at the time of issuance and, if applicable, interested persons.</w:t>
      </w:r>
    </w:p>
    <w:p w:rsidR="00141ECD" w:rsidRDefault="0052528D" w:rsidP="00714A2B">
      <w:pPr>
        <w:keepNext/>
        <w:keepLines/>
        <w:jc w:val="both"/>
      </w:pPr>
      <w:r>
        <w:t>TLT</w:t>
      </w:r>
      <w:r w:rsidR="00E00BE1">
        <w:t>-KFC</w:t>
      </w:r>
      <w:r>
        <w:t>/SC</w:t>
      </w:r>
    </w:p>
    <w:p w:rsidR="00905D89" w:rsidRDefault="00905D89">
      <w:r>
        <w:br w:type="page"/>
      </w:r>
    </w:p>
    <w:p w:rsidR="00905D89" w:rsidRDefault="00905D89">
      <w:pPr>
        <w:rPr>
          <w:u w:val="single"/>
        </w:rPr>
      </w:pPr>
    </w:p>
    <w:p w:rsidR="00171263" w:rsidRDefault="00171263" w:rsidP="00141ECD">
      <w:pPr>
        <w:pStyle w:val="CenterUnderline"/>
      </w:pPr>
      <w:r>
        <w:t>NOTICE OF FURTHER PROCEEDINGS OR JUDICIAL REVIEW</w:t>
      </w:r>
    </w:p>
    <w:p w:rsidR="00171263" w:rsidRDefault="00171263" w:rsidP="00CC7935">
      <w:pPr>
        <w:pStyle w:val="CenterUnderline"/>
        <w:jc w:val="both"/>
      </w:pPr>
    </w:p>
    <w:p w:rsidR="00171263" w:rsidRDefault="00171263" w:rsidP="00CC79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1263" w:rsidRDefault="00171263" w:rsidP="00CC7935">
      <w:pPr>
        <w:pStyle w:val="OrderBody"/>
      </w:pPr>
    </w:p>
    <w:p w:rsidR="00171263" w:rsidRDefault="00171263" w:rsidP="00CC7935">
      <w:pPr>
        <w:pStyle w:val="OrderBody"/>
      </w:pPr>
      <w:r>
        <w:tab/>
        <w:t>Mediation may be available on a case-by-case basis.  If mediation is conducted, it does not affect a substantially interested person's right to a hearing.</w:t>
      </w:r>
    </w:p>
    <w:p w:rsidR="00171263" w:rsidRDefault="00171263" w:rsidP="00CC7935">
      <w:pPr>
        <w:pStyle w:val="OrderBody"/>
      </w:pPr>
    </w:p>
    <w:p w:rsidR="00171263" w:rsidRDefault="00171263" w:rsidP="00CC79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71263" w:rsidSect="00E733AC">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263" w:rsidRDefault="00171263">
      <w:r>
        <w:separator/>
      </w:r>
    </w:p>
  </w:endnote>
  <w:endnote w:type="continuationSeparator" w:id="0">
    <w:p w:rsidR="00171263" w:rsidRDefault="0017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263" w:rsidRDefault="00171263">
      <w:r>
        <w:separator/>
      </w:r>
    </w:p>
  </w:footnote>
  <w:footnote w:type="continuationSeparator" w:id="0">
    <w:p w:rsidR="00171263" w:rsidRDefault="00171263">
      <w:r>
        <w:continuationSeparator/>
      </w:r>
    </w:p>
  </w:footnote>
  <w:footnote w:id="1">
    <w:p w:rsidR="004A0E0F" w:rsidRPr="00E15CBE" w:rsidRDefault="004A0E0F" w:rsidP="004A0E0F">
      <w:pPr>
        <w:pStyle w:val="Default"/>
        <w:tabs>
          <w:tab w:val="left" w:pos="270"/>
        </w:tabs>
        <w:jc w:val="both"/>
        <w:rPr>
          <w:sz w:val="20"/>
          <w:szCs w:val="20"/>
        </w:rPr>
      </w:pPr>
      <w:r w:rsidRPr="000040AB">
        <w:rPr>
          <w:rStyle w:val="FootnoteReference"/>
          <w:sz w:val="20"/>
          <w:szCs w:val="20"/>
        </w:rPr>
        <w:footnoteRef/>
      </w:r>
      <w:r w:rsidRPr="000040AB">
        <w:rPr>
          <w:sz w:val="20"/>
          <w:szCs w:val="20"/>
        </w:rPr>
        <w:t xml:space="preserve"> </w:t>
      </w:r>
      <w:r w:rsidRPr="000040AB">
        <w:rPr>
          <w:sz w:val="20"/>
          <w:szCs w:val="20"/>
        </w:rPr>
        <w:tab/>
      </w:r>
      <w:r w:rsidRPr="00E15CBE">
        <w:rPr>
          <w:sz w:val="20"/>
          <w:szCs w:val="20"/>
        </w:rPr>
        <w:t xml:space="preserve">Order No. PSC-14-0135-PCO-EI, issued March 18, 2014, in Docket No. 130202-EI, </w:t>
      </w:r>
      <w:r w:rsidRPr="00E15CBE">
        <w:rPr>
          <w:sz w:val="20"/>
          <w:szCs w:val="20"/>
          <w:u w:val="single"/>
        </w:rPr>
        <w:t>In Re: Commission review of numeric conservation goals (Gulf Power Company)</w:t>
      </w:r>
      <w:r w:rsidRPr="00E15CBE">
        <w:rPr>
          <w:sz w:val="20"/>
          <w:szCs w:val="20"/>
        </w:rPr>
        <w:t xml:space="preserve">; Order No. PSC-09-0027-PCO-EG, issued January 9, 2009, in Docket No. 080410-EI, </w:t>
      </w:r>
      <w:r w:rsidRPr="00E15CBE">
        <w:rPr>
          <w:sz w:val="20"/>
          <w:szCs w:val="20"/>
          <w:u w:val="single"/>
        </w:rPr>
        <w:t>In Re: Commission review of numeric conservation goals (Gulf Power Company)</w:t>
      </w:r>
      <w:r w:rsidRPr="00E15CBE">
        <w:rPr>
          <w:sz w:val="20"/>
          <w:szCs w:val="20"/>
        </w:rPr>
        <w:t>.</w:t>
      </w:r>
    </w:p>
  </w:footnote>
  <w:footnote w:id="2">
    <w:p w:rsidR="00571538" w:rsidRPr="000040AB" w:rsidRDefault="00571538" w:rsidP="00571538">
      <w:pPr>
        <w:pStyle w:val="OrderBody"/>
        <w:tabs>
          <w:tab w:val="left" w:pos="270"/>
          <w:tab w:val="center" w:pos="4320"/>
          <w:tab w:val="right" w:pos="8640"/>
        </w:tabs>
        <w:rPr>
          <w:sz w:val="20"/>
          <w:szCs w:val="20"/>
        </w:rPr>
      </w:pPr>
      <w:r>
        <w:rPr>
          <w:rStyle w:val="FootnoteReference"/>
        </w:rPr>
        <w:footnoteRef/>
      </w:r>
      <w:r>
        <w:t xml:space="preserve"> </w:t>
      </w:r>
      <w:r>
        <w:tab/>
      </w:r>
      <w:r>
        <w:tab/>
      </w:r>
      <w:r w:rsidRPr="000040AB">
        <w:rPr>
          <w:sz w:val="20"/>
          <w:szCs w:val="20"/>
        </w:rPr>
        <w:t xml:space="preserve">Order No. </w:t>
      </w:r>
      <w:r>
        <w:rPr>
          <w:sz w:val="20"/>
          <w:szCs w:val="20"/>
        </w:rPr>
        <w:t>PSC</w:t>
      </w:r>
      <w:r w:rsidRPr="000040AB">
        <w:rPr>
          <w:sz w:val="20"/>
          <w:szCs w:val="20"/>
        </w:rPr>
        <w:t>-16-0299-PCO-EI, issued July 27, 2016, in Docket No. 1600021-EI,</w:t>
      </w:r>
      <w:r w:rsidRPr="00571538">
        <w:rPr>
          <w:sz w:val="20"/>
          <w:szCs w:val="20"/>
        </w:rPr>
        <w:t xml:space="preserve"> </w:t>
      </w:r>
      <w:r w:rsidRPr="000040AB">
        <w:rPr>
          <w:sz w:val="20"/>
          <w:szCs w:val="20"/>
          <w:u w:val="single"/>
        </w:rPr>
        <w:t>In Re: Petition for rate increase by Florida Power &amp; Light Company</w:t>
      </w:r>
      <w:r w:rsidRPr="000040AB">
        <w:rPr>
          <w:sz w:val="20"/>
          <w:szCs w:val="20"/>
        </w:rPr>
        <w:t>.</w:t>
      </w:r>
    </w:p>
  </w:footnote>
  <w:footnote w:id="3">
    <w:p w:rsidR="00141ECD" w:rsidRPr="002549EC" w:rsidRDefault="00141ECD" w:rsidP="000040AB">
      <w:pPr>
        <w:tabs>
          <w:tab w:val="left" w:pos="270"/>
        </w:tabs>
        <w:jc w:val="both"/>
        <w:rPr>
          <w:sz w:val="20"/>
          <w:szCs w:val="20"/>
        </w:rPr>
      </w:pPr>
      <w:r w:rsidRPr="000040AB">
        <w:rPr>
          <w:rStyle w:val="FootnoteReference"/>
          <w:sz w:val="20"/>
          <w:szCs w:val="20"/>
        </w:rPr>
        <w:footnoteRef/>
      </w:r>
      <w:r w:rsidRPr="000040AB">
        <w:rPr>
          <w:sz w:val="20"/>
          <w:szCs w:val="20"/>
        </w:rPr>
        <w:t xml:space="preserve"> </w:t>
      </w:r>
      <w:r w:rsidRPr="000040AB">
        <w:rPr>
          <w:sz w:val="20"/>
          <w:szCs w:val="20"/>
        </w:rPr>
        <w:tab/>
        <w:t>Order No</w:t>
      </w:r>
      <w:r w:rsidR="000040AB" w:rsidRPr="000040AB">
        <w:rPr>
          <w:sz w:val="20"/>
          <w:szCs w:val="20"/>
        </w:rPr>
        <w:t>s</w:t>
      </w:r>
      <w:r w:rsidRPr="000040AB">
        <w:rPr>
          <w:sz w:val="20"/>
          <w:szCs w:val="20"/>
        </w:rPr>
        <w:t>. PSC-15-0540-PCO-EI, i</w:t>
      </w:r>
      <w:r w:rsidRPr="00BE12AA">
        <w:rPr>
          <w:sz w:val="20"/>
          <w:szCs w:val="20"/>
        </w:rPr>
        <w:t xml:space="preserve">ssued November 20, 2016, </w:t>
      </w:r>
      <w:r>
        <w:rPr>
          <w:sz w:val="20"/>
          <w:szCs w:val="20"/>
        </w:rPr>
        <w:t xml:space="preserve">and </w:t>
      </w:r>
      <w:r w:rsidRPr="00BE12AA">
        <w:rPr>
          <w:sz w:val="20"/>
          <w:szCs w:val="20"/>
        </w:rPr>
        <w:t>PSC-15-0546-PCO-EI, issued November 24, 2016</w:t>
      </w:r>
      <w:r>
        <w:rPr>
          <w:sz w:val="20"/>
          <w:szCs w:val="20"/>
        </w:rPr>
        <w:t xml:space="preserve">, </w:t>
      </w:r>
      <w:r w:rsidRPr="00BE12AA">
        <w:rPr>
          <w:sz w:val="20"/>
          <w:szCs w:val="20"/>
        </w:rPr>
        <w:t xml:space="preserve">in Docket No. 150196-EI, </w:t>
      </w:r>
      <w:r w:rsidRPr="00BE12AA">
        <w:rPr>
          <w:sz w:val="20"/>
          <w:szCs w:val="20"/>
          <w:u w:val="single"/>
        </w:rPr>
        <w:t xml:space="preserve">In Re: Petition for determination of need for Okeechobee Clean Energy Center Unit 1, </w:t>
      </w:r>
      <w:r w:rsidRPr="000040AB">
        <w:rPr>
          <w:sz w:val="20"/>
          <w:szCs w:val="20"/>
          <w:u w:val="single"/>
        </w:rPr>
        <w:t>by Florida Power &amp; Light Company</w:t>
      </w:r>
      <w:r w:rsidR="009A6082">
        <w:rPr>
          <w:sz w:val="20"/>
          <w:szCs w:val="20"/>
        </w:rPr>
        <w:t xml:space="preserve">; and </w:t>
      </w:r>
      <w:r w:rsidR="009A6082" w:rsidRPr="000040AB">
        <w:rPr>
          <w:sz w:val="20"/>
          <w:szCs w:val="20"/>
        </w:rPr>
        <w:t xml:space="preserve">Order No. PCS-14-0355-PCO-EI, issued July 11, 2014, </w:t>
      </w:r>
      <w:r w:rsidR="009A6082" w:rsidRPr="000040AB">
        <w:rPr>
          <w:sz w:val="20"/>
          <w:szCs w:val="20"/>
          <w:u w:val="single"/>
        </w:rPr>
        <w:t>In Re: Environmental cost recovery clause</w:t>
      </w:r>
      <w:r w:rsidR="009A6082" w:rsidRPr="009A6082">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0 ">
      <w:r w:rsidR="00993FC9">
        <w:t>PSC-16-0550-PCO-EI</w:t>
      </w:r>
    </w:fldSimple>
  </w:p>
  <w:p w:rsidR="00FA6EFD" w:rsidRDefault="00171263">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3FC9">
      <w:rPr>
        <w:rStyle w:val="PageNumber"/>
        <w:noProof/>
      </w:rPr>
      <w:t>6</w:t>
    </w:r>
    <w:r>
      <w:rPr>
        <w:rStyle w:val="PageNumber"/>
      </w:rPr>
      <w:fldChar w:fldCharType="end"/>
    </w:r>
  </w:p>
  <w:p w:rsidR="00FD035B" w:rsidRDefault="00FD035B">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171263"/>
    <w:rsid w:val="000022B8"/>
    <w:rsid w:val="000040AB"/>
    <w:rsid w:val="00053AB9"/>
    <w:rsid w:val="00056229"/>
    <w:rsid w:val="0006100D"/>
    <w:rsid w:val="00065FC2"/>
    <w:rsid w:val="00090AFC"/>
    <w:rsid w:val="000B63C2"/>
    <w:rsid w:val="000D06E8"/>
    <w:rsid w:val="000E344D"/>
    <w:rsid w:val="000F3B2C"/>
    <w:rsid w:val="000F4396"/>
    <w:rsid w:val="000F7BE3"/>
    <w:rsid w:val="00116AD3"/>
    <w:rsid w:val="00126593"/>
    <w:rsid w:val="00141ECD"/>
    <w:rsid w:val="00142A96"/>
    <w:rsid w:val="00171263"/>
    <w:rsid w:val="00182122"/>
    <w:rsid w:val="00187E32"/>
    <w:rsid w:val="00194E81"/>
    <w:rsid w:val="001A33C9"/>
    <w:rsid w:val="001B4C4E"/>
    <w:rsid w:val="001C3A45"/>
    <w:rsid w:val="001D008A"/>
    <w:rsid w:val="001D3B33"/>
    <w:rsid w:val="002002ED"/>
    <w:rsid w:val="0022721A"/>
    <w:rsid w:val="00230BB9"/>
    <w:rsid w:val="00233A35"/>
    <w:rsid w:val="00241CEF"/>
    <w:rsid w:val="0024628A"/>
    <w:rsid w:val="002522CE"/>
    <w:rsid w:val="00252B30"/>
    <w:rsid w:val="002549EC"/>
    <w:rsid w:val="00265B8C"/>
    <w:rsid w:val="002A11AC"/>
    <w:rsid w:val="002A6F30"/>
    <w:rsid w:val="002D7D15"/>
    <w:rsid w:val="002E27EB"/>
    <w:rsid w:val="00303FDE"/>
    <w:rsid w:val="00311EB3"/>
    <w:rsid w:val="003140E8"/>
    <w:rsid w:val="003231C7"/>
    <w:rsid w:val="00331ED0"/>
    <w:rsid w:val="0035495B"/>
    <w:rsid w:val="00370AF3"/>
    <w:rsid w:val="003744F5"/>
    <w:rsid w:val="00376D07"/>
    <w:rsid w:val="00390DD8"/>
    <w:rsid w:val="00394DC6"/>
    <w:rsid w:val="00397C3E"/>
    <w:rsid w:val="003C0EBB"/>
    <w:rsid w:val="003D4CCA"/>
    <w:rsid w:val="003D5513"/>
    <w:rsid w:val="003D6416"/>
    <w:rsid w:val="003E1D48"/>
    <w:rsid w:val="0042527B"/>
    <w:rsid w:val="00457DC7"/>
    <w:rsid w:val="00472BCC"/>
    <w:rsid w:val="004A0E0F"/>
    <w:rsid w:val="004A25CD"/>
    <w:rsid w:val="004A26CC"/>
    <w:rsid w:val="004B2108"/>
    <w:rsid w:val="004B3A2B"/>
    <w:rsid w:val="004D2D1B"/>
    <w:rsid w:val="004E6DD9"/>
    <w:rsid w:val="004F2DDE"/>
    <w:rsid w:val="0050097F"/>
    <w:rsid w:val="00514B1F"/>
    <w:rsid w:val="00514DED"/>
    <w:rsid w:val="0052528D"/>
    <w:rsid w:val="00543712"/>
    <w:rsid w:val="00556A10"/>
    <w:rsid w:val="00571538"/>
    <w:rsid w:val="005963C2"/>
    <w:rsid w:val="005B45F7"/>
    <w:rsid w:val="005B63EA"/>
    <w:rsid w:val="00657789"/>
    <w:rsid w:val="00660774"/>
    <w:rsid w:val="00665CC7"/>
    <w:rsid w:val="00670EB5"/>
    <w:rsid w:val="00697606"/>
    <w:rsid w:val="006A0BF3"/>
    <w:rsid w:val="006A5D44"/>
    <w:rsid w:val="006B0DA6"/>
    <w:rsid w:val="006B5172"/>
    <w:rsid w:val="006C547E"/>
    <w:rsid w:val="006F5AE6"/>
    <w:rsid w:val="00704C5D"/>
    <w:rsid w:val="00714A2B"/>
    <w:rsid w:val="00715275"/>
    <w:rsid w:val="007254B2"/>
    <w:rsid w:val="00733B6B"/>
    <w:rsid w:val="00736C6B"/>
    <w:rsid w:val="00742660"/>
    <w:rsid w:val="0075189D"/>
    <w:rsid w:val="00754B81"/>
    <w:rsid w:val="0076170F"/>
    <w:rsid w:val="0076669C"/>
    <w:rsid w:val="007865E9"/>
    <w:rsid w:val="00792383"/>
    <w:rsid w:val="007A060F"/>
    <w:rsid w:val="007A355F"/>
    <w:rsid w:val="007D3D20"/>
    <w:rsid w:val="007E3AFD"/>
    <w:rsid w:val="007E5E8D"/>
    <w:rsid w:val="007F2429"/>
    <w:rsid w:val="00803189"/>
    <w:rsid w:val="00804E7A"/>
    <w:rsid w:val="00805FBB"/>
    <w:rsid w:val="008169A4"/>
    <w:rsid w:val="008278FE"/>
    <w:rsid w:val="00832598"/>
    <w:rsid w:val="0083397E"/>
    <w:rsid w:val="0083534B"/>
    <w:rsid w:val="00854B09"/>
    <w:rsid w:val="00863A66"/>
    <w:rsid w:val="00874429"/>
    <w:rsid w:val="00883D9A"/>
    <w:rsid w:val="008919EF"/>
    <w:rsid w:val="008C6A5B"/>
    <w:rsid w:val="008D1297"/>
    <w:rsid w:val="008E26A5"/>
    <w:rsid w:val="008E42D2"/>
    <w:rsid w:val="009040EE"/>
    <w:rsid w:val="009057FD"/>
    <w:rsid w:val="00905D89"/>
    <w:rsid w:val="00922A7F"/>
    <w:rsid w:val="00923A5E"/>
    <w:rsid w:val="009924CF"/>
    <w:rsid w:val="00993D10"/>
    <w:rsid w:val="00993FC9"/>
    <w:rsid w:val="00994100"/>
    <w:rsid w:val="009A54E9"/>
    <w:rsid w:val="009A6082"/>
    <w:rsid w:val="009D4C29"/>
    <w:rsid w:val="00A57EF2"/>
    <w:rsid w:val="00A62DAB"/>
    <w:rsid w:val="00A64FDB"/>
    <w:rsid w:val="00A726A6"/>
    <w:rsid w:val="00A97535"/>
    <w:rsid w:val="00AA73F1"/>
    <w:rsid w:val="00AB0E1A"/>
    <w:rsid w:val="00AB1A30"/>
    <w:rsid w:val="00AB5259"/>
    <w:rsid w:val="00AC1AB3"/>
    <w:rsid w:val="00AD1ED3"/>
    <w:rsid w:val="00AD3E54"/>
    <w:rsid w:val="00AE6FAF"/>
    <w:rsid w:val="00B0777D"/>
    <w:rsid w:val="00B4057A"/>
    <w:rsid w:val="00B40894"/>
    <w:rsid w:val="00B43895"/>
    <w:rsid w:val="00B43A8B"/>
    <w:rsid w:val="00B45E75"/>
    <w:rsid w:val="00B461B4"/>
    <w:rsid w:val="00B50876"/>
    <w:rsid w:val="00B55EE5"/>
    <w:rsid w:val="00B73DE6"/>
    <w:rsid w:val="00B86EF0"/>
    <w:rsid w:val="00B97900"/>
    <w:rsid w:val="00BA44A8"/>
    <w:rsid w:val="00BE12AA"/>
    <w:rsid w:val="00BE3803"/>
    <w:rsid w:val="00BF6691"/>
    <w:rsid w:val="00C028FC"/>
    <w:rsid w:val="00C62BC5"/>
    <w:rsid w:val="00C66692"/>
    <w:rsid w:val="00C85603"/>
    <w:rsid w:val="00C91123"/>
    <w:rsid w:val="00CA71FF"/>
    <w:rsid w:val="00CB5276"/>
    <w:rsid w:val="00CB68D7"/>
    <w:rsid w:val="00CC7935"/>
    <w:rsid w:val="00CC7E68"/>
    <w:rsid w:val="00CD7132"/>
    <w:rsid w:val="00CE0E6F"/>
    <w:rsid w:val="00D30B48"/>
    <w:rsid w:val="00D40EC0"/>
    <w:rsid w:val="00D46FAA"/>
    <w:rsid w:val="00D57BB2"/>
    <w:rsid w:val="00D8560E"/>
    <w:rsid w:val="00D8758F"/>
    <w:rsid w:val="00DA27C0"/>
    <w:rsid w:val="00DC1D94"/>
    <w:rsid w:val="00DD7F91"/>
    <w:rsid w:val="00DE057F"/>
    <w:rsid w:val="00DE2082"/>
    <w:rsid w:val="00DE2289"/>
    <w:rsid w:val="00E00BE1"/>
    <w:rsid w:val="00E04410"/>
    <w:rsid w:val="00E11351"/>
    <w:rsid w:val="00E15CBE"/>
    <w:rsid w:val="00E733AC"/>
    <w:rsid w:val="00E8111A"/>
    <w:rsid w:val="00E827BC"/>
    <w:rsid w:val="00EA172C"/>
    <w:rsid w:val="00EA259B"/>
    <w:rsid w:val="00EA35A3"/>
    <w:rsid w:val="00EA3E6A"/>
    <w:rsid w:val="00EB18EF"/>
    <w:rsid w:val="00EC5B38"/>
    <w:rsid w:val="00EE17DF"/>
    <w:rsid w:val="00EE4620"/>
    <w:rsid w:val="00EF0CCB"/>
    <w:rsid w:val="00EF4621"/>
    <w:rsid w:val="00EF5F9D"/>
    <w:rsid w:val="00F15601"/>
    <w:rsid w:val="00F17BED"/>
    <w:rsid w:val="00F277B6"/>
    <w:rsid w:val="00F54380"/>
    <w:rsid w:val="00F54B47"/>
    <w:rsid w:val="00F70E84"/>
    <w:rsid w:val="00F731BA"/>
    <w:rsid w:val="00F8704F"/>
    <w:rsid w:val="00F93D35"/>
    <w:rsid w:val="00FA6EFD"/>
    <w:rsid w:val="00FB5CEE"/>
    <w:rsid w:val="00FB74EA"/>
    <w:rsid w:val="00FC012B"/>
    <w:rsid w:val="00FD035B"/>
    <w:rsid w:val="00FD2C9E"/>
    <w:rsid w:val="00FD4786"/>
    <w:rsid w:val="00FD616C"/>
    <w:rsid w:val="00FE1205"/>
    <w:rsid w:val="00FE2B51"/>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B43A8B"/>
    <w:rPr>
      <w:color w:val="0000FF" w:themeColor="hyperlink"/>
      <w:u w:val="single"/>
    </w:rPr>
  </w:style>
  <w:style w:type="paragraph" w:styleId="BalloonText">
    <w:name w:val="Balloon Text"/>
    <w:basedOn w:val="Normal"/>
    <w:link w:val="BalloonTextChar"/>
    <w:rsid w:val="00E8111A"/>
    <w:rPr>
      <w:rFonts w:ascii="Tahoma" w:hAnsi="Tahoma" w:cs="Tahoma"/>
      <w:sz w:val="16"/>
      <w:szCs w:val="16"/>
    </w:rPr>
  </w:style>
  <w:style w:type="character" w:customStyle="1" w:styleId="BalloonTextChar">
    <w:name w:val="Balloon Text Char"/>
    <w:basedOn w:val="DefaultParagraphFont"/>
    <w:link w:val="BalloonText"/>
    <w:rsid w:val="00E8111A"/>
    <w:rPr>
      <w:rFonts w:ascii="Tahoma" w:hAnsi="Tahoma" w:cs="Tahoma"/>
      <w:sz w:val="16"/>
      <w:szCs w:val="16"/>
    </w:rPr>
  </w:style>
  <w:style w:type="character" w:customStyle="1" w:styleId="FootnoteTextChar">
    <w:name w:val="Footnote Text Char"/>
    <w:basedOn w:val="DefaultParagraphFont"/>
    <w:link w:val="FootnoteText"/>
    <w:rsid w:val="007E5E8D"/>
  </w:style>
  <w:style w:type="character" w:styleId="FollowedHyperlink">
    <w:name w:val="FollowedHyperlink"/>
    <w:basedOn w:val="DefaultParagraphFont"/>
    <w:rsid w:val="002549EC"/>
    <w:rPr>
      <w:color w:val="800080" w:themeColor="followedHyperlink"/>
      <w:u w:val="single"/>
    </w:rPr>
  </w:style>
  <w:style w:type="paragraph" w:customStyle="1" w:styleId="Default">
    <w:name w:val="Default"/>
    <w:rsid w:val="00E15CB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B43A8B"/>
    <w:rPr>
      <w:color w:val="0000FF" w:themeColor="hyperlink"/>
      <w:u w:val="single"/>
    </w:rPr>
  </w:style>
  <w:style w:type="paragraph" w:styleId="BalloonText">
    <w:name w:val="Balloon Text"/>
    <w:basedOn w:val="Normal"/>
    <w:link w:val="BalloonTextChar"/>
    <w:rsid w:val="00E8111A"/>
    <w:rPr>
      <w:rFonts w:ascii="Tahoma" w:hAnsi="Tahoma" w:cs="Tahoma"/>
      <w:sz w:val="16"/>
      <w:szCs w:val="16"/>
    </w:rPr>
  </w:style>
  <w:style w:type="character" w:customStyle="1" w:styleId="BalloonTextChar">
    <w:name w:val="Balloon Text Char"/>
    <w:basedOn w:val="DefaultParagraphFont"/>
    <w:link w:val="BalloonText"/>
    <w:rsid w:val="00E8111A"/>
    <w:rPr>
      <w:rFonts w:ascii="Tahoma" w:hAnsi="Tahoma" w:cs="Tahoma"/>
      <w:sz w:val="16"/>
      <w:szCs w:val="16"/>
    </w:rPr>
  </w:style>
  <w:style w:type="character" w:customStyle="1" w:styleId="FootnoteTextChar">
    <w:name w:val="Footnote Text Char"/>
    <w:basedOn w:val="DefaultParagraphFont"/>
    <w:link w:val="FootnoteText"/>
    <w:rsid w:val="007E5E8D"/>
  </w:style>
  <w:style w:type="character" w:styleId="FollowedHyperlink">
    <w:name w:val="FollowedHyperlink"/>
    <w:basedOn w:val="DefaultParagraphFont"/>
    <w:rsid w:val="002549EC"/>
    <w:rPr>
      <w:color w:val="800080" w:themeColor="followedHyperlink"/>
      <w:u w:val="single"/>
    </w:rPr>
  </w:style>
  <w:style w:type="paragraph" w:customStyle="1" w:styleId="Default">
    <w:name w:val="Default"/>
    <w:rsid w:val="00E15C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arshall@earthjustic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oe@earthjustic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31732-A845-440A-87CE-F2CB5CF7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2271</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2016-12-08T18:47:00Z</dcterms:created>
  <dcterms:modified xsi:type="dcterms:W3CDTF">2016-12-08T19:01:00Z</dcterms:modified>
</cp:coreProperties>
</file>